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0C" w:rsidRDefault="00305019" w:rsidP="001B26BE">
      <w:pPr>
        <w:pStyle w:val="1-MainHeading"/>
        <w:ind w:left="1350" w:hanging="1350"/>
      </w:pPr>
      <w:bookmarkStart w:id="0" w:name="_Toc69861487"/>
      <w:bookmarkStart w:id="1" w:name="_Toc72320688"/>
      <w:r>
        <w:t>4.01</w:t>
      </w:r>
      <w:r w:rsidR="007E520C">
        <w:tab/>
      </w:r>
      <w:r w:rsidR="007E520C" w:rsidRPr="00834492">
        <w:t>Lumacaf</w:t>
      </w:r>
      <w:r w:rsidR="00611409">
        <w:t>t</w:t>
      </w:r>
      <w:r w:rsidR="007E520C" w:rsidRPr="00834492">
        <w:t xml:space="preserve">or and ivacaftor, </w:t>
      </w:r>
      <w:r w:rsidR="001B26BE">
        <w:br/>
      </w:r>
      <w:r w:rsidR="007E520C" w:rsidRPr="00834492">
        <w:t>Tablet containing lumacaftor 100</w:t>
      </w:r>
      <w:r w:rsidR="007E520C">
        <w:t> </w:t>
      </w:r>
      <w:r w:rsidR="007E520C" w:rsidRPr="00834492">
        <w:t>mg with ivacaftor 125</w:t>
      </w:r>
      <w:r w:rsidR="007E520C">
        <w:t> </w:t>
      </w:r>
      <w:r w:rsidR="007E520C" w:rsidRPr="00834492">
        <w:t xml:space="preserve">mg, </w:t>
      </w:r>
      <w:proofErr w:type="spellStart"/>
      <w:r w:rsidR="007E520C" w:rsidRPr="00834492">
        <w:t>Orkambi</w:t>
      </w:r>
      <w:proofErr w:type="spellEnd"/>
      <w:r w:rsidR="007E520C" w:rsidRPr="00834492">
        <w:t>®</w:t>
      </w:r>
      <w:r w:rsidR="007E520C">
        <w:t>,</w:t>
      </w:r>
      <w:r w:rsidR="007E520C" w:rsidRPr="00834492">
        <w:t xml:space="preserve"> </w:t>
      </w:r>
      <w:r w:rsidR="001B26BE">
        <w:br/>
      </w:r>
      <w:r w:rsidR="007E520C" w:rsidRPr="00834492">
        <w:t>Vertex Pharmaceuticals (Australia) Pty Ltd</w:t>
      </w:r>
      <w:bookmarkEnd w:id="0"/>
      <w:bookmarkEnd w:id="1"/>
    </w:p>
    <w:p w:rsidR="007E520C" w:rsidRPr="00407F2D" w:rsidRDefault="007E520C" w:rsidP="007E520C">
      <w:pPr>
        <w:pStyle w:val="2-SectionHeading"/>
      </w:pPr>
      <w:bookmarkStart w:id="2" w:name="_Toc69861489"/>
      <w:bookmarkStart w:id="3" w:name="_Toc72320690"/>
      <w:r w:rsidRPr="00407F2D">
        <w:t xml:space="preserve">Purpose of </w:t>
      </w:r>
      <w:r>
        <w:t>submission</w:t>
      </w:r>
      <w:bookmarkEnd w:id="2"/>
      <w:bookmarkEnd w:id="3"/>
    </w:p>
    <w:p w:rsidR="007E520C" w:rsidRPr="000B3A08" w:rsidRDefault="007E520C" w:rsidP="007F0155">
      <w:pPr>
        <w:pStyle w:val="3-BodyText"/>
      </w:pPr>
      <w:r w:rsidRPr="009C39B7">
        <w:t xml:space="preserve">The </w:t>
      </w:r>
      <w:r w:rsidR="0053107A">
        <w:t xml:space="preserve">Category 2 </w:t>
      </w:r>
      <w:r w:rsidRPr="009C39B7">
        <w:t>submission provided</w:t>
      </w:r>
      <w:r w:rsidR="000D0BBD">
        <w:t xml:space="preserve"> data</w:t>
      </w:r>
      <w:r w:rsidR="00C53BF6">
        <w:t xml:space="preserve"> to address the requirements of the Deed of Agreement </w:t>
      </w:r>
      <w:r w:rsidR="00F230A6">
        <w:t>dated 10 September 2018</w:t>
      </w:r>
      <w:r w:rsidR="005125F0">
        <w:t xml:space="preserve">, as varied on </w:t>
      </w:r>
      <w:r w:rsidR="00F230A6">
        <w:t>18 October 2019 (referred to herein as the Deed)</w:t>
      </w:r>
      <w:r w:rsidR="005125F0">
        <w:t>,</w:t>
      </w:r>
      <w:r w:rsidR="00F230A6">
        <w:t xml:space="preserve"> between the </w:t>
      </w:r>
      <w:r w:rsidR="0091527E">
        <w:t>s</w:t>
      </w:r>
      <w:r w:rsidR="00F230A6">
        <w:t>ponsor and the Commonwealth for the supply of lumacaftor/ivacaftor and tezacaftor/ivacaftor for the treatment of cystic fibrosis (CF) patients homozygous for the F508 deletion</w:t>
      </w:r>
      <w:r w:rsidR="000B3A08">
        <w:t>.</w:t>
      </w:r>
    </w:p>
    <w:p w:rsidR="007E520C" w:rsidRPr="00407F2D" w:rsidRDefault="007E520C" w:rsidP="007E520C">
      <w:pPr>
        <w:pStyle w:val="2-SectionHeading"/>
      </w:pPr>
      <w:bookmarkStart w:id="4" w:name="_Toc69861490"/>
      <w:bookmarkStart w:id="5" w:name="_Toc72320691"/>
      <w:r w:rsidRPr="00407F2D">
        <w:t>Background</w:t>
      </w:r>
      <w:bookmarkEnd w:id="4"/>
      <w:bookmarkEnd w:id="5"/>
    </w:p>
    <w:p w:rsidR="00C47FA8" w:rsidRPr="00B73224" w:rsidRDefault="007E520C" w:rsidP="00203E6B">
      <w:pPr>
        <w:pStyle w:val="4-SubsectionHeading"/>
      </w:pPr>
      <w:bookmarkStart w:id="6" w:name="_Toc22897639"/>
      <w:bookmarkStart w:id="7" w:name="_Toc69861491"/>
      <w:bookmarkStart w:id="8" w:name="_Toc72320692"/>
      <w:r w:rsidRPr="0079774D">
        <w:t>Previous PBAC consideration</w:t>
      </w:r>
      <w:bookmarkEnd w:id="6"/>
      <w:bookmarkEnd w:id="7"/>
      <w:bookmarkEnd w:id="8"/>
    </w:p>
    <w:p w:rsidR="007E520C" w:rsidRDefault="007E520C" w:rsidP="007F0155">
      <w:pPr>
        <w:pStyle w:val="3-BodyText"/>
      </w:pPr>
      <w:r w:rsidRPr="002F22F0">
        <w:t>Lumacaftor/ivacaftor</w:t>
      </w:r>
      <w:r w:rsidR="00411C0D">
        <w:t xml:space="preserve"> </w:t>
      </w:r>
      <w:r w:rsidR="00B0060A">
        <w:t xml:space="preserve">was </w:t>
      </w:r>
      <w:r w:rsidR="00E526D6">
        <w:t xml:space="preserve">first </w:t>
      </w:r>
      <w:r w:rsidRPr="002F22F0">
        <w:t xml:space="preserve">recommended </w:t>
      </w:r>
      <w:r w:rsidR="005125F0">
        <w:t xml:space="preserve">for listing on the PBS </w:t>
      </w:r>
      <w:r w:rsidRPr="002F22F0">
        <w:t xml:space="preserve">at the July 2018 PBAC meeting for the treatment of patients with CF </w:t>
      </w:r>
      <w:r w:rsidR="0055538C" w:rsidRPr="002F22F0">
        <w:t xml:space="preserve">aged </w:t>
      </w:r>
      <w:r w:rsidR="00E526D6">
        <w:t>12</w:t>
      </w:r>
      <w:r w:rsidR="0055538C" w:rsidRPr="002F22F0">
        <w:t xml:space="preserve"> years and older </w:t>
      </w:r>
      <w:r w:rsidRPr="002F22F0">
        <w:t>who are homozygous for the F508del mutation in the cystic fibrosis transmembrane conductance regulator (CFTR) gene</w:t>
      </w:r>
      <w:r w:rsidR="006D3912">
        <w:rPr>
          <w:rFonts w:cs="Times New Roman"/>
          <w:bCs/>
          <w:color w:val="000000"/>
          <w:lang w:val="en-US"/>
        </w:rPr>
        <w:t>.</w:t>
      </w:r>
      <w:r w:rsidR="00B0060A">
        <w:t xml:space="preserve"> </w:t>
      </w:r>
      <w:r w:rsidR="006D3912">
        <w:t>L</w:t>
      </w:r>
      <w:r w:rsidR="00E526D6">
        <w:t xml:space="preserve">umacaftor/ivacaftor was subsequently recommended for </w:t>
      </w:r>
      <w:r w:rsidR="00B234CD">
        <w:t xml:space="preserve">patients aged 6 to 11 </w:t>
      </w:r>
      <w:r w:rsidR="003F2D2D">
        <w:t xml:space="preserve">years </w:t>
      </w:r>
      <w:r w:rsidR="00396ABF">
        <w:t xml:space="preserve">at an </w:t>
      </w:r>
      <w:r w:rsidR="00B234CD">
        <w:t>out</w:t>
      </w:r>
      <w:r w:rsidR="00396ABF">
        <w:t>-</w:t>
      </w:r>
      <w:r w:rsidR="00B234CD">
        <w:t>of</w:t>
      </w:r>
      <w:r w:rsidR="00396ABF">
        <w:t>-</w:t>
      </w:r>
      <w:r w:rsidR="00B234CD">
        <w:t>session</w:t>
      </w:r>
      <w:r w:rsidR="00396ABF">
        <w:t xml:space="preserve"> meeting </w:t>
      </w:r>
      <w:r w:rsidR="00B234CD">
        <w:t xml:space="preserve">and </w:t>
      </w:r>
      <w:r w:rsidR="006A61A2">
        <w:t xml:space="preserve">in </w:t>
      </w:r>
      <w:r w:rsidR="000D29CB">
        <w:t>patients aged 2 to 5 years at the July 2019 meeting.</w:t>
      </w:r>
    </w:p>
    <w:p w:rsidR="007E520C" w:rsidRDefault="007E520C" w:rsidP="002E052A">
      <w:pPr>
        <w:pStyle w:val="3-BodyText"/>
      </w:pPr>
      <w:r>
        <w:t>T</w:t>
      </w:r>
      <w:r w:rsidRPr="00125823">
        <w:t>ezacaftor/ivacaftor</w:t>
      </w:r>
      <w:r w:rsidR="00411C0D">
        <w:t xml:space="preserve"> was </w:t>
      </w:r>
      <w:r w:rsidR="00D778A5">
        <w:t xml:space="preserve">first </w:t>
      </w:r>
      <w:r>
        <w:t xml:space="preserve">recommended at the March 2019 PBAC meeting for the </w:t>
      </w:r>
      <w:r w:rsidRPr="00125823">
        <w:t xml:space="preserve">treatment of patients with </w:t>
      </w:r>
      <w:r>
        <w:t xml:space="preserve">CF </w:t>
      </w:r>
      <w:r w:rsidRPr="00125823">
        <w:t>who are aged 12</w:t>
      </w:r>
      <w:r w:rsidR="005125F0">
        <w:t xml:space="preserve"> years</w:t>
      </w:r>
      <w:r w:rsidRPr="00125823">
        <w:t xml:space="preserve"> and</w:t>
      </w:r>
      <w:r w:rsidR="00A87578" w:rsidRPr="002F22F0">
        <w:t xml:space="preserve"> older </w:t>
      </w:r>
      <w:r w:rsidR="009A3447">
        <w:t>and</w:t>
      </w:r>
      <w:r w:rsidR="00A87578" w:rsidRPr="002F22F0">
        <w:t xml:space="preserve"> homozygous for the F508del mutation in the </w:t>
      </w:r>
      <w:r w:rsidR="00A87578">
        <w:t>CFTR</w:t>
      </w:r>
      <w:r w:rsidR="00A87578" w:rsidRPr="002F22F0">
        <w:t xml:space="preserve"> gene</w:t>
      </w:r>
      <w:r w:rsidR="009A3447">
        <w:t>,</w:t>
      </w:r>
      <w:r w:rsidR="00A87578">
        <w:t xml:space="preserve"> and</w:t>
      </w:r>
      <w:r w:rsidR="002E052A">
        <w:t xml:space="preserve"> those who</w:t>
      </w:r>
      <w:r w:rsidR="00A87578">
        <w:t xml:space="preserve"> </w:t>
      </w:r>
      <w:r w:rsidR="009A3447">
        <w:t xml:space="preserve">carry </w:t>
      </w:r>
      <w:r w:rsidR="002E052A" w:rsidRPr="002E052A">
        <w:t xml:space="preserve">one copy of </w:t>
      </w:r>
      <w:r w:rsidR="002E052A">
        <w:t>the F508del mutation and a</w:t>
      </w:r>
      <w:r w:rsidR="002E052A" w:rsidRPr="002E052A">
        <w:t xml:space="preserve"> residual function mutation</w:t>
      </w:r>
      <w:r w:rsidR="002E052A">
        <w:t xml:space="preserve">. </w:t>
      </w:r>
      <w:r w:rsidR="00A82A36">
        <w:t>Tezacaftor/ivacaftor was</w:t>
      </w:r>
      <w:r w:rsidR="00213B4D">
        <w:t xml:space="preserve"> subsequently </w:t>
      </w:r>
      <w:r w:rsidR="005125F0">
        <w:t>recommended for</w:t>
      </w:r>
      <w:r w:rsidR="00AD454A">
        <w:t xml:space="preserve"> patients with CF who have at </w:t>
      </w:r>
      <w:r w:rsidR="00380090">
        <w:t xml:space="preserve">one </w:t>
      </w:r>
      <w:r w:rsidR="00AD454A">
        <w:t>least RF mutation on the CFTR gene at the November 2019 PBAC meeting</w:t>
      </w:r>
      <w:r w:rsidRPr="00125823">
        <w:t>.</w:t>
      </w:r>
      <w:r>
        <w:t xml:space="preserve"> </w:t>
      </w:r>
    </w:p>
    <w:p w:rsidR="007E520C" w:rsidRDefault="005125F0" w:rsidP="002E72B6">
      <w:pPr>
        <w:pStyle w:val="3-BodyText"/>
        <w:rPr>
          <w:lang w:val="en-US"/>
        </w:rPr>
      </w:pPr>
      <w:r>
        <w:rPr>
          <w:lang w:val="en-US"/>
        </w:rPr>
        <w:t>When recommending l</w:t>
      </w:r>
      <w:r w:rsidRPr="00E46788">
        <w:rPr>
          <w:lang w:val="en-US"/>
        </w:rPr>
        <w:t>umacaftor</w:t>
      </w:r>
      <w:r w:rsidR="007E520C" w:rsidRPr="00E46788">
        <w:rPr>
          <w:lang w:val="en-US"/>
        </w:rPr>
        <w:t>/ivacaftor and tezacaftor/ivacaftor</w:t>
      </w:r>
      <w:r>
        <w:rPr>
          <w:lang w:val="en-US"/>
        </w:rPr>
        <w:t xml:space="preserve"> for listing, the PBAC advised that the Minister </w:t>
      </w:r>
      <w:proofErr w:type="gramStart"/>
      <w:r>
        <w:rPr>
          <w:lang w:val="en-US"/>
        </w:rPr>
        <w:t>implement</w:t>
      </w:r>
      <w:proofErr w:type="gramEnd"/>
      <w:r w:rsidR="007E520C" w:rsidRPr="00E46788">
        <w:rPr>
          <w:lang w:val="en-US"/>
        </w:rPr>
        <w:t xml:space="preserve"> measures to </w:t>
      </w:r>
      <w:r w:rsidR="00A65FFE">
        <w:rPr>
          <w:lang w:val="en-US"/>
        </w:rPr>
        <w:t>mitigate</w:t>
      </w:r>
      <w:r w:rsidR="008F408E">
        <w:rPr>
          <w:lang w:val="en-US"/>
        </w:rPr>
        <w:t xml:space="preserve"> </w:t>
      </w:r>
      <w:r w:rsidR="00A65FFE">
        <w:rPr>
          <w:lang w:val="en-US"/>
        </w:rPr>
        <w:t>uncertainties</w:t>
      </w:r>
      <w:r w:rsidR="007E520C" w:rsidRPr="00E46788">
        <w:rPr>
          <w:lang w:val="en-US"/>
        </w:rPr>
        <w:t xml:space="preserve"> associated with their cost-effectiveness and overall costs to the PBS. Those measures included</w:t>
      </w:r>
      <w:r w:rsidR="002E72B6">
        <w:rPr>
          <w:lang w:val="en-US"/>
        </w:rPr>
        <w:t xml:space="preserve"> </w:t>
      </w:r>
      <w:r w:rsidR="007E520C" w:rsidRPr="00E46788">
        <w:rPr>
          <w:lang w:val="en-US"/>
        </w:rPr>
        <w:t>a Managed Access Program (MAP</w:t>
      </w:r>
      <w:r w:rsidR="002E72B6">
        <w:rPr>
          <w:lang w:val="en-US"/>
        </w:rPr>
        <w:t xml:space="preserve">) that </w:t>
      </w:r>
      <w:r w:rsidR="002E72B6" w:rsidRPr="002E72B6">
        <w:rPr>
          <w:lang w:val="en-US"/>
        </w:rPr>
        <w:t>would allow patients to access treatment through the PBS whilst providing the sponsor with an extended period to provide further data to satisfy the PBAC that the benefits of treatment are sustained over a longer period</w:t>
      </w:r>
      <w:r w:rsidR="00D85F9C">
        <w:rPr>
          <w:lang w:val="en-US"/>
        </w:rPr>
        <w:t xml:space="preserve"> (</w:t>
      </w:r>
      <w:r w:rsidR="00F0072F" w:rsidRPr="005849B7">
        <w:rPr>
          <w:lang w:val="en-US"/>
        </w:rPr>
        <w:t>paragraphs 6.73-6.79</w:t>
      </w:r>
      <w:r w:rsidR="00F0072F">
        <w:rPr>
          <w:lang w:val="en-US"/>
        </w:rPr>
        <w:t xml:space="preserve">, </w:t>
      </w:r>
      <w:r w:rsidR="00D85F9C" w:rsidRPr="005849B7">
        <w:rPr>
          <w:lang w:val="en-US"/>
        </w:rPr>
        <w:t xml:space="preserve">lumacaftor/ivacaftor </w:t>
      </w:r>
      <w:r w:rsidR="00AF7B91">
        <w:rPr>
          <w:lang w:val="en-US"/>
        </w:rPr>
        <w:t>public summary document (</w:t>
      </w:r>
      <w:r w:rsidR="00D85F9C" w:rsidRPr="005849B7">
        <w:rPr>
          <w:lang w:val="en-US"/>
        </w:rPr>
        <w:t>PSD</w:t>
      </w:r>
      <w:r w:rsidR="00AF7B91">
        <w:rPr>
          <w:lang w:val="en-US"/>
        </w:rPr>
        <w:t>),</w:t>
      </w:r>
      <w:r w:rsidR="00D85F9C" w:rsidRPr="005849B7">
        <w:rPr>
          <w:lang w:val="en-US"/>
        </w:rPr>
        <w:t xml:space="preserve"> July 2018</w:t>
      </w:r>
      <w:r w:rsidR="00F0072F">
        <w:rPr>
          <w:lang w:val="en-US"/>
        </w:rPr>
        <w:t xml:space="preserve"> PBAC meeting</w:t>
      </w:r>
      <w:r w:rsidR="00D85F9C" w:rsidRPr="00A16C51">
        <w:rPr>
          <w:lang w:val="en-US"/>
        </w:rPr>
        <w:t>)</w:t>
      </w:r>
      <w:r w:rsidR="002E72B6" w:rsidRPr="002E72B6">
        <w:rPr>
          <w:lang w:val="en-US"/>
        </w:rPr>
        <w:t>.</w:t>
      </w:r>
      <w:r w:rsidR="000A4FBA">
        <w:rPr>
          <w:lang w:val="en-US"/>
        </w:rPr>
        <w:t xml:space="preserve"> </w:t>
      </w:r>
    </w:p>
    <w:p w:rsidR="007E520C" w:rsidRDefault="005125F0" w:rsidP="002E72B6">
      <w:pPr>
        <w:pStyle w:val="3-BodyText"/>
        <w:rPr>
          <w:i/>
          <w:iCs/>
          <w:lang w:val="en-US"/>
        </w:rPr>
      </w:pPr>
      <w:r>
        <w:rPr>
          <w:iCs/>
          <w:lang w:val="en-US"/>
        </w:rPr>
        <w:t>In July 2018 t</w:t>
      </w:r>
      <w:r w:rsidRPr="007A7E9A">
        <w:rPr>
          <w:iCs/>
          <w:lang w:val="en-US"/>
        </w:rPr>
        <w:t xml:space="preserve">he </w:t>
      </w:r>
      <w:r w:rsidR="002E72B6" w:rsidRPr="007A7E9A">
        <w:rPr>
          <w:iCs/>
          <w:lang w:val="en-US"/>
        </w:rPr>
        <w:t xml:space="preserve">PBAC </w:t>
      </w:r>
      <w:r>
        <w:rPr>
          <w:iCs/>
          <w:lang w:val="en-US"/>
        </w:rPr>
        <w:t>expressed the view</w:t>
      </w:r>
      <w:r w:rsidR="00783373" w:rsidRPr="007A7E9A">
        <w:rPr>
          <w:iCs/>
          <w:lang w:val="en-US"/>
        </w:rPr>
        <w:t xml:space="preserve"> that while there was evidence that lumacaftor/ivacaftor slows the rate of decline in </w:t>
      </w:r>
      <w:r w:rsidR="006A2746">
        <w:rPr>
          <w:iCs/>
          <w:lang w:val="en-US"/>
        </w:rPr>
        <w:t>percent predicted forced expiratory volume in one second (</w:t>
      </w:r>
      <w:r w:rsidR="00783373" w:rsidRPr="007A7E9A">
        <w:rPr>
          <w:iCs/>
          <w:lang w:val="en-US"/>
        </w:rPr>
        <w:t>ppFEV</w:t>
      </w:r>
      <w:r w:rsidR="00783373" w:rsidRPr="007A7E9A">
        <w:rPr>
          <w:iCs/>
          <w:vertAlign w:val="subscript"/>
          <w:lang w:val="en-US"/>
        </w:rPr>
        <w:t>1</w:t>
      </w:r>
      <w:r w:rsidR="006A2746" w:rsidRPr="006A2746">
        <w:rPr>
          <w:iCs/>
          <w:lang w:val="en-US"/>
        </w:rPr>
        <w:t>)</w:t>
      </w:r>
      <w:r w:rsidR="00783373" w:rsidRPr="007A7E9A">
        <w:rPr>
          <w:iCs/>
          <w:lang w:val="en-US"/>
        </w:rPr>
        <w:t xml:space="preserve"> and reduces pulmonary exacerbations up to 96 weeks for some patients, the sustainability of these benefits in the longer term remain</w:t>
      </w:r>
      <w:r w:rsidR="002E72B6" w:rsidRPr="007A7E9A">
        <w:rPr>
          <w:iCs/>
          <w:lang w:val="en-US"/>
        </w:rPr>
        <w:t>ed</w:t>
      </w:r>
      <w:r w:rsidR="00783373" w:rsidRPr="007A7E9A">
        <w:rPr>
          <w:iCs/>
          <w:lang w:val="en-US"/>
        </w:rPr>
        <w:t xml:space="preserve"> uncertain (</w:t>
      </w:r>
      <w:r w:rsidR="00F0072F" w:rsidRPr="007A7E9A">
        <w:rPr>
          <w:iCs/>
          <w:lang w:val="en-US"/>
        </w:rPr>
        <w:t>paragraph 7.8</w:t>
      </w:r>
      <w:r w:rsidR="00F0072F">
        <w:rPr>
          <w:iCs/>
          <w:lang w:val="en-US"/>
        </w:rPr>
        <w:t xml:space="preserve">, </w:t>
      </w:r>
      <w:r w:rsidR="00783373" w:rsidRPr="007A7E9A">
        <w:rPr>
          <w:iCs/>
          <w:lang w:val="en-US"/>
        </w:rPr>
        <w:t>lumacaftor/ivacaftor PSD</w:t>
      </w:r>
      <w:r w:rsidR="00F0072F">
        <w:rPr>
          <w:iCs/>
          <w:lang w:val="en-US"/>
        </w:rPr>
        <w:t>,</w:t>
      </w:r>
      <w:r w:rsidR="00783373" w:rsidRPr="007A7E9A">
        <w:rPr>
          <w:iCs/>
          <w:lang w:val="en-US"/>
        </w:rPr>
        <w:t xml:space="preserve"> July 2018</w:t>
      </w:r>
      <w:r w:rsidR="00F0072F">
        <w:rPr>
          <w:iCs/>
          <w:lang w:val="en-US"/>
        </w:rPr>
        <w:t xml:space="preserve"> PBAC meeting</w:t>
      </w:r>
      <w:r w:rsidR="00783373" w:rsidRPr="007A7E9A">
        <w:rPr>
          <w:iCs/>
          <w:lang w:val="en-US"/>
        </w:rPr>
        <w:t>).</w:t>
      </w:r>
      <w:r w:rsidR="00783373" w:rsidRPr="00E46788">
        <w:rPr>
          <w:i/>
          <w:iCs/>
          <w:lang w:val="en-US"/>
        </w:rPr>
        <w:t xml:space="preserve"> </w:t>
      </w:r>
      <w:r>
        <w:rPr>
          <w:lang w:val="en-US"/>
        </w:rPr>
        <w:t xml:space="preserve">It was </w:t>
      </w:r>
      <w:r>
        <w:rPr>
          <w:lang w:val="en-US"/>
        </w:rPr>
        <w:lastRenderedPageBreak/>
        <w:t xml:space="preserve">recommended that pursuant to </w:t>
      </w:r>
      <w:r>
        <w:rPr>
          <w:iCs/>
          <w:lang w:val="en-US"/>
        </w:rPr>
        <w:t>t</w:t>
      </w:r>
      <w:r w:rsidRPr="00985EC7">
        <w:rPr>
          <w:iCs/>
          <w:lang w:val="en-US"/>
        </w:rPr>
        <w:t xml:space="preserve">he </w:t>
      </w:r>
      <w:r w:rsidR="007E520C" w:rsidRPr="00985EC7">
        <w:rPr>
          <w:iCs/>
          <w:lang w:val="en-US"/>
        </w:rPr>
        <w:t xml:space="preserve">MAP </w:t>
      </w:r>
      <w:r w:rsidR="002E72B6" w:rsidRPr="00985EC7">
        <w:rPr>
          <w:iCs/>
          <w:lang w:val="en-US"/>
        </w:rPr>
        <w:t xml:space="preserve">the sponsor </w:t>
      </w:r>
      <w:r>
        <w:rPr>
          <w:iCs/>
          <w:lang w:val="en-US"/>
        </w:rPr>
        <w:t xml:space="preserve">be required </w:t>
      </w:r>
      <w:r w:rsidR="002E72B6" w:rsidRPr="00985EC7">
        <w:rPr>
          <w:iCs/>
          <w:lang w:val="en-US"/>
        </w:rPr>
        <w:t xml:space="preserve">to provide </w:t>
      </w:r>
      <w:r w:rsidR="007E520C" w:rsidRPr="00985EC7">
        <w:rPr>
          <w:iCs/>
          <w:lang w:val="en-US"/>
        </w:rPr>
        <w:t xml:space="preserve">data to satisfy the PBAC that the rate of decline </w:t>
      </w:r>
      <w:r w:rsidR="003C457D">
        <w:rPr>
          <w:iCs/>
          <w:lang w:val="en-US"/>
        </w:rPr>
        <w:t>in ppFEV</w:t>
      </w:r>
      <w:r w:rsidR="003C457D" w:rsidRPr="003C457D">
        <w:rPr>
          <w:iCs/>
          <w:vertAlign w:val="subscript"/>
          <w:lang w:val="en-US"/>
        </w:rPr>
        <w:t>1</w:t>
      </w:r>
      <w:r w:rsidR="003C457D">
        <w:rPr>
          <w:iCs/>
          <w:lang w:val="en-US"/>
        </w:rPr>
        <w:t xml:space="preserve"> and reduction in pulmonary exacerbations </w:t>
      </w:r>
      <w:r w:rsidR="007E520C" w:rsidRPr="00985EC7">
        <w:rPr>
          <w:iCs/>
          <w:lang w:val="en-US"/>
        </w:rPr>
        <w:t xml:space="preserve">are sustained over a longer period of time of </w:t>
      </w:r>
      <w:r w:rsidR="00783373" w:rsidRPr="00985EC7">
        <w:rPr>
          <w:iCs/>
          <w:lang w:val="en-US"/>
        </w:rPr>
        <w:t xml:space="preserve">up to </w:t>
      </w:r>
      <w:r w:rsidR="007E520C" w:rsidRPr="00985EC7">
        <w:rPr>
          <w:iCs/>
          <w:lang w:val="en-US"/>
        </w:rPr>
        <w:t>4 years</w:t>
      </w:r>
      <w:r w:rsidR="00AF32D0" w:rsidRPr="00985EC7">
        <w:rPr>
          <w:iCs/>
          <w:lang w:val="en-US"/>
        </w:rPr>
        <w:t>.</w:t>
      </w:r>
    </w:p>
    <w:p w:rsidR="00501493" w:rsidRPr="00985EC7" w:rsidRDefault="00501493" w:rsidP="00501493">
      <w:pPr>
        <w:pStyle w:val="3-BodyText"/>
        <w:rPr>
          <w:iCs/>
          <w:lang w:val="en-US"/>
        </w:rPr>
      </w:pPr>
      <w:r w:rsidRPr="00985EC7">
        <w:rPr>
          <w:iCs/>
          <w:lang w:val="en-US"/>
        </w:rPr>
        <w:t>The decline in lung function of patients treated with lumacaftor</w:t>
      </w:r>
      <w:r w:rsidR="0026257F" w:rsidRPr="00985EC7">
        <w:rPr>
          <w:iCs/>
          <w:lang w:val="en-US"/>
        </w:rPr>
        <w:t>/ivacaftor</w:t>
      </w:r>
      <w:r w:rsidRPr="00985EC7">
        <w:rPr>
          <w:iCs/>
          <w:lang w:val="en-US"/>
        </w:rPr>
        <w:t xml:space="preserve"> compared with patients receiving BSC </w:t>
      </w:r>
      <w:r w:rsidRPr="00AF7B91">
        <w:rPr>
          <w:iCs/>
          <w:lang w:val="en-US"/>
        </w:rPr>
        <w:t xml:space="preserve">only </w:t>
      </w:r>
      <w:r w:rsidR="00F83B26">
        <w:rPr>
          <w:iCs/>
          <w:lang w:val="en-US"/>
        </w:rPr>
        <w:t xml:space="preserve">(as </w:t>
      </w:r>
      <w:r w:rsidR="006A2746">
        <w:rPr>
          <w:iCs/>
          <w:lang w:val="en-US"/>
        </w:rPr>
        <w:t>measured</w:t>
      </w:r>
      <w:r w:rsidR="00F83B26">
        <w:rPr>
          <w:iCs/>
          <w:lang w:val="en-US"/>
        </w:rPr>
        <w:t xml:space="preserve"> by the relative rate of decline (</w:t>
      </w:r>
      <w:proofErr w:type="spellStart"/>
      <w:r w:rsidR="00F83B26">
        <w:rPr>
          <w:iCs/>
          <w:lang w:val="en-US"/>
        </w:rPr>
        <w:t>rROD</w:t>
      </w:r>
      <w:proofErr w:type="spellEnd"/>
      <w:r w:rsidR="00F83B26">
        <w:rPr>
          <w:iCs/>
          <w:lang w:val="en-US"/>
        </w:rPr>
        <w:t>) in ppFEV</w:t>
      </w:r>
      <w:r w:rsidR="00F83B26" w:rsidRPr="00F83B26">
        <w:rPr>
          <w:iCs/>
          <w:vertAlign w:val="subscript"/>
          <w:lang w:val="en-US"/>
        </w:rPr>
        <w:t>1</w:t>
      </w:r>
      <w:r w:rsidR="00F83B26">
        <w:rPr>
          <w:iCs/>
          <w:lang w:val="en-US"/>
        </w:rPr>
        <w:t xml:space="preserve">) </w:t>
      </w:r>
      <w:r w:rsidRPr="00985EC7">
        <w:rPr>
          <w:iCs/>
          <w:lang w:val="en-US"/>
        </w:rPr>
        <w:t xml:space="preserve">was a key </w:t>
      </w:r>
      <w:r w:rsidR="00D76F76" w:rsidRPr="00985EC7">
        <w:rPr>
          <w:iCs/>
          <w:lang w:val="en-US"/>
        </w:rPr>
        <w:t xml:space="preserve">input </w:t>
      </w:r>
      <w:r w:rsidRPr="00985EC7">
        <w:rPr>
          <w:iCs/>
          <w:lang w:val="en-US"/>
        </w:rPr>
        <w:t xml:space="preserve">used in the </w:t>
      </w:r>
      <w:r w:rsidR="005125F0">
        <w:rPr>
          <w:iCs/>
          <w:lang w:val="en-US"/>
        </w:rPr>
        <w:t xml:space="preserve">sponsor’s </w:t>
      </w:r>
      <w:r w:rsidRPr="00985EC7">
        <w:rPr>
          <w:iCs/>
          <w:lang w:val="en-US"/>
        </w:rPr>
        <w:t xml:space="preserve">July 2018 </w:t>
      </w:r>
      <w:r w:rsidR="00D76F76" w:rsidRPr="00985EC7">
        <w:rPr>
          <w:iCs/>
          <w:lang w:val="en-US"/>
        </w:rPr>
        <w:t xml:space="preserve">economic </w:t>
      </w:r>
      <w:r w:rsidRPr="00985EC7">
        <w:rPr>
          <w:iCs/>
          <w:lang w:val="en-US"/>
        </w:rPr>
        <w:t xml:space="preserve">model. The assumption </w:t>
      </w:r>
      <w:r w:rsidR="005125F0">
        <w:rPr>
          <w:iCs/>
          <w:lang w:val="en-US"/>
        </w:rPr>
        <w:t xml:space="preserve">in the model </w:t>
      </w:r>
      <w:r w:rsidRPr="00985EC7">
        <w:rPr>
          <w:iCs/>
          <w:lang w:val="en-US"/>
        </w:rPr>
        <w:t>was of a ppFEV</w:t>
      </w:r>
      <w:r w:rsidRPr="00985EC7">
        <w:rPr>
          <w:iCs/>
          <w:vertAlign w:val="subscript"/>
          <w:lang w:val="en-US"/>
        </w:rPr>
        <w:t>1</w:t>
      </w:r>
      <w:r w:rsidRPr="00985EC7">
        <w:rPr>
          <w:iCs/>
          <w:lang w:val="en-US"/>
        </w:rPr>
        <w:t xml:space="preserve"> </w:t>
      </w:r>
      <w:proofErr w:type="spellStart"/>
      <w:r w:rsidRPr="00985EC7">
        <w:rPr>
          <w:iCs/>
          <w:lang w:val="en-US"/>
        </w:rPr>
        <w:t>rROD</w:t>
      </w:r>
      <w:proofErr w:type="spellEnd"/>
      <w:r w:rsidRPr="00985EC7">
        <w:rPr>
          <w:iCs/>
          <w:lang w:val="en-US"/>
        </w:rPr>
        <w:t xml:space="preserve"> of 42%, which was informed by a post-hoc analysis where patients receiving lumacaftor/ivacaftor from PROGRESS </w:t>
      </w:r>
      <w:r w:rsidR="00D76F76" w:rsidRPr="00985EC7">
        <w:rPr>
          <w:iCs/>
          <w:lang w:val="en-US"/>
        </w:rPr>
        <w:t xml:space="preserve">(an extension study) </w:t>
      </w:r>
      <w:r w:rsidRPr="00985EC7">
        <w:rPr>
          <w:iCs/>
          <w:lang w:val="en-US"/>
        </w:rPr>
        <w:t xml:space="preserve">were matched to eligible control patients from the United States </w:t>
      </w:r>
      <w:r w:rsidR="002E052A" w:rsidRPr="00985EC7">
        <w:t>Cystic Fibrosis Foundation Patient Registry (</w:t>
      </w:r>
      <w:r w:rsidRPr="00985EC7">
        <w:rPr>
          <w:iCs/>
          <w:lang w:val="en-US"/>
        </w:rPr>
        <w:t>CFFPR</w:t>
      </w:r>
      <w:r w:rsidR="002E052A" w:rsidRPr="00985EC7">
        <w:rPr>
          <w:iCs/>
          <w:lang w:val="en-US"/>
        </w:rPr>
        <w:t>)</w:t>
      </w:r>
      <w:r w:rsidRPr="00985EC7">
        <w:rPr>
          <w:iCs/>
          <w:lang w:val="en-US"/>
        </w:rPr>
        <w:t xml:space="preserve"> (Figure 1)</w:t>
      </w:r>
      <w:r w:rsidR="00E7111C" w:rsidRPr="00985EC7">
        <w:rPr>
          <w:iCs/>
          <w:lang w:val="en-US"/>
        </w:rPr>
        <w:t xml:space="preserve"> (</w:t>
      </w:r>
      <w:proofErr w:type="spellStart"/>
      <w:r w:rsidR="00E7111C" w:rsidRPr="00985EC7">
        <w:rPr>
          <w:iCs/>
          <w:lang w:val="en-US"/>
        </w:rPr>
        <w:t>Konstan</w:t>
      </w:r>
      <w:proofErr w:type="spellEnd"/>
      <w:r w:rsidR="00E7111C" w:rsidRPr="00985EC7">
        <w:rPr>
          <w:iCs/>
          <w:lang w:val="en-US"/>
        </w:rPr>
        <w:t xml:space="preserve"> 2017)</w:t>
      </w:r>
      <w:r w:rsidRPr="00985EC7">
        <w:rPr>
          <w:iCs/>
          <w:lang w:val="en-US"/>
        </w:rPr>
        <w:t xml:space="preserve">. </w:t>
      </w:r>
      <w:r w:rsidR="003C457D">
        <w:rPr>
          <w:iCs/>
          <w:lang w:val="en-US"/>
        </w:rPr>
        <w:t xml:space="preserve">The PBAC recalled the </w:t>
      </w:r>
      <w:proofErr w:type="spellStart"/>
      <w:r w:rsidR="003C457D">
        <w:rPr>
          <w:iCs/>
          <w:lang w:val="en-US"/>
        </w:rPr>
        <w:t>Konstan</w:t>
      </w:r>
      <w:proofErr w:type="spellEnd"/>
      <w:r w:rsidR="003C457D">
        <w:rPr>
          <w:iCs/>
          <w:lang w:val="en-US"/>
        </w:rPr>
        <w:t xml:space="preserve"> 2017 study excluded the </w:t>
      </w:r>
      <w:r w:rsidR="00E7626E">
        <w:rPr>
          <w:iCs/>
          <w:lang w:val="en-US"/>
        </w:rPr>
        <w:t>initial increase in ppFEV</w:t>
      </w:r>
      <w:r w:rsidR="00E7626E" w:rsidRPr="00E7626E">
        <w:rPr>
          <w:iCs/>
          <w:vertAlign w:val="subscript"/>
          <w:lang w:val="en-US"/>
        </w:rPr>
        <w:t>1</w:t>
      </w:r>
      <w:r w:rsidR="00E7626E">
        <w:rPr>
          <w:iCs/>
          <w:lang w:val="en-US"/>
        </w:rPr>
        <w:t xml:space="preserve"> in the </w:t>
      </w:r>
      <w:r w:rsidR="003C457D">
        <w:rPr>
          <w:iCs/>
          <w:lang w:val="en-US"/>
        </w:rPr>
        <w:t xml:space="preserve">first 3 weeks of treatment </w:t>
      </w:r>
      <w:r w:rsidR="008F408E">
        <w:rPr>
          <w:iCs/>
          <w:lang w:val="en-US"/>
        </w:rPr>
        <w:t xml:space="preserve">with lumacaftor/ivacaftor </w:t>
      </w:r>
      <w:r w:rsidR="003C457D">
        <w:rPr>
          <w:iCs/>
          <w:lang w:val="en-US"/>
        </w:rPr>
        <w:t xml:space="preserve">from </w:t>
      </w:r>
      <w:r w:rsidR="001D2820">
        <w:rPr>
          <w:iCs/>
          <w:lang w:val="en-US"/>
        </w:rPr>
        <w:t xml:space="preserve">the </w:t>
      </w:r>
      <w:r w:rsidR="003C457D">
        <w:rPr>
          <w:iCs/>
          <w:lang w:val="en-US"/>
        </w:rPr>
        <w:t>rate of decline calculation.</w:t>
      </w:r>
      <w:r w:rsidR="000A4FBA">
        <w:rPr>
          <w:iCs/>
          <w:lang w:val="en-US"/>
        </w:rPr>
        <w:t xml:space="preserve"> </w:t>
      </w:r>
    </w:p>
    <w:p w:rsidR="00E32973" w:rsidRPr="00E32973" w:rsidRDefault="00E32973" w:rsidP="00D412DB">
      <w:pPr>
        <w:pStyle w:val="TableFigureHeading"/>
      </w:pPr>
      <w:r w:rsidRPr="00E32973">
        <w:rPr>
          <w:lang w:val="en-US"/>
        </w:rPr>
        <w:t>Figure 1: Estimated annual rate of ppFEV</w:t>
      </w:r>
      <w:r w:rsidRPr="00D76F76">
        <w:rPr>
          <w:vertAlign w:val="subscript"/>
          <w:lang w:val="en-US"/>
        </w:rPr>
        <w:t>1</w:t>
      </w:r>
      <w:r w:rsidRPr="00E32973">
        <w:rPr>
          <w:lang w:val="en-US"/>
        </w:rPr>
        <w:t xml:space="preserve">, decline with </w:t>
      </w:r>
      <w:r w:rsidR="00D76F76">
        <w:rPr>
          <w:lang w:val="en-US"/>
        </w:rPr>
        <w:t xml:space="preserve">lumacaftor/ivacaftor </w:t>
      </w:r>
      <w:r w:rsidRPr="00E32973">
        <w:rPr>
          <w:lang w:val="en-US"/>
        </w:rPr>
        <w:t>compared with a matched control group</w:t>
      </w:r>
    </w:p>
    <w:p w:rsidR="00E32973" w:rsidRDefault="00E32973" w:rsidP="004C6E67">
      <w:pPr>
        <w:keepNext/>
      </w:pPr>
      <w:r>
        <w:rPr>
          <w:noProof/>
        </w:rPr>
        <w:drawing>
          <wp:inline distT="0" distB="0" distL="0" distR="0" wp14:anchorId="526FA0C6" wp14:editId="7C4DCD11">
            <wp:extent cx="3979333" cy="3307277"/>
            <wp:effectExtent l="0" t="0" r="2540" b="7620"/>
            <wp:docPr id="449" name="Picture 449" title="Figure 1: Estimated annual rate of ppFEV1, decline with lumacaftor/ivacaftor compared with a matched contro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7162" cy="3313784"/>
                    </a:xfrm>
                    <a:prstGeom prst="rect">
                      <a:avLst/>
                    </a:prstGeom>
                    <a:noFill/>
                    <a:ln>
                      <a:noFill/>
                    </a:ln>
                  </pic:spPr>
                </pic:pic>
              </a:graphicData>
            </a:graphic>
          </wp:inline>
        </w:drawing>
      </w:r>
    </w:p>
    <w:p w:rsidR="00F85FFE" w:rsidRPr="00D412DB" w:rsidRDefault="00D412DB" w:rsidP="00D412DB">
      <w:pPr>
        <w:pStyle w:val="In-tableHeading"/>
        <w:keepNext w:val="0"/>
        <w:rPr>
          <w:b w:val="0"/>
          <w:bCs/>
        </w:rPr>
      </w:pPr>
      <w:r w:rsidRPr="00D412DB">
        <w:rPr>
          <w:b w:val="0"/>
          <w:bCs/>
          <w:lang w:val="en-AU"/>
        </w:rPr>
        <w:t>Source</w:t>
      </w:r>
      <w:r w:rsidRPr="00D412DB">
        <w:rPr>
          <w:b w:val="0"/>
          <w:bCs/>
        </w:rPr>
        <w:t xml:space="preserve">: </w:t>
      </w:r>
      <w:proofErr w:type="spellStart"/>
      <w:r>
        <w:rPr>
          <w:b w:val="0"/>
          <w:bCs/>
        </w:rPr>
        <w:t>Konstan</w:t>
      </w:r>
      <w:proofErr w:type="spellEnd"/>
      <w:r>
        <w:rPr>
          <w:b w:val="0"/>
          <w:bCs/>
        </w:rPr>
        <w:t xml:space="preserve"> 2017</w:t>
      </w:r>
      <w:r w:rsidR="004D2641">
        <w:rPr>
          <w:b w:val="0"/>
          <w:bCs/>
        </w:rPr>
        <w:t xml:space="preserve"> Figure 3 p</w:t>
      </w:r>
      <w:r w:rsidR="004C6E67">
        <w:rPr>
          <w:b w:val="0"/>
          <w:bCs/>
        </w:rPr>
        <w:t>10</w:t>
      </w:r>
      <w:r>
        <w:rPr>
          <w:b w:val="0"/>
          <w:bCs/>
        </w:rPr>
        <w:t xml:space="preserve">. </w:t>
      </w:r>
    </w:p>
    <w:p w:rsidR="00D412DB" w:rsidRPr="00E05134" w:rsidRDefault="00D412DB" w:rsidP="00D412DB">
      <w:pPr>
        <w:pStyle w:val="In-tableHeading"/>
        <w:keepNext w:val="0"/>
      </w:pPr>
    </w:p>
    <w:p w:rsidR="00D94B5C" w:rsidRPr="00AB1B0D" w:rsidRDefault="005125F0" w:rsidP="00D94B5C">
      <w:pPr>
        <w:pStyle w:val="3-BodyText"/>
        <w:rPr>
          <w:iCs/>
          <w:lang w:val="en-US"/>
        </w:rPr>
      </w:pPr>
      <w:bookmarkStart w:id="9" w:name="_Ref78809080"/>
      <w:r>
        <w:rPr>
          <w:iCs/>
          <w:lang w:val="en-US"/>
        </w:rPr>
        <w:t>In its considerations in July 2018 t</w:t>
      </w:r>
      <w:r w:rsidRPr="00985EC7">
        <w:rPr>
          <w:iCs/>
          <w:lang w:val="en-US"/>
        </w:rPr>
        <w:t xml:space="preserve">he </w:t>
      </w:r>
      <w:r w:rsidR="002E052A" w:rsidRPr="00985EC7">
        <w:rPr>
          <w:iCs/>
          <w:lang w:val="en-US"/>
        </w:rPr>
        <w:t>PBAC raised a number of concerns regarding the data used for this analysis, including the use of historical US patients for the control cohort (who tend to have worse clinical outcomes compared to ex-US patients)</w:t>
      </w:r>
      <w:r w:rsidR="00A36E31">
        <w:rPr>
          <w:iCs/>
          <w:lang w:val="en-US"/>
        </w:rPr>
        <w:t>. The US patients were</w:t>
      </w:r>
      <w:r w:rsidR="002E052A" w:rsidRPr="00985EC7">
        <w:rPr>
          <w:iCs/>
          <w:lang w:val="en-US"/>
        </w:rPr>
        <w:t xml:space="preserve"> compared with patients in a clinical trial extension study (PROGRESS) which included patients from other countries</w:t>
      </w:r>
      <w:r w:rsidR="00A36E31">
        <w:rPr>
          <w:iCs/>
          <w:lang w:val="en-US"/>
        </w:rPr>
        <w:t xml:space="preserve"> </w:t>
      </w:r>
      <w:r w:rsidR="002E052A" w:rsidRPr="00985EC7">
        <w:rPr>
          <w:iCs/>
          <w:lang w:val="en-US"/>
        </w:rPr>
        <w:t>and</w:t>
      </w:r>
      <w:r w:rsidR="00A36E31">
        <w:rPr>
          <w:iCs/>
          <w:lang w:val="en-US"/>
        </w:rPr>
        <w:t xml:space="preserve"> trial patients might have been</w:t>
      </w:r>
      <w:r w:rsidR="000A4FBA">
        <w:rPr>
          <w:iCs/>
          <w:lang w:val="en-US"/>
        </w:rPr>
        <w:t xml:space="preserve"> </w:t>
      </w:r>
      <w:r w:rsidR="002E052A" w:rsidRPr="00985EC7">
        <w:rPr>
          <w:iCs/>
          <w:lang w:val="en-US"/>
        </w:rPr>
        <w:t xml:space="preserve">expected to have benefited from </w:t>
      </w:r>
      <w:proofErr w:type="spellStart"/>
      <w:r w:rsidR="002E052A" w:rsidRPr="00985EC7">
        <w:rPr>
          <w:iCs/>
          <w:lang w:val="en-US"/>
        </w:rPr>
        <w:t>optimisation</w:t>
      </w:r>
      <w:proofErr w:type="spellEnd"/>
      <w:r w:rsidR="002E052A" w:rsidRPr="00985EC7">
        <w:rPr>
          <w:iCs/>
          <w:lang w:val="en-US"/>
        </w:rPr>
        <w:t xml:space="preserve"> of other aspects of care (</w:t>
      </w:r>
      <w:r w:rsidR="00F0072F" w:rsidRPr="00985EC7">
        <w:rPr>
          <w:iCs/>
          <w:lang w:val="en-US"/>
        </w:rPr>
        <w:t>paragraph 6.25</w:t>
      </w:r>
      <w:r w:rsidR="00F0072F">
        <w:rPr>
          <w:iCs/>
          <w:lang w:val="en-US"/>
        </w:rPr>
        <w:t xml:space="preserve">, </w:t>
      </w:r>
      <w:r w:rsidR="002E052A" w:rsidRPr="00985EC7">
        <w:rPr>
          <w:iCs/>
          <w:lang w:val="en-US"/>
        </w:rPr>
        <w:t>lumacaftor/ivacaftor PSD</w:t>
      </w:r>
      <w:r w:rsidR="00AF7B91">
        <w:rPr>
          <w:iCs/>
          <w:lang w:val="en-US"/>
        </w:rPr>
        <w:t>,</w:t>
      </w:r>
      <w:r w:rsidR="002E052A" w:rsidRPr="00985EC7">
        <w:rPr>
          <w:iCs/>
          <w:lang w:val="en-US"/>
        </w:rPr>
        <w:t xml:space="preserve"> July 2018</w:t>
      </w:r>
      <w:r w:rsidR="00F0072F">
        <w:rPr>
          <w:iCs/>
          <w:lang w:val="en-US"/>
        </w:rPr>
        <w:t xml:space="preserve"> PBAC meeting</w:t>
      </w:r>
      <w:r w:rsidR="00AF7B91">
        <w:rPr>
          <w:iCs/>
          <w:lang w:val="en-US"/>
        </w:rPr>
        <w:t>,</w:t>
      </w:r>
      <w:r w:rsidR="002E052A" w:rsidRPr="00985EC7">
        <w:rPr>
          <w:iCs/>
          <w:lang w:val="en-US"/>
        </w:rPr>
        <w:t>).</w:t>
      </w:r>
      <w:r w:rsidR="002E052A" w:rsidRPr="00985EC7">
        <w:rPr>
          <w:iCs/>
        </w:rPr>
        <w:t xml:space="preserve"> </w:t>
      </w:r>
      <w:r w:rsidR="00D94B5C" w:rsidRPr="00AB1B0D">
        <w:rPr>
          <w:iCs/>
        </w:rPr>
        <w:t xml:space="preserve">The </w:t>
      </w:r>
      <w:r w:rsidR="00B57DAC">
        <w:rPr>
          <w:iCs/>
        </w:rPr>
        <w:t>P</w:t>
      </w:r>
      <w:r w:rsidR="00D94B5C" w:rsidRPr="00AB1B0D">
        <w:rPr>
          <w:iCs/>
        </w:rPr>
        <w:t>re-</w:t>
      </w:r>
      <w:r w:rsidR="00B57DAC">
        <w:rPr>
          <w:iCs/>
        </w:rPr>
        <w:t>S</w:t>
      </w:r>
      <w:r w:rsidR="00D94B5C" w:rsidRPr="00AB1B0D">
        <w:rPr>
          <w:iCs/>
        </w:rPr>
        <w:t>ub</w:t>
      </w:r>
      <w:r w:rsidR="00B57DAC">
        <w:rPr>
          <w:iCs/>
        </w:rPr>
        <w:t>-C</w:t>
      </w:r>
      <w:r w:rsidR="00D94B5C" w:rsidRPr="00AB1B0D">
        <w:rPr>
          <w:iCs/>
        </w:rPr>
        <w:t xml:space="preserve">ommittee </w:t>
      </w:r>
      <w:r w:rsidR="00B57DAC">
        <w:rPr>
          <w:iCs/>
        </w:rPr>
        <w:t>R</w:t>
      </w:r>
      <w:r w:rsidR="00D94B5C" w:rsidRPr="00AB1B0D">
        <w:rPr>
          <w:iCs/>
        </w:rPr>
        <w:t xml:space="preserve">esponse (PSCR) </w:t>
      </w:r>
      <w:r w:rsidR="00A65FFE">
        <w:rPr>
          <w:iCs/>
        </w:rPr>
        <w:t>disagreed with</w:t>
      </w:r>
      <w:r w:rsidR="00D94B5C" w:rsidRPr="00AB1B0D">
        <w:rPr>
          <w:iCs/>
        </w:rPr>
        <w:t xml:space="preserve"> the assertion that US CF patients have a worse </w:t>
      </w:r>
      <w:r w:rsidR="00D94B5C" w:rsidRPr="00AB1B0D">
        <w:rPr>
          <w:iCs/>
        </w:rPr>
        <w:lastRenderedPageBreak/>
        <w:t>treatment outcome than in other countries</w:t>
      </w:r>
      <w:r w:rsidR="00A65FFE">
        <w:rPr>
          <w:iCs/>
        </w:rPr>
        <w:t>,</w:t>
      </w:r>
      <w:r w:rsidR="008F408E">
        <w:rPr>
          <w:iCs/>
        </w:rPr>
        <w:t xml:space="preserve"> and </w:t>
      </w:r>
      <w:r w:rsidR="00D94B5C" w:rsidRPr="00AB1B0D">
        <w:rPr>
          <w:iCs/>
        </w:rPr>
        <w:t>stat</w:t>
      </w:r>
      <w:r w:rsidR="008F408E">
        <w:rPr>
          <w:iCs/>
        </w:rPr>
        <w:t>ed</w:t>
      </w:r>
      <w:r w:rsidR="00A65FFE">
        <w:rPr>
          <w:iCs/>
        </w:rPr>
        <w:t xml:space="preserve"> that</w:t>
      </w:r>
      <w:r w:rsidR="00D94B5C" w:rsidRPr="00AB1B0D">
        <w:rPr>
          <w:iCs/>
        </w:rPr>
        <w:t xml:space="preserve"> this has been disproved statistically in recent publications (</w:t>
      </w:r>
      <w:proofErr w:type="spellStart"/>
      <w:r w:rsidR="00D94B5C" w:rsidRPr="00AB1B0D">
        <w:rPr>
          <w:iCs/>
        </w:rPr>
        <w:t>Schluter</w:t>
      </w:r>
      <w:proofErr w:type="spellEnd"/>
      <w:r w:rsidR="00D94B5C" w:rsidRPr="00AB1B0D">
        <w:rPr>
          <w:iCs/>
        </w:rPr>
        <w:t xml:space="preserve"> et al, 2021; Goss et al, 2014).</w:t>
      </w:r>
      <w:bookmarkEnd w:id="9"/>
      <w:r w:rsidR="00D94B5C" w:rsidRPr="00AB1B0D">
        <w:rPr>
          <w:iCs/>
        </w:rPr>
        <w:t xml:space="preserve"> </w:t>
      </w:r>
    </w:p>
    <w:p w:rsidR="007E520C" w:rsidRPr="00AF7B91" w:rsidRDefault="00501493" w:rsidP="007E520C">
      <w:pPr>
        <w:pStyle w:val="2-SectionHeading"/>
      </w:pPr>
      <w:bookmarkStart w:id="10" w:name="_Toc69861492"/>
      <w:bookmarkStart w:id="11" w:name="_Toc72320693"/>
      <w:r w:rsidRPr="00064300">
        <w:t xml:space="preserve">Summary </w:t>
      </w:r>
      <w:r w:rsidR="007E520C" w:rsidRPr="00AF7B91">
        <w:t xml:space="preserve">of the </w:t>
      </w:r>
      <w:r w:rsidRPr="00AF7B91">
        <w:t xml:space="preserve">MAP requirements in the </w:t>
      </w:r>
      <w:r w:rsidR="007E520C" w:rsidRPr="00AF7B91">
        <w:t>Deed</w:t>
      </w:r>
      <w:bookmarkEnd w:id="10"/>
      <w:bookmarkEnd w:id="11"/>
    </w:p>
    <w:p w:rsidR="007E520C" w:rsidRPr="00AF7B91" w:rsidRDefault="007E520C" w:rsidP="007E520C">
      <w:pPr>
        <w:pStyle w:val="3-BodyText"/>
      </w:pPr>
      <w:r w:rsidRPr="00AF7B91">
        <w:t xml:space="preserve">A summary of the obligations as stipulated in the Deed and how the submission </w:t>
      </w:r>
      <w:r w:rsidR="005125F0">
        <w:t xml:space="preserve">claimed to </w:t>
      </w:r>
      <w:r w:rsidRPr="00AF7B91">
        <w:t xml:space="preserve">address the obligations is provided in </w:t>
      </w:r>
      <w:r w:rsidR="00783373" w:rsidRPr="00AF7B91">
        <w:t>Table 1</w:t>
      </w:r>
      <w:r w:rsidRPr="00AF7B91">
        <w:t>.</w:t>
      </w:r>
      <w:r w:rsidR="000A4FBA">
        <w:t xml:space="preserve"> </w:t>
      </w:r>
    </w:p>
    <w:p w:rsidR="007E520C" w:rsidRPr="007D4BC5" w:rsidRDefault="007E520C" w:rsidP="00D62DB0">
      <w:pPr>
        <w:pStyle w:val="TableFigureHeading"/>
        <w:keepNext w:val="0"/>
        <w:rPr>
          <w:rStyle w:val="CommentReference"/>
          <w:b/>
          <w:szCs w:val="24"/>
        </w:rPr>
      </w:pPr>
      <w:r w:rsidRPr="007D4BC5">
        <w:rPr>
          <w:rStyle w:val="CommentReference"/>
          <w:b/>
          <w:szCs w:val="24"/>
        </w:rPr>
        <w:t>Table 1: Obligations as stated in the Deed and the documentation as provided in the Submission</w:t>
      </w:r>
    </w:p>
    <w:tbl>
      <w:tblPr>
        <w:tblStyle w:val="TableGrid"/>
        <w:tblW w:w="0" w:type="auto"/>
        <w:tblLook w:val="04A0" w:firstRow="1" w:lastRow="0" w:firstColumn="1" w:lastColumn="0" w:noHBand="0" w:noVBand="1"/>
        <w:tblCaption w:val="Table 1: Obligations as stated in the Deed and the documentation as provided in the Submission"/>
      </w:tblPr>
      <w:tblGrid>
        <w:gridCol w:w="4508"/>
        <w:gridCol w:w="4509"/>
      </w:tblGrid>
      <w:tr w:rsidR="007E520C" w:rsidRPr="007D4BC5" w:rsidTr="00BA7EE9">
        <w:trPr>
          <w:tblHeader/>
        </w:trPr>
        <w:tc>
          <w:tcPr>
            <w:tcW w:w="4508" w:type="dxa"/>
          </w:tcPr>
          <w:p w:rsidR="007E520C" w:rsidRPr="007D4BC5" w:rsidRDefault="007E520C" w:rsidP="00D62DB0">
            <w:pPr>
              <w:pStyle w:val="In-tableHeading"/>
              <w:keepNext w:val="0"/>
              <w:rPr>
                <w:lang w:val="en-AU"/>
              </w:rPr>
            </w:pPr>
            <w:r w:rsidRPr="007D4BC5">
              <w:rPr>
                <w:lang w:val="en-AU"/>
              </w:rPr>
              <w:t>Deed</w:t>
            </w:r>
          </w:p>
        </w:tc>
        <w:tc>
          <w:tcPr>
            <w:tcW w:w="4509" w:type="dxa"/>
          </w:tcPr>
          <w:p w:rsidR="007E520C" w:rsidRPr="007D4BC5" w:rsidRDefault="007E520C" w:rsidP="00D62DB0">
            <w:pPr>
              <w:pStyle w:val="In-tableHeading"/>
              <w:keepNext w:val="0"/>
              <w:rPr>
                <w:lang w:val="en-AU"/>
              </w:rPr>
            </w:pPr>
            <w:r w:rsidRPr="007D4BC5">
              <w:rPr>
                <w:lang w:val="en-AU"/>
              </w:rPr>
              <w:t>Submission</w:t>
            </w:r>
          </w:p>
        </w:tc>
      </w:tr>
      <w:tr w:rsidR="00277645" w:rsidRPr="007D4BC5" w:rsidTr="00BA7EE9">
        <w:tc>
          <w:tcPr>
            <w:tcW w:w="4508" w:type="dxa"/>
          </w:tcPr>
          <w:p w:rsidR="00D62DB0" w:rsidRPr="00D62DB0" w:rsidRDefault="00D62DB0" w:rsidP="00D62DB0">
            <w:pPr>
              <w:jc w:val="left"/>
              <w:rPr>
                <w:rFonts w:ascii="Arial Narrow" w:hAnsi="Arial Narrow" w:cs="Calibri"/>
                <w:sz w:val="20"/>
                <w:szCs w:val="20"/>
              </w:rPr>
            </w:pPr>
            <w:r w:rsidRPr="00D62DB0">
              <w:rPr>
                <w:rFonts w:ascii="Arial Narrow" w:hAnsi="Arial Narrow"/>
                <w:sz w:val="20"/>
                <w:szCs w:val="20"/>
              </w:rPr>
              <w:t>Clause 3.4.2.a</w:t>
            </w:r>
          </w:p>
          <w:p w:rsidR="00277645" w:rsidRPr="00D62DB0" w:rsidRDefault="00D62DB0" w:rsidP="00D62DB0">
            <w:pPr>
              <w:pStyle w:val="TableText0"/>
              <w:keepNext w:val="0"/>
              <w:widowControl w:val="0"/>
              <w:rPr>
                <w:szCs w:val="20"/>
              </w:rPr>
            </w:pPr>
            <w:r w:rsidRPr="00D62DB0">
              <w:rPr>
                <w:szCs w:val="20"/>
              </w:rPr>
              <w:t xml:space="preserve">The Company’s analysis of the rate of decline in lung function in the Report and the application of the point estimate value for rate of decline in lung function in the Company’s economic model for Lumacaftor with Ivacaftor </w:t>
            </w:r>
            <w:r w:rsidRPr="00A36E31">
              <w:rPr>
                <w:szCs w:val="20"/>
              </w:rPr>
              <w:t>6+</w:t>
            </w:r>
            <w:r w:rsidRPr="00D62DB0">
              <w:rPr>
                <w:szCs w:val="20"/>
              </w:rPr>
              <w:t xml:space="preserve"> to assess any change in cost effectiveness</w:t>
            </w:r>
          </w:p>
        </w:tc>
        <w:tc>
          <w:tcPr>
            <w:tcW w:w="4509" w:type="dxa"/>
          </w:tcPr>
          <w:p w:rsidR="00D62DB0" w:rsidRPr="00D62DB0" w:rsidRDefault="00064300" w:rsidP="00D62DB0">
            <w:pPr>
              <w:rPr>
                <w:rFonts w:ascii="Arial Narrow" w:eastAsiaTheme="majorEastAsia" w:hAnsi="Arial Narrow" w:cstheme="majorBidi"/>
                <w:bCs/>
                <w:sz w:val="20"/>
                <w:szCs w:val="20"/>
              </w:rPr>
            </w:pPr>
            <w:r>
              <w:rPr>
                <w:rFonts w:ascii="Arial Narrow" w:eastAsiaTheme="majorEastAsia" w:hAnsi="Arial Narrow" w:cstheme="majorBidi"/>
                <w:bCs/>
                <w:sz w:val="20"/>
                <w:szCs w:val="20"/>
              </w:rPr>
              <w:t xml:space="preserve">Pooled </w:t>
            </w:r>
            <w:r w:rsidR="00D62DB0" w:rsidRPr="00D62DB0">
              <w:rPr>
                <w:rFonts w:ascii="Arial Narrow" w:eastAsiaTheme="majorEastAsia" w:hAnsi="Arial Narrow" w:cstheme="majorBidi"/>
                <w:bCs/>
                <w:sz w:val="20"/>
                <w:szCs w:val="20"/>
              </w:rPr>
              <w:t>ppFEV</w:t>
            </w:r>
            <w:r w:rsidR="00D62DB0" w:rsidRPr="007A7E9A">
              <w:rPr>
                <w:rFonts w:ascii="Arial Narrow" w:eastAsiaTheme="majorEastAsia" w:hAnsi="Arial Narrow" w:cstheme="majorBidi"/>
                <w:bCs/>
                <w:sz w:val="20"/>
                <w:szCs w:val="20"/>
                <w:vertAlign w:val="subscript"/>
              </w:rPr>
              <w:t>1</w:t>
            </w:r>
            <w:r w:rsidR="00D62DB0" w:rsidRPr="00D62DB0">
              <w:rPr>
                <w:rFonts w:ascii="Arial Narrow" w:eastAsiaTheme="majorEastAsia" w:hAnsi="Arial Narrow" w:cstheme="majorBidi"/>
                <w:bCs/>
                <w:sz w:val="20"/>
                <w:szCs w:val="20"/>
              </w:rPr>
              <w:t xml:space="preserve"> </w:t>
            </w:r>
            <w:proofErr w:type="spellStart"/>
            <w:r w:rsidR="00D62DB0" w:rsidRPr="00D62DB0">
              <w:rPr>
                <w:rFonts w:ascii="Arial Narrow" w:eastAsiaTheme="majorEastAsia" w:hAnsi="Arial Narrow" w:cstheme="majorBidi"/>
                <w:bCs/>
                <w:sz w:val="20"/>
                <w:szCs w:val="20"/>
              </w:rPr>
              <w:t>rROD</w:t>
            </w:r>
            <w:proofErr w:type="spellEnd"/>
            <w:r w:rsidR="00D62DB0" w:rsidRPr="00D62DB0">
              <w:rPr>
                <w:rFonts w:ascii="Arial Narrow" w:eastAsiaTheme="majorEastAsia" w:hAnsi="Arial Narrow" w:cstheme="majorBidi"/>
                <w:bCs/>
                <w:sz w:val="20"/>
                <w:szCs w:val="20"/>
              </w:rPr>
              <w:t xml:space="preserve"> = 55.7% (from 42%)</w:t>
            </w:r>
          </w:p>
          <w:p w:rsidR="00D62DB0" w:rsidRPr="00D62DB0" w:rsidRDefault="00D62DB0" w:rsidP="00D62DB0">
            <w:pPr>
              <w:rPr>
                <w:rFonts w:ascii="Arial Narrow" w:eastAsiaTheme="majorEastAsia" w:hAnsi="Arial Narrow" w:cstheme="majorBidi"/>
                <w:bCs/>
                <w:sz w:val="20"/>
                <w:szCs w:val="20"/>
              </w:rPr>
            </w:pPr>
          </w:p>
          <w:p w:rsidR="00277645" w:rsidRPr="007D4BC5" w:rsidRDefault="00D62DB0" w:rsidP="006A2746">
            <w:pPr>
              <w:pStyle w:val="TableText0"/>
              <w:keepNext w:val="0"/>
              <w:widowControl w:val="0"/>
            </w:pPr>
            <w:r w:rsidRPr="00D62DB0">
              <w:rPr>
                <w:szCs w:val="20"/>
              </w:rPr>
              <w:t>ICER = $</w:t>
            </w:r>
            <w:r w:rsidR="00364ABB">
              <w:rPr>
                <w:noProof/>
                <w:color w:val="000000"/>
                <w:szCs w:val="20"/>
                <w:highlight w:val="black"/>
              </w:rPr>
              <w:t>''''''''''''''''''</w:t>
            </w:r>
            <w:r w:rsidR="00942550" w:rsidRPr="00942550">
              <w:rPr>
                <w:szCs w:val="20"/>
                <w:vertAlign w:val="superscript"/>
              </w:rPr>
              <w:t>1</w:t>
            </w:r>
            <w:r w:rsidRPr="00D62DB0">
              <w:rPr>
                <w:szCs w:val="20"/>
              </w:rPr>
              <w:t>/QALY</w:t>
            </w:r>
            <w:r w:rsidR="006A2746">
              <w:rPr>
                <w:szCs w:val="20"/>
              </w:rPr>
              <w:t xml:space="preserve"> in CF patients over 2 years of age</w:t>
            </w:r>
            <w:r w:rsidRPr="00D62DB0">
              <w:rPr>
                <w:szCs w:val="20"/>
              </w:rPr>
              <w:t xml:space="preserve"> (from $</w:t>
            </w:r>
            <w:r w:rsidR="00364ABB">
              <w:rPr>
                <w:noProof/>
                <w:color w:val="000000"/>
                <w:szCs w:val="20"/>
                <w:highlight w:val="black"/>
              </w:rPr>
              <w:t>''''''''''''''''''''</w:t>
            </w:r>
            <w:r w:rsidR="00942550" w:rsidRPr="00942550">
              <w:rPr>
                <w:szCs w:val="20"/>
                <w:vertAlign w:val="superscript"/>
              </w:rPr>
              <w:t>2</w:t>
            </w:r>
            <w:r w:rsidRPr="00D62DB0">
              <w:rPr>
                <w:szCs w:val="20"/>
              </w:rPr>
              <w:t>/QALY)</w:t>
            </w:r>
          </w:p>
        </w:tc>
      </w:tr>
      <w:tr w:rsidR="00277645" w:rsidRPr="007D4BC5" w:rsidTr="00BA7EE9">
        <w:tc>
          <w:tcPr>
            <w:tcW w:w="4508" w:type="dxa"/>
          </w:tcPr>
          <w:p w:rsidR="00D62DB0" w:rsidRPr="00D62DB0" w:rsidRDefault="00D62DB0" w:rsidP="00D62DB0">
            <w:pPr>
              <w:jc w:val="left"/>
              <w:rPr>
                <w:rFonts w:ascii="Arial Narrow" w:hAnsi="Arial Narrow" w:cs="Calibri"/>
                <w:sz w:val="20"/>
                <w:szCs w:val="20"/>
              </w:rPr>
            </w:pPr>
            <w:r w:rsidRPr="00D62DB0">
              <w:rPr>
                <w:rFonts w:ascii="Arial Narrow" w:hAnsi="Arial Narrow"/>
                <w:sz w:val="20"/>
                <w:szCs w:val="20"/>
              </w:rPr>
              <w:t>Clause 3.4.2.c</w:t>
            </w:r>
          </w:p>
          <w:p w:rsidR="00277645" w:rsidRPr="00D62DB0" w:rsidRDefault="00D62DB0" w:rsidP="00D62DB0">
            <w:pPr>
              <w:pStyle w:val="TableText0"/>
              <w:keepNext w:val="0"/>
              <w:widowControl w:val="0"/>
              <w:rPr>
                <w:szCs w:val="20"/>
              </w:rPr>
            </w:pPr>
            <w:r w:rsidRPr="00D62DB0">
              <w:rPr>
                <w:szCs w:val="20"/>
              </w:rPr>
              <w:t>If the Company’s analysis of the point estimate value for rate of decline in lung function shows that the assumptions about the rate of decline in lung function in the Company’s economic model for Lumacaftor with Ivacaftor 6+ are exceeded during treatment, the degree to which those assumptions are exceeded</w:t>
            </w:r>
          </w:p>
        </w:tc>
        <w:tc>
          <w:tcPr>
            <w:tcW w:w="4509" w:type="dxa"/>
          </w:tcPr>
          <w:p w:rsidR="00277645" w:rsidRPr="007D4BC5" w:rsidRDefault="00D62DB0" w:rsidP="00D62DB0">
            <w:pPr>
              <w:pStyle w:val="TableText0"/>
              <w:keepNext w:val="0"/>
              <w:widowControl w:val="0"/>
            </w:pPr>
            <w:r>
              <w:t>As above.</w:t>
            </w:r>
            <w:r w:rsidR="000A4FBA">
              <w:t xml:space="preserve"> </w:t>
            </w:r>
          </w:p>
        </w:tc>
      </w:tr>
      <w:tr w:rsidR="007E520C" w:rsidRPr="007D4BC5" w:rsidTr="00BA7EE9">
        <w:tc>
          <w:tcPr>
            <w:tcW w:w="4508" w:type="dxa"/>
          </w:tcPr>
          <w:p w:rsidR="007E520C" w:rsidRPr="007D4BC5" w:rsidRDefault="005125F0" w:rsidP="00D62DB0">
            <w:pPr>
              <w:pStyle w:val="TableText0"/>
              <w:keepNext w:val="0"/>
              <w:widowControl w:val="0"/>
            </w:pPr>
            <w:proofErr w:type="spellStart"/>
            <w:r>
              <w:t>Att</w:t>
            </w:r>
            <w:proofErr w:type="spellEnd"/>
            <w:r>
              <w:t xml:space="preserve"> B, </w:t>
            </w:r>
            <w:r w:rsidR="007E520C" w:rsidRPr="007D4BC5">
              <w:t xml:space="preserve">Clause B.1. Study VX15-809-110 </w:t>
            </w:r>
          </w:p>
          <w:p w:rsidR="007E520C" w:rsidRPr="007D4BC5" w:rsidRDefault="007E520C" w:rsidP="00D62DB0">
            <w:pPr>
              <w:pStyle w:val="TableText0"/>
              <w:keepNext w:val="0"/>
              <w:widowControl w:val="0"/>
            </w:pPr>
          </w:p>
          <w:p w:rsidR="007E520C" w:rsidRPr="007D4BC5" w:rsidRDefault="005125F0" w:rsidP="00D62DB0">
            <w:pPr>
              <w:pStyle w:val="TableText0"/>
              <w:keepNext w:val="0"/>
              <w:widowControl w:val="0"/>
            </w:pPr>
            <w:proofErr w:type="spellStart"/>
            <w:r>
              <w:t>Att</w:t>
            </w:r>
            <w:proofErr w:type="spellEnd"/>
            <w:r>
              <w:t xml:space="preserve"> B, </w:t>
            </w:r>
            <w:r w:rsidR="007E520C" w:rsidRPr="007D4BC5">
              <w:t>Clause B.1.1.</w:t>
            </w:r>
          </w:p>
          <w:p w:rsidR="007E520C" w:rsidRPr="007D4BC5" w:rsidRDefault="007E520C" w:rsidP="00D62DB0">
            <w:pPr>
              <w:pStyle w:val="In-tableHeading"/>
              <w:keepNext w:val="0"/>
              <w:rPr>
                <w:rFonts w:cstheme="majorBidi"/>
                <w:b w:val="0"/>
                <w:bCs/>
                <w:lang w:val="en-AU"/>
              </w:rPr>
            </w:pPr>
            <w:r w:rsidRPr="007D4BC5">
              <w:rPr>
                <w:rFonts w:cstheme="majorBidi"/>
                <w:b w:val="0"/>
                <w:bCs/>
                <w:lang w:val="en-AU"/>
              </w:rPr>
              <w:t xml:space="preserve">The Company must finalise and submit to the Commonwealth and the PBAC the full clinical study reports for the interim and final analyses of VX15-809-110 </w:t>
            </w:r>
          </w:p>
        </w:tc>
        <w:tc>
          <w:tcPr>
            <w:tcW w:w="4509" w:type="dxa"/>
          </w:tcPr>
          <w:p w:rsidR="007E520C" w:rsidRPr="000C6678" w:rsidRDefault="007E520C" w:rsidP="00D62DB0">
            <w:pPr>
              <w:pStyle w:val="TableText0"/>
              <w:keepNext w:val="0"/>
              <w:widowControl w:val="0"/>
            </w:pPr>
            <w:r w:rsidRPr="007D4BC5">
              <w:t>The submission provided the</w:t>
            </w:r>
            <w:r w:rsidR="005B0704">
              <w:t xml:space="preserve"> final</w:t>
            </w:r>
            <w:r w:rsidRPr="007D4BC5">
              <w:t xml:space="preserve"> Clinical Study Report for Study VX15-809-110 dated 24</w:t>
            </w:r>
            <w:r>
              <w:t xml:space="preserve"> </w:t>
            </w:r>
            <w:r w:rsidRPr="007D4BC5">
              <w:t>August 2020.</w:t>
            </w:r>
            <w:r w:rsidR="000A4FBA">
              <w:t xml:space="preserve"> </w:t>
            </w:r>
          </w:p>
        </w:tc>
      </w:tr>
      <w:tr w:rsidR="007E520C" w:rsidRPr="007D4BC5" w:rsidTr="00BA7EE9">
        <w:tc>
          <w:tcPr>
            <w:tcW w:w="4508" w:type="dxa"/>
          </w:tcPr>
          <w:p w:rsidR="007E520C" w:rsidRPr="007D4BC5" w:rsidRDefault="005125F0" w:rsidP="00D62DB0">
            <w:pPr>
              <w:pStyle w:val="TableText0"/>
              <w:keepNext w:val="0"/>
              <w:widowControl w:val="0"/>
            </w:pPr>
            <w:proofErr w:type="spellStart"/>
            <w:r>
              <w:t>Att</w:t>
            </w:r>
            <w:proofErr w:type="spellEnd"/>
            <w:r>
              <w:t xml:space="preserve"> B, </w:t>
            </w:r>
            <w:r w:rsidR="007E520C" w:rsidRPr="007D4BC5">
              <w:t xml:space="preserve">Clause B.2. Data Collection </w:t>
            </w:r>
          </w:p>
          <w:p w:rsidR="007E520C" w:rsidRPr="007D4BC5" w:rsidRDefault="007E520C" w:rsidP="00D62DB0">
            <w:pPr>
              <w:pStyle w:val="TableText0"/>
              <w:keepNext w:val="0"/>
              <w:widowControl w:val="0"/>
            </w:pPr>
          </w:p>
          <w:p w:rsidR="007E520C" w:rsidRPr="007D4BC5" w:rsidRDefault="005125F0" w:rsidP="00D62DB0">
            <w:pPr>
              <w:pStyle w:val="TableText0"/>
              <w:keepNext w:val="0"/>
              <w:widowControl w:val="0"/>
            </w:pPr>
            <w:proofErr w:type="spellStart"/>
            <w:r>
              <w:t>Att</w:t>
            </w:r>
            <w:proofErr w:type="spellEnd"/>
            <w:r>
              <w:t xml:space="preserve"> B, </w:t>
            </w:r>
            <w:r w:rsidR="007E520C" w:rsidRPr="007D4BC5">
              <w:t xml:space="preserve">Clause B.2.1. </w:t>
            </w:r>
          </w:p>
          <w:p w:rsidR="007E520C" w:rsidRPr="007D4BC5" w:rsidRDefault="007E520C" w:rsidP="00D62DB0">
            <w:pPr>
              <w:pStyle w:val="TableText0"/>
              <w:keepNext w:val="0"/>
              <w:widowControl w:val="0"/>
            </w:pPr>
            <w:r w:rsidRPr="007D4BC5">
              <w:t xml:space="preserve">The company must prepare and submit the Data Collection Report to the PBAC in accordance with Clause 3.4.2 that at a minimum shows: </w:t>
            </w:r>
          </w:p>
          <w:p w:rsidR="007E520C" w:rsidRPr="007D4BC5" w:rsidRDefault="007E520C" w:rsidP="00D62DB0">
            <w:pPr>
              <w:pStyle w:val="TableText0"/>
              <w:keepNext w:val="0"/>
              <w:widowControl w:val="0"/>
            </w:pPr>
          </w:p>
          <w:p w:rsidR="007E520C" w:rsidRPr="007D4BC5" w:rsidRDefault="007E520C" w:rsidP="00AB5C73">
            <w:pPr>
              <w:pStyle w:val="TableText0"/>
              <w:keepNext w:val="0"/>
              <w:widowControl w:val="0"/>
              <w:numPr>
                <w:ilvl w:val="0"/>
                <w:numId w:val="7"/>
              </w:numPr>
              <w:ind w:left="170" w:hanging="267"/>
            </w:pPr>
            <w:r w:rsidRPr="007D4BC5">
              <w:t>The differences in the rates of decline in lung function (ppFEV</w:t>
            </w:r>
            <w:r w:rsidRPr="00783373">
              <w:rPr>
                <w:vertAlign w:val="subscript"/>
              </w:rPr>
              <w:t>1</w:t>
            </w:r>
            <w:r w:rsidRPr="007D4BC5">
              <w:t xml:space="preserve">) and pulmonary exacerbations (proxy </w:t>
            </w:r>
            <w:r w:rsidR="003D5161" w:rsidRPr="007D4BC5">
              <w:t>for the use of</w:t>
            </w:r>
            <w:r w:rsidR="003D5161">
              <w:t xml:space="preserve"> </w:t>
            </w:r>
            <w:r w:rsidRPr="007D4BC5">
              <w:t>the use of pulmonary exacerbations may be the use of IV antibiotics) observed over the 96 week trial period which support the PBAC Recommendation for lumacaftor/ivacaftor 6+ are s</w:t>
            </w:r>
            <w:r w:rsidRPr="00BE300C">
              <w:t>ustained over a longer time period of up to 4 years; or</w:t>
            </w:r>
          </w:p>
          <w:p w:rsidR="007E520C" w:rsidRPr="007D4BC5" w:rsidRDefault="007E520C" w:rsidP="00AB5C73">
            <w:pPr>
              <w:pStyle w:val="TableText0"/>
              <w:keepNext w:val="0"/>
              <w:widowControl w:val="0"/>
              <w:numPr>
                <w:ilvl w:val="0"/>
                <w:numId w:val="7"/>
              </w:numPr>
              <w:ind w:left="170" w:hanging="267"/>
            </w:pPr>
            <w:r w:rsidRPr="007D4BC5">
              <w:t>The differences in the rates of decline in lung function (ppFEV</w:t>
            </w:r>
            <w:r w:rsidRPr="00783373">
              <w:rPr>
                <w:vertAlign w:val="subscript"/>
              </w:rPr>
              <w:t>1</w:t>
            </w:r>
            <w:r w:rsidRPr="007D4BC5">
              <w:t>) and pulmonary exacerbations (proxy for the use of pulmonary exacerbations may be the use of IV antibiotics) observed over a period of up to 4 years were between those submitted to the PBAC to support the initial recommendation and those of a matched cohort of untreated patients.</w:t>
            </w:r>
            <w:r w:rsidR="000A4FBA">
              <w:t xml:space="preserve"> </w:t>
            </w:r>
          </w:p>
          <w:p w:rsidR="007E520C" w:rsidRPr="007D4BC5" w:rsidRDefault="002A0DEB" w:rsidP="00AB5C73">
            <w:pPr>
              <w:pStyle w:val="TableText0"/>
              <w:keepNext w:val="0"/>
              <w:widowControl w:val="0"/>
              <w:numPr>
                <w:ilvl w:val="0"/>
                <w:numId w:val="7"/>
              </w:numPr>
              <w:ind w:left="170" w:hanging="267"/>
            </w:pPr>
            <w:r>
              <w:t>A</w:t>
            </w:r>
            <w:r w:rsidR="007E520C" w:rsidRPr="007D4BC5">
              <w:t>ny other information the Company considers relevant.</w:t>
            </w:r>
          </w:p>
        </w:tc>
        <w:tc>
          <w:tcPr>
            <w:tcW w:w="4509" w:type="dxa"/>
          </w:tcPr>
          <w:p w:rsidR="007E520C" w:rsidRDefault="005B0704" w:rsidP="00D62DB0">
            <w:pPr>
              <w:pStyle w:val="TableText0"/>
              <w:keepNext w:val="0"/>
              <w:widowControl w:val="0"/>
            </w:pPr>
            <w:r>
              <w:t>The submi</w:t>
            </w:r>
            <w:r w:rsidR="009B2614">
              <w:t>ssion provided data from 11 stud</w:t>
            </w:r>
            <w:r>
              <w:t xml:space="preserve">ies that </w:t>
            </w:r>
            <w:r w:rsidR="007E520C" w:rsidRPr="007D4BC5">
              <w:t>report</w:t>
            </w:r>
            <w:r>
              <w:t xml:space="preserve">ed </w:t>
            </w:r>
            <w:r w:rsidR="007E520C" w:rsidRPr="007D4BC5">
              <w:t>a rate of decline (ROD) in ppFEV</w:t>
            </w:r>
            <w:r w:rsidR="007E520C" w:rsidRPr="00783373">
              <w:rPr>
                <w:vertAlign w:val="subscript"/>
              </w:rPr>
              <w:t>1</w:t>
            </w:r>
            <w:r w:rsidR="007E520C" w:rsidRPr="007D4BC5">
              <w:t xml:space="preserve">, where a relative ROD </w:t>
            </w:r>
            <w:r w:rsidR="00783373">
              <w:t>(</w:t>
            </w:r>
            <w:proofErr w:type="spellStart"/>
            <w:r w:rsidR="00783373">
              <w:t>rROD</w:t>
            </w:r>
            <w:proofErr w:type="spellEnd"/>
            <w:r w:rsidR="00783373">
              <w:t xml:space="preserve">) </w:t>
            </w:r>
            <w:r w:rsidR="007E520C" w:rsidRPr="007D4BC5">
              <w:t xml:space="preserve">with best supportive care (BSC) could be calculated. </w:t>
            </w:r>
          </w:p>
          <w:p w:rsidR="00064300" w:rsidRDefault="00064300" w:rsidP="00D62DB0">
            <w:pPr>
              <w:pStyle w:val="TableText0"/>
              <w:keepNext w:val="0"/>
              <w:widowControl w:val="0"/>
            </w:pPr>
          </w:p>
          <w:p w:rsidR="00064300" w:rsidRPr="007D4BC5" w:rsidRDefault="00064300" w:rsidP="00D62DB0">
            <w:pPr>
              <w:pStyle w:val="TableText0"/>
              <w:keepNext w:val="0"/>
              <w:widowControl w:val="0"/>
            </w:pPr>
          </w:p>
          <w:p w:rsidR="007E520C" w:rsidRPr="007D4BC5" w:rsidRDefault="007E520C" w:rsidP="00D62DB0">
            <w:pPr>
              <w:pStyle w:val="TableText0"/>
              <w:keepNext w:val="0"/>
              <w:widowControl w:val="0"/>
            </w:pPr>
          </w:p>
          <w:p w:rsidR="007E0345" w:rsidRPr="007D4BC5" w:rsidRDefault="009B2614" w:rsidP="00D62DB0">
            <w:pPr>
              <w:pStyle w:val="TableText0"/>
              <w:keepNext w:val="0"/>
              <w:widowControl w:val="0"/>
            </w:pPr>
            <w:r>
              <w:t xml:space="preserve"> </w:t>
            </w:r>
          </w:p>
        </w:tc>
      </w:tr>
      <w:tr w:rsidR="007E520C" w:rsidRPr="007D4BC5" w:rsidTr="00BA7EE9">
        <w:tc>
          <w:tcPr>
            <w:tcW w:w="4508" w:type="dxa"/>
          </w:tcPr>
          <w:p w:rsidR="007E520C" w:rsidRPr="007D4BC5" w:rsidRDefault="005125F0" w:rsidP="00D62DB0">
            <w:pPr>
              <w:pStyle w:val="In-tableHeading"/>
              <w:keepNext w:val="0"/>
              <w:rPr>
                <w:rFonts w:cstheme="majorBidi"/>
                <w:b w:val="0"/>
                <w:bCs/>
                <w:lang w:val="en-AU"/>
              </w:rPr>
            </w:pPr>
            <w:proofErr w:type="spellStart"/>
            <w:r>
              <w:rPr>
                <w:rFonts w:cstheme="majorBidi"/>
                <w:b w:val="0"/>
                <w:bCs/>
                <w:lang w:val="en-AU"/>
              </w:rPr>
              <w:t>Att</w:t>
            </w:r>
            <w:proofErr w:type="spellEnd"/>
            <w:r>
              <w:rPr>
                <w:rFonts w:cstheme="majorBidi"/>
                <w:b w:val="0"/>
                <w:bCs/>
                <w:lang w:val="en-AU"/>
              </w:rPr>
              <w:t xml:space="preserve"> B, </w:t>
            </w:r>
            <w:r w:rsidR="007E520C" w:rsidRPr="007D4BC5">
              <w:rPr>
                <w:rFonts w:cstheme="majorBidi"/>
                <w:b w:val="0"/>
                <w:bCs/>
                <w:lang w:val="en-AU"/>
              </w:rPr>
              <w:t xml:space="preserve">Clause B.2.2. </w:t>
            </w:r>
          </w:p>
          <w:p w:rsidR="007E520C" w:rsidRPr="007D4BC5" w:rsidRDefault="007E520C" w:rsidP="00D62DB0">
            <w:pPr>
              <w:pStyle w:val="In-tableHeading"/>
              <w:keepNext w:val="0"/>
              <w:rPr>
                <w:rFonts w:cstheme="majorBidi"/>
                <w:b w:val="0"/>
                <w:bCs/>
                <w:lang w:val="en-AU"/>
              </w:rPr>
            </w:pPr>
            <w:r w:rsidRPr="007D4BC5">
              <w:rPr>
                <w:rFonts w:cstheme="majorBidi"/>
                <w:b w:val="0"/>
                <w:bCs/>
                <w:lang w:val="en-AU"/>
              </w:rPr>
              <w:t xml:space="preserve">The Data Collection Report must also include the interim report prepared by the Company of the ongoing post market observations study of the long-term efficacy and </w:t>
            </w:r>
            <w:r w:rsidRPr="007D4BC5">
              <w:rPr>
                <w:rFonts w:cstheme="majorBidi"/>
                <w:b w:val="0"/>
                <w:bCs/>
                <w:lang w:val="en-AU"/>
              </w:rPr>
              <w:lastRenderedPageBreak/>
              <w:t>safety of lumacaftor with ivacaftor 6+ when initiated in patients aged from 6 to 11 years of age, which the Company is required to conduct as a condition of the TGA approval (The Interim Report).</w:t>
            </w:r>
          </w:p>
        </w:tc>
        <w:tc>
          <w:tcPr>
            <w:tcW w:w="4509" w:type="dxa"/>
          </w:tcPr>
          <w:p w:rsidR="00CF2B1E" w:rsidRPr="00CF2B1E" w:rsidRDefault="007E520C" w:rsidP="00D62DB0">
            <w:pPr>
              <w:pStyle w:val="In-tableHeading"/>
              <w:keepNext w:val="0"/>
              <w:rPr>
                <w:rFonts w:cstheme="majorBidi"/>
                <w:b w:val="0"/>
                <w:bCs/>
                <w:i/>
                <w:iCs/>
                <w:lang w:val="en-AU"/>
              </w:rPr>
            </w:pPr>
            <w:r w:rsidRPr="007D4BC5">
              <w:rPr>
                <w:rFonts w:cstheme="majorBidi"/>
                <w:b w:val="0"/>
                <w:bCs/>
                <w:lang w:val="en-AU"/>
              </w:rPr>
              <w:lastRenderedPageBreak/>
              <w:t>An interim report of Study 129</w:t>
            </w:r>
            <w:r w:rsidR="00C330F3">
              <w:rPr>
                <w:rFonts w:cstheme="majorBidi"/>
                <w:b w:val="0"/>
                <w:bCs/>
                <w:lang w:val="en-AU"/>
              </w:rPr>
              <w:t xml:space="preserve"> (VX18-809-129)</w:t>
            </w:r>
            <w:r w:rsidRPr="007D4BC5">
              <w:rPr>
                <w:rFonts w:cstheme="majorBidi"/>
                <w:b w:val="0"/>
                <w:bCs/>
                <w:lang w:val="en-AU"/>
              </w:rPr>
              <w:t xml:space="preserve"> was</w:t>
            </w:r>
            <w:r w:rsidR="00C330F3">
              <w:rPr>
                <w:rFonts w:cstheme="majorBidi"/>
                <w:b w:val="0"/>
                <w:bCs/>
                <w:lang w:val="en-AU"/>
              </w:rPr>
              <w:t xml:space="preserve"> provided in the submission</w:t>
            </w:r>
            <w:r w:rsidRPr="007D4BC5">
              <w:rPr>
                <w:rFonts w:cstheme="majorBidi"/>
                <w:b w:val="0"/>
                <w:bCs/>
                <w:lang w:val="en-AU"/>
              </w:rPr>
              <w:t xml:space="preserve">. </w:t>
            </w:r>
          </w:p>
        </w:tc>
      </w:tr>
      <w:tr w:rsidR="007E520C" w:rsidRPr="00504E51" w:rsidTr="00BA7EE9">
        <w:tc>
          <w:tcPr>
            <w:tcW w:w="4508" w:type="dxa"/>
          </w:tcPr>
          <w:p w:rsidR="007E520C" w:rsidRPr="00504E51" w:rsidRDefault="005125F0" w:rsidP="00D62DB0">
            <w:pPr>
              <w:pStyle w:val="TableText0"/>
              <w:keepNext w:val="0"/>
              <w:widowControl w:val="0"/>
            </w:pPr>
            <w:proofErr w:type="spellStart"/>
            <w:r>
              <w:t>Att</w:t>
            </w:r>
            <w:proofErr w:type="spellEnd"/>
            <w:r>
              <w:t xml:space="preserve"> B, </w:t>
            </w:r>
            <w:r w:rsidR="007E520C" w:rsidRPr="00504E51">
              <w:t xml:space="preserve">Clause B.2.3. </w:t>
            </w:r>
          </w:p>
          <w:p w:rsidR="007E520C" w:rsidRPr="00504E51" w:rsidRDefault="007E520C" w:rsidP="00D62DB0">
            <w:pPr>
              <w:pStyle w:val="In-tableHeading"/>
              <w:keepNext w:val="0"/>
              <w:rPr>
                <w:rFonts w:cstheme="majorBidi"/>
                <w:b w:val="0"/>
                <w:bCs/>
                <w:lang w:val="en-AU"/>
              </w:rPr>
            </w:pPr>
            <w:r w:rsidRPr="00504E51">
              <w:rPr>
                <w:rFonts w:cstheme="majorBidi"/>
                <w:b w:val="0"/>
                <w:bCs/>
                <w:lang w:val="en-AU"/>
              </w:rPr>
              <w:t>As part of the preparation of the Data Collection Report the Company must work with prescribers to ensure patients are registered in the Australian Cystic Fibrosis Database Registry.</w:t>
            </w:r>
          </w:p>
        </w:tc>
        <w:tc>
          <w:tcPr>
            <w:tcW w:w="4509" w:type="dxa"/>
          </w:tcPr>
          <w:p w:rsidR="007E520C" w:rsidRPr="00985EC7" w:rsidRDefault="00C330F3" w:rsidP="001B15AD">
            <w:pPr>
              <w:pStyle w:val="In-tableHeading"/>
              <w:keepNext w:val="0"/>
              <w:rPr>
                <w:rFonts w:cstheme="majorBidi"/>
                <w:b w:val="0"/>
                <w:bCs/>
                <w:iCs/>
                <w:lang w:val="en-AU"/>
              </w:rPr>
            </w:pPr>
            <w:r w:rsidRPr="00985EC7">
              <w:rPr>
                <w:rFonts w:cstheme="majorBidi"/>
                <w:b w:val="0"/>
                <w:bCs/>
                <w:iCs/>
                <w:lang w:val="en-AU"/>
              </w:rPr>
              <w:t xml:space="preserve">The </w:t>
            </w:r>
            <w:r w:rsidR="007E520C" w:rsidRPr="00985EC7">
              <w:rPr>
                <w:rFonts w:cstheme="majorBidi"/>
                <w:b w:val="0"/>
                <w:bCs/>
                <w:iCs/>
                <w:lang w:val="en-AU"/>
              </w:rPr>
              <w:t xml:space="preserve">submission did not </w:t>
            </w:r>
            <w:r w:rsidRPr="00985EC7">
              <w:rPr>
                <w:rFonts w:cstheme="majorBidi"/>
                <w:b w:val="0"/>
                <w:bCs/>
                <w:iCs/>
                <w:lang w:val="en-AU"/>
              </w:rPr>
              <w:t xml:space="preserve">provide </w:t>
            </w:r>
            <w:r w:rsidR="007E520C" w:rsidRPr="00985EC7">
              <w:rPr>
                <w:rFonts w:cstheme="majorBidi"/>
                <w:b w:val="0"/>
                <w:bCs/>
                <w:iCs/>
                <w:lang w:val="en-AU"/>
              </w:rPr>
              <w:t>evidence to address</w:t>
            </w:r>
            <w:r w:rsidRPr="00985EC7">
              <w:rPr>
                <w:rFonts w:cstheme="majorBidi"/>
                <w:b w:val="0"/>
                <w:bCs/>
                <w:iCs/>
                <w:lang w:val="en-AU"/>
              </w:rPr>
              <w:t xml:space="preserve"> this clause.</w:t>
            </w:r>
            <w:r w:rsidR="001B15AD">
              <w:rPr>
                <w:rFonts w:cstheme="majorBidi"/>
                <w:b w:val="0"/>
                <w:bCs/>
                <w:iCs/>
                <w:lang w:val="en-AU"/>
              </w:rPr>
              <w:t xml:space="preserve"> </w:t>
            </w:r>
            <w:r w:rsidR="001B15AD" w:rsidRPr="00AB1B0D">
              <w:rPr>
                <w:rFonts w:cstheme="majorBidi"/>
                <w:b w:val="0"/>
                <w:bCs/>
                <w:iCs/>
                <w:lang w:val="en-AU"/>
              </w:rPr>
              <w:t>The PSCR stated the Sponsor did not believe it necessary to outline the measures in place to address this requirement within the submission, given that both the PBS restriction and PBS written authority form stipulate that patients must be enrolled in the ACFDR to obtain PBS-subsidised access.</w:t>
            </w:r>
            <w:r w:rsidR="001B15AD" w:rsidRPr="00AB1B0D">
              <w:t xml:space="preserve"> </w:t>
            </w:r>
            <w:r w:rsidR="001B15AD" w:rsidRPr="00AB1B0D">
              <w:rPr>
                <w:rFonts w:cstheme="majorBidi"/>
                <w:b w:val="0"/>
                <w:bCs/>
                <w:iCs/>
                <w:lang w:val="en-AU"/>
              </w:rPr>
              <w:t>The PSCR reported that demographic data are available for 100% of enrolled patients and at least some clinical measures (i.e. ppFEV</w:t>
            </w:r>
            <w:r w:rsidR="001B15AD" w:rsidRPr="00F0072F">
              <w:rPr>
                <w:rFonts w:cstheme="majorBidi"/>
                <w:b w:val="0"/>
                <w:bCs/>
                <w:iCs/>
                <w:vertAlign w:val="subscript"/>
                <w:lang w:val="en-AU"/>
              </w:rPr>
              <w:t>1</w:t>
            </w:r>
            <w:r w:rsidR="001B15AD" w:rsidRPr="00AB1B0D">
              <w:rPr>
                <w:rFonts w:cstheme="majorBidi"/>
                <w:b w:val="0"/>
                <w:bCs/>
                <w:iCs/>
                <w:lang w:val="en-AU"/>
              </w:rPr>
              <w:t xml:space="preserve"> values used in the rate of decline analysis) are available for 96-97% of enrolled patients.</w:t>
            </w:r>
          </w:p>
        </w:tc>
      </w:tr>
    </w:tbl>
    <w:p w:rsidR="007E520C" w:rsidRPr="00504E51" w:rsidRDefault="007E520C" w:rsidP="00D62DB0">
      <w:pPr>
        <w:pStyle w:val="TableFigureFooter"/>
      </w:pPr>
      <w:r w:rsidRPr="00504E51">
        <w:t xml:space="preserve">Source: Table 1.2.1 of the Commentary. </w:t>
      </w:r>
    </w:p>
    <w:p w:rsidR="007E520C" w:rsidRPr="00942550" w:rsidRDefault="007E520C" w:rsidP="00D62DB0">
      <w:pPr>
        <w:pStyle w:val="TableFigureFooter"/>
        <w:rPr>
          <w:bCs/>
          <w:szCs w:val="18"/>
        </w:rPr>
      </w:pPr>
      <w:r w:rsidRPr="00504E51">
        <w:rPr>
          <w:bCs/>
          <w:szCs w:val="18"/>
        </w:rPr>
        <w:t xml:space="preserve">Abbreviations: ACFDR=Australian Cystic Fibrosis Disease Registry; BSC=best supportive care; LUM/IVA=lumacaftor/ivacaftor; PBS=Pharmaceutical Benefits Scheme; </w:t>
      </w:r>
      <w:proofErr w:type="spellStart"/>
      <w:r w:rsidRPr="00504E51">
        <w:rPr>
          <w:bCs/>
          <w:szCs w:val="18"/>
        </w:rPr>
        <w:t>PEx</w:t>
      </w:r>
      <w:proofErr w:type="spellEnd"/>
      <w:r w:rsidRPr="00504E51">
        <w:rPr>
          <w:bCs/>
          <w:szCs w:val="18"/>
        </w:rPr>
        <w:t>=pulmonary exacerbations; ppFEV</w:t>
      </w:r>
      <w:r w:rsidRPr="00942550">
        <w:rPr>
          <w:bCs/>
          <w:szCs w:val="18"/>
        </w:rPr>
        <w:t>1</w:t>
      </w:r>
      <w:r w:rsidRPr="00504E51">
        <w:rPr>
          <w:bCs/>
          <w:szCs w:val="18"/>
        </w:rPr>
        <w:t>=</w:t>
      </w:r>
      <w:r w:rsidRPr="00942550">
        <w:rPr>
          <w:bCs/>
          <w:szCs w:val="18"/>
        </w:rPr>
        <w:t>p</w:t>
      </w:r>
      <w:r w:rsidRPr="00504E51">
        <w:rPr>
          <w:bCs/>
          <w:szCs w:val="18"/>
        </w:rPr>
        <w:t>ercent predicted forced expiratory volume in one second</w:t>
      </w:r>
      <w:r w:rsidR="00A8678B">
        <w:rPr>
          <w:bCs/>
          <w:szCs w:val="18"/>
        </w:rPr>
        <w:t xml:space="preserve">; </w:t>
      </w:r>
      <w:proofErr w:type="spellStart"/>
      <w:r w:rsidR="00A8678B" w:rsidRPr="00942550">
        <w:rPr>
          <w:bCs/>
          <w:szCs w:val="18"/>
        </w:rPr>
        <w:t>rROD</w:t>
      </w:r>
      <w:proofErr w:type="spellEnd"/>
      <w:r w:rsidR="00A8678B" w:rsidRPr="00942550">
        <w:rPr>
          <w:bCs/>
          <w:szCs w:val="18"/>
        </w:rPr>
        <w:t xml:space="preserve"> = relative rate of decline;</w:t>
      </w:r>
      <w:r w:rsidRPr="00504E51">
        <w:rPr>
          <w:bCs/>
          <w:szCs w:val="18"/>
        </w:rPr>
        <w:t xml:space="preserve"> </w:t>
      </w:r>
      <w:proofErr w:type="spellStart"/>
      <w:proofErr w:type="gramStart"/>
      <w:r w:rsidRPr="00504E51">
        <w:rPr>
          <w:bCs/>
          <w:szCs w:val="18"/>
        </w:rPr>
        <w:t>sd</w:t>
      </w:r>
      <w:proofErr w:type="spellEnd"/>
      <w:r w:rsidRPr="00504E51">
        <w:rPr>
          <w:bCs/>
          <w:szCs w:val="18"/>
        </w:rPr>
        <w:t>=</w:t>
      </w:r>
      <w:proofErr w:type="gramEnd"/>
      <w:r w:rsidRPr="00504E51">
        <w:rPr>
          <w:bCs/>
          <w:szCs w:val="18"/>
        </w:rPr>
        <w:t>standard deviation; TGA=</w:t>
      </w:r>
      <w:r w:rsidRPr="00942550">
        <w:rPr>
          <w:bCs/>
          <w:szCs w:val="18"/>
        </w:rPr>
        <w:t>Therapeutic Goods Administration</w:t>
      </w:r>
    </w:p>
    <w:p w:rsidR="00942550" w:rsidRPr="00942550" w:rsidRDefault="00942550" w:rsidP="00942550">
      <w:pPr>
        <w:pStyle w:val="TableFigureFooter"/>
        <w:jc w:val="left"/>
        <w:rPr>
          <w:bCs/>
          <w:i/>
          <w:szCs w:val="18"/>
        </w:rPr>
      </w:pPr>
      <w:r w:rsidRPr="00942550">
        <w:rPr>
          <w:bCs/>
          <w:i/>
          <w:szCs w:val="18"/>
        </w:rPr>
        <w:t>The redact</w:t>
      </w:r>
      <w:r w:rsidR="002D3216">
        <w:rPr>
          <w:bCs/>
          <w:i/>
          <w:szCs w:val="18"/>
        </w:rPr>
        <w:t>ed</w:t>
      </w:r>
      <w:r w:rsidRPr="00942550">
        <w:rPr>
          <w:bCs/>
          <w:i/>
          <w:szCs w:val="18"/>
        </w:rPr>
        <w:t xml:space="preserve"> values correspond to the following ranges:</w:t>
      </w:r>
    </w:p>
    <w:p w:rsidR="00942550" w:rsidRPr="00942550" w:rsidRDefault="00942550" w:rsidP="00942550">
      <w:pPr>
        <w:pStyle w:val="TableFigureFooter"/>
        <w:jc w:val="left"/>
        <w:rPr>
          <w:bCs/>
          <w:i/>
          <w:szCs w:val="18"/>
        </w:rPr>
      </w:pPr>
      <w:r w:rsidRPr="00942550">
        <w:rPr>
          <w:bCs/>
          <w:i/>
          <w:szCs w:val="18"/>
          <w:vertAlign w:val="superscript"/>
        </w:rPr>
        <w:t>1</w:t>
      </w:r>
      <w:r w:rsidRPr="00942550">
        <w:rPr>
          <w:bCs/>
          <w:i/>
          <w:szCs w:val="18"/>
        </w:rPr>
        <w:t xml:space="preserve"> $115,000 to &lt; $135,000/QALY gained</w:t>
      </w:r>
    </w:p>
    <w:p w:rsidR="00942550" w:rsidRDefault="00942550" w:rsidP="00942550">
      <w:pPr>
        <w:pStyle w:val="TableFigureFooter"/>
        <w:jc w:val="left"/>
        <w:rPr>
          <w:szCs w:val="18"/>
        </w:rPr>
      </w:pPr>
      <w:r w:rsidRPr="00942550">
        <w:rPr>
          <w:bCs/>
          <w:i/>
          <w:szCs w:val="18"/>
          <w:vertAlign w:val="superscript"/>
        </w:rPr>
        <w:t>2</w:t>
      </w:r>
      <w:r w:rsidRPr="00942550">
        <w:rPr>
          <w:bCs/>
          <w:i/>
          <w:szCs w:val="18"/>
        </w:rPr>
        <w:t xml:space="preserve"> $155,000 to &lt; $255,000/QALY gained</w:t>
      </w:r>
      <w:r>
        <w:rPr>
          <w:szCs w:val="18"/>
        </w:rPr>
        <w:br/>
      </w:r>
    </w:p>
    <w:p w:rsidR="000F563A" w:rsidRDefault="000F563A" w:rsidP="007E520C">
      <w:pPr>
        <w:pStyle w:val="TableFigureFooter"/>
      </w:pPr>
    </w:p>
    <w:p w:rsidR="007E520C" w:rsidRDefault="007E520C" w:rsidP="007E520C">
      <w:pPr>
        <w:pStyle w:val="ListParagraph"/>
        <w:numPr>
          <w:ilvl w:val="1"/>
          <w:numId w:val="1"/>
        </w:numPr>
      </w:pPr>
      <w:bookmarkStart w:id="12" w:name="_Toc22897640"/>
      <w:r w:rsidRPr="000921DA">
        <w:t>The Deed stipulate</w:t>
      </w:r>
      <w:r w:rsidR="00C153F7">
        <w:t>d</w:t>
      </w:r>
      <w:r w:rsidRPr="000921DA">
        <w:t xml:space="preserve"> (Clause 3.4.3) that if the ppFEV</w:t>
      </w:r>
      <w:r w:rsidRPr="00CF2B1E">
        <w:rPr>
          <w:vertAlign w:val="subscript"/>
        </w:rPr>
        <w:t>1</w:t>
      </w:r>
      <w:r w:rsidRPr="000921DA">
        <w:t xml:space="preserve"> </w:t>
      </w:r>
      <w:proofErr w:type="spellStart"/>
      <w:r w:rsidRPr="000921DA">
        <w:t>rROD</w:t>
      </w:r>
      <w:proofErr w:type="spellEnd"/>
      <w:r w:rsidRPr="000921DA">
        <w:t xml:space="preserve"> is at or above 42%, the Subsidisation Caps for Years 3, 4 and 5 defined as Option 1 in Clause 3.1.3 will apply (Clause 3.4.3a). However, if the ppFEV</w:t>
      </w:r>
      <w:r w:rsidRPr="00CF2B1E">
        <w:rPr>
          <w:vertAlign w:val="subscript"/>
        </w:rPr>
        <w:t>1</w:t>
      </w:r>
      <w:r w:rsidRPr="000921DA">
        <w:t xml:space="preserve"> </w:t>
      </w:r>
      <w:proofErr w:type="spellStart"/>
      <w:r w:rsidRPr="000921DA">
        <w:t>rROD</w:t>
      </w:r>
      <w:proofErr w:type="spellEnd"/>
      <w:r w:rsidRPr="000921DA">
        <w:t xml:space="preserve"> is less than 42%, then the Subsidisation Caps for Years 3, 4, and 5 will be calculated using the following formula (Clause 3.4.3b):</w:t>
      </w:r>
    </w:p>
    <w:tbl>
      <w:tblPr>
        <w:tblStyle w:val="TableGrid"/>
        <w:tblW w:w="5000" w:type="pct"/>
        <w:tblLook w:val="04A0" w:firstRow="1" w:lastRow="0" w:firstColumn="1" w:lastColumn="0" w:noHBand="0" w:noVBand="1"/>
      </w:tblPr>
      <w:tblGrid>
        <w:gridCol w:w="4508"/>
        <w:gridCol w:w="4509"/>
      </w:tblGrid>
      <w:tr w:rsidR="007E520C" w:rsidTr="007B10A0">
        <w:trPr>
          <w:tblHeader/>
        </w:trPr>
        <w:tc>
          <w:tcPr>
            <w:tcW w:w="5000" w:type="pct"/>
            <w:gridSpan w:val="2"/>
            <w:tcBorders>
              <w:bottom w:val="single" w:sz="4" w:space="0" w:color="auto"/>
            </w:tcBorders>
          </w:tcPr>
          <w:p w:rsidR="007E520C" w:rsidRPr="007A7E9A" w:rsidRDefault="007E520C" w:rsidP="00BA7EE9">
            <w:pPr>
              <w:pStyle w:val="ListBullet"/>
              <w:numPr>
                <w:ilvl w:val="0"/>
                <w:numId w:val="0"/>
              </w:numPr>
              <w:ind w:left="360"/>
              <w:rPr>
                <w:rFonts w:ascii="Arial Narrow" w:hAnsi="Arial Narrow"/>
                <w:sz w:val="20"/>
              </w:rPr>
            </w:pPr>
            <w:r w:rsidRPr="007A7E9A">
              <w:rPr>
                <w:rFonts w:ascii="Arial Narrow" w:hAnsi="Arial Narrow"/>
                <w:sz w:val="20"/>
              </w:rPr>
              <w:t>Subsidisation Cap = [(SSC – MSC) x ROD / 42%] + MSC</w:t>
            </w:r>
          </w:p>
          <w:p w:rsidR="007E520C" w:rsidRPr="007A7E9A" w:rsidRDefault="007E520C" w:rsidP="00BA7EE9">
            <w:pPr>
              <w:pStyle w:val="ListBullet"/>
              <w:numPr>
                <w:ilvl w:val="0"/>
                <w:numId w:val="0"/>
              </w:numPr>
              <w:ind w:left="360"/>
              <w:rPr>
                <w:rFonts w:ascii="Arial Narrow" w:hAnsi="Arial Narrow"/>
                <w:sz w:val="20"/>
              </w:rPr>
            </w:pPr>
          </w:p>
          <w:p w:rsidR="007E520C" w:rsidRPr="007A7E9A" w:rsidRDefault="007E520C" w:rsidP="00BA7EE9">
            <w:pPr>
              <w:pStyle w:val="ListBullet"/>
              <w:numPr>
                <w:ilvl w:val="0"/>
                <w:numId w:val="0"/>
              </w:numPr>
              <w:ind w:left="360"/>
              <w:rPr>
                <w:rFonts w:ascii="Arial Narrow" w:hAnsi="Arial Narrow"/>
                <w:sz w:val="20"/>
              </w:rPr>
            </w:pPr>
            <w:r w:rsidRPr="007A7E9A">
              <w:rPr>
                <w:rFonts w:ascii="Arial Narrow" w:hAnsi="Arial Narrow"/>
                <w:sz w:val="20"/>
              </w:rPr>
              <w:t>Where:</w:t>
            </w:r>
          </w:p>
          <w:p w:rsidR="007E520C" w:rsidRPr="007A7E9A"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SSC: Subsidisation Cap annotated ‘Option 1’ for relevant year (clause 3.1.3)</w:t>
            </w:r>
          </w:p>
          <w:p w:rsidR="007E520C" w:rsidRPr="007A7E9A"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MSC: Minimum Subsidisation Cap annotated under ‘Option 2’ for the relevant year (clause 3.1.3)</w:t>
            </w:r>
          </w:p>
          <w:p w:rsidR="007E520C" w:rsidRPr="007A7E9A"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ROD: point estimate for rate of decline (clause 3.4.2.c)</w:t>
            </w:r>
          </w:p>
        </w:tc>
      </w:tr>
      <w:tr w:rsidR="007E520C" w:rsidTr="001C2025">
        <w:tc>
          <w:tcPr>
            <w:tcW w:w="2500" w:type="pct"/>
            <w:tcBorders>
              <w:bottom w:val="nil"/>
            </w:tcBorders>
          </w:tcPr>
          <w:p w:rsidR="007E520C" w:rsidRPr="007A7E9A" w:rsidRDefault="007E520C" w:rsidP="00BA7EE9">
            <w:pPr>
              <w:pStyle w:val="ListBullet"/>
              <w:numPr>
                <w:ilvl w:val="0"/>
                <w:numId w:val="0"/>
              </w:numPr>
              <w:ind w:left="360"/>
              <w:rPr>
                <w:rFonts w:ascii="Arial Narrow" w:hAnsi="Arial Narrow"/>
                <w:sz w:val="20"/>
              </w:rPr>
            </w:pPr>
            <w:r w:rsidRPr="007A7E9A">
              <w:rPr>
                <w:rFonts w:ascii="Arial Narrow" w:hAnsi="Arial Narrow"/>
                <w:i/>
                <w:iCs/>
                <w:sz w:val="20"/>
              </w:rPr>
              <w:t xml:space="preserve">Option 1: </w:t>
            </w:r>
          </w:p>
        </w:tc>
        <w:tc>
          <w:tcPr>
            <w:tcW w:w="2500" w:type="pct"/>
            <w:tcBorders>
              <w:bottom w:val="nil"/>
            </w:tcBorders>
          </w:tcPr>
          <w:p w:rsidR="007E520C" w:rsidRPr="007A7E9A" w:rsidRDefault="007E520C" w:rsidP="00BA7EE9">
            <w:pPr>
              <w:pStyle w:val="ListBullet"/>
              <w:numPr>
                <w:ilvl w:val="0"/>
                <w:numId w:val="0"/>
              </w:numPr>
              <w:ind w:left="360"/>
              <w:rPr>
                <w:rFonts w:ascii="Arial Narrow" w:hAnsi="Arial Narrow"/>
                <w:sz w:val="20"/>
              </w:rPr>
            </w:pPr>
            <w:r w:rsidRPr="007A7E9A">
              <w:rPr>
                <w:rFonts w:ascii="Arial Narrow" w:hAnsi="Arial Narrow"/>
                <w:i/>
                <w:iCs/>
                <w:sz w:val="20"/>
              </w:rPr>
              <w:t>Option 2</w:t>
            </w:r>
            <w:r w:rsidR="007A7E9A">
              <w:rPr>
                <w:rFonts w:ascii="Arial Narrow" w:hAnsi="Arial Narrow"/>
                <w:i/>
                <w:iCs/>
                <w:sz w:val="20"/>
              </w:rPr>
              <w:t>:</w:t>
            </w:r>
          </w:p>
        </w:tc>
      </w:tr>
      <w:tr w:rsidR="007E520C" w:rsidTr="001C2025">
        <w:tc>
          <w:tcPr>
            <w:tcW w:w="2500" w:type="pct"/>
            <w:tcBorders>
              <w:top w:val="nil"/>
            </w:tcBorders>
          </w:tcPr>
          <w:p w:rsidR="007E520C" w:rsidRPr="00C41886"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Year 3: $</w:t>
            </w:r>
            <w:r w:rsidR="00364ABB">
              <w:rPr>
                <w:rFonts w:ascii="Arial Narrow" w:hAnsi="Arial Narrow"/>
                <w:noProof/>
                <w:color w:val="000000"/>
                <w:sz w:val="20"/>
                <w:highlight w:val="black"/>
              </w:rPr>
              <w:t>''''''''''''''''''''''''</w:t>
            </w:r>
            <w:r w:rsidR="00C41886">
              <w:rPr>
                <w:rFonts w:ascii="Arial Narrow" w:hAnsi="Arial Narrow"/>
                <w:sz w:val="20"/>
                <w:vertAlign w:val="superscript"/>
              </w:rPr>
              <w:t>1</w:t>
            </w:r>
          </w:p>
          <w:p w:rsidR="007E520C" w:rsidRPr="00C41886" w:rsidRDefault="007E520C" w:rsidP="00BA7EE9">
            <w:pPr>
              <w:pStyle w:val="ListBullet"/>
              <w:numPr>
                <w:ilvl w:val="0"/>
                <w:numId w:val="0"/>
              </w:numPr>
              <w:ind w:left="809"/>
              <w:rPr>
                <w:rFonts w:ascii="Arial Narrow" w:hAnsi="Arial Narrow"/>
                <w:sz w:val="20"/>
                <w:vertAlign w:val="superscript"/>
              </w:rPr>
            </w:pPr>
            <w:r w:rsidRPr="007A7E9A">
              <w:rPr>
                <w:rFonts w:ascii="Arial Narrow" w:hAnsi="Arial Narrow"/>
                <w:sz w:val="20"/>
              </w:rPr>
              <w:t>Year 4: $</w:t>
            </w:r>
            <w:r w:rsidR="00364ABB">
              <w:rPr>
                <w:rFonts w:ascii="Arial Narrow" w:hAnsi="Arial Narrow"/>
                <w:noProof/>
                <w:color w:val="000000"/>
                <w:sz w:val="20"/>
                <w:highlight w:val="black"/>
              </w:rPr>
              <w:t>'''''''''''''''''''''''''</w:t>
            </w:r>
            <w:r w:rsidR="00C41886">
              <w:rPr>
                <w:rFonts w:ascii="Arial Narrow" w:hAnsi="Arial Narrow"/>
                <w:sz w:val="20"/>
                <w:vertAlign w:val="superscript"/>
              </w:rPr>
              <w:t>1</w:t>
            </w:r>
          </w:p>
          <w:p w:rsidR="007E520C" w:rsidRPr="00C41886"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Year 5: $</w:t>
            </w:r>
            <w:r w:rsidR="00364ABB">
              <w:rPr>
                <w:rFonts w:ascii="Arial Narrow" w:hAnsi="Arial Narrow"/>
                <w:noProof/>
                <w:color w:val="000000"/>
                <w:sz w:val="20"/>
                <w:highlight w:val="black"/>
              </w:rPr>
              <w:t>'''''''''''''''''''''''''''''''</w:t>
            </w:r>
            <w:r w:rsidR="00C41886">
              <w:rPr>
                <w:rFonts w:ascii="Arial Narrow" w:hAnsi="Arial Narrow"/>
                <w:sz w:val="20"/>
                <w:vertAlign w:val="superscript"/>
              </w:rPr>
              <w:t>2</w:t>
            </w:r>
          </w:p>
        </w:tc>
        <w:tc>
          <w:tcPr>
            <w:tcW w:w="2500" w:type="pct"/>
            <w:tcBorders>
              <w:top w:val="nil"/>
            </w:tcBorders>
          </w:tcPr>
          <w:p w:rsidR="007E520C" w:rsidRPr="00C41886"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Y</w:t>
            </w:r>
            <w:r w:rsidR="007E119A" w:rsidRPr="007A7E9A">
              <w:rPr>
                <w:rFonts w:ascii="Arial Narrow" w:hAnsi="Arial Narrow"/>
                <w:sz w:val="20"/>
              </w:rPr>
              <w:t xml:space="preserve">ear </w:t>
            </w:r>
            <w:r w:rsidRPr="007A7E9A">
              <w:rPr>
                <w:rFonts w:ascii="Arial Narrow" w:hAnsi="Arial Narrow"/>
                <w:sz w:val="20"/>
              </w:rPr>
              <w:t>3: $</w:t>
            </w:r>
            <w:r w:rsidR="00364ABB">
              <w:rPr>
                <w:rFonts w:ascii="Arial Narrow" w:hAnsi="Arial Narrow"/>
                <w:noProof/>
                <w:color w:val="000000"/>
                <w:sz w:val="20"/>
                <w:highlight w:val="black"/>
              </w:rPr>
              <w:t>''''''''''''''''''''''''''</w:t>
            </w:r>
            <w:r w:rsidR="00C41886">
              <w:rPr>
                <w:rFonts w:ascii="Arial Narrow" w:hAnsi="Arial Narrow"/>
                <w:sz w:val="20"/>
                <w:vertAlign w:val="superscript"/>
              </w:rPr>
              <w:t>3</w:t>
            </w:r>
          </w:p>
          <w:p w:rsidR="007E520C" w:rsidRPr="00C41886"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Y</w:t>
            </w:r>
            <w:r w:rsidR="007E119A" w:rsidRPr="007A7E9A">
              <w:rPr>
                <w:rFonts w:ascii="Arial Narrow" w:hAnsi="Arial Narrow"/>
                <w:sz w:val="20"/>
              </w:rPr>
              <w:t xml:space="preserve">ear </w:t>
            </w:r>
            <w:r w:rsidRPr="007A7E9A">
              <w:rPr>
                <w:rFonts w:ascii="Arial Narrow" w:hAnsi="Arial Narrow"/>
                <w:sz w:val="20"/>
              </w:rPr>
              <w:t>4: $</w:t>
            </w:r>
            <w:r w:rsidR="00364ABB">
              <w:rPr>
                <w:rFonts w:ascii="Arial Narrow" w:hAnsi="Arial Narrow"/>
                <w:noProof/>
                <w:color w:val="000000"/>
                <w:sz w:val="20"/>
                <w:highlight w:val="black"/>
              </w:rPr>
              <w:t>'''''''''''''''''''''''''''</w:t>
            </w:r>
            <w:r w:rsidR="00C41886">
              <w:rPr>
                <w:rFonts w:ascii="Arial Narrow" w:hAnsi="Arial Narrow"/>
                <w:sz w:val="20"/>
                <w:vertAlign w:val="superscript"/>
              </w:rPr>
              <w:t>4</w:t>
            </w:r>
          </w:p>
          <w:p w:rsidR="007E520C" w:rsidRPr="00C41886" w:rsidRDefault="007E520C" w:rsidP="00BA7EE9">
            <w:pPr>
              <w:pStyle w:val="ListBullet"/>
              <w:numPr>
                <w:ilvl w:val="0"/>
                <w:numId w:val="0"/>
              </w:numPr>
              <w:ind w:left="809"/>
              <w:rPr>
                <w:rFonts w:ascii="Arial Narrow" w:hAnsi="Arial Narrow"/>
                <w:sz w:val="20"/>
                <w:vertAlign w:val="superscript"/>
              </w:rPr>
            </w:pPr>
            <w:r w:rsidRPr="007A7E9A">
              <w:rPr>
                <w:rFonts w:ascii="Arial Narrow" w:hAnsi="Arial Narrow"/>
                <w:sz w:val="20"/>
              </w:rPr>
              <w:t>Y</w:t>
            </w:r>
            <w:r w:rsidR="007E119A" w:rsidRPr="007A7E9A">
              <w:rPr>
                <w:rFonts w:ascii="Arial Narrow" w:hAnsi="Arial Narrow"/>
                <w:sz w:val="20"/>
              </w:rPr>
              <w:t xml:space="preserve">ear </w:t>
            </w:r>
            <w:r w:rsidRPr="007A7E9A">
              <w:rPr>
                <w:rFonts w:ascii="Arial Narrow" w:hAnsi="Arial Narrow"/>
                <w:sz w:val="20"/>
              </w:rPr>
              <w:t>5: $</w:t>
            </w:r>
            <w:r w:rsidR="00364ABB">
              <w:rPr>
                <w:rFonts w:ascii="Arial Narrow" w:hAnsi="Arial Narrow"/>
                <w:noProof/>
                <w:color w:val="000000"/>
                <w:sz w:val="20"/>
                <w:highlight w:val="black"/>
              </w:rPr>
              <w:t>'''''''''''''''''''''''''</w:t>
            </w:r>
            <w:r w:rsidR="00C41886">
              <w:rPr>
                <w:rFonts w:ascii="Arial Narrow" w:hAnsi="Arial Narrow"/>
                <w:sz w:val="20"/>
                <w:vertAlign w:val="superscript"/>
              </w:rPr>
              <w:t>4</w:t>
            </w:r>
          </w:p>
        </w:tc>
      </w:tr>
    </w:tbl>
    <w:p w:rsidR="007E520C" w:rsidRPr="00C41886" w:rsidRDefault="002D3216" w:rsidP="007E520C">
      <w:pPr>
        <w:ind w:left="720" w:hanging="360"/>
        <w:rPr>
          <w:rFonts w:ascii="Arial Narrow" w:hAnsi="Arial Narrow"/>
          <w:i/>
          <w:sz w:val="18"/>
          <w:szCs w:val="18"/>
        </w:rPr>
      </w:pPr>
      <w:r w:rsidRPr="00C41886">
        <w:rPr>
          <w:rFonts w:ascii="Arial Narrow" w:hAnsi="Arial Narrow"/>
          <w:i/>
          <w:sz w:val="18"/>
          <w:szCs w:val="18"/>
        </w:rPr>
        <w:t>The redacted values correspond to the following ranges:</w:t>
      </w:r>
    </w:p>
    <w:p w:rsidR="002D3216" w:rsidRPr="00C41886" w:rsidRDefault="002D3216" w:rsidP="007E520C">
      <w:pPr>
        <w:ind w:left="720" w:hanging="360"/>
        <w:rPr>
          <w:rFonts w:ascii="Arial Narrow" w:hAnsi="Arial Narrow"/>
          <w:i/>
          <w:sz w:val="18"/>
          <w:szCs w:val="18"/>
        </w:rPr>
      </w:pPr>
      <w:r w:rsidRPr="00C41886">
        <w:rPr>
          <w:rFonts w:ascii="Arial Narrow" w:hAnsi="Arial Narrow"/>
          <w:i/>
          <w:sz w:val="18"/>
          <w:szCs w:val="18"/>
          <w:vertAlign w:val="superscript"/>
        </w:rPr>
        <w:t>1</w:t>
      </w:r>
      <w:r w:rsidR="00C41886" w:rsidRPr="00C41886">
        <w:rPr>
          <w:rFonts w:ascii="Arial Narrow" w:hAnsi="Arial Narrow"/>
          <w:i/>
          <w:sz w:val="18"/>
          <w:szCs w:val="18"/>
          <w:vertAlign w:val="superscript"/>
        </w:rPr>
        <w:t xml:space="preserve"> </w:t>
      </w:r>
      <w:r w:rsidR="00C41886" w:rsidRPr="00C41886">
        <w:rPr>
          <w:rFonts w:ascii="Arial Narrow" w:hAnsi="Arial Narrow"/>
          <w:i/>
          <w:sz w:val="18"/>
          <w:szCs w:val="18"/>
        </w:rPr>
        <w:t>$90 million to &lt; $100 million</w:t>
      </w:r>
    </w:p>
    <w:p w:rsidR="00C41886" w:rsidRPr="00C41886" w:rsidRDefault="00C41886" w:rsidP="007E520C">
      <w:pPr>
        <w:ind w:left="720" w:hanging="360"/>
        <w:rPr>
          <w:rFonts w:ascii="Arial Narrow" w:hAnsi="Arial Narrow"/>
          <w:i/>
          <w:sz w:val="18"/>
          <w:szCs w:val="18"/>
        </w:rPr>
      </w:pPr>
      <w:r w:rsidRPr="00C41886">
        <w:rPr>
          <w:rFonts w:ascii="Arial Narrow" w:hAnsi="Arial Narrow"/>
          <w:i/>
          <w:sz w:val="18"/>
          <w:szCs w:val="18"/>
          <w:vertAlign w:val="superscript"/>
        </w:rPr>
        <w:t>2</w:t>
      </w:r>
      <w:r w:rsidRPr="00C41886">
        <w:rPr>
          <w:rFonts w:ascii="Arial Narrow" w:hAnsi="Arial Narrow"/>
          <w:i/>
          <w:sz w:val="18"/>
          <w:szCs w:val="18"/>
        </w:rPr>
        <w:t xml:space="preserve"> $100 million to &lt; $200 million</w:t>
      </w:r>
    </w:p>
    <w:p w:rsidR="00C41886" w:rsidRPr="00C41886" w:rsidRDefault="00C41886" w:rsidP="007E520C">
      <w:pPr>
        <w:ind w:left="720" w:hanging="360"/>
        <w:rPr>
          <w:rFonts w:ascii="Arial Narrow" w:hAnsi="Arial Narrow"/>
          <w:i/>
          <w:sz w:val="18"/>
          <w:szCs w:val="18"/>
        </w:rPr>
      </w:pPr>
      <w:r w:rsidRPr="00C41886">
        <w:rPr>
          <w:rFonts w:ascii="Arial Narrow" w:hAnsi="Arial Narrow"/>
          <w:i/>
          <w:sz w:val="18"/>
          <w:szCs w:val="18"/>
          <w:vertAlign w:val="superscript"/>
        </w:rPr>
        <w:t>3</w:t>
      </w:r>
      <w:r w:rsidRPr="00C41886">
        <w:rPr>
          <w:rFonts w:ascii="Arial Narrow" w:hAnsi="Arial Narrow"/>
          <w:i/>
          <w:sz w:val="18"/>
          <w:szCs w:val="18"/>
        </w:rPr>
        <w:t xml:space="preserve"> $50 million to &lt; $60 million  </w:t>
      </w:r>
    </w:p>
    <w:p w:rsidR="00C41886" w:rsidRPr="00C41886" w:rsidRDefault="00C41886" w:rsidP="007E520C">
      <w:pPr>
        <w:ind w:left="720" w:hanging="360"/>
        <w:rPr>
          <w:rFonts w:ascii="Arial Narrow" w:hAnsi="Arial Narrow"/>
          <w:i/>
          <w:sz w:val="18"/>
          <w:szCs w:val="18"/>
        </w:rPr>
      </w:pPr>
      <w:r w:rsidRPr="00C41886">
        <w:rPr>
          <w:rFonts w:ascii="Arial Narrow" w:hAnsi="Arial Narrow"/>
          <w:i/>
          <w:sz w:val="18"/>
          <w:szCs w:val="18"/>
          <w:vertAlign w:val="superscript"/>
        </w:rPr>
        <w:t>4</w:t>
      </w:r>
      <w:r w:rsidRPr="00C41886">
        <w:rPr>
          <w:rFonts w:ascii="Arial Narrow" w:hAnsi="Arial Narrow"/>
          <w:i/>
          <w:sz w:val="18"/>
          <w:szCs w:val="18"/>
        </w:rPr>
        <w:t xml:space="preserve"> $20 million to &lt; $30 million</w:t>
      </w:r>
    </w:p>
    <w:p w:rsidR="007E520C" w:rsidRDefault="007E520C" w:rsidP="007E520C">
      <w:pPr>
        <w:pStyle w:val="2-SectionHeading"/>
      </w:pPr>
      <w:bookmarkStart w:id="13" w:name="_Toc69861493"/>
      <w:bookmarkStart w:id="14" w:name="_Toc72320694"/>
      <w:r>
        <w:t>C</w:t>
      </w:r>
      <w:r w:rsidRPr="00407F2D">
        <w:t>onsideration of the evidence</w:t>
      </w:r>
      <w:bookmarkEnd w:id="13"/>
      <w:bookmarkEnd w:id="14"/>
    </w:p>
    <w:p w:rsidR="00CD2251" w:rsidRDefault="00CD2251" w:rsidP="00CD2251">
      <w:pPr>
        <w:pStyle w:val="4-SubsectionHeading"/>
      </w:pPr>
      <w:r>
        <w:t>Sponsor hearing</w:t>
      </w:r>
    </w:p>
    <w:p w:rsidR="00CD2251" w:rsidRDefault="009B4AE0" w:rsidP="00CD2251">
      <w:pPr>
        <w:pStyle w:val="3-BodyText"/>
      </w:pPr>
      <w:r>
        <w:t xml:space="preserve">The sponsor requested a hearing for this item. </w:t>
      </w:r>
      <w:r w:rsidR="009576ED">
        <w:t xml:space="preserve">The sponsor stated the longest possible duration of data collection, taking into account product availability, data lags and the impact of COVID-19 on data collection, is approximately 4.3 years in the US and 17 </w:t>
      </w:r>
      <w:proofErr w:type="gramStart"/>
      <w:r w:rsidR="009576ED">
        <w:lastRenderedPageBreak/>
        <w:t>months</w:t>
      </w:r>
      <w:proofErr w:type="gramEnd"/>
      <w:r w:rsidR="009576ED">
        <w:t xml:space="preserve"> in Australia. </w:t>
      </w:r>
      <w:r w:rsidR="00785AA5">
        <w:t xml:space="preserve">The sponsor reiterated information provided in the </w:t>
      </w:r>
      <w:r w:rsidR="009576ED">
        <w:t xml:space="preserve">PSCR and </w:t>
      </w:r>
      <w:r w:rsidR="00785AA5">
        <w:t>pre-PBAC response (discussed in relevant sections below)</w:t>
      </w:r>
      <w:r w:rsidR="009576ED">
        <w:t>.</w:t>
      </w:r>
      <w:r w:rsidR="006A2746">
        <w:t xml:space="preserve"> </w:t>
      </w:r>
    </w:p>
    <w:p w:rsidR="00CD2251" w:rsidRDefault="00CD2251" w:rsidP="0088211F">
      <w:pPr>
        <w:pStyle w:val="3-BodyText"/>
      </w:pPr>
      <w:bookmarkStart w:id="15" w:name="_Ref78810717"/>
      <w:r w:rsidRPr="00CD2251">
        <w:t xml:space="preserve">The </w:t>
      </w:r>
      <w:r w:rsidR="009B4AE0">
        <w:t>sponsor provided additional information in response to a question from the PBAC</w:t>
      </w:r>
      <w:r w:rsidR="00BD15B0">
        <w:t xml:space="preserve"> regarding the magnitude of the initial improvement in ppFEV</w:t>
      </w:r>
      <w:r w:rsidR="00BD15B0" w:rsidRPr="00BD15B0">
        <w:rPr>
          <w:vertAlign w:val="subscript"/>
        </w:rPr>
        <w:t>1</w:t>
      </w:r>
      <w:r w:rsidR="00BD15B0" w:rsidRPr="00BD15B0">
        <w:t xml:space="preserve"> </w:t>
      </w:r>
      <w:r w:rsidR="00BD15B0">
        <w:t xml:space="preserve">(i.e., in the first month of treatment) </w:t>
      </w:r>
      <w:r w:rsidR="00BD15B0" w:rsidRPr="00BD15B0">
        <w:t>observed</w:t>
      </w:r>
      <w:r w:rsidR="00BD15B0">
        <w:t xml:space="preserve"> with the </w:t>
      </w:r>
      <w:r w:rsidR="009576ED">
        <w:t>use of CFT</w:t>
      </w:r>
      <w:r w:rsidR="00BD15B0">
        <w:t>R modulators</w:t>
      </w:r>
      <w:r w:rsidR="00BD15B0" w:rsidRPr="00BD15B0">
        <w:t xml:space="preserve"> </w:t>
      </w:r>
      <w:r w:rsidR="00BD15B0">
        <w:t>in the real world setting</w:t>
      </w:r>
      <w:r w:rsidR="009B4AE0">
        <w:t>.</w:t>
      </w:r>
      <w:r w:rsidR="000A4FBA">
        <w:t xml:space="preserve"> </w:t>
      </w:r>
      <w:r w:rsidR="00BD15B0">
        <w:t>The response</w:t>
      </w:r>
      <w:r w:rsidRPr="00CD2251">
        <w:t xml:space="preserve"> stated it was problematic to determine the exact magnitude of the acute ppFEV</w:t>
      </w:r>
      <w:r w:rsidRPr="00BD15B0">
        <w:rPr>
          <w:vertAlign w:val="subscript"/>
        </w:rPr>
        <w:t>1</w:t>
      </w:r>
      <w:r w:rsidRPr="00CD2251">
        <w:t xml:space="preserve"> change in the first month of treatment using registry data, as measurements are typically not entered into registries regularly or frequently enough to do so (generally, measurements are taken quarterly in the real-world setting). In contrast, the publications of </w:t>
      </w:r>
      <w:proofErr w:type="spellStart"/>
      <w:r w:rsidRPr="00CD2251">
        <w:t>Konstan</w:t>
      </w:r>
      <w:proofErr w:type="spellEnd"/>
      <w:r w:rsidRPr="00CD2251">
        <w:t xml:space="preserve"> 2017 and Flume 2021 used data from patients who commenced CFTR modulator treatment within the pivotal clinical trials and then follow their extended use beyond those trials. As such, in these studies where the parent trial data is available, it is possible to identify the magnitude and timing of the initial improvement more precisely.</w:t>
      </w:r>
      <w:r w:rsidR="00283E9C">
        <w:t xml:space="preserve"> The response </w:t>
      </w:r>
      <w:r w:rsidR="007F2B3A">
        <w:t>stated</w:t>
      </w:r>
      <w:r w:rsidR="00283E9C">
        <w:t xml:space="preserve"> the </w:t>
      </w:r>
      <w:r w:rsidR="00283E9C" w:rsidRPr="00283E9C">
        <w:t>real-world experience reported in the published literature from prospective cohort studies or retrospective chart reviews shows ppFEV</w:t>
      </w:r>
      <w:r w:rsidR="00283E9C" w:rsidRPr="00283E9C">
        <w:rPr>
          <w:vertAlign w:val="subscript"/>
        </w:rPr>
        <w:t>1</w:t>
      </w:r>
      <w:r w:rsidR="00155CC7">
        <w:t xml:space="preserve"> increases</w:t>
      </w:r>
      <w:r w:rsidR="00283E9C" w:rsidRPr="00283E9C">
        <w:t xml:space="preserve"> at 1 month reinforce</w:t>
      </w:r>
      <w:r w:rsidR="00155CC7">
        <w:t>d</w:t>
      </w:r>
      <w:r w:rsidR="00283E9C" w:rsidRPr="00283E9C">
        <w:t xml:space="preserve"> those seen i</w:t>
      </w:r>
      <w:r w:rsidR="00283E9C">
        <w:t xml:space="preserve">n the pivotal clinical trials. </w:t>
      </w:r>
      <w:r w:rsidR="00BA3E9B" w:rsidRPr="008563FB">
        <w:t xml:space="preserve">The </w:t>
      </w:r>
      <w:r w:rsidR="00BA3E9B">
        <w:t>PBAC noted the</w:t>
      </w:r>
      <w:r w:rsidR="00BA3E9B" w:rsidRPr="008563FB">
        <w:t xml:space="preserve"> information provided </w:t>
      </w:r>
      <w:r w:rsidR="00BA3E9B">
        <w:t>supported an initial increase in ppFEV</w:t>
      </w:r>
      <w:r w:rsidR="00BA3E9B" w:rsidRPr="008563FB">
        <w:rPr>
          <w:vertAlign w:val="subscript"/>
        </w:rPr>
        <w:t>1</w:t>
      </w:r>
      <w:r w:rsidR="00BA3E9B">
        <w:t xml:space="preserve"> with subsequent stabilisation or small further increases to 12 months (Tong 2020, </w:t>
      </w:r>
      <w:proofErr w:type="spellStart"/>
      <w:r w:rsidR="00BA3E9B">
        <w:t>Ejiofer</w:t>
      </w:r>
      <w:proofErr w:type="spellEnd"/>
      <w:r w:rsidR="00BA3E9B">
        <w:t xml:space="preserve"> 2020, </w:t>
      </w:r>
      <w:proofErr w:type="spellStart"/>
      <w:proofErr w:type="gramStart"/>
      <w:r w:rsidR="00BA3E9B">
        <w:t>Burgel</w:t>
      </w:r>
      <w:proofErr w:type="spellEnd"/>
      <w:proofErr w:type="gramEnd"/>
      <w:r w:rsidR="00BA3E9B">
        <w:t xml:space="preserve"> 2020).</w:t>
      </w:r>
      <w:bookmarkEnd w:id="15"/>
      <w:r w:rsidR="000A4FBA">
        <w:t xml:space="preserve"> </w:t>
      </w:r>
    </w:p>
    <w:p w:rsidR="00F52DD3" w:rsidRPr="00CD2251" w:rsidRDefault="00F52DD3" w:rsidP="00F52DD3">
      <w:pPr>
        <w:pStyle w:val="3-BodyText"/>
      </w:pPr>
      <w:r>
        <w:t>The sponsor’s response also provide</w:t>
      </w:r>
      <w:r w:rsidR="005125F0">
        <w:t>d</w:t>
      </w:r>
      <w:r>
        <w:t xml:space="preserve"> additional analyses of the PASS 108 study which estimated the rate of decline in </w:t>
      </w:r>
      <w:r w:rsidR="00222284">
        <w:t>ppFEV</w:t>
      </w:r>
      <w:r w:rsidR="00222284" w:rsidRPr="00A36E31">
        <w:rPr>
          <w:vertAlign w:val="subscript"/>
        </w:rPr>
        <w:t>1</w:t>
      </w:r>
      <w:r>
        <w:t xml:space="preserve"> </w:t>
      </w:r>
      <w:r w:rsidR="003833CA">
        <w:t>with lum</w:t>
      </w:r>
      <w:r w:rsidR="00A36E31">
        <w:t>acaftor</w:t>
      </w:r>
      <w:r w:rsidR="003833CA">
        <w:t>/iva</w:t>
      </w:r>
      <w:r w:rsidR="00A36E31">
        <w:t>caftor</w:t>
      </w:r>
      <w:r w:rsidR="003833CA">
        <w:t xml:space="preserve"> </w:t>
      </w:r>
      <w:r>
        <w:t>over a later time window in order to exclude the initial improvement in ppFEV</w:t>
      </w:r>
      <w:r w:rsidRPr="00ED408C">
        <w:rPr>
          <w:vertAlign w:val="subscript"/>
        </w:rPr>
        <w:t>1</w:t>
      </w:r>
      <w:r>
        <w:t xml:space="preserve"> (</w:t>
      </w:r>
      <w:proofErr w:type="gramStart"/>
      <w:r>
        <w:t>patients</w:t>
      </w:r>
      <w:proofErr w:type="gramEnd"/>
      <w:r>
        <w:t xml:space="preserve"> commenced treatment in</w:t>
      </w:r>
      <w:r w:rsidR="00E32D25">
        <w:t xml:space="preserve"> 2015</w:t>
      </w:r>
      <w:r>
        <w:t xml:space="preserve"> with data from 2016 onwards used in the analysis). The results are discussed in paragraph </w:t>
      </w:r>
      <w:r w:rsidR="00BB36F8" w:rsidRPr="00F0072F">
        <w:t>4.19</w:t>
      </w:r>
      <w:r w:rsidRPr="00F0072F">
        <w:t>.</w:t>
      </w:r>
      <w:r>
        <w:t xml:space="preserve"> </w:t>
      </w:r>
    </w:p>
    <w:p w:rsidR="00CD2251" w:rsidRDefault="00CD2251" w:rsidP="00CD2251">
      <w:pPr>
        <w:pStyle w:val="4-SubsectionHeading"/>
      </w:pPr>
      <w:r>
        <w:t>Consumer comments</w:t>
      </w:r>
    </w:p>
    <w:p w:rsidR="00CD2251" w:rsidRPr="00407F2D" w:rsidRDefault="00283E9C" w:rsidP="00EA3D45">
      <w:pPr>
        <w:pStyle w:val="3-BodyText"/>
      </w:pPr>
      <w:r w:rsidRPr="00283E9C">
        <w:t xml:space="preserve">The PBAC noted and welcomed the input from </w:t>
      </w:r>
      <w:r>
        <w:t>individuals (5</w:t>
      </w:r>
      <w:r w:rsidRPr="00283E9C">
        <w:t xml:space="preserve">) via the Consumer Comments facility on the PBS website. </w:t>
      </w:r>
      <w:r w:rsidR="00EA3D45">
        <w:t>The comments reported the high impact CF has on quality of life and the importance of additional treatment options.</w:t>
      </w:r>
      <w:r w:rsidR="000A4FBA">
        <w:t xml:space="preserve"> </w:t>
      </w:r>
    </w:p>
    <w:p w:rsidR="007E520C" w:rsidRPr="00C9624D" w:rsidRDefault="007E520C" w:rsidP="007E520C">
      <w:pPr>
        <w:pStyle w:val="4-SubsectionHeading"/>
      </w:pPr>
      <w:bookmarkStart w:id="16" w:name="_Toc69861494"/>
      <w:bookmarkStart w:id="17" w:name="_Toc72320695"/>
      <w:r w:rsidRPr="00C9624D">
        <w:t xml:space="preserve">Clinical </w:t>
      </w:r>
      <w:r>
        <w:t>studies</w:t>
      </w:r>
      <w:bookmarkEnd w:id="12"/>
      <w:bookmarkEnd w:id="16"/>
      <w:bookmarkEnd w:id="17"/>
    </w:p>
    <w:p w:rsidR="007E520C" w:rsidRPr="005F18BA" w:rsidRDefault="007E520C" w:rsidP="007E520C">
      <w:pPr>
        <w:pStyle w:val="3-BodyText"/>
      </w:pPr>
      <w:r w:rsidRPr="005F18BA">
        <w:t xml:space="preserve">The submission presented studies </w:t>
      </w:r>
      <w:r>
        <w:t>in</w:t>
      </w:r>
      <w:r w:rsidRPr="005F18BA">
        <w:t xml:space="preserve"> two separate Data Collection Reports: </w:t>
      </w:r>
    </w:p>
    <w:p w:rsidR="007E520C" w:rsidRDefault="00D33E78" w:rsidP="00AB5C73">
      <w:pPr>
        <w:pStyle w:val="ListParagraph"/>
        <w:numPr>
          <w:ilvl w:val="0"/>
          <w:numId w:val="6"/>
        </w:numPr>
        <w:ind w:left="1092"/>
      </w:pPr>
      <w:r>
        <w:t>Studies that infor</w:t>
      </w:r>
      <w:r w:rsidR="00F930B4">
        <w:t>m</w:t>
      </w:r>
      <w:r>
        <w:t xml:space="preserve"> </w:t>
      </w:r>
      <w:proofErr w:type="spellStart"/>
      <w:r>
        <w:t>rROD</w:t>
      </w:r>
      <w:proofErr w:type="spellEnd"/>
      <w:r w:rsidR="007E520C">
        <w:t xml:space="preserve">: included 11 studies reporting the </w:t>
      </w:r>
      <w:r w:rsidR="007E520C" w:rsidRPr="000C46BC">
        <w:t>ROD in ppFEV</w:t>
      </w:r>
      <w:r w:rsidR="007E520C" w:rsidRPr="00CF2B1E">
        <w:rPr>
          <w:vertAlign w:val="subscript"/>
        </w:rPr>
        <w:t>1</w:t>
      </w:r>
      <w:r w:rsidR="007E520C">
        <w:t xml:space="preserve"> in patients treated with lumacaftor/ivacaftor</w:t>
      </w:r>
      <w:r w:rsidR="00C153F7">
        <w:t xml:space="preserve"> or tezacaftor/ivacaftor</w:t>
      </w:r>
      <w:r w:rsidR="007E520C">
        <w:t xml:space="preserve"> (</w:t>
      </w:r>
      <w:r w:rsidR="00B83F34">
        <w:t>see Table 2</w:t>
      </w:r>
      <w:r w:rsidR="007E520C">
        <w:t xml:space="preserve">). </w:t>
      </w:r>
      <w:r w:rsidR="00CC4C56">
        <w:t>These s</w:t>
      </w:r>
      <w:r w:rsidR="007E520C">
        <w:t>tudies were used to inform an updated estimate of the ppFEV</w:t>
      </w:r>
      <w:r w:rsidR="007E520C" w:rsidRPr="00BB36F8">
        <w:rPr>
          <w:vertAlign w:val="subscript"/>
        </w:rPr>
        <w:t>1</w:t>
      </w:r>
      <w:r w:rsidR="007E520C">
        <w:t xml:space="preserve"> </w:t>
      </w:r>
      <w:proofErr w:type="spellStart"/>
      <w:r w:rsidR="007E520C">
        <w:t>rROD</w:t>
      </w:r>
      <w:proofErr w:type="spellEnd"/>
      <w:r w:rsidR="007E520C">
        <w:t>; and</w:t>
      </w:r>
    </w:p>
    <w:p w:rsidR="007E520C" w:rsidRPr="00985EC7" w:rsidRDefault="00F930B4" w:rsidP="00AB5C73">
      <w:pPr>
        <w:pStyle w:val="ListParagraph"/>
        <w:numPr>
          <w:ilvl w:val="0"/>
          <w:numId w:val="6"/>
        </w:numPr>
        <w:ind w:left="1134"/>
      </w:pPr>
      <w:r>
        <w:t xml:space="preserve">Studies </w:t>
      </w:r>
      <w:r w:rsidR="00BB36F8">
        <w:t>with lumacaftor/</w:t>
      </w:r>
      <w:r w:rsidR="007F3062">
        <w:t>i</w:t>
      </w:r>
      <w:r w:rsidR="00BB36F8">
        <w:t xml:space="preserve">vacaftor </w:t>
      </w:r>
      <w:r w:rsidR="00BB36F8" w:rsidRPr="00BB36F8">
        <w:t>initiated in pat</w:t>
      </w:r>
      <w:r w:rsidR="00BB36F8">
        <w:t>ients aged from 6 to 11 years</w:t>
      </w:r>
      <w:r w:rsidR="007E520C">
        <w:t>: included three studies reporting the use of lumacaftor/ivacaftor in patients aged from 6 to 11 years (</w:t>
      </w:r>
      <w:r w:rsidR="00B83F34">
        <w:t>see Table 2</w:t>
      </w:r>
      <w:r w:rsidR="007E520C">
        <w:t xml:space="preserve">). </w:t>
      </w:r>
      <w:r w:rsidR="00454BBC" w:rsidRPr="00985EC7">
        <w:rPr>
          <w:iCs/>
        </w:rPr>
        <w:t xml:space="preserve">The Deed (under Clause B.2.2) requested an interim report of the ongoing post marketing study of the long-term efficacy and safety of lumacaftor with ivacaftor when initiated in patients aged from 6 to 11 years of age. This interim report is referred to as Study 129, which utilised data from the </w:t>
      </w:r>
      <w:r w:rsidR="00BB36F8">
        <w:rPr>
          <w:iCs/>
        </w:rPr>
        <w:t>Australian Cystic Fibrosis Disease Registry (</w:t>
      </w:r>
      <w:r w:rsidR="00454BBC" w:rsidRPr="00985EC7">
        <w:rPr>
          <w:iCs/>
        </w:rPr>
        <w:t>ACFDR</w:t>
      </w:r>
      <w:r w:rsidR="00BB36F8">
        <w:rPr>
          <w:iCs/>
        </w:rPr>
        <w:t>)</w:t>
      </w:r>
      <w:r w:rsidR="00454BBC" w:rsidRPr="00985EC7">
        <w:rPr>
          <w:iCs/>
        </w:rPr>
        <w:t>.</w:t>
      </w:r>
    </w:p>
    <w:p w:rsidR="007E520C" w:rsidRPr="00985EC7" w:rsidRDefault="00454BBC" w:rsidP="004E30D5">
      <w:pPr>
        <w:pStyle w:val="3-BodyText"/>
      </w:pPr>
      <w:r w:rsidRPr="00985EC7">
        <w:rPr>
          <w:iCs/>
        </w:rPr>
        <w:lastRenderedPageBreak/>
        <w:t>T</w:t>
      </w:r>
      <w:r w:rsidR="007E520C" w:rsidRPr="00985EC7">
        <w:rPr>
          <w:iCs/>
        </w:rPr>
        <w:t xml:space="preserve">he submission did not include </w:t>
      </w:r>
      <w:r w:rsidR="00F073D2" w:rsidRPr="00985EC7">
        <w:rPr>
          <w:iCs/>
        </w:rPr>
        <w:t xml:space="preserve">the matched analysis comparing patients from </w:t>
      </w:r>
      <w:r w:rsidR="007E520C" w:rsidRPr="00985EC7">
        <w:rPr>
          <w:iCs/>
        </w:rPr>
        <w:t>PROGRESS</w:t>
      </w:r>
      <w:r w:rsidR="00BB3DD6" w:rsidRPr="00985EC7">
        <w:rPr>
          <w:iCs/>
        </w:rPr>
        <w:t xml:space="preserve"> </w:t>
      </w:r>
      <w:r w:rsidR="00F073D2" w:rsidRPr="00985EC7">
        <w:rPr>
          <w:iCs/>
        </w:rPr>
        <w:t xml:space="preserve">and </w:t>
      </w:r>
      <w:r w:rsidR="00C63EB3" w:rsidRPr="00985EC7">
        <w:rPr>
          <w:iCs/>
        </w:rPr>
        <w:t>the US CFFPR</w:t>
      </w:r>
      <w:r w:rsidR="007E520C" w:rsidRPr="00985EC7">
        <w:rPr>
          <w:iCs/>
        </w:rPr>
        <w:t xml:space="preserve"> (</w:t>
      </w:r>
      <w:proofErr w:type="spellStart"/>
      <w:r w:rsidR="007E520C" w:rsidRPr="00985EC7">
        <w:rPr>
          <w:iCs/>
        </w:rPr>
        <w:t>Konstan</w:t>
      </w:r>
      <w:proofErr w:type="spellEnd"/>
      <w:r w:rsidR="007E520C" w:rsidRPr="00985EC7">
        <w:rPr>
          <w:iCs/>
        </w:rPr>
        <w:t xml:space="preserve"> 2017), which was the study previously used to inform the estimate of ppFEV</w:t>
      </w:r>
      <w:r w:rsidR="007E520C" w:rsidRPr="00985EC7">
        <w:rPr>
          <w:iCs/>
          <w:vertAlign w:val="subscript"/>
        </w:rPr>
        <w:t xml:space="preserve">1 </w:t>
      </w:r>
      <w:proofErr w:type="spellStart"/>
      <w:r w:rsidR="007E520C" w:rsidRPr="00985EC7">
        <w:rPr>
          <w:iCs/>
        </w:rPr>
        <w:t>rROD</w:t>
      </w:r>
      <w:proofErr w:type="spellEnd"/>
      <w:r w:rsidRPr="00985EC7">
        <w:rPr>
          <w:iCs/>
        </w:rPr>
        <w:t xml:space="preserve"> as considered by the PBAC</w:t>
      </w:r>
      <w:r w:rsidR="007E520C" w:rsidRPr="00985EC7">
        <w:rPr>
          <w:iCs/>
        </w:rPr>
        <w:t xml:space="preserve">. </w:t>
      </w:r>
      <w:proofErr w:type="spellStart"/>
      <w:r w:rsidR="007E520C" w:rsidRPr="00985EC7">
        <w:rPr>
          <w:rFonts w:cstheme="minorHAnsi"/>
          <w:iCs/>
        </w:rPr>
        <w:t>Konstan</w:t>
      </w:r>
      <w:proofErr w:type="spellEnd"/>
      <w:r w:rsidR="007E520C" w:rsidRPr="00985EC7">
        <w:rPr>
          <w:rFonts w:cstheme="minorHAnsi"/>
          <w:iCs/>
        </w:rPr>
        <w:t xml:space="preserve"> 2017 has been re-presented </w:t>
      </w:r>
      <w:r w:rsidR="00C153F7">
        <w:rPr>
          <w:rFonts w:cstheme="minorHAnsi"/>
          <w:iCs/>
        </w:rPr>
        <w:t>herein</w:t>
      </w:r>
      <w:r w:rsidR="007E520C" w:rsidRPr="00985EC7">
        <w:rPr>
          <w:rFonts w:cstheme="minorHAnsi"/>
          <w:iCs/>
        </w:rPr>
        <w:t xml:space="preserve">. </w:t>
      </w:r>
    </w:p>
    <w:p w:rsidR="001C2025" w:rsidRDefault="007E520C" w:rsidP="007E520C">
      <w:pPr>
        <w:pStyle w:val="3-BodyText"/>
        <w:rPr>
          <w:snapToGrid/>
          <w:lang w:val="en-US"/>
        </w:rPr>
      </w:pPr>
      <w:r>
        <w:rPr>
          <w:snapToGrid/>
          <w:lang w:val="en-US"/>
        </w:rPr>
        <w:t xml:space="preserve">Details of the studies presented in the submission are provided in </w:t>
      </w:r>
      <w:r w:rsidR="00454BBC">
        <w:rPr>
          <w:snapToGrid/>
          <w:lang w:val="en-US"/>
        </w:rPr>
        <w:t>Table 2</w:t>
      </w:r>
      <w:r>
        <w:rPr>
          <w:snapToGrid/>
          <w:lang w:val="en-US"/>
        </w:rPr>
        <w:t xml:space="preserve">. </w:t>
      </w:r>
    </w:p>
    <w:p w:rsidR="001C2025" w:rsidRDefault="001C2025">
      <w:pPr>
        <w:jc w:val="left"/>
        <w:rPr>
          <w:rFonts w:asciiTheme="minorHAnsi" w:hAnsiTheme="minorHAnsi"/>
          <w:lang w:val="en-US"/>
        </w:rPr>
      </w:pPr>
      <w:r>
        <w:rPr>
          <w:lang w:val="en-US"/>
        </w:rPr>
        <w:br w:type="page"/>
      </w:r>
    </w:p>
    <w:p w:rsidR="007E520C" w:rsidRDefault="007E520C" w:rsidP="007E520C">
      <w:pPr>
        <w:pStyle w:val="TableFigureHeading"/>
        <w:rPr>
          <w:rStyle w:val="CommentReference"/>
          <w:b/>
          <w:szCs w:val="24"/>
        </w:rPr>
      </w:pPr>
      <w:r w:rsidRPr="002E4F02">
        <w:rPr>
          <w:rStyle w:val="CommentReference"/>
          <w:b/>
          <w:szCs w:val="24"/>
        </w:rPr>
        <w:lastRenderedPageBreak/>
        <w:t xml:space="preserve">Table </w:t>
      </w:r>
      <w:r>
        <w:rPr>
          <w:rStyle w:val="CommentReference"/>
          <w:b/>
          <w:szCs w:val="24"/>
        </w:rPr>
        <w:t>2</w:t>
      </w:r>
      <w:r w:rsidRPr="002E4F02">
        <w:rPr>
          <w:rStyle w:val="CommentReference"/>
          <w:b/>
          <w:szCs w:val="24"/>
        </w:rPr>
        <w:t xml:space="preserve">: </w:t>
      </w:r>
      <w:r>
        <w:rPr>
          <w:rStyle w:val="CommentReference"/>
          <w:b/>
          <w:szCs w:val="24"/>
        </w:rPr>
        <w:t>S</w:t>
      </w:r>
      <w:r w:rsidRPr="002E4F02">
        <w:rPr>
          <w:rStyle w:val="CommentReference"/>
          <w:b/>
          <w:szCs w:val="24"/>
        </w:rPr>
        <w:t>tudies</w:t>
      </w:r>
      <w:r>
        <w:rPr>
          <w:rStyle w:val="CommentReference"/>
          <w:b/>
          <w:szCs w:val="24"/>
        </w:rPr>
        <w:t xml:space="preserve"> </w:t>
      </w:r>
      <w:r w:rsidRPr="002E4F02">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4940"/>
        <w:gridCol w:w="2642"/>
      </w:tblGrid>
      <w:tr w:rsidR="007E520C" w:rsidRPr="00B41614" w:rsidTr="00BA7EE9">
        <w:trPr>
          <w:cantSplit/>
          <w:tblHeader/>
        </w:trPr>
        <w:tc>
          <w:tcPr>
            <w:tcW w:w="796" w:type="pct"/>
            <w:tcBorders>
              <w:top w:val="single" w:sz="4" w:space="0" w:color="auto"/>
              <w:left w:val="single" w:sz="4" w:space="0" w:color="auto"/>
              <w:bottom w:val="single" w:sz="4" w:space="0" w:color="auto"/>
              <w:right w:val="single" w:sz="4" w:space="0" w:color="auto"/>
            </w:tcBorders>
            <w:vAlign w:val="center"/>
          </w:tcPr>
          <w:p w:rsidR="007E520C" w:rsidRPr="00B41614" w:rsidRDefault="007E520C" w:rsidP="00BA7EE9">
            <w:pPr>
              <w:pStyle w:val="In-tableHeading"/>
              <w:jc w:val="center"/>
            </w:pPr>
            <w:r w:rsidRPr="00B41614">
              <w:t>Trial ID</w:t>
            </w:r>
          </w:p>
        </w:tc>
        <w:tc>
          <w:tcPr>
            <w:tcW w:w="2739" w:type="pct"/>
            <w:tcBorders>
              <w:top w:val="single" w:sz="4" w:space="0" w:color="auto"/>
              <w:left w:val="single" w:sz="4" w:space="0" w:color="auto"/>
              <w:bottom w:val="single" w:sz="4" w:space="0" w:color="auto"/>
              <w:right w:val="single" w:sz="4" w:space="0" w:color="auto"/>
            </w:tcBorders>
            <w:vAlign w:val="center"/>
          </w:tcPr>
          <w:p w:rsidR="007E520C" w:rsidRPr="00B41614" w:rsidRDefault="007E520C" w:rsidP="00BA7EE9">
            <w:pPr>
              <w:pStyle w:val="In-tableHeading"/>
            </w:pPr>
            <w:r w:rsidRPr="00B41614">
              <w:t>Protocol title/ Publication title</w:t>
            </w:r>
          </w:p>
        </w:tc>
        <w:tc>
          <w:tcPr>
            <w:tcW w:w="1465" w:type="pct"/>
            <w:tcBorders>
              <w:top w:val="single" w:sz="4" w:space="0" w:color="auto"/>
              <w:left w:val="single" w:sz="4" w:space="0" w:color="auto"/>
              <w:bottom w:val="single" w:sz="4" w:space="0" w:color="auto"/>
              <w:right w:val="single" w:sz="4" w:space="0" w:color="auto"/>
            </w:tcBorders>
            <w:vAlign w:val="center"/>
          </w:tcPr>
          <w:p w:rsidR="007E520C" w:rsidRPr="00B41614" w:rsidRDefault="007E520C" w:rsidP="00BA7EE9">
            <w:pPr>
              <w:pStyle w:val="In-tableHeading"/>
            </w:pPr>
            <w:r w:rsidRPr="00B41614">
              <w:t>Publication citation</w:t>
            </w:r>
          </w:p>
        </w:tc>
      </w:tr>
      <w:tr w:rsidR="007E520C" w:rsidRPr="00CB38A8" w:rsidTr="00BA7EE9">
        <w:tc>
          <w:tcPr>
            <w:tcW w:w="5000" w:type="pct"/>
            <w:gridSpan w:val="3"/>
            <w:tcBorders>
              <w:bottom w:val="single" w:sz="4" w:space="0" w:color="auto"/>
            </w:tcBorders>
          </w:tcPr>
          <w:p w:rsidR="007E520C" w:rsidRPr="00CB38A8" w:rsidRDefault="00A519E8" w:rsidP="008A0F09">
            <w:pPr>
              <w:pStyle w:val="TableText0"/>
              <w:keepNext w:val="0"/>
            </w:pPr>
            <w:r>
              <w:rPr>
                <w:b/>
                <w:bCs w:val="0"/>
                <w:szCs w:val="18"/>
              </w:rPr>
              <w:t xml:space="preserve">Studies that inform </w:t>
            </w:r>
            <w:r w:rsidR="00275474">
              <w:rPr>
                <w:b/>
                <w:bCs w:val="0"/>
                <w:szCs w:val="18"/>
              </w:rPr>
              <w:t>ppFEV</w:t>
            </w:r>
            <w:r w:rsidR="00275474" w:rsidRPr="00275474">
              <w:rPr>
                <w:b/>
                <w:bCs w:val="0"/>
                <w:szCs w:val="18"/>
                <w:vertAlign w:val="subscript"/>
              </w:rPr>
              <w:t>1</w:t>
            </w:r>
            <w:r w:rsidR="00275474">
              <w:rPr>
                <w:b/>
                <w:bCs w:val="0"/>
                <w:szCs w:val="18"/>
              </w:rPr>
              <w:t xml:space="preserve"> </w:t>
            </w:r>
            <w:proofErr w:type="spellStart"/>
            <w:r>
              <w:rPr>
                <w:b/>
                <w:bCs w:val="0"/>
                <w:szCs w:val="18"/>
              </w:rPr>
              <w:t>rROD</w:t>
            </w:r>
            <w:proofErr w:type="spellEnd"/>
            <w:r w:rsidR="00A77E90">
              <w:rPr>
                <w:b/>
                <w:bCs w:val="0"/>
                <w:szCs w:val="18"/>
              </w:rPr>
              <w:t xml:space="preserve"> </w:t>
            </w:r>
          </w:p>
        </w:tc>
      </w:tr>
      <w:tr w:rsidR="007E520C" w:rsidRPr="00CB38A8" w:rsidTr="00BA7EE9">
        <w:tc>
          <w:tcPr>
            <w:tcW w:w="796" w:type="pct"/>
            <w:tcBorders>
              <w:bottom w:val="single" w:sz="4" w:space="0" w:color="auto"/>
            </w:tcBorders>
          </w:tcPr>
          <w:p w:rsidR="007E520C" w:rsidRPr="008A0F09" w:rsidRDefault="008E6C7E" w:rsidP="00BA7EE9">
            <w:pPr>
              <w:pStyle w:val="TableText0"/>
              <w:keepNext w:val="0"/>
              <w:rPr>
                <w:iCs/>
                <w:highlight w:val="yellow"/>
              </w:rPr>
            </w:pPr>
            <w:proofErr w:type="spellStart"/>
            <w:r w:rsidRPr="008A0F09">
              <w:rPr>
                <w:iCs/>
              </w:rPr>
              <w:t>Konstan</w:t>
            </w:r>
            <w:proofErr w:type="spellEnd"/>
            <w:r w:rsidRPr="008A0F09">
              <w:rPr>
                <w:iCs/>
              </w:rPr>
              <w:t xml:space="preserve"> </w:t>
            </w:r>
            <w:r w:rsidR="00716E0F" w:rsidRPr="008A0F09">
              <w:rPr>
                <w:iCs/>
              </w:rPr>
              <w:t>2017</w:t>
            </w:r>
          </w:p>
        </w:tc>
        <w:tc>
          <w:tcPr>
            <w:tcW w:w="2739" w:type="pct"/>
            <w:tcBorders>
              <w:bottom w:val="single" w:sz="4" w:space="0" w:color="auto"/>
            </w:tcBorders>
          </w:tcPr>
          <w:p w:rsidR="007E520C" w:rsidRPr="008A0F09" w:rsidRDefault="007E520C" w:rsidP="00BA7EE9">
            <w:pPr>
              <w:pStyle w:val="TableText0"/>
              <w:rPr>
                <w:iCs/>
                <w:szCs w:val="18"/>
              </w:rPr>
            </w:pPr>
            <w:proofErr w:type="spellStart"/>
            <w:r w:rsidRPr="008A0F09">
              <w:rPr>
                <w:iCs/>
                <w:szCs w:val="18"/>
              </w:rPr>
              <w:t>Konstan</w:t>
            </w:r>
            <w:proofErr w:type="spellEnd"/>
            <w:r w:rsidRPr="008A0F09">
              <w:rPr>
                <w:iCs/>
                <w:szCs w:val="18"/>
              </w:rPr>
              <w:t xml:space="preserve">, M. W., </w:t>
            </w:r>
            <w:proofErr w:type="spellStart"/>
            <w:r w:rsidRPr="008A0F09">
              <w:rPr>
                <w:iCs/>
                <w:szCs w:val="18"/>
              </w:rPr>
              <w:t>McKone</w:t>
            </w:r>
            <w:proofErr w:type="spellEnd"/>
            <w:r w:rsidRPr="008A0F09">
              <w:rPr>
                <w:iCs/>
                <w:szCs w:val="18"/>
              </w:rPr>
              <w:t>, E. F., Moss, R. B., et al. (2017). Assessment of safety and efficacy of long-term treatment with combination lumacaftor and ivacaftor therapy in patients with cystic fibrosis homozygous for the F508del-CFTR mutation (PROGRESS): A phase 3, extension study.</w:t>
            </w:r>
          </w:p>
        </w:tc>
        <w:tc>
          <w:tcPr>
            <w:tcW w:w="1465" w:type="pct"/>
            <w:tcBorders>
              <w:bottom w:val="single" w:sz="4" w:space="0" w:color="auto"/>
            </w:tcBorders>
          </w:tcPr>
          <w:p w:rsidR="007E520C" w:rsidRPr="008A0F09" w:rsidRDefault="007E520C" w:rsidP="00BA7EE9">
            <w:pPr>
              <w:pStyle w:val="TableText0"/>
              <w:rPr>
                <w:iCs/>
              </w:rPr>
            </w:pPr>
            <w:r w:rsidRPr="008A0F09">
              <w:rPr>
                <w:iCs/>
              </w:rPr>
              <w:t>The Lancet Respiratory Medicine 2017. 5 (2): 107-18.</w:t>
            </w:r>
          </w:p>
        </w:tc>
      </w:tr>
      <w:tr w:rsidR="007E520C" w:rsidRPr="00CB38A8" w:rsidTr="00BA7EE9">
        <w:tc>
          <w:tcPr>
            <w:tcW w:w="796" w:type="pct"/>
            <w:tcBorders>
              <w:top w:val="single" w:sz="4" w:space="0" w:color="auto"/>
              <w:bottom w:val="nil"/>
            </w:tcBorders>
          </w:tcPr>
          <w:p w:rsidR="007E520C" w:rsidRPr="00237BB4" w:rsidRDefault="007E520C" w:rsidP="00BA7EE9">
            <w:pPr>
              <w:pStyle w:val="TableText0"/>
              <w:keepNext w:val="0"/>
            </w:pPr>
            <w:r w:rsidRPr="00237BB4">
              <w:t>PASS 108</w:t>
            </w:r>
          </w:p>
        </w:tc>
        <w:tc>
          <w:tcPr>
            <w:tcW w:w="2739" w:type="pct"/>
            <w:tcBorders>
              <w:top w:val="single" w:sz="4" w:space="0" w:color="auto"/>
              <w:bottom w:val="single" w:sz="4" w:space="0" w:color="auto"/>
            </w:tcBorders>
          </w:tcPr>
          <w:p w:rsidR="007E520C" w:rsidRPr="00AB6248" w:rsidRDefault="007E520C" w:rsidP="00BA7EE9">
            <w:pPr>
              <w:pStyle w:val="TableText0"/>
              <w:rPr>
                <w:szCs w:val="18"/>
                <w:lang w:val="en-US"/>
              </w:rPr>
            </w:pPr>
            <w:r w:rsidRPr="00BF0571">
              <w:rPr>
                <w:szCs w:val="18"/>
                <w:lang w:val="en-US"/>
              </w:rPr>
              <w:t xml:space="preserve">An Observational Study to Evaluate the </w:t>
            </w:r>
            <w:proofErr w:type="spellStart"/>
            <w:r w:rsidRPr="00BF0571">
              <w:rPr>
                <w:szCs w:val="18"/>
                <w:lang w:val="en-US"/>
              </w:rPr>
              <w:t>Utilisation</w:t>
            </w:r>
            <w:proofErr w:type="spellEnd"/>
            <w:r w:rsidRPr="00BF0571">
              <w:rPr>
                <w:szCs w:val="18"/>
                <w:lang w:val="en-US"/>
              </w:rPr>
              <w:t xml:space="preserve"> Patterns and Long-term Effects</w:t>
            </w:r>
            <w:r>
              <w:rPr>
                <w:szCs w:val="18"/>
                <w:lang w:val="en-US"/>
              </w:rPr>
              <w:t xml:space="preserve"> </w:t>
            </w:r>
            <w:r w:rsidRPr="00BF0571">
              <w:rPr>
                <w:szCs w:val="18"/>
                <w:lang w:val="en-US"/>
              </w:rPr>
              <w:t>of Lumacaftor and Ivacaftor Combination Therapy in Patients With Cystic Fibrosis</w:t>
            </w:r>
          </w:p>
        </w:tc>
        <w:tc>
          <w:tcPr>
            <w:tcW w:w="1465" w:type="pct"/>
            <w:tcBorders>
              <w:top w:val="single" w:sz="4" w:space="0" w:color="auto"/>
              <w:bottom w:val="single" w:sz="4" w:space="0" w:color="auto"/>
            </w:tcBorders>
          </w:tcPr>
          <w:p w:rsidR="007E520C" w:rsidRDefault="007E520C" w:rsidP="00BA7EE9">
            <w:pPr>
              <w:pStyle w:val="TableText0"/>
              <w:keepNext w:val="0"/>
            </w:pPr>
            <w:r w:rsidRPr="0029474D">
              <w:t>Internal Study Report</w:t>
            </w:r>
            <w:r>
              <w:t xml:space="preserve">., </w:t>
            </w:r>
          </w:p>
          <w:p w:rsidR="007E520C" w:rsidRDefault="007E520C" w:rsidP="00BA7EE9">
            <w:pPr>
              <w:pStyle w:val="TableText0"/>
              <w:keepNext w:val="0"/>
            </w:pPr>
            <w:r w:rsidRPr="00C164D3">
              <w:t>Interim Study Report 3</w:t>
            </w:r>
          </w:p>
          <w:p w:rsidR="007E520C" w:rsidRPr="00EB5F9B" w:rsidRDefault="004A3C04" w:rsidP="00BA7EE9">
            <w:pPr>
              <w:pStyle w:val="TableText0"/>
              <w:keepNext w:val="0"/>
              <w:rPr>
                <w:i/>
                <w:iCs/>
              </w:rPr>
            </w:pPr>
            <w:r>
              <w:rPr>
                <w:i/>
                <w:iCs/>
              </w:rPr>
              <w:t xml:space="preserve">19 November </w:t>
            </w:r>
            <w:r w:rsidR="009B1E17">
              <w:rPr>
                <w:i/>
                <w:iCs/>
              </w:rPr>
              <w:t>2019</w:t>
            </w:r>
            <w:r w:rsidR="007E520C">
              <w:rPr>
                <w:i/>
                <w:iCs/>
              </w:rPr>
              <w:t xml:space="preserve">. </w:t>
            </w:r>
          </w:p>
        </w:tc>
      </w:tr>
      <w:tr w:rsidR="007E520C" w:rsidRPr="00CB38A8" w:rsidTr="00BA7EE9">
        <w:tc>
          <w:tcPr>
            <w:tcW w:w="796" w:type="pct"/>
            <w:tcBorders>
              <w:top w:val="nil"/>
              <w:bottom w:val="nil"/>
            </w:tcBorders>
          </w:tcPr>
          <w:p w:rsidR="007E520C" w:rsidRDefault="007E520C" w:rsidP="00BA7EE9">
            <w:pPr>
              <w:pStyle w:val="TableText0"/>
              <w:keepNext w:val="0"/>
            </w:pPr>
          </w:p>
        </w:tc>
        <w:tc>
          <w:tcPr>
            <w:tcW w:w="2739" w:type="pct"/>
            <w:tcBorders>
              <w:top w:val="single" w:sz="4" w:space="0" w:color="auto"/>
              <w:bottom w:val="single" w:sz="4" w:space="0" w:color="auto"/>
            </w:tcBorders>
          </w:tcPr>
          <w:p w:rsidR="007E520C" w:rsidRPr="00AB6248" w:rsidRDefault="007E520C" w:rsidP="00BA7EE9">
            <w:pPr>
              <w:pStyle w:val="TableText0"/>
              <w:keepNext w:val="0"/>
              <w:rPr>
                <w:szCs w:val="18"/>
                <w:lang w:val="en-US"/>
              </w:rPr>
            </w:pPr>
            <w:r w:rsidRPr="00A777A6">
              <w:rPr>
                <w:szCs w:val="18"/>
                <w:lang w:val="en-US"/>
              </w:rPr>
              <w:t xml:space="preserve">Bower JK, Tian S, </w:t>
            </w:r>
            <w:proofErr w:type="spellStart"/>
            <w:r w:rsidRPr="00A777A6">
              <w:rPr>
                <w:szCs w:val="18"/>
                <w:lang w:val="en-US"/>
              </w:rPr>
              <w:t>Zahigian</w:t>
            </w:r>
            <w:proofErr w:type="spellEnd"/>
            <w:r w:rsidRPr="00A777A6">
              <w:rPr>
                <w:szCs w:val="18"/>
                <w:lang w:val="en-US"/>
              </w:rPr>
              <w:t xml:space="preserve"> R, Sewall A, Wu R, Elbert A.</w:t>
            </w:r>
            <w:r w:rsidR="000A4FBA">
              <w:rPr>
                <w:szCs w:val="18"/>
                <w:lang w:val="en-US"/>
              </w:rPr>
              <w:t xml:space="preserve"> </w:t>
            </w:r>
            <w:r w:rsidRPr="00A777A6">
              <w:rPr>
                <w:szCs w:val="18"/>
                <w:lang w:val="en-US"/>
              </w:rPr>
              <w:t xml:space="preserve">Disease progression in F508del homozygous (F/F) persons with cystic fibrosis treated with lumacaftor/ivacaftor (LUM/IVA): interim results of a long-term safety study using data from the US Cystic Fibrosis Foundation Patient Registry (CFFPR). </w:t>
            </w:r>
          </w:p>
        </w:tc>
        <w:tc>
          <w:tcPr>
            <w:tcW w:w="1465" w:type="pct"/>
            <w:tcBorders>
              <w:top w:val="single" w:sz="4" w:space="0" w:color="auto"/>
              <w:bottom w:val="single" w:sz="4" w:space="0" w:color="auto"/>
            </w:tcBorders>
          </w:tcPr>
          <w:p w:rsidR="007E520C" w:rsidRPr="00AB6248" w:rsidRDefault="007E520C" w:rsidP="00BA7EE9">
            <w:pPr>
              <w:pStyle w:val="TableText0"/>
              <w:keepNext w:val="0"/>
              <w:rPr>
                <w:i/>
                <w:szCs w:val="18"/>
                <w:lang w:val="en-US"/>
              </w:rPr>
            </w:pPr>
            <w:r w:rsidRPr="00A777A6">
              <w:rPr>
                <w:szCs w:val="18"/>
                <w:lang w:val="en-US"/>
              </w:rPr>
              <w:t xml:space="preserve">J Cyst </w:t>
            </w:r>
            <w:proofErr w:type="spellStart"/>
            <w:r w:rsidRPr="00A777A6">
              <w:rPr>
                <w:szCs w:val="18"/>
                <w:lang w:val="en-US"/>
              </w:rPr>
              <w:t>Fibros</w:t>
            </w:r>
            <w:proofErr w:type="spellEnd"/>
            <w:r w:rsidRPr="00A777A6">
              <w:rPr>
                <w:szCs w:val="18"/>
                <w:lang w:val="en-US"/>
              </w:rPr>
              <w:t xml:space="preserve"> 2020; 19S2(</w:t>
            </w:r>
            <w:proofErr w:type="spellStart"/>
            <w:r w:rsidRPr="00A777A6">
              <w:rPr>
                <w:szCs w:val="18"/>
                <w:lang w:val="en-US"/>
              </w:rPr>
              <w:t>suppl</w:t>
            </w:r>
            <w:proofErr w:type="spellEnd"/>
            <w:r w:rsidRPr="00A777A6">
              <w:rPr>
                <w:szCs w:val="18"/>
                <w:lang w:val="en-US"/>
              </w:rPr>
              <w:t>):S21</w:t>
            </w:r>
          </w:p>
        </w:tc>
      </w:tr>
      <w:tr w:rsidR="007E520C" w:rsidRPr="00CB38A8" w:rsidTr="00BA7EE9">
        <w:tc>
          <w:tcPr>
            <w:tcW w:w="796" w:type="pct"/>
            <w:tcBorders>
              <w:top w:val="nil"/>
              <w:bottom w:val="single" w:sz="4" w:space="0" w:color="auto"/>
            </w:tcBorders>
          </w:tcPr>
          <w:p w:rsidR="007E520C" w:rsidRPr="00652FC8" w:rsidRDefault="007E520C" w:rsidP="00BA7EE9">
            <w:pPr>
              <w:pStyle w:val="TableText0"/>
              <w:keepNext w:val="0"/>
              <w:rPr>
                <w:highlight w:val="yellow"/>
              </w:rPr>
            </w:pPr>
          </w:p>
        </w:tc>
        <w:tc>
          <w:tcPr>
            <w:tcW w:w="2739" w:type="pct"/>
            <w:tcBorders>
              <w:top w:val="single" w:sz="4" w:space="0" w:color="auto"/>
              <w:bottom w:val="single" w:sz="4" w:space="0" w:color="auto"/>
            </w:tcBorders>
          </w:tcPr>
          <w:p w:rsidR="007E520C" w:rsidRPr="00652FC8" w:rsidRDefault="007E520C" w:rsidP="00BA7EE9">
            <w:pPr>
              <w:pStyle w:val="TableText0"/>
              <w:keepNext w:val="0"/>
              <w:rPr>
                <w:szCs w:val="18"/>
                <w:highlight w:val="yellow"/>
                <w:lang w:val="en-US"/>
              </w:rPr>
            </w:pPr>
            <w:r w:rsidRPr="009534D9">
              <w:rPr>
                <w:szCs w:val="18"/>
                <w:lang w:val="en-US"/>
              </w:rPr>
              <w:t xml:space="preserve">Knox C, </w:t>
            </w:r>
            <w:proofErr w:type="spellStart"/>
            <w:r w:rsidRPr="009534D9">
              <w:rPr>
                <w:szCs w:val="18"/>
                <w:lang w:val="en-US"/>
              </w:rPr>
              <w:t>Volkova</w:t>
            </w:r>
            <w:proofErr w:type="spellEnd"/>
            <w:r w:rsidRPr="009534D9">
              <w:rPr>
                <w:szCs w:val="18"/>
                <w:lang w:val="en-US"/>
              </w:rPr>
              <w:t xml:space="preserve"> N, Han Z, Wu R, Wang LT, Elbert A, Tian S. Real-world outcomes among patients with cystic fibrosis treated with lumacaftor/ivacaftor (LUM/IVA) in 2017: an interim analysis of data from the US CF Foundation Patient Registry (CFFPR).</w:t>
            </w:r>
            <w:r w:rsidR="000A4FBA">
              <w:rPr>
                <w:szCs w:val="18"/>
                <w:lang w:val="en-US"/>
              </w:rPr>
              <w:t xml:space="preserve"> </w:t>
            </w:r>
          </w:p>
        </w:tc>
        <w:tc>
          <w:tcPr>
            <w:tcW w:w="1465" w:type="pct"/>
            <w:tcBorders>
              <w:top w:val="single" w:sz="4" w:space="0" w:color="auto"/>
              <w:bottom w:val="single" w:sz="4" w:space="0" w:color="auto"/>
            </w:tcBorders>
          </w:tcPr>
          <w:p w:rsidR="007E520C" w:rsidRPr="00A777A6" w:rsidRDefault="007E520C" w:rsidP="00BA7EE9">
            <w:pPr>
              <w:pStyle w:val="TableText0"/>
              <w:keepNext w:val="0"/>
              <w:rPr>
                <w:szCs w:val="18"/>
                <w:lang w:val="en-US"/>
              </w:rPr>
            </w:pPr>
            <w:r w:rsidRPr="009534D9">
              <w:rPr>
                <w:szCs w:val="18"/>
                <w:lang w:val="en-US"/>
              </w:rPr>
              <w:t>J Cystic Fibrosis 2019; 18 (</w:t>
            </w:r>
            <w:proofErr w:type="spellStart"/>
            <w:r w:rsidRPr="009534D9">
              <w:rPr>
                <w:szCs w:val="18"/>
                <w:lang w:val="en-US"/>
              </w:rPr>
              <w:t>Supp</w:t>
            </w:r>
            <w:proofErr w:type="spellEnd"/>
            <w:r w:rsidRPr="009534D9">
              <w:rPr>
                <w:szCs w:val="18"/>
                <w:lang w:val="en-US"/>
              </w:rPr>
              <w:t xml:space="preserve"> 1):S22-S23.</w:t>
            </w:r>
          </w:p>
        </w:tc>
      </w:tr>
      <w:tr w:rsidR="007E520C" w:rsidRPr="00CB38A8" w:rsidTr="00BA7EE9">
        <w:tc>
          <w:tcPr>
            <w:tcW w:w="796" w:type="pct"/>
            <w:tcBorders>
              <w:top w:val="nil"/>
              <w:bottom w:val="single" w:sz="4" w:space="0" w:color="auto"/>
            </w:tcBorders>
          </w:tcPr>
          <w:p w:rsidR="007E520C" w:rsidRDefault="008E6C7E" w:rsidP="00BA7EE9">
            <w:pPr>
              <w:pStyle w:val="TableText0"/>
              <w:keepNext w:val="0"/>
            </w:pPr>
            <w:r>
              <w:t>Flume</w:t>
            </w:r>
            <w:r w:rsidR="00716E0F">
              <w:t xml:space="preserve"> 2021</w:t>
            </w:r>
          </w:p>
        </w:tc>
        <w:tc>
          <w:tcPr>
            <w:tcW w:w="2739" w:type="pct"/>
            <w:tcBorders>
              <w:top w:val="nil"/>
              <w:bottom w:val="single" w:sz="4" w:space="0" w:color="auto"/>
            </w:tcBorders>
          </w:tcPr>
          <w:p w:rsidR="007E520C" w:rsidRPr="00A777A6" w:rsidRDefault="007E520C" w:rsidP="00BA7EE9">
            <w:pPr>
              <w:pStyle w:val="TableText0"/>
              <w:keepNext w:val="0"/>
              <w:rPr>
                <w:szCs w:val="18"/>
                <w:lang w:val="en-US"/>
              </w:rPr>
            </w:pPr>
            <w:r w:rsidRPr="000A4861">
              <w:t xml:space="preserve">Flume P, Fischer </w:t>
            </w:r>
            <w:proofErr w:type="spellStart"/>
            <w:r w:rsidRPr="000A4861">
              <w:t>Biner</w:t>
            </w:r>
            <w:proofErr w:type="spellEnd"/>
            <w:r w:rsidRPr="000A4861">
              <w:t xml:space="preserve"> R, Downey DG, et al. Long-term safety and efficacy of tezacaftor–ivacaftor in individuals with cystic fibrosis aged 12 years or older who are homozygous or heterozygous for Phe508del CFTR (EXTEND): an open-label extension study. </w:t>
            </w:r>
          </w:p>
        </w:tc>
        <w:tc>
          <w:tcPr>
            <w:tcW w:w="1465" w:type="pct"/>
            <w:tcBorders>
              <w:top w:val="nil"/>
              <w:bottom w:val="single" w:sz="4" w:space="0" w:color="auto"/>
            </w:tcBorders>
          </w:tcPr>
          <w:p w:rsidR="007E520C" w:rsidRPr="00A777A6" w:rsidRDefault="007E520C" w:rsidP="00BA7EE9">
            <w:pPr>
              <w:pStyle w:val="TableText0"/>
              <w:keepNext w:val="0"/>
              <w:rPr>
                <w:szCs w:val="18"/>
                <w:lang w:val="en-US"/>
              </w:rPr>
            </w:pPr>
            <w:r w:rsidRPr="000A4861">
              <w:t xml:space="preserve">Lancet </w:t>
            </w:r>
            <w:proofErr w:type="spellStart"/>
            <w:r w:rsidRPr="000A4861">
              <w:t>Respir</w:t>
            </w:r>
            <w:proofErr w:type="spellEnd"/>
            <w:r w:rsidRPr="000A4861">
              <w:t xml:space="preserve"> Med 2021. Published Online, February 10, 2021. https://doi.org/10.1016/ S2213-2600(20)30510-5</w:t>
            </w:r>
          </w:p>
        </w:tc>
      </w:tr>
      <w:tr w:rsidR="007E520C" w:rsidRPr="00CB38A8" w:rsidTr="00BA7EE9">
        <w:tc>
          <w:tcPr>
            <w:tcW w:w="796" w:type="pct"/>
            <w:tcBorders>
              <w:top w:val="single" w:sz="4" w:space="0" w:color="auto"/>
              <w:bottom w:val="nil"/>
            </w:tcBorders>
          </w:tcPr>
          <w:p w:rsidR="007E520C" w:rsidRDefault="007E520C" w:rsidP="00BA7EE9">
            <w:pPr>
              <w:pStyle w:val="TableText0"/>
              <w:keepNext w:val="0"/>
            </w:pPr>
            <w:r>
              <w:t>Tong 2020</w:t>
            </w:r>
          </w:p>
        </w:tc>
        <w:tc>
          <w:tcPr>
            <w:tcW w:w="2739" w:type="pct"/>
            <w:tcBorders>
              <w:top w:val="single" w:sz="4" w:space="0" w:color="auto"/>
              <w:bottom w:val="nil"/>
            </w:tcBorders>
          </w:tcPr>
          <w:p w:rsidR="007E520C" w:rsidRPr="00D306CB" w:rsidRDefault="007E520C" w:rsidP="00BA7EE9">
            <w:pPr>
              <w:pStyle w:val="TableText0"/>
              <w:keepNext w:val="0"/>
            </w:pPr>
            <w:r w:rsidRPr="00D306CB">
              <w:t xml:space="preserve">Tong K, Barker D, France M et al. Lumacaftor/ivacaftor reduces exacerbations in adults homozygous for Phe508del mutation with severe lung disease. </w:t>
            </w:r>
          </w:p>
        </w:tc>
        <w:tc>
          <w:tcPr>
            <w:tcW w:w="1465" w:type="pct"/>
            <w:tcBorders>
              <w:top w:val="single" w:sz="4" w:space="0" w:color="auto"/>
              <w:bottom w:val="nil"/>
            </w:tcBorders>
          </w:tcPr>
          <w:p w:rsidR="007E520C" w:rsidRPr="00F74CD9" w:rsidRDefault="007E520C" w:rsidP="00BA7EE9">
            <w:pPr>
              <w:pStyle w:val="TableText0"/>
              <w:keepNext w:val="0"/>
              <w:rPr>
                <w:i/>
                <w:szCs w:val="18"/>
              </w:rPr>
            </w:pPr>
            <w:r w:rsidRPr="00D306CB">
              <w:t>Journal of Cystic Fibrosis. 2020</w:t>
            </w:r>
            <w:proofErr w:type="gramStart"/>
            <w:r w:rsidRPr="00D306CB">
              <w:t>;19</w:t>
            </w:r>
            <w:proofErr w:type="gramEnd"/>
            <w:r w:rsidRPr="00D306CB">
              <w:t>(3):415-20.</w:t>
            </w:r>
          </w:p>
        </w:tc>
      </w:tr>
      <w:tr w:rsidR="007E520C" w:rsidRPr="00CB38A8" w:rsidTr="00BA7EE9">
        <w:tc>
          <w:tcPr>
            <w:tcW w:w="796" w:type="pct"/>
            <w:tcBorders>
              <w:top w:val="nil"/>
              <w:bottom w:val="nil"/>
            </w:tcBorders>
          </w:tcPr>
          <w:p w:rsidR="007E520C" w:rsidRDefault="007E520C" w:rsidP="00BA7EE9">
            <w:pPr>
              <w:pStyle w:val="TableText0"/>
              <w:keepNext w:val="0"/>
            </w:pPr>
          </w:p>
        </w:tc>
        <w:tc>
          <w:tcPr>
            <w:tcW w:w="2739" w:type="pct"/>
            <w:tcBorders>
              <w:top w:val="nil"/>
              <w:bottom w:val="nil"/>
            </w:tcBorders>
          </w:tcPr>
          <w:p w:rsidR="007E520C" w:rsidRPr="00D306CB" w:rsidRDefault="007E520C" w:rsidP="00BA7EE9">
            <w:pPr>
              <w:pStyle w:val="TableText0"/>
              <w:keepNext w:val="0"/>
            </w:pPr>
            <w:r w:rsidRPr="00D306CB">
              <w:t xml:space="preserve">Tong K, </w:t>
            </w:r>
            <w:proofErr w:type="spellStart"/>
            <w:r w:rsidRPr="00D306CB">
              <w:t>Dorahy</w:t>
            </w:r>
            <w:proofErr w:type="spellEnd"/>
            <w:r w:rsidRPr="00D306CB">
              <w:t xml:space="preserve"> D, France M et al. A multicentre, observational cohort study to determine the efficacy and safety of lumacaftor/ivacaftor in patients with severe lung disease and cystic fibrosis</w:t>
            </w:r>
          </w:p>
        </w:tc>
        <w:tc>
          <w:tcPr>
            <w:tcW w:w="1465" w:type="pct"/>
            <w:tcBorders>
              <w:top w:val="nil"/>
              <w:bottom w:val="nil"/>
            </w:tcBorders>
          </w:tcPr>
          <w:p w:rsidR="007E520C" w:rsidRPr="00F74CD9" w:rsidRDefault="007E520C" w:rsidP="00BA7EE9">
            <w:pPr>
              <w:pStyle w:val="TableText0"/>
              <w:keepNext w:val="0"/>
              <w:rPr>
                <w:i/>
                <w:szCs w:val="18"/>
              </w:rPr>
            </w:pPr>
            <w:r w:rsidRPr="00D306CB">
              <w:t>European Respiratory Journal. 2019</w:t>
            </w:r>
            <w:proofErr w:type="gramStart"/>
            <w:r w:rsidRPr="00D306CB">
              <w:t>;54</w:t>
            </w:r>
            <w:proofErr w:type="gramEnd"/>
            <w:r w:rsidRPr="00D306CB">
              <w:t>(Supplement 63).</w:t>
            </w:r>
          </w:p>
        </w:tc>
      </w:tr>
      <w:tr w:rsidR="007E520C" w:rsidRPr="00CB38A8" w:rsidTr="00BA7EE9">
        <w:tc>
          <w:tcPr>
            <w:tcW w:w="796" w:type="pct"/>
            <w:tcBorders>
              <w:top w:val="nil"/>
              <w:bottom w:val="single" w:sz="4" w:space="0" w:color="auto"/>
            </w:tcBorders>
          </w:tcPr>
          <w:p w:rsidR="007E520C" w:rsidRDefault="007E520C" w:rsidP="00BA7EE9">
            <w:pPr>
              <w:pStyle w:val="TableText0"/>
              <w:keepNext w:val="0"/>
            </w:pPr>
          </w:p>
        </w:tc>
        <w:tc>
          <w:tcPr>
            <w:tcW w:w="2739" w:type="pct"/>
            <w:tcBorders>
              <w:top w:val="nil"/>
              <w:bottom w:val="single" w:sz="4" w:space="0" w:color="auto"/>
            </w:tcBorders>
          </w:tcPr>
          <w:p w:rsidR="007E520C" w:rsidRPr="00D306CB" w:rsidRDefault="007E520C" w:rsidP="00BA7EE9">
            <w:pPr>
              <w:pStyle w:val="TableText0"/>
              <w:keepNext w:val="0"/>
            </w:pPr>
            <w:proofErr w:type="spellStart"/>
            <w:r w:rsidRPr="00D306CB">
              <w:t>Wark</w:t>
            </w:r>
            <w:proofErr w:type="spellEnd"/>
            <w:r w:rsidRPr="00D306CB">
              <w:t xml:space="preserve"> PA, Tong K, </w:t>
            </w:r>
            <w:proofErr w:type="spellStart"/>
            <w:r w:rsidRPr="00D306CB">
              <w:t>Dorahy</w:t>
            </w:r>
            <w:proofErr w:type="spellEnd"/>
            <w:r w:rsidRPr="00D306CB">
              <w:t xml:space="preserve"> D et al. A multicentre, observational </w:t>
            </w:r>
            <w:proofErr w:type="spellStart"/>
            <w:r w:rsidRPr="00D306CB">
              <w:t>casecontrol</w:t>
            </w:r>
            <w:proofErr w:type="spellEnd"/>
            <w:r w:rsidRPr="00D306CB">
              <w:t xml:space="preserve"> study to determine the effect of lumacaftor/ivacaftor in patients with severe lung disease and cystic fibrosis. </w:t>
            </w:r>
          </w:p>
        </w:tc>
        <w:tc>
          <w:tcPr>
            <w:tcW w:w="1465" w:type="pct"/>
            <w:tcBorders>
              <w:top w:val="nil"/>
              <w:bottom w:val="single" w:sz="4" w:space="0" w:color="auto"/>
            </w:tcBorders>
          </w:tcPr>
          <w:p w:rsidR="007E520C" w:rsidRPr="00F74CD9" w:rsidRDefault="007E520C" w:rsidP="00BA7EE9">
            <w:pPr>
              <w:pStyle w:val="TableText0"/>
              <w:keepNext w:val="0"/>
              <w:rPr>
                <w:i/>
                <w:szCs w:val="18"/>
              </w:rPr>
            </w:pPr>
            <w:proofErr w:type="spellStart"/>
            <w:r w:rsidRPr="00D306CB">
              <w:t>Pediatric</w:t>
            </w:r>
            <w:proofErr w:type="spellEnd"/>
            <w:r w:rsidRPr="00D306CB">
              <w:t xml:space="preserve"> Pulmonology. 2019;54(Supplement 2):432</w:t>
            </w:r>
          </w:p>
        </w:tc>
      </w:tr>
      <w:tr w:rsidR="00623A10" w:rsidRPr="00CB38A8" w:rsidTr="00F109D7">
        <w:tc>
          <w:tcPr>
            <w:tcW w:w="796" w:type="pct"/>
          </w:tcPr>
          <w:p w:rsidR="00623A10" w:rsidRDefault="00623A10" w:rsidP="00F109D7">
            <w:pPr>
              <w:pStyle w:val="TableText0"/>
              <w:keepNext w:val="0"/>
            </w:pPr>
            <w:r w:rsidRPr="00237BB4">
              <w:t>ACFDR (≥ 12y)</w:t>
            </w:r>
          </w:p>
        </w:tc>
        <w:tc>
          <w:tcPr>
            <w:tcW w:w="2739" w:type="pct"/>
            <w:tcBorders>
              <w:top w:val="single" w:sz="4" w:space="0" w:color="auto"/>
              <w:bottom w:val="single" w:sz="4" w:space="0" w:color="auto"/>
            </w:tcBorders>
          </w:tcPr>
          <w:p w:rsidR="00623A10" w:rsidRPr="00A777A6" w:rsidRDefault="00623A10" w:rsidP="00F109D7">
            <w:pPr>
              <w:pStyle w:val="TableText0"/>
              <w:keepNext w:val="0"/>
              <w:rPr>
                <w:szCs w:val="18"/>
                <w:lang w:val="en-US"/>
              </w:rPr>
            </w:pPr>
            <w:r>
              <w:rPr>
                <w:szCs w:val="18"/>
              </w:rPr>
              <w:t>Final ACFDR ppFEV</w:t>
            </w:r>
            <w:r w:rsidRPr="00C94506">
              <w:rPr>
                <w:szCs w:val="18"/>
                <w:vertAlign w:val="subscript"/>
              </w:rPr>
              <w:t xml:space="preserve">1 </w:t>
            </w:r>
            <w:r>
              <w:rPr>
                <w:szCs w:val="18"/>
              </w:rPr>
              <w:t>ROD report</w:t>
            </w:r>
          </w:p>
        </w:tc>
        <w:tc>
          <w:tcPr>
            <w:tcW w:w="1465" w:type="pct"/>
            <w:tcBorders>
              <w:top w:val="single" w:sz="4" w:space="0" w:color="auto"/>
              <w:bottom w:val="single" w:sz="4" w:space="0" w:color="auto"/>
            </w:tcBorders>
          </w:tcPr>
          <w:p w:rsidR="00623A10" w:rsidRDefault="00623A10" w:rsidP="00F109D7">
            <w:pPr>
              <w:pStyle w:val="TableText0"/>
              <w:keepNext w:val="0"/>
              <w:rPr>
                <w:szCs w:val="18"/>
              </w:rPr>
            </w:pPr>
            <w:r w:rsidRPr="0029474D">
              <w:t>Internal Study Report</w:t>
            </w:r>
            <w:r>
              <w:rPr>
                <w:szCs w:val="18"/>
              </w:rPr>
              <w:t xml:space="preserve"> </w:t>
            </w:r>
          </w:p>
          <w:p w:rsidR="00623A10" w:rsidRPr="00A777A6" w:rsidRDefault="00623A10" w:rsidP="00F109D7">
            <w:pPr>
              <w:pStyle w:val="TableText0"/>
              <w:keepNext w:val="0"/>
              <w:rPr>
                <w:szCs w:val="18"/>
                <w:lang w:val="en-US"/>
              </w:rPr>
            </w:pPr>
            <w:r>
              <w:rPr>
                <w:szCs w:val="18"/>
              </w:rPr>
              <w:t>1 February 2021</w:t>
            </w:r>
          </w:p>
        </w:tc>
      </w:tr>
      <w:tr w:rsidR="00623A10" w:rsidRPr="00CB38A8" w:rsidTr="00F109D7">
        <w:tc>
          <w:tcPr>
            <w:tcW w:w="796" w:type="pct"/>
            <w:tcBorders>
              <w:bottom w:val="single" w:sz="4" w:space="0" w:color="auto"/>
            </w:tcBorders>
          </w:tcPr>
          <w:p w:rsidR="00623A10" w:rsidRPr="00237BB4" w:rsidRDefault="00623A10" w:rsidP="00F109D7">
            <w:pPr>
              <w:pStyle w:val="TableText0"/>
              <w:keepNext w:val="0"/>
            </w:pPr>
            <w:proofErr w:type="spellStart"/>
            <w:r w:rsidRPr="003F77C6">
              <w:t>Bourgani</w:t>
            </w:r>
            <w:proofErr w:type="spellEnd"/>
            <w:r w:rsidRPr="003F77C6">
              <w:t xml:space="preserve"> 2019</w:t>
            </w:r>
          </w:p>
        </w:tc>
        <w:tc>
          <w:tcPr>
            <w:tcW w:w="2739" w:type="pct"/>
            <w:tcBorders>
              <w:top w:val="single" w:sz="4" w:space="0" w:color="auto"/>
              <w:bottom w:val="single" w:sz="4" w:space="0" w:color="auto"/>
            </w:tcBorders>
          </w:tcPr>
          <w:p w:rsidR="00623A10" w:rsidRDefault="00623A10" w:rsidP="00F109D7">
            <w:pPr>
              <w:pStyle w:val="TableText0"/>
              <w:keepNext w:val="0"/>
              <w:rPr>
                <w:szCs w:val="18"/>
              </w:rPr>
            </w:pPr>
            <w:proofErr w:type="spellStart"/>
            <w:r w:rsidRPr="00566F73">
              <w:t>Bourgani</w:t>
            </w:r>
            <w:proofErr w:type="spellEnd"/>
            <w:r w:rsidRPr="00566F73">
              <w:t xml:space="preserve"> E, </w:t>
            </w:r>
            <w:proofErr w:type="spellStart"/>
            <w:r w:rsidRPr="00566F73">
              <w:t>Stagaki</w:t>
            </w:r>
            <w:proofErr w:type="spellEnd"/>
            <w:r w:rsidRPr="00566F73">
              <w:t xml:space="preserve"> E, </w:t>
            </w:r>
            <w:proofErr w:type="spellStart"/>
            <w:r w:rsidRPr="00566F73">
              <w:t>Gioka</w:t>
            </w:r>
            <w:proofErr w:type="spellEnd"/>
            <w:r w:rsidRPr="00566F73">
              <w:t xml:space="preserve"> M, et al. Two years' experience of lumacaftor/ivacaftor treatment at an adult cystic fibrosis centre in Athens, Greece. </w:t>
            </w:r>
          </w:p>
        </w:tc>
        <w:tc>
          <w:tcPr>
            <w:tcW w:w="1465" w:type="pct"/>
            <w:tcBorders>
              <w:top w:val="single" w:sz="4" w:space="0" w:color="auto"/>
              <w:bottom w:val="single" w:sz="4" w:space="0" w:color="auto"/>
            </w:tcBorders>
          </w:tcPr>
          <w:p w:rsidR="00623A10" w:rsidRPr="0029474D" w:rsidRDefault="00623A10" w:rsidP="00F109D7">
            <w:pPr>
              <w:pStyle w:val="TableText0"/>
              <w:keepNext w:val="0"/>
            </w:pPr>
            <w:r w:rsidRPr="00566F73">
              <w:t>Journal of Cystic Fibrosis. 2019</w:t>
            </w:r>
            <w:proofErr w:type="gramStart"/>
            <w:r w:rsidRPr="00566F73">
              <w:t>;18</w:t>
            </w:r>
            <w:proofErr w:type="gramEnd"/>
            <w:r w:rsidRPr="00566F73">
              <w:t>(Suppl1):S132.</w:t>
            </w:r>
          </w:p>
        </w:tc>
      </w:tr>
      <w:tr w:rsidR="00623A10" w:rsidRPr="00CB38A8" w:rsidTr="00F109D7">
        <w:tc>
          <w:tcPr>
            <w:tcW w:w="796" w:type="pct"/>
            <w:tcBorders>
              <w:bottom w:val="single" w:sz="4" w:space="0" w:color="auto"/>
            </w:tcBorders>
          </w:tcPr>
          <w:p w:rsidR="00623A10" w:rsidRPr="003F77C6" w:rsidRDefault="00623A10" w:rsidP="00F109D7">
            <w:pPr>
              <w:pStyle w:val="TableText0"/>
              <w:keepNext w:val="0"/>
            </w:pPr>
            <w:proofErr w:type="spellStart"/>
            <w:r w:rsidRPr="003F77C6">
              <w:t>Mermis</w:t>
            </w:r>
            <w:proofErr w:type="spellEnd"/>
            <w:r w:rsidRPr="003F77C6">
              <w:t xml:space="preserve"> 2019</w:t>
            </w:r>
          </w:p>
        </w:tc>
        <w:tc>
          <w:tcPr>
            <w:tcW w:w="2739" w:type="pct"/>
            <w:tcBorders>
              <w:top w:val="single" w:sz="4" w:space="0" w:color="auto"/>
              <w:bottom w:val="single" w:sz="4" w:space="0" w:color="auto"/>
            </w:tcBorders>
          </w:tcPr>
          <w:p w:rsidR="00623A10" w:rsidRPr="00566F73" w:rsidRDefault="00623A10" w:rsidP="00F109D7">
            <w:pPr>
              <w:pStyle w:val="TableText0"/>
              <w:keepNext w:val="0"/>
            </w:pPr>
            <w:proofErr w:type="spellStart"/>
            <w:r w:rsidRPr="00566F73">
              <w:t>Mermis</w:t>
            </w:r>
            <w:proofErr w:type="spellEnd"/>
            <w:r w:rsidRPr="00566F73">
              <w:t xml:space="preserve"> J, </w:t>
            </w:r>
            <w:proofErr w:type="spellStart"/>
            <w:r w:rsidRPr="00566F73">
              <w:t>Polineni</w:t>
            </w:r>
            <w:proofErr w:type="spellEnd"/>
            <w:r w:rsidRPr="00566F73">
              <w:t xml:space="preserve"> D, He J. "real world" impact of CFTR modulators (lumacaftor/ivacaftor and tezacaftor/ ivacaftor) on long-term patient outcomes. </w:t>
            </w:r>
          </w:p>
        </w:tc>
        <w:tc>
          <w:tcPr>
            <w:tcW w:w="1465" w:type="pct"/>
            <w:tcBorders>
              <w:top w:val="single" w:sz="4" w:space="0" w:color="auto"/>
              <w:bottom w:val="single" w:sz="4" w:space="0" w:color="auto"/>
            </w:tcBorders>
          </w:tcPr>
          <w:p w:rsidR="00623A10" w:rsidRPr="00566F73" w:rsidRDefault="00623A10" w:rsidP="00F109D7">
            <w:pPr>
              <w:pStyle w:val="TableText0"/>
              <w:keepNext w:val="0"/>
            </w:pPr>
            <w:proofErr w:type="spellStart"/>
            <w:r w:rsidRPr="00566F73">
              <w:t>Pediatric</w:t>
            </w:r>
            <w:proofErr w:type="spellEnd"/>
            <w:r w:rsidRPr="00566F73">
              <w:t xml:space="preserve"> Pulmonology. 2019</w:t>
            </w:r>
            <w:proofErr w:type="gramStart"/>
            <w:r w:rsidRPr="00566F73">
              <w:t>;54</w:t>
            </w:r>
            <w:proofErr w:type="gramEnd"/>
            <w:r w:rsidRPr="00566F73">
              <w:t>(Suppl2):350-1.</w:t>
            </w:r>
          </w:p>
        </w:tc>
      </w:tr>
      <w:tr w:rsidR="00623A10" w:rsidRPr="00CB38A8" w:rsidTr="00F109D7">
        <w:tc>
          <w:tcPr>
            <w:tcW w:w="796" w:type="pct"/>
            <w:tcBorders>
              <w:bottom w:val="single" w:sz="4" w:space="0" w:color="auto"/>
            </w:tcBorders>
          </w:tcPr>
          <w:p w:rsidR="00623A10" w:rsidRPr="003F77C6" w:rsidRDefault="00623A10" w:rsidP="00F109D7">
            <w:pPr>
              <w:pStyle w:val="TableText0"/>
              <w:keepNext w:val="0"/>
            </w:pPr>
            <w:proofErr w:type="spellStart"/>
            <w:r w:rsidRPr="003F77C6">
              <w:t>Muilwijk</w:t>
            </w:r>
            <w:proofErr w:type="spellEnd"/>
            <w:r w:rsidRPr="003F77C6">
              <w:t xml:space="preserve"> 2020</w:t>
            </w:r>
          </w:p>
        </w:tc>
        <w:tc>
          <w:tcPr>
            <w:tcW w:w="2739" w:type="pct"/>
            <w:tcBorders>
              <w:top w:val="single" w:sz="4" w:space="0" w:color="auto"/>
              <w:bottom w:val="single" w:sz="4" w:space="0" w:color="auto"/>
            </w:tcBorders>
          </w:tcPr>
          <w:p w:rsidR="00623A10" w:rsidRPr="00566F73" w:rsidRDefault="00623A10" w:rsidP="00F109D7">
            <w:pPr>
              <w:pStyle w:val="TableText0"/>
              <w:keepNext w:val="0"/>
            </w:pPr>
            <w:proofErr w:type="spellStart"/>
            <w:r w:rsidRPr="00566F73">
              <w:t>Muilwijk</w:t>
            </w:r>
            <w:proofErr w:type="spellEnd"/>
            <w:r w:rsidRPr="00566F73">
              <w:t xml:space="preserve"> D, </w:t>
            </w:r>
            <w:proofErr w:type="spellStart"/>
            <w:r w:rsidRPr="00566F73">
              <w:t>Zomer</w:t>
            </w:r>
            <w:proofErr w:type="spellEnd"/>
            <w:r w:rsidRPr="00566F73">
              <w:t xml:space="preserve"> DD, </w:t>
            </w:r>
            <w:proofErr w:type="spellStart"/>
            <w:r w:rsidRPr="00566F73">
              <w:t>Gulmans</w:t>
            </w:r>
            <w:proofErr w:type="spellEnd"/>
            <w:r w:rsidRPr="00566F73">
              <w:t xml:space="preserve"> VAM, et al. Real-world trends in long-term clinical outcomes of lumacaftor/ivacaftor. </w:t>
            </w:r>
          </w:p>
        </w:tc>
        <w:tc>
          <w:tcPr>
            <w:tcW w:w="1465" w:type="pct"/>
            <w:tcBorders>
              <w:top w:val="single" w:sz="4" w:space="0" w:color="auto"/>
              <w:bottom w:val="single" w:sz="4" w:space="0" w:color="auto"/>
            </w:tcBorders>
          </w:tcPr>
          <w:p w:rsidR="00623A10" w:rsidRPr="00566F73" w:rsidRDefault="00623A10" w:rsidP="00F109D7">
            <w:pPr>
              <w:pStyle w:val="TableText0"/>
              <w:keepNext w:val="0"/>
            </w:pPr>
            <w:r w:rsidRPr="00566F73">
              <w:t>Journal of Cystic Fibrosis. 2020</w:t>
            </w:r>
            <w:proofErr w:type="gramStart"/>
            <w:r w:rsidRPr="00566F73">
              <w:t>;19</w:t>
            </w:r>
            <w:proofErr w:type="gramEnd"/>
            <w:r w:rsidRPr="00566F73">
              <w:t>(Suppl2):S70-S1.</w:t>
            </w:r>
          </w:p>
        </w:tc>
      </w:tr>
      <w:tr w:rsidR="00623A10" w:rsidRPr="00CB38A8" w:rsidTr="00F109D7">
        <w:tc>
          <w:tcPr>
            <w:tcW w:w="796" w:type="pct"/>
            <w:tcBorders>
              <w:bottom w:val="nil"/>
            </w:tcBorders>
          </w:tcPr>
          <w:p w:rsidR="00623A10" w:rsidRPr="003F77C6" w:rsidRDefault="00623A10" w:rsidP="00F109D7">
            <w:pPr>
              <w:pStyle w:val="TableText0"/>
              <w:keepNext w:val="0"/>
            </w:pPr>
            <w:r>
              <w:t>French CF Network</w:t>
            </w:r>
          </w:p>
        </w:tc>
        <w:tc>
          <w:tcPr>
            <w:tcW w:w="2739" w:type="pct"/>
            <w:tcBorders>
              <w:top w:val="single" w:sz="4" w:space="0" w:color="auto"/>
              <w:bottom w:val="nil"/>
            </w:tcBorders>
          </w:tcPr>
          <w:p w:rsidR="00623A10" w:rsidRPr="00566F73" w:rsidRDefault="00623A10" w:rsidP="00F109D7">
            <w:pPr>
              <w:pStyle w:val="TableText0"/>
              <w:keepNext w:val="0"/>
            </w:pPr>
          </w:p>
        </w:tc>
        <w:tc>
          <w:tcPr>
            <w:tcW w:w="1465" w:type="pct"/>
            <w:tcBorders>
              <w:top w:val="single" w:sz="4" w:space="0" w:color="auto"/>
              <w:bottom w:val="nil"/>
            </w:tcBorders>
          </w:tcPr>
          <w:p w:rsidR="00623A10" w:rsidRPr="00566F73" w:rsidRDefault="00623A10" w:rsidP="00F109D7">
            <w:pPr>
              <w:pStyle w:val="TableText0"/>
              <w:keepNext w:val="0"/>
            </w:pPr>
          </w:p>
        </w:tc>
      </w:tr>
      <w:tr w:rsidR="00623A10" w:rsidRPr="00CB38A8" w:rsidTr="00F109D7">
        <w:tc>
          <w:tcPr>
            <w:tcW w:w="796" w:type="pct"/>
            <w:tcBorders>
              <w:top w:val="nil"/>
              <w:bottom w:val="nil"/>
            </w:tcBorders>
          </w:tcPr>
          <w:p w:rsidR="00623A10" w:rsidRDefault="00623A10" w:rsidP="00F109D7">
            <w:pPr>
              <w:pStyle w:val="TableText0"/>
              <w:keepNext w:val="0"/>
            </w:pPr>
            <w:r w:rsidRPr="003F77C6">
              <w:t>Collet 2018</w:t>
            </w:r>
          </w:p>
          <w:p w:rsidR="00623A10" w:rsidRDefault="00623A10" w:rsidP="00F109D7">
            <w:pPr>
              <w:pStyle w:val="TableText0"/>
              <w:keepNext w:val="0"/>
            </w:pPr>
          </w:p>
        </w:tc>
        <w:tc>
          <w:tcPr>
            <w:tcW w:w="2739" w:type="pct"/>
            <w:tcBorders>
              <w:top w:val="nil"/>
              <w:bottom w:val="nil"/>
            </w:tcBorders>
          </w:tcPr>
          <w:p w:rsidR="00623A10" w:rsidRPr="00566F73" w:rsidRDefault="00623A10" w:rsidP="00F109D7">
            <w:pPr>
              <w:pStyle w:val="TableText0"/>
              <w:keepNext w:val="0"/>
            </w:pPr>
            <w:r w:rsidRPr="00566F73">
              <w:t xml:space="preserve">Collet C, Bui S, </w:t>
            </w:r>
            <w:proofErr w:type="spellStart"/>
            <w:r w:rsidRPr="00566F73">
              <w:t>Mittaine</w:t>
            </w:r>
            <w:proofErr w:type="spellEnd"/>
            <w:r w:rsidRPr="00566F73">
              <w:t xml:space="preserve"> M, et al. Lumacaftor/ivacaftor in real life for Phe508del homozygous, adolescents with severe and normal lung function. </w:t>
            </w:r>
          </w:p>
        </w:tc>
        <w:tc>
          <w:tcPr>
            <w:tcW w:w="1465" w:type="pct"/>
            <w:tcBorders>
              <w:top w:val="nil"/>
              <w:bottom w:val="nil"/>
            </w:tcBorders>
          </w:tcPr>
          <w:p w:rsidR="00623A10" w:rsidRPr="00566F73" w:rsidRDefault="00623A10" w:rsidP="00F109D7">
            <w:pPr>
              <w:pStyle w:val="TableText0"/>
              <w:keepNext w:val="0"/>
            </w:pPr>
            <w:r w:rsidRPr="00566F73">
              <w:t>Journal of Cystic Fibrosis. 2018</w:t>
            </w:r>
            <w:proofErr w:type="gramStart"/>
            <w:r w:rsidRPr="00566F73">
              <w:t>;17</w:t>
            </w:r>
            <w:proofErr w:type="gramEnd"/>
            <w:r w:rsidRPr="00566F73">
              <w:t>(Suppl3):S66.</w:t>
            </w:r>
          </w:p>
        </w:tc>
      </w:tr>
      <w:tr w:rsidR="00623A10" w:rsidRPr="00CB38A8" w:rsidTr="00F109D7">
        <w:tc>
          <w:tcPr>
            <w:tcW w:w="796" w:type="pct"/>
            <w:tcBorders>
              <w:top w:val="nil"/>
              <w:bottom w:val="nil"/>
            </w:tcBorders>
          </w:tcPr>
          <w:p w:rsidR="00623A10" w:rsidRPr="003F77C6" w:rsidRDefault="00623A10" w:rsidP="00F109D7">
            <w:pPr>
              <w:pStyle w:val="TableText0"/>
              <w:keepNext w:val="0"/>
            </w:pPr>
            <w:proofErr w:type="spellStart"/>
            <w:r>
              <w:t>Burgel</w:t>
            </w:r>
            <w:proofErr w:type="spellEnd"/>
            <w:r>
              <w:t xml:space="preserve"> 2020</w:t>
            </w:r>
          </w:p>
        </w:tc>
        <w:tc>
          <w:tcPr>
            <w:tcW w:w="2739" w:type="pct"/>
            <w:tcBorders>
              <w:top w:val="nil"/>
              <w:bottom w:val="nil"/>
            </w:tcBorders>
          </w:tcPr>
          <w:p w:rsidR="00623A10" w:rsidRPr="00566F73" w:rsidRDefault="00623A10" w:rsidP="00F109D7">
            <w:pPr>
              <w:pStyle w:val="TableText0"/>
              <w:keepNext w:val="0"/>
            </w:pPr>
            <w:proofErr w:type="spellStart"/>
            <w:r w:rsidRPr="00566F73">
              <w:t>Burgel</w:t>
            </w:r>
            <w:proofErr w:type="spellEnd"/>
            <w:r w:rsidRPr="00566F73">
              <w:t xml:space="preserve"> P-R, </w:t>
            </w:r>
            <w:proofErr w:type="spellStart"/>
            <w:r w:rsidRPr="00566F73">
              <w:t>Munck</w:t>
            </w:r>
            <w:proofErr w:type="spellEnd"/>
            <w:r w:rsidRPr="00566F73">
              <w:t xml:space="preserve"> A, </w:t>
            </w:r>
            <w:proofErr w:type="spellStart"/>
            <w:r w:rsidRPr="00566F73">
              <w:t>Durieu</w:t>
            </w:r>
            <w:proofErr w:type="spellEnd"/>
            <w:r w:rsidRPr="00566F73">
              <w:t xml:space="preserve"> I, et al. Real-Life Safety and Effectiveness of Lumacaftor-Ivacaftor in Patients with Cystic Fibrosis. </w:t>
            </w:r>
          </w:p>
        </w:tc>
        <w:tc>
          <w:tcPr>
            <w:tcW w:w="1465" w:type="pct"/>
            <w:tcBorders>
              <w:top w:val="nil"/>
              <w:bottom w:val="nil"/>
            </w:tcBorders>
          </w:tcPr>
          <w:p w:rsidR="00623A10" w:rsidRPr="00566F73" w:rsidRDefault="00623A10" w:rsidP="00F109D7">
            <w:pPr>
              <w:pStyle w:val="TableText0"/>
              <w:keepNext w:val="0"/>
            </w:pPr>
            <w:r w:rsidRPr="00566F73">
              <w:t>American Journal of Respiratory and Critical Care Medicine. 2020</w:t>
            </w:r>
            <w:proofErr w:type="gramStart"/>
            <w:r w:rsidRPr="00566F73">
              <w:t>;201</w:t>
            </w:r>
            <w:proofErr w:type="gramEnd"/>
            <w:r w:rsidRPr="00566F73">
              <w:t>(2):188-97.</w:t>
            </w:r>
          </w:p>
        </w:tc>
      </w:tr>
      <w:tr w:rsidR="00623A10" w:rsidRPr="00CB38A8" w:rsidTr="00F109D7">
        <w:tc>
          <w:tcPr>
            <w:tcW w:w="796" w:type="pct"/>
            <w:tcBorders>
              <w:top w:val="nil"/>
              <w:bottom w:val="single" w:sz="4" w:space="0" w:color="auto"/>
            </w:tcBorders>
          </w:tcPr>
          <w:p w:rsidR="00623A10" w:rsidRDefault="00623A10" w:rsidP="00F109D7">
            <w:pPr>
              <w:pStyle w:val="TableText0"/>
              <w:keepNext w:val="0"/>
            </w:pPr>
          </w:p>
        </w:tc>
        <w:tc>
          <w:tcPr>
            <w:tcW w:w="2739" w:type="pct"/>
            <w:tcBorders>
              <w:top w:val="nil"/>
              <w:bottom w:val="single" w:sz="4" w:space="0" w:color="auto"/>
            </w:tcBorders>
          </w:tcPr>
          <w:p w:rsidR="00623A10" w:rsidRPr="00566F73" w:rsidRDefault="00623A10" w:rsidP="00F109D7">
            <w:pPr>
              <w:pStyle w:val="TableText0"/>
              <w:keepNext w:val="0"/>
            </w:pPr>
            <w:proofErr w:type="spellStart"/>
            <w:r w:rsidRPr="00566F73">
              <w:t>Burgel</w:t>
            </w:r>
            <w:proofErr w:type="spellEnd"/>
            <w:r w:rsidRPr="00566F73">
              <w:t xml:space="preserve"> PR, Hubert D, </w:t>
            </w:r>
            <w:proofErr w:type="spellStart"/>
            <w:r w:rsidRPr="00566F73">
              <w:t>Munck</w:t>
            </w:r>
            <w:proofErr w:type="spellEnd"/>
            <w:r w:rsidRPr="00566F73">
              <w:t xml:space="preserve"> A, et al. Real-life initiation of lumacaftor/ivacaftor in adolescents and adults homozygous for the F508del CFTR mutation: a French nationwide study. </w:t>
            </w:r>
          </w:p>
        </w:tc>
        <w:tc>
          <w:tcPr>
            <w:tcW w:w="1465" w:type="pct"/>
            <w:tcBorders>
              <w:top w:val="nil"/>
              <w:bottom w:val="single" w:sz="4" w:space="0" w:color="auto"/>
            </w:tcBorders>
          </w:tcPr>
          <w:p w:rsidR="00623A10" w:rsidRPr="00566F73" w:rsidRDefault="00623A10" w:rsidP="00F109D7">
            <w:pPr>
              <w:pStyle w:val="TableText0"/>
              <w:keepNext w:val="0"/>
            </w:pPr>
            <w:r w:rsidRPr="00566F73">
              <w:t>Journal of Cystic Fibrosis. 2019</w:t>
            </w:r>
            <w:proofErr w:type="gramStart"/>
            <w:r w:rsidRPr="00566F73">
              <w:t>;18</w:t>
            </w:r>
            <w:proofErr w:type="gramEnd"/>
            <w:r w:rsidRPr="00566F73">
              <w:t>(Suppl1):S132.</w:t>
            </w:r>
          </w:p>
        </w:tc>
      </w:tr>
      <w:tr w:rsidR="00623A10" w:rsidRPr="00CB38A8" w:rsidTr="00F109D7">
        <w:tc>
          <w:tcPr>
            <w:tcW w:w="796" w:type="pct"/>
            <w:tcBorders>
              <w:bottom w:val="single" w:sz="4" w:space="0" w:color="auto"/>
            </w:tcBorders>
          </w:tcPr>
          <w:p w:rsidR="00623A10" w:rsidRDefault="00623A10" w:rsidP="00F109D7">
            <w:pPr>
              <w:pStyle w:val="TableText0"/>
              <w:keepNext w:val="0"/>
            </w:pPr>
            <w:r w:rsidRPr="003D095C">
              <w:lastRenderedPageBreak/>
              <w:t xml:space="preserve">Ejiofor 2020 </w:t>
            </w:r>
          </w:p>
        </w:tc>
        <w:tc>
          <w:tcPr>
            <w:tcW w:w="2739" w:type="pct"/>
            <w:tcBorders>
              <w:top w:val="single" w:sz="4" w:space="0" w:color="auto"/>
              <w:bottom w:val="single" w:sz="4" w:space="0" w:color="auto"/>
            </w:tcBorders>
          </w:tcPr>
          <w:p w:rsidR="00623A10" w:rsidRPr="00566F73" w:rsidRDefault="00623A10" w:rsidP="00F109D7">
            <w:pPr>
              <w:pStyle w:val="TableText0"/>
              <w:keepNext w:val="0"/>
            </w:pPr>
            <w:r w:rsidRPr="00747ED6">
              <w:t xml:space="preserve">Ejiofor LCK, </w:t>
            </w:r>
            <w:proofErr w:type="spellStart"/>
            <w:r w:rsidRPr="00747ED6">
              <w:t>Mathiesen</w:t>
            </w:r>
            <w:proofErr w:type="spellEnd"/>
            <w:r w:rsidRPr="00747ED6">
              <w:t xml:space="preserve"> IHM, Jensen-</w:t>
            </w:r>
            <w:proofErr w:type="spellStart"/>
            <w:r w:rsidRPr="00747ED6">
              <w:t>Fangel</w:t>
            </w:r>
            <w:proofErr w:type="spellEnd"/>
            <w:r w:rsidRPr="00747ED6">
              <w:t xml:space="preserve"> S, et al. Patients with cystic fibrosis and advanced lung disease benefit from lumacaftor/ivacaftor treatment. </w:t>
            </w:r>
          </w:p>
        </w:tc>
        <w:tc>
          <w:tcPr>
            <w:tcW w:w="1465" w:type="pct"/>
            <w:tcBorders>
              <w:top w:val="single" w:sz="4" w:space="0" w:color="auto"/>
              <w:bottom w:val="single" w:sz="4" w:space="0" w:color="auto"/>
            </w:tcBorders>
          </w:tcPr>
          <w:p w:rsidR="00623A10" w:rsidRPr="00566F73" w:rsidRDefault="00623A10" w:rsidP="00F109D7">
            <w:pPr>
              <w:pStyle w:val="TableText0"/>
              <w:keepNext w:val="0"/>
            </w:pPr>
            <w:proofErr w:type="spellStart"/>
            <w:r w:rsidRPr="00747ED6">
              <w:t>Pediatric</w:t>
            </w:r>
            <w:proofErr w:type="spellEnd"/>
            <w:r w:rsidRPr="00747ED6">
              <w:t xml:space="preserve"> Pulmonology. 2020</w:t>
            </w:r>
            <w:proofErr w:type="gramStart"/>
            <w:r w:rsidRPr="00747ED6">
              <w:t>;55</w:t>
            </w:r>
            <w:proofErr w:type="gramEnd"/>
            <w:r w:rsidRPr="00747ED6">
              <w:t>(12):3364-70.</w:t>
            </w:r>
          </w:p>
        </w:tc>
      </w:tr>
      <w:tr w:rsidR="00623A10" w:rsidRPr="00CB38A8" w:rsidTr="00F109D7">
        <w:tc>
          <w:tcPr>
            <w:tcW w:w="796" w:type="pct"/>
            <w:tcBorders>
              <w:bottom w:val="single" w:sz="4" w:space="0" w:color="auto"/>
            </w:tcBorders>
          </w:tcPr>
          <w:p w:rsidR="00623A10" w:rsidRPr="003D095C" w:rsidRDefault="00623A10" w:rsidP="00F109D7">
            <w:pPr>
              <w:pStyle w:val="TableText0"/>
              <w:keepNext w:val="0"/>
            </w:pPr>
            <w:r w:rsidRPr="003D095C">
              <w:t>King 2021</w:t>
            </w:r>
          </w:p>
        </w:tc>
        <w:tc>
          <w:tcPr>
            <w:tcW w:w="2739" w:type="pct"/>
            <w:tcBorders>
              <w:top w:val="single" w:sz="4" w:space="0" w:color="auto"/>
              <w:bottom w:val="single" w:sz="4" w:space="0" w:color="auto"/>
            </w:tcBorders>
          </w:tcPr>
          <w:p w:rsidR="00623A10" w:rsidRPr="00747ED6" w:rsidRDefault="00623A10" w:rsidP="00F109D7">
            <w:pPr>
              <w:pStyle w:val="TableText0"/>
              <w:keepNext w:val="0"/>
            </w:pPr>
            <w:r w:rsidRPr="00566F73">
              <w:t xml:space="preserve">King SJ, Keating D, Williams E et al. Lumacaftor/ivacaftor-associated health stabilisation in adults with severe cystic fibrosis. </w:t>
            </w:r>
          </w:p>
        </w:tc>
        <w:tc>
          <w:tcPr>
            <w:tcW w:w="1465" w:type="pct"/>
            <w:tcBorders>
              <w:top w:val="single" w:sz="4" w:space="0" w:color="auto"/>
              <w:bottom w:val="single" w:sz="4" w:space="0" w:color="auto"/>
            </w:tcBorders>
          </w:tcPr>
          <w:p w:rsidR="00623A10" w:rsidRPr="00747ED6" w:rsidRDefault="00623A10" w:rsidP="00F109D7">
            <w:pPr>
              <w:pStyle w:val="TableText0"/>
              <w:keepNext w:val="0"/>
            </w:pPr>
            <w:r w:rsidRPr="00566F73">
              <w:t>ERJ Open Res 2021; 7</w:t>
            </w:r>
            <w:r>
              <w:t xml:space="preserve"> </w:t>
            </w:r>
            <w:r w:rsidRPr="00566F73">
              <w:t>[https://doi.org/ 10.1183/23120541.00203-2020].</w:t>
            </w:r>
          </w:p>
        </w:tc>
      </w:tr>
      <w:tr w:rsidR="00623A10" w:rsidRPr="00CB38A8" w:rsidTr="00F109D7">
        <w:tc>
          <w:tcPr>
            <w:tcW w:w="796" w:type="pct"/>
            <w:tcBorders>
              <w:bottom w:val="single" w:sz="4" w:space="0" w:color="auto"/>
            </w:tcBorders>
          </w:tcPr>
          <w:p w:rsidR="00623A10" w:rsidRPr="003D095C" w:rsidRDefault="00623A10" w:rsidP="00F109D7">
            <w:pPr>
              <w:pStyle w:val="TableText0"/>
              <w:keepNext w:val="0"/>
            </w:pPr>
            <w:proofErr w:type="spellStart"/>
            <w:r w:rsidRPr="003D095C">
              <w:t>Loukou</w:t>
            </w:r>
            <w:proofErr w:type="spellEnd"/>
            <w:r w:rsidRPr="003D095C">
              <w:t xml:space="preserve"> 2020</w:t>
            </w:r>
          </w:p>
        </w:tc>
        <w:tc>
          <w:tcPr>
            <w:tcW w:w="2739" w:type="pct"/>
            <w:tcBorders>
              <w:top w:val="single" w:sz="4" w:space="0" w:color="auto"/>
              <w:bottom w:val="single" w:sz="4" w:space="0" w:color="auto"/>
            </w:tcBorders>
          </w:tcPr>
          <w:p w:rsidR="00623A10" w:rsidRPr="00566F73" w:rsidRDefault="00623A10" w:rsidP="00F109D7">
            <w:pPr>
              <w:pStyle w:val="TableText0"/>
              <w:keepNext w:val="0"/>
            </w:pPr>
            <w:proofErr w:type="spellStart"/>
            <w:r w:rsidRPr="004966FD">
              <w:rPr>
                <w:szCs w:val="18"/>
              </w:rPr>
              <w:t>Loukou</w:t>
            </w:r>
            <w:proofErr w:type="spellEnd"/>
            <w:r w:rsidRPr="004966FD">
              <w:rPr>
                <w:szCs w:val="18"/>
              </w:rPr>
              <w:t xml:space="preserve"> I, </w:t>
            </w:r>
            <w:proofErr w:type="spellStart"/>
            <w:r w:rsidRPr="004966FD">
              <w:rPr>
                <w:szCs w:val="18"/>
              </w:rPr>
              <w:t>Moustaki</w:t>
            </w:r>
            <w:proofErr w:type="spellEnd"/>
            <w:r w:rsidRPr="004966FD">
              <w:rPr>
                <w:szCs w:val="18"/>
              </w:rPr>
              <w:t xml:space="preserve"> M, </w:t>
            </w:r>
            <w:proofErr w:type="spellStart"/>
            <w:r w:rsidRPr="004966FD">
              <w:rPr>
                <w:szCs w:val="18"/>
              </w:rPr>
              <w:t>Plyta</w:t>
            </w:r>
            <w:proofErr w:type="spellEnd"/>
            <w:r w:rsidRPr="004966FD">
              <w:rPr>
                <w:szCs w:val="18"/>
              </w:rPr>
              <w:t xml:space="preserve"> M, </w:t>
            </w:r>
            <w:proofErr w:type="spellStart"/>
            <w:r w:rsidRPr="004966FD">
              <w:rPr>
                <w:szCs w:val="18"/>
              </w:rPr>
              <w:t>Douros</w:t>
            </w:r>
            <w:proofErr w:type="spellEnd"/>
            <w:r w:rsidRPr="004966FD">
              <w:rPr>
                <w:szCs w:val="18"/>
              </w:rPr>
              <w:t xml:space="preserve"> K. Longitudinal changes in lung function following initiation of lumacaftor/ivacaftor combination. </w:t>
            </w:r>
          </w:p>
        </w:tc>
        <w:tc>
          <w:tcPr>
            <w:tcW w:w="1465" w:type="pct"/>
            <w:tcBorders>
              <w:top w:val="single" w:sz="4" w:space="0" w:color="auto"/>
              <w:bottom w:val="single" w:sz="4" w:space="0" w:color="auto"/>
            </w:tcBorders>
          </w:tcPr>
          <w:p w:rsidR="00623A10" w:rsidRPr="00566F73" w:rsidRDefault="00623A10" w:rsidP="00F109D7">
            <w:pPr>
              <w:pStyle w:val="TableText0"/>
              <w:keepNext w:val="0"/>
            </w:pPr>
            <w:r w:rsidRPr="004966FD">
              <w:rPr>
                <w:szCs w:val="18"/>
              </w:rPr>
              <w:t>Journal of Cystic Fibrosis. 2020</w:t>
            </w:r>
            <w:proofErr w:type="gramStart"/>
            <w:r w:rsidRPr="004966FD">
              <w:rPr>
                <w:szCs w:val="18"/>
              </w:rPr>
              <w:t>;19</w:t>
            </w:r>
            <w:proofErr w:type="gramEnd"/>
            <w:r w:rsidRPr="004966FD">
              <w:rPr>
                <w:szCs w:val="18"/>
              </w:rPr>
              <w:t>(4):534-9.</w:t>
            </w:r>
          </w:p>
        </w:tc>
      </w:tr>
      <w:tr w:rsidR="007E520C" w:rsidRPr="00CB38A8" w:rsidTr="00BA7EE9">
        <w:tc>
          <w:tcPr>
            <w:tcW w:w="5000" w:type="pct"/>
            <w:gridSpan w:val="3"/>
            <w:tcBorders>
              <w:top w:val="single" w:sz="4" w:space="0" w:color="auto"/>
              <w:bottom w:val="single" w:sz="4" w:space="0" w:color="auto"/>
            </w:tcBorders>
          </w:tcPr>
          <w:p w:rsidR="007E520C" w:rsidRPr="00076CB2" w:rsidRDefault="00A519E8" w:rsidP="00A519E8">
            <w:pPr>
              <w:pStyle w:val="TableText0"/>
              <w:keepNext w:val="0"/>
              <w:rPr>
                <w:b/>
                <w:bCs w:val="0"/>
              </w:rPr>
            </w:pPr>
            <w:r>
              <w:rPr>
                <w:b/>
                <w:bCs w:val="0"/>
              </w:rPr>
              <w:t xml:space="preserve">Studies </w:t>
            </w:r>
            <w:r w:rsidR="00392104">
              <w:rPr>
                <w:b/>
                <w:bCs w:val="0"/>
              </w:rPr>
              <w:t xml:space="preserve">where </w:t>
            </w:r>
            <w:r w:rsidR="00C01D68">
              <w:rPr>
                <w:b/>
                <w:bCs w:val="0"/>
              </w:rPr>
              <w:t xml:space="preserve">lumacaftor/ivacaftor </w:t>
            </w:r>
            <w:r w:rsidR="00392104">
              <w:rPr>
                <w:b/>
                <w:bCs w:val="0"/>
              </w:rPr>
              <w:t xml:space="preserve">were initiated </w:t>
            </w:r>
            <w:r w:rsidR="00984AC7">
              <w:rPr>
                <w:b/>
                <w:bCs w:val="0"/>
              </w:rPr>
              <w:t xml:space="preserve">from ages 6 to 11 years </w:t>
            </w:r>
          </w:p>
        </w:tc>
      </w:tr>
      <w:tr w:rsidR="007E520C" w:rsidRPr="00CB38A8" w:rsidTr="00BA7EE9">
        <w:tc>
          <w:tcPr>
            <w:tcW w:w="796" w:type="pct"/>
            <w:vMerge w:val="restart"/>
            <w:tcBorders>
              <w:top w:val="single" w:sz="4" w:space="0" w:color="auto"/>
            </w:tcBorders>
          </w:tcPr>
          <w:p w:rsidR="007E520C" w:rsidRPr="00FC16DF" w:rsidRDefault="007E520C" w:rsidP="00BA7EE9">
            <w:pPr>
              <w:pStyle w:val="TableText0"/>
              <w:keepNext w:val="0"/>
            </w:pPr>
            <w:r w:rsidRPr="00FC16DF">
              <w:t xml:space="preserve">Study 110 </w:t>
            </w:r>
            <w:r w:rsidRPr="00FC16DF">
              <w:br/>
              <w:t>(VX15-809-110)</w:t>
            </w:r>
          </w:p>
        </w:tc>
        <w:tc>
          <w:tcPr>
            <w:tcW w:w="2739" w:type="pct"/>
            <w:tcBorders>
              <w:top w:val="single" w:sz="4" w:space="0" w:color="auto"/>
              <w:bottom w:val="single" w:sz="4" w:space="0" w:color="auto"/>
            </w:tcBorders>
          </w:tcPr>
          <w:p w:rsidR="007E520C" w:rsidRPr="00D306CB" w:rsidRDefault="007E520C" w:rsidP="00BA7EE9">
            <w:pPr>
              <w:pStyle w:val="TableText0"/>
            </w:pPr>
            <w:r>
              <w:t>A Phase 3, Rollover Study to Evaluate the Safety and Efficacy of Long-term</w:t>
            </w:r>
            <w:r w:rsidR="00816B0B">
              <w:t xml:space="preserve"> </w:t>
            </w:r>
            <w:r>
              <w:t>Treatment With Lumacaftor in Combination With Ivacaftor in Subjects Aged 6 Years and Older With Cystic Fibrosis, Homozygous for the F508del-CFTR Mutation</w:t>
            </w:r>
          </w:p>
        </w:tc>
        <w:tc>
          <w:tcPr>
            <w:tcW w:w="1465" w:type="pct"/>
            <w:tcBorders>
              <w:top w:val="single" w:sz="4" w:space="0" w:color="auto"/>
              <w:bottom w:val="single" w:sz="4" w:space="0" w:color="auto"/>
            </w:tcBorders>
          </w:tcPr>
          <w:p w:rsidR="007E520C" w:rsidRDefault="007E520C" w:rsidP="00BA7EE9">
            <w:pPr>
              <w:pStyle w:val="TableText0"/>
              <w:keepNext w:val="0"/>
              <w:rPr>
                <w:szCs w:val="18"/>
              </w:rPr>
            </w:pPr>
            <w:r w:rsidRPr="0029474D">
              <w:t>Internal Study Report</w:t>
            </w:r>
            <w:r>
              <w:rPr>
                <w:szCs w:val="18"/>
              </w:rPr>
              <w:t xml:space="preserve"> </w:t>
            </w:r>
          </w:p>
          <w:p w:rsidR="007E520C" w:rsidRPr="00D306CB" w:rsidRDefault="007E520C" w:rsidP="00BA7EE9">
            <w:pPr>
              <w:pStyle w:val="TableText0"/>
              <w:keepNext w:val="0"/>
            </w:pPr>
            <w:r>
              <w:t>24 August 2020</w:t>
            </w:r>
          </w:p>
        </w:tc>
      </w:tr>
      <w:tr w:rsidR="007E520C" w:rsidRPr="00CB38A8" w:rsidTr="00BA7EE9">
        <w:tc>
          <w:tcPr>
            <w:tcW w:w="796" w:type="pct"/>
            <w:vMerge/>
            <w:tcBorders>
              <w:bottom w:val="single" w:sz="4" w:space="0" w:color="auto"/>
            </w:tcBorders>
          </w:tcPr>
          <w:p w:rsidR="007E520C" w:rsidRPr="00FC16DF" w:rsidRDefault="007E520C" w:rsidP="00BA7EE9">
            <w:pPr>
              <w:pStyle w:val="TableText0"/>
              <w:keepNext w:val="0"/>
            </w:pPr>
          </w:p>
        </w:tc>
        <w:tc>
          <w:tcPr>
            <w:tcW w:w="2739" w:type="pct"/>
            <w:tcBorders>
              <w:top w:val="nil"/>
              <w:bottom w:val="single" w:sz="4" w:space="0" w:color="auto"/>
            </w:tcBorders>
          </w:tcPr>
          <w:p w:rsidR="007E520C" w:rsidRPr="00D306CB" w:rsidRDefault="007E520C" w:rsidP="00BA7EE9">
            <w:pPr>
              <w:pStyle w:val="TableText0"/>
              <w:keepNext w:val="0"/>
            </w:pPr>
            <w:proofErr w:type="spellStart"/>
            <w:r>
              <w:rPr>
                <w:szCs w:val="18"/>
              </w:rPr>
              <w:t>Chilvers</w:t>
            </w:r>
            <w:proofErr w:type="spellEnd"/>
            <w:r>
              <w:rPr>
                <w:szCs w:val="18"/>
              </w:rPr>
              <w:t xml:space="preserve"> MA, Davies JC, Carlos M, Tian S, </w:t>
            </w:r>
            <w:proofErr w:type="spellStart"/>
            <w:r>
              <w:rPr>
                <w:szCs w:val="18"/>
              </w:rPr>
              <w:t>Zifei</w:t>
            </w:r>
            <w:proofErr w:type="spellEnd"/>
            <w:r>
              <w:rPr>
                <w:szCs w:val="18"/>
              </w:rPr>
              <w:t xml:space="preserve"> H, Cornell A. </w:t>
            </w:r>
            <w:r w:rsidRPr="00A5692D">
              <w:rPr>
                <w:szCs w:val="18"/>
              </w:rPr>
              <w:t xml:space="preserve">Long-term safety and efficacy of lumacaftor–ivacaftor therapy in children aged 6–11 years with cystic fibrosis homozygous for the F508del-CFTR mutation: a phase 3, open-label, </w:t>
            </w:r>
            <w:proofErr w:type="gramStart"/>
            <w:r w:rsidRPr="00A5692D">
              <w:rPr>
                <w:szCs w:val="18"/>
              </w:rPr>
              <w:t>extension</w:t>
            </w:r>
            <w:proofErr w:type="gramEnd"/>
            <w:r w:rsidRPr="00A5692D">
              <w:rPr>
                <w:szCs w:val="18"/>
              </w:rPr>
              <w:t xml:space="preserve"> study</w:t>
            </w:r>
            <w:r>
              <w:rPr>
                <w:szCs w:val="18"/>
              </w:rPr>
              <w:t xml:space="preserve">. </w:t>
            </w:r>
          </w:p>
        </w:tc>
        <w:tc>
          <w:tcPr>
            <w:tcW w:w="1465" w:type="pct"/>
            <w:tcBorders>
              <w:top w:val="nil"/>
              <w:bottom w:val="single" w:sz="4" w:space="0" w:color="auto"/>
            </w:tcBorders>
          </w:tcPr>
          <w:p w:rsidR="007E520C" w:rsidRDefault="007E520C" w:rsidP="00BA7EE9">
            <w:pPr>
              <w:pStyle w:val="TableText0"/>
              <w:keepNext w:val="0"/>
            </w:pPr>
            <w:r>
              <w:t xml:space="preserve">Lancet </w:t>
            </w:r>
            <w:proofErr w:type="spellStart"/>
            <w:r>
              <w:t>Resp</w:t>
            </w:r>
            <w:proofErr w:type="spellEnd"/>
            <w:r>
              <w:t xml:space="preserve"> Med 2021</w:t>
            </w:r>
          </w:p>
          <w:p w:rsidR="007E520C" w:rsidRPr="00D306CB" w:rsidRDefault="007E520C" w:rsidP="00BA7EE9">
            <w:pPr>
              <w:pStyle w:val="TableText0"/>
              <w:keepNext w:val="0"/>
            </w:pPr>
            <w:r w:rsidRPr="00435D44">
              <w:t>S2213-2600(20)30517-8</w:t>
            </w:r>
          </w:p>
        </w:tc>
      </w:tr>
      <w:tr w:rsidR="007E520C" w:rsidRPr="00CB38A8" w:rsidTr="00BA7EE9">
        <w:tc>
          <w:tcPr>
            <w:tcW w:w="796" w:type="pct"/>
            <w:tcBorders>
              <w:top w:val="single" w:sz="4" w:space="0" w:color="auto"/>
              <w:bottom w:val="single" w:sz="4" w:space="0" w:color="auto"/>
            </w:tcBorders>
          </w:tcPr>
          <w:p w:rsidR="007E520C" w:rsidRPr="00FC16DF" w:rsidRDefault="007E520C" w:rsidP="00BA7EE9">
            <w:pPr>
              <w:pStyle w:val="TableText0"/>
              <w:keepNext w:val="0"/>
            </w:pPr>
            <w:r w:rsidRPr="00FC16DF">
              <w:t>Study 129</w:t>
            </w:r>
          </w:p>
        </w:tc>
        <w:tc>
          <w:tcPr>
            <w:tcW w:w="2739" w:type="pct"/>
            <w:tcBorders>
              <w:top w:val="single" w:sz="4" w:space="0" w:color="auto"/>
              <w:bottom w:val="single" w:sz="4" w:space="0" w:color="auto"/>
            </w:tcBorders>
          </w:tcPr>
          <w:p w:rsidR="007E520C" w:rsidRDefault="007E520C" w:rsidP="00BA7EE9">
            <w:pPr>
              <w:pStyle w:val="TableText0"/>
              <w:rPr>
                <w:szCs w:val="18"/>
              </w:rPr>
            </w:pPr>
            <w:r w:rsidRPr="000826B4">
              <w:rPr>
                <w:szCs w:val="18"/>
              </w:rPr>
              <w:t xml:space="preserve">An Observational Study to Evaluate the Real-world Clinical Outcomes of </w:t>
            </w:r>
            <w:proofErr w:type="spellStart"/>
            <w:r w:rsidRPr="000826B4">
              <w:rPr>
                <w:szCs w:val="18"/>
              </w:rPr>
              <w:t>Orkambi</w:t>
            </w:r>
            <w:proofErr w:type="spellEnd"/>
            <w:r>
              <w:rPr>
                <w:szCs w:val="18"/>
              </w:rPr>
              <w:t xml:space="preserve"> </w:t>
            </w:r>
            <w:r w:rsidRPr="000826B4">
              <w:rPr>
                <w:szCs w:val="18"/>
              </w:rPr>
              <w:t>in Australian Patients With Cystic Fibrosis Aged 6 Through 11 Years at Therapy</w:t>
            </w:r>
            <w:r>
              <w:rPr>
                <w:szCs w:val="18"/>
              </w:rPr>
              <w:t xml:space="preserve"> </w:t>
            </w:r>
            <w:r w:rsidRPr="000826B4">
              <w:rPr>
                <w:szCs w:val="18"/>
              </w:rPr>
              <w:t>Initiation</w:t>
            </w:r>
          </w:p>
        </w:tc>
        <w:tc>
          <w:tcPr>
            <w:tcW w:w="1465" w:type="pct"/>
            <w:tcBorders>
              <w:top w:val="single" w:sz="4" w:space="0" w:color="auto"/>
              <w:bottom w:val="single" w:sz="4" w:space="0" w:color="auto"/>
            </w:tcBorders>
          </w:tcPr>
          <w:p w:rsidR="007E520C" w:rsidRDefault="007E520C" w:rsidP="00BA7EE9">
            <w:pPr>
              <w:pStyle w:val="TableText0"/>
              <w:keepNext w:val="0"/>
              <w:rPr>
                <w:szCs w:val="18"/>
              </w:rPr>
            </w:pPr>
            <w:r w:rsidRPr="0029474D">
              <w:t>Internal Study Report</w:t>
            </w:r>
            <w:r>
              <w:rPr>
                <w:szCs w:val="18"/>
              </w:rPr>
              <w:t xml:space="preserve"> </w:t>
            </w:r>
          </w:p>
          <w:p w:rsidR="007E520C" w:rsidRDefault="007E520C" w:rsidP="00BA7EE9">
            <w:pPr>
              <w:pStyle w:val="TableText0"/>
              <w:keepNext w:val="0"/>
            </w:pPr>
            <w:r>
              <w:t>v1.0 dated 18 February 2021</w:t>
            </w:r>
          </w:p>
        </w:tc>
      </w:tr>
      <w:tr w:rsidR="007E520C" w:rsidRPr="00CB38A8" w:rsidTr="00BA7EE9">
        <w:tc>
          <w:tcPr>
            <w:tcW w:w="796" w:type="pct"/>
            <w:vMerge w:val="restart"/>
            <w:tcBorders>
              <w:top w:val="single" w:sz="4" w:space="0" w:color="auto"/>
            </w:tcBorders>
          </w:tcPr>
          <w:p w:rsidR="007E520C" w:rsidRPr="00FC16DF" w:rsidRDefault="007E520C" w:rsidP="00BA7EE9">
            <w:pPr>
              <w:pStyle w:val="TableText0"/>
              <w:keepNext w:val="0"/>
            </w:pPr>
            <w:r w:rsidRPr="00FC16DF">
              <w:t>PASS 108</w:t>
            </w:r>
          </w:p>
        </w:tc>
        <w:tc>
          <w:tcPr>
            <w:tcW w:w="2739" w:type="pct"/>
            <w:tcBorders>
              <w:top w:val="single" w:sz="4" w:space="0" w:color="auto"/>
              <w:bottom w:val="single" w:sz="4" w:space="0" w:color="auto"/>
            </w:tcBorders>
          </w:tcPr>
          <w:p w:rsidR="007E520C" w:rsidRDefault="007E520C" w:rsidP="00BA7EE9">
            <w:pPr>
              <w:pStyle w:val="TableText0"/>
              <w:keepNext w:val="0"/>
              <w:rPr>
                <w:szCs w:val="18"/>
              </w:rPr>
            </w:pPr>
            <w:r w:rsidRPr="00BF0571">
              <w:rPr>
                <w:szCs w:val="18"/>
                <w:lang w:val="en-US"/>
              </w:rPr>
              <w:t xml:space="preserve">An Observational Study to Evaluate the </w:t>
            </w:r>
            <w:proofErr w:type="spellStart"/>
            <w:r w:rsidRPr="00BF0571">
              <w:rPr>
                <w:szCs w:val="18"/>
                <w:lang w:val="en-US"/>
              </w:rPr>
              <w:t>Utilisation</w:t>
            </w:r>
            <w:proofErr w:type="spellEnd"/>
            <w:r w:rsidRPr="00BF0571">
              <w:rPr>
                <w:szCs w:val="18"/>
                <w:lang w:val="en-US"/>
              </w:rPr>
              <w:t xml:space="preserve"> Patterns and Long-term Effects</w:t>
            </w:r>
            <w:r>
              <w:rPr>
                <w:szCs w:val="18"/>
                <w:lang w:val="en-US"/>
              </w:rPr>
              <w:t xml:space="preserve"> </w:t>
            </w:r>
            <w:r w:rsidRPr="00BF0571">
              <w:rPr>
                <w:szCs w:val="18"/>
                <w:lang w:val="en-US"/>
              </w:rPr>
              <w:t>of Lumacaftor and Ivacaftor Combination Therapy in Patients With Cystic Fibrosis</w:t>
            </w:r>
          </w:p>
        </w:tc>
        <w:tc>
          <w:tcPr>
            <w:tcW w:w="1465" w:type="pct"/>
            <w:tcBorders>
              <w:top w:val="single" w:sz="4" w:space="0" w:color="auto"/>
              <w:bottom w:val="single" w:sz="4" w:space="0" w:color="auto"/>
            </w:tcBorders>
          </w:tcPr>
          <w:p w:rsidR="007E520C" w:rsidRDefault="007E520C" w:rsidP="00BA7EE9">
            <w:pPr>
              <w:pStyle w:val="TableText0"/>
              <w:keepNext w:val="0"/>
            </w:pPr>
            <w:r w:rsidRPr="0029474D">
              <w:t>Internal Study Report</w:t>
            </w:r>
            <w:r>
              <w:t xml:space="preserve">., </w:t>
            </w:r>
          </w:p>
          <w:p w:rsidR="007E520C" w:rsidRDefault="007E520C" w:rsidP="00BA7EE9">
            <w:pPr>
              <w:pStyle w:val="TableText0"/>
              <w:keepNext w:val="0"/>
            </w:pPr>
            <w:r w:rsidRPr="00C164D3">
              <w:t>Interim Study Report 3</w:t>
            </w:r>
          </w:p>
          <w:p w:rsidR="007E520C" w:rsidRDefault="00623A10" w:rsidP="00BA7EE9">
            <w:pPr>
              <w:pStyle w:val="TableText0"/>
              <w:keepNext w:val="0"/>
            </w:pPr>
            <w:r>
              <w:rPr>
                <w:i/>
                <w:iCs/>
              </w:rPr>
              <w:t>19 November 2019.</w:t>
            </w:r>
          </w:p>
        </w:tc>
      </w:tr>
      <w:tr w:rsidR="007E520C" w:rsidRPr="00CB38A8" w:rsidTr="00BA7EE9">
        <w:tc>
          <w:tcPr>
            <w:tcW w:w="796" w:type="pct"/>
            <w:vMerge/>
            <w:tcBorders>
              <w:bottom w:val="single" w:sz="4" w:space="0" w:color="auto"/>
            </w:tcBorders>
          </w:tcPr>
          <w:p w:rsidR="007E520C" w:rsidRDefault="007E520C" w:rsidP="00BA7EE9">
            <w:pPr>
              <w:pStyle w:val="TableText0"/>
              <w:keepNext w:val="0"/>
            </w:pPr>
          </w:p>
        </w:tc>
        <w:tc>
          <w:tcPr>
            <w:tcW w:w="2739" w:type="pct"/>
            <w:tcBorders>
              <w:top w:val="single" w:sz="4" w:space="0" w:color="auto"/>
              <w:bottom w:val="single" w:sz="4" w:space="0" w:color="auto"/>
            </w:tcBorders>
          </w:tcPr>
          <w:p w:rsidR="007E520C" w:rsidRDefault="007E520C" w:rsidP="00BA7EE9">
            <w:pPr>
              <w:pStyle w:val="TableText0"/>
              <w:keepNext w:val="0"/>
              <w:rPr>
                <w:szCs w:val="18"/>
              </w:rPr>
            </w:pPr>
            <w:r w:rsidRPr="00A777A6">
              <w:rPr>
                <w:szCs w:val="18"/>
                <w:lang w:val="en-US"/>
              </w:rPr>
              <w:t xml:space="preserve">Bower JK, Tian S, </w:t>
            </w:r>
            <w:proofErr w:type="spellStart"/>
            <w:r w:rsidRPr="00A777A6">
              <w:rPr>
                <w:szCs w:val="18"/>
                <w:lang w:val="en-US"/>
              </w:rPr>
              <w:t>Zahigian</w:t>
            </w:r>
            <w:proofErr w:type="spellEnd"/>
            <w:r w:rsidRPr="00A777A6">
              <w:rPr>
                <w:szCs w:val="18"/>
                <w:lang w:val="en-US"/>
              </w:rPr>
              <w:t xml:space="preserve"> R, Sewall A, Wu R, Elbert A.</w:t>
            </w:r>
            <w:r w:rsidR="000A4FBA">
              <w:rPr>
                <w:szCs w:val="18"/>
                <w:lang w:val="en-US"/>
              </w:rPr>
              <w:t xml:space="preserve"> </w:t>
            </w:r>
            <w:r w:rsidRPr="00A777A6">
              <w:rPr>
                <w:szCs w:val="18"/>
                <w:lang w:val="en-US"/>
              </w:rPr>
              <w:t xml:space="preserve">Disease progression in F508del homozygous (F/F) persons with cystic fibrosis treated with lumacaftor/ivacaftor (LUM/IVA): interim results of a long-term safety study using data from the US Cystic Fibrosis Foundation Patient Registry (CFFPR). </w:t>
            </w:r>
          </w:p>
        </w:tc>
        <w:tc>
          <w:tcPr>
            <w:tcW w:w="1465" w:type="pct"/>
            <w:tcBorders>
              <w:top w:val="single" w:sz="4" w:space="0" w:color="auto"/>
              <w:bottom w:val="single" w:sz="4" w:space="0" w:color="auto"/>
            </w:tcBorders>
          </w:tcPr>
          <w:p w:rsidR="007E520C" w:rsidRDefault="007E520C" w:rsidP="00BA7EE9">
            <w:pPr>
              <w:pStyle w:val="TableText0"/>
              <w:keepNext w:val="0"/>
            </w:pPr>
            <w:r w:rsidRPr="00A777A6">
              <w:rPr>
                <w:szCs w:val="18"/>
                <w:lang w:val="en-US"/>
              </w:rPr>
              <w:t xml:space="preserve">J Cyst </w:t>
            </w:r>
            <w:proofErr w:type="spellStart"/>
            <w:r w:rsidRPr="00A777A6">
              <w:rPr>
                <w:szCs w:val="18"/>
                <w:lang w:val="en-US"/>
              </w:rPr>
              <w:t>Fibros</w:t>
            </w:r>
            <w:proofErr w:type="spellEnd"/>
            <w:r w:rsidRPr="00A777A6">
              <w:rPr>
                <w:szCs w:val="18"/>
                <w:lang w:val="en-US"/>
              </w:rPr>
              <w:t xml:space="preserve"> 2020; 19S2(</w:t>
            </w:r>
            <w:proofErr w:type="spellStart"/>
            <w:r w:rsidRPr="00A777A6">
              <w:rPr>
                <w:szCs w:val="18"/>
                <w:lang w:val="en-US"/>
              </w:rPr>
              <w:t>suppl</w:t>
            </w:r>
            <w:proofErr w:type="spellEnd"/>
            <w:r w:rsidRPr="00A777A6">
              <w:rPr>
                <w:szCs w:val="18"/>
                <w:lang w:val="en-US"/>
              </w:rPr>
              <w:t>):S21</w:t>
            </w:r>
          </w:p>
        </w:tc>
      </w:tr>
    </w:tbl>
    <w:p w:rsidR="007E520C" w:rsidRDefault="007E520C" w:rsidP="007E520C">
      <w:pPr>
        <w:pStyle w:val="TableFigureFooter"/>
      </w:pPr>
      <w:r>
        <w:t xml:space="preserve">Source: Table 14 p26 </w:t>
      </w:r>
      <w:r w:rsidRPr="00D13A3E">
        <w:t xml:space="preserve">of the </w:t>
      </w:r>
      <w:r>
        <w:t>submission.</w:t>
      </w:r>
    </w:p>
    <w:p w:rsidR="007E520C" w:rsidRPr="00B1011F" w:rsidRDefault="007E520C" w:rsidP="007E520C">
      <w:pPr>
        <w:pStyle w:val="TableFigureFooter"/>
        <w:rPr>
          <w:sz w:val="20"/>
        </w:rPr>
      </w:pPr>
    </w:p>
    <w:p w:rsidR="007E520C" w:rsidRPr="00B902AF" w:rsidRDefault="007E520C" w:rsidP="007E520C">
      <w:pPr>
        <w:pStyle w:val="3-BodyText"/>
      </w:pPr>
      <w:r>
        <w:t>E</w:t>
      </w:r>
      <w:r w:rsidRPr="00B902AF">
        <w:t xml:space="preserve">leven studies </w:t>
      </w:r>
      <w:r>
        <w:t xml:space="preserve">were </w:t>
      </w:r>
      <w:r w:rsidRPr="00B902AF">
        <w:t xml:space="preserve">used to estimate the </w:t>
      </w:r>
      <w:r>
        <w:t xml:space="preserve">pooled </w:t>
      </w:r>
      <w:r w:rsidRPr="00B902AF">
        <w:t>ppFEV</w:t>
      </w:r>
      <w:r w:rsidRPr="00454BBC">
        <w:rPr>
          <w:vertAlign w:val="subscript"/>
        </w:rPr>
        <w:t>1</w:t>
      </w:r>
      <w:r w:rsidRPr="00B902AF">
        <w:t xml:space="preserve"> </w:t>
      </w:r>
      <w:proofErr w:type="spellStart"/>
      <w:r w:rsidRPr="00B902AF">
        <w:t>rROD</w:t>
      </w:r>
      <w:proofErr w:type="spellEnd"/>
      <w:r w:rsidR="005772F3">
        <w:t xml:space="preserve"> in the submission</w:t>
      </w:r>
      <w:r w:rsidRPr="00B902AF">
        <w:t>: PASS 108,</w:t>
      </w:r>
      <w:r w:rsidR="0018345C" w:rsidRPr="0018345C">
        <w:t xml:space="preserve"> </w:t>
      </w:r>
      <w:r w:rsidR="0018345C">
        <w:t>Flume 2021,</w:t>
      </w:r>
      <w:r w:rsidRPr="00B902AF">
        <w:t xml:space="preserve"> </w:t>
      </w:r>
      <w:proofErr w:type="spellStart"/>
      <w:r w:rsidRPr="00B902AF">
        <w:t>Bourgani</w:t>
      </w:r>
      <w:proofErr w:type="spellEnd"/>
      <w:r w:rsidRPr="00B902AF">
        <w:t xml:space="preserve"> 2019, </w:t>
      </w:r>
      <w:proofErr w:type="spellStart"/>
      <w:r w:rsidRPr="00B902AF">
        <w:t>Mermis</w:t>
      </w:r>
      <w:proofErr w:type="spellEnd"/>
      <w:r w:rsidRPr="00B902AF">
        <w:t xml:space="preserve"> 2019, </w:t>
      </w:r>
      <w:proofErr w:type="spellStart"/>
      <w:proofErr w:type="gramStart"/>
      <w:r w:rsidRPr="00B902AF">
        <w:t>Muilwijk</w:t>
      </w:r>
      <w:proofErr w:type="spellEnd"/>
      <w:proofErr w:type="gramEnd"/>
      <w:r w:rsidRPr="00B902AF">
        <w:t xml:space="preserve"> 2020, an analysis from the Australian CF Disease Registry (referred to as ACFDR ≥ 12 y), Collet 2018, Ejiofor 2020, King 2021, </w:t>
      </w:r>
      <w:proofErr w:type="spellStart"/>
      <w:r w:rsidRPr="00B902AF">
        <w:t>Loukou</w:t>
      </w:r>
      <w:proofErr w:type="spellEnd"/>
      <w:r w:rsidRPr="00B902AF">
        <w:t xml:space="preserve"> 2020</w:t>
      </w:r>
      <w:r w:rsidR="00172F7E">
        <w:t xml:space="preserve"> and</w:t>
      </w:r>
      <w:r w:rsidR="00DE0F97">
        <w:t xml:space="preserve"> </w:t>
      </w:r>
      <w:r w:rsidRPr="00B902AF">
        <w:t xml:space="preserve">Tong 2020. Of these studies: </w:t>
      </w:r>
    </w:p>
    <w:p w:rsidR="007E520C" w:rsidRDefault="007E520C" w:rsidP="00AB5C73">
      <w:pPr>
        <w:pStyle w:val="ListParagraph"/>
        <w:numPr>
          <w:ilvl w:val="0"/>
          <w:numId w:val="6"/>
        </w:numPr>
        <w:ind w:left="1092"/>
      </w:pPr>
      <w:r w:rsidRPr="00B902AF">
        <w:t>Five studies</w:t>
      </w:r>
      <w:r w:rsidR="00A36E31">
        <w:t xml:space="preserve"> (</w:t>
      </w:r>
      <w:r w:rsidR="00A36E31" w:rsidRPr="00A519E8">
        <w:t>PASS 108,</w:t>
      </w:r>
      <w:r w:rsidR="00A36E31">
        <w:t xml:space="preserve"> Flume 2021</w:t>
      </w:r>
      <w:r w:rsidR="00A36E31" w:rsidRPr="00A519E8">
        <w:t>,</w:t>
      </w:r>
      <w:r w:rsidR="00A36E31" w:rsidRPr="00B902AF">
        <w:t xml:space="preserve"> </w:t>
      </w:r>
      <w:proofErr w:type="spellStart"/>
      <w:r w:rsidR="00A36E31" w:rsidRPr="00B902AF">
        <w:t>Bourgani</w:t>
      </w:r>
      <w:proofErr w:type="spellEnd"/>
      <w:r w:rsidR="00A36E31" w:rsidRPr="00B902AF">
        <w:t xml:space="preserve"> 2019, </w:t>
      </w:r>
      <w:proofErr w:type="spellStart"/>
      <w:r w:rsidR="00A36E31" w:rsidRPr="00B902AF">
        <w:t>Mermis</w:t>
      </w:r>
      <w:proofErr w:type="spellEnd"/>
      <w:r w:rsidR="00A36E31" w:rsidRPr="00B902AF">
        <w:t xml:space="preserve"> 2019, </w:t>
      </w:r>
      <w:proofErr w:type="spellStart"/>
      <w:proofErr w:type="gramStart"/>
      <w:r w:rsidR="00A36E31" w:rsidRPr="00B902AF">
        <w:t>Muilwijk</w:t>
      </w:r>
      <w:proofErr w:type="spellEnd"/>
      <w:proofErr w:type="gramEnd"/>
      <w:r w:rsidR="00A36E31" w:rsidRPr="00B902AF">
        <w:t xml:space="preserve"> 2020</w:t>
      </w:r>
      <w:r w:rsidR="00A36E31">
        <w:t xml:space="preserve">) </w:t>
      </w:r>
      <w:r w:rsidRPr="00B902AF">
        <w:t xml:space="preserve">were used to inform the base case </w:t>
      </w:r>
      <w:r w:rsidR="00F109D7">
        <w:t xml:space="preserve">pooled analysis </w:t>
      </w:r>
      <w:r w:rsidRPr="00B902AF">
        <w:t xml:space="preserve">of the </w:t>
      </w:r>
      <w:proofErr w:type="spellStart"/>
      <w:r w:rsidR="00454BBC">
        <w:t>rROD</w:t>
      </w:r>
      <w:proofErr w:type="spellEnd"/>
      <w:r w:rsidR="00454BBC">
        <w:t xml:space="preserve"> </w:t>
      </w:r>
      <w:r w:rsidR="00F109D7">
        <w:t>in ppFEV</w:t>
      </w:r>
      <w:r w:rsidR="00F109D7" w:rsidRPr="00F109D7">
        <w:rPr>
          <w:vertAlign w:val="subscript"/>
        </w:rPr>
        <w:t>1</w:t>
      </w:r>
      <w:r w:rsidR="00F109D7">
        <w:t xml:space="preserve"> </w:t>
      </w:r>
      <w:r w:rsidR="00454BBC">
        <w:t xml:space="preserve">presented </w:t>
      </w:r>
      <w:r w:rsidR="00F109D7">
        <w:t>in the submission</w:t>
      </w:r>
      <w:r w:rsidRPr="00B902AF">
        <w:t>. The</w:t>
      </w:r>
      <w:r w:rsidR="00454BBC">
        <w:t xml:space="preserve">se were </w:t>
      </w:r>
      <w:r w:rsidRPr="00B902AF">
        <w:t>studies where patients had received a mean duration of treatment of approximately 2 years (mean range: 1.7 to 2.9 years). Three of the</w:t>
      </w:r>
      <w:r w:rsidR="0045573B">
        <w:t>se</w:t>
      </w:r>
      <w:r w:rsidRPr="00B902AF">
        <w:t xml:space="preserve"> studies </w:t>
      </w:r>
      <w:r w:rsidR="000C7CDF">
        <w:t>were</w:t>
      </w:r>
      <w:r w:rsidR="000C7CDF" w:rsidRPr="00B902AF">
        <w:t xml:space="preserve"> </w:t>
      </w:r>
      <w:r w:rsidRPr="00B902AF">
        <w:t>published as abstracts only</w:t>
      </w:r>
      <w:r w:rsidR="00A36E31">
        <w:t xml:space="preserve"> (</w:t>
      </w:r>
      <w:proofErr w:type="spellStart"/>
      <w:r w:rsidR="00A36E31" w:rsidRPr="00B902AF">
        <w:t>Bourgani</w:t>
      </w:r>
      <w:proofErr w:type="spellEnd"/>
      <w:r w:rsidR="00A36E31" w:rsidRPr="00B902AF">
        <w:t xml:space="preserve"> 2019, </w:t>
      </w:r>
      <w:proofErr w:type="spellStart"/>
      <w:r w:rsidR="00A36E31" w:rsidRPr="00B902AF">
        <w:t>Mermis</w:t>
      </w:r>
      <w:proofErr w:type="spellEnd"/>
      <w:r w:rsidR="00A36E31" w:rsidRPr="00B902AF">
        <w:t xml:space="preserve"> 2019, </w:t>
      </w:r>
      <w:proofErr w:type="spellStart"/>
      <w:proofErr w:type="gramStart"/>
      <w:r w:rsidR="00A36E31" w:rsidRPr="00B902AF">
        <w:t>Muilwijk</w:t>
      </w:r>
      <w:proofErr w:type="spellEnd"/>
      <w:proofErr w:type="gramEnd"/>
      <w:r w:rsidR="00A36E31" w:rsidRPr="00B902AF">
        <w:t xml:space="preserve"> 2020</w:t>
      </w:r>
      <w:r w:rsidR="00A36E31">
        <w:t>)</w:t>
      </w:r>
      <w:r w:rsidRPr="00B902AF">
        <w:t>.</w:t>
      </w:r>
      <w:r w:rsidR="000A4FBA">
        <w:t xml:space="preserve"> </w:t>
      </w:r>
    </w:p>
    <w:p w:rsidR="007E520C" w:rsidRDefault="007E520C" w:rsidP="00AB5C73">
      <w:pPr>
        <w:pStyle w:val="ListParagraph"/>
        <w:numPr>
          <w:ilvl w:val="0"/>
          <w:numId w:val="6"/>
        </w:numPr>
        <w:ind w:left="1092"/>
      </w:pPr>
      <w:r w:rsidRPr="00B902AF">
        <w:t>Three studies</w:t>
      </w:r>
      <w:r w:rsidR="00A36E31">
        <w:t xml:space="preserve"> (</w:t>
      </w:r>
      <w:r w:rsidR="00A36E31" w:rsidRPr="00A519E8">
        <w:t>ACFDR ≥ 12 y; King</w:t>
      </w:r>
      <w:r w:rsidR="00A36E31" w:rsidRPr="00B902AF">
        <w:t xml:space="preserve"> 2021; Tong 2020</w:t>
      </w:r>
      <w:r w:rsidR="00A36E31">
        <w:t>)</w:t>
      </w:r>
      <w:r w:rsidRPr="00B902AF">
        <w:t xml:space="preserve"> included patients treated with lumacaftor/ivacaftor in Australia. However, these studies were not used in the base case </w:t>
      </w:r>
      <w:r w:rsidR="00F109D7">
        <w:t xml:space="preserve">pooled </w:t>
      </w:r>
      <w:r w:rsidRPr="00B902AF">
        <w:t xml:space="preserve">analysis </w:t>
      </w:r>
      <w:r w:rsidR="005772F3">
        <w:t xml:space="preserve">presented in the submission </w:t>
      </w:r>
      <w:r w:rsidRPr="00B902AF">
        <w:t xml:space="preserve">as treatment follow-up was reported after </w:t>
      </w:r>
      <w:r w:rsidR="00DF4A97">
        <w:t xml:space="preserve">only </w:t>
      </w:r>
      <w:r w:rsidRPr="00B902AF">
        <w:t xml:space="preserve">one year of use. </w:t>
      </w:r>
    </w:p>
    <w:p w:rsidR="007A7290" w:rsidRPr="004D0899" w:rsidRDefault="007E520C" w:rsidP="00AB5C73">
      <w:pPr>
        <w:pStyle w:val="ListParagraph"/>
        <w:numPr>
          <w:ilvl w:val="0"/>
          <w:numId w:val="6"/>
        </w:numPr>
        <w:ind w:left="1134"/>
        <w:rPr>
          <w:lang w:val="en-US"/>
        </w:rPr>
      </w:pPr>
      <w:r w:rsidRPr="00B902AF">
        <w:t>Six studies</w:t>
      </w:r>
      <w:r w:rsidR="00A36E31">
        <w:t xml:space="preserve"> (</w:t>
      </w:r>
      <w:r w:rsidR="00A36E31" w:rsidRPr="00A36E31">
        <w:t xml:space="preserve">ACFDR ≥ 12 y, Collet 2018, Ejiofor 2020, King 2021, </w:t>
      </w:r>
      <w:proofErr w:type="spellStart"/>
      <w:r w:rsidR="00A36E31" w:rsidRPr="00A36E31">
        <w:t>Loukou</w:t>
      </w:r>
      <w:proofErr w:type="spellEnd"/>
      <w:r w:rsidR="00A36E31" w:rsidRPr="00A36E31">
        <w:t xml:space="preserve"> 2020, Tong 2020</w:t>
      </w:r>
      <w:r w:rsidR="00A36E31">
        <w:t>)</w:t>
      </w:r>
      <w:r w:rsidRPr="00B902AF">
        <w:t xml:space="preserve"> were included in a sensitivity analysis of the</w:t>
      </w:r>
      <w:r w:rsidR="00F109D7">
        <w:t xml:space="preserve"> pooled</w:t>
      </w:r>
      <w:r w:rsidRPr="00B902AF">
        <w:t xml:space="preserve"> </w:t>
      </w:r>
      <w:proofErr w:type="spellStart"/>
      <w:r w:rsidRPr="00B902AF">
        <w:t>rROD</w:t>
      </w:r>
      <w:proofErr w:type="spellEnd"/>
      <w:r w:rsidRPr="00B902AF">
        <w:t xml:space="preserve"> </w:t>
      </w:r>
      <w:r w:rsidR="00F109D7">
        <w:t xml:space="preserve">in </w:t>
      </w:r>
      <w:r w:rsidRPr="00B902AF">
        <w:t>ppFEV</w:t>
      </w:r>
      <w:r w:rsidRPr="00454BBC">
        <w:rPr>
          <w:vertAlign w:val="subscript"/>
        </w:rPr>
        <w:t>1</w:t>
      </w:r>
      <w:r w:rsidRPr="00B902AF">
        <w:t xml:space="preserve">. The duration of treatment in these studies was one year. </w:t>
      </w:r>
      <w:r w:rsidR="00454BBC" w:rsidRPr="00985EC7">
        <w:rPr>
          <w:iCs/>
          <w:lang w:val="en-US"/>
        </w:rPr>
        <w:t xml:space="preserve">The results initially </w:t>
      </w:r>
      <w:r w:rsidR="00454BBC" w:rsidRPr="00985EC7">
        <w:rPr>
          <w:iCs/>
          <w:lang w:val="en-US"/>
        </w:rPr>
        <w:lastRenderedPageBreak/>
        <w:t xml:space="preserve">considered by the </w:t>
      </w:r>
      <w:r w:rsidR="004818C0" w:rsidRPr="00985EC7">
        <w:rPr>
          <w:iCs/>
          <w:lang w:val="en-US"/>
        </w:rPr>
        <w:t xml:space="preserve">PBAC reflected data up to 96 weeks of treatment; </w:t>
      </w:r>
      <w:r w:rsidRPr="00985EC7">
        <w:rPr>
          <w:iCs/>
          <w:lang w:val="en-US"/>
        </w:rPr>
        <w:t xml:space="preserve">results after </w:t>
      </w:r>
      <w:r w:rsidR="00DF4A97" w:rsidRPr="00985EC7">
        <w:rPr>
          <w:iCs/>
          <w:lang w:val="en-US"/>
        </w:rPr>
        <w:t xml:space="preserve">only </w:t>
      </w:r>
      <w:r w:rsidRPr="00985EC7">
        <w:rPr>
          <w:iCs/>
          <w:lang w:val="en-US"/>
        </w:rPr>
        <w:t xml:space="preserve">1 year </w:t>
      </w:r>
      <w:r w:rsidR="004818C0" w:rsidRPr="00985EC7">
        <w:rPr>
          <w:iCs/>
          <w:lang w:val="en-US"/>
        </w:rPr>
        <w:t>would not appear to further the evidence base.</w:t>
      </w:r>
      <w:r w:rsidR="004818C0">
        <w:rPr>
          <w:i/>
          <w:iCs/>
          <w:lang w:val="en-US"/>
        </w:rPr>
        <w:t xml:space="preserve"> </w:t>
      </w:r>
      <w:r w:rsidR="007A7290" w:rsidRPr="004D0899">
        <w:rPr>
          <w:lang w:val="en-US"/>
        </w:rPr>
        <w:t xml:space="preserve">The PSCR disagreed with the evaluation that these studies do not add to the evidence base as a basic tenant of the scientific method is reproducibility. The </w:t>
      </w:r>
      <w:r w:rsidR="00F85E85" w:rsidRPr="004D0899">
        <w:rPr>
          <w:lang w:val="en-US"/>
        </w:rPr>
        <w:t xml:space="preserve">PSCR stated the </w:t>
      </w:r>
      <w:r w:rsidR="007A7290" w:rsidRPr="004D0899">
        <w:rPr>
          <w:lang w:val="en-US"/>
        </w:rPr>
        <w:t xml:space="preserve">additional 6 studies with one year of follow-up demonstrate reproducibility with the original </w:t>
      </w:r>
      <w:proofErr w:type="spellStart"/>
      <w:r w:rsidR="007A7290" w:rsidRPr="004D0899">
        <w:rPr>
          <w:lang w:val="en-US"/>
        </w:rPr>
        <w:t>Konstan</w:t>
      </w:r>
      <w:proofErr w:type="spellEnd"/>
      <w:r w:rsidR="007A7290" w:rsidRPr="004D0899">
        <w:rPr>
          <w:lang w:val="en-US"/>
        </w:rPr>
        <w:t xml:space="preserve"> 2017 study which contained matched data over 96 weeks. </w:t>
      </w:r>
      <w:r w:rsidR="007A7290" w:rsidRPr="00BB36F8">
        <w:rPr>
          <w:lang w:val="en-US"/>
        </w:rPr>
        <w:t xml:space="preserve">The ESC noted the requirement of the Deed was to provide data to show that rates of decline are “sustained over a longer period of time of up to 4 years”, rather than reproduce the results from </w:t>
      </w:r>
      <w:proofErr w:type="spellStart"/>
      <w:r w:rsidR="007A7290" w:rsidRPr="00BB36F8">
        <w:rPr>
          <w:lang w:val="en-US"/>
        </w:rPr>
        <w:t>K</w:t>
      </w:r>
      <w:r w:rsidR="006C755D" w:rsidRPr="00BB36F8">
        <w:rPr>
          <w:lang w:val="en-US"/>
        </w:rPr>
        <w:t>o</w:t>
      </w:r>
      <w:r w:rsidR="007A7290" w:rsidRPr="00BB36F8">
        <w:rPr>
          <w:lang w:val="en-US"/>
        </w:rPr>
        <w:t>nstan</w:t>
      </w:r>
      <w:proofErr w:type="spellEnd"/>
      <w:r w:rsidR="007A7290" w:rsidRPr="00BB36F8">
        <w:rPr>
          <w:lang w:val="en-US"/>
        </w:rPr>
        <w:t xml:space="preserve"> 2017.</w:t>
      </w:r>
      <w:r w:rsidR="007A7290" w:rsidRPr="004D0899">
        <w:rPr>
          <w:lang w:val="en-US"/>
        </w:rPr>
        <w:t xml:space="preserve"> </w:t>
      </w:r>
    </w:p>
    <w:p w:rsidR="007E520C" w:rsidRPr="0022434E" w:rsidRDefault="007E520C" w:rsidP="007E520C">
      <w:pPr>
        <w:pStyle w:val="3-BodyText"/>
      </w:pPr>
      <w:r w:rsidRPr="00B50DB8">
        <w:t xml:space="preserve">The key features of the </w:t>
      </w:r>
      <w:r>
        <w:t xml:space="preserve">studies </w:t>
      </w:r>
      <w:r w:rsidR="004818C0">
        <w:t>and the assessment of bias</w:t>
      </w:r>
      <w:r w:rsidR="00F8285F">
        <w:t xml:space="preserve"> </w:t>
      </w:r>
      <w:r w:rsidR="009F5573">
        <w:t>(</w:t>
      </w:r>
      <w:r w:rsidR="00F8285F">
        <w:t xml:space="preserve">based on </w:t>
      </w:r>
      <w:r w:rsidR="00F600E9">
        <w:t xml:space="preserve">the </w:t>
      </w:r>
      <w:r w:rsidR="009F5573">
        <w:t>ROBINS-</w:t>
      </w:r>
      <w:r w:rsidR="003C2F6A">
        <w:t>I</w:t>
      </w:r>
      <w:r w:rsidR="005041FD">
        <w:t xml:space="preserve"> tool for </w:t>
      </w:r>
      <w:r w:rsidR="000478AF">
        <w:t>assessing risk of bias in non-randomised studies</w:t>
      </w:r>
      <w:r w:rsidR="009F5573">
        <w:t>)</w:t>
      </w:r>
      <w:r w:rsidR="004818C0">
        <w:t xml:space="preserve"> as undertaken during the evaluation </w:t>
      </w:r>
      <w:r w:rsidRPr="00B50DB8">
        <w:t xml:space="preserve">are </w:t>
      </w:r>
      <w:r w:rsidRPr="0022434E">
        <w:t xml:space="preserve">summarised in </w:t>
      </w:r>
      <w:r w:rsidR="004818C0">
        <w:t>Table 3</w:t>
      </w:r>
      <w:r w:rsidRPr="0022434E">
        <w:t xml:space="preserve">. </w:t>
      </w:r>
    </w:p>
    <w:p w:rsidR="007E520C" w:rsidRPr="0022434E" w:rsidRDefault="007E520C" w:rsidP="007E520C">
      <w:pPr>
        <w:pStyle w:val="TableFigureHeading"/>
        <w:rPr>
          <w:rStyle w:val="CommentReference"/>
          <w:b/>
          <w:szCs w:val="24"/>
        </w:rPr>
      </w:pPr>
      <w:r w:rsidRPr="0022434E">
        <w:rPr>
          <w:rStyle w:val="CommentReference"/>
          <w:b/>
          <w:szCs w:val="24"/>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94"/>
        <w:gridCol w:w="703"/>
        <w:gridCol w:w="3021"/>
        <w:gridCol w:w="1134"/>
        <w:gridCol w:w="1904"/>
        <w:gridCol w:w="1161"/>
      </w:tblGrid>
      <w:tr w:rsidR="004D0899" w:rsidRPr="00B41614" w:rsidTr="0077493A">
        <w:trPr>
          <w:trHeight w:val="468"/>
          <w:tblHeader/>
        </w:trPr>
        <w:tc>
          <w:tcPr>
            <w:tcW w:w="606" w:type="pct"/>
            <w:shd w:val="clear" w:color="auto" w:fill="auto"/>
            <w:vAlign w:val="center"/>
          </w:tcPr>
          <w:p w:rsidR="004D0899" w:rsidRPr="00AB1B0D" w:rsidRDefault="004D0899" w:rsidP="00BA7EE9">
            <w:pPr>
              <w:pStyle w:val="In-tableHeading"/>
              <w:keepNext w:val="0"/>
            </w:pPr>
            <w:r w:rsidRPr="00AB1B0D">
              <w:t>Trial</w:t>
            </w:r>
          </w:p>
        </w:tc>
        <w:tc>
          <w:tcPr>
            <w:tcW w:w="390" w:type="pct"/>
            <w:shd w:val="clear" w:color="auto" w:fill="auto"/>
            <w:vAlign w:val="center"/>
          </w:tcPr>
          <w:p w:rsidR="004D0899" w:rsidRPr="00AB1B0D" w:rsidRDefault="004D0899" w:rsidP="00BA7EE9">
            <w:pPr>
              <w:pStyle w:val="In-tableHeading"/>
              <w:keepNext w:val="0"/>
              <w:jc w:val="center"/>
            </w:pPr>
            <w:r w:rsidRPr="00AB1B0D">
              <w:t>N</w:t>
            </w:r>
          </w:p>
        </w:tc>
        <w:tc>
          <w:tcPr>
            <w:tcW w:w="1675" w:type="pct"/>
            <w:shd w:val="clear" w:color="auto" w:fill="auto"/>
            <w:vAlign w:val="center"/>
          </w:tcPr>
          <w:p w:rsidR="004D0899" w:rsidRPr="00AB1B0D" w:rsidRDefault="004D0899" w:rsidP="00BA7EE9">
            <w:pPr>
              <w:pStyle w:val="In-tableHeading"/>
              <w:keepNext w:val="0"/>
              <w:jc w:val="center"/>
            </w:pPr>
            <w:r w:rsidRPr="00AB1B0D">
              <w:t>Design/ duration</w:t>
            </w:r>
          </w:p>
        </w:tc>
        <w:tc>
          <w:tcPr>
            <w:tcW w:w="629" w:type="pct"/>
            <w:shd w:val="clear" w:color="auto" w:fill="auto"/>
            <w:vAlign w:val="center"/>
          </w:tcPr>
          <w:p w:rsidR="004D0899" w:rsidRPr="00AB1B0D" w:rsidRDefault="004D0899" w:rsidP="00BA7EE9">
            <w:pPr>
              <w:pStyle w:val="In-tableHeading"/>
              <w:keepNext w:val="0"/>
              <w:jc w:val="center"/>
            </w:pPr>
            <w:r w:rsidRPr="00AB1B0D">
              <w:t xml:space="preserve">Risk of </w:t>
            </w:r>
            <w:proofErr w:type="spellStart"/>
            <w:r w:rsidRPr="00AB1B0D">
              <w:t>bias</w:t>
            </w:r>
            <w:r w:rsidRPr="00AB1B0D">
              <w:rPr>
                <w:vertAlign w:val="superscript"/>
              </w:rPr>
              <w:t>a</w:t>
            </w:r>
            <w:proofErr w:type="spellEnd"/>
          </w:p>
        </w:tc>
        <w:tc>
          <w:tcPr>
            <w:tcW w:w="1701" w:type="pct"/>
            <w:gridSpan w:val="2"/>
            <w:shd w:val="clear" w:color="auto" w:fill="auto"/>
            <w:vAlign w:val="center"/>
          </w:tcPr>
          <w:p w:rsidR="004D0899" w:rsidRPr="00AB1B0D" w:rsidRDefault="004D0899" w:rsidP="00BA7EE9">
            <w:pPr>
              <w:pStyle w:val="In-tableHeading"/>
              <w:keepNext w:val="0"/>
              <w:jc w:val="center"/>
            </w:pPr>
            <w:r w:rsidRPr="00AB1B0D">
              <w:t>Patient population</w:t>
            </w:r>
          </w:p>
        </w:tc>
      </w:tr>
      <w:tr w:rsidR="00C425AB" w:rsidRPr="00B41614" w:rsidTr="0077493A">
        <w:tc>
          <w:tcPr>
            <w:tcW w:w="5000" w:type="pct"/>
            <w:gridSpan w:val="6"/>
            <w:shd w:val="clear" w:color="auto" w:fill="auto"/>
            <w:vAlign w:val="center"/>
          </w:tcPr>
          <w:p w:rsidR="00C425AB" w:rsidRPr="00AB1B0D" w:rsidRDefault="007C71D8" w:rsidP="00C425AB">
            <w:pPr>
              <w:pStyle w:val="In-tableHeading"/>
              <w:keepNext w:val="0"/>
            </w:pPr>
            <w:r w:rsidRPr="00AB1B0D">
              <w:t xml:space="preserve">Studies that inform </w:t>
            </w:r>
            <w:proofErr w:type="spellStart"/>
            <w:r w:rsidRPr="00AB1B0D">
              <w:t>rROD</w:t>
            </w:r>
            <w:proofErr w:type="spellEnd"/>
            <w:r w:rsidRPr="00AB1B0D">
              <w:t xml:space="preserve"> </w:t>
            </w:r>
          </w:p>
        </w:tc>
      </w:tr>
      <w:tr w:rsidR="004D0899" w:rsidRPr="00E2771E" w:rsidTr="0077493A">
        <w:tc>
          <w:tcPr>
            <w:tcW w:w="606" w:type="pct"/>
            <w:shd w:val="clear" w:color="auto" w:fill="auto"/>
            <w:vAlign w:val="center"/>
          </w:tcPr>
          <w:p w:rsidR="004D0899" w:rsidRPr="00AB1B0D" w:rsidRDefault="004D0899" w:rsidP="000F756D">
            <w:pPr>
              <w:pStyle w:val="TableText0"/>
              <w:keepNext w:val="0"/>
              <w:rPr>
                <w:lang w:val="en-US"/>
              </w:rPr>
            </w:pPr>
            <w:proofErr w:type="spellStart"/>
            <w:r w:rsidRPr="00AB1B0D">
              <w:rPr>
                <w:iCs/>
              </w:rPr>
              <w:t>Konstan</w:t>
            </w:r>
            <w:proofErr w:type="spellEnd"/>
            <w:r w:rsidRPr="00AB1B0D">
              <w:rPr>
                <w:iCs/>
              </w:rPr>
              <w:t xml:space="preserve"> 2017</w:t>
            </w:r>
            <w:r w:rsidRPr="00AB1B0D">
              <w:rPr>
                <w:iCs/>
                <w:vertAlign w:val="superscript"/>
              </w:rPr>
              <w:t>b</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T:455</w:t>
            </w:r>
          </w:p>
          <w:p w:rsidR="004D0899" w:rsidRPr="00AB1B0D" w:rsidRDefault="004D0899" w:rsidP="000F756D">
            <w:pPr>
              <w:pStyle w:val="TableText0"/>
              <w:keepNext w:val="0"/>
              <w:jc w:val="center"/>
              <w:rPr>
                <w:lang w:val="en-US"/>
              </w:rPr>
            </w:pPr>
            <w:r w:rsidRPr="00AB1B0D">
              <w:rPr>
                <w:lang w:val="en-US"/>
              </w:rPr>
              <w:t>C:1,588</w:t>
            </w:r>
          </w:p>
          <w:p w:rsidR="004D0899" w:rsidRPr="00AB1B0D" w:rsidRDefault="004D0899" w:rsidP="000F756D">
            <w:pPr>
              <w:pStyle w:val="TableText0"/>
              <w:keepNext w:val="0"/>
              <w:jc w:val="center"/>
              <w:rPr>
                <w:lang w:val="en-US"/>
              </w:rPr>
            </w:pPr>
            <w:r w:rsidRPr="00AB1B0D">
              <w:rPr>
                <w:lang w:val="en-US"/>
              </w:rPr>
              <w:t>N=2,043</w:t>
            </w:r>
          </w:p>
        </w:tc>
        <w:tc>
          <w:tcPr>
            <w:tcW w:w="1675" w:type="pct"/>
            <w:shd w:val="clear" w:color="auto" w:fill="auto"/>
            <w:vAlign w:val="center"/>
          </w:tcPr>
          <w:p w:rsidR="004D0899" w:rsidRPr="00AB1B0D" w:rsidRDefault="004D0899" w:rsidP="000F756D">
            <w:pPr>
              <w:pStyle w:val="TableText0"/>
              <w:keepNext w:val="0"/>
              <w:rPr>
                <w:lang w:val="en-US"/>
              </w:rPr>
            </w:pPr>
            <w:r w:rsidRPr="00AB1B0D">
              <w:rPr>
                <w:lang w:val="en-US"/>
              </w:rPr>
              <w:t>Propensity-score-matched cohort study</w:t>
            </w:r>
          </w:p>
          <w:p w:rsidR="004D0899" w:rsidRPr="00AB1B0D" w:rsidRDefault="004D0899" w:rsidP="000F756D">
            <w:pPr>
              <w:pStyle w:val="TableText0"/>
              <w:keepNext w:val="0"/>
              <w:rPr>
                <w:lang w:val="en-US"/>
              </w:rPr>
            </w:pPr>
            <w:r w:rsidRPr="00AB1B0D">
              <w:rPr>
                <w:lang w:val="en-US"/>
              </w:rPr>
              <w:br/>
            </w:r>
            <w:proofErr w:type="spellStart"/>
            <w:r w:rsidRPr="00AB1B0D">
              <w:rPr>
                <w:lang w:val="en-US"/>
              </w:rPr>
              <w:t>Tx</w:t>
            </w:r>
            <w:proofErr w:type="spellEnd"/>
            <w:r w:rsidRPr="00AB1B0D">
              <w:rPr>
                <w:lang w:val="en-US"/>
              </w:rPr>
              <w:t xml:space="preserve"> follow up: 120 weeks</w:t>
            </w:r>
          </w:p>
          <w:p w:rsidR="004D0899" w:rsidRPr="00AB1B0D" w:rsidRDefault="004D0899" w:rsidP="000F756D">
            <w:pPr>
              <w:pStyle w:val="TableText0"/>
              <w:keepNext w:val="0"/>
              <w:rPr>
                <w:lang w:val="en-US"/>
              </w:rPr>
            </w:pPr>
          </w:p>
        </w:tc>
        <w:tc>
          <w:tcPr>
            <w:tcW w:w="629" w:type="pct"/>
            <w:shd w:val="clear" w:color="auto" w:fill="auto"/>
            <w:vAlign w:val="center"/>
          </w:tcPr>
          <w:p w:rsidR="004D0899" w:rsidRPr="00AB1B0D" w:rsidRDefault="004D0899" w:rsidP="000F756D">
            <w:pPr>
              <w:pStyle w:val="TableText0"/>
              <w:keepNext w:val="0"/>
              <w:jc w:val="center"/>
              <w:rPr>
                <w:lang w:val="en-US"/>
              </w:rPr>
            </w:pPr>
            <w:r w:rsidRPr="00AB1B0D">
              <w:rPr>
                <w:lang w:val="en-US"/>
              </w:rPr>
              <w:t>moderate to serious</w:t>
            </w:r>
          </w:p>
        </w:tc>
        <w:tc>
          <w:tcPr>
            <w:tcW w:w="1701" w:type="pct"/>
            <w:gridSpan w:val="2"/>
            <w:shd w:val="clear" w:color="auto" w:fill="auto"/>
            <w:vAlign w:val="center"/>
          </w:tcPr>
          <w:p w:rsidR="004D0899" w:rsidRPr="00AB1B0D" w:rsidRDefault="004D0899" w:rsidP="000F756D">
            <w:pPr>
              <w:pStyle w:val="TableText0"/>
              <w:keepNext w:val="0"/>
            </w:pPr>
            <w:r w:rsidRPr="00AB1B0D">
              <w:rPr>
                <w:lang w:val="en-US"/>
              </w:rPr>
              <w:t xml:space="preserve">Aged </w:t>
            </w:r>
            <w:r w:rsidRPr="00AB1B0D">
              <w:t xml:space="preserve">≥ 12 </w:t>
            </w:r>
            <w:r w:rsidRPr="00AB1B0D">
              <w:rPr>
                <w:rFonts w:cs="Times New Roman"/>
              </w:rPr>
              <w:t xml:space="preserve">years with CF </w:t>
            </w:r>
            <w:r w:rsidRPr="00AB1B0D">
              <w:t>homozygous for the F508del mutation</w:t>
            </w:r>
          </w:p>
          <w:p w:rsidR="004D0899" w:rsidRPr="00AB1B0D" w:rsidRDefault="004D0899" w:rsidP="000F756D">
            <w:pPr>
              <w:pStyle w:val="TableText0"/>
              <w:keepNext w:val="0"/>
              <w:rPr>
                <w:u w:val="single"/>
              </w:rPr>
            </w:pPr>
            <w:r w:rsidRPr="00AB1B0D">
              <w:rPr>
                <w:u w:val="single"/>
              </w:rPr>
              <w:t xml:space="preserve">Treatment: </w:t>
            </w:r>
          </w:p>
          <w:p w:rsidR="004D0899" w:rsidRPr="00AB1B0D" w:rsidRDefault="004D0899" w:rsidP="000F756D">
            <w:pPr>
              <w:pStyle w:val="TableText0"/>
              <w:keepNext w:val="0"/>
            </w:pPr>
            <w:r w:rsidRPr="00AB1B0D">
              <w:t>Patients from PROGRESS</w:t>
            </w:r>
          </w:p>
          <w:p w:rsidR="004D0899" w:rsidRPr="00AB1B0D" w:rsidRDefault="004D0899" w:rsidP="000F756D">
            <w:pPr>
              <w:pStyle w:val="TableText0"/>
              <w:keepNext w:val="0"/>
              <w:rPr>
                <w:u w:val="single"/>
              </w:rPr>
            </w:pPr>
            <w:r w:rsidRPr="00AB1B0D">
              <w:rPr>
                <w:u w:val="single"/>
              </w:rPr>
              <w:t xml:space="preserve">Comparator: </w:t>
            </w:r>
          </w:p>
          <w:p w:rsidR="004D0899" w:rsidRPr="00AB1B0D" w:rsidRDefault="004D0899" w:rsidP="004D0899">
            <w:pPr>
              <w:pStyle w:val="TableText0"/>
              <w:keepNext w:val="0"/>
              <w:rPr>
                <w:lang w:val="en-US"/>
              </w:rPr>
            </w:pPr>
            <w:r w:rsidRPr="00AB1B0D">
              <w:rPr>
                <w:lang w:val="en-US"/>
              </w:rPr>
              <w:t xml:space="preserve">Patients from US CFFPR. </w:t>
            </w:r>
          </w:p>
        </w:tc>
      </w:tr>
      <w:tr w:rsidR="004D0899" w:rsidRPr="00E2771E" w:rsidTr="0077493A">
        <w:tc>
          <w:tcPr>
            <w:tcW w:w="606" w:type="pct"/>
            <w:shd w:val="clear" w:color="auto" w:fill="auto"/>
            <w:vAlign w:val="center"/>
          </w:tcPr>
          <w:p w:rsidR="004D0899" w:rsidRPr="00AB1B0D" w:rsidRDefault="004D0899" w:rsidP="000F756D">
            <w:pPr>
              <w:pStyle w:val="TableText0"/>
              <w:keepNext w:val="0"/>
              <w:rPr>
                <w:lang w:val="en-US"/>
              </w:rPr>
            </w:pPr>
            <w:r w:rsidRPr="00AB1B0D">
              <w:rPr>
                <w:lang w:val="en-US"/>
              </w:rPr>
              <w:t>PASS 108</w:t>
            </w:r>
            <w:r w:rsidRPr="00AB1B0D">
              <w:rPr>
                <w:iCs/>
                <w:vertAlign w:val="superscript"/>
              </w:rPr>
              <w:t>c</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T:1,881</w:t>
            </w:r>
          </w:p>
          <w:p w:rsidR="004D0899" w:rsidRPr="00AB1B0D" w:rsidRDefault="004D0899" w:rsidP="000F756D">
            <w:pPr>
              <w:pStyle w:val="TableText0"/>
              <w:keepNext w:val="0"/>
              <w:jc w:val="center"/>
              <w:rPr>
                <w:lang w:val="en-US"/>
              </w:rPr>
            </w:pPr>
            <w:r w:rsidRPr="00AB1B0D">
              <w:rPr>
                <w:lang w:val="en-US"/>
              </w:rPr>
              <w:t>C:2,686</w:t>
            </w:r>
          </w:p>
          <w:p w:rsidR="004D0899" w:rsidRPr="00AB1B0D" w:rsidRDefault="004D0899" w:rsidP="000F756D">
            <w:pPr>
              <w:pStyle w:val="TableText0"/>
              <w:keepNext w:val="0"/>
              <w:jc w:val="center"/>
              <w:rPr>
                <w:lang w:val="en-US"/>
              </w:rPr>
            </w:pPr>
            <w:r w:rsidRPr="00AB1B0D">
              <w:rPr>
                <w:lang w:val="en-US"/>
              </w:rPr>
              <w:t>N=4,567</w:t>
            </w:r>
          </w:p>
        </w:tc>
        <w:tc>
          <w:tcPr>
            <w:tcW w:w="1675" w:type="pct"/>
            <w:shd w:val="clear" w:color="auto" w:fill="auto"/>
            <w:vAlign w:val="center"/>
          </w:tcPr>
          <w:p w:rsidR="004D0899" w:rsidRPr="00AB1B0D" w:rsidRDefault="004D0899" w:rsidP="000F756D">
            <w:pPr>
              <w:pStyle w:val="TableText0"/>
              <w:keepNext w:val="0"/>
              <w:rPr>
                <w:lang w:val="en-GB"/>
              </w:rPr>
            </w:pPr>
            <w:r w:rsidRPr="00AB1B0D">
              <w:rPr>
                <w:lang w:val="en-GB"/>
              </w:rPr>
              <w:t>Prospective, parallel cohort study utilising data collected from existing national CF registries (Data only pertains to US CFFPR in submission)</w:t>
            </w:r>
          </w:p>
          <w:p w:rsidR="004D0899" w:rsidRPr="00AB1B0D" w:rsidRDefault="004D0899" w:rsidP="00E23BBE">
            <w:pPr>
              <w:pStyle w:val="TableText0"/>
              <w:keepNext w:val="0"/>
              <w:rPr>
                <w:lang w:val="en-US"/>
              </w:rPr>
            </w:pPr>
            <w:r w:rsidRPr="00AB1B0D">
              <w:rPr>
                <w:lang w:val="en-GB"/>
              </w:rPr>
              <w:t xml:space="preserve">Mean </w:t>
            </w:r>
            <w:proofErr w:type="spellStart"/>
            <w:r w:rsidRPr="00AB1B0D">
              <w:rPr>
                <w:lang w:val="en-GB"/>
              </w:rPr>
              <w:t>tx</w:t>
            </w:r>
            <w:proofErr w:type="spellEnd"/>
            <w:r w:rsidRPr="00AB1B0D">
              <w:rPr>
                <w:lang w:val="en-GB"/>
              </w:rPr>
              <w:t xml:space="preserve"> duration</w:t>
            </w:r>
            <w:r w:rsidRPr="00D272D3">
              <w:rPr>
                <w:lang w:val="en-GB"/>
              </w:rPr>
              <w:t xml:space="preserve">: </w:t>
            </w:r>
            <w:r w:rsidR="002D4471">
              <w:rPr>
                <w:lang w:val="en-GB"/>
              </w:rPr>
              <w:t>3.0</w:t>
            </w:r>
            <w:r w:rsidRPr="00D272D3">
              <w:rPr>
                <w:lang w:val="en-GB"/>
              </w:rPr>
              <w:t xml:space="preserve"> </w:t>
            </w:r>
            <w:proofErr w:type="spellStart"/>
            <w:r w:rsidRPr="00D272D3">
              <w:rPr>
                <w:lang w:val="en-GB"/>
              </w:rPr>
              <w:t>yrs</w:t>
            </w:r>
            <w:proofErr w:type="spellEnd"/>
            <w:r w:rsidRPr="00AB1B0D">
              <w:rPr>
                <w:lang w:val="en-GB"/>
              </w:rPr>
              <w:t xml:space="preserve"> (3.8 years provided in PSCR). </w:t>
            </w:r>
          </w:p>
        </w:tc>
        <w:tc>
          <w:tcPr>
            <w:tcW w:w="629" w:type="pct"/>
            <w:shd w:val="clear" w:color="auto" w:fill="auto"/>
            <w:vAlign w:val="center"/>
          </w:tcPr>
          <w:p w:rsidR="004D0899" w:rsidRPr="00AB1B0D" w:rsidRDefault="004D0899" w:rsidP="000F756D">
            <w:pPr>
              <w:pStyle w:val="TableText0"/>
              <w:keepNext w:val="0"/>
              <w:jc w:val="center"/>
              <w:rPr>
                <w:lang w:val="en-US"/>
              </w:rPr>
            </w:pPr>
            <w:r w:rsidRPr="00AB1B0D">
              <w:rPr>
                <w:lang w:val="en-US"/>
              </w:rPr>
              <w:t>moderate to serious</w:t>
            </w:r>
          </w:p>
        </w:tc>
        <w:tc>
          <w:tcPr>
            <w:tcW w:w="1701" w:type="pct"/>
            <w:gridSpan w:val="2"/>
            <w:shd w:val="clear" w:color="auto" w:fill="auto"/>
            <w:vAlign w:val="center"/>
          </w:tcPr>
          <w:p w:rsidR="004D0899" w:rsidRPr="00AB1B0D" w:rsidRDefault="004D0899" w:rsidP="000F756D">
            <w:pPr>
              <w:pStyle w:val="TableText0"/>
              <w:keepNext w:val="0"/>
              <w:rPr>
                <w:rFonts w:cs="Times New Roman"/>
              </w:rPr>
            </w:pPr>
            <w:r w:rsidRPr="00AB1B0D">
              <w:rPr>
                <w:lang w:val="en-US"/>
              </w:rPr>
              <w:t xml:space="preserve">Aged </w:t>
            </w:r>
            <w:r w:rsidRPr="00AB1B0D">
              <w:t xml:space="preserve">≥ 12 </w:t>
            </w:r>
            <w:r w:rsidRPr="00AB1B0D">
              <w:rPr>
                <w:rFonts w:cs="Times New Roman"/>
              </w:rPr>
              <w:t xml:space="preserve">years with </w:t>
            </w:r>
            <w:proofErr w:type="spellStart"/>
            <w:r w:rsidRPr="00AB1B0D">
              <w:rPr>
                <w:rFonts w:cs="Times New Roman"/>
              </w:rPr>
              <w:t>CF</w:t>
            </w:r>
            <w:r w:rsidRPr="00AB1B0D">
              <w:rPr>
                <w:iCs/>
                <w:vertAlign w:val="superscript"/>
              </w:rPr>
              <w:t>c</w:t>
            </w:r>
            <w:proofErr w:type="spellEnd"/>
            <w:r w:rsidRPr="00AB1B0D">
              <w:rPr>
                <w:rFonts w:cs="Times New Roman"/>
              </w:rPr>
              <w:t xml:space="preserve"> </w:t>
            </w:r>
          </w:p>
          <w:p w:rsidR="004D0899" w:rsidRPr="00AB1B0D" w:rsidRDefault="004D0899" w:rsidP="004D0899">
            <w:pPr>
              <w:pStyle w:val="TableText0"/>
              <w:keepNext w:val="0"/>
              <w:jc w:val="both"/>
              <w:rPr>
                <w:lang w:val="en-US"/>
              </w:rPr>
            </w:pPr>
            <w:r w:rsidRPr="00AB1B0D">
              <w:rPr>
                <w:u w:val="single"/>
                <w:lang w:val="en-US"/>
              </w:rPr>
              <w:t>Treatment:</w:t>
            </w:r>
            <w:r w:rsidRPr="00AB1B0D">
              <w:rPr>
                <w:lang w:val="en-US"/>
              </w:rPr>
              <w:t xml:space="preserve"> </w:t>
            </w:r>
            <w:r w:rsidRPr="00AB1B0D">
              <w:t>Homozygous for the F508del mutation</w:t>
            </w:r>
          </w:p>
          <w:p w:rsidR="004D0899" w:rsidRPr="00AB1B0D" w:rsidRDefault="004D0899" w:rsidP="004D0899">
            <w:pPr>
              <w:pStyle w:val="TableText0"/>
              <w:keepNext w:val="0"/>
              <w:rPr>
                <w:lang w:val="en-US"/>
              </w:rPr>
            </w:pPr>
            <w:r w:rsidRPr="00AB1B0D">
              <w:rPr>
                <w:u w:val="single"/>
                <w:lang w:val="en-US"/>
              </w:rPr>
              <w:t>Comparator:</w:t>
            </w:r>
            <w:r w:rsidRPr="00AB1B0D">
              <w:rPr>
                <w:lang w:val="en-US"/>
              </w:rPr>
              <w:t xml:space="preserve"> </w:t>
            </w:r>
            <w:r w:rsidRPr="00AB1B0D">
              <w:t xml:space="preserve">Heterozygous for the F508del with a Class I/II mutation on the second allele; </w:t>
            </w:r>
          </w:p>
        </w:tc>
      </w:tr>
      <w:tr w:rsidR="004D0899" w:rsidRPr="00E2771E" w:rsidTr="0077493A">
        <w:tc>
          <w:tcPr>
            <w:tcW w:w="606" w:type="pct"/>
            <w:shd w:val="clear" w:color="auto" w:fill="auto"/>
            <w:vAlign w:val="center"/>
          </w:tcPr>
          <w:p w:rsidR="004D0899" w:rsidRPr="00AB1B0D" w:rsidRDefault="004D0899" w:rsidP="000F756D">
            <w:pPr>
              <w:pStyle w:val="TableText0"/>
              <w:keepNext w:val="0"/>
              <w:rPr>
                <w:lang w:val="en-US"/>
              </w:rPr>
            </w:pPr>
            <w:r w:rsidRPr="00AB1B0D">
              <w:rPr>
                <w:lang w:val="en-US"/>
              </w:rPr>
              <w:t>Flume 2021</w:t>
            </w:r>
            <w:r w:rsidRPr="00AB1B0D">
              <w:rPr>
                <w:iCs/>
                <w:vertAlign w:val="superscript"/>
              </w:rPr>
              <w:t>b</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T: 407</w:t>
            </w:r>
          </w:p>
          <w:p w:rsidR="004D0899" w:rsidRPr="00AB1B0D" w:rsidRDefault="004D0899" w:rsidP="000F756D">
            <w:pPr>
              <w:pStyle w:val="TableText0"/>
              <w:keepNext w:val="0"/>
              <w:jc w:val="center"/>
              <w:rPr>
                <w:lang w:val="en-US"/>
              </w:rPr>
            </w:pPr>
            <w:r w:rsidRPr="00AB1B0D">
              <w:rPr>
                <w:lang w:val="en-US"/>
              </w:rPr>
              <w:t>C:1</w:t>
            </w:r>
            <w:r w:rsidR="00D272D3">
              <w:rPr>
                <w:lang w:val="en-US"/>
              </w:rPr>
              <w:t>,</w:t>
            </w:r>
            <w:r w:rsidRPr="00AB1B0D">
              <w:rPr>
                <w:lang w:val="en-US"/>
              </w:rPr>
              <w:t>383</w:t>
            </w:r>
          </w:p>
          <w:p w:rsidR="004D0899" w:rsidRPr="00AB1B0D" w:rsidRDefault="004D0899" w:rsidP="000F756D">
            <w:pPr>
              <w:pStyle w:val="TableText0"/>
              <w:keepNext w:val="0"/>
              <w:jc w:val="center"/>
              <w:rPr>
                <w:lang w:val="en-US"/>
              </w:rPr>
            </w:pPr>
            <w:r w:rsidRPr="00AB1B0D">
              <w:rPr>
                <w:lang w:val="en-US"/>
              </w:rPr>
              <w:t>N=1,790</w:t>
            </w:r>
          </w:p>
        </w:tc>
        <w:tc>
          <w:tcPr>
            <w:tcW w:w="1675" w:type="pct"/>
            <w:shd w:val="clear" w:color="auto" w:fill="auto"/>
            <w:vAlign w:val="center"/>
          </w:tcPr>
          <w:p w:rsidR="004D0899" w:rsidRPr="00AB1B0D" w:rsidRDefault="004D0899" w:rsidP="000F756D">
            <w:pPr>
              <w:pStyle w:val="TableText0"/>
              <w:keepNext w:val="0"/>
              <w:rPr>
                <w:lang w:val="en-US"/>
              </w:rPr>
            </w:pPr>
            <w:r w:rsidRPr="00AB1B0D">
              <w:rPr>
                <w:lang w:val="en-US"/>
              </w:rPr>
              <w:t xml:space="preserve">Propensity-score-matched  cohort study </w:t>
            </w:r>
          </w:p>
          <w:p w:rsidR="004D0899" w:rsidRPr="00AB1B0D" w:rsidRDefault="004D0899" w:rsidP="0064615B">
            <w:pPr>
              <w:pStyle w:val="TableText0"/>
              <w:keepNext w:val="0"/>
              <w:rPr>
                <w:lang w:val="en-US"/>
              </w:rPr>
            </w:pPr>
            <w:r w:rsidRPr="00AB1B0D">
              <w:rPr>
                <w:lang w:val="en-US"/>
              </w:rPr>
              <w:br/>
            </w:r>
            <w:proofErr w:type="spellStart"/>
            <w:r w:rsidRPr="00AB1B0D">
              <w:rPr>
                <w:lang w:val="en-US"/>
              </w:rPr>
              <w:t>Tx</w:t>
            </w:r>
            <w:proofErr w:type="spellEnd"/>
            <w:r w:rsidRPr="00AB1B0D">
              <w:rPr>
                <w:lang w:val="en-US"/>
              </w:rPr>
              <w:t xml:space="preserve"> follow up: 120 </w:t>
            </w:r>
            <w:proofErr w:type="spellStart"/>
            <w:r w:rsidRPr="00AB1B0D">
              <w:rPr>
                <w:lang w:val="en-US"/>
              </w:rPr>
              <w:t>wks</w:t>
            </w:r>
            <w:proofErr w:type="spellEnd"/>
            <w:r w:rsidRPr="00AB1B0D">
              <w:rPr>
                <w:lang w:val="en-US"/>
              </w:rPr>
              <w:t xml:space="preserve">; </w:t>
            </w:r>
            <w:r w:rsidRPr="00AB1B0D">
              <w:rPr>
                <w:lang w:val="en-US"/>
              </w:rPr>
              <w:br/>
            </w:r>
          </w:p>
        </w:tc>
        <w:tc>
          <w:tcPr>
            <w:tcW w:w="629" w:type="pct"/>
            <w:shd w:val="clear" w:color="auto" w:fill="auto"/>
            <w:vAlign w:val="center"/>
          </w:tcPr>
          <w:p w:rsidR="004D0899" w:rsidRPr="00AB1B0D" w:rsidRDefault="004D0899" w:rsidP="000F756D">
            <w:pPr>
              <w:pStyle w:val="TableText0"/>
              <w:keepNext w:val="0"/>
              <w:jc w:val="center"/>
              <w:rPr>
                <w:lang w:val="en-US"/>
              </w:rPr>
            </w:pPr>
            <w:r w:rsidRPr="00AB1B0D">
              <w:rPr>
                <w:lang w:val="en-US"/>
              </w:rPr>
              <w:t>moderate to serious</w:t>
            </w:r>
          </w:p>
        </w:tc>
        <w:tc>
          <w:tcPr>
            <w:tcW w:w="1701" w:type="pct"/>
            <w:gridSpan w:val="2"/>
            <w:shd w:val="clear" w:color="auto" w:fill="auto"/>
            <w:vAlign w:val="center"/>
          </w:tcPr>
          <w:p w:rsidR="004D0899" w:rsidRPr="00AB1B0D" w:rsidRDefault="004D0899" w:rsidP="000F756D">
            <w:pPr>
              <w:pStyle w:val="TableText0"/>
              <w:keepNext w:val="0"/>
              <w:rPr>
                <w:rFonts w:cs="Times New Roman"/>
              </w:rPr>
            </w:pPr>
            <w:r w:rsidRPr="00AB1B0D">
              <w:rPr>
                <w:rFonts w:cs="Times New Roman"/>
              </w:rPr>
              <w:t xml:space="preserve">Aged </w:t>
            </w:r>
            <w:r w:rsidRPr="00AB1B0D">
              <w:t xml:space="preserve">≥ 12 </w:t>
            </w:r>
            <w:r w:rsidRPr="00AB1B0D">
              <w:rPr>
                <w:rFonts w:cs="Times New Roman"/>
              </w:rPr>
              <w:t>years with CF homozygous for the F508del mutation.</w:t>
            </w:r>
          </w:p>
          <w:p w:rsidR="004D0899" w:rsidRPr="00AB1B0D" w:rsidRDefault="004D0899" w:rsidP="000F756D">
            <w:pPr>
              <w:pStyle w:val="TableText0"/>
              <w:keepNext w:val="0"/>
            </w:pPr>
            <w:r w:rsidRPr="00AB1B0D">
              <w:rPr>
                <w:rFonts w:cs="Times New Roman"/>
                <w:u w:val="single"/>
              </w:rPr>
              <w:t>Treatment:</w:t>
            </w:r>
            <w:r w:rsidRPr="00AB1B0D">
              <w:rPr>
                <w:rFonts w:cs="Times New Roman"/>
              </w:rPr>
              <w:t xml:space="preserve"> Patients from EXTEND</w:t>
            </w:r>
            <w:r w:rsidR="0048702A">
              <w:rPr>
                <w:rFonts w:cs="Times New Roman"/>
              </w:rPr>
              <w:t xml:space="preserve"> (tezacaftor/ivacaf</w:t>
            </w:r>
            <w:r w:rsidR="000156E2">
              <w:rPr>
                <w:rFonts w:cs="Times New Roman"/>
              </w:rPr>
              <w:t>tor)</w:t>
            </w:r>
          </w:p>
          <w:p w:rsidR="004D0899" w:rsidRPr="00AB1B0D" w:rsidRDefault="004D0899" w:rsidP="004D0899">
            <w:pPr>
              <w:pStyle w:val="TableText0"/>
              <w:keepNext w:val="0"/>
              <w:rPr>
                <w:lang w:val="en-US"/>
              </w:rPr>
            </w:pPr>
            <w:r w:rsidRPr="00AB1B0D">
              <w:rPr>
                <w:rFonts w:cs="Times New Roman"/>
                <w:u w:val="single"/>
              </w:rPr>
              <w:t>Comparator:</w:t>
            </w:r>
            <w:r w:rsidRPr="00AB1B0D">
              <w:rPr>
                <w:rFonts w:cs="Times New Roman"/>
              </w:rPr>
              <w:t xml:space="preserve"> Patients from US CFFPR</w:t>
            </w:r>
          </w:p>
        </w:tc>
      </w:tr>
      <w:tr w:rsidR="004D0899" w:rsidRPr="00E2771E" w:rsidTr="0077493A">
        <w:tc>
          <w:tcPr>
            <w:tcW w:w="606" w:type="pct"/>
            <w:shd w:val="clear" w:color="auto" w:fill="auto"/>
            <w:vAlign w:val="center"/>
          </w:tcPr>
          <w:p w:rsidR="004D0899" w:rsidRPr="00AB1B0D" w:rsidRDefault="004D0899" w:rsidP="000F756D">
            <w:pPr>
              <w:pStyle w:val="TableText0"/>
              <w:keepNext w:val="0"/>
              <w:rPr>
                <w:lang w:val="en-US"/>
              </w:rPr>
            </w:pPr>
            <w:r w:rsidRPr="00AB1B0D">
              <w:rPr>
                <w:lang w:val="en-US"/>
              </w:rPr>
              <w:t>Tong 2020</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T: 72</w:t>
            </w:r>
          </w:p>
          <w:p w:rsidR="004D0899" w:rsidRPr="00AB1B0D" w:rsidRDefault="004D0899" w:rsidP="000F756D">
            <w:pPr>
              <w:pStyle w:val="TableText0"/>
              <w:keepNext w:val="0"/>
              <w:jc w:val="center"/>
              <w:rPr>
                <w:lang w:val="en-US"/>
              </w:rPr>
            </w:pPr>
            <w:r w:rsidRPr="00AB1B0D">
              <w:rPr>
                <w:lang w:val="en-US"/>
              </w:rPr>
              <w:t>C: 33</w:t>
            </w:r>
          </w:p>
          <w:p w:rsidR="004D0899" w:rsidRPr="00AB1B0D" w:rsidRDefault="004D0899" w:rsidP="000F756D">
            <w:pPr>
              <w:pStyle w:val="TableText0"/>
              <w:keepNext w:val="0"/>
              <w:jc w:val="center"/>
              <w:rPr>
                <w:lang w:val="en-US"/>
              </w:rPr>
            </w:pPr>
            <w:r w:rsidRPr="00AB1B0D">
              <w:rPr>
                <w:lang w:val="en-US"/>
              </w:rPr>
              <w:t>N=105</w:t>
            </w:r>
          </w:p>
        </w:tc>
        <w:tc>
          <w:tcPr>
            <w:tcW w:w="1675" w:type="pct"/>
            <w:shd w:val="clear" w:color="auto" w:fill="auto"/>
            <w:vAlign w:val="center"/>
          </w:tcPr>
          <w:p w:rsidR="004D0899" w:rsidRPr="00AB1B0D" w:rsidRDefault="004D0899" w:rsidP="000F756D">
            <w:pPr>
              <w:pStyle w:val="TableText0"/>
              <w:keepNext w:val="0"/>
              <w:rPr>
                <w:lang w:val="en-US"/>
              </w:rPr>
            </w:pPr>
            <w:r w:rsidRPr="00AB1B0D">
              <w:rPr>
                <w:lang w:val="en-US"/>
              </w:rPr>
              <w:t>Matched parallel cohort study; analysis of patients through a compassionate use program in Australia.</w:t>
            </w:r>
          </w:p>
          <w:p w:rsidR="004D0899" w:rsidRPr="00AB1B0D" w:rsidRDefault="004D0899" w:rsidP="000F756D">
            <w:pPr>
              <w:pStyle w:val="TableText0"/>
              <w:keepNext w:val="0"/>
              <w:rPr>
                <w:lang w:val="en-US"/>
              </w:rPr>
            </w:pPr>
            <w:proofErr w:type="spellStart"/>
            <w:r w:rsidRPr="00AB1B0D">
              <w:rPr>
                <w:lang w:val="en-US"/>
              </w:rPr>
              <w:t>Tx</w:t>
            </w:r>
            <w:proofErr w:type="spellEnd"/>
            <w:r w:rsidRPr="00AB1B0D">
              <w:rPr>
                <w:lang w:val="en-US"/>
              </w:rPr>
              <w:t xml:space="preserve"> duration: </w:t>
            </w:r>
            <w:r w:rsidR="002D4471">
              <w:rPr>
                <w:lang w:val="en-US"/>
              </w:rPr>
              <w:t xml:space="preserve">at least </w:t>
            </w:r>
            <w:r w:rsidRPr="00AB1B0D">
              <w:rPr>
                <w:lang w:val="en-US"/>
              </w:rPr>
              <w:t>1 year</w:t>
            </w:r>
          </w:p>
        </w:tc>
        <w:tc>
          <w:tcPr>
            <w:tcW w:w="629" w:type="pct"/>
            <w:shd w:val="clear" w:color="auto" w:fill="auto"/>
            <w:vAlign w:val="center"/>
          </w:tcPr>
          <w:p w:rsidR="004D0899" w:rsidRPr="00AB1B0D" w:rsidRDefault="004D0899" w:rsidP="000F756D">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rsidR="004D0899" w:rsidRPr="00AB1B0D" w:rsidRDefault="004D0899" w:rsidP="000F756D">
            <w:pPr>
              <w:pStyle w:val="TableText0"/>
              <w:keepNext w:val="0"/>
              <w:rPr>
                <w:rFonts w:cs="Times New Roman"/>
              </w:rPr>
            </w:pPr>
            <w:r w:rsidRPr="00AB1B0D">
              <w:rPr>
                <w:rFonts w:cs="Times New Roman"/>
              </w:rPr>
              <w:t xml:space="preserve">Aged </w:t>
            </w:r>
            <w:r w:rsidRPr="00AB1B0D">
              <w:t xml:space="preserve">≥ 12 </w:t>
            </w:r>
            <w:r w:rsidRPr="00AB1B0D">
              <w:rPr>
                <w:rFonts w:cs="Times New Roman"/>
              </w:rPr>
              <w:t>years</w:t>
            </w:r>
          </w:p>
          <w:p w:rsidR="004D0899" w:rsidRPr="00AB1B0D" w:rsidRDefault="004D0899" w:rsidP="000F756D">
            <w:pPr>
              <w:pStyle w:val="TableText0"/>
              <w:keepNext w:val="0"/>
            </w:pPr>
            <w:r w:rsidRPr="00AB1B0D">
              <w:t>ppFEV</w:t>
            </w:r>
            <w:r w:rsidRPr="00AB1B0D">
              <w:rPr>
                <w:vertAlign w:val="subscript"/>
              </w:rPr>
              <w:t>1</w:t>
            </w:r>
            <w:r w:rsidRPr="00AB1B0D">
              <w:t xml:space="preserve"> &lt; 40%</w:t>
            </w:r>
          </w:p>
          <w:p w:rsidR="004D0899" w:rsidRPr="00AB1B0D" w:rsidRDefault="004D0899" w:rsidP="000F756D">
            <w:pPr>
              <w:pStyle w:val="TableText0"/>
              <w:keepNext w:val="0"/>
            </w:pPr>
            <w:r w:rsidRPr="00AB1B0D">
              <w:rPr>
                <w:u w:val="single"/>
                <w:lang w:val="en-US"/>
              </w:rPr>
              <w:t>Treatment:</w:t>
            </w:r>
            <w:r w:rsidRPr="00AB1B0D">
              <w:rPr>
                <w:rFonts w:cs="Times New Roman"/>
              </w:rPr>
              <w:t xml:space="preserve"> Homozygous for the F508del</w:t>
            </w:r>
          </w:p>
          <w:p w:rsidR="004D0899" w:rsidRPr="00AB1B0D" w:rsidRDefault="004D0899" w:rsidP="004D0899">
            <w:pPr>
              <w:pStyle w:val="TableText0"/>
              <w:keepNext w:val="0"/>
              <w:rPr>
                <w:lang w:val="en-US"/>
              </w:rPr>
            </w:pPr>
            <w:r w:rsidRPr="00AB1B0D">
              <w:rPr>
                <w:u w:val="single"/>
                <w:lang w:val="en-US"/>
              </w:rPr>
              <w:t>Comparator</w:t>
            </w:r>
            <w:r w:rsidRPr="00AB1B0D">
              <w:rPr>
                <w:lang w:val="en-US"/>
              </w:rPr>
              <w:t>: C</w:t>
            </w:r>
            <w:r w:rsidRPr="00AB1B0D">
              <w:t>lass I or II mutations</w:t>
            </w:r>
          </w:p>
        </w:tc>
      </w:tr>
      <w:tr w:rsidR="004D0899" w:rsidRPr="00E2771E" w:rsidTr="0077493A">
        <w:tc>
          <w:tcPr>
            <w:tcW w:w="606" w:type="pct"/>
            <w:shd w:val="clear" w:color="auto" w:fill="auto"/>
            <w:vAlign w:val="center"/>
          </w:tcPr>
          <w:p w:rsidR="004D0899" w:rsidRPr="00AB1B0D" w:rsidRDefault="004D0899" w:rsidP="000F756D">
            <w:pPr>
              <w:pStyle w:val="TableText0"/>
              <w:keepNext w:val="0"/>
              <w:rPr>
                <w:lang w:val="en-US"/>
              </w:rPr>
            </w:pPr>
            <w:r w:rsidRPr="00AB1B0D">
              <w:t>ACFDR (≥ 12y)</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126</w:t>
            </w:r>
          </w:p>
        </w:tc>
        <w:tc>
          <w:tcPr>
            <w:tcW w:w="1675" w:type="pct"/>
            <w:shd w:val="clear" w:color="auto" w:fill="auto"/>
            <w:vAlign w:val="center"/>
          </w:tcPr>
          <w:p w:rsidR="004D0899" w:rsidRPr="00AB1B0D" w:rsidRDefault="004D0899" w:rsidP="000F756D">
            <w:pPr>
              <w:pStyle w:val="TableText0"/>
              <w:keepNext w:val="0"/>
              <w:rPr>
                <w:lang w:val="en-US"/>
              </w:rPr>
            </w:pPr>
            <w:r w:rsidRPr="00AB1B0D">
              <w:rPr>
                <w:lang w:val="en-US"/>
              </w:rPr>
              <w:t>Paired historic control cohort study, analysis of data from the Australian CF disease Registry (ACFDR)</w:t>
            </w:r>
          </w:p>
          <w:p w:rsidR="004D0899" w:rsidRPr="00AB1B0D" w:rsidRDefault="004D0899" w:rsidP="000F756D">
            <w:pPr>
              <w:pStyle w:val="TableText0"/>
              <w:keepNext w:val="0"/>
              <w:rPr>
                <w:lang w:val="en-US"/>
              </w:rPr>
            </w:pPr>
            <w:r w:rsidRPr="00AB1B0D">
              <w:rPr>
                <w:lang w:val="en-US"/>
              </w:rPr>
              <w:t xml:space="preserve">(mean </w:t>
            </w:r>
            <w:proofErr w:type="spellStart"/>
            <w:r w:rsidRPr="00AB1B0D">
              <w:rPr>
                <w:lang w:val="en-US"/>
              </w:rPr>
              <w:t>tx</w:t>
            </w:r>
            <w:proofErr w:type="spellEnd"/>
            <w:r w:rsidRPr="00AB1B0D">
              <w:rPr>
                <w:lang w:val="en-US"/>
              </w:rPr>
              <w:t xml:space="preserve"> duration: 1.2 </w:t>
            </w:r>
            <w:proofErr w:type="spellStart"/>
            <w:r w:rsidRPr="00AB1B0D">
              <w:rPr>
                <w:lang w:val="en-US"/>
              </w:rPr>
              <w:t>yrs</w:t>
            </w:r>
            <w:proofErr w:type="spellEnd"/>
            <w:r w:rsidRPr="00AB1B0D">
              <w:rPr>
                <w:lang w:val="en-US"/>
              </w:rPr>
              <w:t>)</w:t>
            </w:r>
          </w:p>
        </w:tc>
        <w:tc>
          <w:tcPr>
            <w:tcW w:w="629" w:type="pct"/>
            <w:shd w:val="clear" w:color="auto" w:fill="auto"/>
            <w:vAlign w:val="center"/>
          </w:tcPr>
          <w:p w:rsidR="004D0899" w:rsidRPr="00AB1B0D" w:rsidRDefault="004D0899" w:rsidP="000F756D">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rsidR="004D0899" w:rsidRPr="00AB1B0D" w:rsidRDefault="004D0899" w:rsidP="000F756D">
            <w:pPr>
              <w:pStyle w:val="TableText0"/>
              <w:keepNext w:val="0"/>
              <w:rPr>
                <w:rFonts w:cs="Times New Roman"/>
              </w:rPr>
            </w:pPr>
            <w:r w:rsidRPr="00AB1B0D">
              <w:rPr>
                <w:rFonts w:cs="Times New Roman"/>
              </w:rPr>
              <w:t xml:space="preserve">Aged </w:t>
            </w:r>
            <w:r w:rsidRPr="00AB1B0D">
              <w:t xml:space="preserve">≥ 12 </w:t>
            </w:r>
            <w:r w:rsidRPr="00AB1B0D">
              <w:rPr>
                <w:rFonts w:cs="Times New Roman"/>
              </w:rPr>
              <w:t>years with CF homozygous for the F508del mutation.</w:t>
            </w:r>
          </w:p>
          <w:p w:rsidR="004D0899" w:rsidRPr="00AB1B0D" w:rsidRDefault="004D0899" w:rsidP="000F756D">
            <w:pPr>
              <w:pStyle w:val="TableText0"/>
              <w:keepNext w:val="0"/>
              <w:rPr>
                <w:lang w:val="en-US"/>
              </w:rPr>
            </w:pPr>
            <w:r w:rsidRPr="00AB1B0D">
              <w:rPr>
                <w:lang w:val="en-US"/>
              </w:rPr>
              <w:t>ppFEV</w:t>
            </w:r>
            <w:r w:rsidRPr="00AB1B0D">
              <w:rPr>
                <w:vertAlign w:val="subscript"/>
                <w:lang w:val="en-US"/>
              </w:rPr>
              <w:t>1</w:t>
            </w:r>
            <w:r w:rsidRPr="00AB1B0D">
              <w:rPr>
                <w:lang w:val="en-US"/>
              </w:rPr>
              <w:t>: 40% - 90%</w:t>
            </w:r>
          </w:p>
          <w:p w:rsidR="004D0899" w:rsidRPr="00AB1B0D" w:rsidRDefault="004D0899" w:rsidP="000F756D">
            <w:pPr>
              <w:pStyle w:val="TableText0"/>
              <w:keepNext w:val="0"/>
              <w:jc w:val="center"/>
              <w:rPr>
                <w:lang w:val="en-US"/>
              </w:rPr>
            </w:pPr>
          </w:p>
        </w:tc>
      </w:tr>
      <w:tr w:rsidR="004D0899" w:rsidRPr="00E2771E" w:rsidTr="0077493A">
        <w:tc>
          <w:tcPr>
            <w:tcW w:w="606" w:type="pct"/>
            <w:shd w:val="clear" w:color="auto" w:fill="auto"/>
            <w:vAlign w:val="center"/>
          </w:tcPr>
          <w:p w:rsidR="004D0899" w:rsidRPr="00AB1B0D" w:rsidRDefault="004D0899" w:rsidP="000F756D">
            <w:pPr>
              <w:pStyle w:val="TableText0"/>
              <w:keepNext w:val="0"/>
            </w:pPr>
            <w:proofErr w:type="spellStart"/>
            <w:r w:rsidRPr="00AB1B0D">
              <w:t>Bourgani</w:t>
            </w:r>
            <w:proofErr w:type="spellEnd"/>
            <w:r w:rsidRPr="00AB1B0D">
              <w:t xml:space="preserve"> 2019 (abstract only)</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46</w:t>
            </w:r>
          </w:p>
        </w:tc>
        <w:tc>
          <w:tcPr>
            <w:tcW w:w="1675" w:type="pct"/>
            <w:shd w:val="clear" w:color="auto" w:fill="auto"/>
            <w:vAlign w:val="center"/>
          </w:tcPr>
          <w:p w:rsidR="004D0899" w:rsidRPr="00AB1B0D" w:rsidRDefault="004D0899" w:rsidP="000F756D">
            <w:pPr>
              <w:pStyle w:val="TableText0"/>
              <w:keepNext w:val="0"/>
              <w:rPr>
                <w:lang w:val="en-US"/>
              </w:rPr>
            </w:pPr>
            <w:r w:rsidRPr="00AB1B0D">
              <w:rPr>
                <w:lang w:val="en-US"/>
              </w:rPr>
              <w:t xml:space="preserve">Paired historic control cohort study, single </w:t>
            </w:r>
            <w:proofErr w:type="spellStart"/>
            <w:r w:rsidRPr="00AB1B0D">
              <w:rPr>
                <w:lang w:val="en-US"/>
              </w:rPr>
              <w:t>centre</w:t>
            </w:r>
            <w:proofErr w:type="spellEnd"/>
            <w:r w:rsidRPr="00AB1B0D">
              <w:rPr>
                <w:lang w:val="en-US"/>
              </w:rPr>
              <w:t xml:space="preserve">, OL study in Greece. </w:t>
            </w:r>
          </w:p>
          <w:p w:rsidR="004D0899" w:rsidRPr="00AB1B0D" w:rsidRDefault="004D0899" w:rsidP="000F756D">
            <w:pPr>
              <w:pStyle w:val="TableText0"/>
              <w:keepNext w:val="0"/>
              <w:rPr>
                <w:lang w:val="en-US"/>
              </w:rPr>
            </w:pPr>
            <w:r w:rsidRPr="00AB1B0D">
              <w:rPr>
                <w:lang w:val="en-US"/>
              </w:rPr>
              <w:t xml:space="preserve">Mean </w:t>
            </w:r>
            <w:proofErr w:type="spellStart"/>
            <w:r w:rsidRPr="00AB1B0D">
              <w:rPr>
                <w:lang w:val="en-US"/>
              </w:rPr>
              <w:t>Tx</w:t>
            </w:r>
            <w:proofErr w:type="spellEnd"/>
            <w:r w:rsidRPr="00AB1B0D">
              <w:rPr>
                <w:lang w:val="en-US"/>
              </w:rPr>
              <w:t xml:space="preserve"> duration: 1.9 </w:t>
            </w:r>
            <w:proofErr w:type="spellStart"/>
            <w:r w:rsidRPr="00AB1B0D">
              <w:rPr>
                <w:lang w:val="en-US"/>
              </w:rPr>
              <w:t>yrs</w:t>
            </w:r>
            <w:proofErr w:type="spellEnd"/>
          </w:p>
        </w:tc>
        <w:tc>
          <w:tcPr>
            <w:tcW w:w="629" w:type="pct"/>
            <w:shd w:val="clear" w:color="auto" w:fill="auto"/>
            <w:vAlign w:val="center"/>
          </w:tcPr>
          <w:p w:rsidR="004D0899" w:rsidRPr="00AB1B0D" w:rsidRDefault="004D0899" w:rsidP="00836994">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rsidR="004D0899" w:rsidRPr="00AB1B0D" w:rsidRDefault="004D0899" w:rsidP="004D0899">
            <w:pPr>
              <w:pStyle w:val="TableText0"/>
              <w:keepNext w:val="0"/>
              <w:rPr>
                <w:iCs/>
              </w:rPr>
            </w:pPr>
            <w:r w:rsidRPr="00AB1B0D">
              <w:rPr>
                <w:iCs/>
              </w:rPr>
              <w:t>Assumed age group: adults</w:t>
            </w:r>
          </w:p>
          <w:p w:rsidR="004D0899" w:rsidRPr="00AB1B0D" w:rsidRDefault="004D0899" w:rsidP="004D0899">
            <w:pPr>
              <w:pStyle w:val="TableText0"/>
              <w:keepNext w:val="0"/>
            </w:pPr>
            <w:r w:rsidRPr="00AB1B0D">
              <w:t>Homozygous for the F508del</w:t>
            </w:r>
          </w:p>
        </w:tc>
      </w:tr>
      <w:tr w:rsidR="004D0899" w:rsidRPr="00E2771E" w:rsidTr="0077493A">
        <w:tc>
          <w:tcPr>
            <w:tcW w:w="606" w:type="pct"/>
            <w:shd w:val="clear" w:color="auto" w:fill="auto"/>
            <w:vAlign w:val="center"/>
          </w:tcPr>
          <w:p w:rsidR="004D0899" w:rsidRPr="00AB1B0D" w:rsidRDefault="004D0899" w:rsidP="000F756D">
            <w:pPr>
              <w:pStyle w:val="TableText0"/>
              <w:keepNext w:val="0"/>
            </w:pPr>
            <w:proofErr w:type="spellStart"/>
            <w:r w:rsidRPr="00AB1B0D">
              <w:t>Mermis</w:t>
            </w:r>
            <w:proofErr w:type="spellEnd"/>
            <w:r w:rsidRPr="00AB1B0D">
              <w:t xml:space="preserve"> 2019 (abstract only)</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85</w:t>
            </w:r>
          </w:p>
        </w:tc>
        <w:tc>
          <w:tcPr>
            <w:tcW w:w="1675" w:type="pct"/>
            <w:shd w:val="clear" w:color="auto" w:fill="auto"/>
            <w:vAlign w:val="center"/>
          </w:tcPr>
          <w:p w:rsidR="004D0899" w:rsidRPr="00AB1B0D" w:rsidRDefault="004D0899" w:rsidP="000F756D">
            <w:pPr>
              <w:pStyle w:val="TableText0"/>
              <w:keepNext w:val="0"/>
              <w:rPr>
                <w:lang w:val="en-US"/>
              </w:rPr>
            </w:pPr>
            <w:r w:rsidRPr="00AB1B0D">
              <w:rPr>
                <w:lang w:val="en-US"/>
              </w:rPr>
              <w:t xml:space="preserve">Paired historic control cohort study, single </w:t>
            </w:r>
            <w:proofErr w:type="spellStart"/>
            <w:r w:rsidRPr="00AB1B0D">
              <w:rPr>
                <w:lang w:val="en-US"/>
              </w:rPr>
              <w:t>centre</w:t>
            </w:r>
            <w:proofErr w:type="spellEnd"/>
            <w:r w:rsidRPr="00AB1B0D">
              <w:rPr>
                <w:lang w:val="en-US"/>
              </w:rPr>
              <w:t>, OL study in the US.</w:t>
            </w:r>
          </w:p>
          <w:p w:rsidR="004D0899" w:rsidRPr="00AB1B0D" w:rsidRDefault="004D0899" w:rsidP="000F756D">
            <w:pPr>
              <w:pStyle w:val="TableText0"/>
              <w:keepNext w:val="0"/>
              <w:rPr>
                <w:lang w:val="en-US"/>
              </w:rPr>
            </w:pPr>
            <w:r w:rsidRPr="00AB1B0D">
              <w:rPr>
                <w:lang w:val="en-US"/>
              </w:rPr>
              <w:t xml:space="preserve">Mean </w:t>
            </w:r>
            <w:proofErr w:type="spellStart"/>
            <w:r w:rsidRPr="00AB1B0D">
              <w:rPr>
                <w:lang w:val="en-US"/>
              </w:rPr>
              <w:t>Tx</w:t>
            </w:r>
            <w:proofErr w:type="spellEnd"/>
            <w:r w:rsidRPr="00AB1B0D">
              <w:rPr>
                <w:lang w:val="en-US"/>
              </w:rPr>
              <w:t xml:space="preserve"> duration: 1.98 </w:t>
            </w:r>
            <w:proofErr w:type="spellStart"/>
            <w:r w:rsidRPr="00AB1B0D">
              <w:rPr>
                <w:lang w:val="en-US"/>
              </w:rPr>
              <w:t>yrs</w:t>
            </w:r>
            <w:proofErr w:type="spellEnd"/>
          </w:p>
        </w:tc>
        <w:tc>
          <w:tcPr>
            <w:tcW w:w="629" w:type="pct"/>
            <w:shd w:val="clear" w:color="auto" w:fill="auto"/>
            <w:vAlign w:val="center"/>
          </w:tcPr>
          <w:p w:rsidR="004D0899" w:rsidRPr="00AB1B0D" w:rsidRDefault="004D0899" w:rsidP="00836994">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rsidR="004D0899" w:rsidRPr="00AB1B0D" w:rsidRDefault="004D0899" w:rsidP="004D0899">
            <w:pPr>
              <w:pStyle w:val="TableText0"/>
              <w:keepNext w:val="0"/>
              <w:rPr>
                <w:rFonts w:cs="Times New Roman"/>
              </w:rPr>
            </w:pPr>
            <w:r w:rsidRPr="00AB1B0D">
              <w:rPr>
                <w:rFonts w:cs="Times New Roman"/>
              </w:rPr>
              <w:t xml:space="preserve">Aged </w:t>
            </w:r>
            <w:r w:rsidRPr="00AB1B0D">
              <w:t xml:space="preserve">≥ 18 </w:t>
            </w:r>
            <w:r w:rsidRPr="00AB1B0D">
              <w:rPr>
                <w:rFonts w:cs="Times New Roman"/>
              </w:rPr>
              <w:t xml:space="preserve">years </w:t>
            </w:r>
          </w:p>
          <w:p w:rsidR="004D0899" w:rsidRPr="00AB1B0D" w:rsidRDefault="004D0899" w:rsidP="004D0899">
            <w:pPr>
              <w:pStyle w:val="TableText0"/>
              <w:keepNext w:val="0"/>
            </w:pPr>
            <w:r w:rsidRPr="00AB1B0D">
              <w:rPr>
                <w:rFonts w:cs="Times New Roman"/>
              </w:rPr>
              <w:t xml:space="preserve">Assumed homozygous for the F508del. </w:t>
            </w:r>
            <w:r w:rsidRPr="00AB1B0D">
              <w:rPr>
                <w:lang w:val="en-US"/>
              </w:rPr>
              <w:t>Included patients treated with LUMA/IVA or TEZA/IVA</w:t>
            </w:r>
          </w:p>
        </w:tc>
      </w:tr>
      <w:tr w:rsidR="004D0899" w:rsidRPr="00E2771E" w:rsidTr="0077493A">
        <w:tc>
          <w:tcPr>
            <w:tcW w:w="606" w:type="pct"/>
            <w:shd w:val="clear" w:color="auto" w:fill="auto"/>
            <w:vAlign w:val="center"/>
          </w:tcPr>
          <w:p w:rsidR="004D0899" w:rsidRPr="00AB1B0D" w:rsidRDefault="004D0899" w:rsidP="000F756D">
            <w:pPr>
              <w:pStyle w:val="TableText0"/>
              <w:keepNext w:val="0"/>
            </w:pPr>
            <w:proofErr w:type="spellStart"/>
            <w:r w:rsidRPr="00AB1B0D">
              <w:t>Muilwijk</w:t>
            </w:r>
            <w:proofErr w:type="spellEnd"/>
            <w:r w:rsidRPr="00AB1B0D">
              <w:t xml:space="preserve"> 2020 (abstract only)</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70</w:t>
            </w:r>
          </w:p>
        </w:tc>
        <w:tc>
          <w:tcPr>
            <w:tcW w:w="1675" w:type="pct"/>
            <w:shd w:val="clear" w:color="auto" w:fill="auto"/>
            <w:vAlign w:val="center"/>
          </w:tcPr>
          <w:p w:rsidR="004D0899" w:rsidRPr="00AB1B0D" w:rsidRDefault="004D0899" w:rsidP="000F756D">
            <w:pPr>
              <w:pStyle w:val="TableText0"/>
              <w:keepNext w:val="0"/>
              <w:rPr>
                <w:lang w:val="en-US"/>
              </w:rPr>
            </w:pPr>
            <w:r w:rsidRPr="00AB1B0D">
              <w:rPr>
                <w:lang w:val="en-US"/>
              </w:rPr>
              <w:t xml:space="preserve">Paired historic control cohort study, single </w:t>
            </w:r>
            <w:proofErr w:type="spellStart"/>
            <w:r w:rsidRPr="00AB1B0D">
              <w:rPr>
                <w:lang w:val="en-US"/>
              </w:rPr>
              <w:t>centre</w:t>
            </w:r>
            <w:proofErr w:type="spellEnd"/>
            <w:r w:rsidRPr="00AB1B0D">
              <w:rPr>
                <w:lang w:val="en-US"/>
              </w:rPr>
              <w:t xml:space="preserve">, OL study in the Netherlands; Dutch CF Registry. </w:t>
            </w:r>
          </w:p>
          <w:p w:rsidR="004D0899" w:rsidRPr="00AB1B0D" w:rsidRDefault="004D0899" w:rsidP="000F756D">
            <w:pPr>
              <w:pStyle w:val="TableText0"/>
              <w:keepNext w:val="0"/>
              <w:rPr>
                <w:lang w:val="en-US"/>
              </w:rPr>
            </w:pPr>
            <w:r w:rsidRPr="00AB1B0D">
              <w:rPr>
                <w:lang w:val="en-US"/>
              </w:rPr>
              <w:lastRenderedPageBreak/>
              <w:t xml:space="preserve">Mean </w:t>
            </w:r>
            <w:proofErr w:type="spellStart"/>
            <w:r w:rsidRPr="00AB1B0D">
              <w:rPr>
                <w:lang w:val="en-US"/>
              </w:rPr>
              <w:t>Tx</w:t>
            </w:r>
            <w:proofErr w:type="spellEnd"/>
            <w:r w:rsidRPr="00AB1B0D">
              <w:rPr>
                <w:lang w:val="en-US"/>
              </w:rPr>
              <w:t xml:space="preserve"> duration: 2.4 </w:t>
            </w:r>
            <w:proofErr w:type="spellStart"/>
            <w:r w:rsidRPr="00AB1B0D">
              <w:rPr>
                <w:lang w:val="en-US"/>
              </w:rPr>
              <w:t>yrs</w:t>
            </w:r>
            <w:proofErr w:type="spellEnd"/>
          </w:p>
        </w:tc>
        <w:tc>
          <w:tcPr>
            <w:tcW w:w="629" w:type="pct"/>
            <w:shd w:val="clear" w:color="auto" w:fill="auto"/>
            <w:vAlign w:val="center"/>
          </w:tcPr>
          <w:p w:rsidR="004D0899" w:rsidRPr="00AB1B0D" w:rsidRDefault="004D0899" w:rsidP="00836994">
            <w:pPr>
              <w:pStyle w:val="TableText0"/>
              <w:keepNext w:val="0"/>
              <w:jc w:val="center"/>
              <w:rPr>
                <w:lang w:val="en-US"/>
              </w:rPr>
            </w:pPr>
            <w:r w:rsidRPr="00AB1B0D">
              <w:rPr>
                <w:lang w:val="en-US"/>
              </w:rPr>
              <w:lastRenderedPageBreak/>
              <w:t>moderate to critical</w:t>
            </w:r>
          </w:p>
        </w:tc>
        <w:tc>
          <w:tcPr>
            <w:tcW w:w="1701" w:type="pct"/>
            <w:gridSpan w:val="2"/>
            <w:shd w:val="clear" w:color="auto" w:fill="auto"/>
            <w:vAlign w:val="center"/>
          </w:tcPr>
          <w:p w:rsidR="004D0899" w:rsidRPr="00AB1B0D" w:rsidRDefault="004D0899" w:rsidP="004D0899">
            <w:pPr>
              <w:pStyle w:val="TableText0"/>
              <w:keepNext w:val="0"/>
              <w:rPr>
                <w:iCs/>
              </w:rPr>
            </w:pPr>
            <w:r w:rsidRPr="00AB1B0D">
              <w:rPr>
                <w:iCs/>
              </w:rPr>
              <w:t>Assumed age group: adults</w:t>
            </w:r>
          </w:p>
          <w:p w:rsidR="004D0899" w:rsidRPr="00AB1B0D" w:rsidRDefault="004D0899" w:rsidP="004D0899">
            <w:pPr>
              <w:pStyle w:val="TableText0"/>
              <w:keepNext w:val="0"/>
            </w:pPr>
            <w:r w:rsidRPr="00AB1B0D">
              <w:rPr>
                <w:rFonts w:cs="Times New Roman"/>
              </w:rPr>
              <w:t>Homozygous for the F508del</w:t>
            </w:r>
          </w:p>
        </w:tc>
      </w:tr>
      <w:tr w:rsidR="004D0899" w:rsidRPr="00E2771E" w:rsidTr="0077493A">
        <w:tc>
          <w:tcPr>
            <w:tcW w:w="606" w:type="pct"/>
            <w:shd w:val="clear" w:color="auto" w:fill="auto"/>
            <w:vAlign w:val="center"/>
          </w:tcPr>
          <w:p w:rsidR="004D0899" w:rsidRPr="00AB1B0D" w:rsidRDefault="004D0899" w:rsidP="000F756D">
            <w:pPr>
              <w:pStyle w:val="TableText0"/>
              <w:keepNext w:val="0"/>
            </w:pPr>
            <w:r w:rsidRPr="00AB1B0D">
              <w:t xml:space="preserve">Collet 2018 (abstract only) / </w:t>
            </w:r>
            <w:proofErr w:type="spellStart"/>
            <w:r w:rsidRPr="00AB1B0D">
              <w:t>Burgel</w:t>
            </w:r>
            <w:proofErr w:type="spellEnd"/>
            <w:r w:rsidRPr="00AB1B0D">
              <w:t xml:space="preserve"> 2020</w:t>
            </w:r>
          </w:p>
        </w:tc>
        <w:tc>
          <w:tcPr>
            <w:tcW w:w="390" w:type="pct"/>
            <w:shd w:val="clear" w:color="auto" w:fill="auto"/>
            <w:vAlign w:val="center"/>
          </w:tcPr>
          <w:p w:rsidR="004D0899" w:rsidRPr="00AB1B0D" w:rsidRDefault="004D0899" w:rsidP="000F756D">
            <w:pPr>
              <w:pStyle w:val="TableText0"/>
              <w:keepNext w:val="0"/>
              <w:ind w:left="-69" w:right="-29"/>
              <w:jc w:val="center"/>
              <w:rPr>
                <w:lang w:val="en-US"/>
              </w:rPr>
            </w:pPr>
            <w:r w:rsidRPr="00AB1B0D">
              <w:rPr>
                <w:lang w:val="en-US"/>
              </w:rPr>
              <w:t>Collet: 30</w:t>
            </w:r>
          </w:p>
          <w:p w:rsidR="004D0899" w:rsidRPr="00AB1B0D" w:rsidRDefault="004D0899" w:rsidP="000F756D">
            <w:pPr>
              <w:pStyle w:val="TableText0"/>
              <w:keepNext w:val="0"/>
              <w:ind w:left="-69" w:right="-29"/>
              <w:jc w:val="center"/>
              <w:rPr>
                <w:lang w:val="en-US"/>
              </w:rPr>
            </w:pPr>
            <w:proofErr w:type="spellStart"/>
            <w:r w:rsidRPr="00AB1B0D">
              <w:rPr>
                <w:lang w:val="en-US"/>
              </w:rPr>
              <w:t>Burgel</w:t>
            </w:r>
            <w:proofErr w:type="spellEnd"/>
            <w:r w:rsidRPr="00AB1B0D">
              <w:rPr>
                <w:lang w:val="en-US"/>
              </w:rPr>
              <w:t>: 845.</w:t>
            </w:r>
          </w:p>
        </w:tc>
        <w:tc>
          <w:tcPr>
            <w:tcW w:w="1675" w:type="pct"/>
            <w:shd w:val="clear" w:color="auto" w:fill="auto"/>
            <w:vAlign w:val="center"/>
          </w:tcPr>
          <w:p w:rsidR="004D0899" w:rsidRPr="00AB1B0D" w:rsidRDefault="004D0899" w:rsidP="000F756D">
            <w:pPr>
              <w:pStyle w:val="TableText0"/>
              <w:keepNext w:val="0"/>
              <w:rPr>
                <w:lang w:val="en-US"/>
              </w:rPr>
            </w:pPr>
            <w:r w:rsidRPr="00AB1B0D">
              <w:rPr>
                <w:rFonts w:cstheme="minorHAnsi"/>
              </w:rPr>
              <w:t>Prospective cohort study with paired historic control</w:t>
            </w:r>
            <w:r w:rsidRPr="00AB1B0D">
              <w:rPr>
                <w:lang w:val="en-US"/>
              </w:rPr>
              <w:t xml:space="preserve">, OL study in France; French CF Reference Network </w:t>
            </w:r>
          </w:p>
          <w:p w:rsidR="004D0899" w:rsidRPr="00AB1B0D" w:rsidRDefault="004D0899" w:rsidP="000F756D">
            <w:pPr>
              <w:pStyle w:val="TableText0"/>
              <w:keepNext w:val="0"/>
              <w:rPr>
                <w:lang w:val="en-US"/>
              </w:rPr>
            </w:pPr>
            <w:r w:rsidRPr="00AB1B0D">
              <w:rPr>
                <w:lang w:val="en-US"/>
              </w:rPr>
              <w:t xml:space="preserve">Mean </w:t>
            </w:r>
            <w:proofErr w:type="spellStart"/>
            <w:r w:rsidRPr="00AB1B0D">
              <w:rPr>
                <w:lang w:val="en-US"/>
              </w:rPr>
              <w:t>Tx</w:t>
            </w:r>
            <w:proofErr w:type="spellEnd"/>
            <w:r w:rsidRPr="00AB1B0D">
              <w:rPr>
                <w:lang w:val="en-US"/>
              </w:rPr>
              <w:t xml:space="preserve"> duration: 1.0 </w:t>
            </w:r>
            <w:proofErr w:type="spellStart"/>
            <w:r w:rsidRPr="00AB1B0D">
              <w:rPr>
                <w:lang w:val="en-US"/>
              </w:rPr>
              <w:t>yrs</w:t>
            </w:r>
            <w:proofErr w:type="spellEnd"/>
          </w:p>
        </w:tc>
        <w:tc>
          <w:tcPr>
            <w:tcW w:w="629" w:type="pct"/>
            <w:shd w:val="clear" w:color="auto" w:fill="auto"/>
            <w:vAlign w:val="center"/>
          </w:tcPr>
          <w:p w:rsidR="004D0899" w:rsidRPr="00AB1B0D" w:rsidRDefault="004D0899" w:rsidP="00836994">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rsidR="004D0899" w:rsidRPr="00AB1B0D" w:rsidRDefault="004D0899" w:rsidP="000F756D">
            <w:pPr>
              <w:pStyle w:val="TableText0"/>
              <w:keepNext w:val="0"/>
              <w:rPr>
                <w:rFonts w:cs="Times New Roman"/>
              </w:rPr>
            </w:pPr>
            <w:r w:rsidRPr="00AB1B0D">
              <w:rPr>
                <w:rFonts w:cs="Times New Roman"/>
              </w:rPr>
              <w:t>Homozygous for the F508del</w:t>
            </w:r>
          </w:p>
          <w:p w:rsidR="004D0899" w:rsidRPr="00AB1B0D" w:rsidRDefault="004D0899" w:rsidP="000F756D">
            <w:pPr>
              <w:pStyle w:val="TableText0"/>
              <w:keepNext w:val="0"/>
              <w:rPr>
                <w:lang w:val="en-US"/>
              </w:rPr>
            </w:pPr>
            <w:r w:rsidRPr="00AB1B0D">
              <w:rPr>
                <w:lang w:val="en-US"/>
              </w:rPr>
              <w:t>Collet: children/adolescents</w:t>
            </w:r>
          </w:p>
          <w:p w:rsidR="004D0899" w:rsidRPr="00AB1B0D" w:rsidRDefault="004D0899" w:rsidP="000F756D">
            <w:pPr>
              <w:pStyle w:val="TableText0"/>
              <w:keepNext w:val="0"/>
              <w:jc w:val="center"/>
            </w:pPr>
            <w:proofErr w:type="spellStart"/>
            <w:r w:rsidRPr="00AB1B0D">
              <w:rPr>
                <w:lang w:val="en-US"/>
              </w:rPr>
              <w:t>Burgel</w:t>
            </w:r>
            <w:proofErr w:type="spellEnd"/>
            <w:r w:rsidRPr="00AB1B0D">
              <w:rPr>
                <w:lang w:val="en-US"/>
              </w:rPr>
              <w:t xml:space="preserve">: </w:t>
            </w:r>
            <w:proofErr w:type="spellStart"/>
            <w:r w:rsidRPr="00AB1B0D">
              <w:rPr>
                <w:lang w:val="en-US"/>
              </w:rPr>
              <w:t>paediatric</w:t>
            </w:r>
            <w:proofErr w:type="spellEnd"/>
            <w:r w:rsidRPr="00AB1B0D">
              <w:rPr>
                <w:lang w:val="en-US"/>
              </w:rPr>
              <w:t xml:space="preserve"> and adults</w:t>
            </w:r>
          </w:p>
        </w:tc>
      </w:tr>
      <w:tr w:rsidR="004D0899" w:rsidRPr="00E2771E" w:rsidTr="0077493A">
        <w:tc>
          <w:tcPr>
            <w:tcW w:w="606" w:type="pct"/>
            <w:shd w:val="clear" w:color="auto" w:fill="auto"/>
            <w:vAlign w:val="center"/>
          </w:tcPr>
          <w:p w:rsidR="004D0899" w:rsidRPr="00AB1B0D" w:rsidRDefault="004D0899" w:rsidP="000F756D">
            <w:pPr>
              <w:pStyle w:val="TableText0"/>
              <w:keepNext w:val="0"/>
            </w:pPr>
            <w:r w:rsidRPr="00AB1B0D">
              <w:t xml:space="preserve">Ejiofor 2020 </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21</w:t>
            </w:r>
          </w:p>
        </w:tc>
        <w:tc>
          <w:tcPr>
            <w:tcW w:w="1675" w:type="pct"/>
            <w:shd w:val="clear" w:color="auto" w:fill="auto"/>
            <w:vAlign w:val="center"/>
          </w:tcPr>
          <w:p w:rsidR="004D0899" w:rsidRPr="00AB1B0D" w:rsidRDefault="004D0899" w:rsidP="000F756D">
            <w:pPr>
              <w:pStyle w:val="TableText0"/>
              <w:keepNext w:val="0"/>
              <w:rPr>
                <w:lang w:val="en-US"/>
              </w:rPr>
            </w:pPr>
            <w:r w:rsidRPr="00AB1B0D">
              <w:rPr>
                <w:lang w:val="en-US"/>
              </w:rPr>
              <w:t xml:space="preserve">Paired historic control cohort study, Analysis of patients through a compassionate use program in Denmark. </w:t>
            </w:r>
          </w:p>
          <w:p w:rsidR="004D0899" w:rsidRPr="00AB1B0D" w:rsidRDefault="004D0899" w:rsidP="000F756D">
            <w:pPr>
              <w:pStyle w:val="TableText0"/>
              <w:keepNext w:val="0"/>
              <w:rPr>
                <w:lang w:val="en-US"/>
              </w:rPr>
            </w:pPr>
            <w:r w:rsidRPr="00AB1B0D">
              <w:rPr>
                <w:lang w:val="en-US"/>
              </w:rPr>
              <w:t xml:space="preserve">Median </w:t>
            </w:r>
            <w:proofErr w:type="spellStart"/>
            <w:r w:rsidRPr="00AB1B0D">
              <w:rPr>
                <w:lang w:val="en-US"/>
              </w:rPr>
              <w:t>Tx</w:t>
            </w:r>
            <w:proofErr w:type="spellEnd"/>
            <w:r w:rsidRPr="00AB1B0D">
              <w:rPr>
                <w:lang w:val="en-US"/>
              </w:rPr>
              <w:t xml:space="preserve"> duration: 1.3 </w:t>
            </w:r>
            <w:proofErr w:type="spellStart"/>
            <w:r w:rsidRPr="00AB1B0D">
              <w:rPr>
                <w:lang w:val="en-US"/>
              </w:rPr>
              <w:t>yrs</w:t>
            </w:r>
            <w:proofErr w:type="spellEnd"/>
          </w:p>
        </w:tc>
        <w:tc>
          <w:tcPr>
            <w:tcW w:w="629" w:type="pct"/>
            <w:shd w:val="clear" w:color="auto" w:fill="auto"/>
            <w:vAlign w:val="center"/>
          </w:tcPr>
          <w:p w:rsidR="004D0899" w:rsidRPr="00AB1B0D" w:rsidRDefault="004D0899" w:rsidP="00836994">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rsidR="004D0899" w:rsidRPr="00AB1B0D" w:rsidRDefault="004D0899" w:rsidP="000F756D">
            <w:pPr>
              <w:pStyle w:val="TableText0"/>
              <w:keepNext w:val="0"/>
              <w:rPr>
                <w:rFonts w:cs="Times New Roman"/>
              </w:rPr>
            </w:pPr>
            <w:r w:rsidRPr="00AB1B0D">
              <w:rPr>
                <w:rFonts w:cs="Times New Roman"/>
              </w:rPr>
              <w:t>Homozygous for the F508del</w:t>
            </w:r>
          </w:p>
          <w:p w:rsidR="004D0899" w:rsidRPr="00AB1B0D" w:rsidRDefault="004D0899" w:rsidP="000F756D">
            <w:pPr>
              <w:pStyle w:val="TableText0"/>
              <w:keepNext w:val="0"/>
              <w:rPr>
                <w:rFonts w:cs="Times New Roman"/>
              </w:rPr>
            </w:pPr>
            <w:r w:rsidRPr="00AB1B0D">
              <w:rPr>
                <w:rFonts w:cs="Times New Roman"/>
              </w:rPr>
              <w:t>Adults: ppFEV</w:t>
            </w:r>
            <w:r w:rsidRPr="00AB1B0D">
              <w:rPr>
                <w:rFonts w:cs="Times New Roman"/>
                <w:vertAlign w:val="subscript"/>
              </w:rPr>
              <w:t>1</w:t>
            </w:r>
            <w:r w:rsidRPr="00AB1B0D">
              <w:rPr>
                <w:rFonts w:cs="Times New Roman"/>
              </w:rPr>
              <w:t> &lt; 30 or</w:t>
            </w:r>
          </w:p>
          <w:p w:rsidR="004D0899" w:rsidRPr="00AB1B0D" w:rsidRDefault="004D0899" w:rsidP="000F756D">
            <w:pPr>
              <w:pStyle w:val="TableText0"/>
              <w:keepNext w:val="0"/>
              <w:rPr>
                <w:rFonts w:cs="Times New Roman"/>
              </w:rPr>
            </w:pPr>
            <w:r w:rsidRPr="00AB1B0D">
              <w:rPr>
                <w:rFonts w:cs="Times New Roman"/>
              </w:rPr>
              <w:t>Children: ppFEV</w:t>
            </w:r>
            <w:r w:rsidRPr="00AB1B0D">
              <w:rPr>
                <w:rFonts w:cs="Times New Roman"/>
                <w:vertAlign w:val="subscript"/>
              </w:rPr>
              <w:t>1</w:t>
            </w:r>
            <w:r w:rsidRPr="00AB1B0D">
              <w:rPr>
                <w:rFonts w:cs="Times New Roman"/>
              </w:rPr>
              <w:t> &lt; 40 or</w:t>
            </w:r>
          </w:p>
          <w:p w:rsidR="004D0899" w:rsidRPr="00AB1B0D" w:rsidRDefault="004D0899" w:rsidP="000F756D">
            <w:pPr>
              <w:pStyle w:val="TableText0"/>
              <w:keepNext w:val="0"/>
              <w:rPr>
                <w:rFonts w:cs="Times New Roman"/>
              </w:rPr>
            </w:pPr>
            <w:r w:rsidRPr="00AB1B0D">
              <w:rPr>
                <w:rFonts w:cs="Times New Roman"/>
              </w:rPr>
              <w:t>or</w:t>
            </w:r>
          </w:p>
          <w:p w:rsidR="004D0899" w:rsidRPr="00AB1B0D" w:rsidRDefault="004D0899" w:rsidP="000F756D">
            <w:pPr>
              <w:pStyle w:val="TableText0"/>
              <w:keepNext w:val="0"/>
              <w:rPr>
                <w:rFonts w:cs="Times New Roman"/>
              </w:rPr>
            </w:pPr>
            <w:r w:rsidRPr="00AB1B0D">
              <w:rPr>
                <w:rFonts w:cs="Times New Roman"/>
              </w:rPr>
              <w:t>Two of the following criteria</w:t>
            </w:r>
          </w:p>
          <w:p w:rsidR="004D0899" w:rsidRPr="00AB1B0D" w:rsidRDefault="004D0899" w:rsidP="00AB5C73">
            <w:pPr>
              <w:pStyle w:val="TableText0"/>
              <w:keepNext w:val="0"/>
              <w:numPr>
                <w:ilvl w:val="0"/>
                <w:numId w:val="8"/>
              </w:numPr>
              <w:ind w:left="258" w:hanging="224"/>
              <w:rPr>
                <w:rFonts w:cs="Times New Roman"/>
              </w:rPr>
            </w:pPr>
            <w:r w:rsidRPr="00AB1B0D">
              <w:rPr>
                <w:rFonts w:cs="Times New Roman"/>
              </w:rPr>
              <w:t>Adults ppFEV</w:t>
            </w:r>
            <w:r w:rsidRPr="00AB1B0D">
              <w:rPr>
                <w:rFonts w:cs="Times New Roman"/>
                <w:vertAlign w:val="subscript"/>
              </w:rPr>
              <w:t>1</w:t>
            </w:r>
            <w:r w:rsidRPr="00AB1B0D">
              <w:rPr>
                <w:rFonts w:cs="Times New Roman"/>
              </w:rPr>
              <w:t> &lt; 40 / children ppFEV</w:t>
            </w:r>
            <w:r w:rsidRPr="00AB1B0D">
              <w:rPr>
                <w:rFonts w:cs="Times New Roman"/>
                <w:vertAlign w:val="subscript"/>
              </w:rPr>
              <w:t>1</w:t>
            </w:r>
            <w:r w:rsidRPr="00AB1B0D">
              <w:rPr>
                <w:rFonts w:cs="Times New Roman"/>
              </w:rPr>
              <w:t> &lt; 60;</w:t>
            </w:r>
          </w:p>
          <w:p w:rsidR="004D0899" w:rsidRPr="00AB1B0D" w:rsidRDefault="004D0899" w:rsidP="00AB5C73">
            <w:pPr>
              <w:pStyle w:val="TableText0"/>
              <w:keepNext w:val="0"/>
              <w:numPr>
                <w:ilvl w:val="0"/>
                <w:numId w:val="8"/>
              </w:numPr>
              <w:ind w:left="258" w:hanging="224"/>
              <w:rPr>
                <w:rFonts w:cs="Times New Roman"/>
              </w:rPr>
            </w:pPr>
            <w:r w:rsidRPr="00AB1B0D">
              <w:rPr>
                <w:rFonts w:cs="Times New Roman"/>
              </w:rPr>
              <w:t>ppFEV</w:t>
            </w:r>
            <w:r w:rsidRPr="00AB1B0D">
              <w:rPr>
                <w:rFonts w:cs="Times New Roman"/>
                <w:vertAlign w:val="subscript"/>
              </w:rPr>
              <w:t>1</w:t>
            </w:r>
            <w:r w:rsidRPr="00AB1B0D">
              <w:rPr>
                <w:rFonts w:cs="Times New Roman"/>
              </w:rPr>
              <w:t xml:space="preserve"> slope &lt; −2.5%, last year</w:t>
            </w:r>
          </w:p>
          <w:p w:rsidR="004D0899" w:rsidRPr="004D0899" w:rsidRDefault="004D0899" w:rsidP="00AB5C73">
            <w:pPr>
              <w:pStyle w:val="TableText0"/>
              <w:keepNext w:val="0"/>
              <w:numPr>
                <w:ilvl w:val="0"/>
                <w:numId w:val="8"/>
              </w:numPr>
              <w:ind w:left="258" w:hanging="224"/>
            </w:pPr>
            <w:r w:rsidRPr="00AB1B0D">
              <w:rPr>
                <w:rFonts w:cs="Times New Roman"/>
              </w:rPr>
              <w:t>Chronic difficult</w:t>
            </w:r>
            <w:r w:rsidRPr="00AB1B0D">
              <w:rPr>
                <w:rFonts w:ascii="Cambria Math" w:hAnsi="Cambria Math" w:cs="Cambria Math"/>
              </w:rPr>
              <w:t>‐</w:t>
            </w:r>
            <w:r w:rsidRPr="00AB1B0D">
              <w:rPr>
                <w:rFonts w:cs="Times New Roman"/>
              </w:rPr>
              <w:t>to</w:t>
            </w:r>
            <w:r w:rsidRPr="00AB1B0D">
              <w:rPr>
                <w:rFonts w:ascii="Cambria Math" w:hAnsi="Cambria Math" w:cs="Cambria Math"/>
              </w:rPr>
              <w:t>‐</w:t>
            </w:r>
            <w:r w:rsidRPr="00AB1B0D">
              <w:rPr>
                <w:rFonts w:cs="Times New Roman"/>
              </w:rPr>
              <w:t>treat pulmonary infection;</w:t>
            </w:r>
          </w:p>
          <w:p w:rsidR="004D0899" w:rsidRPr="00AB1B0D" w:rsidRDefault="004D0899" w:rsidP="00AB5C73">
            <w:pPr>
              <w:pStyle w:val="TableText0"/>
              <w:keepNext w:val="0"/>
              <w:numPr>
                <w:ilvl w:val="0"/>
                <w:numId w:val="8"/>
              </w:numPr>
              <w:ind w:left="258" w:hanging="224"/>
            </w:pPr>
            <w:r w:rsidRPr="004D0899">
              <w:rPr>
                <w:rFonts w:cs="Times New Roman"/>
              </w:rPr>
              <w:t>Low BMI</w:t>
            </w:r>
          </w:p>
        </w:tc>
      </w:tr>
      <w:tr w:rsidR="004D0899" w:rsidRPr="00E2771E" w:rsidTr="0077493A">
        <w:tc>
          <w:tcPr>
            <w:tcW w:w="606" w:type="pct"/>
            <w:shd w:val="clear" w:color="auto" w:fill="auto"/>
            <w:vAlign w:val="center"/>
          </w:tcPr>
          <w:p w:rsidR="004D0899" w:rsidRPr="00AB1B0D" w:rsidRDefault="004D0899" w:rsidP="000F756D">
            <w:pPr>
              <w:pStyle w:val="TableText0"/>
              <w:keepNext w:val="0"/>
            </w:pPr>
            <w:r w:rsidRPr="00AB1B0D">
              <w:t>King 2021</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24</w:t>
            </w:r>
          </w:p>
        </w:tc>
        <w:tc>
          <w:tcPr>
            <w:tcW w:w="1675" w:type="pct"/>
            <w:shd w:val="clear" w:color="auto" w:fill="auto"/>
            <w:vAlign w:val="center"/>
          </w:tcPr>
          <w:p w:rsidR="004D0899" w:rsidRPr="00AB1B0D" w:rsidRDefault="004D0899" w:rsidP="000F756D">
            <w:pPr>
              <w:pStyle w:val="TableText0"/>
              <w:keepNext w:val="0"/>
              <w:rPr>
                <w:lang w:val="en-US"/>
              </w:rPr>
            </w:pPr>
            <w:r w:rsidRPr="00AB1B0D">
              <w:rPr>
                <w:lang w:val="en-US"/>
              </w:rPr>
              <w:t>Paired historic control cohort study, analysis of patients through a compassionate use program in Australia.</w:t>
            </w:r>
          </w:p>
          <w:p w:rsidR="004D0899" w:rsidRPr="00AB1B0D" w:rsidRDefault="004D0899" w:rsidP="002D4471">
            <w:pPr>
              <w:pStyle w:val="TableText0"/>
              <w:keepNext w:val="0"/>
              <w:rPr>
                <w:lang w:val="en-US"/>
              </w:rPr>
            </w:pPr>
            <w:proofErr w:type="spellStart"/>
            <w:r w:rsidRPr="00AB1B0D">
              <w:rPr>
                <w:lang w:val="en-US"/>
              </w:rPr>
              <w:t>Tx</w:t>
            </w:r>
            <w:proofErr w:type="spellEnd"/>
            <w:r w:rsidRPr="00AB1B0D">
              <w:rPr>
                <w:lang w:val="en-US"/>
              </w:rPr>
              <w:t xml:space="preserve"> duration: </w:t>
            </w:r>
            <w:r w:rsidR="002D4471">
              <w:rPr>
                <w:lang w:val="en-US"/>
              </w:rPr>
              <w:t xml:space="preserve"> </w:t>
            </w:r>
            <w:r w:rsidRPr="00AB1B0D">
              <w:rPr>
                <w:lang w:val="en-US"/>
              </w:rPr>
              <w:t>1 year</w:t>
            </w:r>
          </w:p>
        </w:tc>
        <w:tc>
          <w:tcPr>
            <w:tcW w:w="629" w:type="pct"/>
            <w:shd w:val="clear" w:color="auto" w:fill="auto"/>
            <w:vAlign w:val="center"/>
          </w:tcPr>
          <w:p w:rsidR="004D0899" w:rsidRPr="00AB1B0D" w:rsidRDefault="004D0899" w:rsidP="000F756D">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rsidR="004D0899" w:rsidRPr="00AB1B0D" w:rsidRDefault="004D0899" w:rsidP="004D0899">
            <w:pPr>
              <w:pStyle w:val="TableText0"/>
              <w:keepNext w:val="0"/>
              <w:rPr>
                <w:rFonts w:cs="Times New Roman"/>
              </w:rPr>
            </w:pPr>
            <w:r w:rsidRPr="00AB1B0D">
              <w:rPr>
                <w:rFonts w:cs="Times New Roman"/>
              </w:rPr>
              <w:t xml:space="preserve">Aged </w:t>
            </w:r>
            <w:r w:rsidRPr="00AB1B0D">
              <w:t xml:space="preserve">≥ 18 </w:t>
            </w:r>
            <w:r w:rsidRPr="00AB1B0D">
              <w:rPr>
                <w:rFonts w:cs="Times New Roman"/>
              </w:rPr>
              <w:t xml:space="preserve">years </w:t>
            </w:r>
          </w:p>
          <w:p w:rsidR="004D0899" w:rsidRPr="00AB1B0D" w:rsidRDefault="004D0899" w:rsidP="004D0899">
            <w:pPr>
              <w:pStyle w:val="TableText0"/>
              <w:keepNext w:val="0"/>
              <w:rPr>
                <w:rFonts w:cs="Times New Roman"/>
              </w:rPr>
            </w:pPr>
            <w:r w:rsidRPr="00AB1B0D">
              <w:rPr>
                <w:rFonts w:cs="Times New Roman"/>
              </w:rPr>
              <w:t>Homozygous for the F508del</w:t>
            </w:r>
          </w:p>
          <w:p w:rsidR="004D0899" w:rsidRPr="00AB1B0D" w:rsidRDefault="004D0899" w:rsidP="004D0899">
            <w:pPr>
              <w:pStyle w:val="TableText0"/>
              <w:keepNext w:val="0"/>
            </w:pPr>
            <w:r w:rsidRPr="00AB1B0D">
              <w:t>ppFEV</w:t>
            </w:r>
            <w:r w:rsidRPr="00AB1B0D">
              <w:rPr>
                <w:vertAlign w:val="subscript"/>
              </w:rPr>
              <w:t>1</w:t>
            </w:r>
            <w:r w:rsidRPr="00AB1B0D">
              <w:t xml:space="preserve"> &lt; 40%</w:t>
            </w:r>
          </w:p>
        </w:tc>
      </w:tr>
      <w:tr w:rsidR="004D0899" w:rsidRPr="00E2771E" w:rsidTr="0077493A">
        <w:tc>
          <w:tcPr>
            <w:tcW w:w="606" w:type="pct"/>
            <w:shd w:val="clear" w:color="auto" w:fill="auto"/>
            <w:vAlign w:val="center"/>
          </w:tcPr>
          <w:p w:rsidR="004D0899" w:rsidRPr="00AB1B0D" w:rsidRDefault="004D0899" w:rsidP="000F756D">
            <w:pPr>
              <w:pStyle w:val="TableText0"/>
              <w:keepNext w:val="0"/>
            </w:pPr>
            <w:proofErr w:type="spellStart"/>
            <w:r w:rsidRPr="00AB1B0D">
              <w:t>Loukou</w:t>
            </w:r>
            <w:proofErr w:type="spellEnd"/>
            <w:r w:rsidRPr="00AB1B0D">
              <w:t xml:space="preserve"> 2020</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40</w:t>
            </w:r>
            <w:r w:rsidRPr="00AB1B0D">
              <w:rPr>
                <w:vertAlign w:val="superscript"/>
                <w:lang w:val="en-US"/>
              </w:rPr>
              <w:t>d</w:t>
            </w:r>
          </w:p>
        </w:tc>
        <w:tc>
          <w:tcPr>
            <w:tcW w:w="1675" w:type="pct"/>
            <w:shd w:val="clear" w:color="auto" w:fill="auto"/>
            <w:vAlign w:val="center"/>
          </w:tcPr>
          <w:p w:rsidR="004D0899" w:rsidRPr="00AB1B0D" w:rsidRDefault="004D0899" w:rsidP="000F756D">
            <w:pPr>
              <w:pStyle w:val="TableText0"/>
              <w:keepNext w:val="0"/>
            </w:pPr>
            <w:r w:rsidRPr="00AB1B0D">
              <w:rPr>
                <w:lang w:val="en-US"/>
              </w:rPr>
              <w:t>Paired historic control cohort study</w:t>
            </w:r>
            <w:r w:rsidRPr="00AB1B0D">
              <w:t xml:space="preserve">; single centre in Greece. </w:t>
            </w:r>
          </w:p>
          <w:p w:rsidR="004D0899" w:rsidRPr="00AB1B0D" w:rsidRDefault="004D0899" w:rsidP="000F756D">
            <w:pPr>
              <w:pStyle w:val="TableText0"/>
              <w:keepNext w:val="0"/>
              <w:rPr>
                <w:b/>
                <w:bCs w:val="0"/>
                <w:lang w:val="en-US"/>
              </w:rPr>
            </w:pPr>
            <w:proofErr w:type="spellStart"/>
            <w:r w:rsidRPr="00AB1B0D">
              <w:rPr>
                <w:lang w:val="en-US"/>
              </w:rPr>
              <w:t>Tx</w:t>
            </w:r>
            <w:proofErr w:type="spellEnd"/>
            <w:r w:rsidRPr="00AB1B0D">
              <w:rPr>
                <w:lang w:val="en-US"/>
              </w:rPr>
              <w:t xml:space="preserve"> duration: 1 year</w:t>
            </w:r>
          </w:p>
        </w:tc>
        <w:tc>
          <w:tcPr>
            <w:tcW w:w="629" w:type="pct"/>
            <w:shd w:val="clear" w:color="auto" w:fill="auto"/>
            <w:vAlign w:val="center"/>
          </w:tcPr>
          <w:p w:rsidR="004D0899" w:rsidRPr="00AB1B0D" w:rsidRDefault="004D0899" w:rsidP="000F756D">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rsidR="004D0899" w:rsidRPr="00AB1B0D" w:rsidRDefault="004D0899" w:rsidP="004D0899">
            <w:pPr>
              <w:pStyle w:val="TableText0"/>
              <w:keepNext w:val="0"/>
              <w:rPr>
                <w:rFonts w:cs="Times New Roman"/>
              </w:rPr>
            </w:pPr>
            <w:r w:rsidRPr="00AB1B0D">
              <w:t>Age: 12 to 23 years</w:t>
            </w:r>
          </w:p>
          <w:p w:rsidR="004D0899" w:rsidRPr="00AB1B0D" w:rsidRDefault="004D0899" w:rsidP="004D0899">
            <w:pPr>
              <w:pStyle w:val="TableText0"/>
              <w:keepNext w:val="0"/>
            </w:pPr>
            <w:r w:rsidRPr="00AB1B0D">
              <w:rPr>
                <w:rFonts w:cs="Times New Roman"/>
              </w:rPr>
              <w:t>Homozygous for the F508del</w:t>
            </w:r>
          </w:p>
        </w:tc>
      </w:tr>
      <w:tr w:rsidR="00FE3514" w:rsidRPr="00E2771E" w:rsidTr="0077493A">
        <w:tc>
          <w:tcPr>
            <w:tcW w:w="5000" w:type="pct"/>
            <w:gridSpan w:val="6"/>
            <w:shd w:val="clear" w:color="auto" w:fill="auto"/>
            <w:vAlign w:val="center"/>
          </w:tcPr>
          <w:p w:rsidR="00FE3514" w:rsidRPr="00AB1B0D" w:rsidRDefault="00FE3514" w:rsidP="00FE3514">
            <w:pPr>
              <w:pStyle w:val="TableText0"/>
              <w:keepNext w:val="0"/>
            </w:pPr>
            <w:r w:rsidRPr="00AB1B0D">
              <w:rPr>
                <w:b/>
                <w:bCs w:val="0"/>
              </w:rPr>
              <w:t>Studies where lumacaftor/ivacaftor were initiated from ages 6 to 11 years</w:t>
            </w:r>
          </w:p>
        </w:tc>
      </w:tr>
      <w:tr w:rsidR="004D0899" w:rsidRPr="00E2771E" w:rsidTr="0077493A">
        <w:tc>
          <w:tcPr>
            <w:tcW w:w="606" w:type="pct"/>
            <w:shd w:val="clear" w:color="auto" w:fill="auto"/>
            <w:vAlign w:val="center"/>
          </w:tcPr>
          <w:p w:rsidR="004D0899" w:rsidRPr="00AB1B0D" w:rsidRDefault="004D0899" w:rsidP="000F756D">
            <w:pPr>
              <w:pStyle w:val="TableText0"/>
              <w:keepNext w:val="0"/>
              <w:rPr>
                <w:lang w:val="en-US"/>
              </w:rPr>
            </w:pPr>
            <w:r w:rsidRPr="00AB1B0D">
              <w:rPr>
                <w:lang w:val="en-US"/>
              </w:rPr>
              <w:t>Study 110</w:t>
            </w:r>
          </w:p>
        </w:tc>
        <w:tc>
          <w:tcPr>
            <w:tcW w:w="390" w:type="pct"/>
            <w:shd w:val="clear" w:color="auto" w:fill="auto"/>
            <w:vAlign w:val="center"/>
          </w:tcPr>
          <w:p w:rsidR="004D0899" w:rsidRPr="00AB1B0D" w:rsidRDefault="004D0899" w:rsidP="000F756D">
            <w:pPr>
              <w:pStyle w:val="TableText0"/>
              <w:keepNext w:val="0"/>
              <w:jc w:val="center"/>
              <w:rPr>
                <w:lang w:val="en-US"/>
              </w:rPr>
            </w:pPr>
            <w:r w:rsidRPr="00AB1B0D">
              <w:rPr>
                <w:lang w:val="en-US"/>
              </w:rPr>
              <w:t>239</w:t>
            </w:r>
          </w:p>
        </w:tc>
        <w:tc>
          <w:tcPr>
            <w:tcW w:w="1675" w:type="pct"/>
            <w:tcBorders>
              <w:bottom w:val="single" w:sz="4" w:space="0" w:color="auto"/>
            </w:tcBorders>
            <w:shd w:val="clear" w:color="auto" w:fill="auto"/>
            <w:vAlign w:val="center"/>
          </w:tcPr>
          <w:p w:rsidR="004D0899" w:rsidRPr="00AB1B0D" w:rsidRDefault="004D0899" w:rsidP="000F756D">
            <w:pPr>
              <w:pStyle w:val="TableText0"/>
              <w:keepNext w:val="0"/>
              <w:rPr>
                <w:lang w:val="en-US"/>
              </w:rPr>
            </w:pPr>
            <w:r w:rsidRPr="00AB1B0D">
              <w:rPr>
                <w:lang w:val="en-US"/>
              </w:rPr>
              <w:t>OL, MC, 2-part study</w:t>
            </w:r>
          </w:p>
          <w:p w:rsidR="004D0899" w:rsidRPr="00AB1B0D" w:rsidRDefault="004D0899" w:rsidP="000F756D">
            <w:pPr>
              <w:pStyle w:val="TableText0"/>
              <w:keepNext w:val="0"/>
              <w:rPr>
                <w:lang w:val="en-US"/>
              </w:rPr>
            </w:pPr>
            <w:r w:rsidRPr="00AB1B0D">
              <w:rPr>
                <w:lang w:val="en-US"/>
              </w:rPr>
              <w:t xml:space="preserve">96 weeks </w:t>
            </w:r>
            <w:r w:rsidRPr="00AB1B0D">
              <w:rPr>
                <w:lang w:val="en-US"/>
              </w:rPr>
              <w:br/>
              <w:t>(</w:t>
            </w:r>
            <w:proofErr w:type="spellStart"/>
            <w:r w:rsidRPr="00AB1B0D">
              <w:rPr>
                <w:lang w:val="en-US"/>
              </w:rPr>
              <w:t>Tx</w:t>
            </w:r>
            <w:proofErr w:type="spellEnd"/>
            <w:r w:rsidRPr="00AB1B0D">
              <w:rPr>
                <w:lang w:val="en-US"/>
              </w:rPr>
              <w:t xml:space="preserve"> follow up: 120 </w:t>
            </w:r>
            <w:proofErr w:type="spellStart"/>
            <w:r w:rsidRPr="00AB1B0D">
              <w:rPr>
                <w:lang w:val="en-US"/>
              </w:rPr>
              <w:t>wks</w:t>
            </w:r>
            <w:proofErr w:type="spellEnd"/>
            <w:r w:rsidRPr="00AB1B0D">
              <w:rPr>
                <w:lang w:val="en-US"/>
              </w:rPr>
              <w:t>)</w:t>
            </w:r>
          </w:p>
          <w:p w:rsidR="004D0899" w:rsidRPr="00AB1B0D" w:rsidRDefault="004D0899" w:rsidP="000F756D">
            <w:pPr>
              <w:pStyle w:val="TableText0"/>
              <w:keepNext w:val="0"/>
              <w:rPr>
                <w:lang w:val="en-US"/>
              </w:rPr>
            </w:pPr>
            <w:r w:rsidRPr="00AB1B0D">
              <w:rPr>
                <w:lang w:val="en-US"/>
              </w:rPr>
              <w:t xml:space="preserve">Mean </w:t>
            </w:r>
            <w:proofErr w:type="spellStart"/>
            <w:r w:rsidRPr="00AB1B0D">
              <w:rPr>
                <w:lang w:val="en-US"/>
              </w:rPr>
              <w:t>Tx</w:t>
            </w:r>
            <w:proofErr w:type="spellEnd"/>
            <w:r w:rsidRPr="00AB1B0D">
              <w:rPr>
                <w:lang w:val="en-US"/>
              </w:rPr>
              <w:t xml:space="preserve"> duration: 1.8 </w:t>
            </w:r>
            <w:proofErr w:type="spellStart"/>
            <w:r w:rsidRPr="00AB1B0D">
              <w:rPr>
                <w:lang w:val="en-US"/>
              </w:rPr>
              <w:t>yrs</w:t>
            </w:r>
            <w:r w:rsidRPr="00AB1B0D">
              <w:rPr>
                <w:vertAlign w:val="superscript"/>
                <w:lang w:val="en-US"/>
              </w:rPr>
              <w:t>e</w:t>
            </w:r>
            <w:proofErr w:type="spellEnd"/>
          </w:p>
        </w:tc>
        <w:tc>
          <w:tcPr>
            <w:tcW w:w="629" w:type="pct"/>
            <w:tcBorders>
              <w:bottom w:val="single" w:sz="4" w:space="0" w:color="auto"/>
            </w:tcBorders>
            <w:shd w:val="clear" w:color="auto" w:fill="auto"/>
            <w:vAlign w:val="center"/>
          </w:tcPr>
          <w:p w:rsidR="004D0899" w:rsidRPr="00AB1B0D" w:rsidRDefault="004D0899" w:rsidP="000F756D">
            <w:pPr>
              <w:pStyle w:val="TableText0"/>
              <w:keepNext w:val="0"/>
              <w:jc w:val="center"/>
              <w:rPr>
                <w:lang w:val="en-US"/>
              </w:rPr>
            </w:pPr>
            <w:r w:rsidRPr="00AB1B0D">
              <w:rPr>
                <w:lang w:val="en-US"/>
              </w:rPr>
              <w:t>moderate to critical</w:t>
            </w:r>
          </w:p>
        </w:tc>
        <w:tc>
          <w:tcPr>
            <w:tcW w:w="1701" w:type="pct"/>
            <w:gridSpan w:val="2"/>
            <w:tcBorders>
              <w:bottom w:val="single" w:sz="4" w:space="0" w:color="auto"/>
            </w:tcBorders>
            <w:shd w:val="clear" w:color="auto" w:fill="auto"/>
            <w:vAlign w:val="center"/>
          </w:tcPr>
          <w:p w:rsidR="004D0899" w:rsidRPr="00AB1B0D" w:rsidRDefault="004D0899" w:rsidP="004D0899">
            <w:pPr>
              <w:pStyle w:val="TableText0"/>
              <w:keepNext w:val="0"/>
              <w:rPr>
                <w:lang w:val="en-US"/>
              </w:rPr>
            </w:pPr>
            <w:r w:rsidRPr="00AB1B0D">
              <w:rPr>
                <w:rFonts w:cs="Times New Roman"/>
              </w:rPr>
              <w:t>Aged 6 to 11 years with CF homozygous for the F508del mutation.</w:t>
            </w:r>
          </w:p>
        </w:tc>
      </w:tr>
      <w:tr w:rsidR="004D0899" w:rsidRPr="00E2771E" w:rsidTr="0077493A">
        <w:tc>
          <w:tcPr>
            <w:tcW w:w="606" w:type="pct"/>
            <w:shd w:val="clear" w:color="auto" w:fill="auto"/>
            <w:vAlign w:val="center"/>
          </w:tcPr>
          <w:p w:rsidR="004D0899" w:rsidRPr="00AB1B0D" w:rsidRDefault="004D0899" w:rsidP="00FE3514">
            <w:pPr>
              <w:pStyle w:val="TableText0"/>
              <w:keepNext w:val="0"/>
              <w:rPr>
                <w:lang w:val="en-US"/>
              </w:rPr>
            </w:pPr>
            <w:r w:rsidRPr="00AB1B0D">
              <w:t>Study 129</w:t>
            </w:r>
          </w:p>
        </w:tc>
        <w:tc>
          <w:tcPr>
            <w:tcW w:w="390" w:type="pct"/>
            <w:shd w:val="clear" w:color="auto" w:fill="auto"/>
            <w:vAlign w:val="center"/>
          </w:tcPr>
          <w:p w:rsidR="004D0899" w:rsidRPr="00AB1B0D" w:rsidRDefault="004D0899" w:rsidP="00FE3514">
            <w:pPr>
              <w:pStyle w:val="TableText0"/>
              <w:keepNext w:val="0"/>
              <w:jc w:val="center"/>
              <w:rPr>
                <w:lang w:val="en-US"/>
              </w:rPr>
            </w:pPr>
            <w:r w:rsidRPr="00AB1B0D">
              <w:rPr>
                <w:lang w:val="en-US"/>
              </w:rPr>
              <w:t>179</w:t>
            </w:r>
          </w:p>
        </w:tc>
        <w:tc>
          <w:tcPr>
            <w:tcW w:w="1675" w:type="pct"/>
            <w:tcBorders>
              <w:bottom w:val="single" w:sz="4" w:space="0" w:color="auto"/>
            </w:tcBorders>
            <w:shd w:val="clear" w:color="auto" w:fill="auto"/>
            <w:vAlign w:val="center"/>
          </w:tcPr>
          <w:p w:rsidR="004D0899" w:rsidRPr="00AB1B0D" w:rsidRDefault="004D0899" w:rsidP="00FE3514">
            <w:pPr>
              <w:pStyle w:val="TableText0"/>
              <w:keepNext w:val="0"/>
              <w:rPr>
                <w:lang w:val="en-US"/>
              </w:rPr>
            </w:pPr>
            <w:r w:rsidRPr="00AB1B0D">
              <w:rPr>
                <w:lang w:val="en-US"/>
              </w:rPr>
              <w:t xml:space="preserve">OL, MC, analysis of data from the ACFDR. </w:t>
            </w:r>
          </w:p>
          <w:p w:rsidR="004D0899" w:rsidRPr="00AB1B0D" w:rsidRDefault="004D0899" w:rsidP="00FE3514">
            <w:pPr>
              <w:pStyle w:val="TableText0"/>
              <w:keepNext w:val="0"/>
              <w:rPr>
                <w:lang w:val="en-US"/>
              </w:rPr>
            </w:pPr>
            <w:r w:rsidRPr="00AB1B0D">
              <w:rPr>
                <w:lang w:val="en-US"/>
              </w:rPr>
              <w:t xml:space="preserve">Mean </w:t>
            </w:r>
            <w:proofErr w:type="spellStart"/>
            <w:r w:rsidRPr="00AB1B0D">
              <w:rPr>
                <w:lang w:val="en-US"/>
              </w:rPr>
              <w:t>Tx</w:t>
            </w:r>
            <w:proofErr w:type="spellEnd"/>
            <w:r w:rsidRPr="00AB1B0D">
              <w:rPr>
                <w:lang w:val="en-US"/>
              </w:rPr>
              <w:t xml:space="preserve"> duration: 0.8 </w:t>
            </w:r>
            <w:proofErr w:type="spellStart"/>
            <w:r w:rsidRPr="00AB1B0D">
              <w:rPr>
                <w:lang w:val="en-US"/>
              </w:rPr>
              <w:t>yrs</w:t>
            </w:r>
            <w:proofErr w:type="spellEnd"/>
          </w:p>
        </w:tc>
        <w:tc>
          <w:tcPr>
            <w:tcW w:w="629" w:type="pct"/>
            <w:tcBorders>
              <w:bottom w:val="single" w:sz="4" w:space="0" w:color="auto"/>
            </w:tcBorders>
            <w:shd w:val="clear" w:color="auto" w:fill="auto"/>
            <w:vAlign w:val="center"/>
          </w:tcPr>
          <w:p w:rsidR="004D0899" w:rsidRPr="00AB1B0D" w:rsidRDefault="004D0899" w:rsidP="00FE3514">
            <w:pPr>
              <w:pStyle w:val="TableText0"/>
              <w:keepNext w:val="0"/>
              <w:jc w:val="center"/>
              <w:rPr>
                <w:lang w:val="en-US"/>
              </w:rPr>
            </w:pPr>
            <w:r w:rsidRPr="00AB1B0D">
              <w:rPr>
                <w:lang w:val="en-US"/>
              </w:rPr>
              <w:t>moderate to critical</w:t>
            </w:r>
          </w:p>
        </w:tc>
        <w:tc>
          <w:tcPr>
            <w:tcW w:w="1701" w:type="pct"/>
            <w:gridSpan w:val="2"/>
            <w:tcBorders>
              <w:bottom w:val="single" w:sz="4" w:space="0" w:color="auto"/>
            </w:tcBorders>
            <w:shd w:val="clear" w:color="auto" w:fill="auto"/>
            <w:vAlign w:val="center"/>
          </w:tcPr>
          <w:p w:rsidR="004D0899" w:rsidRPr="00AB1B0D" w:rsidRDefault="004D0899" w:rsidP="004D0899">
            <w:pPr>
              <w:pStyle w:val="TableText0"/>
              <w:keepNext w:val="0"/>
            </w:pPr>
            <w:r w:rsidRPr="00AB1B0D">
              <w:rPr>
                <w:rFonts w:cs="Times New Roman"/>
              </w:rPr>
              <w:t>Aged 6 to 11 years.</w:t>
            </w:r>
            <w:r w:rsidR="000A4FBA">
              <w:rPr>
                <w:rFonts w:cs="Times New Roman"/>
              </w:rPr>
              <w:t xml:space="preserve"> </w:t>
            </w:r>
            <w:r w:rsidRPr="00AB1B0D">
              <w:rPr>
                <w:rFonts w:cs="Times New Roman"/>
              </w:rPr>
              <w:t xml:space="preserve">Australian patients with CF homozygous for the F508del mutation; </w:t>
            </w:r>
          </w:p>
        </w:tc>
      </w:tr>
      <w:tr w:rsidR="00C425AB" w:rsidRPr="00E2771E" w:rsidTr="0077493A">
        <w:tc>
          <w:tcPr>
            <w:tcW w:w="995" w:type="pct"/>
            <w:gridSpan w:val="2"/>
            <w:shd w:val="clear" w:color="auto" w:fill="auto"/>
            <w:vAlign w:val="center"/>
          </w:tcPr>
          <w:p w:rsidR="00C425AB" w:rsidRPr="00AB1B0D" w:rsidRDefault="00C425AB" w:rsidP="00C425AB">
            <w:pPr>
              <w:pStyle w:val="TableText0"/>
              <w:keepNext w:val="0"/>
              <w:rPr>
                <w:b/>
                <w:lang w:val="en-US"/>
              </w:rPr>
            </w:pPr>
            <w:r w:rsidRPr="00AB1B0D">
              <w:rPr>
                <w:b/>
                <w:lang w:val="en-US"/>
              </w:rPr>
              <w:t>Pooled-analysis</w:t>
            </w:r>
          </w:p>
        </w:tc>
        <w:tc>
          <w:tcPr>
            <w:tcW w:w="1675" w:type="pct"/>
            <w:tcBorders>
              <w:bottom w:val="single" w:sz="4" w:space="0" w:color="auto"/>
              <w:right w:val="nil"/>
            </w:tcBorders>
            <w:shd w:val="clear" w:color="auto" w:fill="auto"/>
            <w:vAlign w:val="center"/>
          </w:tcPr>
          <w:p w:rsidR="00C425AB" w:rsidRPr="00AB1B0D" w:rsidRDefault="00C425AB" w:rsidP="000F756D">
            <w:pPr>
              <w:pStyle w:val="TableText0"/>
              <w:keepNext w:val="0"/>
              <w:rPr>
                <w:lang w:val="en-US"/>
              </w:rPr>
            </w:pPr>
            <w:r w:rsidRPr="00AB1B0D">
              <w:rPr>
                <w:lang w:val="en-US"/>
              </w:rPr>
              <w:t>Assessed ppFEV</w:t>
            </w:r>
            <w:r w:rsidRPr="00AB1B0D">
              <w:rPr>
                <w:vertAlign w:val="subscript"/>
                <w:lang w:val="en-US"/>
              </w:rPr>
              <w:t>1</w:t>
            </w:r>
            <w:r w:rsidRPr="00AB1B0D">
              <w:rPr>
                <w:lang w:val="en-US"/>
              </w:rPr>
              <w:t xml:space="preserve"> </w:t>
            </w:r>
            <w:proofErr w:type="spellStart"/>
            <w:r w:rsidRPr="00AB1B0D">
              <w:rPr>
                <w:lang w:val="en-US"/>
              </w:rPr>
              <w:t>rROD</w:t>
            </w:r>
            <w:proofErr w:type="spellEnd"/>
          </w:p>
        </w:tc>
        <w:tc>
          <w:tcPr>
            <w:tcW w:w="629" w:type="pct"/>
            <w:tcBorders>
              <w:left w:val="nil"/>
              <w:bottom w:val="single" w:sz="4" w:space="0" w:color="auto"/>
              <w:right w:val="nil"/>
            </w:tcBorders>
            <w:shd w:val="clear" w:color="auto" w:fill="auto"/>
            <w:vAlign w:val="center"/>
          </w:tcPr>
          <w:p w:rsidR="00C425AB" w:rsidRPr="00AB1B0D" w:rsidRDefault="00C425AB" w:rsidP="000F756D">
            <w:pPr>
              <w:pStyle w:val="TableText0"/>
              <w:keepNext w:val="0"/>
              <w:jc w:val="center"/>
              <w:rPr>
                <w:lang w:val="en-US"/>
              </w:rPr>
            </w:pPr>
          </w:p>
        </w:tc>
        <w:tc>
          <w:tcPr>
            <w:tcW w:w="1056" w:type="pct"/>
            <w:tcBorders>
              <w:left w:val="nil"/>
              <w:bottom w:val="single" w:sz="4" w:space="0" w:color="auto"/>
              <w:right w:val="nil"/>
            </w:tcBorders>
            <w:shd w:val="clear" w:color="auto" w:fill="auto"/>
            <w:vAlign w:val="center"/>
          </w:tcPr>
          <w:p w:rsidR="00C425AB" w:rsidRPr="00AB1B0D" w:rsidRDefault="00C425AB" w:rsidP="000F756D">
            <w:pPr>
              <w:pStyle w:val="TableText0"/>
              <w:keepNext w:val="0"/>
              <w:rPr>
                <w:rFonts w:cs="Times New Roman"/>
              </w:rPr>
            </w:pPr>
          </w:p>
        </w:tc>
        <w:tc>
          <w:tcPr>
            <w:tcW w:w="645" w:type="pct"/>
            <w:tcBorders>
              <w:left w:val="nil"/>
              <w:bottom w:val="single" w:sz="4" w:space="0" w:color="auto"/>
            </w:tcBorders>
            <w:shd w:val="clear" w:color="auto" w:fill="auto"/>
            <w:vAlign w:val="center"/>
          </w:tcPr>
          <w:p w:rsidR="00C425AB" w:rsidRPr="00AB1B0D" w:rsidRDefault="00C425AB" w:rsidP="000F756D">
            <w:pPr>
              <w:pStyle w:val="TableText0"/>
              <w:keepNext w:val="0"/>
              <w:jc w:val="center"/>
            </w:pPr>
          </w:p>
        </w:tc>
      </w:tr>
      <w:tr w:rsidR="004D0899" w:rsidRPr="00E2771E" w:rsidTr="0077493A">
        <w:tc>
          <w:tcPr>
            <w:tcW w:w="606" w:type="pct"/>
            <w:shd w:val="clear" w:color="auto" w:fill="auto"/>
            <w:vAlign w:val="center"/>
          </w:tcPr>
          <w:p w:rsidR="004D0899" w:rsidRPr="00AB1B0D" w:rsidRDefault="004D0899" w:rsidP="00C425AB">
            <w:pPr>
              <w:pStyle w:val="TableText0"/>
              <w:keepNext w:val="0"/>
              <w:rPr>
                <w:lang w:val="en-US"/>
              </w:rPr>
            </w:pPr>
            <w:r w:rsidRPr="00AB1B0D">
              <w:rPr>
                <w:lang w:val="en-US"/>
              </w:rPr>
              <w:t>Base case</w:t>
            </w:r>
          </w:p>
        </w:tc>
        <w:tc>
          <w:tcPr>
            <w:tcW w:w="390" w:type="pct"/>
            <w:shd w:val="clear" w:color="auto" w:fill="auto"/>
            <w:vAlign w:val="center"/>
          </w:tcPr>
          <w:p w:rsidR="004D0899" w:rsidRPr="00AB1B0D" w:rsidRDefault="004D0899" w:rsidP="00C425AB">
            <w:pPr>
              <w:pStyle w:val="TableText0"/>
              <w:keepNext w:val="0"/>
              <w:jc w:val="center"/>
              <w:rPr>
                <w:lang w:val="en-US"/>
              </w:rPr>
            </w:pPr>
            <w:r w:rsidRPr="00AB1B0D">
              <w:rPr>
                <w:lang w:val="en-US"/>
              </w:rPr>
              <w:t>2</w:t>
            </w:r>
            <w:r w:rsidR="00700C76">
              <w:rPr>
                <w:lang w:val="en-US"/>
              </w:rPr>
              <w:t>,</w:t>
            </w:r>
            <w:r w:rsidRPr="00AB1B0D">
              <w:rPr>
                <w:lang w:val="en-US"/>
              </w:rPr>
              <w:t>489</w:t>
            </w:r>
            <w:r w:rsidRPr="00AB1B0D">
              <w:rPr>
                <w:vertAlign w:val="superscript"/>
                <w:lang w:val="en-US"/>
              </w:rPr>
              <w:t>f</w:t>
            </w:r>
          </w:p>
        </w:tc>
        <w:tc>
          <w:tcPr>
            <w:tcW w:w="4005" w:type="pct"/>
            <w:gridSpan w:val="4"/>
            <w:tcBorders>
              <w:bottom w:val="single" w:sz="4" w:space="0" w:color="auto"/>
            </w:tcBorders>
            <w:shd w:val="clear" w:color="auto" w:fill="auto"/>
            <w:vAlign w:val="center"/>
          </w:tcPr>
          <w:p w:rsidR="004D0899" w:rsidRPr="00AB1B0D" w:rsidRDefault="004D0899" w:rsidP="004D0899">
            <w:pPr>
              <w:pStyle w:val="TableText0"/>
              <w:keepNext w:val="0"/>
            </w:pPr>
            <w:r w:rsidRPr="00AB1B0D">
              <w:rPr>
                <w:lang w:val="en-US"/>
              </w:rPr>
              <w:t xml:space="preserve">Included studies: </w:t>
            </w:r>
            <w:r w:rsidRPr="00AB1B0D">
              <w:rPr>
                <w:lang w:val="en-US"/>
              </w:rPr>
              <w:br/>
            </w:r>
            <w:r w:rsidRPr="00AB1B0D">
              <w:t xml:space="preserve">PASS 108 (≥ 12 y), Flume 2021, </w:t>
            </w:r>
            <w:proofErr w:type="spellStart"/>
            <w:r w:rsidRPr="00AB1B0D">
              <w:t>Bourgani</w:t>
            </w:r>
            <w:proofErr w:type="spellEnd"/>
            <w:r w:rsidRPr="00AB1B0D">
              <w:t xml:space="preserve"> 2019, </w:t>
            </w:r>
            <w:proofErr w:type="spellStart"/>
            <w:r w:rsidRPr="00AB1B0D">
              <w:t>Mermis</w:t>
            </w:r>
            <w:proofErr w:type="spellEnd"/>
            <w:r w:rsidRPr="00AB1B0D">
              <w:t xml:space="preserve"> 2019, </w:t>
            </w:r>
            <w:proofErr w:type="spellStart"/>
            <w:r w:rsidRPr="00AB1B0D">
              <w:t>Muiljilk</w:t>
            </w:r>
            <w:proofErr w:type="spellEnd"/>
            <w:r w:rsidRPr="00AB1B0D">
              <w:t xml:space="preserve"> 2020</w:t>
            </w:r>
          </w:p>
        </w:tc>
      </w:tr>
      <w:tr w:rsidR="004D0899" w:rsidRPr="00E2771E" w:rsidTr="0077493A">
        <w:tc>
          <w:tcPr>
            <w:tcW w:w="606" w:type="pct"/>
            <w:shd w:val="clear" w:color="auto" w:fill="auto"/>
            <w:vAlign w:val="center"/>
          </w:tcPr>
          <w:p w:rsidR="004D0899" w:rsidRPr="00AB1B0D" w:rsidRDefault="004D0899" w:rsidP="00C425AB">
            <w:pPr>
              <w:pStyle w:val="TableText0"/>
              <w:keepNext w:val="0"/>
              <w:rPr>
                <w:lang w:val="en-US"/>
              </w:rPr>
            </w:pPr>
            <w:r w:rsidRPr="00AB1B0D">
              <w:rPr>
                <w:lang w:val="en-US"/>
              </w:rPr>
              <w:t>Sensitivity</w:t>
            </w:r>
          </w:p>
        </w:tc>
        <w:tc>
          <w:tcPr>
            <w:tcW w:w="390" w:type="pct"/>
            <w:shd w:val="clear" w:color="auto" w:fill="auto"/>
            <w:vAlign w:val="center"/>
          </w:tcPr>
          <w:p w:rsidR="004D0899" w:rsidRPr="00AB1B0D" w:rsidRDefault="004D0899" w:rsidP="00C425AB">
            <w:pPr>
              <w:pStyle w:val="TableText0"/>
              <w:keepNext w:val="0"/>
              <w:jc w:val="center"/>
              <w:rPr>
                <w:lang w:val="en-US"/>
              </w:rPr>
            </w:pPr>
            <w:r w:rsidRPr="00AB1B0D">
              <w:rPr>
                <w:lang w:val="en-US"/>
              </w:rPr>
              <w:t>2</w:t>
            </w:r>
            <w:r w:rsidR="00700C76">
              <w:rPr>
                <w:lang w:val="en-US"/>
              </w:rPr>
              <w:t>,</w:t>
            </w:r>
            <w:r w:rsidRPr="00AB1B0D">
              <w:rPr>
                <w:lang w:val="en-US"/>
              </w:rPr>
              <w:t>802</w:t>
            </w:r>
            <w:r w:rsidRPr="00AB1B0D">
              <w:rPr>
                <w:vertAlign w:val="superscript"/>
                <w:lang w:val="en-US"/>
              </w:rPr>
              <w:t>f</w:t>
            </w:r>
          </w:p>
        </w:tc>
        <w:tc>
          <w:tcPr>
            <w:tcW w:w="4005" w:type="pct"/>
            <w:gridSpan w:val="4"/>
            <w:tcBorders>
              <w:bottom w:val="single" w:sz="4" w:space="0" w:color="auto"/>
            </w:tcBorders>
            <w:shd w:val="clear" w:color="auto" w:fill="auto"/>
            <w:vAlign w:val="center"/>
          </w:tcPr>
          <w:p w:rsidR="004D0899" w:rsidRPr="00AB1B0D" w:rsidRDefault="004D0899" w:rsidP="004D0899">
            <w:pPr>
              <w:pStyle w:val="TableText0"/>
              <w:keepNext w:val="0"/>
            </w:pPr>
            <w:r w:rsidRPr="00AB1B0D">
              <w:rPr>
                <w:lang w:val="en-US"/>
              </w:rPr>
              <w:t>Included studies:</w:t>
            </w:r>
            <w:r w:rsidRPr="00AB1B0D">
              <w:rPr>
                <w:lang w:val="en-US"/>
              </w:rPr>
              <w:br/>
            </w:r>
            <w:r w:rsidRPr="00AB1B0D">
              <w:t xml:space="preserve">ACFDR (≥ 12 y), PASS 108 (≥ 12 y), Flume 2021, </w:t>
            </w:r>
            <w:proofErr w:type="spellStart"/>
            <w:r w:rsidRPr="00AB1B0D">
              <w:t>Bourgani</w:t>
            </w:r>
            <w:proofErr w:type="spellEnd"/>
            <w:r w:rsidRPr="00AB1B0D">
              <w:t xml:space="preserve"> 2019, </w:t>
            </w:r>
            <w:proofErr w:type="spellStart"/>
            <w:r w:rsidRPr="00AB1B0D">
              <w:t>Mermis</w:t>
            </w:r>
            <w:proofErr w:type="spellEnd"/>
            <w:r w:rsidRPr="00AB1B0D">
              <w:t xml:space="preserve"> 2019, </w:t>
            </w:r>
            <w:proofErr w:type="spellStart"/>
            <w:r w:rsidRPr="00AB1B0D">
              <w:t>Muilwijk</w:t>
            </w:r>
            <w:proofErr w:type="spellEnd"/>
            <w:r w:rsidRPr="00AB1B0D">
              <w:t xml:space="preserve"> 2020, Collet 2018, Ejiofor 2020, King 2021, </w:t>
            </w:r>
            <w:proofErr w:type="spellStart"/>
            <w:r w:rsidRPr="00AB1B0D">
              <w:t>Loukou</w:t>
            </w:r>
            <w:proofErr w:type="spellEnd"/>
            <w:r w:rsidRPr="00AB1B0D">
              <w:t xml:space="preserve"> 2020, Tong 2020</w:t>
            </w:r>
          </w:p>
        </w:tc>
      </w:tr>
    </w:tbl>
    <w:p w:rsidR="007E520C" w:rsidRPr="005778EB" w:rsidRDefault="007E520C" w:rsidP="007E520C">
      <w:pPr>
        <w:pStyle w:val="TableFigureFooter"/>
        <w:rPr>
          <w:i/>
          <w:iCs/>
        </w:rPr>
      </w:pPr>
      <w:r w:rsidRPr="00342EC4">
        <w:t xml:space="preserve">Source: Constructed using Table 2.4.1, Table 2.4.5, Table 2.4.8 and Table 2.4.10 of the Commentary; Attachment 7 Pooled ppFEV1 </w:t>
      </w:r>
      <w:proofErr w:type="spellStart"/>
      <w:r w:rsidRPr="00342EC4">
        <w:t>rROD</w:t>
      </w:r>
      <w:proofErr w:type="spellEnd"/>
      <w:r w:rsidRPr="00342EC4">
        <w:t xml:space="preserve"> Feb 2021.</w:t>
      </w:r>
      <w:r>
        <w:t xml:space="preserve"> </w:t>
      </w:r>
    </w:p>
    <w:p w:rsidR="008A4C5E" w:rsidRDefault="000156E2" w:rsidP="007E520C">
      <w:pPr>
        <w:pStyle w:val="TableFigureFooter"/>
      </w:pPr>
      <w:proofErr w:type="gramStart"/>
      <w:r w:rsidRPr="00C4769D">
        <w:t>a</w:t>
      </w:r>
      <w:proofErr w:type="gramEnd"/>
      <w:r w:rsidRPr="00C4769D">
        <w:t xml:space="preserve"> Risk of bias assessed using the ROBINS-I tool. Ratings of bias from lowest to highest risk of bias is low, moderate, serious, </w:t>
      </w:r>
      <w:proofErr w:type="gramStart"/>
      <w:r w:rsidRPr="00C4769D">
        <w:t>critica</w:t>
      </w:r>
      <w:r w:rsidR="008A4C5E">
        <w:t>l</w:t>
      </w:r>
      <w:proofErr w:type="gramEnd"/>
      <w:r w:rsidR="008A4C5E">
        <w:t xml:space="preserve">. </w:t>
      </w:r>
    </w:p>
    <w:p w:rsidR="007E520C" w:rsidRDefault="008A4C5E" w:rsidP="007E520C">
      <w:pPr>
        <w:pStyle w:val="TableFigureFooter"/>
      </w:pPr>
      <w:proofErr w:type="gramStart"/>
      <w:r>
        <w:t>b</w:t>
      </w:r>
      <w:proofErr w:type="gramEnd"/>
      <w:r>
        <w:t xml:space="preserve"> </w:t>
      </w:r>
      <w:r w:rsidR="007E520C">
        <w:t xml:space="preserve">Reported N in </w:t>
      </w:r>
      <w:proofErr w:type="spellStart"/>
      <w:r w:rsidR="00F10B62">
        <w:t>Konstan</w:t>
      </w:r>
      <w:proofErr w:type="spellEnd"/>
      <w:r w:rsidR="00F10B62">
        <w:t xml:space="preserve"> 2017</w:t>
      </w:r>
      <w:r w:rsidR="007E520C">
        <w:t xml:space="preserve"> and </w:t>
      </w:r>
      <w:r w:rsidR="00F10B62">
        <w:t>Flume 2021</w:t>
      </w:r>
      <w:r w:rsidR="007E520C">
        <w:t xml:space="preserve"> comparing t</w:t>
      </w:r>
      <w:r w:rsidR="007E520C" w:rsidRPr="00F52FA4">
        <w:t>reatment with lumacaftor/ivacaftor or tezacaftor/ivacaftor vs. no CFTR modulator use</w:t>
      </w:r>
      <w:r w:rsidR="007E520C">
        <w:t xml:space="preserve"> include the number of patients as reporte</w:t>
      </w:r>
      <w:r w:rsidR="007E520C" w:rsidRPr="0011581B">
        <w:t>d in the post-hoc analyses as presented</w:t>
      </w:r>
      <w:r w:rsidR="0011581B" w:rsidRPr="0011581B">
        <w:t xml:space="preserve"> in the evaluation</w:t>
      </w:r>
      <w:r w:rsidR="007E520C">
        <w:t xml:space="preserve"> </w:t>
      </w:r>
    </w:p>
    <w:p w:rsidR="007E520C" w:rsidRDefault="00D20A40" w:rsidP="007E520C">
      <w:pPr>
        <w:pStyle w:val="TableFigureFooter"/>
      </w:pPr>
      <w:r>
        <w:t>c</w:t>
      </w:r>
      <w:r w:rsidR="007E520C">
        <w:t xml:space="preserve"> PASS 108: the number of patients as reported in the 2018 Disease Progression Cohorts aged 12 years and over; the number of patient in the Disease Progression Cohorts aged 6 years and older were: Treatment group, N=2,287; Comparator group, N=3,527. PASS 108 also included patients aged from 2 years and older. </w:t>
      </w:r>
    </w:p>
    <w:p w:rsidR="007E520C" w:rsidRDefault="00D20A40" w:rsidP="007E520C">
      <w:pPr>
        <w:pStyle w:val="TableFigureFooter"/>
      </w:pPr>
      <w:proofErr w:type="gramStart"/>
      <w:r>
        <w:t>d</w:t>
      </w:r>
      <w:proofErr w:type="gramEnd"/>
      <w:r w:rsidR="007E520C">
        <w:t xml:space="preserve"> </w:t>
      </w:r>
      <w:proofErr w:type="spellStart"/>
      <w:r w:rsidR="007E520C">
        <w:t>Loukou</w:t>
      </w:r>
      <w:proofErr w:type="spellEnd"/>
      <w:r w:rsidR="007E520C">
        <w:t xml:space="preserve"> 2020: N=52, the base of N=40 were used in the submission. </w:t>
      </w:r>
    </w:p>
    <w:p w:rsidR="007E520C" w:rsidRDefault="007E520C" w:rsidP="007E520C">
      <w:pPr>
        <w:pStyle w:val="TableFigureFooter"/>
      </w:pPr>
      <w:proofErr w:type="spellStart"/>
      <w:proofErr w:type="gramStart"/>
      <w:r>
        <w:t>e</w:t>
      </w:r>
      <w:proofErr w:type="spellEnd"/>
      <w:proofErr w:type="gramEnd"/>
      <w:r>
        <w:t xml:space="preserve"> Mean duration of treatment re</w:t>
      </w:r>
      <w:r w:rsidR="003562B9">
        <w:t>p</w:t>
      </w:r>
      <w:r>
        <w:t xml:space="preserve">orted in Study 110 in this table only included the mean time in Study 110. The mean exposure in the parent studies was reported as 159.8 days; ~0.44 years. </w:t>
      </w:r>
    </w:p>
    <w:p w:rsidR="00FB2F31" w:rsidRDefault="00FB2F31" w:rsidP="007E520C">
      <w:pPr>
        <w:pStyle w:val="TableFigureFooter"/>
      </w:pPr>
      <w:proofErr w:type="gramStart"/>
      <w:r>
        <w:t>f</w:t>
      </w:r>
      <w:proofErr w:type="gramEnd"/>
      <w:r>
        <w:t xml:space="preserve"> </w:t>
      </w:r>
      <w:r w:rsidR="00A3236E">
        <w:t>Pooled analysis: N reported in the table is as per N used in the pooled analysis and only included the number of patients in the treatment groups and not the comparator groups</w:t>
      </w:r>
    </w:p>
    <w:p w:rsidR="007E520C" w:rsidRDefault="007E520C" w:rsidP="007E520C">
      <w:pPr>
        <w:pStyle w:val="TableFigureFooter"/>
      </w:pPr>
      <w:r>
        <w:t>ACFDR=Australian Cystic Fibrosis Disease Registry; BMI=body mass index; CF = cystic fibrosis;</w:t>
      </w:r>
      <w:r w:rsidRPr="0072416F">
        <w:t xml:space="preserve"> </w:t>
      </w:r>
      <w:r>
        <w:t xml:space="preserve">LUMA/IVA=lumacaftor/ivacaftor; </w:t>
      </w:r>
      <w:r w:rsidRPr="0072416F">
        <w:t>MC</w:t>
      </w:r>
      <w:r>
        <w:t xml:space="preserve"> </w:t>
      </w:r>
      <w:r w:rsidRPr="0072416F">
        <w:t>=</w:t>
      </w:r>
      <w:r>
        <w:t xml:space="preserve"> </w:t>
      </w:r>
      <w:r w:rsidRPr="0072416F">
        <w:t xml:space="preserve">multi-centre; </w:t>
      </w:r>
      <w:r>
        <w:t xml:space="preserve">NR=not reported; </w:t>
      </w:r>
      <w:r w:rsidRPr="0072416F">
        <w:t>OL</w:t>
      </w:r>
      <w:r>
        <w:t xml:space="preserve"> </w:t>
      </w:r>
      <w:r w:rsidRPr="0072416F">
        <w:t>=</w:t>
      </w:r>
      <w:r>
        <w:t xml:space="preserve"> </w:t>
      </w:r>
      <w:r w:rsidRPr="0072416F">
        <w:t xml:space="preserve">open label; </w:t>
      </w:r>
      <w:proofErr w:type="spellStart"/>
      <w:r>
        <w:t>wks</w:t>
      </w:r>
      <w:proofErr w:type="spellEnd"/>
      <w:r>
        <w:t xml:space="preserve">=weeks; y=years; ppFEV1= percent predicted forced expiratory volume in 1 second; </w:t>
      </w:r>
      <w:proofErr w:type="spellStart"/>
      <w:r>
        <w:t>rROD</w:t>
      </w:r>
      <w:proofErr w:type="spellEnd"/>
      <w:r>
        <w:t xml:space="preserve">=relative rate of decline compared with best supportive care; </w:t>
      </w:r>
      <w:proofErr w:type="spellStart"/>
      <w:proofErr w:type="gramStart"/>
      <w:r>
        <w:t>tx</w:t>
      </w:r>
      <w:proofErr w:type="spellEnd"/>
      <w:r>
        <w:t>=</w:t>
      </w:r>
      <w:proofErr w:type="gramEnd"/>
      <w:r>
        <w:t xml:space="preserve">treatment; US=United States; </w:t>
      </w:r>
    </w:p>
    <w:p w:rsidR="007E520C" w:rsidRPr="00B1011F" w:rsidRDefault="007E520C" w:rsidP="007E520C">
      <w:pPr>
        <w:pStyle w:val="TableFigureFooter"/>
        <w:rPr>
          <w:sz w:val="20"/>
        </w:rPr>
      </w:pPr>
    </w:p>
    <w:p w:rsidR="007E520C" w:rsidRPr="005B5989" w:rsidRDefault="007E520C" w:rsidP="00354AD8">
      <w:pPr>
        <w:pStyle w:val="3-BodyText"/>
        <w:rPr>
          <w:i/>
        </w:rPr>
      </w:pPr>
      <w:r w:rsidRPr="005B5989">
        <w:lastRenderedPageBreak/>
        <w:t xml:space="preserve">The </w:t>
      </w:r>
      <w:r w:rsidR="005B5989" w:rsidRPr="005B5989">
        <w:t xml:space="preserve">evaluation reported </w:t>
      </w:r>
      <w:r w:rsidR="00155CC7">
        <w:t xml:space="preserve">the </w:t>
      </w:r>
      <w:r w:rsidRPr="005B5989">
        <w:t xml:space="preserve">risk of bias overall for </w:t>
      </w:r>
      <w:proofErr w:type="spellStart"/>
      <w:r w:rsidR="00F10B62" w:rsidRPr="005B5989">
        <w:t>Konstan</w:t>
      </w:r>
      <w:proofErr w:type="spellEnd"/>
      <w:r w:rsidR="00F10B62" w:rsidRPr="005B5989">
        <w:t xml:space="preserve"> 2017</w:t>
      </w:r>
      <w:r w:rsidRPr="005B5989">
        <w:t xml:space="preserve">, PASS 108, and </w:t>
      </w:r>
      <w:r w:rsidR="00F10B62" w:rsidRPr="005B5989">
        <w:t>Flume 2021</w:t>
      </w:r>
      <w:r w:rsidRPr="005B5989">
        <w:t xml:space="preserve"> is moderate to serious; all other studies h</w:t>
      </w:r>
      <w:r w:rsidR="005B5989" w:rsidRPr="005B5989">
        <w:t>ad</w:t>
      </w:r>
      <w:r w:rsidRPr="005B5989">
        <w:t xml:space="preserve"> a moderate to critical risk of bias. </w:t>
      </w:r>
      <w:r w:rsidR="00820AEF" w:rsidRPr="005B5989">
        <w:t>The</w:t>
      </w:r>
      <w:r w:rsidR="001874DD" w:rsidRPr="005B5989">
        <w:t xml:space="preserve"> ESC noted </w:t>
      </w:r>
      <w:r w:rsidR="00B6140C" w:rsidRPr="005B5989">
        <w:t xml:space="preserve">some </w:t>
      </w:r>
      <w:r w:rsidR="001874DD" w:rsidRPr="005B5989">
        <w:t>studies were only available in abstract form and</w:t>
      </w:r>
      <w:r w:rsidR="00B35B25" w:rsidRPr="005B5989">
        <w:t xml:space="preserve"> minimal</w:t>
      </w:r>
      <w:r w:rsidR="001874DD" w:rsidRPr="005B5989">
        <w:t xml:space="preserve"> detail regarding methodology</w:t>
      </w:r>
      <w:r w:rsidR="00B35B25" w:rsidRPr="005B5989">
        <w:t xml:space="preserve"> was available</w:t>
      </w:r>
      <w:r w:rsidR="001874DD" w:rsidRPr="005B5989">
        <w:t xml:space="preserve">. </w:t>
      </w:r>
    </w:p>
    <w:p w:rsidR="007E520C" w:rsidRPr="002B5D9C" w:rsidRDefault="007E520C" w:rsidP="004D0899">
      <w:pPr>
        <w:pStyle w:val="3-BodyText"/>
      </w:pPr>
      <w:r w:rsidRPr="005B5989">
        <w:t>Most studies did not include patients that discontinued treatment with lumacaftor/ivacaftor or tezacaftor/ivacaftor in the analyses. Excluding patients that discontinue treatment biases the analyses in favour of the intervention.</w:t>
      </w:r>
      <w:r w:rsidRPr="005B5989">
        <w:rPr>
          <w:i/>
        </w:rPr>
        <w:t xml:space="preserve"> </w:t>
      </w:r>
      <w:r w:rsidR="0051476B" w:rsidRPr="005B5989">
        <w:t xml:space="preserve">The PSCR </w:t>
      </w:r>
      <w:r w:rsidR="00DC7C71">
        <w:t>did not agree with this</w:t>
      </w:r>
      <w:r w:rsidR="0051476B" w:rsidRPr="005B5989">
        <w:t xml:space="preserve"> statement. The </w:t>
      </w:r>
      <w:r w:rsidR="00F85E85" w:rsidRPr="005B5989">
        <w:t xml:space="preserve">PSCR stated the </w:t>
      </w:r>
      <w:r w:rsidR="0051476B" w:rsidRPr="005B5989">
        <w:t>research question of relevance was ‘What is the relative reduction in the ppFEV</w:t>
      </w:r>
      <w:r w:rsidR="0051476B" w:rsidRPr="007E50A3">
        <w:rPr>
          <w:vertAlign w:val="subscript"/>
        </w:rPr>
        <w:t>1</w:t>
      </w:r>
      <w:r w:rsidR="0051476B" w:rsidRPr="005B5989">
        <w:t xml:space="preserve"> rate of decline in FF homozygous CF patients continuing to be treated with </w:t>
      </w:r>
      <w:r w:rsidR="00601FA8">
        <w:t>lumacaftor/ivacaftor</w:t>
      </w:r>
      <w:r w:rsidR="0051476B" w:rsidRPr="005B5989">
        <w:t>, relative to best supportive care’.</w:t>
      </w:r>
      <w:r w:rsidR="000A4FBA">
        <w:t xml:space="preserve"> </w:t>
      </w:r>
      <w:r w:rsidR="00F85E85" w:rsidRPr="005B5989">
        <w:t>Th</w:t>
      </w:r>
      <w:r w:rsidR="00DC7C71">
        <w:t xml:space="preserve">e PSCR stated this </w:t>
      </w:r>
      <w:r w:rsidR="00F85E85" w:rsidRPr="005B5989">
        <w:t>is because in</w:t>
      </w:r>
      <w:r w:rsidR="001D7870" w:rsidRPr="005B5989">
        <w:t xml:space="preserve"> </w:t>
      </w:r>
      <w:r w:rsidR="0051476B" w:rsidRPr="005B5989">
        <w:t xml:space="preserve">the economic model, a value of 42% for </w:t>
      </w:r>
      <w:proofErr w:type="spellStart"/>
      <w:r w:rsidR="0051476B" w:rsidRPr="005B5989">
        <w:t>rROD</w:t>
      </w:r>
      <w:proofErr w:type="spellEnd"/>
      <w:r w:rsidR="0051476B" w:rsidRPr="005B5989">
        <w:t xml:space="preserve"> is only applied to those remaining on treatment with those discontinuing </w:t>
      </w:r>
      <w:r w:rsidR="00DC7C71">
        <w:t xml:space="preserve">treatment </w:t>
      </w:r>
      <w:r w:rsidR="0051476B" w:rsidRPr="005B5989">
        <w:t>reverting immediately to BSC ROD (which is likely a conservative assumption).</w:t>
      </w:r>
      <w:r w:rsidR="00EA3D45">
        <w:t xml:space="preserve"> </w:t>
      </w:r>
      <w:r w:rsidR="00125EDC">
        <w:t>The PBAC noted</w:t>
      </w:r>
      <w:r w:rsidR="000A4FBA">
        <w:t xml:space="preserve"> the</w:t>
      </w:r>
      <w:r w:rsidR="001219E6">
        <w:t xml:space="preserve"> sponsor’s pre-subcommittee response</w:t>
      </w:r>
      <w:r w:rsidR="00E502EA">
        <w:t xml:space="preserve">, </w:t>
      </w:r>
      <w:r w:rsidR="000A4FBA">
        <w:t xml:space="preserve">but considered </w:t>
      </w:r>
      <w:r w:rsidR="004D0899" w:rsidRPr="004D0899">
        <w:rPr>
          <w:iCs/>
        </w:rPr>
        <w:t xml:space="preserve">patients who continue treatment may have a different </w:t>
      </w:r>
      <w:r w:rsidR="00FF556A">
        <w:rPr>
          <w:iCs/>
        </w:rPr>
        <w:t xml:space="preserve">baseline </w:t>
      </w:r>
      <w:r w:rsidR="004D0899" w:rsidRPr="004D0899">
        <w:rPr>
          <w:iCs/>
        </w:rPr>
        <w:t xml:space="preserve">disease trajectory to those who discontinue, and if the </w:t>
      </w:r>
      <w:r w:rsidR="00FF556A">
        <w:rPr>
          <w:iCs/>
        </w:rPr>
        <w:t xml:space="preserve">baseline </w:t>
      </w:r>
      <w:r w:rsidR="004D0899" w:rsidRPr="004D0899">
        <w:rPr>
          <w:iCs/>
        </w:rPr>
        <w:t xml:space="preserve">disease trajectory </w:t>
      </w:r>
      <w:r w:rsidR="004D0899">
        <w:rPr>
          <w:iCs/>
        </w:rPr>
        <w:t xml:space="preserve">is </w:t>
      </w:r>
      <w:r w:rsidR="004D0899" w:rsidRPr="004D0899">
        <w:rPr>
          <w:iCs/>
        </w:rPr>
        <w:t xml:space="preserve">better in those who continue treatment versus </w:t>
      </w:r>
      <w:r w:rsidR="002B5D9C">
        <w:rPr>
          <w:iCs/>
        </w:rPr>
        <w:t>those who discontinue</w:t>
      </w:r>
      <w:r w:rsidR="004D0899" w:rsidRPr="004D0899">
        <w:rPr>
          <w:iCs/>
        </w:rPr>
        <w:t>, the benefit of treatment will be overestimated.</w:t>
      </w:r>
    </w:p>
    <w:p w:rsidR="002B5D9C" w:rsidRPr="005B5989" w:rsidRDefault="002B5D9C" w:rsidP="002B5D9C">
      <w:pPr>
        <w:pStyle w:val="3-BodyText"/>
      </w:pPr>
      <w:bookmarkStart w:id="18" w:name="_Ref78812896"/>
      <w:r w:rsidRPr="00985EC7">
        <w:t xml:space="preserve">There are substantial differences across the studies, including differences in the study designs, baseline characteristics of the patient populations, differences in the use of CFTR modulator therapy and sampling of patients for inclusion in the analyses. </w:t>
      </w:r>
      <w:r w:rsidRPr="00AB1B0D">
        <w:t xml:space="preserve">The ESC noted </w:t>
      </w:r>
      <w:r w:rsidRPr="00AB1B0D">
        <w:rPr>
          <w:iCs/>
        </w:rPr>
        <w:t>the methodological diversity across the study designs and considered quantitatively synthesising</w:t>
      </w:r>
      <w:r w:rsidRPr="00321C38">
        <w:rPr>
          <w:iCs/>
        </w:rPr>
        <w:t xml:space="preserve"> evidence of the ppFEV</w:t>
      </w:r>
      <w:r w:rsidRPr="009A0051">
        <w:rPr>
          <w:iCs/>
          <w:vertAlign w:val="subscript"/>
        </w:rPr>
        <w:t>1</w:t>
      </w:r>
      <w:r w:rsidRPr="00321C38">
        <w:rPr>
          <w:iCs/>
        </w:rPr>
        <w:t xml:space="preserve"> </w:t>
      </w:r>
      <w:proofErr w:type="spellStart"/>
      <w:r w:rsidRPr="00321C38">
        <w:rPr>
          <w:iCs/>
        </w:rPr>
        <w:t>rROD</w:t>
      </w:r>
      <w:proofErr w:type="spellEnd"/>
      <w:r w:rsidRPr="00321C38">
        <w:rPr>
          <w:iCs/>
        </w:rPr>
        <w:t xml:space="preserve"> by pooling the studies</w:t>
      </w:r>
      <w:r>
        <w:rPr>
          <w:iCs/>
        </w:rPr>
        <w:t xml:space="preserve"> as done in the submission</w:t>
      </w:r>
      <w:r w:rsidRPr="00321C38">
        <w:rPr>
          <w:iCs/>
        </w:rPr>
        <w:t xml:space="preserve"> was not appropriate.</w:t>
      </w:r>
      <w:bookmarkEnd w:id="18"/>
    </w:p>
    <w:p w:rsidR="005B5989" w:rsidRPr="005B5989" w:rsidRDefault="00F4406F" w:rsidP="005B5989">
      <w:pPr>
        <w:pStyle w:val="3-BodyText"/>
      </w:pPr>
      <w:r w:rsidRPr="00AB1B0D">
        <w:t>The analys</w:t>
      </w:r>
      <w:r w:rsidR="007940D0" w:rsidRPr="00AB1B0D">
        <w:t>i</w:t>
      </w:r>
      <w:r w:rsidRPr="00AB1B0D">
        <w:t xml:space="preserve">s presented for </w:t>
      </w:r>
      <w:r w:rsidR="00AF4A60" w:rsidRPr="00AB1B0D">
        <w:t xml:space="preserve">Flume 2021 used a similar methodology to that used in the </w:t>
      </w:r>
      <w:proofErr w:type="spellStart"/>
      <w:r w:rsidRPr="00AB1B0D">
        <w:t>Konstan</w:t>
      </w:r>
      <w:proofErr w:type="spellEnd"/>
      <w:r w:rsidRPr="00AB1B0D">
        <w:t xml:space="preserve"> 2017</w:t>
      </w:r>
      <w:r w:rsidR="00AF4A60" w:rsidRPr="00AB1B0D">
        <w:t xml:space="preserve"> analysis. </w:t>
      </w:r>
      <w:r w:rsidR="009A0051">
        <w:t xml:space="preserve">The PBAC noted that, as in the </w:t>
      </w:r>
      <w:proofErr w:type="spellStart"/>
      <w:r w:rsidR="009A0051">
        <w:t>Konstan</w:t>
      </w:r>
      <w:proofErr w:type="spellEnd"/>
      <w:r w:rsidR="009A0051">
        <w:t xml:space="preserve"> study, the Flume study excluded the increase in ppFEV</w:t>
      </w:r>
      <w:r w:rsidR="009A0051" w:rsidRPr="009A0051">
        <w:rPr>
          <w:vertAlign w:val="subscript"/>
        </w:rPr>
        <w:t>1</w:t>
      </w:r>
      <w:r w:rsidR="009A0051">
        <w:t xml:space="preserve"> in the first 3 weeks of treatment with </w:t>
      </w:r>
      <w:r w:rsidR="007E50A3">
        <w:t xml:space="preserve">CFTR modulator </w:t>
      </w:r>
      <w:r w:rsidR="009A0051">
        <w:t>from the rate of decline calculation.</w:t>
      </w:r>
      <w:r w:rsidR="000A4FBA">
        <w:t xml:space="preserve"> </w:t>
      </w:r>
      <w:r w:rsidR="005B5989">
        <w:t xml:space="preserve">Propensity score matching was used to compare treatment and historical control groups in Flume 2021 and </w:t>
      </w:r>
      <w:proofErr w:type="spellStart"/>
      <w:r w:rsidR="005B5989">
        <w:t>Konstan</w:t>
      </w:r>
      <w:proofErr w:type="spellEnd"/>
      <w:r w:rsidR="005B5989">
        <w:t xml:space="preserve"> 2017. </w:t>
      </w:r>
      <w:r w:rsidR="005B5989" w:rsidRPr="00705E27">
        <w:t xml:space="preserve">Previously, the ESC raised concerns with respect to the propensity score matching applied between </w:t>
      </w:r>
      <w:r w:rsidR="005B5989">
        <w:t>the PROGRESS study</w:t>
      </w:r>
      <w:r w:rsidR="005B5989" w:rsidRPr="00705E27">
        <w:t xml:space="preserve"> and the US CFFPR cohorts</w:t>
      </w:r>
      <w:r w:rsidR="005B5989">
        <w:t xml:space="preserve"> in the </w:t>
      </w:r>
      <w:proofErr w:type="spellStart"/>
      <w:r w:rsidR="005B5989">
        <w:t>Konstan</w:t>
      </w:r>
      <w:proofErr w:type="spellEnd"/>
      <w:r w:rsidR="005B5989">
        <w:t xml:space="preserve"> study</w:t>
      </w:r>
      <w:r w:rsidR="005B5989" w:rsidRPr="00705E27">
        <w:t>. The methodology used was a single point-in-time rebalancing at baseline, which did not adjust for the imbalance of any post-baseline differences in variables that were not due to the treatment, or differences in data collection between the patients in PROGRESS and the CFFPR cohort, which may have confounded the outcomes (</w:t>
      </w:r>
      <w:r w:rsidR="00F0072F" w:rsidRPr="00705E27">
        <w:t>paragraph 6.22</w:t>
      </w:r>
      <w:r w:rsidR="00F0072F">
        <w:t xml:space="preserve">, </w:t>
      </w:r>
      <w:r w:rsidR="005B5989">
        <w:t>l</w:t>
      </w:r>
      <w:r w:rsidR="005B5989" w:rsidRPr="00705E27">
        <w:t>umacaftor/</w:t>
      </w:r>
      <w:r w:rsidR="005B5989">
        <w:t>i</w:t>
      </w:r>
      <w:r w:rsidR="005B5989" w:rsidRPr="00705E27">
        <w:t>vacaftor PSD, July 2018</w:t>
      </w:r>
      <w:r w:rsidR="00F0072F">
        <w:t xml:space="preserve"> PBAC meeting</w:t>
      </w:r>
      <w:r w:rsidR="005B5989" w:rsidRPr="00705E27">
        <w:t xml:space="preserve">). Propensity score matching conducted for </w:t>
      </w:r>
      <w:r w:rsidR="005B5989">
        <w:t>Flume 2021</w:t>
      </w:r>
      <w:r w:rsidR="005B5989" w:rsidRPr="00705E27">
        <w:t xml:space="preserve"> using the same method is subject to the same issues as identified by the PBAC in respect to </w:t>
      </w:r>
      <w:proofErr w:type="spellStart"/>
      <w:r w:rsidR="005B5989">
        <w:t>Konstan</w:t>
      </w:r>
      <w:proofErr w:type="spellEnd"/>
      <w:r w:rsidR="005B5989">
        <w:t xml:space="preserve"> 2017. </w:t>
      </w:r>
    </w:p>
    <w:p w:rsidR="007E520C" w:rsidRPr="00AF4A60" w:rsidRDefault="00335CAB" w:rsidP="004D0899">
      <w:pPr>
        <w:pStyle w:val="3-BodyText"/>
        <w:rPr>
          <w:rStyle w:val="CommentReference"/>
          <w:rFonts w:asciiTheme="minorHAnsi" w:hAnsiTheme="minorHAnsi"/>
          <w:b w:val="0"/>
          <w:i/>
          <w:iCs/>
          <w:sz w:val="24"/>
          <w:szCs w:val="24"/>
        </w:rPr>
      </w:pPr>
      <w:bookmarkStart w:id="19" w:name="_Ref78809523"/>
      <w:r w:rsidRPr="00AB1B0D">
        <w:t xml:space="preserve">The ESC noted PASS 108 was an unmatched parallel cohort study comparing patients with CF who were homozygous for the F508del mutation and treated with lumacaftor/ivacaftor to patients with CF who were </w:t>
      </w:r>
      <w:r w:rsidRPr="00AB1B0D">
        <w:rPr>
          <w:iCs/>
        </w:rPr>
        <w:t>heterozygous for the F508del mutation with a Class I or Class II mutation on the second allele</w:t>
      </w:r>
      <w:r w:rsidRPr="00AB1B0D">
        <w:t xml:space="preserve"> and not treated with a C</w:t>
      </w:r>
      <w:r w:rsidR="00155CC7">
        <w:t>FT</w:t>
      </w:r>
      <w:r w:rsidRPr="00AB1B0D">
        <w:t xml:space="preserve">R modulator. </w:t>
      </w:r>
      <w:r w:rsidR="007940D0" w:rsidRPr="00AB1B0D">
        <w:t>The ESC noted t</w:t>
      </w:r>
      <w:r w:rsidR="00F4406F" w:rsidRPr="00AB1B0D">
        <w:t xml:space="preserve">he comparative analysis </w:t>
      </w:r>
      <w:r w:rsidR="00AF4A60" w:rsidRPr="00AB1B0D">
        <w:t xml:space="preserve">for PASS 108 used </w:t>
      </w:r>
      <w:r w:rsidR="00F4406F" w:rsidRPr="00AB1B0D">
        <w:t xml:space="preserve">only US </w:t>
      </w:r>
      <w:r w:rsidR="00F4406F" w:rsidRPr="00AB1B0D">
        <w:lastRenderedPageBreak/>
        <w:t xml:space="preserve">patients which may mitigate some of the previous concerns regarding the </w:t>
      </w:r>
      <w:proofErr w:type="spellStart"/>
      <w:r w:rsidR="00F4406F" w:rsidRPr="00AB1B0D">
        <w:t>Konstan</w:t>
      </w:r>
      <w:proofErr w:type="spellEnd"/>
      <w:r w:rsidR="00F4406F" w:rsidRPr="00AB1B0D">
        <w:t xml:space="preserve"> 2017 analysis which compared US patients to non-US patients (</w:t>
      </w:r>
      <w:r w:rsidR="00F4406F" w:rsidRPr="00263D99">
        <w:t xml:space="preserve">paragraph </w:t>
      </w:r>
      <w:r w:rsidR="001A45BC" w:rsidRPr="00263D99">
        <w:t>2.6</w:t>
      </w:r>
      <w:r w:rsidR="00F4406F" w:rsidRPr="00263D99">
        <w:t>).</w:t>
      </w:r>
      <w:r w:rsidR="000A4FBA">
        <w:t xml:space="preserve"> </w:t>
      </w:r>
      <w:r w:rsidR="004D0899" w:rsidRPr="004D0899">
        <w:t>The PBAC noted the PASS 108 study assumed that treated homozygous and untreated heterozygous F508del are exchangeable. The PBAC further noted that a high proportion of patients switched from lum</w:t>
      </w:r>
      <w:r w:rsidR="004D0899">
        <w:t>acaftor</w:t>
      </w:r>
      <w:r w:rsidR="004D0899" w:rsidRPr="004D0899">
        <w:t>/iva</w:t>
      </w:r>
      <w:r w:rsidR="004D0899">
        <w:t>caftor</w:t>
      </w:r>
      <w:r w:rsidR="004D0899" w:rsidRPr="004D0899">
        <w:t xml:space="preserve"> to another CFTR modulator (1</w:t>
      </w:r>
      <w:r w:rsidR="004D0899">
        <w:t>,</w:t>
      </w:r>
      <w:r w:rsidR="004D0899" w:rsidRPr="004D0899">
        <w:t>823 patients out of 5</w:t>
      </w:r>
      <w:r w:rsidR="004D0899">
        <w:t>,</w:t>
      </w:r>
      <w:r w:rsidR="004D0899" w:rsidRPr="004D0899">
        <w:t xml:space="preserve">508, 33%; </w:t>
      </w:r>
      <w:r w:rsidR="004D0899">
        <w:t xml:space="preserve">PASS 108 </w:t>
      </w:r>
      <w:r w:rsidR="004D0899" w:rsidRPr="004D0899">
        <w:t>C</w:t>
      </w:r>
      <w:r w:rsidR="001A45BC">
        <w:t xml:space="preserve">linical </w:t>
      </w:r>
      <w:r w:rsidR="004D0899" w:rsidRPr="004D0899">
        <w:t>S</w:t>
      </w:r>
      <w:r w:rsidR="001A45BC">
        <w:t xml:space="preserve">tudy </w:t>
      </w:r>
      <w:r w:rsidR="004D0899" w:rsidRPr="004D0899">
        <w:t>R</w:t>
      </w:r>
      <w:r w:rsidR="001A45BC">
        <w:t>eport</w:t>
      </w:r>
      <w:r w:rsidR="004D0899">
        <w:t>,</w:t>
      </w:r>
      <w:r w:rsidR="004D0899" w:rsidRPr="004D0899">
        <w:t xml:space="preserve"> Fig 4) and overall only 42% (2</w:t>
      </w:r>
      <w:r w:rsidR="004D0899">
        <w:t>,</w:t>
      </w:r>
      <w:r w:rsidR="004D0899" w:rsidRPr="004D0899">
        <w:t>287 patients) of the original year 1 lum</w:t>
      </w:r>
      <w:r w:rsidR="004D0899">
        <w:t>acaftor</w:t>
      </w:r>
      <w:r w:rsidR="004D0899" w:rsidRPr="004D0899">
        <w:t>/iva</w:t>
      </w:r>
      <w:r w:rsidR="004D0899">
        <w:t>caftor</w:t>
      </w:r>
      <w:r w:rsidR="004D0899" w:rsidRPr="004D0899">
        <w:t xml:space="preserve"> cohort were included in the ROD analysis. In comparison, 88% of the original year 1 cohort for the control group were included in the ROD analysis. The PBAC noted there are likely to be differences across the cohort of lum</w:t>
      </w:r>
      <w:r w:rsidR="002B5D9C">
        <w:t>acaftor</w:t>
      </w:r>
      <w:r w:rsidR="004D0899" w:rsidRPr="004D0899">
        <w:t>/iva</w:t>
      </w:r>
      <w:r w:rsidR="002B5D9C">
        <w:t>caftor</w:t>
      </w:r>
      <w:r w:rsidR="004D0899" w:rsidRPr="004D0899">
        <w:t xml:space="preserve"> treated patients inc</w:t>
      </w:r>
      <w:r w:rsidR="002B5D9C">
        <w:t>luded in the analysis (continuers</w:t>
      </w:r>
      <w:r w:rsidR="004D0899" w:rsidRPr="004D0899">
        <w:t>, 42% of patients) versus the cohort of lum</w:t>
      </w:r>
      <w:r w:rsidR="002B5D9C">
        <w:t>acaftor</w:t>
      </w:r>
      <w:r w:rsidR="004D0899" w:rsidRPr="004D0899">
        <w:t>/iva</w:t>
      </w:r>
      <w:r w:rsidR="002B5D9C">
        <w:t>caftor</w:t>
      </w:r>
      <w:r w:rsidR="004D0899" w:rsidRPr="004D0899">
        <w:t xml:space="preserve"> treated patients excluded from the analys</w:t>
      </w:r>
      <w:r w:rsidR="002B5D9C">
        <w:t>is (discontinuers</w:t>
      </w:r>
      <w:r w:rsidR="004D0899" w:rsidRPr="004D0899">
        <w:t>, 58% of patients), and it is not possible to identify a control cohort equivalent to the lum</w:t>
      </w:r>
      <w:r w:rsidR="002B5D9C">
        <w:t>acaftor</w:t>
      </w:r>
      <w:r w:rsidR="004D0899" w:rsidRPr="004D0899">
        <w:t>/iva</w:t>
      </w:r>
      <w:r w:rsidR="002B5D9C">
        <w:t>caftor continuers</w:t>
      </w:r>
      <w:r w:rsidR="004D0899" w:rsidRPr="004D0899">
        <w:t xml:space="preserve">. If the </w:t>
      </w:r>
      <w:r w:rsidR="00FF556A">
        <w:t xml:space="preserve">baseline </w:t>
      </w:r>
      <w:r w:rsidR="004D0899" w:rsidRPr="004D0899">
        <w:t>disease tr</w:t>
      </w:r>
      <w:r w:rsidR="002B5D9C">
        <w:t xml:space="preserve">ajectory is better in continuers </w:t>
      </w:r>
      <w:r w:rsidR="004D0899" w:rsidRPr="004D0899">
        <w:t xml:space="preserve">versus </w:t>
      </w:r>
      <w:r w:rsidR="002B5D9C">
        <w:t>discontinuers</w:t>
      </w:r>
      <w:r w:rsidR="004D0899" w:rsidRPr="004D0899">
        <w:t>, the benefit of lum</w:t>
      </w:r>
      <w:r w:rsidR="002B5D9C">
        <w:t>acaftor</w:t>
      </w:r>
      <w:r w:rsidR="004D0899" w:rsidRPr="004D0899">
        <w:t>/iva</w:t>
      </w:r>
      <w:r w:rsidR="002B5D9C">
        <w:t>caftor</w:t>
      </w:r>
      <w:r w:rsidR="004D0899" w:rsidRPr="004D0899">
        <w:t xml:space="preserve"> treatment will have been overestimated. Overall</w:t>
      </w:r>
      <w:r w:rsidR="001A45BC">
        <w:t>,</w:t>
      </w:r>
      <w:r w:rsidR="004D0899" w:rsidRPr="004D0899">
        <w:t xml:space="preserve"> the PBAC considered the results of PASS 108 were likely to be biased in favour of treatment with lum</w:t>
      </w:r>
      <w:r w:rsidR="002B5D9C">
        <w:t>acaftor</w:t>
      </w:r>
      <w:r w:rsidR="004D0899" w:rsidRPr="004D0899">
        <w:t>/iva</w:t>
      </w:r>
      <w:r w:rsidR="002B5D9C">
        <w:t>caftor</w:t>
      </w:r>
      <w:r w:rsidR="004D0899">
        <w:rPr>
          <w:b/>
        </w:rPr>
        <w:t>.</w:t>
      </w:r>
      <w:bookmarkEnd w:id="19"/>
      <w:r w:rsidR="004D0899">
        <w:rPr>
          <w:b/>
        </w:rPr>
        <w:t xml:space="preserve"> </w:t>
      </w:r>
    </w:p>
    <w:p w:rsidR="00B63A13" w:rsidRDefault="007E520C" w:rsidP="00AE5753">
      <w:pPr>
        <w:pStyle w:val="3-BodyText"/>
        <w:rPr>
          <w:i/>
          <w:iCs/>
        </w:rPr>
      </w:pPr>
      <w:r>
        <w:t xml:space="preserve">The submission presented an analysis that was commissioned from the ACFDR of </w:t>
      </w:r>
      <w:r w:rsidRPr="00545406">
        <w:t>patients</w:t>
      </w:r>
      <w:r>
        <w:t xml:space="preserve"> with CF </w:t>
      </w:r>
      <w:r w:rsidRPr="003504D7">
        <w:t>homozygous for the F508del mutation</w:t>
      </w:r>
      <w:r>
        <w:t>,</w:t>
      </w:r>
      <w:r w:rsidRPr="00545406">
        <w:t xml:space="preserve"> aged more than 12 years old initiating lumacaftor/ivacaftor or tezacaftor/ivacaftor </w:t>
      </w:r>
      <w:r>
        <w:t>between</w:t>
      </w:r>
      <w:r w:rsidRPr="00545406">
        <w:t xml:space="preserve"> the 1 July 2018</w:t>
      </w:r>
      <w:r>
        <w:t xml:space="preserve"> and the 29</w:t>
      </w:r>
      <w:r w:rsidR="001F656D">
        <w:rPr>
          <w:vertAlign w:val="superscript"/>
        </w:rPr>
        <w:t xml:space="preserve"> </w:t>
      </w:r>
      <w:r>
        <w:t>February 2020, and a ppFEV</w:t>
      </w:r>
      <w:r w:rsidRPr="00555730">
        <w:rPr>
          <w:vertAlign w:val="subscript"/>
        </w:rPr>
        <w:t>1</w:t>
      </w:r>
      <w:r>
        <w:t xml:space="preserve"> between 40% and 90%</w:t>
      </w:r>
      <w:r w:rsidRPr="00545406">
        <w:t xml:space="preserve">. </w:t>
      </w:r>
      <w:r>
        <w:t xml:space="preserve">The submission reasoned that </w:t>
      </w:r>
      <w:r w:rsidR="00155CC7">
        <w:t>the</w:t>
      </w:r>
      <w:r w:rsidRPr="00B33F8A">
        <w:t xml:space="preserve"> </w:t>
      </w:r>
      <w:r w:rsidR="008075DF">
        <w:t xml:space="preserve">data </w:t>
      </w:r>
      <w:r w:rsidRPr="00B33F8A">
        <w:t>requested from the ACFDR were speci</w:t>
      </w:r>
      <w:r w:rsidRPr="00985EC7">
        <w:t xml:space="preserve">fic to patients aged ≥12 years to align with </w:t>
      </w:r>
      <w:proofErr w:type="spellStart"/>
      <w:r w:rsidRPr="00985EC7">
        <w:t>Konstan</w:t>
      </w:r>
      <w:proofErr w:type="spellEnd"/>
      <w:r w:rsidRPr="00985EC7">
        <w:t xml:space="preserve"> 2017. </w:t>
      </w:r>
      <w:r w:rsidRPr="00985EC7">
        <w:rPr>
          <w:iCs/>
        </w:rPr>
        <w:t xml:space="preserve">The ACFDR had 1,994 patients </w:t>
      </w:r>
      <w:r w:rsidR="001A45BC">
        <w:rPr>
          <w:iCs/>
        </w:rPr>
        <w:t xml:space="preserve">homozygous for the </w:t>
      </w:r>
      <w:r w:rsidRPr="00985EC7">
        <w:rPr>
          <w:iCs/>
        </w:rPr>
        <w:t>F508del</w:t>
      </w:r>
      <w:r w:rsidR="000A4FBA">
        <w:rPr>
          <w:iCs/>
        </w:rPr>
        <w:t xml:space="preserve"> </w:t>
      </w:r>
      <w:r w:rsidRPr="00985EC7">
        <w:rPr>
          <w:iCs/>
        </w:rPr>
        <w:t>mutation</w:t>
      </w:r>
      <w:r w:rsidR="0068626E" w:rsidRPr="00985EC7">
        <w:rPr>
          <w:iCs/>
        </w:rPr>
        <w:t xml:space="preserve"> and 832 initiated treatment after the index date</w:t>
      </w:r>
      <w:r w:rsidR="00D24F0A">
        <w:rPr>
          <w:iCs/>
        </w:rPr>
        <w:t xml:space="preserve"> (Figure 2)</w:t>
      </w:r>
      <w:r w:rsidR="0068626E" w:rsidRPr="00985EC7">
        <w:rPr>
          <w:iCs/>
        </w:rPr>
        <w:t xml:space="preserve">. However, data for </w:t>
      </w:r>
      <w:r w:rsidRPr="00985EC7">
        <w:rPr>
          <w:iCs/>
        </w:rPr>
        <w:t>only 126 patients (12%) are included in the analysis presented by the submission.</w:t>
      </w:r>
      <w:r w:rsidRPr="00985EC7">
        <w:t xml:space="preserve"> </w:t>
      </w:r>
      <w:r w:rsidRPr="00985EC7">
        <w:rPr>
          <w:iCs/>
        </w:rPr>
        <w:t>The criterion excluding patients based on</w:t>
      </w:r>
      <w:r w:rsidR="00F37CEF">
        <w:rPr>
          <w:iCs/>
        </w:rPr>
        <w:t xml:space="preserve"> baseline</w:t>
      </w:r>
      <w:r w:rsidRPr="00985EC7">
        <w:rPr>
          <w:iCs/>
        </w:rPr>
        <w:t xml:space="preserve"> ppFEV</w:t>
      </w:r>
      <w:r w:rsidRPr="00985EC7">
        <w:rPr>
          <w:iCs/>
          <w:vertAlign w:val="subscript"/>
        </w:rPr>
        <w:t>1</w:t>
      </w:r>
      <w:r w:rsidRPr="00985EC7">
        <w:rPr>
          <w:iCs/>
        </w:rPr>
        <w:t xml:space="preserve"> </w:t>
      </w:r>
      <w:r w:rsidR="00D018D8" w:rsidRPr="00985EC7">
        <w:rPr>
          <w:iCs/>
        </w:rPr>
        <w:t xml:space="preserve">that was not between 40% to 90% </w:t>
      </w:r>
      <w:r w:rsidRPr="00985EC7">
        <w:rPr>
          <w:iCs/>
        </w:rPr>
        <w:t xml:space="preserve">resulted in the exclusion of 155 people </w:t>
      </w:r>
      <w:r w:rsidR="0068626E" w:rsidRPr="00985EC7">
        <w:rPr>
          <w:iCs/>
        </w:rPr>
        <w:t xml:space="preserve">aged </w:t>
      </w:r>
      <w:r w:rsidR="0068626E" w:rsidRPr="00985EC7">
        <w:t xml:space="preserve">≥12 years </w:t>
      </w:r>
      <w:r w:rsidRPr="00985EC7">
        <w:rPr>
          <w:iCs/>
        </w:rPr>
        <w:t>(from 500 to 345 patients), which is high given that the data from the ACFDR included by the submission were only from 126 patients. Access to CFTR modulators on the PBS is not limited by ppFEV</w:t>
      </w:r>
      <w:r w:rsidRPr="00985EC7">
        <w:rPr>
          <w:iCs/>
          <w:vertAlign w:val="subscript"/>
        </w:rPr>
        <w:t>1</w:t>
      </w:r>
      <w:r w:rsidRPr="00A44D01">
        <w:rPr>
          <w:iCs/>
        </w:rPr>
        <w:t>.</w:t>
      </w:r>
      <w:r w:rsidRPr="00985EC7">
        <w:rPr>
          <w:iCs/>
          <w:vertAlign w:val="subscript"/>
        </w:rPr>
        <w:t xml:space="preserve"> </w:t>
      </w:r>
      <w:r w:rsidR="00D57089" w:rsidRPr="00AB1B0D">
        <w:rPr>
          <w:iCs/>
        </w:rPr>
        <w:t>The ESC considered it would have been informative for the analysis of the data from the ACFDR to more closely reflect the use of CFTR modulators in Australian clinical practice</w:t>
      </w:r>
      <w:r w:rsidR="000E7D4B" w:rsidRPr="00AB1B0D">
        <w:rPr>
          <w:iCs/>
        </w:rPr>
        <w:t xml:space="preserve"> (i.e., patients </w:t>
      </w:r>
      <w:r w:rsidR="000E7D4B" w:rsidRPr="00AB1B0D">
        <w:rPr>
          <w:rFonts w:cstheme="minorHAnsi"/>
          <w:iCs/>
        </w:rPr>
        <w:t>≥</w:t>
      </w:r>
      <w:r w:rsidR="000E7D4B" w:rsidRPr="00AB1B0D">
        <w:rPr>
          <w:iCs/>
        </w:rPr>
        <w:t xml:space="preserve"> 2 years, no restriction on ppFEV</w:t>
      </w:r>
      <w:r w:rsidR="000E7D4B" w:rsidRPr="00AB1B0D">
        <w:rPr>
          <w:iCs/>
          <w:vertAlign w:val="subscript"/>
        </w:rPr>
        <w:t>1</w:t>
      </w:r>
      <w:r w:rsidR="000E7D4B" w:rsidRPr="00AB1B0D">
        <w:rPr>
          <w:iCs/>
        </w:rPr>
        <w:t>)</w:t>
      </w:r>
      <w:r w:rsidR="00D57089" w:rsidRPr="00AB1B0D">
        <w:rPr>
          <w:iCs/>
        </w:rPr>
        <w:t xml:space="preserve">, rather than aligning to </w:t>
      </w:r>
      <w:proofErr w:type="spellStart"/>
      <w:r w:rsidR="00D57089" w:rsidRPr="00AB1B0D">
        <w:rPr>
          <w:iCs/>
        </w:rPr>
        <w:t>Konstan</w:t>
      </w:r>
      <w:proofErr w:type="spellEnd"/>
      <w:r w:rsidR="00D57089" w:rsidRPr="00AB1B0D">
        <w:rPr>
          <w:iCs/>
        </w:rPr>
        <w:t xml:space="preserve"> 2017 (i.e., restricting to patients aged</w:t>
      </w:r>
      <w:r w:rsidR="00A92CEE">
        <w:rPr>
          <w:iCs/>
        </w:rPr>
        <w:t xml:space="preserve"> </w:t>
      </w:r>
      <w:r w:rsidR="00D57089" w:rsidRPr="00AB1B0D">
        <w:t xml:space="preserve">≥ </w:t>
      </w:r>
      <w:r w:rsidR="00D57089" w:rsidRPr="00AB1B0D">
        <w:rPr>
          <w:iCs/>
        </w:rPr>
        <w:t>12 year, baseline ppFEV</w:t>
      </w:r>
      <w:r w:rsidR="00D57089" w:rsidRPr="00AB1B0D">
        <w:rPr>
          <w:iCs/>
          <w:vertAlign w:val="subscript"/>
        </w:rPr>
        <w:t>1</w:t>
      </w:r>
      <w:r w:rsidR="00D57089" w:rsidRPr="00AB1B0D">
        <w:rPr>
          <w:iCs/>
        </w:rPr>
        <w:t xml:space="preserve"> 40% to 90%)</w:t>
      </w:r>
      <w:r w:rsidR="00FA0F8B" w:rsidRPr="00AB1B0D">
        <w:rPr>
          <w:iCs/>
        </w:rPr>
        <w:t>.</w:t>
      </w:r>
      <w:r w:rsidR="00FA0F8B">
        <w:rPr>
          <w:i/>
          <w:iCs/>
        </w:rPr>
        <w:t xml:space="preserve"> </w:t>
      </w:r>
      <w:r w:rsidR="00A92CEE">
        <w:rPr>
          <w:iCs/>
        </w:rPr>
        <w:t xml:space="preserve">The pre-PBAC response provided some additional </w:t>
      </w:r>
      <w:r w:rsidR="00F37CEF">
        <w:rPr>
          <w:iCs/>
        </w:rPr>
        <w:t>analyses</w:t>
      </w:r>
      <w:r w:rsidR="00A92CEE">
        <w:rPr>
          <w:iCs/>
        </w:rPr>
        <w:t xml:space="preserve"> without </w:t>
      </w:r>
      <w:r w:rsidR="00F37CEF">
        <w:rPr>
          <w:iCs/>
        </w:rPr>
        <w:t xml:space="preserve">patients excluded on </w:t>
      </w:r>
      <w:r w:rsidR="00A92CEE">
        <w:rPr>
          <w:iCs/>
        </w:rPr>
        <w:t>the</w:t>
      </w:r>
      <w:r w:rsidR="00F37CEF">
        <w:rPr>
          <w:iCs/>
        </w:rPr>
        <w:t xml:space="preserve"> basis of</w:t>
      </w:r>
      <w:r w:rsidR="00A92CEE">
        <w:rPr>
          <w:iCs/>
        </w:rPr>
        <w:t xml:space="preserve"> ppFEV</w:t>
      </w:r>
      <w:r w:rsidR="00A92CEE" w:rsidRPr="00A92CEE">
        <w:rPr>
          <w:iCs/>
          <w:vertAlign w:val="subscript"/>
        </w:rPr>
        <w:t>1</w:t>
      </w:r>
      <w:r w:rsidR="00A92CEE">
        <w:rPr>
          <w:iCs/>
        </w:rPr>
        <w:t xml:space="preserve"> (see paragraph </w:t>
      </w:r>
      <w:r w:rsidR="00263D99">
        <w:rPr>
          <w:iCs/>
        </w:rPr>
        <w:t>4.24</w:t>
      </w:r>
      <w:r w:rsidR="00A92CEE">
        <w:rPr>
          <w:iCs/>
        </w:rPr>
        <w:t>).</w:t>
      </w:r>
      <w:r w:rsidR="000A4FBA">
        <w:rPr>
          <w:iCs/>
        </w:rPr>
        <w:t xml:space="preserve"> </w:t>
      </w:r>
    </w:p>
    <w:p w:rsidR="00E53B36" w:rsidRPr="00AB1B0D" w:rsidRDefault="00861403" w:rsidP="00E53B36">
      <w:pPr>
        <w:pStyle w:val="3-BodyText"/>
        <w:rPr>
          <w:iCs/>
        </w:rPr>
      </w:pPr>
      <w:r>
        <w:rPr>
          <w:iCs/>
        </w:rPr>
        <w:t>For the ACFDR analysis, t</w:t>
      </w:r>
      <w:r w:rsidR="00E53B36" w:rsidRPr="00AB1B0D">
        <w:rPr>
          <w:iCs/>
        </w:rPr>
        <w:t>he submission stated a weighted average annual change (slope) was calculated for each period for each patient and then the mean slope for each period was calculated for the total cohort (n=126). The ESC considered a more appropriate, and more contemporary, method of statistical analysis would use regression techniques that also adjust for the starting ppFEV</w:t>
      </w:r>
      <w:r w:rsidR="00E53B36" w:rsidRPr="00AB1B0D">
        <w:rPr>
          <w:iCs/>
          <w:vertAlign w:val="subscript"/>
        </w:rPr>
        <w:t>1</w:t>
      </w:r>
      <w:r w:rsidR="00E53B36" w:rsidRPr="00AB1B0D">
        <w:rPr>
          <w:iCs/>
        </w:rPr>
        <w:t xml:space="preserve"> (i.e., a random-intercept, random-slope model). However, the method of statistical analysis was secondary to the ESC concerns </w:t>
      </w:r>
      <w:r w:rsidR="000A4D03">
        <w:rPr>
          <w:iCs/>
        </w:rPr>
        <w:t xml:space="preserve">about exclusions based on age (&lt;12 years) and </w:t>
      </w:r>
      <w:r w:rsidR="00775A28">
        <w:rPr>
          <w:iCs/>
        </w:rPr>
        <w:t>pp</w:t>
      </w:r>
      <w:r w:rsidR="000A4D03">
        <w:rPr>
          <w:iCs/>
        </w:rPr>
        <w:t>FEV</w:t>
      </w:r>
      <w:r w:rsidR="000A4D03" w:rsidRPr="00775A28">
        <w:rPr>
          <w:iCs/>
          <w:vertAlign w:val="subscript"/>
        </w:rPr>
        <w:t>1</w:t>
      </w:r>
      <w:r w:rsidR="000A4D03">
        <w:rPr>
          <w:iCs/>
        </w:rPr>
        <w:t xml:space="preserve"> (&lt;40</w:t>
      </w:r>
      <w:r w:rsidR="00775A28">
        <w:rPr>
          <w:iCs/>
        </w:rPr>
        <w:t>%</w:t>
      </w:r>
      <w:r w:rsidR="000A4D03">
        <w:rPr>
          <w:iCs/>
        </w:rPr>
        <w:t xml:space="preserve">, </w:t>
      </w:r>
      <w:r w:rsidR="00775A28">
        <w:rPr>
          <w:iCs/>
        </w:rPr>
        <w:t>&gt;</w:t>
      </w:r>
      <w:r w:rsidR="000A4D03">
        <w:rPr>
          <w:iCs/>
        </w:rPr>
        <w:t>90</w:t>
      </w:r>
      <w:r w:rsidR="00775A28">
        <w:rPr>
          <w:iCs/>
        </w:rPr>
        <w:t>%</w:t>
      </w:r>
      <w:r w:rsidR="000A4D03">
        <w:rPr>
          <w:iCs/>
        </w:rPr>
        <w:t xml:space="preserve">). Also, the short follow-up time (1.7 years) meant that the results of the </w:t>
      </w:r>
      <w:r w:rsidR="000A4D03">
        <w:rPr>
          <w:iCs/>
        </w:rPr>
        <w:lastRenderedPageBreak/>
        <w:t xml:space="preserve">study were not helpful to reduce uncertainty around the input into the economic model (i.e., </w:t>
      </w:r>
      <w:proofErr w:type="spellStart"/>
      <w:r w:rsidR="000A4D03">
        <w:rPr>
          <w:iCs/>
        </w:rPr>
        <w:t>rROD</w:t>
      </w:r>
      <w:proofErr w:type="spellEnd"/>
      <w:r w:rsidR="000A4D03">
        <w:rPr>
          <w:iCs/>
        </w:rPr>
        <w:t>=42%, sustained over the time horizon of the model).</w:t>
      </w:r>
      <w:r w:rsidR="00E53B36" w:rsidRPr="00AB1B0D">
        <w:rPr>
          <w:iCs/>
        </w:rPr>
        <w:t xml:space="preserve"> </w:t>
      </w:r>
    </w:p>
    <w:p w:rsidR="0051476B" w:rsidRDefault="0051476B" w:rsidP="0051476B">
      <w:pPr>
        <w:pStyle w:val="3-BodyText"/>
        <w:numPr>
          <w:ilvl w:val="0"/>
          <w:numId w:val="0"/>
        </w:numPr>
      </w:pPr>
    </w:p>
    <w:p w:rsidR="0051476B" w:rsidRPr="00AB1B0D" w:rsidRDefault="0051476B" w:rsidP="001C2025">
      <w:pPr>
        <w:pStyle w:val="TableFigureHeading"/>
        <w:keepLines/>
        <w:rPr>
          <w:lang w:val="en-US"/>
        </w:rPr>
      </w:pPr>
      <w:r w:rsidRPr="00AB1B0D">
        <w:rPr>
          <w:lang w:val="en-US"/>
        </w:rPr>
        <w:t xml:space="preserve">Figure 2: Flow of participants through the ACFDR </w:t>
      </w:r>
    </w:p>
    <w:p w:rsidR="0051476B" w:rsidRPr="001933FB" w:rsidRDefault="0051476B" w:rsidP="001C2025">
      <w:pPr>
        <w:pStyle w:val="3-BodyText"/>
        <w:keepNext/>
        <w:keepLines/>
        <w:numPr>
          <w:ilvl w:val="0"/>
          <w:numId w:val="0"/>
        </w:numPr>
        <w:rPr>
          <w:i/>
        </w:rPr>
      </w:pPr>
      <w:r w:rsidRPr="001933FB">
        <w:rPr>
          <w:i/>
          <w:noProof/>
        </w:rPr>
        <w:drawing>
          <wp:inline distT="0" distB="0" distL="0" distR="0" wp14:anchorId="0DBD407D" wp14:editId="403D8D3B">
            <wp:extent cx="5732145" cy="3350260"/>
            <wp:effectExtent l="19050" t="19050" r="20955" b="21590"/>
            <wp:docPr id="1" name="Picture 1" title="Figure 2: Flow of participants through the ACFDR "/>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3350260"/>
                    </a:xfrm>
                    <a:prstGeom prst="rect">
                      <a:avLst/>
                    </a:prstGeom>
                    <a:noFill/>
                    <a:ln>
                      <a:solidFill>
                        <a:schemeClr val="accent1"/>
                      </a:solidFill>
                    </a:ln>
                  </pic:spPr>
                </pic:pic>
              </a:graphicData>
            </a:graphic>
          </wp:inline>
        </w:drawing>
      </w:r>
    </w:p>
    <w:p w:rsidR="0051476B" w:rsidRPr="00AB1B0D" w:rsidRDefault="00290F6C" w:rsidP="001C2025">
      <w:pPr>
        <w:pStyle w:val="3-BodyText"/>
        <w:keepNext/>
        <w:keepLines/>
        <w:numPr>
          <w:ilvl w:val="0"/>
          <w:numId w:val="0"/>
        </w:numPr>
        <w:rPr>
          <w:rFonts w:ascii="Arial Narrow" w:hAnsi="Arial Narrow"/>
          <w:sz w:val="18"/>
          <w:szCs w:val="22"/>
        </w:rPr>
      </w:pPr>
      <w:r w:rsidRPr="00AB1B0D">
        <w:rPr>
          <w:rFonts w:ascii="Arial Narrow" w:hAnsi="Arial Narrow"/>
          <w:sz w:val="18"/>
          <w:szCs w:val="22"/>
        </w:rPr>
        <w:t>ACFDR=Australian Cystic Fibrosis Disease Registry FF= heterozygous for the F508del mutation; L/I=lumacaftor ivacaftor; T/I=tezacaftor ivacaftor; ppFEV</w:t>
      </w:r>
      <w:r w:rsidR="00601FA8" w:rsidRPr="00601FA8">
        <w:rPr>
          <w:rFonts w:ascii="Arial Narrow" w:hAnsi="Arial Narrow"/>
          <w:sz w:val="18"/>
          <w:szCs w:val="22"/>
          <w:vertAlign w:val="subscript"/>
        </w:rPr>
        <w:t>1</w:t>
      </w:r>
      <w:r w:rsidRPr="00AB1B0D">
        <w:rPr>
          <w:rFonts w:ascii="Arial Narrow" w:hAnsi="Arial Narrow"/>
          <w:sz w:val="18"/>
          <w:szCs w:val="22"/>
        </w:rPr>
        <w:t xml:space="preserve">= percent predicted forced expiratory volume in 1 second; </w:t>
      </w:r>
      <w:proofErr w:type="spellStart"/>
      <w:proofErr w:type="gramStart"/>
      <w:r w:rsidRPr="00AB1B0D">
        <w:rPr>
          <w:rFonts w:ascii="Arial Narrow" w:hAnsi="Arial Narrow"/>
          <w:sz w:val="18"/>
          <w:szCs w:val="22"/>
        </w:rPr>
        <w:t>Tx</w:t>
      </w:r>
      <w:proofErr w:type="spellEnd"/>
      <w:proofErr w:type="gramEnd"/>
      <w:r w:rsidRPr="00AB1B0D">
        <w:rPr>
          <w:rFonts w:ascii="Arial Narrow" w:hAnsi="Arial Narrow"/>
          <w:sz w:val="18"/>
          <w:szCs w:val="22"/>
        </w:rPr>
        <w:t>= treatment</w:t>
      </w:r>
    </w:p>
    <w:p w:rsidR="00FF43CA" w:rsidRPr="00AB1B0D" w:rsidRDefault="001933FB" w:rsidP="001C2025">
      <w:pPr>
        <w:pStyle w:val="3-BodyText"/>
        <w:keepNext/>
        <w:keepLines/>
        <w:numPr>
          <w:ilvl w:val="0"/>
          <w:numId w:val="0"/>
        </w:numPr>
        <w:rPr>
          <w:rFonts w:ascii="Arial Narrow" w:hAnsi="Arial Narrow"/>
          <w:sz w:val="18"/>
          <w:szCs w:val="22"/>
        </w:rPr>
      </w:pPr>
      <w:r w:rsidRPr="00AB1B0D">
        <w:rPr>
          <w:rFonts w:ascii="Arial Narrow" w:hAnsi="Arial Narrow"/>
          <w:sz w:val="18"/>
          <w:szCs w:val="22"/>
        </w:rPr>
        <w:t xml:space="preserve">Source: correspondence provided by sponsor, 1 April 2021. </w:t>
      </w:r>
      <w:r w:rsidR="00A44D01">
        <w:rPr>
          <w:rFonts w:ascii="Arial Narrow" w:hAnsi="Arial Narrow"/>
          <w:sz w:val="18"/>
          <w:szCs w:val="22"/>
        </w:rPr>
        <w:t xml:space="preserve">Information regarding footnotes in figure not provided. </w:t>
      </w:r>
    </w:p>
    <w:p w:rsidR="007E520C" w:rsidRDefault="007E520C" w:rsidP="007E520C">
      <w:pPr>
        <w:pStyle w:val="4-SubsectionHeading"/>
      </w:pPr>
      <w:bookmarkStart w:id="20" w:name="_Toc22897641"/>
      <w:bookmarkStart w:id="21" w:name="_Toc69861495"/>
      <w:bookmarkStart w:id="22" w:name="_Toc72320696"/>
      <w:r w:rsidRPr="00C9624D">
        <w:t>Comparative effectiveness</w:t>
      </w:r>
      <w:bookmarkEnd w:id="20"/>
      <w:bookmarkEnd w:id="21"/>
      <w:bookmarkEnd w:id="22"/>
    </w:p>
    <w:p w:rsidR="004B13DF" w:rsidRDefault="007E520C" w:rsidP="009000AD">
      <w:pPr>
        <w:pStyle w:val="3-BodyText"/>
        <w:rPr>
          <w:rFonts w:cstheme="minorHAnsi"/>
        </w:rPr>
      </w:pPr>
      <w:r w:rsidRPr="006D51EB">
        <w:t>A summary of the results of the change in ppFEV</w:t>
      </w:r>
      <w:r w:rsidRPr="00D24F0A">
        <w:rPr>
          <w:vertAlign w:val="subscript"/>
        </w:rPr>
        <w:t>1</w:t>
      </w:r>
      <w:r w:rsidRPr="006D51EB">
        <w:t xml:space="preserve"> in</w:t>
      </w:r>
      <w:r w:rsidR="00D24F0A">
        <w:t xml:space="preserve"> </w:t>
      </w:r>
      <w:proofErr w:type="spellStart"/>
      <w:r w:rsidR="00D24F0A" w:rsidRPr="00AB1B0D">
        <w:t>Konstan</w:t>
      </w:r>
      <w:proofErr w:type="spellEnd"/>
      <w:r w:rsidR="00D24F0A" w:rsidRPr="00AB1B0D">
        <w:t xml:space="preserve"> 2017, PASS 108, Flume 2021 and Tong 2020</w:t>
      </w:r>
      <w:r w:rsidR="00426F8A">
        <w:t>,</w:t>
      </w:r>
      <w:r w:rsidR="00775A28">
        <w:t xml:space="preserve"> </w:t>
      </w:r>
      <w:r w:rsidR="00A44D01">
        <w:t xml:space="preserve">the studies with </w:t>
      </w:r>
      <w:r w:rsidR="00426F8A">
        <w:t xml:space="preserve">parallel </w:t>
      </w:r>
      <w:r w:rsidR="00A44D01">
        <w:t>control arms</w:t>
      </w:r>
      <w:r w:rsidR="00426F8A">
        <w:t>,</w:t>
      </w:r>
      <w:r w:rsidR="00775A28">
        <w:t xml:space="preserve"> </w:t>
      </w:r>
      <w:r w:rsidRPr="006D51EB">
        <w:t xml:space="preserve">is provided in Table </w:t>
      </w:r>
      <w:r w:rsidR="007A4F4D">
        <w:t>4</w:t>
      </w:r>
      <w:r>
        <w:t xml:space="preserve">. </w:t>
      </w:r>
      <w:r w:rsidR="00DB0CF5">
        <w:t>T</w:t>
      </w:r>
      <w:r w:rsidR="00DB0CF5" w:rsidRPr="00D24F0A">
        <w:rPr>
          <w:rFonts w:cstheme="minorHAnsi"/>
        </w:rPr>
        <w:t>he mean ppFEV</w:t>
      </w:r>
      <w:r w:rsidR="00DB0CF5" w:rsidRPr="00D24F0A">
        <w:rPr>
          <w:rFonts w:cstheme="minorHAnsi"/>
          <w:vertAlign w:val="subscript"/>
        </w:rPr>
        <w:t>1</w:t>
      </w:r>
      <w:r w:rsidR="00DB0CF5" w:rsidRPr="00D24F0A">
        <w:rPr>
          <w:rFonts w:cstheme="minorHAnsi"/>
        </w:rPr>
        <w:t xml:space="preserve"> </w:t>
      </w:r>
      <w:proofErr w:type="spellStart"/>
      <w:r w:rsidR="00DB0CF5" w:rsidRPr="00D24F0A">
        <w:rPr>
          <w:rFonts w:cstheme="minorHAnsi"/>
        </w:rPr>
        <w:t>rROD</w:t>
      </w:r>
      <w:proofErr w:type="spellEnd"/>
      <w:r w:rsidR="00DB0CF5" w:rsidRPr="00D24F0A">
        <w:rPr>
          <w:rFonts w:cstheme="minorHAnsi"/>
        </w:rPr>
        <w:t xml:space="preserve"> based on the annualised changed in ppFEV</w:t>
      </w:r>
      <w:r w:rsidR="00DB0CF5" w:rsidRPr="00D24F0A">
        <w:rPr>
          <w:rFonts w:cstheme="minorHAnsi"/>
          <w:vertAlign w:val="subscript"/>
        </w:rPr>
        <w:t>1</w:t>
      </w:r>
      <w:r w:rsidR="00DB0CF5" w:rsidRPr="00D24F0A">
        <w:rPr>
          <w:rFonts w:cstheme="minorHAnsi"/>
        </w:rPr>
        <w:t xml:space="preserve"> ranged from 42% to </w:t>
      </w:r>
      <w:r w:rsidR="00487E41">
        <w:rPr>
          <w:rFonts w:cstheme="minorHAnsi"/>
        </w:rPr>
        <w:t>&gt;100</w:t>
      </w:r>
      <w:r w:rsidR="00DB0CF5" w:rsidRPr="00D24F0A">
        <w:rPr>
          <w:rFonts w:cstheme="minorHAnsi"/>
        </w:rPr>
        <w:t>%.</w:t>
      </w:r>
      <w:r w:rsidR="00AF4A60" w:rsidRPr="00D24F0A">
        <w:rPr>
          <w:rFonts w:cstheme="minorHAnsi"/>
        </w:rPr>
        <w:t xml:space="preserve"> </w:t>
      </w:r>
      <w:r w:rsidR="00D24F0A" w:rsidRPr="00D24F0A">
        <w:rPr>
          <w:rFonts w:cstheme="minorHAnsi"/>
        </w:rPr>
        <w:t xml:space="preserve">The Tong 2020 study </w:t>
      </w:r>
      <w:r w:rsidR="009000AD">
        <w:rPr>
          <w:rFonts w:cstheme="minorHAnsi"/>
        </w:rPr>
        <w:t xml:space="preserve">is difficult to interpret because the sample size is small and </w:t>
      </w:r>
      <w:r w:rsidR="00D24F0A" w:rsidRPr="00D24F0A">
        <w:rPr>
          <w:rFonts w:cstheme="minorHAnsi"/>
        </w:rPr>
        <w:t>only patients with ppFEV</w:t>
      </w:r>
      <w:r w:rsidR="00D24F0A" w:rsidRPr="00983509">
        <w:rPr>
          <w:rFonts w:cstheme="minorHAnsi"/>
          <w:vertAlign w:val="subscript"/>
        </w:rPr>
        <w:t>1</w:t>
      </w:r>
      <w:r w:rsidR="00D24F0A" w:rsidRPr="00D24F0A">
        <w:rPr>
          <w:rFonts w:cstheme="minorHAnsi"/>
        </w:rPr>
        <w:t xml:space="preserve"> &lt;40% </w:t>
      </w:r>
      <w:r w:rsidR="009000AD">
        <w:rPr>
          <w:rFonts w:cstheme="minorHAnsi"/>
        </w:rPr>
        <w:t>were included.</w:t>
      </w:r>
      <w:r w:rsidR="009000AD" w:rsidRPr="00D24F0A" w:rsidDel="009000AD">
        <w:rPr>
          <w:rFonts w:cstheme="minorHAnsi"/>
        </w:rPr>
        <w:t xml:space="preserve"> </w:t>
      </w:r>
    </w:p>
    <w:p w:rsidR="004B13DF" w:rsidRDefault="004B13DF">
      <w:pPr>
        <w:jc w:val="left"/>
        <w:rPr>
          <w:rFonts w:asciiTheme="minorHAnsi" w:hAnsiTheme="minorHAnsi" w:cstheme="minorHAnsi"/>
          <w:snapToGrid w:val="0"/>
        </w:rPr>
      </w:pPr>
      <w:r>
        <w:rPr>
          <w:rFonts w:cstheme="minorHAnsi"/>
        </w:rPr>
        <w:br w:type="page"/>
      </w:r>
    </w:p>
    <w:p w:rsidR="007E520C" w:rsidRPr="00D24F0A" w:rsidRDefault="007E520C" w:rsidP="000A4FBA">
      <w:pPr>
        <w:pStyle w:val="3-BodyText"/>
        <w:numPr>
          <w:ilvl w:val="0"/>
          <w:numId w:val="0"/>
        </w:numPr>
        <w:rPr>
          <w:rFonts w:ascii="Arial Narrow" w:hAnsi="Arial Narrow" w:cstheme="minorHAnsi"/>
          <w:b/>
          <w:sz w:val="20"/>
          <w:szCs w:val="20"/>
        </w:rPr>
      </w:pPr>
      <w:r w:rsidRPr="00D24F0A">
        <w:rPr>
          <w:rFonts w:ascii="Arial Narrow" w:hAnsi="Arial Narrow" w:cstheme="minorHAnsi"/>
          <w:b/>
          <w:sz w:val="20"/>
          <w:szCs w:val="20"/>
        </w:rPr>
        <w:lastRenderedPageBreak/>
        <w:t xml:space="preserve">Table </w:t>
      </w:r>
      <w:r w:rsidR="007A4F4D" w:rsidRPr="00D24F0A">
        <w:rPr>
          <w:rFonts w:ascii="Arial Narrow" w:hAnsi="Arial Narrow" w:cstheme="minorHAnsi"/>
          <w:b/>
          <w:sz w:val="20"/>
          <w:szCs w:val="20"/>
        </w:rPr>
        <w:t>4</w:t>
      </w:r>
      <w:r w:rsidRPr="00D24F0A">
        <w:rPr>
          <w:rFonts w:ascii="Arial Narrow" w:hAnsi="Arial Narrow" w:cstheme="minorHAnsi"/>
          <w:b/>
          <w:sz w:val="20"/>
          <w:szCs w:val="20"/>
        </w:rPr>
        <w:t>:</w:t>
      </w:r>
      <w:r w:rsidR="000A4FBA">
        <w:rPr>
          <w:rFonts w:ascii="Arial Narrow" w:hAnsi="Arial Narrow" w:cstheme="minorHAnsi"/>
          <w:b/>
          <w:sz w:val="20"/>
          <w:szCs w:val="20"/>
        </w:rPr>
        <w:t xml:space="preserve"> </w:t>
      </w:r>
      <w:r w:rsidRPr="00D24F0A">
        <w:rPr>
          <w:rFonts w:ascii="Arial Narrow" w:hAnsi="Arial Narrow" w:cstheme="minorHAnsi"/>
          <w:b/>
          <w:sz w:val="20"/>
          <w:szCs w:val="20"/>
        </w:rPr>
        <w:t>Change in ppFEV</w:t>
      </w:r>
      <w:r w:rsidRPr="00D24F0A">
        <w:rPr>
          <w:rFonts w:ascii="Arial Narrow" w:hAnsi="Arial Narrow" w:cstheme="minorHAnsi"/>
          <w:b/>
          <w:sz w:val="20"/>
          <w:szCs w:val="20"/>
          <w:vertAlign w:val="subscript"/>
        </w:rPr>
        <w:t>1</w:t>
      </w:r>
      <w:r w:rsidRPr="00D24F0A">
        <w:rPr>
          <w:rFonts w:ascii="Arial Narrow" w:hAnsi="Arial Narrow" w:cstheme="minorHAnsi"/>
          <w:b/>
          <w:sz w:val="20"/>
          <w:szCs w:val="20"/>
        </w:rPr>
        <w:t xml:space="preserve"> </w:t>
      </w:r>
      <w:r w:rsidR="00D24F0A">
        <w:rPr>
          <w:rFonts w:ascii="Arial Narrow" w:hAnsi="Arial Narrow" w:cstheme="minorHAnsi"/>
          <w:b/>
          <w:sz w:val="20"/>
          <w:szCs w:val="20"/>
        </w:rPr>
        <w:t xml:space="preserve">in the </w:t>
      </w:r>
      <w:proofErr w:type="spellStart"/>
      <w:r w:rsidR="00D24F0A">
        <w:rPr>
          <w:rFonts w:ascii="Arial Narrow" w:hAnsi="Arial Narrow" w:cstheme="minorHAnsi"/>
          <w:b/>
          <w:sz w:val="20"/>
          <w:szCs w:val="20"/>
        </w:rPr>
        <w:t>Konstan</w:t>
      </w:r>
      <w:proofErr w:type="spellEnd"/>
      <w:r w:rsidR="00D24F0A">
        <w:rPr>
          <w:rFonts w:ascii="Arial Narrow" w:hAnsi="Arial Narrow" w:cstheme="minorHAnsi"/>
          <w:b/>
          <w:sz w:val="20"/>
          <w:szCs w:val="20"/>
        </w:rPr>
        <w:t xml:space="preserve"> 2017, PASS </w:t>
      </w:r>
      <w:r w:rsidR="000E7D4B">
        <w:rPr>
          <w:rFonts w:ascii="Arial Narrow" w:hAnsi="Arial Narrow" w:cstheme="minorHAnsi"/>
          <w:b/>
          <w:sz w:val="20"/>
          <w:szCs w:val="20"/>
        </w:rPr>
        <w:t>10</w:t>
      </w:r>
      <w:r w:rsidR="00D24F0A">
        <w:rPr>
          <w:rFonts w:ascii="Arial Narrow" w:hAnsi="Arial Narrow" w:cstheme="minorHAnsi"/>
          <w:b/>
          <w:sz w:val="20"/>
          <w:szCs w:val="20"/>
        </w:rPr>
        <w:t>8, Flume 2021 and Tong 2020 studies</w:t>
      </w:r>
    </w:p>
    <w:tbl>
      <w:tblPr>
        <w:tblStyle w:val="HTATableshaded"/>
        <w:tblW w:w="5000" w:type="pct"/>
        <w:tblLayout w:type="fixed"/>
        <w:tblLook w:val="04A0" w:firstRow="1" w:lastRow="0" w:firstColumn="1" w:lastColumn="0" w:noHBand="0" w:noVBand="1"/>
        <w:tblCaption w:val="Table 4: Change in ppFEV1 in the Konstan 2017, PASS 108, Flume 2021 and Tong 2020 studies"/>
      </w:tblPr>
      <w:tblGrid>
        <w:gridCol w:w="1629"/>
        <w:gridCol w:w="740"/>
        <w:gridCol w:w="745"/>
        <w:gridCol w:w="739"/>
        <w:gridCol w:w="739"/>
        <w:gridCol w:w="739"/>
        <w:gridCol w:w="725"/>
        <w:gridCol w:w="754"/>
        <w:gridCol w:w="840"/>
        <w:gridCol w:w="638"/>
        <w:gridCol w:w="729"/>
      </w:tblGrid>
      <w:tr w:rsidR="005772F3" w:rsidTr="007B10A0">
        <w:trPr>
          <w:cnfStyle w:val="100000000000" w:firstRow="1" w:lastRow="0" w:firstColumn="0" w:lastColumn="0" w:oddVBand="0" w:evenVBand="0" w:oddHBand="0" w:evenHBand="0" w:firstRowFirstColumn="0" w:firstRowLastColumn="0" w:lastRowFirstColumn="0" w:lastRowLastColumn="0"/>
          <w:tblHeader/>
        </w:trPr>
        <w:tc>
          <w:tcPr>
            <w:tcW w:w="903" w:type="pct"/>
            <w:vMerge w:val="restart"/>
          </w:tcPr>
          <w:p w:rsidR="005772F3" w:rsidRPr="00572CD2" w:rsidRDefault="005772F3" w:rsidP="00261ED8">
            <w:pPr>
              <w:pStyle w:val="Tabletext"/>
              <w:keepNext/>
              <w:keepLines/>
              <w:ind w:left="-108"/>
              <w:rPr>
                <w:b/>
              </w:rPr>
            </w:pPr>
          </w:p>
        </w:tc>
        <w:tc>
          <w:tcPr>
            <w:tcW w:w="823" w:type="pct"/>
            <w:gridSpan w:val="2"/>
          </w:tcPr>
          <w:p w:rsidR="005772F3" w:rsidRPr="00983509" w:rsidRDefault="005772F3" w:rsidP="00261ED8">
            <w:pPr>
              <w:pStyle w:val="Tabletext"/>
              <w:keepNext/>
              <w:keepLines/>
              <w:ind w:left="-110" w:right="-79"/>
              <w:jc w:val="center"/>
              <w:rPr>
                <w:b/>
                <w:bCs/>
                <w:iCs/>
              </w:rPr>
            </w:pPr>
            <w:proofErr w:type="spellStart"/>
            <w:r w:rsidRPr="00983509">
              <w:rPr>
                <w:b/>
                <w:bCs/>
                <w:iCs/>
              </w:rPr>
              <w:t>Konstan</w:t>
            </w:r>
            <w:proofErr w:type="spellEnd"/>
            <w:r w:rsidRPr="00983509">
              <w:rPr>
                <w:b/>
                <w:bCs/>
                <w:iCs/>
              </w:rPr>
              <w:t xml:space="preserve"> 2017</w:t>
            </w:r>
          </w:p>
        </w:tc>
        <w:tc>
          <w:tcPr>
            <w:tcW w:w="1631" w:type="pct"/>
            <w:gridSpan w:val="4"/>
          </w:tcPr>
          <w:p w:rsidR="005772F3" w:rsidRPr="00667456" w:rsidRDefault="005772F3" w:rsidP="00261ED8">
            <w:pPr>
              <w:pStyle w:val="Tabletext"/>
              <w:keepNext/>
              <w:keepLines/>
              <w:ind w:left="-110" w:right="-79"/>
              <w:jc w:val="center"/>
              <w:rPr>
                <w:b/>
                <w:bCs/>
              </w:rPr>
            </w:pPr>
            <w:r w:rsidRPr="00667456">
              <w:rPr>
                <w:b/>
                <w:bCs/>
              </w:rPr>
              <w:t>PASS 108</w:t>
            </w:r>
          </w:p>
        </w:tc>
        <w:tc>
          <w:tcPr>
            <w:tcW w:w="884" w:type="pct"/>
            <w:gridSpan w:val="2"/>
          </w:tcPr>
          <w:p w:rsidR="005772F3" w:rsidRPr="00CB6308" w:rsidRDefault="005772F3" w:rsidP="00A44D01">
            <w:pPr>
              <w:pStyle w:val="Tabletext"/>
              <w:keepNext/>
              <w:keepLines/>
              <w:ind w:left="-110" w:right="-79"/>
              <w:jc w:val="center"/>
              <w:rPr>
                <w:b/>
                <w:bCs/>
              </w:rPr>
            </w:pPr>
            <w:r>
              <w:rPr>
                <w:b/>
                <w:bCs/>
              </w:rPr>
              <w:t>Flume 2021</w:t>
            </w:r>
          </w:p>
        </w:tc>
        <w:tc>
          <w:tcPr>
            <w:tcW w:w="758" w:type="pct"/>
            <w:gridSpan w:val="2"/>
          </w:tcPr>
          <w:p w:rsidR="005772F3" w:rsidRPr="00667456" w:rsidRDefault="005772F3" w:rsidP="00261ED8">
            <w:pPr>
              <w:pStyle w:val="Tabletext"/>
              <w:keepNext/>
              <w:keepLines/>
              <w:ind w:left="-110" w:right="-79"/>
              <w:jc w:val="center"/>
              <w:rPr>
                <w:b/>
                <w:bCs/>
              </w:rPr>
            </w:pPr>
            <w:r w:rsidRPr="00667456">
              <w:rPr>
                <w:rFonts w:cs="Calibri"/>
                <w:b/>
                <w:bCs/>
                <w:color w:val="000000"/>
                <w:szCs w:val="20"/>
              </w:rPr>
              <w:t>Tong 2020</w:t>
            </w:r>
          </w:p>
        </w:tc>
      </w:tr>
      <w:tr w:rsidR="005772F3" w:rsidTr="007B10A0">
        <w:trPr>
          <w:cnfStyle w:val="100000000000" w:firstRow="1" w:lastRow="0" w:firstColumn="0" w:lastColumn="0" w:oddVBand="0" w:evenVBand="0" w:oddHBand="0" w:evenHBand="0" w:firstRowFirstColumn="0" w:firstRowLastColumn="0" w:lastRowFirstColumn="0" w:lastRowLastColumn="0"/>
          <w:tblHeader/>
        </w:trPr>
        <w:tc>
          <w:tcPr>
            <w:tcW w:w="903" w:type="pct"/>
            <w:vMerge/>
          </w:tcPr>
          <w:p w:rsidR="005772F3" w:rsidRPr="00572CD2" w:rsidRDefault="005772F3" w:rsidP="00261ED8">
            <w:pPr>
              <w:pStyle w:val="Tabletext"/>
              <w:keepNext/>
              <w:keepLines/>
              <w:ind w:left="-108"/>
              <w:rPr>
                <w:b/>
              </w:rPr>
            </w:pPr>
          </w:p>
        </w:tc>
        <w:tc>
          <w:tcPr>
            <w:tcW w:w="410" w:type="pct"/>
          </w:tcPr>
          <w:p w:rsidR="005772F3" w:rsidRPr="00983509" w:rsidRDefault="005772F3" w:rsidP="00261ED8">
            <w:pPr>
              <w:pStyle w:val="Tabletext"/>
              <w:keepNext/>
              <w:keepLines/>
              <w:ind w:left="-124" w:right="-36"/>
              <w:jc w:val="center"/>
              <w:rPr>
                <w:b/>
                <w:bCs/>
                <w:iCs/>
              </w:rPr>
            </w:pPr>
            <w:r w:rsidRPr="00983509">
              <w:rPr>
                <w:b/>
                <w:bCs/>
                <w:iCs/>
              </w:rPr>
              <w:t>LUM/IVA</w:t>
            </w:r>
          </w:p>
        </w:tc>
        <w:tc>
          <w:tcPr>
            <w:tcW w:w="413" w:type="pct"/>
          </w:tcPr>
          <w:p w:rsidR="005772F3" w:rsidRPr="00983509" w:rsidRDefault="005772F3" w:rsidP="00261ED8">
            <w:pPr>
              <w:pStyle w:val="Tabletext"/>
              <w:keepNext/>
              <w:keepLines/>
              <w:ind w:left="-124" w:right="-36"/>
              <w:jc w:val="center"/>
              <w:rPr>
                <w:b/>
                <w:bCs/>
                <w:iCs/>
              </w:rPr>
            </w:pPr>
            <w:r w:rsidRPr="00983509">
              <w:rPr>
                <w:b/>
                <w:bCs/>
                <w:iCs/>
              </w:rPr>
              <w:t>Control</w:t>
            </w:r>
          </w:p>
        </w:tc>
        <w:tc>
          <w:tcPr>
            <w:tcW w:w="410" w:type="pct"/>
          </w:tcPr>
          <w:p w:rsidR="005772F3" w:rsidRPr="00B20AC0" w:rsidRDefault="005772F3" w:rsidP="00261ED8">
            <w:pPr>
              <w:pStyle w:val="Tabletext"/>
              <w:keepNext/>
              <w:keepLines/>
              <w:ind w:left="-124" w:right="-36"/>
              <w:jc w:val="center"/>
              <w:rPr>
                <w:b/>
                <w:bCs/>
                <w:iCs/>
              </w:rPr>
            </w:pPr>
            <w:r w:rsidRPr="00B20AC0">
              <w:rPr>
                <w:b/>
                <w:bCs/>
                <w:iCs/>
              </w:rPr>
              <w:t>LUM/IVA</w:t>
            </w:r>
          </w:p>
        </w:tc>
        <w:tc>
          <w:tcPr>
            <w:tcW w:w="410" w:type="pct"/>
          </w:tcPr>
          <w:p w:rsidR="005772F3" w:rsidRPr="00B20AC0" w:rsidRDefault="005772F3" w:rsidP="00261ED8">
            <w:pPr>
              <w:pStyle w:val="Tabletext"/>
              <w:keepNext/>
              <w:keepLines/>
              <w:ind w:left="-124" w:right="-36"/>
              <w:jc w:val="center"/>
              <w:rPr>
                <w:b/>
                <w:bCs/>
                <w:iCs/>
              </w:rPr>
            </w:pPr>
            <w:r w:rsidRPr="00B20AC0">
              <w:rPr>
                <w:b/>
                <w:bCs/>
                <w:iCs/>
              </w:rPr>
              <w:t>Control</w:t>
            </w:r>
          </w:p>
        </w:tc>
        <w:tc>
          <w:tcPr>
            <w:tcW w:w="410" w:type="pct"/>
          </w:tcPr>
          <w:p w:rsidR="005772F3" w:rsidRPr="00B20AC0" w:rsidRDefault="005772F3" w:rsidP="00261ED8">
            <w:pPr>
              <w:pStyle w:val="Tabletext"/>
              <w:keepNext/>
              <w:keepLines/>
              <w:ind w:left="-124" w:right="-36"/>
              <w:jc w:val="center"/>
              <w:rPr>
                <w:b/>
                <w:bCs/>
                <w:iCs/>
              </w:rPr>
            </w:pPr>
            <w:r w:rsidRPr="00B20AC0">
              <w:rPr>
                <w:b/>
                <w:bCs/>
                <w:iCs/>
              </w:rPr>
              <w:t>LUM/IVA</w:t>
            </w:r>
          </w:p>
        </w:tc>
        <w:tc>
          <w:tcPr>
            <w:tcW w:w="402" w:type="pct"/>
          </w:tcPr>
          <w:p w:rsidR="005772F3" w:rsidRPr="00B20AC0" w:rsidRDefault="005772F3" w:rsidP="00261ED8">
            <w:pPr>
              <w:pStyle w:val="Tabletext"/>
              <w:keepNext/>
              <w:keepLines/>
              <w:ind w:left="-124" w:right="-36"/>
              <w:jc w:val="center"/>
              <w:rPr>
                <w:b/>
                <w:bCs/>
                <w:iCs/>
              </w:rPr>
            </w:pPr>
            <w:r w:rsidRPr="00B20AC0">
              <w:rPr>
                <w:b/>
                <w:bCs/>
                <w:iCs/>
              </w:rPr>
              <w:t>Control</w:t>
            </w:r>
          </w:p>
        </w:tc>
        <w:tc>
          <w:tcPr>
            <w:tcW w:w="418" w:type="pct"/>
          </w:tcPr>
          <w:p w:rsidR="005772F3" w:rsidRPr="00B20AC0" w:rsidRDefault="005772F3" w:rsidP="00261ED8">
            <w:pPr>
              <w:pStyle w:val="Tabletext"/>
              <w:keepNext/>
              <w:keepLines/>
              <w:ind w:left="-124" w:right="-36"/>
              <w:jc w:val="center"/>
              <w:rPr>
                <w:b/>
                <w:bCs/>
                <w:iCs/>
              </w:rPr>
            </w:pPr>
            <w:r w:rsidRPr="00B20AC0">
              <w:rPr>
                <w:b/>
                <w:bCs/>
                <w:iCs/>
              </w:rPr>
              <w:t>TEZ/IVA</w:t>
            </w:r>
          </w:p>
        </w:tc>
        <w:tc>
          <w:tcPr>
            <w:tcW w:w="466" w:type="pct"/>
          </w:tcPr>
          <w:p w:rsidR="005772F3" w:rsidRPr="00B20AC0" w:rsidRDefault="005772F3" w:rsidP="00261ED8">
            <w:pPr>
              <w:pStyle w:val="Tabletext"/>
              <w:keepNext/>
              <w:keepLines/>
              <w:ind w:left="-124" w:right="-36"/>
              <w:jc w:val="center"/>
              <w:rPr>
                <w:b/>
                <w:bCs/>
                <w:iCs/>
              </w:rPr>
            </w:pPr>
            <w:r w:rsidRPr="00B20AC0">
              <w:rPr>
                <w:b/>
                <w:bCs/>
                <w:iCs/>
              </w:rPr>
              <w:t>Control</w:t>
            </w:r>
          </w:p>
        </w:tc>
        <w:tc>
          <w:tcPr>
            <w:tcW w:w="354" w:type="pct"/>
          </w:tcPr>
          <w:p w:rsidR="005772F3" w:rsidRPr="00B20AC0" w:rsidRDefault="005772F3" w:rsidP="00261ED8">
            <w:pPr>
              <w:pStyle w:val="Tabletext"/>
              <w:keepNext/>
              <w:keepLines/>
              <w:ind w:left="-124" w:right="-36"/>
              <w:jc w:val="center"/>
              <w:rPr>
                <w:b/>
                <w:bCs/>
                <w:iCs/>
              </w:rPr>
            </w:pPr>
            <w:r w:rsidRPr="00B20AC0">
              <w:rPr>
                <w:b/>
                <w:bCs/>
                <w:iCs/>
              </w:rPr>
              <w:t>LUM/IVA</w:t>
            </w:r>
          </w:p>
        </w:tc>
        <w:tc>
          <w:tcPr>
            <w:tcW w:w="404" w:type="pct"/>
          </w:tcPr>
          <w:p w:rsidR="005772F3" w:rsidRPr="00B20AC0" w:rsidRDefault="005772F3" w:rsidP="00261ED8">
            <w:pPr>
              <w:pStyle w:val="Tabletext"/>
              <w:keepNext/>
              <w:keepLines/>
              <w:ind w:left="-124" w:right="-36"/>
              <w:jc w:val="center"/>
              <w:rPr>
                <w:b/>
                <w:bCs/>
                <w:iCs/>
              </w:rPr>
            </w:pPr>
            <w:r w:rsidRPr="00B20AC0">
              <w:rPr>
                <w:b/>
                <w:bCs/>
                <w:iCs/>
              </w:rPr>
              <w:t>Control</w:t>
            </w:r>
          </w:p>
        </w:tc>
      </w:tr>
      <w:tr w:rsidR="005772F3" w:rsidTr="007B10A0">
        <w:trPr>
          <w:cnfStyle w:val="100000000000" w:firstRow="1" w:lastRow="0" w:firstColumn="0" w:lastColumn="0" w:oddVBand="0" w:evenVBand="0" w:oddHBand="0" w:evenHBand="0" w:firstRowFirstColumn="0" w:firstRowLastColumn="0" w:lastRowFirstColumn="0" w:lastRowLastColumn="0"/>
          <w:tblHeader/>
        </w:trPr>
        <w:tc>
          <w:tcPr>
            <w:tcW w:w="903" w:type="pct"/>
            <w:vMerge/>
          </w:tcPr>
          <w:p w:rsidR="005772F3" w:rsidRPr="00572CD2" w:rsidRDefault="005772F3" w:rsidP="00261ED8">
            <w:pPr>
              <w:pStyle w:val="Tabletext"/>
              <w:keepNext/>
              <w:keepLines/>
              <w:ind w:left="-108"/>
              <w:rPr>
                <w:b/>
              </w:rPr>
            </w:pPr>
          </w:p>
        </w:tc>
        <w:tc>
          <w:tcPr>
            <w:tcW w:w="410" w:type="pct"/>
          </w:tcPr>
          <w:p w:rsidR="005772F3" w:rsidRPr="00983509" w:rsidRDefault="005772F3" w:rsidP="00261ED8">
            <w:pPr>
              <w:pStyle w:val="Tabletext"/>
              <w:keepNext/>
              <w:keepLines/>
              <w:ind w:left="-110"/>
              <w:jc w:val="center"/>
              <w:rPr>
                <w:b/>
                <w:bCs/>
                <w:iCs/>
              </w:rPr>
            </w:pPr>
            <w:r w:rsidRPr="00983509">
              <w:rPr>
                <w:b/>
                <w:bCs/>
                <w:iCs/>
              </w:rPr>
              <w:t>≥ 12y</w:t>
            </w:r>
          </w:p>
        </w:tc>
        <w:tc>
          <w:tcPr>
            <w:tcW w:w="413" w:type="pct"/>
          </w:tcPr>
          <w:p w:rsidR="005772F3" w:rsidRPr="00983509" w:rsidRDefault="005772F3" w:rsidP="00261ED8">
            <w:pPr>
              <w:pStyle w:val="Tabletext"/>
              <w:keepNext/>
              <w:keepLines/>
              <w:ind w:left="-110"/>
              <w:jc w:val="center"/>
              <w:rPr>
                <w:b/>
                <w:bCs/>
                <w:iCs/>
              </w:rPr>
            </w:pPr>
            <w:r w:rsidRPr="00983509">
              <w:rPr>
                <w:b/>
                <w:bCs/>
                <w:iCs/>
              </w:rPr>
              <w:t>≥ 12y</w:t>
            </w:r>
          </w:p>
        </w:tc>
        <w:tc>
          <w:tcPr>
            <w:tcW w:w="410" w:type="pct"/>
          </w:tcPr>
          <w:p w:rsidR="005772F3" w:rsidRPr="008803FA" w:rsidRDefault="005772F3" w:rsidP="00261ED8">
            <w:pPr>
              <w:pStyle w:val="Tabletext"/>
              <w:keepNext/>
              <w:keepLines/>
              <w:ind w:left="-110"/>
              <w:jc w:val="center"/>
              <w:rPr>
                <w:b/>
                <w:bCs/>
              </w:rPr>
            </w:pPr>
            <w:r w:rsidRPr="008803FA">
              <w:rPr>
                <w:b/>
                <w:bCs/>
              </w:rPr>
              <w:t>≥ 6y</w:t>
            </w:r>
          </w:p>
        </w:tc>
        <w:tc>
          <w:tcPr>
            <w:tcW w:w="410" w:type="pct"/>
          </w:tcPr>
          <w:p w:rsidR="005772F3" w:rsidRPr="008803FA" w:rsidRDefault="005772F3" w:rsidP="00261ED8">
            <w:pPr>
              <w:pStyle w:val="Tabletext"/>
              <w:keepNext/>
              <w:keepLines/>
              <w:ind w:left="-110"/>
              <w:jc w:val="center"/>
              <w:rPr>
                <w:b/>
                <w:bCs/>
              </w:rPr>
            </w:pPr>
            <w:r w:rsidRPr="008803FA">
              <w:rPr>
                <w:b/>
                <w:bCs/>
              </w:rPr>
              <w:t>≥ 6y</w:t>
            </w:r>
          </w:p>
        </w:tc>
        <w:tc>
          <w:tcPr>
            <w:tcW w:w="410" w:type="pct"/>
          </w:tcPr>
          <w:p w:rsidR="005772F3" w:rsidRPr="008803FA" w:rsidRDefault="005772F3" w:rsidP="00261ED8">
            <w:pPr>
              <w:pStyle w:val="Tabletext"/>
              <w:keepNext/>
              <w:keepLines/>
              <w:ind w:left="-110"/>
              <w:jc w:val="center"/>
              <w:rPr>
                <w:b/>
                <w:bCs/>
              </w:rPr>
            </w:pPr>
            <w:r w:rsidRPr="008803FA">
              <w:rPr>
                <w:b/>
                <w:bCs/>
              </w:rPr>
              <w:t xml:space="preserve">≥ 12y </w:t>
            </w:r>
            <w:r w:rsidRPr="008803FA">
              <w:rPr>
                <w:b/>
                <w:bCs/>
                <w:vertAlign w:val="superscript"/>
              </w:rPr>
              <w:t>b</w:t>
            </w:r>
          </w:p>
        </w:tc>
        <w:tc>
          <w:tcPr>
            <w:tcW w:w="402" w:type="pct"/>
          </w:tcPr>
          <w:p w:rsidR="005772F3" w:rsidRPr="008803FA" w:rsidRDefault="005772F3" w:rsidP="00261ED8">
            <w:pPr>
              <w:pStyle w:val="Tabletext"/>
              <w:keepNext/>
              <w:keepLines/>
              <w:ind w:left="-110"/>
              <w:jc w:val="center"/>
              <w:rPr>
                <w:b/>
                <w:bCs/>
              </w:rPr>
            </w:pPr>
            <w:r w:rsidRPr="008803FA">
              <w:rPr>
                <w:b/>
                <w:bCs/>
              </w:rPr>
              <w:t xml:space="preserve">≥ 12y </w:t>
            </w:r>
            <w:r w:rsidRPr="008803FA">
              <w:rPr>
                <w:b/>
                <w:bCs/>
                <w:vertAlign w:val="superscript"/>
              </w:rPr>
              <w:t>b</w:t>
            </w:r>
          </w:p>
        </w:tc>
        <w:tc>
          <w:tcPr>
            <w:tcW w:w="418" w:type="pct"/>
          </w:tcPr>
          <w:p w:rsidR="005772F3" w:rsidRPr="008803FA" w:rsidRDefault="005772F3" w:rsidP="00261ED8">
            <w:pPr>
              <w:pStyle w:val="Tabletext"/>
              <w:keepNext/>
              <w:keepLines/>
              <w:ind w:left="-110"/>
              <w:jc w:val="center"/>
              <w:rPr>
                <w:b/>
                <w:bCs/>
              </w:rPr>
            </w:pPr>
            <w:r w:rsidRPr="008803FA">
              <w:rPr>
                <w:b/>
                <w:bCs/>
              </w:rPr>
              <w:t>≥ 12y</w:t>
            </w:r>
          </w:p>
        </w:tc>
        <w:tc>
          <w:tcPr>
            <w:tcW w:w="466" w:type="pct"/>
          </w:tcPr>
          <w:p w:rsidR="005772F3" w:rsidRPr="008803FA" w:rsidRDefault="005772F3" w:rsidP="00261ED8">
            <w:pPr>
              <w:pStyle w:val="Tabletext"/>
              <w:keepNext/>
              <w:keepLines/>
              <w:ind w:left="-110"/>
              <w:jc w:val="center"/>
              <w:rPr>
                <w:b/>
                <w:bCs/>
              </w:rPr>
            </w:pPr>
            <w:r w:rsidRPr="008803FA">
              <w:rPr>
                <w:b/>
                <w:bCs/>
              </w:rPr>
              <w:t>≥ 12y</w:t>
            </w:r>
          </w:p>
        </w:tc>
        <w:tc>
          <w:tcPr>
            <w:tcW w:w="354" w:type="pct"/>
          </w:tcPr>
          <w:p w:rsidR="005772F3" w:rsidRPr="008803FA" w:rsidRDefault="005772F3" w:rsidP="00261ED8">
            <w:pPr>
              <w:pStyle w:val="Tabletext"/>
              <w:keepNext/>
              <w:keepLines/>
              <w:ind w:left="-110"/>
              <w:jc w:val="center"/>
              <w:rPr>
                <w:b/>
                <w:bCs/>
              </w:rPr>
            </w:pPr>
            <w:r w:rsidRPr="008803FA">
              <w:rPr>
                <w:b/>
                <w:bCs/>
              </w:rPr>
              <w:t>≥ 12y</w:t>
            </w:r>
          </w:p>
        </w:tc>
        <w:tc>
          <w:tcPr>
            <w:tcW w:w="404" w:type="pct"/>
          </w:tcPr>
          <w:p w:rsidR="005772F3" w:rsidRPr="008803FA" w:rsidRDefault="005772F3" w:rsidP="00261ED8">
            <w:pPr>
              <w:pStyle w:val="Tabletext"/>
              <w:keepNext/>
              <w:keepLines/>
              <w:ind w:left="-110"/>
              <w:jc w:val="center"/>
              <w:rPr>
                <w:b/>
                <w:bCs/>
              </w:rPr>
            </w:pPr>
            <w:r w:rsidRPr="008803FA">
              <w:rPr>
                <w:b/>
                <w:bCs/>
              </w:rPr>
              <w:t>≥ 12y</w:t>
            </w:r>
          </w:p>
        </w:tc>
      </w:tr>
      <w:tr w:rsidR="007E520C" w:rsidTr="00B1196F">
        <w:tc>
          <w:tcPr>
            <w:tcW w:w="903" w:type="pct"/>
          </w:tcPr>
          <w:p w:rsidR="007E520C" w:rsidRPr="00572CD2" w:rsidRDefault="007E520C" w:rsidP="00261ED8">
            <w:pPr>
              <w:pStyle w:val="Tabletext"/>
              <w:keepNext/>
              <w:keepLines/>
              <w:ind w:left="-108"/>
              <w:rPr>
                <w:b/>
              </w:rPr>
            </w:pPr>
          </w:p>
        </w:tc>
        <w:tc>
          <w:tcPr>
            <w:tcW w:w="410" w:type="pct"/>
          </w:tcPr>
          <w:p w:rsidR="007E520C" w:rsidRPr="00983509" w:rsidRDefault="007E520C" w:rsidP="00261ED8">
            <w:pPr>
              <w:pStyle w:val="Tabletext"/>
              <w:keepNext/>
              <w:keepLines/>
              <w:tabs>
                <w:tab w:val="left" w:pos="147"/>
              </w:tabs>
              <w:ind w:left="-110"/>
              <w:jc w:val="center"/>
              <w:rPr>
                <w:b/>
                <w:bCs/>
              </w:rPr>
            </w:pPr>
            <w:r w:rsidRPr="00983509">
              <w:rPr>
                <w:b/>
                <w:bCs/>
              </w:rPr>
              <w:t>N=455</w:t>
            </w:r>
          </w:p>
        </w:tc>
        <w:tc>
          <w:tcPr>
            <w:tcW w:w="413" w:type="pct"/>
          </w:tcPr>
          <w:p w:rsidR="007E520C" w:rsidRPr="00983509" w:rsidRDefault="007E520C" w:rsidP="00261ED8">
            <w:pPr>
              <w:pStyle w:val="Tabletext"/>
              <w:keepNext/>
              <w:keepLines/>
              <w:tabs>
                <w:tab w:val="left" w:pos="147"/>
              </w:tabs>
              <w:ind w:left="-110"/>
              <w:jc w:val="center"/>
              <w:rPr>
                <w:b/>
                <w:bCs/>
              </w:rPr>
            </w:pPr>
            <w:r w:rsidRPr="00983509">
              <w:rPr>
                <w:b/>
                <w:bCs/>
              </w:rPr>
              <w:t>N=1</w:t>
            </w:r>
            <w:r w:rsidR="00B1196F">
              <w:rPr>
                <w:b/>
                <w:bCs/>
              </w:rPr>
              <w:t>,</w:t>
            </w:r>
            <w:r w:rsidRPr="00983509">
              <w:rPr>
                <w:b/>
                <w:bCs/>
              </w:rPr>
              <w:t>588</w:t>
            </w:r>
          </w:p>
        </w:tc>
        <w:tc>
          <w:tcPr>
            <w:tcW w:w="410" w:type="pct"/>
          </w:tcPr>
          <w:p w:rsidR="007E520C" w:rsidRPr="008803FA" w:rsidRDefault="007E520C" w:rsidP="00261ED8">
            <w:pPr>
              <w:pStyle w:val="Tabletext"/>
              <w:keepNext/>
              <w:keepLines/>
              <w:ind w:left="-110"/>
              <w:jc w:val="center"/>
              <w:rPr>
                <w:b/>
                <w:bCs/>
              </w:rPr>
            </w:pPr>
            <w:r w:rsidRPr="008803FA">
              <w:rPr>
                <w:rFonts w:cstheme="minorHAnsi"/>
                <w:b/>
                <w:bCs/>
                <w:szCs w:val="20"/>
              </w:rPr>
              <w:t>N=2,287</w:t>
            </w:r>
          </w:p>
        </w:tc>
        <w:tc>
          <w:tcPr>
            <w:tcW w:w="410" w:type="pct"/>
          </w:tcPr>
          <w:p w:rsidR="007E520C" w:rsidRPr="008803FA" w:rsidRDefault="007E520C" w:rsidP="00261ED8">
            <w:pPr>
              <w:pStyle w:val="Tabletext"/>
              <w:keepNext/>
              <w:keepLines/>
              <w:ind w:left="-110"/>
              <w:jc w:val="center"/>
              <w:rPr>
                <w:b/>
                <w:bCs/>
              </w:rPr>
            </w:pPr>
            <w:r w:rsidRPr="008803FA">
              <w:rPr>
                <w:rFonts w:cstheme="minorHAnsi"/>
                <w:b/>
                <w:bCs/>
                <w:szCs w:val="20"/>
              </w:rPr>
              <w:t>N=3,527</w:t>
            </w:r>
          </w:p>
        </w:tc>
        <w:tc>
          <w:tcPr>
            <w:tcW w:w="410" w:type="pct"/>
          </w:tcPr>
          <w:p w:rsidR="007E520C" w:rsidRPr="008803FA" w:rsidRDefault="007E520C" w:rsidP="00261ED8">
            <w:pPr>
              <w:pStyle w:val="Tabletext"/>
              <w:keepNext/>
              <w:keepLines/>
              <w:ind w:left="-110"/>
              <w:jc w:val="center"/>
              <w:rPr>
                <w:b/>
                <w:bCs/>
              </w:rPr>
            </w:pPr>
            <w:r w:rsidRPr="008803FA">
              <w:rPr>
                <w:rFonts w:cstheme="minorHAnsi"/>
                <w:b/>
                <w:bCs/>
                <w:szCs w:val="20"/>
              </w:rPr>
              <w:t>N=1,881</w:t>
            </w:r>
          </w:p>
        </w:tc>
        <w:tc>
          <w:tcPr>
            <w:tcW w:w="402" w:type="pct"/>
          </w:tcPr>
          <w:p w:rsidR="007E520C" w:rsidRPr="008803FA" w:rsidRDefault="007E520C" w:rsidP="00261ED8">
            <w:pPr>
              <w:pStyle w:val="Tabletext"/>
              <w:keepNext/>
              <w:keepLines/>
              <w:ind w:left="-110" w:right="-43"/>
              <w:jc w:val="center"/>
              <w:rPr>
                <w:b/>
                <w:bCs/>
              </w:rPr>
            </w:pPr>
            <w:r w:rsidRPr="008803FA">
              <w:rPr>
                <w:rFonts w:cstheme="minorHAnsi"/>
                <w:b/>
                <w:bCs/>
                <w:szCs w:val="20"/>
              </w:rPr>
              <w:t>N=2,686</w:t>
            </w:r>
          </w:p>
        </w:tc>
        <w:tc>
          <w:tcPr>
            <w:tcW w:w="418" w:type="pct"/>
          </w:tcPr>
          <w:p w:rsidR="007E520C" w:rsidRPr="008803FA" w:rsidRDefault="007E520C" w:rsidP="00261ED8">
            <w:pPr>
              <w:pStyle w:val="Tabletext"/>
              <w:keepNext/>
              <w:keepLines/>
              <w:ind w:left="-110"/>
              <w:jc w:val="center"/>
              <w:rPr>
                <w:rFonts w:cstheme="minorHAnsi"/>
                <w:b/>
                <w:bCs/>
                <w:szCs w:val="20"/>
              </w:rPr>
            </w:pPr>
            <w:r w:rsidRPr="008803FA">
              <w:rPr>
                <w:b/>
                <w:bCs/>
              </w:rPr>
              <w:t>N=407</w:t>
            </w:r>
          </w:p>
        </w:tc>
        <w:tc>
          <w:tcPr>
            <w:tcW w:w="466" w:type="pct"/>
          </w:tcPr>
          <w:p w:rsidR="007C64A5" w:rsidRDefault="00B903DE" w:rsidP="00B1196F">
            <w:pPr>
              <w:pStyle w:val="Tabletext"/>
              <w:keepNext/>
              <w:keepLines/>
              <w:ind w:left="-110" w:right="-202"/>
              <w:rPr>
                <w:b/>
                <w:bCs/>
              </w:rPr>
            </w:pPr>
            <w:r w:rsidRPr="008803FA">
              <w:rPr>
                <w:b/>
                <w:bCs/>
              </w:rPr>
              <w:t>N=</w:t>
            </w:r>
            <w:r w:rsidR="007C64A5">
              <w:rPr>
                <w:b/>
                <w:bCs/>
              </w:rPr>
              <w:t>407</w:t>
            </w:r>
            <w:r w:rsidR="007C64A5" w:rsidRPr="007C64A5">
              <w:rPr>
                <w:b/>
                <w:bCs/>
                <w:vertAlign w:val="subscript"/>
              </w:rPr>
              <w:t>w</w:t>
            </w:r>
            <w:r w:rsidR="007C64A5">
              <w:rPr>
                <w:b/>
                <w:bCs/>
              </w:rPr>
              <w:t>/</w:t>
            </w:r>
          </w:p>
          <w:p w:rsidR="007E520C" w:rsidRPr="008803FA" w:rsidRDefault="00B903DE" w:rsidP="00B1196F">
            <w:pPr>
              <w:pStyle w:val="Tabletext"/>
              <w:keepNext/>
              <w:keepLines/>
              <w:ind w:left="-110" w:right="-202"/>
              <w:rPr>
                <w:rFonts w:cstheme="minorHAnsi"/>
                <w:b/>
                <w:bCs/>
                <w:szCs w:val="20"/>
              </w:rPr>
            </w:pPr>
            <w:r w:rsidRPr="008803FA">
              <w:rPr>
                <w:b/>
                <w:bCs/>
              </w:rPr>
              <w:t>1,383</w:t>
            </w:r>
            <w:r w:rsidR="00B1196F" w:rsidRPr="00B1196F">
              <w:rPr>
                <w:b/>
                <w:bCs/>
                <w:vertAlign w:val="superscript"/>
              </w:rPr>
              <w:t>a</w:t>
            </w:r>
          </w:p>
        </w:tc>
        <w:tc>
          <w:tcPr>
            <w:tcW w:w="354" w:type="pct"/>
          </w:tcPr>
          <w:p w:rsidR="007E520C" w:rsidRPr="008803FA" w:rsidRDefault="007E520C" w:rsidP="00261ED8">
            <w:pPr>
              <w:pStyle w:val="Tabletext"/>
              <w:keepNext/>
              <w:keepLines/>
              <w:ind w:left="-110"/>
              <w:jc w:val="center"/>
              <w:rPr>
                <w:b/>
                <w:bCs/>
              </w:rPr>
            </w:pPr>
            <w:r w:rsidRPr="008803FA">
              <w:rPr>
                <w:rFonts w:cstheme="minorHAnsi"/>
                <w:b/>
                <w:bCs/>
                <w:szCs w:val="20"/>
              </w:rPr>
              <w:t>N=72</w:t>
            </w:r>
          </w:p>
        </w:tc>
        <w:tc>
          <w:tcPr>
            <w:tcW w:w="404" w:type="pct"/>
          </w:tcPr>
          <w:p w:rsidR="007E520C" w:rsidRPr="008803FA" w:rsidRDefault="007E520C" w:rsidP="00261ED8">
            <w:pPr>
              <w:pStyle w:val="Tabletext"/>
              <w:keepNext/>
              <w:keepLines/>
              <w:ind w:left="-110"/>
              <w:jc w:val="center"/>
              <w:rPr>
                <w:b/>
                <w:bCs/>
              </w:rPr>
            </w:pPr>
            <w:r w:rsidRPr="008803FA">
              <w:rPr>
                <w:rFonts w:cstheme="minorHAnsi"/>
                <w:b/>
                <w:bCs/>
                <w:szCs w:val="20"/>
              </w:rPr>
              <w:t>N=33</w:t>
            </w:r>
          </w:p>
        </w:tc>
      </w:tr>
      <w:tr w:rsidR="00F5613E" w:rsidTr="00F5613E">
        <w:tc>
          <w:tcPr>
            <w:tcW w:w="903" w:type="pct"/>
          </w:tcPr>
          <w:p w:rsidR="00F5613E" w:rsidRPr="00572CD2" w:rsidRDefault="00F5613E" w:rsidP="00F5613E">
            <w:pPr>
              <w:pStyle w:val="Tabletext"/>
              <w:keepNext/>
              <w:keepLines/>
              <w:ind w:left="-108"/>
              <w:rPr>
                <w:b/>
              </w:rPr>
            </w:pPr>
            <w:r>
              <w:rPr>
                <w:b/>
              </w:rPr>
              <w:t>Duration of follow up (years)</w:t>
            </w:r>
          </w:p>
        </w:tc>
        <w:tc>
          <w:tcPr>
            <w:tcW w:w="823" w:type="pct"/>
            <w:gridSpan w:val="2"/>
          </w:tcPr>
          <w:p w:rsidR="00F5613E" w:rsidRPr="00F5613E" w:rsidRDefault="00F5613E" w:rsidP="00F5613E">
            <w:pPr>
              <w:pStyle w:val="Tabletext"/>
              <w:keepNext/>
              <w:keepLines/>
              <w:tabs>
                <w:tab w:val="left" w:pos="147"/>
              </w:tabs>
              <w:ind w:left="-110"/>
              <w:jc w:val="center"/>
              <w:rPr>
                <w:bCs/>
              </w:rPr>
            </w:pPr>
            <w:r w:rsidRPr="00F5613E">
              <w:rPr>
                <w:bCs/>
              </w:rPr>
              <w:t xml:space="preserve">2.3 </w:t>
            </w:r>
          </w:p>
        </w:tc>
        <w:tc>
          <w:tcPr>
            <w:tcW w:w="820" w:type="pct"/>
            <w:gridSpan w:val="2"/>
          </w:tcPr>
          <w:p w:rsidR="00F5613E" w:rsidRPr="00F5613E" w:rsidRDefault="00F5613E" w:rsidP="00F5613E">
            <w:pPr>
              <w:pStyle w:val="Tabletext"/>
              <w:keepNext/>
              <w:keepLines/>
              <w:ind w:left="-110"/>
              <w:jc w:val="center"/>
              <w:rPr>
                <w:rFonts w:cstheme="minorHAnsi"/>
                <w:bCs/>
                <w:szCs w:val="20"/>
              </w:rPr>
            </w:pPr>
            <w:r w:rsidRPr="00F5613E">
              <w:rPr>
                <w:rFonts w:cstheme="minorHAnsi"/>
                <w:bCs/>
                <w:szCs w:val="20"/>
              </w:rPr>
              <w:t xml:space="preserve">2.9 </w:t>
            </w:r>
          </w:p>
        </w:tc>
        <w:tc>
          <w:tcPr>
            <w:tcW w:w="812" w:type="pct"/>
            <w:gridSpan w:val="2"/>
          </w:tcPr>
          <w:p w:rsidR="00F5613E" w:rsidRPr="00F5613E" w:rsidRDefault="00F5613E" w:rsidP="00F5613E">
            <w:pPr>
              <w:pStyle w:val="Tabletext"/>
              <w:keepNext/>
              <w:keepLines/>
              <w:ind w:left="-110" w:right="-43"/>
              <w:jc w:val="center"/>
              <w:rPr>
                <w:rFonts w:cstheme="minorHAnsi"/>
                <w:bCs/>
                <w:szCs w:val="20"/>
              </w:rPr>
            </w:pPr>
            <w:r w:rsidRPr="00F5613E">
              <w:rPr>
                <w:rFonts w:cstheme="minorHAnsi"/>
                <w:bCs/>
                <w:szCs w:val="20"/>
              </w:rPr>
              <w:t xml:space="preserve">3.0 </w:t>
            </w:r>
          </w:p>
        </w:tc>
        <w:tc>
          <w:tcPr>
            <w:tcW w:w="884" w:type="pct"/>
            <w:gridSpan w:val="2"/>
          </w:tcPr>
          <w:p w:rsidR="00F5613E" w:rsidRPr="00F5613E" w:rsidRDefault="00F5613E" w:rsidP="00F5613E">
            <w:pPr>
              <w:pStyle w:val="Tabletext"/>
              <w:keepNext/>
              <w:keepLines/>
              <w:ind w:left="-110" w:right="-202"/>
              <w:jc w:val="center"/>
              <w:rPr>
                <w:bCs/>
              </w:rPr>
            </w:pPr>
            <w:r w:rsidRPr="00F5613E">
              <w:rPr>
                <w:bCs/>
              </w:rPr>
              <w:t>2.3</w:t>
            </w:r>
          </w:p>
        </w:tc>
        <w:tc>
          <w:tcPr>
            <w:tcW w:w="758" w:type="pct"/>
            <w:gridSpan w:val="2"/>
          </w:tcPr>
          <w:p w:rsidR="00F5613E" w:rsidRPr="00F5613E" w:rsidRDefault="00F5613E" w:rsidP="00F5613E">
            <w:pPr>
              <w:pStyle w:val="Tabletext"/>
              <w:keepNext/>
              <w:keepLines/>
              <w:ind w:left="-110"/>
              <w:jc w:val="center"/>
              <w:rPr>
                <w:rFonts w:cstheme="minorHAnsi"/>
                <w:bCs/>
                <w:szCs w:val="20"/>
              </w:rPr>
            </w:pPr>
            <w:r w:rsidRPr="00F5613E">
              <w:rPr>
                <w:rFonts w:cstheme="minorHAnsi"/>
                <w:bCs/>
                <w:szCs w:val="20"/>
              </w:rPr>
              <w:t xml:space="preserve">Approx. 1 </w:t>
            </w:r>
          </w:p>
        </w:tc>
      </w:tr>
      <w:tr w:rsidR="00D24F0A" w:rsidTr="00B1196F">
        <w:tc>
          <w:tcPr>
            <w:tcW w:w="4242" w:type="pct"/>
            <w:gridSpan w:val="9"/>
          </w:tcPr>
          <w:p w:rsidR="00D24F0A" w:rsidRPr="00983509" w:rsidRDefault="00D24F0A" w:rsidP="005772F3">
            <w:pPr>
              <w:pStyle w:val="Tabletext"/>
              <w:keepNext/>
              <w:keepLines/>
              <w:ind w:left="-110" w:right="-103"/>
            </w:pPr>
            <w:r w:rsidRPr="00983509">
              <w:rPr>
                <w:b/>
                <w:bCs/>
              </w:rPr>
              <w:t>ppFEV</w:t>
            </w:r>
            <w:r w:rsidRPr="00983509">
              <w:rPr>
                <w:b/>
                <w:bCs/>
                <w:vertAlign w:val="subscript"/>
              </w:rPr>
              <w:t>1</w:t>
            </w:r>
          </w:p>
        </w:tc>
        <w:tc>
          <w:tcPr>
            <w:tcW w:w="758" w:type="pct"/>
            <w:gridSpan w:val="2"/>
          </w:tcPr>
          <w:p w:rsidR="00D24F0A" w:rsidRPr="008803FA" w:rsidRDefault="00D24F0A" w:rsidP="005772F3">
            <w:pPr>
              <w:pStyle w:val="Tabletext"/>
              <w:keepNext/>
              <w:keepLines/>
              <w:ind w:left="-110" w:right="-103"/>
            </w:pPr>
          </w:p>
        </w:tc>
      </w:tr>
      <w:tr w:rsidR="007E520C" w:rsidTr="00B1196F">
        <w:tc>
          <w:tcPr>
            <w:tcW w:w="903" w:type="pct"/>
          </w:tcPr>
          <w:p w:rsidR="007E520C" w:rsidRDefault="007E520C" w:rsidP="00261ED8">
            <w:pPr>
              <w:pStyle w:val="Tabletext"/>
              <w:keepNext/>
              <w:keepLines/>
              <w:tabs>
                <w:tab w:val="left" w:pos="147"/>
              </w:tabs>
              <w:ind w:left="-108"/>
            </w:pPr>
            <w:r>
              <w:t>N</w:t>
            </w:r>
          </w:p>
        </w:tc>
        <w:tc>
          <w:tcPr>
            <w:tcW w:w="410" w:type="pct"/>
          </w:tcPr>
          <w:p w:rsidR="007E520C" w:rsidRPr="00983509" w:rsidRDefault="007E520C" w:rsidP="00261ED8">
            <w:pPr>
              <w:pStyle w:val="Tabletext"/>
              <w:keepNext/>
              <w:keepLines/>
              <w:ind w:left="-110" w:right="-103"/>
              <w:jc w:val="center"/>
              <w:rPr>
                <w:iCs/>
              </w:rPr>
            </w:pPr>
            <w:r w:rsidRPr="00983509">
              <w:t>455</w:t>
            </w:r>
          </w:p>
        </w:tc>
        <w:tc>
          <w:tcPr>
            <w:tcW w:w="413" w:type="pct"/>
          </w:tcPr>
          <w:p w:rsidR="007E520C" w:rsidRPr="00983509" w:rsidRDefault="007E520C" w:rsidP="00261ED8">
            <w:pPr>
              <w:pStyle w:val="Tabletext"/>
              <w:keepNext/>
              <w:keepLines/>
              <w:ind w:left="-110" w:right="-103"/>
              <w:jc w:val="center"/>
              <w:rPr>
                <w:iCs/>
              </w:rPr>
            </w:pPr>
            <w:r w:rsidRPr="00983509">
              <w:t>1</w:t>
            </w:r>
            <w:r w:rsidR="00B1196F">
              <w:t>,</w:t>
            </w:r>
            <w:r w:rsidRPr="00983509">
              <w:t>588</w:t>
            </w:r>
          </w:p>
        </w:tc>
        <w:tc>
          <w:tcPr>
            <w:tcW w:w="410" w:type="pct"/>
          </w:tcPr>
          <w:p w:rsidR="007E520C" w:rsidRPr="008803FA" w:rsidRDefault="007E520C" w:rsidP="00261ED8">
            <w:pPr>
              <w:pStyle w:val="Tabletext"/>
              <w:keepNext/>
              <w:keepLines/>
              <w:ind w:left="-110" w:right="-103"/>
              <w:jc w:val="center"/>
            </w:pPr>
            <w:r w:rsidRPr="008803FA">
              <w:t>2,072</w:t>
            </w:r>
          </w:p>
        </w:tc>
        <w:tc>
          <w:tcPr>
            <w:tcW w:w="410" w:type="pct"/>
          </w:tcPr>
          <w:p w:rsidR="007E520C" w:rsidRPr="008803FA" w:rsidRDefault="007E520C" w:rsidP="00261ED8">
            <w:pPr>
              <w:pStyle w:val="Tabletext"/>
              <w:keepNext/>
              <w:keepLines/>
              <w:ind w:left="-110" w:right="-103"/>
              <w:jc w:val="center"/>
            </w:pPr>
            <w:r w:rsidRPr="008803FA">
              <w:t>3,153</w:t>
            </w:r>
          </w:p>
        </w:tc>
        <w:tc>
          <w:tcPr>
            <w:tcW w:w="410" w:type="pct"/>
          </w:tcPr>
          <w:p w:rsidR="007E520C" w:rsidRPr="008803FA" w:rsidRDefault="007E520C" w:rsidP="00261ED8">
            <w:pPr>
              <w:pStyle w:val="Tabletext"/>
              <w:keepNext/>
              <w:keepLines/>
              <w:ind w:left="-110" w:right="-103"/>
              <w:jc w:val="center"/>
            </w:pPr>
            <w:r w:rsidRPr="008803FA">
              <w:t>1,776</w:t>
            </w:r>
          </w:p>
        </w:tc>
        <w:tc>
          <w:tcPr>
            <w:tcW w:w="402" w:type="pct"/>
          </w:tcPr>
          <w:p w:rsidR="007E520C" w:rsidRPr="008803FA" w:rsidRDefault="007E520C" w:rsidP="00261ED8">
            <w:pPr>
              <w:pStyle w:val="Tabletext"/>
              <w:keepNext/>
              <w:keepLines/>
              <w:ind w:left="-110" w:right="-103"/>
              <w:jc w:val="center"/>
            </w:pPr>
            <w:r w:rsidRPr="008803FA">
              <w:t>2,540</w:t>
            </w:r>
          </w:p>
        </w:tc>
        <w:tc>
          <w:tcPr>
            <w:tcW w:w="418" w:type="pct"/>
          </w:tcPr>
          <w:p w:rsidR="007E520C" w:rsidRPr="008803FA" w:rsidRDefault="007E520C" w:rsidP="00261ED8">
            <w:pPr>
              <w:pStyle w:val="Tabletext"/>
              <w:keepNext/>
              <w:keepLines/>
              <w:ind w:left="-110" w:right="-103"/>
              <w:jc w:val="center"/>
            </w:pPr>
            <w:r w:rsidRPr="008803FA">
              <w:t>407</w:t>
            </w:r>
          </w:p>
        </w:tc>
        <w:tc>
          <w:tcPr>
            <w:tcW w:w="466" w:type="pct"/>
          </w:tcPr>
          <w:p w:rsidR="007E520C" w:rsidRPr="008803FA" w:rsidRDefault="007E520C" w:rsidP="00261ED8">
            <w:pPr>
              <w:pStyle w:val="Tabletext"/>
              <w:keepNext/>
              <w:keepLines/>
              <w:ind w:left="-110" w:right="-103"/>
              <w:jc w:val="center"/>
            </w:pPr>
            <w:r w:rsidRPr="008803FA">
              <w:t>1,383</w:t>
            </w:r>
          </w:p>
        </w:tc>
        <w:tc>
          <w:tcPr>
            <w:tcW w:w="354" w:type="pct"/>
          </w:tcPr>
          <w:p w:rsidR="007E520C" w:rsidRPr="008803FA" w:rsidRDefault="007E520C" w:rsidP="00261ED8">
            <w:pPr>
              <w:pStyle w:val="Tabletext"/>
              <w:keepNext/>
              <w:keepLines/>
              <w:ind w:left="-110" w:right="-103"/>
              <w:jc w:val="center"/>
            </w:pPr>
            <w:r w:rsidRPr="008803FA">
              <w:t>72</w:t>
            </w:r>
          </w:p>
        </w:tc>
        <w:tc>
          <w:tcPr>
            <w:tcW w:w="404" w:type="pct"/>
          </w:tcPr>
          <w:p w:rsidR="007E520C" w:rsidRPr="008803FA" w:rsidRDefault="007E520C" w:rsidP="00261ED8">
            <w:pPr>
              <w:pStyle w:val="Tabletext"/>
              <w:keepNext/>
              <w:keepLines/>
              <w:ind w:left="-110" w:right="-103"/>
              <w:jc w:val="center"/>
            </w:pPr>
            <w:r w:rsidRPr="008803FA">
              <w:t>33</w:t>
            </w:r>
          </w:p>
        </w:tc>
      </w:tr>
      <w:tr w:rsidR="007E520C" w:rsidTr="00B1196F">
        <w:tc>
          <w:tcPr>
            <w:tcW w:w="903" w:type="pct"/>
          </w:tcPr>
          <w:p w:rsidR="007E520C" w:rsidRPr="00EF2794" w:rsidRDefault="007E520C" w:rsidP="00261ED8">
            <w:pPr>
              <w:pStyle w:val="Tabletext"/>
              <w:keepNext/>
              <w:keepLines/>
              <w:tabs>
                <w:tab w:val="left" w:pos="147"/>
              </w:tabs>
              <w:ind w:left="-108" w:right="-48"/>
            </w:pPr>
            <w:r w:rsidRPr="00EF2794">
              <w:t>Baseline/</w:t>
            </w:r>
            <w:r>
              <w:t xml:space="preserve"> </w:t>
            </w:r>
            <w:r w:rsidRPr="00EF2794">
              <w:t xml:space="preserve">prior to </w:t>
            </w:r>
            <w:proofErr w:type="spellStart"/>
            <w:r w:rsidRPr="00EF2794">
              <w:t>t</w:t>
            </w:r>
            <w:r>
              <w:t>x</w:t>
            </w:r>
            <w:proofErr w:type="spellEnd"/>
            <w:r w:rsidRPr="00EF2794">
              <w:t>, mean (</w:t>
            </w:r>
            <w:proofErr w:type="spellStart"/>
            <w:r w:rsidRPr="00EF2794">
              <w:t>sd</w:t>
            </w:r>
            <w:proofErr w:type="spellEnd"/>
            <w:r w:rsidRPr="00EF2794">
              <w:t>)</w:t>
            </w:r>
          </w:p>
        </w:tc>
        <w:tc>
          <w:tcPr>
            <w:tcW w:w="410" w:type="pct"/>
          </w:tcPr>
          <w:p w:rsidR="007E520C" w:rsidRPr="00983509" w:rsidRDefault="007E520C" w:rsidP="00261ED8">
            <w:pPr>
              <w:pStyle w:val="Tabletext"/>
              <w:keepNext/>
              <w:keepLines/>
              <w:ind w:left="-110" w:right="-103"/>
              <w:jc w:val="center"/>
            </w:pPr>
            <w:r w:rsidRPr="00983509">
              <w:rPr>
                <w:rFonts w:cstheme="minorHAnsi"/>
                <w:iCs/>
                <w:szCs w:val="20"/>
                <w:lang w:val="en-GB"/>
              </w:rPr>
              <w:t>59.8 (13.8)</w:t>
            </w:r>
          </w:p>
        </w:tc>
        <w:tc>
          <w:tcPr>
            <w:tcW w:w="413" w:type="pct"/>
          </w:tcPr>
          <w:p w:rsidR="007E520C" w:rsidRPr="00983509" w:rsidRDefault="007E520C" w:rsidP="00261ED8">
            <w:pPr>
              <w:pStyle w:val="Tabletext"/>
              <w:keepNext/>
              <w:keepLines/>
              <w:ind w:left="-110" w:right="-103"/>
              <w:jc w:val="center"/>
            </w:pPr>
            <w:r w:rsidRPr="00983509">
              <w:rPr>
                <w:rFonts w:cstheme="minorHAnsi"/>
                <w:iCs/>
                <w:szCs w:val="20"/>
                <w:lang w:val="en-GB"/>
              </w:rPr>
              <w:t>61.8 (16.3)</w:t>
            </w:r>
          </w:p>
        </w:tc>
        <w:tc>
          <w:tcPr>
            <w:tcW w:w="410" w:type="pct"/>
          </w:tcPr>
          <w:p w:rsidR="007E520C" w:rsidRPr="008803FA" w:rsidRDefault="007E520C" w:rsidP="00261ED8">
            <w:pPr>
              <w:pStyle w:val="Tabletext"/>
              <w:keepNext/>
              <w:keepLines/>
              <w:ind w:left="-110" w:right="-103"/>
              <w:jc w:val="center"/>
              <w:rPr>
                <w:rFonts w:cstheme="minorHAnsi"/>
                <w:szCs w:val="20"/>
              </w:rPr>
            </w:pPr>
            <w:r w:rsidRPr="008803FA">
              <w:rPr>
                <w:rFonts w:cstheme="minorHAnsi"/>
                <w:szCs w:val="20"/>
              </w:rPr>
              <w:t>81.4 (19.8)</w:t>
            </w:r>
          </w:p>
        </w:tc>
        <w:tc>
          <w:tcPr>
            <w:tcW w:w="410" w:type="pct"/>
          </w:tcPr>
          <w:p w:rsidR="007E520C" w:rsidRPr="008803FA" w:rsidRDefault="007E520C" w:rsidP="00261ED8">
            <w:pPr>
              <w:pStyle w:val="Tabletext"/>
              <w:keepNext/>
              <w:keepLines/>
              <w:ind w:left="-110" w:right="-103"/>
              <w:jc w:val="center"/>
              <w:rPr>
                <w:rFonts w:cstheme="minorHAnsi"/>
                <w:szCs w:val="20"/>
              </w:rPr>
            </w:pPr>
            <w:r w:rsidRPr="008803FA">
              <w:rPr>
                <w:rFonts w:cstheme="minorHAnsi"/>
                <w:szCs w:val="20"/>
              </w:rPr>
              <w:t>78.4 (21.5)</w:t>
            </w:r>
          </w:p>
        </w:tc>
        <w:tc>
          <w:tcPr>
            <w:tcW w:w="410" w:type="pct"/>
          </w:tcPr>
          <w:p w:rsidR="007E520C" w:rsidRPr="008803FA" w:rsidRDefault="007E520C" w:rsidP="00261ED8">
            <w:pPr>
              <w:pStyle w:val="Tabletext"/>
              <w:keepNext/>
              <w:keepLines/>
              <w:ind w:left="-110" w:right="-103"/>
              <w:jc w:val="center"/>
              <w:rPr>
                <w:rFonts w:cstheme="minorHAnsi"/>
                <w:szCs w:val="20"/>
              </w:rPr>
            </w:pPr>
            <w:r w:rsidRPr="008803FA">
              <w:rPr>
                <w:rFonts w:cstheme="minorHAnsi"/>
                <w:szCs w:val="20"/>
              </w:rPr>
              <w:t>79.1 (18.1)</w:t>
            </w:r>
          </w:p>
        </w:tc>
        <w:tc>
          <w:tcPr>
            <w:tcW w:w="402" w:type="pct"/>
          </w:tcPr>
          <w:p w:rsidR="007E520C" w:rsidRPr="008803FA" w:rsidRDefault="007E520C" w:rsidP="00261ED8">
            <w:pPr>
              <w:pStyle w:val="Tabletext"/>
              <w:keepNext/>
              <w:keepLines/>
              <w:ind w:left="-110" w:right="-103"/>
              <w:jc w:val="center"/>
              <w:rPr>
                <w:rFonts w:cstheme="minorHAnsi"/>
                <w:szCs w:val="20"/>
              </w:rPr>
            </w:pPr>
            <w:r w:rsidRPr="008803FA">
              <w:rPr>
                <w:rFonts w:cstheme="minorHAnsi"/>
                <w:szCs w:val="20"/>
              </w:rPr>
              <w:t>74.7 (19.4)</w:t>
            </w:r>
          </w:p>
        </w:tc>
        <w:tc>
          <w:tcPr>
            <w:tcW w:w="418" w:type="pct"/>
          </w:tcPr>
          <w:p w:rsidR="007E520C" w:rsidRPr="008803FA" w:rsidRDefault="007E520C" w:rsidP="00261ED8">
            <w:pPr>
              <w:pStyle w:val="Tabletext"/>
              <w:keepNext/>
              <w:keepLines/>
              <w:ind w:left="-110" w:right="-103"/>
              <w:jc w:val="center"/>
              <w:rPr>
                <w:rFonts w:cstheme="minorHAnsi"/>
                <w:szCs w:val="20"/>
              </w:rPr>
            </w:pPr>
            <w:r w:rsidRPr="008803FA">
              <w:t>59.0 (14.5)</w:t>
            </w:r>
          </w:p>
        </w:tc>
        <w:tc>
          <w:tcPr>
            <w:tcW w:w="466" w:type="pct"/>
          </w:tcPr>
          <w:p w:rsidR="007E520C" w:rsidRPr="008803FA" w:rsidRDefault="007E520C" w:rsidP="00261ED8">
            <w:pPr>
              <w:pStyle w:val="Tabletext"/>
              <w:keepNext/>
              <w:keepLines/>
              <w:ind w:left="-110" w:right="-103"/>
              <w:jc w:val="center"/>
              <w:rPr>
                <w:rFonts w:cstheme="minorHAnsi"/>
                <w:szCs w:val="20"/>
              </w:rPr>
            </w:pPr>
            <w:r w:rsidRPr="008803FA">
              <w:t xml:space="preserve">59.4 </w:t>
            </w:r>
            <w:r>
              <w:br/>
            </w:r>
            <w:r w:rsidRPr="008803FA">
              <w:t>(9.3)</w:t>
            </w:r>
          </w:p>
        </w:tc>
        <w:tc>
          <w:tcPr>
            <w:tcW w:w="354" w:type="pct"/>
          </w:tcPr>
          <w:p w:rsidR="007E520C" w:rsidRPr="008803FA" w:rsidRDefault="007E520C" w:rsidP="00261ED8">
            <w:pPr>
              <w:pStyle w:val="Tabletext"/>
              <w:keepNext/>
              <w:keepLines/>
              <w:ind w:left="-110" w:right="-103"/>
              <w:jc w:val="center"/>
              <w:rPr>
                <w:rFonts w:cstheme="minorHAnsi"/>
                <w:szCs w:val="20"/>
              </w:rPr>
            </w:pPr>
            <w:r w:rsidRPr="008803FA">
              <w:t>37.4 (11.3)</w:t>
            </w:r>
          </w:p>
        </w:tc>
        <w:tc>
          <w:tcPr>
            <w:tcW w:w="404" w:type="pct"/>
          </w:tcPr>
          <w:p w:rsidR="007E520C" w:rsidRPr="008803FA" w:rsidRDefault="007E520C" w:rsidP="00261ED8">
            <w:pPr>
              <w:pStyle w:val="Tabletext"/>
              <w:keepNext/>
              <w:keepLines/>
              <w:ind w:left="-110" w:right="-103"/>
              <w:jc w:val="center"/>
              <w:rPr>
                <w:rFonts w:cstheme="minorHAnsi"/>
                <w:szCs w:val="20"/>
              </w:rPr>
            </w:pPr>
            <w:r w:rsidRPr="008803FA">
              <w:t xml:space="preserve">34.3 </w:t>
            </w:r>
            <w:r>
              <w:br/>
            </w:r>
            <w:r w:rsidRPr="008803FA">
              <w:t>(8.5)</w:t>
            </w:r>
          </w:p>
        </w:tc>
      </w:tr>
      <w:tr w:rsidR="00D24F0A" w:rsidTr="00B1196F">
        <w:trPr>
          <w:trHeight w:val="311"/>
        </w:trPr>
        <w:tc>
          <w:tcPr>
            <w:tcW w:w="4242" w:type="pct"/>
            <w:gridSpan w:val="9"/>
          </w:tcPr>
          <w:p w:rsidR="00D24F0A" w:rsidRPr="00983509" w:rsidRDefault="00D24F0A" w:rsidP="005772F3">
            <w:pPr>
              <w:pStyle w:val="Tabletext"/>
              <w:keepNext/>
              <w:keepLines/>
              <w:ind w:left="-110" w:right="-103"/>
              <w:rPr>
                <w:rFonts w:cstheme="minorHAnsi"/>
                <w:szCs w:val="20"/>
                <w:highlight w:val="yellow"/>
                <w:lang w:val="en-GB"/>
              </w:rPr>
            </w:pPr>
            <w:r w:rsidRPr="00983509">
              <w:rPr>
                <w:b/>
                <w:bCs/>
              </w:rPr>
              <w:t>ppFEV</w:t>
            </w:r>
            <w:r w:rsidRPr="00983509">
              <w:rPr>
                <w:b/>
                <w:bCs/>
                <w:vertAlign w:val="subscript"/>
              </w:rPr>
              <w:t>1</w:t>
            </w:r>
            <w:r w:rsidRPr="00983509">
              <w:rPr>
                <w:b/>
                <w:bCs/>
              </w:rPr>
              <w:t>: Absolute change</w:t>
            </w:r>
          </w:p>
        </w:tc>
        <w:tc>
          <w:tcPr>
            <w:tcW w:w="758" w:type="pct"/>
            <w:gridSpan w:val="2"/>
          </w:tcPr>
          <w:p w:rsidR="00D24F0A" w:rsidRPr="002431A5" w:rsidRDefault="00D24F0A" w:rsidP="005772F3">
            <w:pPr>
              <w:pStyle w:val="Tabletext"/>
              <w:keepNext/>
              <w:keepLines/>
              <w:ind w:left="-110" w:right="-103"/>
              <w:rPr>
                <w:rFonts w:cstheme="minorHAnsi"/>
                <w:szCs w:val="20"/>
                <w:highlight w:val="yellow"/>
                <w:lang w:val="en-GB"/>
              </w:rPr>
            </w:pPr>
          </w:p>
        </w:tc>
      </w:tr>
      <w:tr w:rsidR="007E520C" w:rsidTr="00B1196F">
        <w:tc>
          <w:tcPr>
            <w:tcW w:w="903" w:type="pct"/>
          </w:tcPr>
          <w:p w:rsidR="007E520C" w:rsidRDefault="007E520C" w:rsidP="00261ED8">
            <w:pPr>
              <w:pStyle w:val="Tabletext"/>
              <w:keepNext/>
              <w:keepLines/>
              <w:tabs>
                <w:tab w:val="left" w:pos="147"/>
              </w:tabs>
              <w:ind w:left="-108"/>
            </w:pPr>
            <w:r>
              <w:t>N</w:t>
            </w:r>
          </w:p>
        </w:tc>
        <w:tc>
          <w:tcPr>
            <w:tcW w:w="410" w:type="pct"/>
          </w:tcPr>
          <w:p w:rsidR="007E520C" w:rsidRPr="00983509" w:rsidRDefault="007E520C" w:rsidP="00261ED8">
            <w:pPr>
              <w:pStyle w:val="Tabletext"/>
              <w:keepNext/>
              <w:keepLines/>
              <w:ind w:left="-110" w:right="-103"/>
              <w:jc w:val="center"/>
              <w:rPr>
                <w:rFonts w:cstheme="minorHAnsi"/>
                <w:szCs w:val="20"/>
                <w:lang w:val="en-GB"/>
              </w:rPr>
            </w:pPr>
            <w:r w:rsidRPr="00983509">
              <w:t>NR</w:t>
            </w:r>
          </w:p>
        </w:tc>
        <w:tc>
          <w:tcPr>
            <w:tcW w:w="413" w:type="pct"/>
          </w:tcPr>
          <w:p w:rsidR="007E520C" w:rsidRPr="00983509" w:rsidRDefault="007E520C" w:rsidP="00261ED8">
            <w:pPr>
              <w:pStyle w:val="Tabletext"/>
              <w:keepNext/>
              <w:keepLines/>
              <w:ind w:left="-110" w:right="-103"/>
              <w:jc w:val="center"/>
              <w:rPr>
                <w:rFonts w:cstheme="minorHAnsi"/>
                <w:szCs w:val="20"/>
                <w:lang w:val="en-GB"/>
              </w:rPr>
            </w:pPr>
            <w:r w:rsidRPr="00983509">
              <w:t>NR</w:t>
            </w:r>
          </w:p>
        </w:tc>
        <w:tc>
          <w:tcPr>
            <w:tcW w:w="410"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2,046</w:t>
            </w:r>
          </w:p>
        </w:tc>
        <w:tc>
          <w:tcPr>
            <w:tcW w:w="410"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3,114</w:t>
            </w:r>
          </w:p>
        </w:tc>
        <w:tc>
          <w:tcPr>
            <w:tcW w:w="410"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1,754</w:t>
            </w:r>
          </w:p>
        </w:tc>
        <w:tc>
          <w:tcPr>
            <w:tcW w:w="402"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2,508</w:t>
            </w:r>
          </w:p>
        </w:tc>
        <w:tc>
          <w:tcPr>
            <w:tcW w:w="418" w:type="pct"/>
          </w:tcPr>
          <w:p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466" w:type="pct"/>
          </w:tcPr>
          <w:p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354" w:type="pct"/>
          </w:tcPr>
          <w:p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404" w:type="pct"/>
          </w:tcPr>
          <w:p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r>
      <w:tr w:rsidR="007E520C" w:rsidTr="00B1196F">
        <w:tc>
          <w:tcPr>
            <w:tcW w:w="903" w:type="pct"/>
          </w:tcPr>
          <w:p w:rsidR="007E520C" w:rsidRDefault="007E520C" w:rsidP="00261ED8">
            <w:pPr>
              <w:pStyle w:val="Tabletext"/>
              <w:keepNext/>
              <w:keepLines/>
              <w:tabs>
                <w:tab w:val="left" w:pos="147"/>
              </w:tabs>
              <w:ind w:left="-108"/>
            </w:pPr>
            <w:r>
              <w:t>Mean (</w:t>
            </w:r>
            <w:proofErr w:type="spellStart"/>
            <w:r>
              <w:t>sd</w:t>
            </w:r>
            <w:proofErr w:type="spellEnd"/>
            <w:r>
              <w:t>) [95% CI]</w:t>
            </w:r>
          </w:p>
        </w:tc>
        <w:tc>
          <w:tcPr>
            <w:tcW w:w="410" w:type="pct"/>
          </w:tcPr>
          <w:p w:rsidR="007E520C" w:rsidRPr="00983509" w:rsidRDefault="007E520C" w:rsidP="00261ED8">
            <w:pPr>
              <w:pStyle w:val="Tabletext"/>
              <w:keepNext/>
              <w:keepLines/>
              <w:ind w:left="-110" w:right="-103"/>
              <w:jc w:val="center"/>
              <w:rPr>
                <w:rFonts w:cstheme="minorHAnsi"/>
                <w:szCs w:val="20"/>
                <w:lang w:val="en-GB"/>
              </w:rPr>
            </w:pPr>
            <w:r w:rsidRPr="00983509">
              <w:t>NR</w:t>
            </w:r>
          </w:p>
        </w:tc>
        <w:tc>
          <w:tcPr>
            <w:tcW w:w="413" w:type="pct"/>
          </w:tcPr>
          <w:p w:rsidR="007E520C" w:rsidRPr="00983509" w:rsidRDefault="007E520C" w:rsidP="00261ED8">
            <w:pPr>
              <w:pStyle w:val="Tabletext"/>
              <w:keepNext/>
              <w:keepLines/>
              <w:ind w:left="-110" w:right="-103"/>
              <w:jc w:val="center"/>
              <w:rPr>
                <w:rFonts w:cstheme="minorHAnsi"/>
                <w:szCs w:val="20"/>
                <w:lang w:val="en-GB"/>
              </w:rPr>
            </w:pPr>
            <w:r w:rsidRPr="00983509">
              <w:t>NR</w:t>
            </w:r>
          </w:p>
        </w:tc>
        <w:tc>
          <w:tcPr>
            <w:tcW w:w="410" w:type="pct"/>
          </w:tcPr>
          <w:p w:rsidR="007E520C" w:rsidRPr="00987F0E" w:rsidRDefault="007E520C" w:rsidP="00261ED8">
            <w:pPr>
              <w:pStyle w:val="Tabletext"/>
              <w:keepNext/>
              <w:keepLines/>
              <w:ind w:left="-110" w:right="-103"/>
              <w:jc w:val="center"/>
              <w:rPr>
                <w:rFonts w:cstheme="minorHAnsi"/>
                <w:szCs w:val="20"/>
                <w:lang w:val="en-GB"/>
              </w:rPr>
            </w:pPr>
            <w:r w:rsidRPr="00987F0E">
              <w:rPr>
                <w:rFonts w:cstheme="minorHAnsi"/>
                <w:szCs w:val="20"/>
                <w:lang w:val="en-GB"/>
              </w:rPr>
              <w:t>-3.73 (10.1)</w:t>
            </w:r>
            <w:r w:rsidRPr="00987F0E">
              <w:rPr>
                <w:rFonts w:cstheme="minorHAnsi"/>
                <w:szCs w:val="20"/>
                <w:lang w:val="en-GB"/>
              </w:rPr>
              <w:br/>
            </w:r>
            <w:r w:rsidRPr="00987F0E">
              <w:rPr>
                <w:rFonts w:cstheme="minorHAnsi"/>
                <w:iCs/>
                <w:szCs w:val="20"/>
                <w:lang w:val="en-GB"/>
              </w:rPr>
              <w:t>[-4.2, -3.3]</w:t>
            </w:r>
          </w:p>
        </w:tc>
        <w:tc>
          <w:tcPr>
            <w:tcW w:w="410" w:type="pct"/>
          </w:tcPr>
          <w:p w:rsidR="007E520C" w:rsidRPr="00987F0E" w:rsidRDefault="007E520C" w:rsidP="00261ED8">
            <w:pPr>
              <w:pStyle w:val="Tabletext"/>
              <w:keepNext/>
              <w:keepLines/>
              <w:ind w:left="-110" w:right="-103"/>
              <w:jc w:val="center"/>
              <w:rPr>
                <w:rFonts w:cstheme="minorHAnsi"/>
                <w:szCs w:val="20"/>
                <w:lang w:val="en-GB"/>
              </w:rPr>
            </w:pPr>
            <w:r w:rsidRPr="00987F0E">
              <w:rPr>
                <w:rFonts w:cstheme="minorHAnsi"/>
                <w:szCs w:val="20"/>
                <w:lang w:val="en-GB"/>
              </w:rPr>
              <w:t>-6.85 (11.3)</w:t>
            </w:r>
            <w:r w:rsidRPr="00987F0E">
              <w:rPr>
                <w:rFonts w:cstheme="minorHAnsi"/>
                <w:szCs w:val="20"/>
                <w:lang w:val="en-GB"/>
              </w:rPr>
              <w:br/>
            </w:r>
            <w:r w:rsidRPr="00987F0E">
              <w:rPr>
                <w:rFonts w:cstheme="minorHAnsi"/>
                <w:iCs/>
                <w:szCs w:val="20"/>
                <w:lang w:val="en-GB"/>
              </w:rPr>
              <w:t>[-7.2, -6.5]</w:t>
            </w:r>
          </w:p>
        </w:tc>
        <w:tc>
          <w:tcPr>
            <w:tcW w:w="410"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 xml:space="preserve">-3.73 (9.9) </w:t>
            </w:r>
            <w:r w:rsidRPr="008803FA">
              <w:rPr>
                <w:rFonts w:cstheme="minorHAnsi"/>
                <w:szCs w:val="20"/>
                <w:lang w:val="en-GB"/>
              </w:rPr>
              <w:br/>
              <w:t>[NR]</w:t>
            </w:r>
          </w:p>
        </w:tc>
        <w:tc>
          <w:tcPr>
            <w:tcW w:w="402"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-7.46 (11.2)</w:t>
            </w:r>
            <w:r w:rsidRPr="008803FA">
              <w:rPr>
                <w:rFonts w:cstheme="minorHAnsi"/>
                <w:szCs w:val="20"/>
                <w:lang w:val="en-GB"/>
              </w:rPr>
              <w:br/>
              <w:t>[NR]</w:t>
            </w:r>
          </w:p>
        </w:tc>
        <w:tc>
          <w:tcPr>
            <w:tcW w:w="418" w:type="pct"/>
          </w:tcPr>
          <w:p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466" w:type="pct"/>
          </w:tcPr>
          <w:p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354" w:type="pct"/>
          </w:tcPr>
          <w:p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404" w:type="pct"/>
          </w:tcPr>
          <w:p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r>
      <w:tr w:rsidR="007E520C" w:rsidTr="00B1196F">
        <w:tc>
          <w:tcPr>
            <w:tcW w:w="903" w:type="pct"/>
          </w:tcPr>
          <w:p w:rsidR="007E520C" w:rsidRPr="00B77FDD" w:rsidRDefault="007E520C" w:rsidP="00261ED8">
            <w:pPr>
              <w:pStyle w:val="Tabletext"/>
              <w:keepNext/>
              <w:keepLines/>
              <w:tabs>
                <w:tab w:val="left" w:pos="147"/>
              </w:tabs>
              <w:ind w:left="-108"/>
              <w:rPr>
                <w:b/>
                <w:bCs/>
              </w:rPr>
            </w:pPr>
            <w:r w:rsidRPr="00B77FDD">
              <w:rPr>
                <w:b/>
                <w:bCs/>
              </w:rPr>
              <w:t>ppFEV</w:t>
            </w:r>
            <w:r w:rsidRPr="00D22252">
              <w:rPr>
                <w:b/>
                <w:bCs/>
                <w:vertAlign w:val="subscript"/>
              </w:rPr>
              <w:t>1</w:t>
            </w:r>
            <w:r w:rsidRPr="00B77FDD">
              <w:rPr>
                <w:b/>
                <w:bCs/>
              </w:rPr>
              <w:t xml:space="preserve"> </w:t>
            </w:r>
            <w:r>
              <w:rPr>
                <w:b/>
                <w:bCs/>
              </w:rPr>
              <w:t>slope</w:t>
            </w:r>
          </w:p>
        </w:tc>
        <w:tc>
          <w:tcPr>
            <w:tcW w:w="410" w:type="pct"/>
          </w:tcPr>
          <w:p w:rsidR="007E520C" w:rsidRPr="00983509" w:rsidRDefault="007E520C" w:rsidP="00261ED8">
            <w:pPr>
              <w:pStyle w:val="Tabletext"/>
              <w:keepNext/>
              <w:keepLines/>
              <w:ind w:left="-110" w:right="-103"/>
              <w:jc w:val="center"/>
              <w:rPr>
                <w:rFonts w:cstheme="minorHAnsi"/>
                <w:szCs w:val="20"/>
                <w:lang w:val="en-GB"/>
              </w:rPr>
            </w:pPr>
            <w:r w:rsidRPr="00983509">
              <w:rPr>
                <w:rFonts w:cstheme="minorHAnsi"/>
                <w:szCs w:val="20"/>
                <w:lang w:val="en-GB"/>
              </w:rPr>
              <w:t>%/year</w:t>
            </w:r>
          </w:p>
        </w:tc>
        <w:tc>
          <w:tcPr>
            <w:tcW w:w="413" w:type="pct"/>
          </w:tcPr>
          <w:p w:rsidR="007E520C" w:rsidRPr="00983509" w:rsidRDefault="007E520C" w:rsidP="00261ED8">
            <w:pPr>
              <w:pStyle w:val="Tabletext"/>
              <w:keepNext/>
              <w:keepLines/>
              <w:ind w:left="-110" w:right="-103"/>
              <w:jc w:val="center"/>
              <w:rPr>
                <w:rFonts w:cstheme="minorHAnsi"/>
                <w:szCs w:val="20"/>
                <w:lang w:val="en-GB"/>
              </w:rPr>
            </w:pPr>
            <w:r w:rsidRPr="00983509">
              <w:rPr>
                <w:rFonts w:cstheme="minorHAnsi"/>
                <w:szCs w:val="20"/>
                <w:lang w:val="en-GB"/>
              </w:rPr>
              <w:t>%/year</w:t>
            </w:r>
          </w:p>
        </w:tc>
        <w:tc>
          <w:tcPr>
            <w:tcW w:w="410"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%/year</w:t>
            </w:r>
          </w:p>
        </w:tc>
        <w:tc>
          <w:tcPr>
            <w:tcW w:w="410"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%/year</w:t>
            </w:r>
          </w:p>
        </w:tc>
        <w:tc>
          <w:tcPr>
            <w:tcW w:w="410"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%/year</w:t>
            </w:r>
          </w:p>
        </w:tc>
        <w:tc>
          <w:tcPr>
            <w:tcW w:w="402"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%/year</w:t>
            </w:r>
          </w:p>
        </w:tc>
        <w:tc>
          <w:tcPr>
            <w:tcW w:w="418" w:type="pct"/>
          </w:tcPr>
          <w:p w:rsidR="007E520C" w:rsidRPr="00035804" w:rsidRDefault="007E520C" w:rsidP="00261ED8">
            <w:pPr>
              <w:pStyle w:val="Tabletext"/>
              <w:keepNext/>
              <w:keepLines/>
              <w:ind w:left="-110" w:right="-103"/>
              <w:jc w:val="center"/>
              <w:rPr>
                <w:rFonts w:cstheme="minorHAnsi"/>
                <w:szCs w:val="20"/>
                <w:lang w:val="en-GB"/>
              </w:rPr>
            </w:pPr>
            <w:r>
              <w:rPr>
                <w:rFonts w:cstheme="minorHAnsi"/>
                <w:szCs w:val="20"/>
                <w:lang w:val="en-GB"/>
              </w:rPr>
              <w:t>%/year</w:t>
            </w:r>
          </w:p>
        </w:tc>
        <w:tc>
          <w:tcPr>
            <w:tcW w:w="466" w:type="pct"/>
          </w:tcPr>
          <w:p w:rsidR="007E520C" w:rsidRPr="00035804" w:rsidRDefault="007E520C" w:rsidP="00261ED8">
            <w:pPr>
              <w:pStyle w:val="Tabletext"/>
              <w:keepNext/>
              <w:keepLines/>
              <w:ind w:left="-110" w:right="-103"/>
              <w:jc w:val="center"/>
              <w:rPr>
                <w:rFonts w:cstheme="minorHAnsi"/>
                <w:szCs w:val="20"/>
                <w:lang w:val="en-GB"/>
              </w:rPr>
            </w:pPr>
            <w:r>
              <w:rPr>
                <w:rFonts w:cstheme="minorHAnsi"/>
                <w:szCs w:val="20"/>
                <w:lang w:val="en-GB"/>
              </w:rPr>
              <w:t>%/year</w:t>
            </w:r>
          </w:p>
        </w:tc>
        <w:tc>
          <w:tcPr>
            <w:tcW w:w="354"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%/month</w:t>
            </w:r>
          </w:p>
        </w:tc>
        <w:tc>
          <w:tcPr>
            <w:tcW w:w="404"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%/month</w:t>
            </w:r>
          </w:p>
        </w:tc>
      </w:tr>
      <w:tr w:rsidR="007E520C" w:rsidTr="00B1196F">
        <w:tc>
          <w:tcPr>
            <w:tcW w:w="903" w:type="pct"/>
          </w:tcPr>
          <w:p w:rsidR="007E520C" w:rsidRDefault="007E520C" w:rsidP="00261ED8">
            <w:pPr>
              <w:pStyle w:val="Tabletext"/>
              <w:keepNext/>
              <w:keepLines/>
              <w:tabs>
                <w:tab w:val="left" w:pos="147"/>
              </w:tabs>
              <w:ind w:left="-108"/>
            </w:pPr>
            <w:r>
              <w:t xml:space="preserve">Annualised change </w:t>
            </w:r>
            <w:r>
              <w:rPr>
                <w:rFonts w:cstheme="minorHAnsi"/>
                <w:szCs w:val="20"/>
                <w:lang w:val="en-GB"/>
              </w:rPr>
              <w:t>ppFEV</w:t>
            </w:r>
            <w:r w:rsidRPr="00D22252">
              <w:rPr>
                <w:rFonts w:cstheme="minorHAnsi"/>
                <w:szCs w:val="20"/>
                <w:vertAlign w:val="subscript"/>
                <w:lang w:val="en-GB"/>
              </w:rPr>
              <w:t>1</w:t>
            </w:r>
            <w:r>
              <w:t>, mean (</w:t>
            </w:r>
            <w:proofErr w:type="spellStart"/>
            <w:r>
              <w:t>sd</w:t>
            </w:r>
            <w:proofErr w:type="spellEnd"/>
            <w:r>
              <w:t>) (95% CI)</w:t>
            </w:r>
            <w:r>
              <w:rPr>
                <w:rFonts w:cstheme="minorHAnsi"/>
                <w:szCs w:val="20"/>
                <w:lang w:val="en-GB"/>
              </w:rPr>
              <w:t xml:space="preserve"> </w:t>
            </w:r>
          </w:p>
        </w:tc>
        <w:tc>
          <w:tcPr>
            <w:tcW w:w="410" w:type="pct"/>
          </w:tcPr>
          <w:p w:rsidR="007E520C" w:rsidRPr="00983509" w:rsidRDefault="007E520C" w:rsidP="00261ED8">
            <w:pPr>
              <w:pStyle w:val="Tabletext"/>
              <w:keepNext/>
              <w:keepLines/>
              <w:ind w:left="-110" w:right="-66"/>
              <w:jc w:val="center"/>
              <w:rPr>
                <w:rFonts w:cstheme="minorHAnsi"/>
                <w:iCs/>
                <w:szCs w:val="20"/>
                <w:lang w:val="en-GB"/>
              </w:rPr>
            </w:pPr>
            <w:r w:rsidRPr="00983509">
              <w:rPr>
                <w:rFonts w:cstheme="minorHAnsi"/>
                <w:iCs/>
                <w:szCs w:val="20"/>
                <w:lang w:val="en-GB"/>
              </w:rPr>
              <w:t>-1.33</w:t>
            </w:r>
            <w:r w:rsidRPr="00983509">
              <w:rPr>
                <w:rFonts w:cstheme="minorHAnsi"/>
                <w:iCs/>
                <w:szCs w:val="20"/>
                <w:lang w:val="en-GB"/>
              </w:rPr>
              <w:br/>
              <w:t xml:space="preserve"> (-1.80, </w:t>
            </w:r>
            <w:r w:rsidRPr="00983509">
              <w:rPr>
                <w:rFonts w:cstheme="minorHAnsi"/>
                <w:iCs/>
                <w:szCs w:val="20"/>
                <w:lang w:val="en-GB"/>
              </w:rPr>
              <w:br/>
              <w:t>-0.85)</w:t>
            </w:r>
          </w:p>
        </w:tc>
        <w:tc>
          <w:tcPr>
            <w:tcW w:w="413" w:type="pct"/>
          </w:tcPr>
          <w:p w:rsidR="007E520C" w:rsidRPr="00983509" w:rsidRDefault="007E520C" w:rsidP="00261ED8">
            <w:pPr>
              <w:pStyle w:val="Tabletext"/>
              <w:keepNext/>
              <w:keepLines/>
              <w:ind w:left="-110" w:right="-66"/>
              <w:jc w:val="center"/>
              <w:rPr>
                <w:rFonts w:cstheme="minorHAnsi"/>
                <w:iCs/>
                <w:szCs w:val="20"/>
                <w:lang w:val="en-GB"/>
              </w:rPr>
            </w:pPr>
            <w:r w:rsidRPr="00983509">
              <w:rPr>
                <w:rFonts w:cstheme="minorHAnsi"/>
                <w:iCs/>
                <w:szCs w:val="20"/>
                <w:lang w:val="en-GB"/>
              </w:rPr>
              <w:t xml:space="preserve">-2.29 </w:t>
            </w:r>
            <w:r w:rsidRPr="00983509">
              <w:rPr>
                <w:rFonts w:cstheme="minorHAnsi"/>
                <w:iCs/>
                <w:szCs w:val="20"/>
                <w:lang w:val="en-GB"/>
              </w:rPr>
              <w:br/>
              <w:t>(-2.56, -2.03)</w:t>
            </w:r>
          </w:p>
        </w:tc>
        <w:tc>
          <w:tcPr>
            <w:tcW w:w="410" w:type="pct"/>
          </w:tcPr>
          <w:p w:rsidR="007E520C" w:rsidRPr="00987F0E" w:rsidRDefault="007E520C" w:rsidP="00261ED8">
            <w:pPr>
              <w:pStyle w:val="Tabletext"/>
              <w:keepNext/>
              <w:keepLines/>
              <w:ind w:left="-110" w:right="-103"/>
              <w:jc w:val="center"/>
              <w:rPr>
                <w:rFonts w:cstheme="minorHAnsi"/>
                <w:iCs/>
                <w:szCs w:val="20"/>
                <w:lang w:val="en-GB"/>
              </w:rPr>
            </w:pPr>
            <w:r w:rsidRPr="00987F0E">
              <w:rPr>
                <w:rFonts w:cstheme="minorHAnsi"/>
                <w:iCs/>
                <w:szCs w:val="20"/>
                <w:lang w:val="en-GB"/>
              </w:rPr>
              <w:t xml:space="preserve">-0.93 </w:t>
            </w:r>
            <w:r w:rsidRPr="00987F0E">
              <w:rPr>
                <w:rFonts w:cstheme="minorHAnsi"/>
                <w:iCs/>
                <w:szCs w:val="20"/>
                <w:vertAlign w:val="superscript"/>
                <w:lang w:val="en-GB"/>
              </w:rPr>
              <w:t>c</w:t>
            </w:r>
          </w:p>
        </w:tc>
        <w:tc>
          <w:tcPr>
            <w:tcW w:w="410" w:type="pct"/>
          </w:tcPr>
          <w:p w:rsidR="007E520C" w:rsidRPr="00987F0E" w:rsidRDefault="007E520C" w:rsidP="00261ED8">
            <w:pPr>
              <w:pStyle w:val="Tabletext"/>
              <w:keepNext/>
              <w:keepLines/>
              <w:ind w:left="-110" w:right="-103"/>
              <w:jc w:val="center"/>
              <w:rPr>
                <w:rFonts w:cstheme="minorHAnsi"/>
                <w:iCs/>
                <w:szCs w:val="20"/>
                <w:lang w:val="en-GB"/>
              </w:rPr>
            </w:pPr>
            <w:r w:rsidRPr="00987F0E">
              <w:rPr>
                <w:rFonts w:cstheme="minorHAnsi"/>
                <w:iCs/>
                <w:szCs w:val="20"/>
                <w:lang w:val="en-GB"/>
              </w:rPr>
              <w:t>-1.71</w:t>
            </w:r>
            <w:r w:rsidRPr="00987F0E">
              <w:rPr>
                <w:rFonts w:cstheme="minorHAnsi"/>
                <w:iCs/>
                <w:szCs w:val="20"/>
                <w:vertAlign w:val="superscript"/>
                <w:lang w:val="en-GB"/>
              </w:rPr>
              <w:t xml:space="preserve"> c</w:t>
            </w:r>
          </w:p>
        </w:tc>
        <w:tc>
          <w:tcPr>
            <w:tcW w:w="410" w:type="pct"/>
          </w:tcPr>
          <w:p w:rsidR="007E520C" w:rsidRPr="00987F0E" w:rsidRDefault="007E520C" w:rsidP="00261ED8">
            <w:pPr>
              <w:pStyle w:val="Tabletext"/>
              <w:keepNext/>
              <w:keepLines/>
              <w:ind w:left="-110" w:right="-103"/>
              <w:jc w:val="center"/>
              <w:rPr>
                <w:rFonts w:cstheme="minorHAnsi"/>
                <w:szCs w:val="20"/>
                <w:lang w:val="en-GB"/>
              </w:rPr>
            </w:pPr>
            <w:r w:rsidRPr="00987F0E">
              <w:rPr>
                <w:rFonts w:cstheme="minorHAnsi"/>
                <w:szCs w:val="20"/>
                <w:lang w:val="en-GB"/>
              </w:rPr>
              <w:t>-0.93</w:t>
            </w:r>
            <w:r w:rsidRPr="00987F0E">
              <w:rPr>
                <w:rFonts w:cstheme="minorHAnsi"/>
                <w:iCs/>
                <w:szCs w:val="20"/>
                <w:vertAlign w:val="superscript"/>
                <w:lang w:val="en-GB"/>
              </w:rPr>
              <w:t xml:space="preserve"> c</w:t>
            </w:r>
          </w:p>
        </w:tc>
        <w:tc>
          <w:tcPr>
            <w:tcW w:w="402" w:type="pct"/>
          </w:tcPr>
          <w:p w:rsidR="007E520C" w:rsidRPr="008803FA" w:rsidRDefault="007E520C" w:rsidP="00261ED8">
            <w:pPr>
              <w:pStyle w:val="Tabletext"/>
              <w:keepNext/>
              <w:keepLines/>
              <w:ind w:left="-110" w:right="-103"/>
              <w:jc w:val="center"/>
              <w:rPr>
                <w:rFonts w:cstheme="minorHAnsi"/>
                <w:szCs w:val="20"/>
                <w:lang w:val="en-GB"/>
              </w:rPr>
            </w:pPr>
            <w:r w:rsidRPr="008803FA">
              <w:rPr>
                <w:szCs w:val="20"/>
              </w:rPr>
              <w:t xml:space="preserve">-1.87 </w:t>
            </w:r>
            <w:r w:rsidRPr="008803FA">
              <w:rPr>
                <w:rFonts w:cstheme="minorHAnsi"/>
                <w:i/>
                <w:iCs/>
                <w:szCs w:val="20"/>
                <w:vertAlign w:val="superscript"/>
                <w:lang w:val="en-GB"/>
              </w:rPr>
              <w:t>c</w:t>
            </w:r>
          </w:p>
        </w:tc>
        <w:tc>
          <w:tcPr>
            <w:tcW w:w="418" w:type="pct"/>
          </w:tcPr>
          <w:p w:rsidR="007E520C" w:rsidRPr="008803FA" w:rsidRDefault="007E520C" w:rsidP="00261ED8">
            <w:pPr>
              <w:pStyle w:val="Tabletext"/>
              <w:keepNext/>
              <w:keepLines/>
              <w:ind w:left="-110" w:right="-103"/>
              <w:jc w:val="center"/>
              <w:rPr>
                <w:szCs w:val="20"/>
              </w:rPr>
            </w:pPr>
            <w:r w:rsidRPr="008803FA">
              <w:rPr>
                <w:szCs w:val="20"/>
              </w:rPr>
              <w:t xml:space="preserve">-0.80 </w:t>
            </w:r>
            <w:r w:rsidRPr="008803FA">
              <w:rPr>
                <w:szCs w:val="20"/>
              </w:rPr>
              <w:br/>
              <w:t xml:space="preserve">(-1.31, </w:t>
            </w:r>
            <w:r>
              <w:rPr>
                <w:szCs w:val="20"/>
              </w:rPr>
              <w:br/>
            </w:r>
            <w:r w:rsidRPr="008803FA">
              <w:rPr>
                <w:szCs w:val="20"/>
              </w:rPr>
              <w:t>-0.30)</w:t>
            </w:r>
            <w:r w:rsidRPr="008803FA">
              <w:rPr>
                <w:rFonts w:cstheme="minorHAnsi"/>
                <w:szCs w:val="20"/>
                <w:lang w:val="en-GB"/>
              </w:rPr>
              <w:t xml:space="preserve"> </w:t>
            </w:r>
          </w:p>
        </w:tc>
        <w:tc>
          <w:tcPr>
            <w:tcW w:w="466" w:type="pct"/>
          </w:tcPr>
          <w:p w:rsidR="007E520C" w:rsidRPr="008803FA" w:rsidRDefault="007E520C" w:rsidP="00261ED8">
            <w:pPr>
              <w:pStyle w:val="Tabletext"/>
              <w:keepNext/>
              <w:keepLines/>
              <w:ind w:left="-110" w:right="-103"/>
              <w:jc w:val="center"/>
              <w:rPr>
                <w:szCs w:val="20"/>
              </w:rPr>
            </w:pPr>
            <w:r w:rsidRPr="008803FA">
              <w:rPr>
                <w:rFonts w:cstheme="minorHAnsi"/>
                <w:szCs w:val="20"/>
                <w:lang w:val="en-GB"/>
              </w:rPr>
              <w:t xml:space="preserve">-2.08 </w:t>
            </w:r>
            <w:r w:rsidRPr="008803FA">
              <w:rPr>
                <w:rFonts w:cstheme="minorHAnsi"/>
                <w:szCs w:val="20"/>
                <w:lang w:val="en-GB"/>
              </w:rPr>
              <w:br/>
              <w:t xml:space="preserve">(-2.34, </w:t>
            </w:r>
            <w:r>
              <w:rPr>
                <w:rFonts w:cstheme="minorHAnsi"/>
                <w:szCs w:val="20"/>
                <w:lang w:val="en-GB"/>
              </w:rPr>
              <w:br/>
            </w:r>
            <w:r w:rsidRPr="008803FA">
              <w:rPr>
                <w:rFonts w:cstheme="minorHAnsi"/>
                <w:szCs w:val="20"/>
                <w:lang w:val="en-GB"/>
              </w:rPr>
              <w:t>-1.82)</w:t>
            </w:r>
          </w:p>
        </w:tc>
        <w:tc>
          <w:tcPr>
            <w:tcW w:w="354" w:type="pct"/>
          </w:tcPr>
          <w:p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 xml:space="preserve">0.107 </w:t>
            </w:r>
          </w:p>
          <w:p w:rsidR="007E520C" w:rsidRPr="008803FA" w:rsidRDefault="007E520C" w:rsidP="00261ED8">
            <w:pPr>
              <w:pStyle w:val="Tabletext"/>
              <w:keepNext/>
              <w:keepLines/>
              <w:ind w:left="-110" w:right="-103"/>
              <w:jc w:val="center"/>
              <w:rPr>
                <w:szCs w:val="20"/>
              </w:rPr>
            </w:pPr>
            <w:r w:rsidRPr="008803FA">
              <w:rPr>
                <w:rFonts w:cstheme="minorHAnsi"/>
                <w:szCs w:val="20"/>
                <w:lang w:val="en-GB"/>
              </w:rPr>
              <w:t>(−0.074, 0.288)</w:t>
            </w:r>
          </w:p>
        </w:tc>
        <w:tc>
          <w:tcPr>
            <w:tcW w:w="404" w:type="pct"/>
          </w:tcPr>
          <w:p w:rsidR="007E520C" w:rsidRPr="008803FA" w:rsidRDefault="007E520C" w:rsidP="00261ED8">
            <w:pPr>
              <w:pStyle w:val="Tabletext"/>
              <w:keepNext/>
              <w:keepLines/>
              <w:ind w:left="-110" w:right="-103"/>
              <w:jc w:val="center"/>
              <w:rPr>
                <w:szCs w:val="20"/>
              </w:rPr>
            </w:pPr>
            <w:r w:rsidRPr="008803FA">
              <w:rPr>
                <w:szCs w:val="20"/>
              </w:rPr>
              <w:t>−0.379 (−0.646, 0.105)</w:t>
            </w:r>
          </w:p>
        </w:tc>
      </w:tr>
      <w:tr w:rsidR="00EA270E" w:rsidTr="00B1196F">
        <w:tc>
          <w:tcPr>
            <w:tcW w:w="903" w:type="pct"/>
          </w:tcPr>
          <w:p w:rsidR="00EA270E" w:rsidRDefault="00EA270E" w:rsidP="00261ED8">
            <w:pPr>
              <w:pStyle w:val="Tabletext"/>
              <w:keepNext/>
              <w:keepLines/>
              <w:tabs>
                <w:tab w:val="left" w:pos="147"/>
              </w:tabs>
              <w:ind w:left="-108"/>
            </w:pPr>
            <w:r>
              <w:t>ppFEV</w:t>
            </w:r>
            <w:r w:rsidRPr="00D22252">
              <w:rPr>
                <w:vertAlign w:val="subscript"/>
              </w:rPr>
              <w:t>1</w:t>
            </w:r>
            <w:r>
              <w:t xml:space="preserve"> </w:t>
            </w:r>
            <w:proofErr w:type="spellStart"/>
            <w:r>
              <w:t>rROD</w:t>
            </w:r>
            <w:proofErr w:type="spellEnd"/>
          </w:p>
        </w:tc>
        <w:tc>
          <w:tcPr>
            <w:tcW w:w="823" w:type="pct"/>
            <w:gridSpan w:val="2"/>
          </w:tcPr>
          <w:p w:rsidR="00EA270E" w:rsidRPr="00983509" w:rsidRDefault="00EA270E" w:rsidP="00261ED8">
            <w:pPr>
              <w:pStyle w:val="Tabletext"/>
              <w:keepNext/>
              <w:keepLines/>
              <w:ind w:left="-110" w:right="-103"/>
              <w:jc w:val="center"/>
              <w:rPr>
                <w:rFonts w:cstheme="minorHAnsi"/>
                <w:szCs w:val="20"/>
                <w:highlight w:val="red"/>
                <w:lang w:val="en-GB"/>
              </w:rPr>
            </w:pPr>
            <w:r w:rsidRPr="00983509">
              <w:rPr>
                <w:rFonts w:cstheme="minorHAnsi"/>
                <w:iCs/>
                <w:szCs w:val="20"/>
                <w:lang w:val="en-GB"/>
              </w:rPr>
              <w:t>41.9%</w:t>
            </w:r>
          </w:p>
        </w:tc>
        <w:tc>
          <w:tcPr>
            <w:tcW w:w="820" w:type="pct"/>
            <w:gridSpan w:val="2"/>
          </w:tcPr>
          <w:p w:rsidR="00EA270E" w:rsidRPr="00987F0E" w:rsidRDefault="00EA270E" w:rsidP="00261ED8">
            <w:pPr>
              <w:pStyle w:val="Tabletext"/>
              <w:keepNext/>
              <w:keepLines/>
              <w:ind w:left="-110" w:right="-103"/>
              <w:jc w:val="center"/>
              <w:rPr>
                <w:rFonts w:cstheme="minorHAnsi"/>
                <w:szCs w:val="20"/>
                <w:lang w:val="en-GB"/>
              </w:rPr>
            </w:pPr>
            <w:r w:rsidRPr="00987F0E">
              <w:rPr>
                <w:rFonts w:cstheme="minorHAnsi"/>
                <w:iCs/>
                <w:szCs w:val="20"/>
                <w:lang w:val="en-GB"/>
              </w:rPr>
              <w:t>45.6%</w:t>
            </w:r>
            <w:r w:rsidRPr="00987F0E">
              <w:rPr>
                <w:rFonts w:cstheme="minorHAnsi"/>
                <w:iCs/>
                <w:szCs w:val="20"/>
                <w:vertAlign w:val="superscript"/>
                <w:lang w:val="en-GB"/>
              </w:rPr>
              <w:t>d</w:t>
            </w:r>
          </w:p>
        </w:tc>
        <w:tc>
          <w:tcPr>
            <w:tcW w:w="812" w:type="pct"/>
            <w:gridSpan w:val="2"/>
          </w:tcPr>
          <w:p w:rsidR="00EA270E" w:rsidRPr="00987F0E" w:rsidRDefault="00EA270E" w:rsidP="00261ED8">
            <w:pPr>
              <w:pStyle w:val="Tabletext"/>
              <w:keepNext/>
              <w:keepLines/>
              <w:ind w:left="-110" w:right="-103"/>
              <w:jc w:val="center"/>
              <w:rPr>
                <w:rFonts w:cstheme="minorHAnsi"/>
                <w:szCs w:val="20"/>
                <w:lang w:val="en-GB"/>
              </w:rPr>
            </w:pPr>
            <w:r w:rsidRPr="00987F0E">
              <w:rPr>
                <w:rFonts w:cstheme="minorHAnsi"/>
                <w:iCs/>
                <w:szCs w:val="20"/>
                <w:lang w:val="en-GB"/>
              </w:rPr>
              <w:t>50.3%</w:t>
            </w:r>
            <w:r w:rsidRPr="00987F0E">
              <w:rPr>
                <w:rFonts w:cstheme="minorHAnsi"/>
                <w:iCs/>
                <w:szCs w:val="20"/>
                <w:vertAlign w:val="superscript"/>
                <w:lang w:val="en-GB"/>
              </w:rPr>
              <w:t>e</w:t>
            </w:r>
          </w:p>
        </w:tc>
        <w:tc>
          <w:tcPr>
            <w:tcW w:w="884" w:type="pct"/>
            <w:gridSpan w:val="2"/>
          </w:tcPr>
          <w:p w:rsidR="00EA270E" w:rsidRPr="00035804" w:rsidRDefault="00EA270E" w:rsidP="00261ED8">
            <w:pPr>
              <w:pStyle w:val="Tabletext"/>
              <w:keepNext/>
              <w:keepLines/>
              <w:ind w:left="-110" w:right="-103"/>
              <w:jc w:val="center"/>
              <w:rPr>
                <w:rFonts w:cstheme="minorHAnsi"/>
                <w:szCs w:val="20"/>
                <w:lang w:val="en-GB"/>
              </w:rPr>
            </w:pPr>
            <w:r w:rsidRPr="00667456">
              <w:rPr>
                <w:rFonts w:cstheme="minorHAnsi"/>
                <w:szCs w:val="20"/>
                <w:lang w:val="en-GB"/>
              </w:rPr>
              <w:t>61.5%</w:t>
            </w:r>
          </w:p>
        </w:tc>
        <w:tc>
          <w:tcPr>
            <w:tcW w:w="758" w:type="pct"/>
            <w:gridSpan w:val="2"/>
          </w:tcPr>
          <w:p w:rsidR="00EA270E" w:rsidRPr="00035804" w:rsidRDefault="002C1170" w:rsidP="00261ED8">
            <w:pPr>
              <w:pStyle w:val="Tabletext"/>
              <w:keepNext/>
              <w:keepLines/>
              <w:ind w:left="-110" w:right="-103"/>
              <w:jc w:val="center"/>
              <w:rPr>
                <w:rFonts w:cstheme="minorHAnsi"/>
                <w:szCs w:val="20"/>
                <w:lang w:val="en-GB"/>
              </w:rPr>
            </w:pPr>
            <w:r>
              <w:rPr>
                <w:rFonts w:cstheme="minorHAnsi"/>
                <w:szCs w:val="20"/>
                <w:lang w:val="en-GB"/>
              </w:rPr>
              <w:t>&gt;100%</w:t>
            </w:r>
          </w:p>
        </w:tc>
      </w:tr>
    </w:tbl>
    <w:p w:rsidR="007E520C" w:rsidRPr="00AB1B0D" w:rsidRDefault="007E520C" w:rsidP="00261ED8">
      <w:pPr>
        <w:pStyle w:val="TableFooter"/>
        <w:keepNext/>
        <w:keepLines/>
        <w:rPr>
          <w:iCs/>
        </w:rPr>
      </w:pPr>
      <w:r w:rsidRPr="007C64A5">
        <w:t>Source: Table 2.5.1 of the Commentary.</w:t>
      </w:r>
      <w:r w:rsidR="000A4FBA">
        <w:t xml:space="preserve"> </w:t>
      </w:r>
    </w:p>
    <w:p w:rsidR="007E520C" w:rsidRPr="00AB1B0D" w:rsidRDefault="007E520C" w:rsidP="00261ED8">
      <w:pPr>
        <w:pStyle w:val="TableFigureFooter"/>
        <w:keepNext/>
        <w:keepLines/>
        <w:spacing w:after="0"/>
        <w:rPr>
          <w:iCs/>
        </w:rPr>
      </w:pPr>
      <w:r w:rsidRPr="00AB1B0D">
        <w:t xml:space="preserve">a </w:t>
      </w:r>
      <w:r w:rsidR="00F10B62" w:rsidRPr="00AB1B0D">
        <w:t>Flume 2021</w:t>
      </w:r>
      <w:r w:rsidRPr="00AB1B0D">
        <w:t xml:space="preserve">: Demographics presented in Flume 2021 for the controls represents the weighted sample size of the historical control group using the inverse of the number of controls in each matched set to account for one-to-many matching used in the analysis. </w:t>
      </w:r>
      <w:r w:rsidRPr="00AB1B0D">
        <w:rPr>
          <w:iCs/>
        </w:rPr>
        <w:t xml:space="preserve">These are only relative values and not absolute values. </w:t>
      </w:r>
      <w:r w:rsidR="00920E95" w:rsidRPr="00AB1B0D">
        <w:rPr>
          <w:iCs/>
        </w:rPr>
        <w:t>This is</w:t>
      </w:r>
      <w:r w:rsidRPr="00AB1B0D">
        <w:rPr>
          <w:iCs/>
        </w:rPr>
        <w:t xml:space="preserve"> </w:t>
      </w:r>
      <w:r w:rsidR="00920E95" w:rsidRPr="00AB1B0D">
        <w:rPr>
          <w:iCs/>
        </w:rPr>
        <w:t>r</w:t>
      </w:r>
      <w:r w:rsidR="00B903DE" w:rsidRPr="00AB1B0D">
        <w:rPr>
          <w:iCs/>
        </w:rPr>
        <w:t xml:space="preserve">eported </w:t>
      </w:r>
      <w:r w:rsidR="00920E95" w:rsidRPr="00AB1B0D">
        <w:rPr>
          <w:iCs/>
        </w:rPr>
        <w:t>in the column heading as N=</w:t>
      </w:r>
      <w:r w:rsidR="00920E95" w:rsidRPr="00AB1B0D">
        <w:rPr>
          <w:iCs/>
          <w:sz w:val="20"/>
        </w:rPr>
        <w:t>407</w:t>
      </w:r>
      <w:r w:rsidR="00920E95" w:rsidRPr="00AB1B0D">
        <w:rPr>
          <w:iCs/>
          <w:sz w:val="20"/>
          <w:vertAlign w:val="subscript"/>
        </w:rPr>
        <w:t>w/</w:t>
      </w:r>
      <w:r w:rsidR="00920E95" w:rsidRPr="00AB1B0D">
        <w:rPr>
          <w:iCs/>
          <w:sz w:val="20"/>
        </w:rPr>
        <w:t xml:space="preserve"> 1</w:t>
      </w:r>
      <w:r w:rsidR="00920E95" w:rsidRPr="00AB1B0D">
        <w:rPr>
          <w:iCs/>
        </w:rPr>
        <w:t>,383.</w:t>
      </w:r>
    </w:p>
    <w:p w:rsidR="007E520C" w:rsidRPr="00AB1B0D" w:rsidRDefault="007E520C" w:rsidP="00261ED8">
      <w:pPr>
        <w:pStyle w:val="TableFooter"/>
        <w:keepNext/>
        <w:keepLines/>
      </w:pPr>
      <w:proofErr w:type="gramStart"/>
      <w:r w:rsidRPr="00AB1B0D">
        <w:t>b</w:t>
      </w:r>
      <w:proofErr w:type="gramEnd"/>
      <w:r w:rsidRPr="00AB1B0D">
        <w:t xml:space="preserve"> The PASS 108 CSR reported results in two age groups: ages ≥ 12 and &lt;18; and age≥18. Results for </w:t>
      </w:r>
      <w:proofErr w:type="gramStart"/>
      <w:r w:rsidRPr="00AB1B0D">
        <w:t>patients</w:t>
      </w:r>
      <w:proofErr w:type="gramEnd"/>
      <w:r w:rsidRPr="00AB1B0D">
        <w:t xml:space="preserve"> ≥ 12 years for PASS 108 were calculated by the submission using a weighted average of the number of patients in the two age groups; Footnote of Table for PASS 108 states that Demographic data for patients aged ≥12 years were not reported in US CFFR IA3 tables. These were obtained by ad hoc data request, Obj3_Table 1.0 and 1.1, dated 25/09/2020, Data on File. Some data could not be verified during the evaluation. </w:t>
      </w:r>
    </w:p>
    <w:p w:rsidR="007E520C" w:rsidRPr="00AB1B0D" w:rsidRDefault="007E520C" w:rsidP="00261ED8">
      <w:pPr>
        <w:pStyle w:val="TableFooter"/>
        <w:keepNext/>
        <w:keepLines/>
        <w:rPr>
          <w:iCs/>
        </w:rPr>
      </w:pPr>
      <w:proofErr w:type="gramStart"/>
      <w:r w:rsidRPr="00AB1B0D">
        <w:t>c</w:t>
      </w:r>
      <w:proofErr w:type="gramEnd"/>
      <w:r w:rsidRPr="00AB1B0D">
        <w:t xml:space="preserve"> Submission calculation (annualised change from 2014 to 2018: LUMA/IVA, -3.73 / 4 (years) = -0.93; Control, -7.46 / 4 (years) = -1.87. </w:t>
      </w:r>
      <w:r w:rsidRPr="00AB1B0D">
        <w:rPr>
          <w:iCs/>
        </w:rPr>
        <w:t>During the evaluation similar calculations were applied to the subgroup of patients aged ≥ 6 years: LUMA/IVA, -3.73 / 4 years = -0.93, Control, -6.85 / 4 years = -1.71.</w:t>
      </w:r>
      <w:r w:rsidR="000A4FBA">
        <w:rPr>
          <w:iCs/>
        </w:rPr>
        <w:t xml:space="preserve"> </w:t>
      </w:r>
    </w:p>
    <w:p w:rsidR="00E36D9B" w:rsidRPr="00AB1B0D" w:rsidRDefault="007E520C" w:rsidP="00261ED8">
      <w:pPr>
        <w:pStyle w:val="TableFooter"/>
        <w:keepNext/>
        <w:keepLines/>
        <w:rPr>
          <w:iCs/>
        </w:rPr>
      </w:pPr>
      <w:proofErr w:type="gramStart"/>
      <w:r w:rsidRPr="00AB1B0D">
        <w:rPr>
          <w:iCs/>
        </w:rPr>
        <w:t>d</w:t>
      </w:r>
      <w:proofErr w:type="gramEnd"/>
      <w:r w:rsidRPr="00AB1B0D">
        <w:rPr>
          <w:iCs/>
        </w:rPr>
        <w:t xml:space="preserve"> Calculated during evaluation:</w:t>
      </w:r>
      <w:r w:rsidR="002C1170">
        <w:rPr>
          <w:iCs/>
        </w:rPr>
        <w:t>(</w:t>
      </w:r>
      <w:r w:rsidRPr="00AB1B0D">
        <w:rPr>
          <w:iCs/>
        </w:rPr>
        <w:t>-1.71</w:t>
      </w:r>
      <w:r w:rsidR="002C1170">
        <w:rPr>
          <w:iCs/>
        </w:rPr>
        <w:t>-</w:t>
      </w:r>
      <w:r w:rsidRPr="00AB1B0D">
        <w:rPr>
          <w:iCs/>
        </w:rPr>
        <w:t>-0.93</w:t>
      </w:r>
      <w:r w:rsidR="002C1170">
        <w:rPr>
          <w:iCs/>
        </w:rPr>
        <w:t>)</w:t>
      </w:r>
      <w:r w:rsidRPr="00AB1B0D">
        <w:rPr>
          <w:iCs/>
        </w:rPr>
        <w:t>/-1.71</w:t>
      </w:r>
      <w:r w:rsidR="007C64A5">
        <w:rPr>
          <w:iCs/>
        </w:rPr>
        <w:t>)</w:t>
      </w:r>
    </w:p>
    <w:p w:rsidR="007E520C" w:rsidRPr="00AB1B0D" w:rsidRDefault="007E520C" w:rsidP="00261ED8">
      <w:pPr>
        <w:pStyle w:val="TableFooter"/>
        <w:keepNext/>
        <w:keepLines/>
        <w:rPr>
          <w:iCs/>
        </w:rPr>
      </w:pPr>
      <w:proofErr w:type="gramStart"/>
      <w:r w:rsidRPr="00AB1B0D">
        <w:rPr>
          <w:iCs/>
        </w:rPr>
        <w:t>e</w:t>
      </w:r>
      <w:proofErr w:type="gramEnd"/>
      <w:r w:rsidRPr="00AB1B0D">
        <w:rPr>
          <w:iCs/>
        </w:rPr>
        <w:t xml:space="preserve"> Reported in submission as 50.1%; correct</w:t>
      </w:r>
      <w:r w:rsidR="00E50605" w:rsidRPr="00AB1B0D">
        <w:rPr>
          <w:iCs/>
        </w:rPr>
        <w:t>ed</w:t>
      </w:r>
      <w:r w:rsidRPr="00AB1B0D">
        <w:rPr>
          <w:iCs/>
        </w:rPr>
        <w:t xml:space="preserve"> during evaluation to 50.3% (calculation: [-1.87/-0.93]/-1.87))</w:t>
      </w:r>
    </w:p>
    <w:p w:rsidR="00BF59AC" w:rsidRPr="00AB1B0D" w:rsidRDefault="007E520C" w:rsidP="00A30455">
      <w:pPr>
        <w:pStyle w:val="TableFooter"/>
        <w:jc w:val="left"/>
      </w:pPr>
      <w:r w:rsidRPr="00AB1B0D">
        <w:t>Abbreviations: CI=confidence interval; N=number; p=probability; LUMA/IVA=lumacaftor/ivacaftor; ppFEV</w:t>
      </w:r>
      <w:r w:rsidRPr="00AB1B0D">
        <w:rPr>
          <w:vertAlign w:val="subscript"/>
        </w:rPr>
        <w:t>1</w:t>
      </w:r>
      <w:r w:rsidRPr="00AB1B0D">
        <w:t xml:space="preserve">=percent predicted forced expiratory volume in one second; </w:t>
      </w:r>
      <w:proofErr w:type="spellStart"/>
      <w:proofErr w:type="gramStart"/>
      <w:r w:rsidRPr="00AB1B0D">
        <w:t>sd</w:t>
      </w:r>
      <w:proofErr w:type="spellEnd"/>
      <w:r w:rsidRPr="00AB1B0D">
        <w:t>=</w:t>
      </w:r>
      <w:proofErr w:type="gramEnd"/>
      <w:r w:rsidRPr="00AB1B0D">
        <w:t xml:space="preserve">standard deviation; </w:t>
      </w:r>
      <w:proofErr w:type="spellStart"/>
      <w:r w:rsidRPr="00AB1B0D">
        <w:t>rROD</w:t>
      </w:r>
      <w:proofErr w:type="spellEnd"/>
      <w:r w:rsidRPr="00AB1B0D">
        <w:t>=relative rate of decline; TEZA/IVA=tezacaftor/ivacaftor</w:t>
      </w:r>
    </w:p>
    <w:p w:rsidR="007E520C" w:rsidRPr="009B2C7A" w:rsidRDefault="007E520C" w:rsidP="007E520C"/>
    <w:p w:rsidR="009941C6" w:rsidRPr="00AB1B0D" w:rsidRDefault="009941C6" w:rsidP="009941C6">
      <w:pPr>
        <w:pStyle w:val="3-BodyText"/>
        <w:rPr>
          <w:lang w:val="en-US"/>
        </w:rPr>
      </w:pPr>
      <w:r w:rsidRPr="00AB1B0D">
        <w:rPr>
          <w:lang w:val="en-US"/>
        </w:rPr>
        <w:t>The PSCR provided data from additional follow up of the PASS 108 study</w:t>
      </w:r>
      <w:r w:rsidR="00224E80" w:rsidRPr="00AB1B0D">
        <w:rPr>
          <w:lang w:val="en-US"/>
        </w:rPr>
        <w:t xml:space="preserve"> (Table 5 and 6)</w:t>
      </w:r>
      <w:r w:rsidRPr="00AB1B0D">
        <w:rPr>
          <w:lang w:val="en-US"/>
        </w:rPr>
        <w:t xml:space="preserve">. Patients aged </w:t>
      </w:r>
      <w:r w:rsidR="00224E80" w:rsidRPr="00AB1B0D">
        <w:rPr>
          <w:lang w:val="en-US"/>
        </w:rPr>
        <w:t>≥6</w:t>
      </w:r>
      <w:r w:rsidRPr="00AB1B0D">
        <w:rPr>
          <w:lang w:val="en-US"/>
        </w:rPr>
        <w:t xml:space="preserve"> years experienced </w:t>
      </w:r>
      <w:r w:rsidR="00D24F0A" w:rsidRPr="00AB1B0D">
        <w:rPr>
          <w:lang w:val="en-US"/>
        </w:rPr>
        <w:t xml:space="preserve">a </w:t>
      </w:r>
      <w:proofErr w:type="spellStart"/>
      <w:r w:rsidR="00D24F0A" w:rsidRPr="00AB1B0D">
        <w:rPr>
          <w:lang w:val="en-US"/>
        </w:rPr>
        <w:t>rROD</w:t>
      </w:r>
      <w:proofErr w:type="spellEnd"/>
      <w:r w:rsidR="00D24F0A" w:rsidRPr="00AB1B0D">
        <w:rPr>
          <w:lang w:val="en-US"/>
        </w:rPr>
        <w:t xml:space="preserve"> ppFEV</w:t>
      </w:r>
      <w:r w:rsidR="00D24F0A" w:rsidRPr="00AB1B0D">
        <w:rPr>
          <w:vertAlign w:val="subscript"/>
          <w:lang w:val="en-US"/>
        </w:rPr>
        <w:t>1</w:t>
      </w:r>
      <w:r w:rsidR="00D24F0A" w:rsidRPr="00AB1B0D">
        <w:rPr>
          <w:lang w:val="en-US"/>
        </w:rPr>
        <w:t xml:space="preserve"> </w:t>
      </w:r>
      <w:r w:rsidR="00224E80" w:rsidRPr="00AB1B0D">
        <w:rPr>
          <w:lang w:val="en-US"/>
        </w:rPr>
        <w:t>of 45.8</w:t>
      </w:r>
      <w:r w:rsidRPr="00AB1B0D">
        <w:rPr>
          <w:lang w:val="en-US"/>
        </w:rPr>
        <w:t>%</w:t>
      </w:r>
      <w:r w:rsidR="00C31201" w:rsidRPr="00AB1B0D">
        <w:rPr>
          <w:lang w:val="en-US"/>
        </w:rPr>
        <w:t xml:space="preserve"> </w:t>
      </w:r>
      <w:r w:rsidRPr="00AB1B0D">
        <w:rPr>
          <w:lang w:val="en-US"/>
        </w:rPr>
        <w:t>on</w:t>
      </w:r>
      <w:r w:rsidR="00FF6311" w:rsidRPr="00AB1B0D">
        <w:rPr>
          <w:lang w:val="en-US"/>
        </w:rPr>
        <w:t xml:space="preserve"> lumacaftor/</w:t>
      </w:r>
      <w:r w:rsidR="006354B2">
        <w:rPr>
          <w:lang w:val="en-US"/>
        </w:rPr>
        <w:t xml:space="preserve"> </w:t>
      </w:r>
      <w:r w:rsidR="00FF6311" w:rsidRPr="00AB1B0D">
        <w:rPr>
          <w:lang w:val="en-US"/>
        </w:rPr>
        <w:t>ivacaftor</w:t>
      </w:r>
      <w:r w:rsidRPr="00AB1B0D">
        <w:rPr>
          <w:lang w:val="en-US"/>
        </w:rPr>
        <w:t xml:space="preserve"> </w:t>
      </w:r>
      <w:r w:rsidR="00C31201" w:rsidRPr="00AB1B0D">
        <w:rPr>
          <w:lang w:val="en-US"/>
        </w:rPr>
        <w:t xml:space="preserve">(based on mean 3.7 years treatment) </w:t>
      </w:r>
      <w:r w:rsidRPr="00AB1B0D">
        <w:rPr>
          <w:lang w:val="en-US"/>
        </w:rPr>
        <w:t xml:space="preserve">and patients aged </w:t>
      </w:r>
      <w:r w:rsidR="00224E80" w:rsidRPr="00AB1B0D">
        <w:rPr>
          <w:lang w:val="en-US"/>
        </w:rPr>
        <w:t>≥12</w:t>
      </w:r>
      <w:r w:rsidRPr="00AB1B0D">
        <w:rPr>
          <w:lang w:val="en-US"/>
        </w:rPr>
        <w:t xml:space="preserve"> years experienced a </w:t>
      </w:r>
      <w:proofErr w:type="spellStart"/>
      <w:r w:rsidR="00D24F0A" w:rsidRPr="00AB1B0D">
        <w:rPr>
          <w:lang w:val="en-US"/>
        </w:rPr>
        <w:t>rROD</w:t>
      </w:r>
      <w:proofErr w:type="spellEnd"/>
      <w:r w:rsidR="00D24F0A" w:rsidRPr="00AB1B0D">
        <w:rPr>
          <w:lang w:val="en-US"/>
        </w:rPr>
        <w:t xml:space="preserve"> ppFEV</w:t>
      </w:r>
      <w:r w:rsidR="00D24F0A" w:rsidRPr="00AB1B0D">
        <w:rPr>
          <w:vertAlign w:val="subscript"/>
          <w:lang w:val="en-US"/>
        </w:rPr>
        <w:t>1</w:t>
      </w:r>
      <w:r w:rsidR="00D24F0A" w:rsidRPr="00AB1B0D">
        <w:rPr>
          <w:lang w:val="en-US"/>
        </w:rPr>
        <w:t xml:space="preserve"> </w:t>
      </w:r>
      <w:r w:rsidRPr="00AB1B0D">
        <w:rPr>
          <w:lang w:val="en-US"/>
        </w:rPr>
        <w:t xml:space="preserve">of </w:t>
      </w:r>
      <w:r w:rsidR="00224E80" w:rsidRPr="00AB1B0D">
        <w:rPr>
          <w:lang w:val="en-US"/>
        </w:rPr>
        <w:t>47.3</w:t>
      </w:r>
      <w:r w:rsidRPr="00AB1B0D">
        <w:rPr>
          <w:lang w:val="en-US"/>
        </w:rPr>
        <w:t>%</w:t>
      </w:r>
      <w:r w:rsidR="00FF6311" w:rsidRPr="00AB1B0D">
        <w:rPr>
          <w:lang w:val="en-US"/>
        </w:rPr>
        <w:t xml:space="preserve"> on lumacaftor/ivacaftor</w:t>
      </w:r>
      <w:r w:rsidR="00C31201" w:rsidRPr="00AB1B0D">
        <w:rPr>
          <w:lang w:val="en-US"/>
        </w:rPr>
        <w:t xml:space="preserve"> (based on mean 3.8 years treatment)</w:t>
      </w:r>
      <w:r w:rsidR="00224E80" w:rsidRPr="00AB1B0D">
        <w:rPr>
          <w:lang w:val="en-US"/>
        </w:rPr>
        <w:t>.</w:t>
      </w:r>
    </w:p>
    <w:p w:rsidR="00224E80" w:rsidRPr="00C31201" w:rsidRDefault="00224E80" w:rsidP="000E7D4B">
      <w:pPr>
        <w:pStyle w:val="Caption"/>
        <w:keepNext/>
        <w:keepLines/>
        <w:spacing w:after="0"/>
        <w:rPr>
          <w:rFonts w:ascii="Arial Narrow" w:hAnsi="Arial Narrow" w:cs="Times New Roman"/>
          <w:color w:val="auto"/>
          <w:sz w:val="20"/>
          <w:szCs w:val="20"/>
        </w:rPr>
      </w:pPr>
      <w:r w:rsidRPr="00C31201">
        <w:rPr>
          <w:rFonts w:ascii="Arial Narrow" w:hAnsi="Arial Narrow" w:cstheme="minorHAnsi"/>
          <w:color w:val="auto"/>
          <w:sz w:val="20"/>
          <w:szCs w:val="20"/>
        </w:rPr>
        <w:lastRenderedPageBreak/>
        <w:t>Table 5</w:t>
      </w:r>
      <w:r w:rsidRPr="00C31201">
        <w:rPr>
          <w:rFonts w:ascii="Arial Narrow" w:hAnsi="Arial Narrow" w:cstheme="minorHAnsi"/>
          <w:b w:val="0"/>
          <w:color w:val="auto"/>
          <w:sz w:val="20"/>
          <w:szCs w:val="20"/>
        </w:rPr>
        <w:t xml:space="preserve">: </w:t>
      </w:r>
      <w:r w:rsidRPr="00C31201">
        <w:rPr>
          <w:rFonts w:ascii="Arial Narrow" w:hAnsi="Arial Narrow"/>
          <w:color w:val="auto"/>
          <w:sz w:val="20"/>
          <w:szCs w:val="20"/>
        </w:rPr>
        <w:t xml:space="preserve">PASS 108 </w:t>
      </w:r>
      <w:r w:rsidRPr="00C31201">
        <w:rPr>
          <w:rFonts w:ascii="Arial Narrow" w:hAnsi="Arial Narrow" w:cs="Times New Roman"/>
          <w:color w:val="auto"/>
          <w:sz w:val="20"/>
          <w:szCs w:val="20"/>
        </w:rPr>
        <w:t>Disease Progression Cohorts through Q3 2019: Patient characteristics &amp; exposure duration</w:t>
      </w:r>
      <w:r w:rsidR="000A4FBA">
        <w:rPr>
          <w:rFonts w:ascii="Arial Narrow" w:hAnsi="Arial Narrow" w:cs="Times New Roman"/>
          <w:color w:val="auto"/>
          <w:sz w:val="20"/>
          <w:szCs w:val="20"/>
        </w:rPr>
        <w:t xml:space="preserve"> </w:t>
      </w:r>
    </w:p>
    <w:tbl>
      <w:tblPr>
        <w:tblStyle w:val="HTAtableplain1"/>
        <w:tblW w:w="5000" w:type="pct"/>
        <w:tblLook w:val="04A0" w:firstRow="1" w:lastRow="0" w:firstColumn="1" w:lastColumn="0" w:noHBand="0" w:noVBand="1"/>
        <w:tblCaption w:val="Table 5: PASS 108 Disease Progression Cohorts through Q3 2019: Patient characteristics &amp; exposure duration "/>
      </w:tblPr>
      <w:tblGrid>
        <w:gridCol w:w="2576"/>
        <w:gridCol w:w="1546"/>
        <w:gridCol w:w="1803"/>
        <w:gridCol w:w="1546"/>
        <w:gridCol w:w="1546"/>
      </w:tblGrid>
      <w:tr w:rsidR="00224E80" w:rsidRPr="001605CC"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bottom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b/>
                <w:sz w:val="20"/>
                <w:szCs w:val="20"/>
              </w:rPr>
            </w:pPr>
            <w:r w:rsidRPr="00C31201">
              <w:rPr>
                <w:rFonts w:ascii="Arial Narrow" w:hAnsi="Arial Narrow" w:cstheme="minorHAnsi"/>
                <w:b/>
                <w:sz w:val="20"/>
                <w:szCs w:val="20"/>
              </w:rPr>
              <w:br/>
            </w:r>
          </w:p>
        </w:tc>
        <w:tc>
          <w:tcPr>
            <w:tcW w:w="857"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Comparator</w:t>
            </w:r>
          </w:p>
          <w:p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(≥6-year-old)</w:t>
            </w:r>
            <w:r w:rsidRPr="00C31201">
              <w:rPr>
                <w:rFonts w:ascii="Arial Narrow" w:hAnsi="Arial Narrow" w:cstheme="minorHAnsi"/>
                <w:b/>
                <w:sz w:val="20"/>
                <w:szCs w:val="20"/>
              </w:rPr>
              <w:br/>
              <w:t>N=3,137</w:t>
            </w:r>
          </w:p>
        </w:tc>
        <w:tc>
          <w:tcPr>
            <w:tcW w:w="1000"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LUM/IVA</w:t>
            </w:r>
          </w:p>
          <w:p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(≥6-year-old)</w:t>
            </w:r>
            <w:r w:rsidRPr="00C31201">
              <w:rPr>
                <w:rFonts w:ascii="Arial Narrow" w:hAnsi="Arial Narrow" w:cstheme="minorHAnsi"/>
                <w:b/>
                <w:sz w:val="20"/>
                <w:szCs w:val="20"/>
              </w:rPr>
              <w:br/>
              <w:t>N=1,498</w:t>
            </w:r>
          </w:p>
        </w:tc>
        <w:tc>
          <w:tcPr>
            <w:tcW w:w="857"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Comparator</w:t>
            </w:r>
          </w:p>
          <w:p w:rsidR="00224E80" w:rsidRPr="00C31201" w:rsidRDefault="00224E80" w:rsidP="000E7D4B">
            <w:pPr>
              <w:keepLines/>
              <w:spacing w:before="0" w:after="0"/>
              <w:jc w:val="center"/>
              <w:rPr>
                <w:rFonts w:ascii="Arial Narrow" w:hAnsi="Arial Narrow" w:cstheme="minorHAnsi"/>
                <w:b/>
                <w:sz w:val="20"/>
                <w:szCs w:val="20"/>
                <w:highlight w:val="yellow"/>
              </w:rPr>
            </w:pPr>
            <w:r w:rsidRPr="00C31201">
              <w:rPr>
                <w:rFonts w:ascii="Arial Narrow" w:hAnsi="Arial Narrow" w:cstheme="minorHAnsi"/>
                <w:b/>
                <w:sz w:val="20"/>
                <w:szCs w:val="20"/>
              </w:rPr>
              <w:t>(≥12-year-old)</w:t>
            </w:r>
            <w:r w:rsidRPr="00C31201">
              <w:rPr>
                <w:rFonts w:ascii="Arial Narrow" w:hAnsi="Arial Narrow" w:cstheme="minorHAnsi"/>
                <w:b/>
                <w:sz w:val="20"/>
                <w:szCs w:val="20"/>
              </w:rPr>
              <w:br/>
              <w:t>N=2,327</w:t>
            </w:r>
          </w:p>
        </w:tc>
        <w:tc>
          <w:tcPr>
            <w:tcW w:w="857"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LUM/IVA</w:t>
            </w:r>
          </w:p>
          <w:p w:rsidR="00224E80" w:rsidRPr="00C31201" w:rsidRDefault="00224E80" w:rsidP="000E7D4B">
            <w:pPr>
              <w:keepLines/>
              <w:spacing w:before="0" w:after="0"/>
              <w:jc w:val="center"/>
              <w:rPr>
                <w:rFonts w:ascii="Arial Narrow" w:hAnsi="Arial Narrow" w:cstheme="minorHAnsi"/>
                <w:b/>
                <w:sz w:val="20"/>
                <w:szCs w:val="20"/>
                <w:highlight w:val="yellow"/>
              </w:rPr>
            </w:pPr>
            <w:r w:rsidRPr="00C31201">
              <w:rPr>
                <w:rFonts w:ascii="Arial Narrow" w:hAnsi="Arial Narrow" w:cstheme="minorHAnsi"/>
                <w:b/>
                <w:sz w:val="20"/>
                <w:szCs w:val="20"/>
              </w:rPr>
              <w:t>(≥12-year-old)</w:t>
            </w:r>
            <w:r w:rsidRPr="00C31201">
              <w:rPr>
                <w:rFonts w:ascii="Arial Narrow" w:hAnsi="Arial Narrow" w:cstheme="minorHAnsi"/>
                <w:b/>
                <w:sz w:val="20"/>
                <w:szCs w:val="20"/>
              </w:rPr>
              <w:br/>
              <w:t>N=1,198</w:t>
            </w:r>
          </w:p>
        </w:tc>
      </w:tr>
      <w:tr w:rsidR="00224E80" w:rsidRPr="001605CC" w:rsidTr="00FC7182">
        <w:trPr>
          <w:cnfStyle w:val="100000000000" w:firstRow="1" w:lastRow="0" w:firstColumn="0" w:lastColumn="0" w:oddVBand="0" w:evenVBand="0" w:oddHBand="0" w:evenHBand="0" w:firstRowFirstColumn="0" w:firstRowLastColumn="0" w:lastRowFirstColumn="0" w:lastRowLastColumn="0"/>
          <w:trHeight w:val="407"/>
        </w:trPr>
        <w:tc>
          <w:tcPr>
            <w:tcW w:w="1428" w:type="pct"/>
            <w:tcBorders>
              <w:top w:val="single" w:sz="4" w:space="0" w:color="auto"/>
              <w:left w:val="single" w:sz="4" w:space="0" w:color="auto"/>
              <w:bottom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Age in 2019, mean (</w:t>
            </w:r>
            <w:proofErr w:type="spellStart"/>
            <w:r w:rsidR="002C1170">
              <w:rPr>
                <w:rFonts w:ascii="Arial Narrow" w:hAnsi="Arial Narrow" w:cstheme="minorHAnsi"/>
                <w:sz w:val="20"/>
                <w:szCs w:val="20"/>
              </w:rPr>
              <w:t>sd</w:t>
            </w:r>
            <w:proofErr w:type="spellEnd"/>
            <w:r w:rsidRPr="00C31201">
              <w:rPr>
                <w:rFonts w:ascii="Arial Narrow" w:hAnsi="Arial Narrow" w:cstheme="minorHAnsi"/>
                <w:sz w:val="20"/>
                <w:szCs w:val="20"/>
              </w:rPr>
              <w:t>)</w:t>
            </w:r>
          </w:p>
        </w:tc>
        <w:tc>
          <w:tcPr>
            <w:tcW w:w="857" w:type="pct"/>
            <w:tcBorders>
              <w:top w:val="single" w:sz="4" w:space="0" w:color="auto"/>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23.2 (10.8)</w:t>
            </w:r>
          </w:p>
        </w:tc>
        <w:tc>
          <w:tcPr>
            <w:tcW w:w="1000" w:type="pct"/>
            <w:tcBorders>
              <w:top w:val="single" w:sz="4" w:space="0" w:color="auto"/>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22.3 (9.5)</w:t>
            </w:r>
          </w:p>
        </w:tc>
        <w:tc>
          <w:tcPr>
            <w:tcW w:w="857" w:type="pct"/>
            <w:tcBorders>
              <w:top w:val="single" w:sz="4" w:space="0" w:color="auto"/>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27.1 (9.9)</w:t>
            </w:r>
          </w:p>
        </w:tc>
        <w:tc>
          <w:tcPr>
            <w:tcW w:w="857" w:type="pct"/>
            <w:tcBorders>
              <w:top w:val="single" w:sz="4" w:space="0" w:color="auto"/>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25.0 (8.9)</w:t>
            </w:r>
          </w:p>
        </w:tc>
      </w:tr>
      <w:tr w:rsidR="00224E80" w:rsidRPr="001605CC" w:rsidTr="00FC7182">
        <w:trPr>
          <w:cnfStyle w:val="100000000000" w:firstRow="1" w:lastRow="0" w:firstColumn="0" w:lastColumn="0" w:oddVBand="0" w:evenVBand="0" w:oddHBand="0" w:evenHBand="0" w:firstRowFirstColumn="0" w:firstRowLastColumn="0" w:lastRowFirstColumn="0" w:lastRowLastColumn="0"/>
          <w:trHeight w:val="413"/>
        </w:trPr>
        <w:tc>
          <w:tcPr>
            <w:tcW w:w="1428" w:type="pct"/>
            <w:tcBorders>
              <w:top w:val="single" w:sz="4" w:space="0" w:color="auto"/>
              <w:left w:val="single" w:sz="4" w:space="0" w:color="auto"/>
              <w:bottom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Gender, male n (%)</w:t>
            </w:r>
          </w:p>
        </w:tc>
        <w:tc>
          <w:tcPr>
            <w:tcW w:w="857" w:type="pct"/>
            <w:tcBorders>
              <w:top w:val="single" w:sz="4" w:space="0" w:color="auto"/>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1,655 (52.8)</w:t>
            </w:r>
          </w:p>
        </w:tc>
        <w:tc>
          <w:tcPr>
            <w:tcW w:w="1000" w:type="pct"/>
            <w:tcBorders>
              <w:top w:val="single" w:sz="4" w:space="0" w:color="auto"/>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952 (63.6)</w:t>
            </w:r>
          </w:p>
        </w:tc>
        <w:tc>
          <w:tcPr>
            <w:tcW w:w="857" w:type="pct"/>
            <w:tcBorders>
              <w:top w:val="single" w:sz="4" w:space="0" w:color="auto"/>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1,253 (53.8)</w:t>
            </w:r>
          </w:p>
        </w:tc>
        <w:tc>
          <w:tcPr>
            <w:tcW w:w="857" w:type="pct"/>
            <w:tcBorders>
              <w:top w:val="single" w:sz="4" w:space="0" w:color="auto"/>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787 (65.7)</w:t>
            </w:r>
          </w:p>
        </w:tc>
      </w:tr>
      <w:tr w:rsidR="00224E80" w:rsidRPr="001605CC" w:rsidTr="00FC7182">
        <w:trPr>
          <w:cnfStyle w:val="100000000000" w:firstRow="1" w:lastRow="0" w:firstColumn="0" w:lastColumn="0" w:oddVBand="0" w:evenVBand="0" w:oddHBand="0" w:evenHBand="0" w:firstRowFirstColumn="0" w:firstRowLastColumn="0" w:lastRowFirstColumn="0" w:lastRowLastColumn="0"/>
        </w:trPr>
        <w:tc>
          <w:tcPr>
            <w:tcW w:w="1428" w:type="pct"/>
            <w:tcBorders>
              <w:top w:val="single" w:sz="4" w:space="0" w:color="auto"/>
              <w:left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LUM/IVA exposure group:</w:t>
            </w:r>
          </w:p>
        </w:tc>
        <w:tc>
          <w:tcPr>
            <w:tcW w:w="857" w:type="pct"/>
            <w:tcBorders>
              <w:top w:val="single" w:sz="4" w:space="0" w:color="auto"/>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top w:val="single" w:sz="4" w:space="0" w:color="auto"/>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top w:val="single" w:sz="4" w:space="0" w:color="auto"/>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top w:val="single" w:sz="4" w:space="0" w:color="auto"/>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r>
      <w:tr w:rsidR="00224E80" w:rsidRPr="001605CC"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right w:val="single" w:sz="4" w:space="0" w:color="auto"/>
            </w:tcBorders>
          </w:tcPr>
          <w:p w:rsidR="00224E80" w:rsidRPr="00C31201" w:rsidRDefault="00224E80" w:rsidP="000A4FBA">
            <w:pPr>
              <w:keepLines/>
              <w:spacing w:before="0" w:after="0"/>
              <w:ind w:left="177"/>
              <w:rPr>
                <w:rFonts w:ascii="Arial Narrow" w:hAnsi="Arial Narrow" w:cstheme="minorHAnsi"/>
                <w:sz w:val="20"/>
                <w:szCs w:val="20"/>
              </w:rPr>
            </w:pPr>
            <w:r w:rsidRPr="00C31201">
              <w:rPr>
                <w:rFonts w:ascii="Arial Narrow" w:hAnsi="Arial Narrow" w:cstheme="minorHAnsi"/>
                <w:sz w:val="20"/>
                <w:szCs w:val="20"/>
              </w:rPr>
              <w:t>&lt;1 year</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N/A</w:t>
            </w:r>
          </w:p>
        </w:tc>
        <w:tc>
          <w:tcPr>
            <w:tcW w:w="1000"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0</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N/A</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0</w:t>
            </w:r>
          </w:p>
        </w:tc>
      </w:tr>
      <w:tr w:rsidR="00224E80" w:rsidRPr="001605CC"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 xml:space="preserve">    ≥1-&lt;2 years</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0</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0</w:t>
            </w:r>
          </w:p>
        </w:tc>
      </w:tr>
      <w:tr w:rsidR="00224E80" w:rsidRPr="001605CC"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 xml:space="preserve">    ≥2-&lt;3 years</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273 (18.2)</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45 (3.8)</w:t>
            </w:r>
          </w:p>
        </w:tc>
      </w:tr>
      <w:tr w:rsidR="00224E80" w:rsidRPr="001605CC"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 xml:space="preserve">    ≥3-&lt;4 years</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722 (48.2)</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654 (54.6)</w:t>
            </w:r>
          </w:p>
        </w:tc>
      </w:tr>
      <w:tr w:rsidR="00224E80" w:rsidRPr="001605CC"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bottom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 xml:space="preserve">    ≥4 years</w:t>
            </w:r>
          </w:p>
        </w:tc>
        <w:tc>
          <w:tcPr>
            <w:tcW w:w="857"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503 (33.6)</w:t>
            </w:r>
          </w:p>
        </w:tc>
        <w:tc>
          <w:tcPr>
            <w:tcW w:w="857"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499 (41.7)</w:t>
            </w:r>
          </w:p>
        </w:tc>
      </w:tr>
      <w:tr w:rsidR="00224E80" w:rsidRPr="001605CC" w:rsidTr="00FC7182">
        <w:trPr>
          <w:cnfStyle w:val="100000000000" w:firstRow="1" w:lastRow="0" w:firstColumn="0" w:lastColumn="0" w:oddVBand="0" w:evenVBand="0" w:oddHBand="0" w:evenHBand="0" w:firstRowFirstColumn="0" w:firstRowLastColumn="0" w:lastRowFirstColumn="0" w:lastRowLastColumn="0"/>
        </w:trPr>
        <w:tc>
          <w:tcPr>
            <w:tcW w:w="1428" w:type="pct"/>
            <w:tcBorders>
              <w:top w:val="single" w:sz="4" w:space="0" w:color="auto"/>
              <w:left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Median exposure, years</w:t>
            </w:r>
          </w:p>
        </w:tc>
        <w:tc>
          <w:tcPr>
            <w:tcW w:w="857" w:type="pct"/>
            <w:tcBorders>
              <w:top w:val="single" w:sz="4" w:space="0" w:color="auto"/>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top w:val="single" w:sz="4" w:space="0" w:color="auto"/>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3.8</w:t>
            </w:r>
          </w:p>
        </w:tc>
        <w:tc>
          <w:tcPr>
            <w:tcW w:w="857" w:type="pct"/>
            <w:tcBorders>
              <w:top w:val="single" w:sz="4" w:space="0" w:color="auto"/>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top w:val="single" w:sz="4" w:space="0" w:color="auto"/>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3.9</w:t>
            </w:r>
          </w:p>
        </w:tc>
      </w:tr>
      <w:tr w:rsidR="00224E80" w:rsidRPr="001605CC"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Mean exposure, years (</w:t>
            </w:r>
            <w:proofErr w:type="spellStart"/>
            <w:r w:rsidR="002C1170">
              <w:rPr>
                <w:rFonts w:ascii="Arial Narrow" w:hAnsi="Arial Narrow" w:cstheme="minorHAnsi"/>
                <w:sz w:val="20"/>
                <w:szCs w:val="20"/>
              </w:rPr>
              <w:t>sd</w:t>
            </w:r>
            <w:proofErr w:type="spellEnd"/>
            <w:r w:rsidRPr="00C31201">
              <w:rPr>
                <w:rFonts w:ascii="Arial Narrow" w:hAnsi="Arial Narrow" w:cstheme="minorHAnsi"/>
                <w:sz w:val="20"/>
                <w:szCs w:val="20"/>
              </w:rPr>
              <w:t>)</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3.7 (0.5)</w:t>
            </w: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3.8 (0.4)</w:t>
            </w:r>
          </w:p>
        </w:tc>
      </w:tr>
      <w:tr w:rsidR="00224E80" w:rsidRPr="001605CC"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bottom w:val="single" w:sz="4" w:space="0" w:color="auto"/>
              <w:right w:val="single" w:sz="4" w:space="0" w:color="auto"/>
            </w:tcBorders>
          </w:tcPr>
          <w:p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Range exposure, years</w:t>
            </w:r>
          </w:p>
        </w:tc>
        <w:tc>
          <w:tcPr>
            <w:tcW w:w="857"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2.5 – 4.7</w:t>
            </w:r>
          </w:p>
        </w:tc>
        <w:tc>
          <w:tcPr>
            <w:tcW w:w="857"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bottom w:val="single" w:sz="4" w:space="0" w:color="auto"/>
              <w:right w:val="single" w:sz="4" w:space="0" w:color="auto"/>
            </w:tcBorders>
          </w:tcPr>
          <w:p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2.6 – 4.7</w:t>
            </w:r>
          </w:p>
        </w:tc>
      </w:tr>
    </w:tbl>
    <w:p w:rsidR="00224E80" w:rsidRDefault="00224E80" w:rsidP="002C1170">
      <w:pPr>
        <w:keepNext/>
        <w:keepLines/>
        <w:rPr>
          <w:rFonts w:ascii="Arial Narrow" w:eastAsia="Calibri" w:hAnsi="Arial Narrow"/>
          <w:sz w:val="18"/>
          <w:szCs w:val="18"/>
        </w:rPr>
      </w:pPr>
      <w:r w:rsidRPr="002C1170">
        <w:rPr>
          <w:rFonts w:ascii="Arial Narrow" w:eastAsia="Calibri" w:hAnsi="Arial Narrow"/>
          <w:sz w:val="18"/>
          <w:szCs w:val="18"/>
        </w:rPr>
        <w:t>Source: Table 3, PSCR</w:t>
      </w:r>
      <w:r w:rsidR="000A4FBA">
        <w:rPr>
          <w:rFonts w:ascii="Arial Narrow" w:eastAsia="Calibri" w:hAnsi="Arial Narrow"/>
          <w:sz w:val="18"/>
          <w:szCs w:val="18"/>
        </w:rPr>
        <w:t xml:space="preserve"> </w:t>
      </w:r>
    </w:p>
    <w:p w:rsidR="002C1170" w:rsidRPr="00AB1B0D" w:rsidRDefault="002C1170" w:rsidP="002C1170">
      <w:pPr>
        <w:pStyle w:val="TableFooter"/>
        <w:jc w:val="left"/>
      </w:pPr>
      <w:r w:rsidRPr="00AB1B0D">
        <w:t xml:space="preserve">Abbreviations: LUMA/IVA=lumacaftor/ivacaftor; </w:t>
      </w:r>
      <w:proofErr w:type="spellStart"/>
      <w:proofErr w:type="gramStart"/>
      <w:r w:rsidRPr="00AB1B0D">
        <w:t>sd</w:t>
      </w:r>
      <w:proofErr w:type="spellEnd"/>
      <w:r w:rsidRPr="00AB1B0D">
        <w:t>=</w:t>
      </w:r>
      <w:proofErr w:type="gramEnd"/>
      <w:r w:rsidRPr="00AB1B0D">
        <w:t xml:space="preserve">standard deviation; </w:t>
      </w:r>
    </w:p>
    <w:p w:rsidR="002C1170" w:rsidRPr="002C1170" w:rsidRDefault="002C1170" w:rsidP="000E7D4B">
      <w:pPr>
        <w:keepNext/>
        <w:keepLines/>
        <w:spacing w:after="120"/>
        <w:rPr>
          <w:rFonts w:ascii="Arial Narrow" w:eastAsia="Calibri" w:hAnsi="Arial Narrow"/>
          <w:sz w:val="18"/>
          <w:szCs w:val="18"/>
        </w:rPr>
      </w:pPr>
    </w:p>
    <w:p w:rsidR="00224E80" w:rsidRPr="00C31201" w:rsidRDefault="00224E80" w:rsidP="000E7D4B">
      <w:pPr>
        <w:pStyle w:val="Caption"/>
        <w:spacing w:after="0"/>
        <w:rPr>
          <w:rFonts w:ascii="Arial Narrow" w:hAnsi="Arial Narrow"/>
          <w:color w:val="auto"/>
          <w:sz w:val="20"/>
          <w:szCs w:val="20"/>
        </w:rPr>
      </w:pPr>
      <w:bookmarkStart w:id="23" w:name="_Toc54771512"/>
      <w:bookmarkStart w:id="24" w:name="_Toc65673333"/>
      <w:r w:rsidRPr="00C31201">
        <w:rPr>
          <w:rFonts w:ascii="Arial Narrow" w:hAnsi="Arial Narrow" w:cstheme="minorHAnsi"/>
          <w:color w:val="auto"/>
          <w:sz w:val="20"/>
          <w:szCs w:val="20"/>
        </w:rPr>
        <w:t>Table 6</w:t>
      </w:r>
      <w:r w:rsidRPr="00C31201">
        <w:rPr>
          <w:rFonts w:ascii="Arial Narrow" w:hAnsi="Arial Narrow"/>
          <w:color w:val="auto"/>
          <w:sz w:val="20"/>
          <w:szCs w:val="20"/>
        </w:rPr>
        <w:t>: PASS 108 Disease Progression Cohorts through Q3 2019: Change in ppFEV</w:t>
      </w:r>
      <w:r w:rsidRPr="00C31201">
        <w:rPr>
          <w:rFonts w:ascii="Arial Narrow" w:hAnsi="Arial Narrow"/>
          <w:color w:val="auto"/>
          <w:sz w:val="20"/>
          <w:szCs w:val="20"/>
          <w:vertAlign w:val="subscript"/>
        </w:rPr>
        <w:t>1</w:t>
      </w:r>
      <w:r w:rsidRPr="00C31201">
        <w:rPr>
          <w:rFonts w:ascii="Arial Narrow" w:hAnsi="Arial Narrow"/>
          <w:color w:val="auto"/>
          <w:sz w:val="20"/>
          <w:szCs w:val="20"/>
        </w:rPr>
        <w:t xml:space="preserve"> from baseline </w:t>
      </w:r>
      <w:bookmarkEnd w:id="23"/>
      <w:bookmarkEnd w:id="24"/>
    </w:p>
    <w:tbl>
      <w:tblPr>
        <w:tblStyle w:val="HTAtableplain1"/>
        <w:tblW w:w="5000" w:type="pct"/>
        <w:tblLook w:val="04A0" w:firstRow="1" w:lastRow="0" w:firstColumn="1" w:lastColumn="0" w:noHBand="0" w:noVBand="1"/>
        <w:tblCaption w:val="Table 6: PASS 108 Disease Progression Cohorts through Q3 2019: Change in ppFEV1 from baseline "/>
      </w:tblPr>
      <w:tblGrid>
        <w:gridCol w:w="3667"/>
        <w:gridCol w:w="1336"/>
        <w:gridCol w:w="1338"/>
        <w:gridCol w:w="1338"/>
        <w:gridCol w:w="1338"/>
      </w:tblGrid>
      <w:tr w:rsidR="00224E80" w:rsidRPr="00ED5365"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bottom w:val="single" w:sz="4" w:space="0" w:color="auto"/>
              <w:right w:val="single" w:sz="4" w:space="0" w:color="auto"/>
            </w:tcBorders>
            <w:vAlign w:val="bottom"/>
          </w:tcPr>
          <w:p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b/>
                <w:sz w:val="20"/>
                <w:szCs w:val="20"/>
              </w:rPr>
              <w:br/>
            </w:r>
          </w:p>
        </w:tc>
        <w:tc>
          <w:tcPr>
            <w:tcW w:w="741" w:type="pct"/>
            <w:tcBorders>
              <w:left w:val="single" w:sz="4" w:space="0" w:color="auto"/>
              <w:bottom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Comparator</w:t>
            </w:r>
          </w:p>
          <w:p w:rsidR="00224E80" w:rsidRPr="00224E80" w:rsidRDefault="00224E80" w:rsidP="00D92195">
            <w:pPr>
              <w:spacing w:before="0" w:after="0"/>
              <w:jc w:val="center"/>
              <w:rPr>
                <w:rFonts w:ascii="Arial Narrow" w:hAnsi="Arial Narrow" w:cstheme="minorHAnsi"/>
                <w:b/>
                <w:sz w:val="20"/>
                <w:szCs w:val="20"/>
                <w:highlight w:val="yellow"/>
              </w:rPr>
            </w:pPr>
            <w:r w:rsidRPr="00224E80">
              <w:rPr>
                <w:rFonts w:ascii="Arial Narrow" w:hAnsi="Arial Narrow" w:cstheme="minorHAnsi"/>
                <w:b/>
                <w:sz w:val="20"/>
                <w:szCs w:val="20"/>
              </w:rPr>
              <w:t>(≥6-year-old)</w:t>
            </w:r>
            <w:r w:rsidRPr="00224E80">
              <w:rPr>
                <w:rFonts w:ascii="Arial Narrow" w:hAnsi="Arial Narrow" w:cstheme="minorHAnsi"/>
                <w:b/>
                <w:sz w:val="20"/>
                <w:szCs w:val="20"/>
              </w:rPr>
              <w:br/>
              <w:t>N=3,137</w:t>
            </w:r>
          </w:p>
        </w:tc>
        <w:tc>
          <w:tcPr>
            <w:tcW w:w="742" w:type="pct"/>
            <w:tcBorders>
              <w:left w:val="single" w:sz="4" w:space="0" w:color="auto"/>
              <w:bottom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LUM/IVA</w:t>
            </w:r>
          </w:p>
          <w:p w:rsidR="00224E80" w:rsidRPr="00224E80" w:rsidRDefault="00224E80" w:rsidP="00D92195">
            <w:pPr>
              <w:spacing w:before="0" w:after="0"/>
              <w:jc w:val="center"/>
              <w:rPr>
                <w:rFonts w:ascii="Arial Narrow" w:hAnsi="Arial Narrow" w:cstheme="minorHAnsi"/>
                <w:sz w:val="20"/>
                <w:szCs w:val="20"/>
                <w:highlight w:val="yellow"/>
              </w:rPr>
            </w:pPr>
            <w:r w:rsidRPr="00224E80">
              <w:rPr>
                <w:rFonts w:ascii="Arial Narrow" w:hAnsi="Arial Narrow" w:cstheme="minorHAnsi"/>
                <w:b/>
                <w:sz w:val="20"/>
                <w:szCs w:val="20"/>
              </w:rPr>
              <w:t>(≥6-year-old)</w:t>
            </w:r>
            <w:r w:rsidRPr="00224E80">
              <w:rPr>
                <w:rFonts w:ascii="Arial Narrow" w:hAnsi="Arial Narrow" w:cstheme="minorHAnsi"/>
                <w:b/>
                <w:sz w:val="20"/>
                <w:szCs w:val="20"/>
              </w:rPr>
              <w:br/>
              <w:t>N=1,498</w:t>
            </w:r>
          </w:p>
        </w:tc>
        <w:tc>
          <w:tcPr>
            <w:tcW w:w="742" w:type="pct"/>
            <w:tcBorders>
              <w:left w:val="single" w:sz="4" w:space="0" w:color="auto"/>
              <w:bottom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Comparator</w:t>
            </w:r>
          </w:p>
          <w:p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(≥12-year-old)</w:t>
            </w:r>
            <w:r w:rsidRPr="00224E80">
              <w:rPr>
                <w:rFonts w:ascii="Arial Narrow" w:hAnsi="Arial Narrow" w:cstheme="minorHAnsi"/>
                <w:b/>
                <w:sz w:val="20"/>
                <w:szCs w:val="20"/>
              </w:rPr>
              <w:br/>
              <w:t>N=2,327</w:t>
            </w:r>
          </w:p>
        </w:tc>
        <w:tc>
          <w:tcPr>
            <w:tcW w:w="742" w:type="pct"/>
            <w:tcBorders>
              <w:left w:val="single" w:sz="4" w:space="0" w:color="auto"/>
              <w:bottom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LUM/IVA</w:t>
            </w:r>
          </w:p>
          <w:p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(≥12-year-old)</w:t>
            </w:r>
            <w:r w:rsidRPr="00224E80">
              <w:rPr>
                <w:rFonts w:ascii="Arial Narrow" w:hAnsi="Arial Narrow" w:cstheme="minorHAnsi"/>
                <w:b/>
                <w:sz w:val="20"/>
                <w:szCs w:val="20"/>
              </w:rPr>
              <w:br/>
              <w:t>N=1,198</w:t>
            </w:r>
          </w:p>
        </w:tc>
      </w:tr>
      <w:tr w:rsidR="00224E80" w:rsidRPr="00ED5365" w:rsidTr="00224E80">
        <w:trPr>
          <w:cnfStyle w:val="100000000000" w:firstRow="1" w:lastRow="0" w:firstColumn="0" w:lastColumn="0" w:oddVBand="0" w:evenVBand="0" w:oddHBand="0" w:evenHBand="0" w:firstRowFirstColumn="0" w:firstRowLastColumn="0" w:lastRowFirstColumn="0" w:lastRowLastColumn="0"/>
        </w:trPr>
        <w:tc>
          <w:tcPr>
            <w:tcW w:w="2033" w:type="pct"/>
            <w:tcBorders>
              <w:top w:val="single" w:sz="4" w:space="0" w:color="auto"/>
              <w:left w:val="single" w:sz="4" w:space="0" w:color="auto"/>
              <w:right w:val="single" w:sz="4" w:space="0" w:color="auto"/>
            </w:tcBorders>
          </w:tcPr>
          <w:p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Pre-study baseline (2014), ppFEV</w:t>
            </w:r>
            <w:r w:rsidRPr="00224E80">
              <w:rPr>
                <w:rFonts w:ascii="Arial Narrow" w:hAnsi="Arial Narrow" w:cstheme="minorHAnsi"/>
                <w:sz w:val="20"/>
                <w:szCs w:val="20"/>
                <w:vertAlign w:val="subscript"/>
              </w:rPr>
              <w:t>1</w:t>
            </w:r>
            <w:r w:rsidRPr="00224E80">
              <w:rPr>
                <w:rFonts w:ascii="Arial Narrow" w:hAnsi="Arial Narrow" w:cstheme="minorHAnsi"/>
                <w:sz w:val="20"/>
                <w:szCs w:val="20"/>
              </w:rPr>
              <w:t>, %:</w:t>
            </w:r>
          </w:p>
        </w:tc>
        <w:tc>
          <w:tcPr>
            <w:tcW w:w="741" w:type="pct"/>
            <w:tcBorders>
              <w:top w:val="single" w:sz="4" w:space="0" w:color="auto"/>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highlight w:val="yellow"/>
              </w:rPr>
            </w:pPr>
          </w:p>
        </w:tc>
      </w:tr>
      <w:tr w:rsidR="00224E80" w:rsidRPr="00ED5365"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right w:val="single" w:sz="4" w:space="0" w:color="auto"/>
            </w:tcBorders>
          </w:tcPr>
          <w:p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n</w:t>
            </w:r>
          </w:p>
        </w:tc>
        <w:tc>
          <w:tcPr>
            <w:tcW w:w="741"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2,791</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1,336</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2,202</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1,128</w:t>
            </w:r>
          </w:p>
        </w:tc>
      </w:tr>
      <w:tr w:rsidR="00224E80" w:rsidRPr="00ED5365"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right w:val="single" w:sz="4" w:space="0" w:color="auto"/>
            </w:tcBorders>
          </w:tcPr>
          <w:p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Mean</w:t>
            </w:r>
            <w:r w:rsidR="002C1170" w:rsidRPr="00224E80">
              <w:rPr>
                <w:rFonts w:ascii="Arial Narrow" w:hAnsi="Arial Narrow" w:cstheme="minorHAnsi"/>
                <w:sz w:val="20"/>
                <w:szCs w:val="20"/>
              </w:rPr>
              <w:t xml:space="preserve"> </w:t>
            </w:r>
            <w:r w:rsidR="002C1170">
              <w:rPr>
                <w:rFonts w:ascii="Arial Narrow" w:hAnsi="Arial Narrow" w:cstheme="minorHAnsi"/>
                <w:sz w:val="20"/>
                <w:szCs w:val="20"/>
              </w:rPr>
              <w:t>(</w:t>
            </w:r>
            <w:proofErr w:type="spellStart"/>
            <w:r w:rsidR="002C1170">
              <w:rPr>
                <w:rFonts w:ascii="Arial Narrow" w:hAnsi="Arial Narrow" w:cstheme="minorHAnsi"/>
                <w:sz w:val="20"/>
                <w:szCs w:val="20"/>
              </w:rPr>
              <w:t>sd</w:t>
            </w:r>
            <w:proofErr w:type="spellEnd"/>
            <w:r w:rsidR="002C1170">
              <w:rPr>
                <w:rFonts w:ascii="Arial Narrow" w:hAnsi="Arial Narrow" w:cstheme="minorHAnsi"/>
                <w:sz w:val="20"/>
                <w:szCs w:val="20"/>
              </w:rPr>
              <w:t>)</w:t>
            </w:r>
          </w:p>
        </w:tc>
        <w:tc>
          <w:tcPr>
            <w:tcW w:w="741"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80.24</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20.80</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83.42</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19.27</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76.47</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20.59</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81.16</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19.43</w:t>
            </w:r>
            <w:r w:rsidR="002C1170">
              <w:rPr>
                <w:rFonts w:ascii="Arial Narrow" w:hAnsi="Arial Narrow" w:cstheme="minorHAnsi"/>
                <w:sz w:val="20"/>
                <w:szCs w:val="20"/>
              </w:rPr>
              <w:t>)</w:t>
            </w:r>
          </w:p>
        </w:tc>
      </w:tr>
      <w:tr w:rsidR="00224E80" w:rsidRPr="00ED5365" w:rsidTr="00224E80">
        <w:trPr>
          <w:cnfStyle w:val="100000000000" w:firstRow="1" w:lastRow="0" w:firstColumn="0" w:lastColumn="0" w:oddVBand="0" w:evenVBand="0" w:oddHBand="0" w:evenHBand="0" w:firstRowFirstColumn="0" w:firstRowLastColumn="0" w:lastRowFirstColumn="0" w:lastRowLastColumn="0"/>
        </w:trPr>
        <w:tc>
          <w:tcPr>
            <w:tcW w:w="2033" w:type="pct"/>
            <w:tcBorders>
              <w:top w:val="single" w:sz="4" w:space="0" w:color="auto"/>
              <w:left w:val="single" w:sz="4" w:space="0" w:color="auto"/>
              <w:right w:val="single" w:sz="4" w:space="0" w:color="auto"/>
            </w:tcBorders>
          </w:tcPr>
          <w:p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Change from baseline to Q3 2019, ppFEV</w:t>
            </w:r>
            <w:r w:rsidRPr="00224E80">
              <w:rPr>
                <w:rFonts w:ascii="Arial Narrow" w:hAnsi="Arial Narrow" w:cstheme="minorHAnsi"/>
                <w:sz w:val="20"/>
                <w:szCs w:val="20"/>
                <w:vertAlign w:val="subscript"/>
              </w:rPr>
              <w:t>1</w:t>
            </w:r>
            <w:r w:rsidRPr="00224E80">
              <w:rPr>
                <w:rFonts w:ascii="Arial Narrow" w:hAnsi="Arial Narrow" w:cstheme="minorHAnsi"/>
                <w:sz w:val="20"/>
                <w:szCs w:val="20"/>
              </w:rPr>
              <w:t>, %:</w:t>
            </w:r>
          </w:p>
        </w:tc>
        <w:tc>
          <w:tcPr>
            <w:tcW w:w="741" w:type="pct"/>
            <w:tcBorders>
              <w:top w:val="single" w:sz="4" w:space="0" w:color="auto"/>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highlight w:val="yellow"/>
              </w:rPr>
            </w:pPr>
          </w:p>
        </w:tc>
      </w:tr>
      <w:tr w:rsidR="00224E80" w:rsidRPr="00ED5365"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right w:val="single" w:sz="4" w:space="0" w:color="auto"/>
            </w:tcBorders>
          </w:tcPr>
          <w:p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n</w:t>
            </w:r>
          </w:p>
        </w:tc>
        <w:tc>
          <w:tcPr>
            <w:tcW w:w="741"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2,746</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1,319</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2,167</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1,114</w:t>
            </w:r>
          </w:p>
        </w:tc>
      </w:tr>
      <w:tr w:rsidR="00224E80" w:rsidRPr="00ED5365"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right w:val="single" w:sz="4" w:space="0" w:color="auto"/>
            </w:tcBorders>
          </w:tcPr>
          <w:p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Mean</w:t>
            </w:r>
            <w:r w:rsidR="002C1170">
              <w:rPr>
                <w:rFonts w:ascii="Arial Narrow" w:hAnsi="Arial Narrow" w:cstheme="minorHAnsi"/>
                <w:sz w:val="20"/>
                <w:szCs w:val="20"/>
              </w:rPr>
              <w:t xml:space="preserve"> (</w:t>
            </w:r>
            <w:proofErr w:type="spellStart"/>
            <w:r w:rsidR="002C1170">
              <w:rPr>
                <w:rFonts w:ascii="Arial Narrow" w:hAnsi="Arial Narrow" w:cstheme="minorHAnsi"/>
                <w:sz w:val="20"/>
                <w:szCs w:val="20"/>
              </w:rPr>
              <w:t>sd</w:t>
            </w:r>
            <w:proofErr w:type="spellEnd"/>
            <w:r w:rsidR="002C1170">
              <w:rPr>
                <w:rFonts w:ascii="Arial Narrow" w:hAnsi="Arial Narrow" w:cstheme="minorHAnsi"/>
                <w:sz w:val="20"/>
                <w:szCs w:val="20"/>
              </w:rPr>
              <w:t>)</w:t>
            </w:r>
          </w:p>
        </w:tc>
        <w:tc>
          <w:tcPr>
            <w:tcW w:w="741"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-7.21</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12.62</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-3.91</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10.47</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-7.73</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12.80</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-4.07</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10.23</w:t>
            </w:r>
            <w:r w:rsidR="002C1170">
              <w:rPr>
                <w:rFonts w:ascii="Arial Narrow" w:hAnsi="Arial Narrow" w:cstheme="minorHAnsi"/>
                <w:sz w:val="20"/>
                <w:szCs w:val="20"/>
              </w:rPr>
              <w:t>)</w:t>
            </w:r>
          </w:p>
        </w:tc>
      </w:tr>
      <w:tr w:rsidR="00224E80" w:rsidRPr="00ED5365" w:rsidTr="00224E80">
        <w:trPr>
          <w:cnfStyle w:val="100000000000" w:firstRow="1" w:lastRow="0" w:firstColumn="0" w:lastColumn="0" w:oddVBand="0" w:evenVBand="0" w:oddHBand="0" w:evenHBand="0" w:firstRowFirstColumn="0" w:firstRowLastColumn="0" w:lastRowFirstColumn="0" w:lastRowLastColumn="0"/>
        </w:trPr>
        <w:tc>
          <w:tcPr>
            <w:tcW w:w="2033" w:type="pct"/>
            <w:tcBorders>
              <w:top w:val="single" w:sz="4" w:space="0" w:color="auto"/>
              <w:left w:val="single" w:sz="4" w:space="0" w:color="auto"/>
              <w:right w:val="single" w:sz="4" w:space="0" w:color="auto"/>
            </w:tcBorders>
          </w:tcPr>
          <w:p w:rsidR="00224E80" w:rsidRPr="00224E80" w:rsidRDefault="00224E80" w:rsidP="001B7957">
            <w:pPr>
              <w:spacing w:before="0" w:after="0"/>
              <w:rPr>
                <w:rFonts w:ascii="Arial Narrow" w:hAnsi="Arial Narrow" w:cstheme="minorHAnsi"/>
                <w:sz w:val="20"/>
                <w:szCs w:val="20"/>
              </w:rPr>
            </w:pPr>
            <w:r w:rsidRPr="00224E80">
              <w:rPr>
                <w:rFonts w:ascii="Arial Narrow" w:hAnsi="Arial Narrow" w:cstheme="minorHAnsi"/>
                <w:sz w:val="20"/>
                <w:szCs w:val="20"/>
              </w:rPr>
              <w:t>Annualised change (2014 to Q3 2019), ppFEV</w:t>
            </w:r>
            <w:r w:rsidRPr="00224E80">
              <w:rPr>
                <w:rFonts w:ascii="Arial Narrow" w:hAnsi="Arial Narrow" w:cstheme="minorHAnsi"/>
                <w:sz w:val="20"/>
                <w:szCs w:val="20"/>
                <w:vertAlign w:val="subscript"/>
              </w:rPr>
              <w:t>1</w:t>
            </w:r>
            <w:r w:rsidRPr="00224E80">
              <w:rPr>
                <w:rFonts w:ascii="Arial Narrow" w:hAnsi="Arial Narrow" w:cstheme="minorHAnsi"/>
                <w:sz w:val="20"/>
                <w:szCs w:val="20"/>
              </w:rPr>
              <w:t>, %/</w:t>
            </w:r>
            <w:proofErr w:type="spellStart"/>
            <w:r w:rsidRPr="00224E80">
              <w:rPr>
                <w:rFonts w:ascii="Arial Narrow" w:hAnsi="Arial Narrow" w:cstheme="minorHAnsi"/>
                <w:sz w:val="20"/>
                <w:szCs w:val="20"/>
              </w:rPr>
              <w:t>year</w:t>
            </w:r>
            <w:r w:rsidR="001B7957">
              <w:rPr>
                <w:rFonts w:ascii="Arial Narrow" w:hAnsi="Arial Narrow" w:cstheme="minorHAnsi"/>
                <w:sz w:val="20"/>
                <w:szCs w:val="20"/>
                <w:vertAlign w:val="superscript"/>
              </w:rPr>
              <w:t>a</w:t>
            </w:r>
            <w:proofErr w:type="spellEnd"/>
          </w:p>
        </w:tc>
        <w:tc>
          <w:tcPr>
            <w:tcW w:w="741" w:type="pct"/>
            <w:tcBorders>
              <w:top w:val="single" w:sz="4" w:space="0" w:color="auto"/>
              <w:left w:val="single" w:sz="4" w:space="0" w:color="auto"/>
              <w:bottom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-1.52</w:t>
            </w:r>
          </w:p>
        </w:tc>
        <w:tc>
          <w:tcPr>
            <w:tcW w:w="742" w:type="pct"/>
            <w:tcBorders>
              <w:top w:val="single" w:sz="4" w:space="0" w:color="auto"/>
              <w:left w:val="single" w:sz="4" w:space="0" w:color="auto"/>
              <w:bottom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-0.82</w:t>
            </w:r>
          </w:p>
        </w:tc>
        <w:tc>
          <w:tcPr>
            <w:tcW w:w="742" w:type="pct"/>
            <w:tcBorders>
              <w:top w:val="single" w:sz="4" w:space="0" w:color="auto"/>
              <w:left w:val="single" w:sz="4" w:space="0" w:color="auto"/>
              <w:bottom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-1.63</w:t>
            </w:r>
          </w:p>
        </w:tc>
        <w:tc>
          <w:tcPr>
            <w:tcW w:w="742" w:type="pct"/>
            <w:tcBorders>
              <w:top w:val="single" w:sz="4" w:space="0" w:color="auto"/>
              <w:left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-0.86</w:t>
            </w:r>
          </w:p>
        </w:tc>
      </w:tr>
      <w:tr w:rsidR="00224E80" w:rsidRPr="00ED5365"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bottom w:val="single" w:sz="4" w:space="0" w:color="auto"/>
              <w:right w:val="single" w:sz="4" w:space="0" w:color="auto"/>
            </w:tcBorders>
          </w:tcPr>
          <w:p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 reduction in ppFEV</w:t>
            </w:r>
            <w:r w:rsidRPr="00224E80">
              <w:rPr>
                <w:rFonts w:ascii="Arial Narrow" w:hAnsi="Arial Narrow" w:cstheme="minorHAnsi"/>
                <w:sz w:val="20"/>
                <w:szCs w:val="20"/>
                <w:vertAlign w:val="subscript"/>
              </w:rPr>
              <w:t>1</w:t>
            </w:r>
            <w:r w:rsidRPr="00224E80">
              <w:rPr>
                <w:rFonts w:ascii="Arial Narrow" w:hAnsi="Arial Narrow" w:cstheme="minorHAnsi"/>
                <w:sz w:val="20"/>
                <w:szCs w:val="20"/>
              </w:rPr>
              <w:t xml:space="preserve"> ROD </w:t>
            </w:r>
            <w:r>
              <w:rPr>
                <w:rFonts w:ascii="Arial Narrow" w:hAnsi="Arial Narrow" w:cstheme="minorHAnsi"/>
                <w:sz w:val="20"/>
                <w:szCs w:val="20"/>
              </w:rPr>
              <w:t xml:space="preserve">(2014 to </w:t>
            </w:r>
            <w:r w:rsidRPr="00224E80">
              <w:rPr>
                <w:rFonts w:ascii="Arial Narrow" w:hAnsi="Arial Narrow" w:cstheme="minorHAnsi"/>
                <w:sz w:val="20"/>
                <w:szCs w:val="20"/>
              </w:rPr>
              <w:t>Q3 2019)</w:t>
            </w:r>
          </w:p>
        </w:tc>
        <w:tc>
          <w:tcPr>
            <w:tcW w:w="1483" w:type="pct"/>
            <w:gridSpan w:val="2"/>
            <w:tcBorders>
              <w:top w:val="single" w:sz="4" w:space="0" w:color="auto"/>
              <w:left w:val="single" w:sz="4" w:space="0" w:color="auto"/>
              <w:bottom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45.8%</w:t>
            </w:r>
          </w:p>
        </w:tc>
        <w:tc>
          <w:tcPr>
            <w:tcW w:w="1484" w:type="pct"/>
            <w:gridSpan w:val="2"/>
            <w:tcBorders>
              <w:top w:val="single" w:sz="4" w:space="0" w:color="auto"/>
              <w:left w:val="single" w:sz="4" w:space="0" w:color="auto"/>
              <w:bottom w:val="single" w:sz="4" w:space="0" w:color="auto"/>
              <w:right w:val="single" w:sz="4" w:space="0" w:color="auto"/>
            </w:tcBorders>
          </w:tcPr>
          <w:p w:rsidR="00224E80" w:rsidRPr="00224E80" w:rsidRDefault="00224E80" w:rsidP="00D92195">
            <w:pPr>
              <w:spacing w:before="0" w:after="0"/>
              <w:jc w:val="center"/>
              <w:rPr>
                <w:rFonts w:ascii="Arial Narrow" w:hAnsi="Arial Narrow" w:cstheme="minorHAnsi"/>
                <w:bCs/>
                <w:sz w:val="20"/>
                <w:szCs w:val="20"/>
              </w:rPr>
            </w:pPr>
            <w:r w:rsidRPr="00224E80">
              <w:rPr>
                <w:rFonts w:ascii="Arial Narrow" w:hAnsi="Arial Narrow" w:cstheme="minorHAnsi"/>
                <w:bCs/>
                <w:sz w:val="20"/>
                <w:szCs w:val="20"/>
              </w:rPr>
              <w:t>47.3%</w:t>
            </w:r>
          </w:p>
        </w:tc>
      </w:tr>
    </w:tbl>
    <w:p w:rsidR="00224E80" w:rsidRDefault="00224E80" w:rsidP="002C1170">
      <w:pPr>
        <w:rPr>
          <w:rFonts w:ascii="Arial Narrow" w:eastAsia="Calibri" w:hAnsi="Arial Narrow"/>
          <w:sz w:val="18"/>
          <w:szCs w:val="18"/>
        </w:rPr>
      </w:pPr>
      <w:r w:rsidRPr="002C1170">
        <w:rPr>
          <w:rFonts w:ascii="Arial Narrow" w:eastAsia="Calibri" w:hAnsi="Arial Narrow"/>
          <w:sz w:val="18"/>
          <w:szCs w:val="18"/>
        </w:rPr>
        <w:t>Source:</w:t>
      </w:r>
      <w:r w:rsidR="001B7957" w:rsidRPr="002C1170">
        <w:rPr>
          <w:rFonts w:ascii="Arial Narrow" w:eastAsia="Calibri" w:hAnsi="Arial Narrow"/>
          <w:sz w:val="18"/>
          <w:szCs w:val="18"/>
        </w:rPr>
        <w:t xml:space="preserve"> Table 4, PSCR</w:t>
      </w:r>
      <w:r w:rsidRPr="002C1170">
        <w:rPr>
          <w:rFonts w:ascii="Arial Narrow" w:eastAsia="Calibri" w:hAnsi="Arial Narrow"/>
          <w:sz w:val="18"/>
          <w:szCs w:val="18"/>
        </w:rPr>
        <w:t>.</w:t>
      </w:r>
      <w:r w:rsidR="000A4FBA">
        <w:rPr>
          <w:rFonts w:ascii="Arial Narrow" w:eastAsia="Calibri" w:hAnsi="Arial Narrow"/>
          <w:sz w:val="18"/>
          <w:szCs w:val="18"/>
        </w:rPr>
        <w:t xml:space="preserve"> </w:t>
      </w:r>
      <w:proofErr w:type="gramStart"/>
      <w:r w:rsidR="001B7957" w:rsidRPr="002C1170">
        <w:rPr>
          <w:rFonts w:ascii="Arial Narrow" w:eastAsia="Calibri" w:hAnsi="Arial Narrow"/>
          <w:sz w:val="18"/>
          <w:szCs w:val="18"/>
          <w:vertAlign w:val="superscript"/>
        </w:rPr>
        <w:t>a</w:t>
      </w:r>
      <w:proofErr w:type="gramEnd"/>
      <w:r w:rsidRPr="002C1170">
        <w:rPr>
          <w:rFonts w:ascii="Arial Narrow" w:eastAsia="Calibri" w:hAnsi="Arial Narrow"/>
          <w:sz w:val="18"/>
          <w:szCs w:val="18"/>
        </w:rPr>
        <w:t xml:space="preserve"> Change from baseline divided by 4.75 years to reflect data through to Q3</w:t>
      </w:r>
    </w:p>
    <w:p w:rsidR="002C1170" w:rsidRPr="00AB1B0D" w:rsidRDefault="002C1170" w:rsidP="002C1170">
      <w:pPr>
        <w:pStyle w:val="TableFooter"/>
        <w:jc w:val="left"/>
      </w:pPr>
      <w:r w:rsidRPr="00AB1B0D">
        <w:t>Abbreviations: LUMA/IVA=lumacaftor/ivacaftor; ppFEV</w:t>
      </w:r>
      <w:r w:rsidRPr="00AB1B0D">
        <w:rPr>
          <w:vertAlign w:val="subscript"/>
        </w:rPr>
        <w:t>1</w:t>
      </w:r>
      <w:r w:rsidRPr="00AB1B0D">
        <w:t xml:space="preserve">=percent predicted forced expiratory volume in one </w:t>
      </w:r>
      <w:r>
        <w:t xml:space="preserve">second; </w:t>
      </w:r>
      <w:proofErr w:type="spellStart"/>
      <w:proofErr w:type="gramStart"/>
      <w:r>
        <w:t>sd</w:t>
      </w:r>
      <w:proofErr w:type="spellEnd"/>
      <w:r>
        <w:t>=</w:t>
      </w:r>
      <w:proofErr w:type="gramEnd"/>
      <w:r>
        <w:t xml:space="preserve">standard deviation; </w:t>
      </w:r>
      <w:r w:rsidRPr="00AB1B0D">
        <w:t xml:space="preserve">ROD=rate of decline; </w:t>
      </w:r>
    </w:p>
    <w:p w:rsidR="002C1170" w:rsidRDefault="002C1170" w:rsidP="00224E80">
      <w:pPr>
        <w:spacing w:after="120"/>
        <w:rPr>
          <w:rFonts w:eastAsia="Calibri"/>
          <w:sz w:val="16"/>
          <w:szCs w:val="16"/>
        </w:rPr>
      </w:pPr>
    </w:p>
    <w:p w:rsidR="00D86016" w:rsidRPr="00C825A8" w:rsidRDefault="00B776D6" w:rsidP="00B776D6">
      <w:pPr>
        <w:pStyle w:val="3-BodyText"/>
      </w:pPr>
      <w:bookmarkStart w:id="25" w:name="_Ref78807952"/>
      <w:r w:rsidRPr="00B776D6">
        <w:t>In response to a question from the PBAC (see paragraph 4.2), the sponsor provided additional analyses of the PASS 108 study which estimated the annual change in ppFEV</w:t>
      </w:r>
      <w:r w:rsidRPr="00BA3CE0">
        <w:rPr>
          <w:vertAlign w:val="subscript"/>
        </w:rPr>
        <w:t>1</w:t>
      </w:r>
      <w:r w:rsidRPr="00B776D6">
        <w:t xml:space="preserve"> with lumacaftor/ivacaftor over a later time window in order to exclude the initial improvement in ppFEV</w:t>
      </w:r>
      <w:r w:rsidRPr="00BA3CE0">
        <w:rPr>
          <w:vertAlign w:val="subscript"/>
        </w:rPr>
        <w:t>1</w:t>
      </w:r>
      <w:r w:rsidRPr="00B776D6">
        <w:t xml:space="preserve"> (data from 2016 to Q3 2019 used in the analysis; all patients commenced treatment in </w:t>
      </w:r>
      <w:r w:rsidR="00E32D25">
        <w:t>2015</w:t>
      </w:r>
      <w:r w:rsidRPr="00B776D6">
        <w:t>). The sponsor concluded that the annual change in ppFEV</w:t>
      </w:r>
      <w:r w:rsidRPr="00BA3CE0">
        <w:rPr>
          <w:vertAlign w:val="subscript"/>
        </w:rPr>
        <w:t>1</w:t>
      </w:r>
      <w:r w:rsidRPr="00B776D6">
        <w:t xml:space="preserve"> is remarkably constant over time. The PBAC noted, as expected, the annual change increases when the initial treatment period is excluded (from -0.86 [Table 6] to -0.99 per year for the cohort aged ≥12 years; from -0.82 [Table 6] to -0.91 per year for the cohort aged ≥6 years). The sponsor reported the </w:t>
      </w:r>
      <w:proofErr w:type="spellStart"/>
      <w:r w:rsidRPr="00B776D6">
        <w:t>rROD</w:t>
      </w:r>
      <w:proofErr w:type="spellEnd"/>
      <w:r w:rsidRPr="00B776D6">
        <w:t xml:space="preserve"> as 47.0% for the cohort aged ≥12 years and 51.3% and for the cohort ≥6 years. The PBAC noted the </w:t>
      </w:r>
      <w:proofErr w:type="spellStart"/>
      <w:r w:rsidRPr="00B776D6">
        <w:t>rROD</w:t>
      </w:r>
      <w:proofErr w:type="spellEnd"/>
      <w:r w:rsidRPr="00B776D6">
        <w:t xml:space="preserve"> was potentially overestimated as it was based on an annual change of -1.87 for the control group rather than the rates reported using the data from the Q3 2019 cohort (-1.63 and -1.52, Table 6). </w:t>
      </w:r>
      <w:bookmarkEnd w:id="25"/>
    </w:p>
    <w:p w:rsidR="00781D46" w:rsidRPr="00C825A8" w:rsidRDefault="00AA4723" w:rsidP="00AA4723">
      <w:pPr>
        <w:pStyle w:val="3-BodyText"/>
      </w:pPr>
      <w:r w:rsidRPr="00C825A8">
        <w:lastRenderedPageBreak/>
        <w:t>The pre-PBAC response provided longer-term follow-up for patients completing the PROGRESS study (in 2015) by identifying these patients in the US CFFPR. A total of 256 patients receiving</w:t>
      </w:r>
      <w:r w:rsidR="006D1F21" w:rsidRPr="00C825A8">
        <w:t xml:space="preserve"> lumacaftor/ivacaftor</w:t>
      </w:r>
      <w:r w:rsidRPr="00C825A8">
        <w:t xml:space="preserve"> in 2016 provided consent for additional data collection, of w</w:t>
      </w:r>
      <w:r w:rsidR="006D1F21" w:rsidRPr="00C825A8">
        <w:t>hom 202 continued to receive lumacaftor/ivacaftor</w:t>
      </w:r>
      <w:r w:rsidRPr="00C825A8">
        <w:t xml:space="preserve"> over the following three years (through 2018). The ROD in ppFEV</w:t>
      </w:r>
      <w:r w:rsidRPr="00C825A8">
        <w:rPr>
          <w:vertAlign w:val="subscript"/>
        </w:rPr>
        <w:t>1</w:t>
      </w:r>
      <w:r w:rsidRPr="00C825A8">
        <w:t xml:space="preserve"> was estimated to be 0.95</w:t>
      </w:r>
      <w:r w:rsidR="00310DF1">
        <w:t>%</w:t>
      </w:r>
      <w:r w:rsidRPr="00C825A8">
        <w:t xml:space="preserve"> per year, which was noted to be lower than the ROD of 2.29</w:t>
      </w:r>
      <w:r w:rsidR="00310DF1">
        <w:t>%</w:t>
      </w:r>
      <w:r w:rsidRPr="00C825A8">
        <w:t xml:space="preserve"> per year reported in the </w:t>
      </w:r>
      <w:proofErr w:type="spellStart"/>
      <w:r w:rsidRPr="00C825A8">
        <w:t>Konstan</w:t>
      </w:r>
      <w:proofErr w:type="spellEnd"/>
      <w:r w:rsidRPr="00C825A8">
        <w:t xml:space="preserve"> for the control group</w:t>
      </w:r>
      <w:r w:rsidR="006D1F21" w:rsidRPr="00C825A8">
        <w:t xml:space="preserve">. </w:t>
      </w:r>
      <w:r w:rsidR="007A4192">
        <w:t xml:space="preserve">The PBAC noted this was from an enriched population of continuers and </w:t>
      </w:r>
      <w:r w:rsidR="000A4FBA">
        <w:t xml:space="preserve">one of the reasons </w:t>
      </w:r>
      <w:r w:rsidR="007A4192">
        <w:t xml:space="preserve">patients </w:t>
      </w:r>
      <w:r w:rsidR="000A4FBA">
        <w:t xml:space="preserve">may discontinue treatment is because they were </w:t>
      </w:r>
      <w:r w:rsidR="007A4192">
        <w:t>not doing well on lumacaftor/ivacaftor</w:t>
      </w:r>
      <w:r w:rsidR="000A4FBA">
        <w:t xml:space="preserve">.  </w:t>
      </w:r>
    </w:p>
    <w:p w:rsidR="00C20A36" w:rsidRPr="00C825A8" w:rsidRDefault="006C67A7" w:rsidP="00C20A36">
      <w:pPr>
        <w:pStyle w:val="3-BodyText"/>
      </w:pPr>
      <w:r w:rsidRPr="00C825A8">
        <w:rPr>
          <w:rFonts w:cstheme="minorHAnsi"/>
          <w:iCs/>
        </w:rPr>
        <w:t>The estimated ppFEV</w:t>
      </w:r>
      <w:r w:rsidRPr="00C825A8">
        <w:rPr>
          <w:rFonts w:cstheme="minorHAnsi"/>
          <w:iCs/>
          <w:vertAlign w:val="subscript"/>
        </w:rPr>
        <w:t>1</w:t>
      </w:r>
      <w:r w:rsidRPr="00C825A8">
        <w:rPr>
          <w:rFonts w:cstheme="minorHAnsi"/>
          <w:iCs/>
        </w:rPr>
        <w:t xml:space="preserve"> </w:t>
      </w:r>
      <w:proofErr w:type="spellStart"/>
      <w:r w:rsidRPr="00C825A8">
        <w:rPr>
          <w:rFonts w:cstheme="minorHAnsi"/>
          <w:iCs/>
        </w:rPr>
        <w:t>rROD</w:t>
      </w:r>
      <w:proofErr w:type="spellEnd"/>
      <w:r w:rsidRPr="00C825A8">
        <w:rPr>
          <w:rFonts w:cstheme="minorHAnsi"/>
          <w:iCs/>
        </w:rPr>
        <w:t xml:space="preserve"> across the</w:t>
      </w:r>
      <w:r w:rsidR="007D53AF" w:rsidRPr="00C825A8">
        <w:rPr>
          <w:rFonts w:cstheme="minorHAnsi"/>
          <w:iCs/>
        </w:rPr>
        <w:t xml:space="preserve"> remaining studies</w:t>
      </w:r>
      <w:r w:rsidRPr="00C825A8">
        <w:rPr>
          <w:rFonts w:cstheme="minorHAnsi"/>
          <w:iCs/>
        </w:rPr>
        <w:t xml:space="preserve"> was 56% to </w:t>
      </w:r>
      <w:r w:rsidR="00C825A8">
        <w:rPr>
          <w:rFonts w:cstheme="minorHAnsi"/>
          <w:iCs/>
        </w:rPr>
        <w:t>&gt;100</w:t>
      </w:r>
      <w:r w:rsidRPr="00C825A8">
        <w:rPr>
          <w:rFonts w:cstheme="minorHAnsi"/>
          <w:iCs/>
        </w:rPr>
        <w:t xml:space="preserve">% </w:t>
      </w:r>
      <w:r w:rsidR="00FC1E7B" w:rsidRPr="00C825A8">
        <w:rPr>
          <w:rFonts w:cstheme="minorHAnsi"/>
          <w:iCs/>
        </w:rPr>
        <w:t>(Table 7)</w:t>
      </w:r>
      <w:r w:rsidR="00B83F34" w:rsidRPr="00C825A8">
        <w:rPr>
          <w:rFonts w:cstheme="minorHAnsi"/>
          <w:iCs/>
        </w:rPr>
        <w:t>.</w:t>
      </w:r>
      <w:r w:rsidR="00FB5BD3" w:rsidRPr="00C825A8">
        <w:rPr>
          <w:rFonts w:cstheme="minorHAnsi"/>
          <w:iCs/>
        </w:rPr>
        <w:t xml:space="preserve"> The PBAC noted the </w:t>
      </w:r>
      <w:r w:rsidR="008E75B6" w:rsidRPr="00C825A8">
        <w:rPr>
          <w:rFonts w:cstheme="minorHAnsi"/>
          <w:iCs/>
        </w:rPr>
        <w:t>initial</w:t>
      </w:r>
      <w:r w:rsidR="00C825A8">
        <w:rPr>
          <w:rFonts w:cstheme="minorHAnsi"/>
          <w:iCs/>
        </w:rPr>
        <w:t xml:space="preserve"> increase</w:t>
      </w:r>
      <w:r w:rsidR="00FB5BD3" w:rsidRPr="00C825A8">
        <w:rPr>
          <w:rFonts w:cstheme="minorHAnsi"/>
          <w:iCs/>
        </w:rPr>
        <w:t xml:space="preserve"> in </w:t>
      </w:r>
      <w:r w:rsidR="008075DF" w:rsidRPr="00C825A8">
        <w:rPr>
          <w:rFonts w:cstheme="minorHAnsi"/>
          <w:iCs/>
        </w:rPr>
        <w:t>pp</w:t>
      </w:r>
      <w:r w:rsidR="00FB5BD3" w:rsidRPr="00C825A8">
        <w:rPr>
          <w:rFonts w:cstheme="minorHAnsi"/>
          <w:iCs/>
        </w:rPr>
        <w:t>FEV</w:t>
      </w:r>
      <w:r w:rsidR="00FB5BD3" w:rsidRPr="00C825A8">
        <w:rPr>
          <w:rFonts w:cstheme="minorHAnsi"/>
          <w:iCs/>
          <w:vertAlign w:val="subscript"/>
        </w:rPr>
        <w:t>1</w:t>
      </w:r>
      <w:r w:rsidR="00FB5BD3" w:rsidRPr="00C825A8">
        <w:rPr>
          <w:rFonts w:cstheme="minorHAnsi"/>
          <w:iCs/>
        </w:rPr>
        <w:t xml:space="preserve"> in treated patients across the studies </w:t>
      </w:r>
      <w:r w:rsidR="008E75B6" w:rsidRPr="00C825A8">
        <w:rPr>
          <w:rFonts w:cstheme="minorHAnsi"/>
          <w:iCs/>
        </w:rPr>
        <w:t>appeared</w:t>
      </w:r>
      <w:r w:rsidR="00FB5BD3" w:rsidRPr="00C825A8">
        <w:rPr>
          <w:rFonts w:cstheme="minorHAnsi"/>
          <w:iCs/>
        </w:rPr>
        <w:t xml:space="preserve"> small, ranging from 0.2% to 3</w:t>
      </w:r>
      <w:r w:rsidR="006D1F21" w:rsidRPr="00C825A8">
        <w:rPr>
          <w:rFonts w:cstheme="minorHAnsi"/>
          <w:iCs/>
        </w:rPr>
        <w:t>.8</w:t>
      </w:r>
      <w:r w:rsidR="00FB5BD3" w:rsidRPr="00C825A8">
        <w:rPr>
          <w:rFonts w:cstheme="minorHAnsi"/>
          <w:iCs/>
        </w:rPr>
        <w:t>% in the first year of treatment</w:t>
      </w:r>
      <w:r w:rsidR="006D1F21" w:rsidRPr="00C825A8">
        <w:rPr>
          <w:rFonts w:cstheme="minorHAnsi"/>
          <w:iCs/>
        </w:rPr>
        <w:t>, compared to the 2.8%</w:t>
      </w:r>
      <w:r w:rsidR="00C825A8">
        <w:rPr>
          <w:rFonts w:cstheme="minorHAnsi"/>
          <w:iCs/>
        </w:rPr>
        <w:t xml:space="preserve"> (2 to 11 years of age)</w:t>
      </w:r>
      <w:r w:rsidR="006D1F21" w:rsidRPr="00C825A8">
        <w:rPr>
          <w:rFonts w:cstheme="minorHAnsi"/>
          <w:iCs/>
        </w:rPr>
        <w:t xml:space="preserve">/ 3.0% </w:t>
      </w:r>
      <w:r w:rsidR="00C825A8">
        <w:rPr>
          <w:rFonts w:cstheme="minorHAnsi"/>
          <w:iCs/>
        </w:rPr>
        <w:t xml:space="preserve">(≥ 12 years of age) </w:t>
      </w:r>
      <w:r w:rsidR="006D1F21" w:rsidRPr="00C825A8">
        <w:rPr>
          <w:rFonts w:cstheme="minorHAnsi"/>
          <w:iCs/>
        </w:rPr>
        <w:t>increase in the first 24 weeks</w:t>
      </w:r>
      <w:r w:rsidR="00C825A8">
        <w:rPr>
          <w:rFonts w:cstheme="minorHAnsi"/>
          <w:iCs/>
        </w:rPr>
        <w:t xml:space="preserve"> previously </w:t>
      </w:r>
      <w:r w:rsidR="00083FD4">
        <w:rPr>
          <w:rFonts w:cstheme="minorHAnsi"/>
          <w:iCs/>
        </w:rPr>
        <w:t xml:space="preserve">considered </w:t>
      </w:r>
      <w:r w:rsidR="00C825A8">
        <w:rPr>
          <w:rFonts w:cstheme="minorHAnsi"/>
          <w:iCs/>
        </w:rPr>
        <w:t>by the PBAC</w:t>
      </w:r>
      <w:r w:rsidR="00FB5BD3" w:rsidRPr="00C825A8">
        <w:rPr>
          <w:rFonts w:cstheme="minorHAnsi"/>
          <w:iCs/>
        </w:rPr>
        <w:t>.</w:t>
      </w:r>
      <w:r w:rsidR="000A4FBA">
        <w:rPr>
          <w:rFonts w:cstheme="minorHAnsi"/>
          <w:iCs/>
        </w:rPr>
        <w:t xml:space="preserve"> </w:t>
      </w:r>
      <w:r w:rsidR="00FB5BD3" w:rsidRPr="00C825A8">
        <w:rPr>
          <w:rFonts w:cstheme="minorHAnsi"/>
          <w:iCs/>
        </w:rPr>
        <w:t xml:space="preserve"> </w:t>
      </w:r>
    </w:p>
    <w:p w:rsidR="006C0102" w:rsidRPr="0071680D" w:rsidRDefault="0071680D" w:rsidP="001C2025">
      <w:pPr>
        <w:pStyle w:val="3-BodyText"/>
        <w:keepNext/>
        <w:keepLines/>
        <w:numPr>
          <w:ilvl w:val="0"/>
          <w:numId w:val="0"/>
        </w:numPr>
        <w:rPr>
          <w:rFonts w:ascii="Arial Narrow" w:hAnsi="Arial Narrow" w:cstheme="minorHAnsi"/>
          <w:b/>
          <w:bCs/>
          <w:snapToGrid/>
          <w:sz w:val="20"/>
          <w:szCs w:val="20"/>
        </w:rPr>
      </w:pPr>
      <w:r w:rsidRPr="0071680D">
        <w:rPr>
          <w:rFonts w:ascii="Arial Narrow" w:hAnsi="Arial Narrow" w:cstheme="minorHAnsi"/>
          <w:b/>
          <w:bCs/>
          <w:snapToGrid/>
          <w:sz w:val="20"/>
          <w:szCs w:val="20"/>
        </w:rPr>
        <w:t xml:space="preserve">Table </w:t>
      </w:r>
      <w:r>
        <w:rPr>
          <w:rFonts w:ascii="Arial Narrow" w:hAnsi="Arial Narrow" w:cstheme="minorHAnsi"/>
          <w:b/>
          <w:bCs/>
          <w:snapToGrid/>
          <w:sz w:val="20"/>
          <w:szCs w:val="20"/>
        </w:rPr>
        <w:t>7</w:t>
      </w:r>
      <w:r w:rsidRPr="0071680D">
        <w:rPr>
          <w:rFonts w:ascii="Arial Narrow" w:hAnsi="Arial Narrow" w:cstheme="minorHAnsi"/>
          <w:b/>
          <w:bCs/>
          <w:snapToGrid/>
          <w:sz w:val="20"/>
          <w:szCs w:val="20"/>
        </w:rPr>
        <w:t xml:space="preserve">: </w:t>
      </w:r>
      <w:r w:rsidRPr="00D24F0A">
        <w:rPr>
          <w:rFonts w:ascii="Arial Narrow" w:hAnsi="Arial Narrow" w:cstheme="minorHAnsi"/>
          <w:b/>
          <w:sz w:val="20"/>
          <w:szCs w:val="20"/>
        </w:rPr>
        <w:t>Change in ppFEV</w:t>
      </w:r>
      <w:r w:rsidRPr="00D24F0A">
        <w:rPr>
          <w:rFonts w:ascii="Arial Narrow" w:hAnsi="Arial Narrow" w:cstheme="minorHAnsi"/>
          <w:b/>
          <w:sz w:val="20"/>
          <w:szCs w:val="20"/>
          <w:vertAlign w:val="subscript"/>
        </w:rPr>
        <w:t>1</w:t>
      </w:r>
      <w:r w:rsidRPr="00D24F0A">
        <w:rPr>
          <w:rFonts w:ascii="Arial Narrow" w:hAnsi="Arial Narrow" w:cstheme="minorHAnsi"/>
          <w:b/>
          <w:sz w:val="20"/>
          <w:szCs w:val="20"/>
        </w:rPr>
        <w:t xml:space="preserve"> </w:t>
      </w:r>
      <w:r>
        <w:rPr>
          <w:rFonts w:ascii="Arial Narrow" w:hAnsi="Arial Narrow" w:cstheme="minorHAnsi"/>
          <w:b/>
          <w:sz w:val="20"/>
          <w:szCs w:val="20"/>
        </w:rPr>
        <w:t>in the remaining studies</w:t>
      </w:r>
      <w:r w:rsidRPr="0071680D" w:rsidDel="00FB3B32">
        <w:rPr>
          <w:rFonts w:ascii="Arial Narrow" w:hAnsi="Arial Narrow" w:cstheme="minorHAnsi"/>
          <w:b/>
          <w:bCs/>
          <w:snapToGrid/>
          <w:sz w:val="20"/>
          <w:szCs w:val="20"/>
        </w:rPr>
        <w:t xml:space="preserve"> </w:t>
      </w:r>
    </w:p>
    <w:tbl>
      <w:tblPr>
        <w:tblStyle w:val="HTATableshaded"/>
        <w:tblW w:w="5000" w:type="pct"/>
        <w:tblLayout w:type="fixed"/>
        <w:tblLook w:val="04A0" w:firstRow="1" w:lastRow="0" w:firstColumn="1" w:lastColumn="0" w:noHBand="0" w:noVBand="1"/>
        <w:tblCaption w:val="Table 7: Change in ppFEV1 in the remaining studies "/>
      </w:tblPr>
      <w:tblGrid>
        <w:gridCol w:w="1326"/>
        <w:gridCol w:w="1099"/>
        <w:gridCol w:w="1098"/>
        <w:gridCol w:w="1098"/>
        <w:gridCol w:w="1098"/>
        <w:gridCol w:w="1098"/>
        <w:gridCol w:w="1098"/>
        <w:gridCol w:w="1102"/>
      </w:tblGrid>
      <w:tr w:rsidR="0071680D" w:rsidRPr="00311FA8" w:rsidTr="007B10A0">
        <w:trPr>
          <w:cnfStyle w:val="100000000000" w:firstRow="1" w:lastRow="0" w:firstColumn="0" w:lastColumn="0" w:oddVBand="0" w:evenVBand="0" w:oddHBand="0" w:evenHBand="0" w:firstRowFirstColumn="0" w:firstRowLastColumn="0" w:lastRowFirstColumn="0" w:lastRowLastColumn="0"/>
          <w:tblHeader/>
        </w:trPr>
        <w:tc>
          <w:tcPr>
            <w:tcW w:w="735" w:type="pct"/>
          </w:tcPr>
          <w:p w:rsidR="0071680D" w:rsidRPr="00572CD2" w:rsidRDefault="0071680D" w:rsidP="001C2025">
            <w:pPr>
              <w:pStyle w:val="Tabletext"/>
              <w:keepNext/>
              <w:keepLines/>
              <w:rPr>
                <w:b/>
              </w:rPr>
            </w:pPr>
          </w:p>
        </w:tc>
        <w:tc>
          <w:tcPr>
            <w:tcW w:w="609" w:type="pct"/>
            <w:shd w:val="clear" w:color="auto" w:fill="auto"/>
          </w:tcPr>
          <w:p w:rsidR="0071680D" w:rsidRPr="00BB064B" w:rsidRDefault="0071680D" w:rsidP="001C2025">
            <w:pPr>
              <w:pStyle w:val="Tabletext"/>
              <w:keepNext/>
              <w:keepLines/>
              <w:ind w:left="-151" w:right="-79"/>
              <w:jc w:val="center"/>
              <w:rPr>
                <w:b/>
                <w:bCs/>
              </w:rPr>
            </w:pPr>
            <w:proofErr w:type="spellStart"/>
            <w:r w:rsidRPr="00BB064B">
              <w:rPr>
                <w:b/>
                <w:bCs/>
              </w:rPr>
              <w:t>Bourgani</w:t>
            </w:r>
            <w:proofErr w:type="spellEnd"/>
            <w:r w:rsidRPr="00BB064B">
              <w:rPr>
                <w:b/>
                <w:bCs/>
              </w:rPr>
              <w:t xml:space="preserve"> 2019</w:t>
            </w:r>
            <w:r w:rsidR="000A4FBA">
              <w:rPr>
                <w:b/>
                <w:bCs/>
              </w:rPr>
              <w:t xml:space="preserve"> </w:t>
            </w:r>
          </w:p>
        </w:tc>
        <w:tc>
          <w:tcPr>
            <w:tcW w:w="609" w:type="pct"/>
            <w:shd w:val="clear" w:color="auto" w:fill="auto"/>
          </w:tcPr>
          <w:p w:rsidR="0071680D" w:rsidRPr="00BB064B" w:rsidRDefault="0071680D" w:rsidP="001C2025">
            <w:pPr>
              <w:pStyle w:val="Tabletext"/>
              <w:keepNext/>
              <w:keepLines/>
              <w:ind w:left="-110" w:right="-79"/>
              <w:jc w:val="center"/>
              <w:rPr>
                <w:b/>
                <w:bCs/>
              </w:rPr>
            </w:pPr>
            <w:proofErr w:type="spellStart"/>
            <w:r w:rsidRPr="00BB064B">
              <w:rPr>
                <w:b/>
                <w:bCs/>
              </w:rPr>
              <w:t>Mermis</w:t>
            </w:r>
            <w:proofErr w:type="spellEnd"/>
            <w:r w:rsidRPr="00BB064B">
              <w:rPr>
                <w:b/>
                <w:bCs/>
              </w:rPr>
              <w:t xml:space="preserve"> 2019</w:t>
            </w:r>
            <w:r w:rsidRPr="00BB064B">
              <w:rPr>
                <w:b/>
                <w:bCs/>
                <w:vertAlign w:val="superscript"/>
              </w:rPr>
              <w:t>d</w:t>
            </w:r>
            <w:r w:rsidRPr="00BB064B">
              <w:rPr>
                <w:b/>
                <w:bCs/>
              </w:rPr>
              <w:t xml:space="preserve"> </w:t>
            </w:r>
          </w:p>
        </w:tc>
        <w:tc>
          <w:tcPr>
            <w:tcW w:w="609" w:type="pct"/>
            <w:shd w:val="clear" w:color="auto" w:fill="auto"/>
          </w:tcPr>
          <w:p w:rsidR="0071680D" w:rsidRPr="00BB064B" w:rsidRDefault="0071680D" w:rsidP="001C2025">
            <w:pPr>
              <w:pStyle w:val="Tabletext"/>
              <w:keepNext/>
              <w:keepLines/>
              <w:ind w:left="-110" w:right="-79"/>
              <w:jc w:val="center"/>
              <w:rPr>
                <w:b/>
                <w:bCs/>
              </w:rPr>
            </w:pPr>
            <w:proofErr w:type="spellStart"/>
            <w:r w:rsidRPr="00BB064B">
              <w:rPr>
                <w:b/>
                <w:bCs/>
              </w:rPr>
              <w:t>Muilwijk</w:t>
            </w:r>
            <w:proofErr w:type="spellEnd"/>
            <w:r w:rsidRPr="00BB064B">
              <w:rPr>
                <w:b/>
                <w:bCs/>
              </w:rPr>
              <w:t xml:space="preserve"> 2020 </w:t>
            </w:r>
          </w:p>
        </w:tc>
        <w:tc>
          <w:tcPr>
            <w:tcW w:w="609" w:type="pct"/>
            <w:shd w:val="clear" w:color="auto" w:fill="auto"/>
          </w:tcPr>
          <w:p w:rsidR="0071680D" w:rsidRPr="00BB064B" w:rsidRDefault="0071680D" w:rsidP="001C2025">
            <w:pPr>
              <w:pStyle w:val="Tabletext"/>
              <w:keepNext/>
              <w:keepLines/>
              <w:ind w:left="-110" w:right="-79"/>
              <w:jc w:val="center"/>
              <w:rPr>
                <w:b/>
                <w:bCs/>
              </w:rPr>
            </w:pPr>
            <w:r w:rsidRPr="00BB064B">
              <w:rPr>
                <w:b/>
                <w:bCs/>
              </w:rPr>
              <w:t>Collet 2018</w:t>
            </w:r>
          </w:p>
        </w:tc>
        <w:tc>
          <w:tcPr>
            <w:tcW w:w="609" w:type="pct"/>
            <w:shd w:val="clear" w:color="auto" w:fill="auto"/>
          </w:tcPr>
          <w:p w:rsidR="0071680D" w:rsidRPr="00BB064B" w:rsidRDefault="0071680D" w:rsidP="001C2025">
            <w:pPr>
              <w:pStyle w:val="Tabletext"/>
              <w:keepNext/>
              <w:keepLines/>
              <w:ind w:left="-110" w:right="-79"/>
              <w:jc w:val="center"/>
              <w:rPr>
                <w:b/>
                <w:bCs/>
              </w:rPr>
            </w:pPr>
            <w:r w:rsidRPr="00BB064B">
              <w:rPr>
                <w:rFonts w:cs="Calibri"/>
                <w:b/>
                <w:bCs/>
                <w:color w:val="000000"/>
                <w:szCs w:val="20"/>
              </w:rPr>
              <w:t>Ejiofor 2020</w:t>
            </w:r>
          </w:p>
        </w:tc>
        <w:tc>
          <w:tcPr>
            <w:tcW w:w="609" w:type="pct"/>
            <w:shd w:val="clear" w:color="auto" w:fill="auto"/>
          </w:tcPr>
          <w:p w:rsidR="0071680D" w:rsidRPr="00BB064B" w:rsidRDefault="0071680D" w:rsidP="001C2025">
            <w:pPr>
              <w:pStyle w:val="Tabletext"/>
              <w:keepNext/>
              <w:keepLines/>
              <w:ind w:left="-110" w:right="-79"/>
              <w:jc w:val="center"/>
              <w:rPr>
                <w:b/>
                <w:bCs/>
              </w:rPr>
            </w:pPr>
            <w:r w:rsidRPr="00BB064B">
              <w:rPr>
                <w:rFonts w:cs="Calibri"/>
                <w:b/>
                <w:bCs/>
                <w:color w:val="000000"/>
                <w:szCs w:val="20"/>
              </w:rPr>
              <w:t>King 2021</w:t>
            </w:r>
          </w:p>
        </w:tc>
        <w:tc>
          <w:tcPr>
            <w:tcW w:w="609" w:type="pct"/>
            <w:shd w:val="clear" w:color="auto" w:fill="auto"/>
          </w:tcPr>
          <w:p w:rsidR="0071680D" w:rsidRPr="00BB064B" w:rsidRDefault="0071680D" w:rsidP="001C2025">
            <w:pPr>
              <w:pStyle w:val="Tabletext"/>
              <w:keepNext/>
              <w:keepLines/>
              <w:ind w:left="-110" w:right="-79"/>
              <w:jc w:val="center"/>
              <w:rPr>
                <w:rFonts w:cs="Calibri"/>
                <w:b/>
                <w:bCs/>
                <w:color w:val="000000"/>
                <w:szCs w:val="20"/>
              </w:rPr>
            </w:pPr>
            <w:proofErr w:type="spellStart"/>
            <w:r w:rsidRPr="00BB064B">
              <w:rPr>
                <w:rFonts w:cs="Calibri"/>
                <w:b/>
                <w:bCs/>
                <w:color w:val="000000"/>
                <w:szCs w:val="20"/>
              </w:rPr>
              <w:t>Loukou</w:t>
            </w:r>
            <w:proofErr w:type="spellEnd"/>
            <w:r w:rsidRPr="00BB064B">
              <w:rPr>
                <w:rFonts w:cs="Calibri"/>
                <w:b/>
                <w:bCs/>
                <w:color w:val="000000"/>
                <w:szCs w:val="20"/>
              </w:rPr>
              <w:t xml:space="preserve"> 2020</w:t>
            </w:r>
          </w:p>
        </w:tc>
      </w:tr>
      <w:tr w:rsidR="0071680D" w:rsidRPr="00311FA8" w:rsidTr="0071680D">
        <w:tc>
          <w:tcPr>
            <w:tcW w:w="735" w:type="pct"/>
          </w:tcPr>
          <w:p w:rsidR="0071680D" w:rsidRPr="00311FA8" w:rsidRDefault="0071680D" w:rsidP="001C2025">
            <w:pPr>
              <w:pStyle w:val="Tabletext"/>
              <w:keepNext/>
              <w:keepLines/>
              <w:rPr>
                <w:b/>
              </w:rPr>
            </w:pPr>
          </w:p>
        </w:tc>
        <w:tc>
          <w:tcPr>
            <w:tcW w:w="609" w:type="pct"/>
          </w:tcPr>
          <w:p w:rsidR="0071680D" w:rsidRPr="00311FA8" w:rsidRDefault="0071680D" w:rsidP="001C2025">
            <w:pPr>
              <w:pStyle w:val="Tabletext"/>
              <w:keepNext/>
              <w:keepLines/>
              <w:ind w:left="-90" w:right="-164"/>
              <w:jc w:val="center"/>
              <w:rPr>
                <w:b/>
                <w:bCs/>
              </w:rPr>
            </w:pPr>
            <w:r w:rsidRPr="00311FA8">
              <w:rPr>
                <w:b/>
                <w:bCs/>
              </w:rPr>
              <w:t>LUMA/IVA</w:t>
            </w:r>
          </w:p>
        </w:tc>
        <w:tc>
          <w:tcPr>
            <w:tcW w:w="609" w:type="pct"/>
          </w:tcPr>
          <w:p w:rsidR="0071680D" w:rsidRPr="00311FA8" w:rsidRDefault="0071680D" w:rsidP="001C2025">
            <w:pPr>
              <w:pStyle w:val="Tabletext"/>
              <w:keepNext/>
              <w:keepLines/>
              <w:ind w:left="-90" w:right="-164"/>
              <w:jc w:val="center"/>
              <w:rPr>
                <w:b/>
                <w:bCs/>
              </w:rPr>
            </w:pPr>
            <w:r w:rsidRPr="00311FA8">
              <w:rPr>
                <w:b/>
                <w:bCs/>
              </w:rPr>
              <w:t>L/I &amp; T/I</w:t>
            </w:r>
          </w:p>
        </w:tc>
        <w:tc>
          <w:tcPr>
            <w:tcW w:w="609" w:type="pct"/>
          </w:tcPr>
          <w:p w:rsidR="0071680D" w:rsidRPr="00311FA8" w:rsidRDefault="0071680D" w:rsidP="001C2025">
            <w:pPr>
              <w:pStyle w:val="Tabletext"/>
              <w:keepNext/>
              <w:keepLines/>
              <w:ind w:left="-90" w:right="-164"/>
              <w:jc w:val="center"/>
              <w:rPr>
                <w:b/>
                <w:bCs/>
              </w:rPr>
            </w:pPr>
            <w:r w:rsidRPr="00311FA8">
              <w:rPr>
                <w:b/>
                <w:bCs/>
              </w:rPr>
              <w:t>LUMA/IVA</w:t>
            </w:r>
          </w:p>
        </w:tc>
        <w:tc>
          <w:tcPr>
            <w:tcW w:w="609" w:type="pct"/>
          </w:tcPr>
          <w:p w:rsidR="0071680D" w:rsidRPr="00311FA8" w:rsidRDefault="0071680D" w:rsidP="001C2025">
            <w:pPr>
              <w:pStyle w:val="Tabletext"/>
              <w:keepNext/>
              <w:keepLines/>
              <w:ind w:left="-90" w:right="-164"/>
              <w:jc w:val="center"/>
              <w:rPr>
                <w:b/>
                <w:bCs/>
              </w:rPr>
            </w:pPr>
            <w:r w:rsidRPr="00311FA8">
              <w:rPr>
                <w:b/>
                <w:bCs/>
              </w:rPr>
              <w:t>LUMA/IVA</w:t>
            </w:r>
          </w:p>
        </w:tc>
        <w:tc>
          <w:tcPr>
            <w:tcW w:w="609" w:type="pct"/>
          </w:tcPr>
          <w:p w:rsidR="0071680D" w:rsidRPr="00311FA8" w:rsidRDefault="0071680D" w:rsidP="001C2025">
            <w:pPr>
              <w:pStyle w:val="Tabletext"/>
              <w:keepNext/>
              <w:keepLines/>
              <w:ind w:left="-90" w:right="-164"/>
              <w:jc w:val="center"/>
              <w:rPr>
                <w:b/>
                <w:bCs/>
              </w:rPr>
            </w:pPr>
            <w:r w:rsidRPr="00311FA8">
              <w:rPr>
                <w:b/>
                <w:bCs/>
              </w:rPr>
              <w:t>LUMA/IVA</w:t>
            </w:r>
          </w:p>
        </w:tc>
        <w:tc>
          <w:tcPr>
            <w:tcW w:w="609" w:type="pct"/>
          </w:tcPr>
          <w:p w:rsidR="0071680D" w:rsidRPr="00311FA8" w:rsidRDefault="0071680D" w:rsidP="001C2025">
            <w:pPr>
              <w:pStyle w:val="Tabletext"/>
              <w:keepNext/>
              <w:keepLines/>
              <w:ind w:left="-90" w:right="-164"/>
              <w:jc w:val="center"/>
              <w:rPr>
                <w:b/>
                <w:bCs/>
              </w:rPr>
            </w:pPr>
            <w:r w:rsidRPr="00311FA8">
              <w:rPr>
                <w:b/>
                <w:bCs/>
              </w:rPr>
              <w:t>LUMA/IVA</w:t>
            </w:r>
          </w:p>
        </w:tc>
        <w:tc>
          <w:tcPr>
            <w:tcW w:w="609" w:type="pct"/>
          </w:tcPr>
          <w:p w:rsidR="0071680D" w:rsidRPr="00311FA8" w:rsidRDefault="0071680D" w:rsidP="001C2025">
            <w:pPr>
              <w:pStyle w:val="Tabletext"/>
              <w:keepNext/>
              <w:keepLines/>
              <w:ind w:left="-90" w:right="-164"/>
              <w:jc w:val="center"/>
              <w:rPr>
                <w:b/>
                <w:bCs/>
              </w:rPr>
            </w:pPr>
            <w:r w:rsidRPr="00311FA8">
              <w:rPr>
                <w:b/>
                <w:bCs/>
              </w:rPr>
              <w:t>LUMA/ IVA</w:t>
            </w:r>
          </w:p>
        </w:tc>
      </w:tr>
      <w:tr w:rsidR="0071680D" w:rsidRPr="00311FA8" w:rsidTr="0071680D">
        <w:tc>
          <w:tcPr>
            <w:tcW w:w="735" w:type="pct"/>
          </w:tcPr>
          <w:p w:rsidR="0071680D" w:rsidRPr="00311FA8" w:rsidRDefault="0071680D" w:rsidP="001C2025">
            <w:pPr>
              <w:pStyle w:val="Tabletext"/>
              <w:keepNext/>
              <w:keepLines/>
              <w:rPr>
                <w:b/>
              </w:rPr>
            </w:pPr>
          </w:p>
        </w:tc>
        <w:tc>
          <w:tcPr>
            <w:tcW w:w="609" w:type="pct"/>
          </w:tcPr>
          <w:p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N=46</w:t>
            </w:r>
          </w:p>
        </w:tc>
        <w:tc>
          <w:tcPr>
            <w:tcW w:w="609" w:type="pct"/>
          </w:tcPr>
          <w:p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N=85</w:t>
            </w:r>
          </w:p>
        </w:tc>
        <w:tc>
          <w:tcPr>
            <w:tcW w:w="609" w:type="pct"/>
          </w:tcPr>
          <w:p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N=70</w:t>
            </w:r>
          </w:p>
        </w:tc>
        <w:tc>
          <w:tcPr>
            <w:tcW w:w="609" w:type="pct"/>
          </w:tcPr>
          <w:p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N=30</w:t>
            </w:r>
          </w:p>
        </w:tc>
        <w:tc>
          <w:tcPr>
            <w:tcW w:w="609" w:type="pct"/>
          </w:tcPr>
          <w:p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N=21</w:t>
            </w:r>
          </w:p>
        </w:tc>
        <w:tc>
          <w:tcPr>
            <w:tcW w:w="609" w:type="pct"/>
          </w:tcPr>
          <w:p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N=24</w:t>
            </w:r>
          </w:p>
        </w:tc>
        <w:tc>
          <w:tcPr>
            <w:tcW w:w="609" w:type="pct"/>
          </w:tcPr>
          <w:p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N=40</w:t>
            </w:r>
          </w:p>
        </w:tc>
      </w:tr>
      <w:tr w:rsidR="00180F49" w:rsidRPr="00311FA8" w:rsidTr="00180F49">
        <w:tc>
          <w:tcPr>
            <w:tcW w:w="5000" w:type="pct"/>
            <w:gridSpan w:val="8"/>
          </w:tcPr>
          <w:p w:rsidR="00180F49" w:rsidRPr="00311FA8" w:rsidRDefault="00180F49" w:rsidP="001C2025">
            <w:pPr>
              <w:pStyle w:val="Tabletext"/>
              <w:keepNext/>
              <w:keepLines/>
              <w:tabs>
                <w:tab w:val="left" w:pos="147"/>
              </w:tabs>
            </w:pPr>
            <w:r w:rsidRPr="00311FA8">
              <w:rPr>
                <w:b/>
                <w:bCs/>
              </w:rPr>
              <w:t>ppFEV</w:t>
            </w:r>
            <w:r w:rsidRPr="00311FA8">
              <w:rPr>
                <w:b/>
                <w:bCs/>
                <w:vertAlign w:val="subscript"/>
              </w:rPr>
              <w:t>1</w:t>
            </w:r>
          </w:p>
        </w:tc>
      </w:tr>
      <w:tr w:rsidR="0071680D" w:rsidRPr="00311FA8" w:rsidTr="0071680D">
        <w:tc>
          <w:tcPr>
            <w:tcW w:w="735" w:type="pct"/>
          </w:tcPr>
          <w:p w:rsidR="0071680D" w:rsidRPr="00311FA8" w:rsidRDefault="0071680D" w:rsidP="001C2025">
            <w:pPr>
              <w:pStyle w:val="Tabletext"/>
              <w:keepNext/>
              <w:keepLines/>
              <w:ind w:left="31"/>
            </w:pPr>
            <w:proofErr w:type="spellStart"/>
            <w:r w:rsidRPr="00311FA8">
              <w:t>Baseline</w:t>
            </w:r>
            <w:r w:rsidRPr="00311FA8">
              <w:rPr>
                <w:vertAlign w:val="superscript"/>
              </w:rPr>
              <w:t>a</w:t>
            </w:r>
            <w:proofErr w:type="spellEnd"/>
            <w:r w:rsidR="00831CCA" w:rsidRPr="00831CCA">
              <w:t xml:space="preserve">, </w:t>
            </w:r>
            <w:r w:rsidRPr="00180F49">
              <w:t>mean</w:t>
            </w:r>
            <w:r w:rsidR="00E34209">
              <w:t xml:space="preserve"> </w:t>
            </w:r>
          </w:p>
        </w:tc>
        <w:tc>
          <w:tcPr>
            <w:tcW w:w="609" w:type="pct"/>
          </w:tcPr>
          <w:p w:rsidR="00831CCA" w:rsidRDefault="0071680D" w:rsidP="001C2025">
            <w:pPr>
              <w:pStyle w:val="Tabletext"/>
              <w:keepNext/>
              <w:keepLines/>
              <w:ind w:left="-90" w:right="-103"/>
              <w:jc w:val="center"/>
            </w:pPr>
            <w:r w:rsidRPr="00311FA8">
              <w:t xml:space="preserve">61.0 </w:t>
            </w:r>
          </w:p>
          <w:p w:rsidR="0071680D" w:rsidRPr="00311FA8" w:rsidRDefault="0071680D" w:rsidP="001C2025">
            <w:pPr>
              <w:pStyle w:val="Tabletext"/>
              <w:keepNext/>
              <w:keepLines/>
              <w:ind w:left="-90" w:right="-103"/>
              <w:jc w:val="center"/>
              <w:rPr>
                <w:rFonts w:cstheme="minorHAnsi"/>
                <w:szCs w:val="20"/>
                <w:lang w:val="en-GB"/>
              </w:rPr>
            </w:pPr>
          </w:p>
        </w:tc>
        <w:tc>
          <w:tcPr>
            <w:tcW w:w="609" w:type="pct"/>
          </w:tcPr>
          <w:p w:rsidR="0071680D" w:rsidRPr="00311FA8" w:rsidRDefault="0071680D" w:rsidP="001C2025">
            <w:pPr>
              <w:pStyle w:val="Tabletext"/>
              <w:keepNext/>
              <w:keepLines/>
              <w:ind w:left="-90" w:right="-103"/>
              <w:jc w:val="center"/>
              <w:rPr>
                <w:rFonts w:cstheme="minorHAnsi"/>
                <w:szCs w:val="20"/>
                <w:lang w:val="en-GB"/>
              </w:rPr>
            </w:pPr>
            <w:r w:rsidRPr="00311FA8">
              <w:t xml:space="preserve">64.9 </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t>60.2</w:t>
            </w:r>
            <w:r w:rsidRPr="00311FA8">
              <w:rPr>
                <w:vertAlign w:val="superscript"/>
              </w:rPr>
              <w:t>b</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t xml:space="preserve">85.1 </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sidRPr="00311FA8">
              <w:t xml:space="preserve">38.7 </w:t>
            </w:r>
            <w:r>
              <w:t>(median)</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sidRPr="00311FA8">
              <w:t xml:space="preserve">34.7 </w:t>
            </w:r>
          </w:p>
        </w:tc>
        <w:tc>
          <w:tcPr>
            <w:tcW w:w="609" w:type="pct"/>
          </w:tcPr>
          <w:p w:rsidR="0071680D" w:rsidRPr="00311FA8" w:rsidRDefault="0071680D" w:rsidP="001C2025">
            <w:pPr>
              <w:pStyle w:val="Tabletext"/>
              <w:keepNext/>
              <w:keepLines/>
              <w:ind w:left="-90" w:right="-103"/>
              <w:jc w:val="center"/>
              <w:rPr>
                <w:rFonts w:cstheme="minorHAnsi"/>
                <w:szCs w:val="20"/>
                <w:lang w:val="en-GB"/>
              </w:rPr>
            </w:pPr>
          </w:p>
        </w:tc>
      </w:tr>
      <w:tr w:rsidR="0071680D" w:rsidRPr="00311FA8" w:rsidTr="0071680D">
        <w:tc>
          <w:tcPr>
            <w:tcW w:w="735" w:type="pct"/>
          </w:tcPr>
          <w:p w:rsidR="0071680D" w:rsidRPr="00311FA8" w:rsidRDefault="0071680D" w:rsidP="001C2025">
            <w:pPr>
              <w:pStyle w:val="Tabletext"/>
              <w:keepNext/>
              <w:keepLines/>
              <w:ind w:left="31"/>
            </w:pPr>
            <w:r>
              <w:t>Change</w:t>
            </w:r>
            <w:r w:rsidR="00E34209">
              <w:t>, mean</w:t>
            </w:r>
          </w:p>
        </w:tc>
        <w:tc>
          <w:tcPr>
            <w:tcW w:w="609" w:type="pct"/>
          </w:tcPr>
          <w:p w:rsidR="0071680D" w:rsidRDefault="0071680D" w:rsidP="001C2025">
            <w:pPr>
              <w:pStyle w:val="Tabletext"/>
              <w:keepNext/>
              <w:keepLines/>
              <w:ind w:left="-90" w:right="-103"/>
              <w:jc w:val="center"/>
            </w:pPr>
            <w:proofErr w:type="spellStart"/>
            <w:r>
              <w:t>Yr</w:t>
            </w:r>
            <w:proofErr w:type="spellEnd"/>
            <w:r>
              <w:t xml:space="preserve"> 1: </w:t>
            </w:r>
            <w:r w:rsidR="00382DCA">
              <w:t>+</w:t>
            </w:r>
            <w:r w:rsidRPr="00633D60">
              <w:t>0.2%</w:t>
            </w:r>
          </w:p>
          <w:p w:rsidR="0071680D" w:rsidRPr="00311FA8" w:rsidRDefault="0071680D" w:rsidP="001C2025">
            <w:pPr>
              <w:pStyle w:val="Tabletext"/>
              <w:keepNext/>
              <w:keepLines/>
              <w:ind w:left="-90" w:right="-103"/>
              <w:jc w:val="center"/>
            </w:pPr>
            <w:proofErr w:type="spellStart"/>
            <w:r>
              <w:t>Yr</w:t>
            </w:r>
            <w:proofErr w:type="spellEnd"/>
            <w:r>
              <w:t xml:space="preserve"> 2: </w:t>
            </w:r>
            <w:r w:rsidR="00382DCA">
              <w:t>+</w:t>
            </w:r>
            <w:r>
              <w:t>4.3%</w:t>
            </w:r>
          </w:p>
        </w:tc>
        <w:tc>
          <w:tcPr>
            <w:tcW w:w="609" w:type="pct"/>
          </w:tcPr>
          <w:p w:rsidR="0071680D" w:rsidRPr="00311FA8" w:rsidRDefault="00831CCA" w:rsidP="001C2025">
            <w:pPr>
              <w:pStyle w:val="Tabletext"/>
              <w:keepNext/>
              <w:keepLines/>
              <w:ind w:left="-90" w:right="-103"/>
              <w:jc w:val="center"/>
            </w:pPr>
            <w:r>
              <w:t>NR</w:t>
            </w:r>
          </w:p>
        </w:tc>
        <w:tc>
          <w:tcPr>
            <w:tcW w:w="609" w:type="pct"/>
          </w:tcPr>
          <w:p w:rsidR="0071680D" w:rsidRDefault="00E34209" w:rsidP="001C2025">
            <w:pPr>
              <w:pStyle w:val="Tabletext"/>
              <w:keepNext/>
              <w:keepLines/>
              <w:ind w:left="-90" w:right="-103"/>
              <w:jc w:val="center"/>
            </w:pPr>
            <w:proofErr w:type="spellStart"/>
            <w:r>
              <w:t>Yr</w:t>
            </w:r>
            <w:proofErr w:type="spellEnd"/>
            <w:r>
              <w:t xml:space="preserve"> 3: </w:t>
            </w:r>
            <w:r w:rsidR="00382DCA">
              <w:t>+</w:t>
            </w:r>
            <w:r>
              <w:t>1.7</w:t>
            </w:r>
            <w:r w:rsidR="0071680D">
              <w:t>%</w:t>
            </w:r>
          </w:p>
        </w:tc>
        <w:tc>
          <w:tcPr>
            <w:tcW w:w="609" w:type="pct"/>
          </w:tcPr>
          <w:p w:rsidR="0071680D" w:rsidRDefault="0071680D" w:rsidP="001C2025">
            <w:pPr>
              <w:pStyle w:val="Tabletext"/>
              <w:keepNext/>
              <w:keepLines/>
              <w:ind w:left="-90" w:right="-103"/>
              <w:jc w:val="center"/>
            </w:pPr>
            <w:proofErr w:type="spellStart"/>
            <w:r>
              <w:t>Yr</w:t>
            </w:r>
            <w:proofErr w:type="spellEnd"/>
            <w:r>
              <w:t xml:space="preserve"> 1: </w:t>
            </w:r>
            <w:r w:rsidR="00382DCA">
              <w:t>+</w:t>
            </w:r>
            <w:r w:rsidRPr="0003620A">
              <w:t>3.5%</w:t>
            </w:r>
          </w:p>
        </w:tc>
        <w:tc>
          <w:tcPr>
            <w:tcW w:w="609" w:type="pct"/>
          </w:tcPr>
          <w:p w:rsidR="0071680D" w:rsidRDefault="0071680D" w:rsidP="001C2025">
            <w:pPr>
              <w:pStyle w:val="Tabletext"/>
              <w:keepNext/>
              <w:keepLines/>
              <w:ind w:left="-90" w:right="-103"/>
              <w:jc w:val="center"/>
            </w:pPr>
            <w:r>
              <w:t xml:space="preserve">6 </w:t>
            </w:r>
            <w:proofErr w:type="spellStart"/>
            <w:r>
              <w:t>mo</w:t>
            </w:r>
            <w:proofErr w:type="spellEnd"/>
            <w:r>
              <w:t xml:space="preserve">: </w:t>
            </w:r>
            <w:r w:rsidR="00382DCA">
              <w:t>+</w:t>
            </w:r>
            <w:r w:rsidRPr="0003620A">
              <w:t>5.8%</w:t>
            </w:r>
          </w:p>
          <w:p w:rsidR="0071680D" w:rsidRPr="00311FA8" w:rsidRDefault="0071680D" w:rsidP="001C2025">
            <w:pPr>
              <w:pStyle w:val="Tabletext"/>
              <w:keepNext/>
              <w:keepLines/>
              <w:ind w:left="-90" w:right="-103"/>
              <w:jc w:val="center"/>
            </w:pPr>
            <w:proofErr w:type="spellStart"/>
            <w:r>
              <w:t>Yr</w:t>
            </w:r>
            <w:proofErr w:type="spellEnd"/>
            <w:r>
              <w:t xml:space="preserve"> 1: </w:t>
            </w:r>
            <w:r w:rsidR="00382DCA">
              <w:t>+</w:t>
            </w:r>
            <w:r w:rsidR="00E34209" w:rsidRPr="00E34209">
              <w:t>3.8</w:t>
            </w:r>
            <w:r w:rsidRPr="0003620A">
              <w:t>%</w:t>
            </w:r>
          </w:p>
        </w:tc>
        <w:tc>
          <w:tcPr>
            <w:tcW w:w="609" w:type="pct"/>
          </w:tcPr>
          <w:p w:rsidR="0071680D" w:rsidRPr="00311FA8" w:rsidRDefault="0071680D" w:rsidP="001C2025">
            <w:pPr>
              <w:pStyle w:val="Tabletext"/>
              <w:keepNext/>
              <w:keepLines/>
              <w:ind w:left="-90" w:right="-103"/>
              <w:jc w:val="center"/>
            </w:pPr>
            <w:proofErr w:type="spellStart"/>
            <w:r>
              <w:t>Yr</w:t>
            </w:r>
            <w:proofErr w:type="spellEnd"/>
            <w:r>
              <w:t xml:space="preserve"> 1: </w:t>
            </w:r>
            <w:r w:rsidR="00382DCA">
              <w:t>+</w:t>
            </w:r>
            <w:r>
              <w:t>1.45%</w:t>
            </w:r>
          </w:p>
        </w:tc>
        <w:tc>
          <w:tcPr>
            <w:tcW w:w="609" w:type="pct"/>
          </w:tcPr>
          <w:p w:rsidR="0071680D" w:rsidRPr="00311FA8" w:rsidRDefault="0071680D" w:rsidP="001C2025">
            <w:pPr>
              <w:pStyle w:val="Tabletext"/>
              <w:keepNext/>
              <w:keepLines/>
              <w:ind w:left="-90" w:right="-103"/>
              <w:jc w:val="center"/>
              <w:rPr>
                <w:rFonts w:cstheme="minorHAnsi"/>
                <w:szCs w:val="20"/>
                <w:lang w:val="en-GB"/>
              </w:rPr>
            </w:pPr>
            <w:proofErr w:type="spellStart"/>
            <w:r>
              <w:rPr>
                <w:rFonts w:cstheme="minorHAnsi"/>
                <w:szCs w:val="20"/>
                <w:lang w:val="en-GB"/>
              </w:rPr>
              <w:t>Yr</w:t>
            </w:r>
            <w:proofErr w:type="spellEnd"/>
            <w:r>
              <w:rPr>
                <w:rFonts w:cstheme="minorHAnsi"/>
                <w:szCs w:val="20"/>
                <w:lang w:val="en-GB"/>
              </w:rPr>
              <w:t xml:space="preserve"> 1: </w:t>
            </w:r>
            <w:r w:rsidR="00382DCA">
              <w:rPr>
                <w:rFonts w:cstheme="minorHAnsi"/>
                <w:szCs w:val="20"/>
                <w:lang w:val="en-GB"/>
              </w:rPr>
              <w:t>+</w:t>
            </w:r>
            <w:r>
              <w:rPr>
                <w:rFonts w:cstheme="minorHAnsi"/>
                <w:szCs w:val="20"/>
                <w:lang w:val="en-GB"/>
              </w:rPr>
              <w:t>1.2%</w:t>
            </w:r>
          </w:p>
        </w:tc>
      </w:tr>
      <w:tr w:rsidR="0071680D" w:rsidRPr="00311FA8" w:rsidTr="0071680D">
        <w:tc>
          <w:tcPr>
            <w:tcW w:w="735" w:type="pct"/>
          </w:tcPr>
          <w:p w:rsidR="0071680D" w:rsidRPr="00311FA8" w:rsidRDefault="0071680D" w:rsidP="001C2025">
            <w:pPr>
              <w:pStyle w:val="Tabletext"/>
              <w:keepNext/>
              <w:keepLines/>
              <w:ind w:left="31" w:right="-54"/>
              <w:rPr>
                <w:b/>
                <w:bCs/>
              </w:rPr>
            </w:pPr>
            <w:r w:rsidRPr="00311FA8">
              <w:rPr>
                <w:b/>
                <w:bCs/>
              </w:rPr>
              <w:t>ppFEV</w:t>
            </w:r>
            <w:r w:rsidRPr="00311FA8">
              <w:rPr>
                <w:b/>
                <w:bCs/>
                <w:vertAlign w:val="subscript"/>
              </w:rPr>
              <w:t xml:space="preserve">1 </w:t>
            </w:r>
            <w:r w:rsidRPr="00311FA8">
              <w:rPr>
                <w:b/>
                <w:bCs/>
              </w:rPr>
              <w:t>slope</w:t>
            </w:r>
          </w:p>
        </w:tc>
        <w:tc>
          <w:tcPr>
            <w:tcW w:w="609" w:type="pct"/>
          </w:tcPr>
          <w:p w:rsidR="0071680D" w:rsidRDefault="0071680D" w:rsidP="001C2025">
            <w:pPr>
              <w:pStyle w:val="Tabletext"/>
              <w:keepNext/>
              <w:keepLines/>
              <w:ind w:left="-90" w:right="-103"/>
              <w:jc w:val="center"/>
            </w:pPr>
            <w:r>
              <w:t>Mean</w:t>
            </w:r>
          </w:p>
          <w:p w:rsidR="0071680D" w:rsidRDefault="0071680D" w:rsidP="001C2025">
            <w:pPr>
              <w:pStyle w:val="Tabletext"/>
              <w:keepNext/>
              <w:keepLines/>
              <w:ind w:left="-90" w:right="-103"/>
              <w:jc w:val="center"/>
            </w:pPr>
            <w:r w:rsidRPr="00311FA8">
              <w:t>%/year</w:t>
            </w:r>
          </w:p>
        </w:tc>
        <w:tc>
          <w:tcPr>
            <w:tcW w:w="609" w:type="pct"/>
          </w:tcPr>
          <w:p w:rsidR="0071680D" w:rsidRDefault="0071680D" w:rsidP="001C2025">
            <w:pPr>
              <w:pStyle w:val="Tabletext"/>
              <w:keepNext/>
              <w:keepLines/>
              <w:ind w:left="-90" w:right="-103"/>
              <w:jc w:val="center"/>
            </w:pPr>
            <w:r>
              <w:t>M</w:t>
            </w:r>
            <w:r w:rsidRPr="00311FA8">
              <w:t>ean</w:t>
            </w:r>
            <w:r w:rsidRPr="00311FA8">
              <w:rPr>
                <w:rFonts w:cstheme="minorHAnsi"/>
                <w:szCs w:val="20"/>
                <w:lang w:val="en-GB"/>
              </w:rPr>
              <w:t xml:space="preserve"> L/</w:t>
            </w:r>
            <w:proofErr w:type="spellStart"/>
            <w:r w:rsidRPr="00311FA8">
              <w:rPr>
                <w:rFonts w:cstheme="minorHAnsi"/>
                <w:szCs w:val="20"/>
                <w:lang w:val="en-GB"/>
              </w:rPr>
              <w:t>year</w:t>
            </w:r>
            <w:r w:rsidRPr="00311FA8">
              <w:rPr>
                <w:rFonts w:cstheme="minorHAnsi"/>
                <w:szCs w:val="20"/>
                <w:vertAlign w:val="superscript"/>
                <w:lang w:val="en-GB"/>
              </w:rPr>
              <w:t>d</w:t>
            </w:r>
            <w:proofErr w:type="spellEnd"/>
          </w:p>
        </w:tc>
        <w:tc>
          <w:tcPr>
            <w:tcW w:w="609" w:type="pct"/>
          </w:tcPr>
          <w:p w:rsidR="0071680D" w:rsidRDefault="00E34209" w:rsidP="001C2025">
            <w:pPr>
              <w:pStyle w:val="Tabletext"/>
              <w:keepNext/>
              <w:keepLines/>
              <w:ind w:left="-90" w:right="-103"/>
              <w:jc w:val="center"/>
              <w:rPr>
                <w:szCs w:val="20"/>
              </w:rPr>
            </w:pPr>
            <w:r>
              <w:rPr>
                <w:szCs w:val="20"/>
              </w:rPr>
              <w:t>Mean</w:t>
            </w:r>
          </w:p>
          <w:p w:rsidR="0071680D" w:rsidRPr="00311FA8" w:rsidRDefault="0071680D" w:rsidP="001C2025">
            <w:pPr>
              <w:pStyle w:val="Tabletext"/>
              <w:keepNext/>
              <w:keepLines/>
              <w:ind w:left="-90" w:right="-103"/>
              <w:jc w:val="center"/>
              <w:rPr>
                <w:szCs w:val="20"/>
              </w:rPr>
            </w:pPr>
            <w:r w:rsidRPr="00311FA8">
              <w:t>%/year</w:t>
            </w:r>
          </w:p>
        </w:tc>
        <w:tc>
          <w:tcPr>
            <w:tcW w:w="609" w:type="pct"/>
          </w:tcPr>
          <w:p w:rsidR="0071680D" w:rsidRDefault="00D927CF" w:rsidP="001C2025">
            <w:pPr>
              <w:pStyle w:val="Tabletext"/>
              <w:keepNext/>
              <w:keepLines/>
              <w:ind w:left="-90" w:right="-103"/>
              <w:jc w:val="center"/>
            </w:pPr>
            <w:r>
              <w:t>NR</w:t>
            </w:r>
          </w:p>
          <w:p w:rsidR="0071680D" w:rsidRPr="00311FA8" w:rsidRDefault="0071680D" w:rsidP="001C2025">
            <w:pPr>
              <w:pStyle w:val="Tabletext"/>
              <w:keepNext/>
              <w:keepLines/>
              <w:ind w:left="-90" w:right="-103"/>
              <w:jc w:val="center"/>
            </w:pPr>
            <w:r w:rsidRPr="00311FA8">
              <w:t>%/year</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Pr>
                <w:rFonts w:cstheme="minorHAnsi"/>
                <w:szCs w:val="20"/>
                <w:lang w:val="en-GB"/>
              </w:rPr>
              <w:t>M</w:t>
            </w:r>
            <w:r w:rsidRPr="00311FA8">
              <w:rPr>
                <w:rFonts w:cstheme="minorHAnsi"/>
                <w:szCs w:val="20"/>
                <w:lang w:val="en-GB"/>
              </w:rPr>
              <w:t xml:space="preserve">edian </w:t>
            </w:r>
            <w:r w:rsidRPr="00311FA8">
              <w:t>%/year</w:t>
            </w:r>
          </w:p>
        </w:tc>
        <w:tc>
          <w:tcPr>
            <w:tcW w:w="609" w:type="pct"/>
          </w:tcPr>
          <w:p w:rsidR="0071680D" w:rsidRDefault="0071680D" w:rsidP="001C2025">
            <w:pPr>
              <w:pStyle w:val="Tabletext"/>
              <w:keepNext/>
              <w:keepLines/>
              <w:ind w:left="-90" w:right="-103"/>
              <w:jc w:val="center"/>
            </w:pPr>
            <w:r w:rsidRPr="00311FA8">
              <w:t>Mean</w:t>
            </w:r>
          </w:p>
          <w:p w:rsidR="0071680D" w:rsidRPr="00311FA8" w:rsidRDefault="0071680D" w:rsidP="001C2025">
            <w:pPr>
              <w:pStyle w:val="Tabletext"/>
              <w:keepNext/>
              <w:keepLines/>
              <w:ind w:left="-90" w:right="-103"/>
              <w:jc w:val="center"/>
            </w:pPr>
            <w:r w:rsidRPr="00311FA8">
              <w:t>%/year</w:t>
            </w:r>
          </w:p>
        </w:tc>
        <w:tc>
          <w:tcPr>
            <w:tcW w:w="609" w:type="pct"/>
          </w:tcPr>
          <w:p w:rsidR="0071680D" w:rsidRDefault="0071680D" w:rsidP="001C2025">
            <w:pPr>
              <w:pStyle w:val="Tabletext"/>
              <w:keepNext/>
              <w:keepLines/>
              <w:ind w:left="-90" w:right="-103"/>
              <w:jc w:val="center"/>
            </w:pPr>
            <w:r w:rsidRPr="00311FA8">
              <w:t>Mean</w:t>
            </w:r>
          </w:p>
          <w:p w:rsidR="0071680D" w:rsidRPr="00311FA8" w:rsidRDefault="0071680D" w:rsidP="001C2025">
            <w:pPr>
              <w:pStyle w:val="Tabletext"/>
              <w:keepNext/>
              <w:keepLines/>
              <w:ind w:left="-90" w:right="-103"/>
              <w:jc w:val="center"/>
            </w:pPr>
            <w:r w:rsidRPr="00311FA8">
              <w:t>%/year</w:t>
            </w:r>
          </w:p>
        </w:tc>
      </w:tr>
      <w:tr w:rsidR="0071680D" w:rsidRPr="00311FA8" w:rsidTr="0071680D">
        <w:tc>
          <w:tcPr>
            <w:tcW w:w="735" w:type="pct"/>
          </w:tcPr>
          <w:p w:rsidR="0071680D" w:rsidRPr="00311FA8" w:rsidRDefault="0071680D" w:rsidP="001C2025">
            <w:pPr>
              <w:pStyle w:val="Tabletext"/>
              <w:keepNext/>
              <w:keepLines/>
              <w:ind w:left="31"/>
            </w:pPr>
            <w:r w:rsidRPr="00311FA8">
              <w:t>Pre-CFTR modulator</w:t>
            </w:r>
          </w:p>
        </w:tc>
        <w:tc>
          <w:tcPr>
            <w:tcW w:w="609" w:type="pct"/>
          </w:tcPr>
          <w:p w:rsidR="0071680D" w:rsidRPr="00311FA8" w:rsidRDefault="0071680D" w:rsidP="001C2025">
            <w:pPr>
              <w:pStyle w:val="Tabletext"/>
              <w:keepNext/>
              <w:keepLines/>
              <w:ind w:right="-103"/>
              <w:jc w:val="center"/>
              <w:rPr>
                <w:rFonts w:cstheme="minorHAnsi"/>
                <w:szCs w:val="20"/>
                <w:lang w:val="en-GB"/>
              </w:rPr>
            </w:pPr>
            <w:r>
              <w:rPr>
                <w:rFonts w:cstheme="minorHAnsi"/>
                <w:szCs w:val="20"/>
                <w:lang w:val="en-GB"/>
              </w:rPr>
              <w:t xml:space="preserve">-4.2 </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Pr>
                <w:szCs w:val="20"/>
              </w:rPr>
              <w:t xml:space="preserve">-0.068 </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sidRPr="00311FA8">
              <w:rPr>
                <w:szCs w:val="20"/>
              </w:rPr>
              <w:t>-1.80</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Pr>
                <w:rFonts w:cstheme="minorHAnsi"/>
                <w:szCs w:val="20"/>
                <w:lang w:val="en-GB"/>
              </w:rPr>
              <w:t>-2.2</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Pr>
                <w:szCs w:val="20"/>
              </w:rPr>
              <w:t xml:space="preserve">-2.6 </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Pr>
                <w:rFonts w:cstheme="minorHAnsi"/>
                <w:szCs w:val="20"/>
                <w:lang w:val="en-GB"/>
              </w:rPr>
              <w:t>-2.10</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Pr>
                <w:szCs w:val="20"/>
              </w:rPr>
              <w:t>-0.99</w:t>
            </w:r>
          </w:p>
        </w:tc>
      </w:tr>
      <w:tr w:rsidR="0071680D" w:rsidRPr="00311FA8" w:rsidTr="0071680D">
        <w:tc>
          <w:tcPr>
            <w:tcW w:w="735" w:type="pct"/>
          </w:tcPr>
          <w:p w:rsidR="0071680D" w:rsidRPr="00311FA8" w:rsidRDefault="0071680D" w:rsidP="001C2025">
            <w:pPr>
              <w:pStyle w:val="Tabletext"/>
              <w:keepNext/>
              <w:keepLines/>
              <w:ind w:left="31"/>
            </w:pPr>
            <w:r w:rsidRPr="00311FA8">
              <w:t>Post-CFTR modulator</w:t>
            </w:r>
          </w:p>
        </w:tc>
        <w:tc>
          <w:tcPr>
            <w:tcW w:w="609" w:type="pct"/>
          </w:tcPr>
          <w:p w:rsidR="0071680D" w:rsidRPr="00311FA8" w:rsidRDefault="00382DCA" w:rsidP="001C2025">
            <w:pPr>
              <w:pStyle w:val="Tabletext"/>
              <w:keepNext/>
              <w:keepLines/>
              <w:ind w:right="-103"/>
              <w:jc w:val="center"/>
              <w:rPr>
                <w:rFonts w:cstheme="minorHAnsi"/>
                <w:szCs w:val="20"/>
                <w:lang w:val="en-GB"/>
              </w:rPr>
            </w:pPr>
            <w:r>
              <w:rPr>
                <w:szCs w:val="20"/>
              </w:rPr>
              <w:t>+</w:t>
            </w:r>
            <w:r w:rsidR="0071680D" w:rsidRPr="00311FA8">
              <w:rPr>
                <w:szCs w:val="20"/>
              </w:rPr>
              <w:t>1.2</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Pr>
                <w:rFonts w:cstheme="minorHAnsi"/>
                <w:szCs w:val="20"/>
                <w:lang w:val="en-GB"/>
              </w:rPr>
              <w:t xml:space="preserve">-0.030 </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sidRPr="00311FA8">
              <w:rPr>
                <w:szCs w:val="20"/>
              </w:rPr>
              <w:t>-0.80</w:t>
            </w:r>
          </w:p>
        </w:tc>
        <w:tc>
          <w:tcPr>
            <w:tcW w:w="609" w:type="pct"/>
          </w:tcPr>
          <w:p w:rsidR="0071680D" w:rsidRPr="00311FA8" w:rsidRDefault="00382DCA" w:rsidP="001C2025">
            <w:pPr>
              <w:pStyle w:val="Tabletext"/>
              <w:keepNext/>
              <w:keepLines/>
              <w:ind w:left="-90" w:right="-103"/>
              <w:jc w:val="center"/>
              <w:rPr>
                <w:rFonts w:cstheme="minorHAnsi"/>
                <w:szCs w:val="20"/>
                <w:lang w:val="en-GB"/>
              </w:rPr>
            </w:pPr>
            <w:r>
              <w:rPr>
                <w:rFonts w:cstheme="minorHAnsi"/>
                <w:szCs w:val="20"/>
                <w:lang w:val="en-GB"/>
              </w:rPr>
              <w:t>+</w:t>
            </w:r>
            <w:r w:rsidR="0071680D">
              <w:rPr>
                <w:rFonts w:cstheme="minorHAnsi"/>
                <w:szCs w:val="20"/>
                <w:lang w:val="en-GB"/>
              </w:rPr>
              <w:t xml:space="preserve">4.6 </w:t>
            </w:r>
          </w:p>
        </w:tc>
        <w:tc>
          <w:tcPr>
            <w:tcW w:w="609" w:type="pct"/>
          </w:tcPr>
          <w:p w:rsidR="0071680D" w:rsidRPr="00311FA8" w:rsidRDefault="00382DCA" w:rsidP="001C2025">
            <w:pPr>
              <w:pStyle w:val="Tabletext"/>
              <w:keepNext/>
              <w:keepLines/>
              <w:ind w:left="-90" w:right="-103"/>
              <w:jc w:val="center"/>
              <w:rPr>
                <w:rFonts w:cstheme="minorHAnsi"/>
                <w:szCs w:val="20"/>
                <w:lang w:val="en-GB"/>
              </w:rPr>
            </w:pPr>
            <w:r>
              <w:rPr>
                <w:szCs w:val="20"/>
              </w:rPr>
              <w:t>+</w:t>
            </w:r>
            <w:r w:rsidR="0071680D">
              <w:rPr>
                <w:szCs w:val="20"/>
              </w:rPr>
              <w:t>2.1</w:t>
            </w:r>
          </w:p>
        </w:tc>
        <w:tc>
          <w:tcPr>
            <w:tcW w:w="609" w:type="pct"/>
          </w:tcPr>
          <w:p w:rsidR="0071680D" w:rsidRPr="00311FA8" w:rsidRDefault="00382DCA" w:rsidP="001C2025">
            <w:pPr>
              <w:pStyle w:val="Tabletext"/>
              <w:keepNext/>
              <w:keepLines/>
              <w:ind w:left="-90" w:right="-103"/>
              <w:jc w:val="center"/>
              <w:rPr>
                <w:rFonts w:cstheme="minorHAnsi"/>
                <w:szCs w:val="20"/>
                <w:lang w:val="en-GB"/>
              </w:rPr>
            </w:pPr>
            <w:r>
              <w:rPr>
                <w:rFonts w:cstheme="minorHAnsi"/>
                <w:szCs w:val="20"/>
                <w:lang w:val="en-GB"/>
              </w:rPr>
              <w:t>+</w:t>
            </w:r>
            <w:r w:rsidR="0071680D">
              <w:rPr>
                <w:rFonts w:cstheme="minorHAnsi"/>
                <w:szCs w:val="20"/>
                <w:lang w:val="en-GB"/>
              </w:rPr>
              <w:t xml:space="preserve">1.45 </w:t>
            </w:r>
          </w:p>
        </w:tc>
        <w:tc>
          <w:tcPr>
            <w:tcW w:w="609" w:type="pct"/>
          </w:tcPr>
          <w:p w:rsidR="0071680D" w:rsidRPr="00311FA8" w:rsidRDefault="00382DCA" w:rsidP="001C2025">
            <w:pPr>
              <w:pStyle w:val="Tabletext"/>
              <w:keepNext/>
              <w:keepLines/>
              <w:ind w:left="-90" w:right="-103"/>
              <w:jc w:val="center"/>
              <w:rPr>
                <w:rFonts w:cstheme="minorHAnsi"/>
                <w:szCs w:val="20"/>
                <w:lang w:val="en-GB"/>
              </w:rPr>
            </w:pPr>
            <w:r>
              <w:rPr>
                <w:szCs w:val="20"/>
              </w:rPr>
              <w:t>+</w:t>
            </w:r>
            <w:r w:rsidR="0071680D">
              <w:rPr>
                <w:szCs w:val="20"/>
              </w:rPr>
              <w:t xml:space="preserve">3.38 </w:t>
            </w:r>
          </w:p>
        </w:tc>
      </w:tr>
      <w:tr w:rsidR="0071680D" w:rsidTr="0071680D">
        <w:tc>
          <w:tcPr>
            <w:tcW w:w="735" w:type="pct"/>
          </w:tcPr>
          <w:p w:rsidR="0071680D" w:rsidRPr="00311FA8" w:rsidRDefault="0071680D" w:rsidP="001C2025">
            <w:pPr>
              <w:pStyle w:val="Tabletext"/>
              <w:keepNext/>
              <w:keepLines/>
              <w:ind w:left="31" w:right="-54"/>
              <w:rPr>
                <w:b/>
                <w:bCs/>
                <w:vertAlign w:val="superscript"/>
              </w:rPr>
            </w:pPr>
            <w:r w:rsidRPr="00311FA8">
              <w:rPr>
                <w:b/>
                <w:bCs/>
              </w:rPr>
              <w:t>ppFEV</w:t>
            </w:r>
            <w:r w:rsidRPr="00311FA8">
              <w:rPr>
                <w:b/>
                <w:bCs/>
                <w:vertAlign w:val="subscript"/>
              </w:rPr>
              <w:t>1</w:t>
            </w:r>
            <w:r w:rsidRPr="00311FA8">
              <w:rPr>
                <w:b/>
                <w:bCs/>
              </w:rPr>
              <w:t xml:space="preserve"> </w:t>
            </w:r>
            <w:proofErr w:type="spellStart"/>
            <w:r w:rsidRPr="00311FA8">
              <w:rPr>
                <w:b/>
                <w:bCs/>
              </w:rPr>
              <w:t>rROD</w:t>
            </w:r>
            <w:r w:rsidRPr="00311FA8">
              <w:rPr>
                <w:b/>
                <w:bCs/>
                <w:vertAlign w:val="superscript"/>
              </w:rPr>
              <w:t>e</w:t>
            </w:r>
            <w:proofErr w:type="spellEnd"/>
          </w:p>
        </w:tc>
        <w:tc>
          <w:tcPr>
            <w:tcW w:w="609" w:type="pct"/>
          </w:tcPr>
          <w:p w:rsidR="0071680D" w:rsidRPr="00311FA8" w:rsidRDefault="00E35C02" w:rsidP="001C2025">
            <w:pPr>
              <w:pStyle w:val="Tabletext"/>
              <w:keepNext/>
              <w:keepLines/>
              <w:ind w:right="-103"/>
              <w:jc w:val="center"/>
              <w:rPr>
                <w:rFonts w:cstheme="minorHAnsi"/>
                <w:szCs w:val="20"/>
                <w:lang w:val="en-GB"/>
              </w:rPr>
            </w:pPr>
            <w:r>
              <w:rPr>
                <w:rFonts w:cstheme="minorHAnsi"/>
                <w:szCs w:val="20"/>
                <w:lang w:val="en-GB"/>
              </w:rPr>
              <w:t>&gt;100%</w:t>
            </w:r>
            <w:r w:rsidR="0071680D" w:rsidRPr="00311FA8">
              <w:rPr>
                <w:rFonts w:cstheme="minorHAnsi"/>
                <w:szCs w:val="20"/>
                <w:lang w:val="en-GB"/>
              </w:rPr>
              <w:t xml:space="preserve"> </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sidRPr="00311FA8">
              <w:rPr>
                <w:szCs w:val="20"/>
              </w:rPr>
              <w:t>55.9%</w:t>
            </w:r>
          </w:p>
        </w:tc>
        <w:tc>
          <w:tcPr>
            <w:tcW w:w="609" w:type="pct"/>
          </w:tcPr>
          <w:p w:rsidR="0071680D" w:rsidRPr="00311FA8" w:rsidRDefault="0071680D" w:rsidP="001C2025">
            <w:pPr>
              <w:pStyle w:val="Tabletext"/>
              <w:keepNext/>
              <w:keepLines/>
              <w:ind w:left="-90" w:right="-103"/>
              <w:jc w:val="center"/>
              <w:rPr>
                <w:rFonts w:cstheme="minorHAnsi"/>
                <w:szCs w:val="20"/>
                <w:lang w:val="en-GB"/>
              </w:rPr>
            </w:pPr>
            <w:r w:rsidRPr="00311FA8">
              <w:rPr>
                <w:szCs w:val="20"/>
              </w:rPr>
              <w:t>55.6%</w:t>
            </w:r>
          </w:p>
        </w:tc>
        <w:tc>
          <w:tcPr>
            <w:tcW w:w="609" w:type="pct"/>
          </w:tcPr>
          <w:p w:rsidR="0071680D" w:rsidRPr="00311FA8" w:rsidRDefault="00E35C02" w:rsidP="001C2025">
            <w:pPr>
              <w:pStyle w:val="Tabletext"/>
              <w:keepNext/>
              <w:keepLines/>
              <w:ind w:left="-90" w:right="-103"/>
              <w:jc w:val="center"/>
              <w:rPr>
                <w:rFonts w:cstheme="minorHAnsi"/>
                <w:szCs w:val="20"/>
                <w:lang w:val="en-GB"/>
              </w:rPr>
            </w:pPr>
            <w:r>
              <w:rPr>
                <w:rFonts w:cstheme="minorHAnsi"/>
                <w:szCs w:val="20"/>
                <w:lang w:val="en-GB"/>
              </w:rPr>
              <w:t>&gt;100%</w:t>
            </w:r>
          </w:p>
        </w:tc>
        <w:tc>
          <w:tcPr>
            <w:tcW w:w="609" w:type="pct"/>
          </w:tcPr>
          <w:p w:rsidR="0071680D" w:rsidRPr="00311FA8" w:rsidRDefault="00E35C02" w:rsidP="001C2025">
            <w:pPr>
              <w:pStyle w:val="Tabletext"/>
              <w:keepNext/>
              <w:keepLines/>
              <w:ind w:left="-90" w:right="-103"/>
              <w:jc w:val="center"/>
              <w:rPr>
                <w:rFonts w:cstheme="minorHAnsi"/>
                <w:szCs w:val="20"/>
                <w:lang w:val="en-GB"/>
              </w:rPr>
            </w:pPr>
            <w:r>
              <w:rPr>
                <w:rFonts w:cstheme="minorHAnsi"/>
                <w:szCs w:val="20"/>
                <w:lang w:val="en-GB"/>
              </w:rPr>
              <w:t>&gt;100%</w:t>
            </w:r>
          </w:p>
        </w:tc>
        <w:tc>
          <w:tcPr>
            <w:tcW w:w="609" w:type="pct"/>
          </w:tcPr>
          <w:p w:rsidR="0071680D" w:rsidRPr="00311FA8" w:rsidRDefault="00E35C02" w:rsidP="001C2025">
            <w:pPr>
              <w:pStyle w:val="Tabletext"/>
              <w:keepNext/>
              <w:keepLines/>
              <w:ind w:left="-90" w:right="-103"/>
              <w:jc w:val="center"/>
              <w:rPr>
                <w:rFonts w:cstheme="minorHAnsi"/>
                <w:szCs w:val="20"/>
                <w:lang w:val="en-GB"/>
              </w:rPr>
            </w:pPr>
            <w:r>
              <w:rPr>
                <w:rFonts w:cstheme="minorHAnsi"/>
                <w:szCs w:val="20"/>
                <w:lang w:val="en-GB"/>
              </w:rPr>
              <w:t>&gt;100%</w:t>
            </w:r>
          </w:p>
          <w:p w:rsidR="0071680D" w:rsidRPr="00311FA8" w:rsidRDefault="0071680D" w:rsidP="001C2025">
            <w:pPr>
              <w:pStyle w:val="Tabletext"/>
              <w:keepNext/>
              <w:keepLines/>
              <w:ind w:left="-90" w:right="-103"/>
              <w:jc w:val="center"/>
              <w:rPr>
                <w:rFonts w:cstheme="minorHAnsi"/>
                <w:szCs w:val="20"/>
                <w:lang w:val="en-GB"/>
              </w:rPr>
            </w:pPr>
          </w:p>
        </w:tc>
        <w:tc>
          <w:tcPr>
            <w:tcW w:w="609" w:type="pct"/>
          </w:tcPr>
          <w:p w:rsidR="0071680D" w:rsidRPr="00311FA8" w:rsidRDefault="00E35C02" w:rsidP="001C2025">
            <w:pPr>
              <w:pStyle w:val="Tabletext"/>
              <w:keepNext/>
              <w:keepLines/>
              <w:ind w:left="-90" w:right="-103"/>
              <w:jc w:val="center"/>
              <w:rPr>
                <w:szCs w:val="20"/>
              </w:rPr>
            </w:pPr>
            <w:r>
              <w:rPr>
                <w:rFonts w:cstheme="minorHAnsi"/>
                <w:szCs w:val="20"/>
                <w:lang w:val="en-GB"/>
              </w:rPr>
              <w:t>&gt;100</w:t>
            </w:r>
            <w:r w:rsidR="0071680D" w:rsidRPr="00311FA8">
              <w:rPr>
                <w:rFonts w:cstheme="minorHAnsi"/>
                <w:szCs w:val="20"/>
                <w:lang w:val="en-GB"/>
              </w:rPr>
              <w:t xml:space="preserve">% </w:t>
            </w:r>
          </w:p>
        </w:tc>
      </w:tr>
    </w:tbl>
    <w:p w:rsidR="00FB3B32" w:rsidRDefault="00FB3B32" w:rsidP="001C2025">
      <w:pPr>
        <w:pStyle w:val="TableFooter"/>
        <w:keepNext/>
        <w:keepLines/>
      </w:pPr>
      <w:r>
        <w:t xml:space="preserve">Source: Table 10 p21, Table 11 p21, Table15 p27, Table 16 p28, Table 19 p30, Table 20 p31, Table 21 p31, Table 24 p33, Table 25 p33, Table 26 p34, Table 27 p35, Table 31 p38, Table 32 p38, Table 33 p39, Table 34 p39, Table 35 p40, Table 36 p40 of the submission; </w:t>
      </w:r>
    </w:p>
    <w:p w:rsidR="00FB3B32" w:rsidRDefault="00FB3B32" w:rsidP="001C2025">
      <w:pPr>
        <w:pStyle w:val="TableFooter"/>
        <w:keepNext/>
        <w:keepLines/>
      </w:pPr>
      <w:r>
        <w:t xml:space="preserve">Attachment 7 Pooled ppFEV1 </w:t>
      </w:r>
      <w:proofErr w:type="spellStart"/>
      <w:r>
        <w:t>rROD</w:t>
      </w:r>
      <w:proofErr w:type="spellEnd"/>
      <w:r>
        <w:t xml:space="preserve">; </w:t>
      </w:r>
    </w:p>
    <w:p w:rsidR="00FB3B32" w:rsidRPr="0071680D" w:rsidRDefault="00FB3B32" w:rsidP="001C2025">
      <w:pPr>
        <w:pStyle w:val="TableFooter"/>
        <w:keepNext/>
        <w:keepLines/>
        <w:rPr>
          <w:iCs/>
        </w:rPr>
      </w:pPr>
      <w:proofErr w:type="gramStart"/>
      <w:r w:rsidRPr="0071680D">
        <w:rPr>
          <w:iCs/>
        </w:rPr>
        <w:t>a</w:t>
      </w:r>
      <w:proofErr w:type="gramEnd"/>
      <w:r w:rsidRPr="0071680D">
        <w:rPr>
          <w:iCs/>
        </w:rPr>
        <w:t xml:space="preserve"> Reported baseline assumed to be immediately before prior to treatment unless otherwise stated. </w:t>
      </w:r>
    </w:p>
    <w:p w:rsidR="00FB3B32" w:rsidRPr="0071680D" w:rsidRDefault="00FB3B32" w:rsidP="001C2025">
      <w:pPr>
        <w:pStyle w:val="TableFooter"/>
        <w:keepNext/>
        <w:keepLines/>
        <w:rPr>
          <w:iCs/>
        </w:rPr>
      </w:pPr>
      <w:proofErr w:type="gramStart"/>
      <w:r w:rsidRPr="0071680D">
        <w:rPr>
          <w:iCs/>
        </w:rPr>
        <w:t>b</w:t>
      </w:r>
      <w:proofErr w:type="gramEnd"/>
      <w:r w:rsidRPr="0071680D">
        <w:rPr>
          <w:iCs/>
        </w:rPr>
        <w:t xml:space="preserve"> </w:t>
      </w:r>
      <w:proofErr w:type="spellStart"/>
      <w:r w:rsidRPr="0071680D">
        <w:rPr>
          <w:iCs/>
        </w:rPr>
        <w:t>Muilwijk</w:t>
      </w:r>
      <w:proofErr w:type="spellEnd"/>
      <w:r w:rsidRPr="0071680D">
        <w:rPr>
          <w:iCs/>
        </w:rPr>
        <w:t xml:space="preserve"> 2020; reported as the baseline for the control i.e., mean ppFEV1 at beginning of five-year pre-initiation period. Prior to treatment mean baseline ppFEV1 was 50.0 (2.3).</w:t>
      </w:r>
      <w:r w:rsidR="000A4FBA">
        <w:rPr>
          <w:iCs/>
        </w:rPr>
        <w:t xml:space="preserve"> </w:t>
      </w:r>
    </w:p>
    <w:p w:rsidR="00FB3B32" w:rsidRPr="00EE5A51" w:rsidRDefault="00FB3B32" w:rsidP="001C2025">
      <w:pPr>
        <w:pStyle w:val="TableFooter"/>
        <w:keepNext/>
        <w:keepLines/>
      </w:pPr>
      <w:proofErr w:type="gramStart"/>
      <w:r w:rsidRPr="00EE5A51">
        <w:t>d</w:t>
      </w:r>
      <w:proofErr w:type="gramEnd"/>
      <w:r w:rsidRPr="00EE5A51">
        <w:t xml:space="preserve"> </w:t>
      </w:r>
      <w:proofErr w:type="spellStart"/>
      <w:r w:rsidRPr="00EE5A51">
        <w:t>Mermis</w:t>
      </w:r>
      <w:proofErr w:type="spellEnd"/>
      <w:r w:rsidRPr="00EE5A51">
        <w:t xml:space="preserve"> 2019: Absolute FEV1 (litres/min) reported rather than ppFEV1. </w:t>
      </w:r>
    </w:p>
    <w:p w:rsidR="000A2D27" w:rsidRDefault="00FB3B32" w:rsidP="001C2025">
      <w:pPr>
        <w:pStyle w:val="TableFooter"/>
        <w:keepNext/>
        <w:keepLines/>
        <w:jc w:val="left"/>
      </w:pPr>
      <w:proofErr w:type="gramStart"/>
      <w:r w:rsidRPr="00EE5A51">
        <w:t>e</w:t>
      </w:r>
      <w:proofErr w:type="gramEnd"/>
      <w:r w:rsidRPr="00EE5A51">
        <w:t xml:space="preserve"> </w:t>
      </w:r>
      <w:r w:rsidR="000A2D27">
        <w:t xml:space="preserve">It is not mathematically correct to calculate % reduction if slopes differ in direction. Reported as &gt;100%. </w:t>
      </w:r>
    </w:p>
    <w:p w:rsidR="00FB3B32" w:rsidRPr="00824C6A" w:rsidRDefault="00FB3B32" w:rsidP="001C2025">
      <w:pPr>
        <w:pStyle w:val="TableFooter"/>
        <w:keepNext/>
        <w:keepLines/>
        <w:jc w:val="left"/>
      </w:pPr>
      <w:r>
        <w:t>Abbreviations: CFTR=</w:t>
      </w:r>
      <w:r w:rsidRPr="004C22A8">
        <w:t xml:space="preserve"> Cystic fibrosis transmembrane conductance regulator</w:t>
      </w:r>
      <w:r>
        <w:t>; CI=confidence interval; IQR=</w:t>
      </w:r>
      <w:r w:rsidRPr="00014B05">
        <w:t xml:space="preserve"> </w:t>
      </w:r>
      <w:r>
        <w:t xml:space="preserve">Interquartile range; LUMA/IVA=lumacaftor/ivacaftor; N=number; </w:t>
      </w:r>
      <w:r w:rsidRPr="00572CD2">
        <w:t>p</w:t>
      </w:r>
      <w:r>
        <w:t>=probability; ppFEV</w:t>
      </w:r>
      <w:r w:rsidRPr="001D4D5E">
        <w:rPr>
          <w:vertAlign w:val="subscript"/>
        </w:rPr>
        <w:t>1</w:t>
      </w:r>
      <w:r>
        <w:t xml:space="preserve">=percent predicted forced expiratory volume in one second; </w:t>
      </w:r>
      <w:proofErr w:type="spellStart"/>
      <w:r>
        <w:t>rROD</w:t>
      </w:r>
      <w:proofErr w:type="spellEnd"/>
      <w:r>
        <w:t xml:space="preserve">=relative rate of decline; </w:t>
      </w:r>
      <w:proofErr w:type="spellStart"/>
      <w:proofErr w:type="gramStart"/>
      <w:r>
        <w:t>sd</w:t>
      </w:r>
      <w:proofErr w:type="spellEnd"/>
      <w:r>
        <w:t>=</w:t>
      </w:r>
      <w:proofErr w:type="gramEnd"/>
      <w:r>
        <w:t xml:space="preserve">standard deviation. </w:t>
      </w:r>
    </w:p>
    <w:p w:rsidR="00AE245A" w:rsidRPr="00633D60" w:rsidRDefault="00AE245A" w:rsidP="0071680D">
      <w:pPr>
        <w:pStyle w:val="3-BodyText"/>
        <w:numPr>
          <w:ilvl w:val="0"/>
          <w:numId w:val="0"/>
        </w:numPr>
      </w:pPr>
    </w:p>
    <w:p w:rsidR="000156E2" w:rsidRDefault="000156E2" w:rsidP="00F149EC">
      <w:pPr>
        <w:pStyle w:val="3-BodyText"/>
      </w:pPr>
      <w:r>
        <w:t>The PBAC noted for the  studies which compared patients prior to and after treatment, the benefit from treatment is likely to be overestimated due to ‘regression to the mean’, i.e., reductions in ppFEV</w:t>
      </w:r>
      <w:r w:rsidRPr="00C40B7F">
        <w:rPr>
          <w:vertAlign w:val="subscript"/>
        </w:rPr>
        <w:t>1</w:t>
      </w:r>
      <w:r>
        <w:t xml:space="preserve"> may have influenced the decision to commence </w:t>
      </w:r>
      <w:r>
        <w:lastRenderedPageBreak/>
        <w:t>treatment and thus the decline in ppFEV</w:t>
      </w:r>
      <w:r w:rsidRPr="00C40B7F">
        <w:rPr>
          <w:vertAlign w:val="subscript"/>
        </w:rPr>
        <w:t>1</w:t>
      </w:r>
      <w:r>
        <w:t xml:space="preserve"> prior to treatment is likely to be larger than on average. </w:t>
      </w:r>
    </w:p>
    <w:p w:rsidR="006C67A7" w:rsidRDefault="006C67A7" w:rsidP="00F149EC">
      <w:pPr>
        <w:pStyle w:val="3-BodyText"/>
      </w:pPr>
      <w:r w:rsidRPr="006C67A7">
        <w:t xml:space="preserve">The rate of pulmonary exacerbations and use of intravenous antibiotics among patients receiving treatment with lumacaftor/ivacaftor was consistently lower across </w:t>
      </w:r>
      <w:r w:rsidR="00980B1C">
        <w:t xml:space="preserve">all </w:t>
      </w:r>
      <w:r w:rsidRPr="006C67A7">
        <w:t>studies report</w:t>
      </w:r>
      <w:r>
        <w:t>ing these outcomes</w:t>
      </w:r>
      <w:r w:rsidR="00F149EC">
        <w:t>.</w:t>
      </w:r>
      <w:r w:rsidRPr="006C67A7">
        <w:t xml:space="preserve"> </w:t>
      </w:r>
    </w:p>
    <w:p w:rsidR="00C26532" w:rsidRPr="006C7A82" w:rsidRDefault="00C26532" w:rsidP="00B658B1">
      <w:pPr>
        <w:pStyle w:val="3-BodyText"/>
      </w:pPr>
      <w:bookmarkStart w:id="26" w:name="_Ref78809396"/>
      <w:r>
        <w:t>In t</w:t>
      </w:r>
      <w:r w:rsidRPr="00AB2AA3">
        <w:t>he analysis of</w:t>
      </w:r>
      <w:r>
        <w:t xml:space="preserve"> patients from </w:t>
      </w:r>
      <w:r w:rsidRPr="00AB2AA3">
        <w:t>the ACFDR aged 12 years and over</w:t>
      </w:r>
      <w:r>
        <w:t xml:space="preserve"> (N=126)</w:t>
      </w:r>
      <w:r w:rsidR="0071680D">
        <w:t xml:space="preserve"> provided in the submission</w:t>
      </w:r>
      <w:r>
        <w:t xml:space="preserve">, the </w:t>
      </w:r>
      <w:r w:rsidR="00A06DA2">
        <w:t xml:space="preserve">weighted average annual change in </w:t>
      </w:r>
      <w:r w:rsidRPr="00BC1C17">
        <w:t>ppFEV</w:t>
      </w:r>
      <w:r w:rsidRPr="001758EA">
        <w:rPr>
          <w:vertAlign w:val="subscript"/>
        </w:rPr>
        <w:t>1</w:t>
      </w:r>
      <w:r w:rsidR="000A4FBA">
        <w:t xml:space="preserve"> </w:t>
      </w:r>
      <w:r w:rsidR="00A06DA2">
        <w:t xml:space="preserve">in the </w:t>
      </w:r>
      <w:r>
        <w:t>year prior to treatment with a CFTR modula</w:t>
      </w:r>
      <w:r w:rsidR="009E74E7">
        <w:t>to</w:t>
      </w:r>
      <w:r>
        <w:t>r was -1.91 , and after</w:t>
      </w:r>
      <w:r w:rsidR="00263D99">
        <w:t xml:space="preserve"> approximately</w:t>
      </w:r>
      <w:r>
        <w:t xml:space="preserve"> </w:t>
      </w:r>
      <w:r w:rsidR="00A06DA2" w:rsidRPr="008075DF">
        <w:t>1</w:t>
      </w:r>
      <w:r w:rsidR="00D864B9" w:rsidRPr="008075DF">
        <w:t>5</w:t>
      </w:r>
      <w:r w:rsidR="00A06DA2" w:rsidRPr="008075DF">
        <w:t xml:space="preserve"> months</w:t>
      </w:r>
      <w:r w:rsidRPr="008075DF">
        <w:t xml:space="preserve"> of treatment was </w:t>
      </w:r>
      <w:r w:rsidR="000A2D27">
        <w:t>+</w:t>
      </w:r>
      <w:r w:rsidRPr="008075DF">
        <w:t>2.39. The estimated mean ppFEV</w:t>
      </w:r>
      <w:r w:rsidRPr="008075DF">
        <w:rPr>
          <w:vertAlign w:val="subscript"/>
        </w:rPr>
        <w:t xml:space="preserve">1 </w:t>
      </w:r>
      <w:proofErr w:type="spellStart"/>
      <w:r w:rsidRPr="008075DF">
        <w:t>rROD</w:t>
      </w:r>
      <w:proofErr w:type="spellEnd"/>
      <w:r w:rsidRPr="008075DF">
        <w:t xml:space="preserve"> after </w:t>
      </w:r>
      <w:r w:rsidR="00263D99">
        <w:t xml:space="preserve">approximately </w:t>
      </w:r>
      <w:r w:rsidR="00D06CB2" w:rsidRPr="008075DF">
        <w:t>1</w:t>
      </w:r>
      <w:r w:rsidR="00D864B9" w:rsidRPr="008075DF">
        <w:t>5</w:t>
      </w:r>
      <w:r w:rsidR="00D06CB2" w:rsidRPr="008075DF">
        <w:t xml:space="preserve"> months</w:t>
      </w:r>
      <w:r w:rsidR="00D06CB2">
        <w:t xml:space="preserve"> </w:t>
      </w:r>
      <w:r>
        <w:t xml:space="preserve">of </w:t>
      </w:r>
      <w:r w:rsidRPr="00600117">
        <w:t>treatment was</w:t>
      </w:r>
      <w:r w:rsidR="00E35C02">
        <w:t xml:space="preserve"> &gt;100</w:t>
      </w:r>
      <w:r w:rsidRPr="00600117">
        <w:t xml:space="preserve">%. </w:t>
      </w:r>
      <w:r w:rsidRPr="00985EC7">
        <w:rPr>
          <w:iCs/>
        </w:rPr>
        <w:t>Results are representative of 12% of patients registered on the ACFDR who have received treatment with a CFTR mo</w:t>
      </w:r>
      <w:r w:rsidRPr="00AB1B0D">
        <w:rPr>
          <w:iCs/>
        </w:rPr>
        <w:t>dulator, with a ppFEV</w:t>
      </w:r>
      <w:r w:rsidRPr="00AB1B0D">
        <w:rPr>
          <w:iCs/>
          <w:vertAlign w:val="subscript"/>
        </w:rPr>
        <w:t>1</w:t>
      </w:r>
      <w:r w:rsidRPr="00AB1B0D">
        <w:rPr>
          <w:iCs/>
        </w:rPr>
        <w:t xml:space="preserve"> between 40% and 90%.</w:t>
      </w:r>
      <w:r w:rsidR="0070673C" w:rsidRPr="00AB1B0D">
        <w:rPr>
          <w:iCs/>
        </w:rPr>
        <w:t xml:space="preserve"> </w:t>
      </w:r>
      <w:r w:rsidR="00B658B1">
        <w:rPr>
          <w:iCs/>
        </w:rPr>
        <w:t>The pre-PBAC response stated m</w:t>
      </w:r>
      <w:r w:rsidR="00B658B1" w:rsidRPr="00B658B1">
        <w:rPr>
          <w:iCs/>
        </w:rPr>
        <w:t xml:space="preserve">ost patients (281/562, 56.7%) were ineligible for inclusion as they did not meet the criteria defined a priori essential to perform the </w:t>
      </w:r>
      <w:proofErr w:type="spellStart"/>
      <w:r w:rsidR="00B658B1" w:rsidRPr="00B658B1">
        <w:rPr>
          <w:iCs/>
        </w:rPr>
        <w:t>rROD</w:t>
      </w:r>
      <w:proofErr w:type="spellEnd"/>
      <w:r w:rsidR="00B658B1" w:rsidRPr="00B658B1">
        <w:rPr>
          <w:iCs/>
        </w:rPr>
        <w:t xml:space="preserve"> analyses (i.e., ≥10 months since initiation measurement, baseline ppFEV</w:t>
      </w:r>
      <w:r w:rsidR="00B658B1" w:rsidRPr="00B658B1">
        <w:rPr>
          <w:iCs/>
          <w:vertAlign w:val="subscript"/>
        </w:rPr>
        <w:t>1</w:t>
      </w:r>
      <w:r w:rsidR="00B658B1" w:rsidRPr="00B658B1">
        <w:rPr>
          <w:iCs/>
        </w:rPr>
        <w:t xml:space="preserve"> measure available, ≥3 ppFEV</w:t>
      </w:r>
      <w:r w:rsidR="00B658B1" w:rsidRPr="001F005A">
        <w:rPr>
          <w:iCs/>
          <w:vertAlign w:val="subscript"/>
        </w:rPr>
        <w:t>1</w:t>
      </w:r>
      <w:r w:rsidR="00B658B1" w:rsidRPr="00B658B1">
        <w:rPr>
          <w:iCs/>
        </w:rPr>
        <w:t xml:space="preserve"> measures in either period). </w:t>
      </w:r>
      <w:r w:rsidR="00A06DA2">
        <w:rPr>
          <w:iCs/>
        </w:rPr>
        <w:t>The pre-PBAC response provided an additional analysis of the ACFDR data that did not restrict patients based on baseline ppFEV</w:t>
      </w:r>
      <w:r w:rsidR="00A06DA2" w:rsidRPr="00A06DA2">
        <w:rPr>
          <w:iCs/>
          <w:vertAlign w:val="subscript"/>
        </w:rPr>
        <w:t>1</w:t>
      </w:r>
      <w:r w:rsidR="00A06DA2">
        <w:rPr>
          <w:iCs/>
          <w:vertAlign w:val="subscript"/>
        </w:rPr>
        <w:t xml:space="preserve"> </w:t>
      </w:r>
      <w:r w:rsidR="00A06DA2" w:rsidRPr="00A06DA2">
        <w:rPr>
          <w:iCs/>
        </w:rPr>
        <w:t xml:space="preserve">(Table </w:t>
      </w:r>
      <w:r w:rsidR="0071680D">
        <w:rPr>
          <w:iCs/>
        </w:rPr>
        <w:t>8</w:t>
      </w:r>
      <w:r w:rsidR="00A06DA2" w:rsidRPr="00A06DA2">
        <w:rPr>
          <w:iCs/>
        </w:rPr>
        <w:t>).</w:t>
      </w:r>
      <w:r w:rsidR="00A06DA2">
        <w:rPr>
          <w:iCs/>
          <w:vertAlign w:val="subscript"/>
        </w:rPr>
        <w:t xml:space="preserve"> </w:t>
      </w:r>
      <w:r w:rsidR="00D864B9">
        <w:rPr>
          <w:iCs/>
        </w:rPr>
        <w:t>The PBAC noted the</w:t>
      </w:r>
      <w:r w:rsidR="00BA040A">
        <w:rPr>
          <w:iCs/>
        </w:rPr>
        <w:t xml:space="preserve"> </w:t>
      </w:r>
      <w:r w:rsidR="000A2D27">
        <w:rPr>
          <w:iCs/>
        </w:rPr>
        <w:t>annual change</w:t>
      </w:r>
      <w:r w:rsidR="00D864B9">
        <w:rPr>
          <w:iCs/>
        </w:rPr>
        <w:t xml:space="preserve"> in ppFEV</w:t>
      </w:r>
      <w:r w:rsidR="00D864B9" w:rsidRPr="00D864B9">
        <w:rPr>
          <w:iCs/>
          <w:vertAlign w:val="subscript"/>
        </w:rPr>
        <w:t>1</w:t>
      </w:r>
      <w:r w:rsidR="00D864B9">
        <w:rPr>
          <w:iCs/>
        </w:rPr>
        <w:t xml:space="preserve"> per year </w:t>
      </w:r>
      <w:r w:rsidR="00781D46">
        <w:rPr>
          <w:iCs/>
        </w:rPr>
        <w:t xml:space="preserve">in the first 15 months of treatment </w:t>
      </w:r>
      <w:r w:rsidR="00D864B9">
        <w:rPr>
          <w:iCs/>
        </w:rPr>
        <w:t xml:space="preserve">was </w:t>
      </w:r>
      <w:r w:rsidR="000A2D27">
        <w:rPr>
          <w:iCs/>
        </w:rPr>
        <w:t>+</w:t>
      </w:r>
      <w:r w:rsidR="00D864B9">
        <w:rPr>
          <w:iCs/>
        </w:rPr>
        <w:t>1.31%.</w:t>
      </w:r>
      <w:bookmarkEnd w:id="26"/>
      <w:r w:rsidR="000A4FBA">
        <w:rPr>
          <w:iCs/>
        </w:rPr>
        <w:t xml:space="preserve"> </w:t>
      </w:r>
    </w:p>
    <w:p w:rsidR="006C7A82" w:rsidRDefault="006C7A82" w:rsidP="001C2025">
      <w:pPr>
        <w:pStyle w:val="3-BodyText"/>
        <w:keepNext/>
        <w:keepLines/>
        <w:numPr>
          <w:ilvl w:val="0"/>
          <w:numId w:val="0"/>
        </w:numPr>
      </w:pPr>
      <w:r w:rsidRPr="006C0102">
        <w:rPr>
          <w:rFonts w:ascii="Arial Narrow" w:hAnsi="Arial Narrow" w:cstheme="minorHAnsi"/>
          <w:b/>
          <w:sz w:val="20"/>
          <w:szCs w:val="20"/>
        </w:rPr>
        <w:t xml:space="preserve">Table </w:t>
      </w:r>
      <w:r w:rsidR="0071680D">
        <w:rPr>
          <w:rFonts w:ascii="Arial Narrow" w:hAnsi="Arial Narrow" w:cstheme="minorHAnsi"/>
          <w:b/>
          <w:sz w:val="20"/>
          <w:szCs w:val="20"/>
        </w:rPr>
        <w:t>8</w:t>
      </w:r>
      <w:r w:rsidRPr="006C0102">
        <w:rPr>
          <w:rFonts w:ascii="Arial Narrow" w:hAnsi="Arial Narrow" w:cstheme="minorHAnsi"/>
          <w:b/>
          <w:sz w:val="20"/>
          <w:szCs w:val="20"/>
        </w:rPr>
        <w:t>:</w:t>
      </w:r>
      <w:r w:rsidR="000A4FBA">
        <w:rPr>
          <w:rFonts w:ascii="Arial Narrow" w:hAnsi="Arial Narrow" w:cstheme="minorHAnsi"/>
          <w:b/>
          <w:sz w:val="20"/>
          <w:szCs w:val="20"/>
        </w:rPr>
        <w:t xml:space="preserve"> </w:t>
      </w:r>
      <w:r w:rsidR="0071680D">
        <w:rPr>
          <w:rFonts w:ascii="Arial Narrow" w:hAnsi="Arial Narrow" w:cstheme="minorHAnsi"/>
          <w:b/>
          <w:sz w:val="20"/>
          <w:szCs w:val="20"/>
        </w:rPr>
        <w:t>ACFDR analysis provided in submission and updated analysis provided in pre-PBAC response</w:t>
      </w:r>
    </w:p>
    <w:tbl>
      <w:tblPr>
        <w:tblStyle w:val="Sourcetable1"/>
        <w:tblW w:w="0" w:type="auto"/>
        <w:tblLook w:val="04A0" w:firstRow="1" w:lastRow="0" w:firstColumn="1" w:lastColumn="0" w:noHBand="0" w:noVBand="1"/>
        <w:tblCaption w:val="Table 8: ACFDR analysis provided in submission and updated analysis provided in pre-PBAC response"/>
      </w:tblPr>
      <w:tblGrid>
        <w:gridCol w:w="5382"/>
        <w:gridCol w:w="1817"/>
        <w:gridCol w:w="1818"/>
      </w:tblGrid>
      <w:tr w:rsidR="006C7A82" w:rsidRPr="006C7A82" w:rsidTr="007B10A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82" w:type="dxa"/>
            <w:shd w:val="clear" w:color="auto" w:fill="auto"/>
          </w:tcPr>
          <w:p w:rsidR="006C7A82" w:rsidRPr="006C7A82" w:rsidRDefault="006C7A82" w:rsidP="001C2025">
            <w:pPr>
              <w:keepNext/>
              <w:keepLines/>
              <w:jc w:val="left"/>
              <w:rPr>
                <w:rFonts w:asciiTheme="minorHAnsi" w:eastAsiaTheme="minorHAnsi" w:hAnsiTheme="minorHAnsi" w:cstheme="minorBidi"/>
                <w:sz w:val="20"/>
                <w:szCs w:val="22"/>
              </w:rPr>
            </w:pPr>
          </w:p>
        </w:tc>
        <w:tc>
          <w:tcPr>
            <w:tcW w:w="1817" w:type="dxa"/>
            <w:shd w:val="clear" w:color="auto" w:fill="auto"/>
          </w:tcPr>
          <w:p w:rsidR="006C7A82" w:rsidRPr="006C7A82" w:rsidRDefault="00B658B1" w:rsidP="001C2025">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2"/>
              </w:rPr>
            </w:pPr>
            <w:r>
              <w:rPr>
                <w:rFonts w:asciiTheme="minorHAnsi" w:eastAsiaTheme="minorHAnsi" w:hAnsiTheme="minorHAnsi" w:cstheme="minorBidi"/>
                <w:sz w:val="20"/>
                <w:szCs w:val="22"/>
              </w:rPr>
              <w:t>Analysis provided in submission</w:t>
            </w:r>
            <w:r w:rsidR="006C7A82" w:rsidRPr="006C7A82">
              <w:rPr>
                <w:rFonts w:asciiTheme="minorHAnsi" w:eastAsiaTheme="minorHAnsi" w:hAnsiTheme="minorHAnsi" w:cstheme="minorBidi"/>
                <w:sz w:val="20"/>
                <w:szCs w:val="22"/>
              </w:rPr>
              <w:t xml:space="preserve"> </w:t>
            </w:r>
            <w:r w:rsidR="006C7A82" w:rsidRPr="006C7A82">
              <w:rPr>
                <w:rFonts w:asciiTheme="minorHAnsi" w:eastAsiaTheme="minorHAnsi" w:hAnsiTheme="minorHAnsi" w:cstheme="minorBidi"/>
                <w:sz w:val="20"/>
                <w:szCs w:val="22"/>
              </w:rPr>
              <w:br/>
              <w:t>(ppFEV</w:t>
            </w:r>
            <w:r w:rsidR="006C7A82" w:rsidRPr="006C7A82">
              <w:rPr>
                <w:rFonts w:asciiTheme="minorHAnsi" w:eastAsiaTheme="minorHAnsi" w:hAnsiTheme="minorHAnsi" w:cstheme="minorBidi"/>
                <w:sz w:val="20"/>
                <w:szCs w:val="22"/>
                <w:vertAlign w:val="subscript"/>
              </w:rPr>
              <w:t>1</w:t>
            </w:r>
            <w:r w:rsidR="006C7A82" w:rsidRPr="006C7A82">
              <w:rPr>
                <w:rFonts w:asciiTheme="minorHAnsi" w:eastAsiaTheme="minorHAnsi" w:hAnsiTheme="minorHAnsi" w:cstheme="minorBidi"/>
                <w:sz w:val="20"/>
                <w:szCs w:val="22"/>
              </w:rPr>
              <w:t xml:space="preserve"> 40-90), n=126</w:t>
            </w:r>
          </w:p>
        </w:tc>
        <w:tc>
          <w:tcPr>
            <w:tcW w:w="1818" w:type="dxa"/>
            <w:shd w:val="clear" w:color="auto" w:fill="auto"/>
          </w:tcPr>
          <w:p w:rsidR="006C7A82" w:rsidRPr="006C7A82" w:rsidRDefault="006C7A82" w:rsidP="001C2025">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2"/>
              </w:rPr>
            </w:pPr>
            <w:r w:rsidRPr="006C7A82">
              <w:rPr>
                <w:rFonts w:asciiTheme="minorHAnsi" w:eastAsiaTheme="minorHAnsi" w:hAnsiTheme="minorHAnsi" w:cstheme="minorBidi"/>
                <w:sz w:val="20"/>
                <w:szCs w:val="22"/>
              </w:rPr>
              <w:t>Revised analyses</w:t>
            </w:r>
            <w:r w:rsidR="00B658B1">
              <w:rPr>
                <w:rFonts w:asciiTheme="minorHAnsi" w:eastAsiaTheme="minorHAnsi" w:hAnsiTheme="minorHAnsi" w:cstheme="minorBidi"/>
                <w:sz w:val="20"/>
                <w:szCs w:val="22"/>
              </w:rPr>
              <w:t xml:space="preserve"> provided in pre-PBAC response</w:t>
            </w:r>
            <w:r w:rsidRPr="006C7A82">
              <w:rPr>
                <w:rFonts w:asciiTheme="minorHAnsi" w:eastAsiaTheme="minorHAnsi" w:hAnsiTheme="minorHAnsi" w:cstheme="minorBidi"/>
                <w:sz w:val="20"/>
                <w:szCs w:val="22"/>
              </w:rPr>
              <w:br/>
              <w:t>(any ppFEV</w:t>
            </w:r>
            <w:r w:rsidRPr="006C7A82">
              <w:rPr>
                <w:rFonts w:asciiTheme="minorHAnsi" w:eastAsiaTheme="minorHAnsi" w:hAnsiTheme="minorHAnsi" w:cstheme="minorBidi"/>
                <w:sz w:val="20"/>
                <w:szCs w:val="22"/>
                <w:vertAlign w:val="subscript"/>
              </w:rPr>
              <w:t>1</w:t>
            </w:r>
            <w:r w:rsidRPr="006C7A82">
              <w:rPr>
                <w:rFonts w:asciiTheme="minorHAnsi" w:eastAsiaTheme="minorHAnsi" w:hAnsiTheme="minorHAnsi" w:cstheme="minorBidi"/>
                <w:sz w:val="20"/>
                <w:szCs w:val="22"/>
              </w:rPr>
              <w:t>), n=179</w:t>
            </w:r>
          </w:p>
        </w:tc>
      </w:tr>
      <w:tr w:rsidR="006C7A82" w:rsidRPr="006C7A82" w:rsidTr="006C7A82">
        <w:tc>
          <w:tcPr>
            <w:cnfStyle w:val="001000000000" w:firstRow="0" w:lastRow="0" w:firstColumn="1" w:lastColumn="0" w:oddVBand="0" w:evenVBand="0" w:oddHBand="0" w:evenHBand="0" w:firstRowFirstColumn="0" w:firstRowLastColumn="0" w:lastRowFirstColumn="0" w:lastRowLastColumn="0"/>
            <w:tcW w:w="5382" w:type="dxa"/>
          </w:tcPr>
          <w:p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sz w:val="20"/>
                <w:szCs w:val="22"/>
              </w:rPr>
              <w:t xml:space="preserve">Male, n (%) </w:t>
            </w:r>
          </w:p>
        </w:tc>
        <w:tc>
          <w:tcPr>
            <w:tcW w:w="1817" w:type="dxa"/>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54 (63)</w:t>
            </w:r>
          </w:p>
        </w:tc>
        <w:tc>
          <w:tcPr>
            <w:tcW w:w="1818" w:type="dxa"/>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113 (63)</w:t>
            </w:r>
          </w:p>
        </w:tc>
      </w:tr>
      <w:tr w:rsidR="006C7A82" w:rsidRPr="006C7A82" w:rsidTr="006C7A82">
        <w:tc>
          <w:tcPr>
            <w:cnfStyle w:val="001000000000" w:firstRow="0" w:lastRow="0" w:firstColumn="1" w:lastColumn="0" w:oddVBand="0" w:evenVBand="0" w:oddHBand="0" w:evenHBand="0" w:firstRowFirstColumn="0" w:firstRowLastColumn="0" w:lastRowFirstColumn="0" w:lastRowLastColumn="0"/>
            <w:tcW w:w="5382" w:type="dxa"/>
          </w:tcPr>
          <w:p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sz w:val="20"/>
                <w:szCs w:val="22"/>
              </w:rPr>
              <w:t>Age, years (mean, SD)</w:t>
            </w:r>
          </w:p>
        </w:tc>
        <w:tc>
          <w:tcPr>
            <w:tcW w:w="1817" w:type="dxa"/>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25.9 (9.0)</w:t>
            </w:r>
          </w:p>
        </w:tc>
        <w:tc>
          <w:tcPr>
            <w:tcW w:w="1818" w:type="dxa"/>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24.8 (8.8)</w:t>
            </w:r>
          </w:p>
        </w:tc>
      </w:tr>
      <w:tr w:rsidR="006C7A82" w:rsidRPr="006C7A82"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sz w:val="20"/>
                <w:szCs w:val="22"/>
              </w:rPr>
              <w:t>ppFEV</w:t>
            </w:r>
            <w:r w:rsidRPr="006C7A82">
              <w:rPr>
                <w:rFonts w:ascii="Arial Narrow" w:eastAsiaTheme="minorHAnsi" w:hAnsi="Arial Narrow" w:cstheme="minorBidi"/>
                <w:sz w:val="20"/>
                <w:szCs w:val="22"/>
                <w:vertAlign w:val="subscript"/>
              </w:rPr>
              <w:t>1</w:t>
            </w:r>
            <w:r w:rsidRPr="006C7A82">
              <w:rPr>
                <w:rFonts w:ascii="Arial Narrow" w:eastAsiaTheme="minorHAnsi" w:hAnsi="Arial Narrow" w:cstheme="minorBidi"/>
                <w:sz w:val="20"/>
                <w:szCs w:val="22"/>
              </w:rPr>
              <w:t>, % (mean, SD)</w:t>
            </w:r>
          </w:p>
        </w:tc>
        <w:tc>
          <w:tcPr>
            <w:tcW w:w="1817" w:type="dxa"/>
            <w:shd w:val="clear" w:color="auto" w:fill="auto"/>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69.1 (13.6)</w:t>
            </w:r>
          </w:p>
        </w:tc>
        <w:tc>
          <w:tcPr>
            <w:tcW w:w="1818" w:type="dxa"/>
            <w:shd w:val="clear" w:color="auto" w:fill="auto"/>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75.0 (20.2)</w:t>
            </w:r>
          </w:p>
        </w:tc>
      </w:tr>
      <w:tr w:rsidR="006C7A82" w:rsidRPr="006C7A82"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sz w:val="20"/>
                <w:szCs w:val="22"/>
              </w:rPr>
              <w:t>Duration CFTR modulator use from initiation, months (mean, SD)</w:t>
            </w:r>
          </w:p>
        </w:tc>
        <w:tc>
          <w:tcPr>
            <w:tcW w:w="1817" w:type="dxa"/>
            <w:shd w:val="clear" w:color="auto" w:fill="auto"/>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20.2 (2.0)</w:t>
            </w:r>
          </w:p>
        </w:tc>
        <w:tc>
          <w:tcPr>
            <w:tcW w:w="1818" w:type="dxa"/>
            <w:shd w:val="clear" w:color="auto" w:fill="auto"/>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20.2 (1.9)</w:t>
            </w:r>
          </w:p>
        </w:tc>
      </w:tr>
      <w:tr w:rsidR="006C7A82" w:rsidRPr="006C7A82"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sz w:val="20"/>
                <w:szCs w:val="22"/>
              </w:rPr>
              <w:t xml:space="preserve">Duration of on-CFTR modulator </w:t>
            </w:r>
            <w:proofErr w:type="spellStart"/>
            <w:r w:rsidRPr="006C7A82">
              <w:rPr>
                <w:rFonts w:ascii="Arial Narrow" w:eastAsiaTheme="minorHAnsi" w:hAnsi="Arial Narrow" w:cstheme="minorBidi"/>
                <w:sz w:val="20"/>
                <w:szCs w:val="22"/>
              </w:rPr>
              <w:t>analyses</w:t>
            </w:r>
            <w:r w:rsidRPr="006C7A82">
              <w:rPr>
                <w:rFonts w:ascii="Arial Narrow" w:eastAsiaTheme="minorHAnsi" w:hAnsi="Arial Narrow" w:cstheme="minorBidi"/>
                <w:sz w:val="20"/>
                <w:szCs w:val="22"/>
                <w:vertAlign w:val="superscript"/>
              </w:rPr>
              <w:t>a</w:t>
            </w:r>
            <w:proofErr w:type="spellEnd"/>
            <w:r w:rsidRPr="006C7A82">
              <w:rPr>
                <w:rFonts w:ascii="Arial Narrow" w:eastAsiaTheme="minorHAnsi" w:hAnsi="Arial Narrow" w:cstheme="minorBidi"/>
                <w:sz w:val="20"/>
                <w:szCs w:val="22"/>
              </w:rPr>
              <w:t>, months (mean, SD)</w:t>
            </w:r>
          </w:p>
        </w:tc>
        <w:tc>
          <w:tcPr>
            <w:tcW w:w="1817" w:type="dxa"/>
            <w:shd w:val="clear" w:color="auto" w:fill="auto"/>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14.6 (3.3)</w:t>
            </w:r>
          </w:p>
        </w:tc>
        <w:tc>
          <w:tcPr>
            <w:tcW w:w="1818" w:type="dxa"/>
            <w:shd w:val="clear" w:color="auto" w:fill="auto"/>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14.6 (3.3)</w:t>
            </w:r>
          </w:p>
        </w:tc>
      </w:tr>
      <w:tr w:rsidR="006C7A82" w:rsidRPr="006C7A82"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vAlign w:val="top"/>
          </w:tcPr>
          <w:p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pre-CFTR modulator weighted average annual change in ppFEV</w:t>
            </w:r>
            <w:r w:rsidRPr="006C7A82">
              <w:rPr>
                <w:rFonts w:ascii="Arial Narrow" w:eastAsiaTheme="minorHAnsi" w:hAnsi="Arial Narrow" w:cstheme="minorBidi"/>
                <w:color w:val="000000" w:themeColor="text1"/>
                <w:sz w:val="20"/>
                <w:szCs w:val="22"/>
                <w:vertAlign w:val="subscript"/>
              </w:rPr>
              <w:t>1</w:t>
            </w:r>
          </w:p>
        </w:tc>
        <w:tc>
          <w:tcPr>
            <w:tcW w:w="1817" w:type="dxa"/>
            <w:shd w:val="clear" w:color="auto" w:fill="auto"/>
            <w:vAlign w:val="top"/>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-1.91%/year</w:t>
            </w:r>
          </w:p>
        </w:tc>
        <w:tc>
          <w:tcPr>
            <w:tcW w:w="1818" w:type="dxa"/>
            <w:shd w:val="clear" w:color="auto" w:fill="auto"/>
            <w:vAlign w:val="top"/>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-1.10%/year</w:t>
            </w:r>
          </w:p>
        </w:tc>
      </w:tr>
      <w:tr w:rsidR="006C7A82" w:rsidRPr="006C7A82"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vAlign w:val="top"/>
          </w:tcPr>
          <w:p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on-CFTR modulator weighted average annual change in ppFEV</w:t>
            </w:r>
            <w:r w:rsidRPr="006C7A82">
              <w:rPr>
                <w:rFonts w:ascii="Arial Narrow" w:eastAsiaTheme="minorHAnsi" w:hAnsi="Arial Narrow" w:cstheme="minorBidi"/>
                <w:color w:val="000000" w:themeColor="text1"/>
                <w:sz w:val="20"/>
                <w:szCs w:val="22"/>
                <w:vertAlign w:val="subscript"/>
              </w:rPr>
              <w:t>1</w:t>
            </w:r>
          </w:p>
        </w:tc>
        <w:tc>
          <w:tcPr>
            <w:tcW w:w="1817" w:type="dxa"/>
            <w:shd w:val="clear" w:color="auto" w:fill="auto"/>
            <w:vAlign w:val="top"/>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+2.39%/year</w:t>
            </w:r>
          </w:p>
        </w:tc>
        <w:tc>
          <w:tcPr>
            <w:tcW w:w="1818" w:type="dxa"/>
            <w:shd w:val="clear" w:color="auto" w:fill="auto"/>
            <w:vAlign w:val="top"/>
          </w:tcPr>
          <w:p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+1.31%/year</w:t>
            </w:r>
          </w:p>
        </w:tc>
      </w:tr>
      <w:tr w:rsidR="00B658B1" w:rsidRPr="006C7A82"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vAlign w:val="top"/>
          </w:tcPr>
          <w:p w:rsidR="00B658B1" w:rsidRPr="006C7A82" w:rsidRDefault="00B658B1" w:rsidP="001C2025">
            <w:pPr>
              <w:keepNext/>
              <w:keepLines/>
              <w:jc w:val="left"/>
              <w:rPr>
                <w:rFonts w:ascii="Arial Narrow" w:eastAsiaTheme="minorHAnsi" w:hAnsi="Arial Narrow" w:cstheme="minorBidi"/>
                <w:color w:val="000000" w:themeColor="text1"/>
                <w:sz w:val="20"/>
                <w:szCs w:val="22"/>
              </w:rPr>
            </w:pPr>
            <w:r w:rsidRPr="00B658B1">
              <w:rPr>
                <w:rFonts w:ascii="Arial Narrow" w:eastAsiaTheme="minorHAnsi" w:hAnsi="Arial Narrow" w:cstheme="minorBidi"/>
                <w:color w:val="000000" w:themeColor="text1"/>
                <w:sz w:val="20"/>
                <w:szCs w:val="22"/>
              </w:rPr>
              <w:t xml:space="preserve">ppFEV1 </w:t>
            </w:r>
            <w:proofErr w:type="spellStart"/>
            <w:r w:rsidRPr="00B658B1">
              <w:rPr>
                <w:rFonts w:ascii="Arial Narrow" w:eastAsiaTheme="minorHAnsi" w:hAnsi="Arial Narrow" w:cstheme="minorBidi"/>
                <w:color w:val="000000" w:themeColor="text1"/>
                <w:sz w:val="20"/>
                <w:szCs w:val="22"/>
              </w:rPr>
              <w:t>rROD</w:t>
            </w:r>
            <w:proofErr w:type="spellEnd"/>
          </w:p>
        </w:tc>
        <w:tc>
          <w:tcPr>
            <w:tcW w:w="1817" w:type="dxa"/>
            <w:shd w:val="clear" w:color="auto" w:fill="auto"/>
            <w:vAlign w:val="top"/>
          </w:tcPr>
          <w:p w:rsidR="00B658B1" w:rsidRPr="00B658B1" w:rsidRDefault="00B658B1"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color w:val="000000" w:themeColor="text1"/>
                <w:sz w:val="20"/>
                <w:szCs w:val="22"/>
              </w:rPr>
            </w:pPr>
            <w:r w:rsidRPr="00B658B1">
              <w:rPr>
                <w:rFonts w:ascii="Arial Narrow" w:eastAsiaTheme="minorHAnsi" w:hAnsi="Arial Narrow" w:cstheme="minorBidi"/>
                <w:b/>
                <w:color w:val="000000" w:themeColor="text1"/>
                <w:sz w:val="20"/>
                <w:szCs w:val="22"/>
              </w:rPr>
              <w:t>&gt;100%</w:t>
            </w:r>
            <w:r w:rsidRPr="00B658B1">
              <w:rPr>
                <w:rFonts w:ascii="Arial Narrow" w:eastAsiaTheme="minorHAnsi" w:hAnsi="Arial Narrow" w:cstheme="minorBidi"/>
                <w:b/>
                <w:color w:val="000000" w:themeColor="text1"/>
                <w:sz w:val="20"/>
                <w:szCs w:val="22"/>
                <w:vertAlign w:val="superscript"/>
              </w:rPr>
              <w:t>b</w:t>
            </w:r>
          </w:p>
        </w:tc>
        <w:tc>
          <w:tcPr>
            <w:tcW w:w="1818" w:type="dxa"/>
            <w:shd w:val="clear" w:color="auto" w:fill="auto"/>
            <w:vAlign w:val="top"/>
          </w:tcPr>
          <w:p w:rsidR="00B658B1" w:rsidRPr="00B658B1" w:rsidRDefault="00B658B1"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color w:val="000000" w:themeColor="text1"/>
                <w:sz w:val="20"/>
                <w:szCs w:val="22"/>
              </w:rPr>
            </w:pPr>
            <w:r w:rsidRPr="00B658B1">
              <w:rPr>
                <w:rFonts w:ascii="Arial Narrow" w:eastAsiaTheme="minorHAnsi" w:hAnsi="Arial Narrow" w:cstheme="minorBidi"/>
                <w:b/>
                <w:color w:val="000000" w:themeColor="text1"/>
                <w:sz w:val="20"/>
                <w:szCs w:val="22"/>
              </w:rPr>
              <w:t>&gt;100%</w:t>
            </w:r>
            <w:r w:rsidRPr="00B658B1">
              <w:rPr>
                <w:rFonts w:ascii="Arial Narrow" w:eastAsiaTheme="minorHAnsi" w:hAnsi="Arial Narrow" w:cstheme="minorBidi"/>
                <w:b/>
                <w:color w:val="000000" w:themeColor="text1"/>
                <w:sz w:val="20"/>
                <w:szCs w:val="22"/>
                <w:vertAlign w:val="superscript"/>
              </w:rPr>
              <w:t>b</w:t>
            </w:r>
          </w:p>
        </w:tc>
      </w:tr>
    </w:tbl>
    <w:p w:rsidR="00B658B1" w:rsidRPr="009447BB" w:rsidRDefault="0071680D" w:rsidP="009447BB">
      <w:pPr>
        <w:pStyle w:val="TableFooter"/>
        <w:keepNext/>
        <w:keepLines/>
      </w:pPr>
      <w:bookmarkStart w:id="27" w:name="_Toc72320699"/>
      <w:r w:rsidRPr="009447BB">
        <w:t xml:space="preserve">CFTR=Cystic fibrosis transmembrane conductance regulator; </w:t>
      </w:r>
      <w:r w:rsidR="00B658B1" w:rsidRPr="009447BB">
        <w:t xml:space="preserve">ppFEV1 </w:t>
      </w:r>
      <w:r w:rsidRPr="009447BB">
        <w:t xml:space="preserve">=percent predicted forced expiratory volume in one second </w:t>
      </w:r>
      <w:proofErr w:type="spellStart"/>
      <w:r w:rsidR="00B658B1" w:rsidRPr="009447BB">
        <w:t>rROD</w:t>
      </w:r>
      <w:proofErr w:type="spellEnd"/>
      <w:r w:rsidR="00B658B1" w:rsidRPr="009447BB">
        <w:t xml:space="preserve"> </w:t>
      </w:r>
      <w:r w:rsidRPr="009447BB">
        <w:t xml:space="preserve">=relative rate of decline; S=standard deviation </w:t>
      </w:r>
    </w:p>
    <w:p w:rsidR="00382DCA" w:rsidRPr="009447BB" w:rsidRDefault="006C7A82" w:rsidP="009447BB">
      <w:pPr>
        <w:pStyle w:val="TableFooter"/>
        <w:keepNext/>
        <w:keepLines/>
      </w:pPr>
      <w:proofErr w:type="spellStart"/>
      <w:proofErr w:type="gramStart"/>
      <w:r w:rsidRPr="009447BB">
        <w:rPr>
          <w:vertAlign w:val="superscript"/>
        </w:rPr>
        <w:t>a</w:t>
      </w:r>
      <w:proofErr w:type="spellEnd"/>
      <w:proofErr w:type="gramEnd"/>
      <w:r w:rsidR="000A4FBA" w:rsidRPr="009447BB">
        <w:t xml:space="preserve"> </w:t>
      </w:r>
      <w:r w:rsidRPr="009447BB">
        <w:t>To patient’s last ppFEV1 measure used in analyses (truncated by COVID).</w:t>
      </w:r>
      <w:r w:rsidR="00E559A6" w:rsidRPr="009447BB">
        <w:t xml:space="preserve"> </w:t>
      </w:r>
    </w:p>
    <w:p w:rsidR="009447BB" w:rsidRDefault="00B658B1" w:rsidP="009447BB">
      <w:pPr>
        <w:pStyle w:val="TableFooter"/>
        <w:keepNext/>
        <w:keepLines/>
      </w:pPr>
      <w:proofErr w:type="gramStart"/>
      <w:r w:rsidRPr="009447BB">
        <w:rPr>
          <w:vertAlign w:val="superscript"/>
        </w:rPr>
        <w:t>b</w:t>
      </w:r>
      <w:proofErr w:type="gramEnd"/>
      <w:r w:rsidR="000A4FBA" w:rsidRPr="009447BB">
        <w:rPr>
          <w:vertAlign w:val="superscript"/>
        </w:rPr>
        <w:t xml:space="preserve"> </w:t>
      </w:r>
      <w:r w:rsidRPr="009447BB">
        <w:t>It is not mathematically correct to calculate % reduction if slopes differ in direction</w:t>
      </w:r>
    </w:p>
    <w:p w:rsidR="009447BB" w:rsidRDefault="009447BB" w:rsidP="009447BB">
      <w:pPr>
        <w:pStyle w:val="TableFooter"/>
        <w:keepNext/>
        <w:keepLines/>
      </w:pPr>
    </w:p>
    <w:p w:rsidR="005465AF" w:rsidRPr="009447BB" w:rsidRDefault="005465AF" w:rsidP="009447BB">
      <w:pPr>
        <w:pStyle w:val="TableFooter"/>
        <w:keepNext/>
        <w:keepLines/>
        <w:rPr>
          <w:rFonts w:asciiTheme="minorHAnsi" w:hAnsiTheme="minorHAnsi" w:cstheme="minorHAnsi"/>
          <w:sz w:val="24"/>
          <w:u w:val="single"/>
        </w:rPr>
      </w:pPr>
      <w:r w:rsidRPr="009447BB">
        <w:rPr>
          <w:rFonts w:asciiTheme="minorHAnsi" w:hAnsiTheme="minorHAnsi" w:cstheme="minorHAnsi"/>
          <w:sz w:val="24"/>
          <w:u w:val="single"/>
          <w:lang w:val="en-US"/>
        </w:rPr>
        <w:t>Pooled analysis</w:t>
      </w:r>
    </w:p>
    <w:p w:rsidR="0067266C" w:rsidRPr="0067266C" w:rsidRDefault="005465AF" w:rsidP="00DE0F97">
      <w:pPr>
        <w:pStyle w:val="3-BodyText"/>
        <w:rPr>
          <w:lang w:val="en-US"/>
        </w:rPr>
      </w:pPr>
      <w:r w:rsidRPr="008A1ED0">
        <w:rPr>
          <w:lang w:val="en-US"/>
        </w:rPr>
        <w:t>The submission’s</w:t>
      </w:r>
      <w:r w:rsidR="000A4FBA">
        <w:rPr>
          <w:lang w:val="en-US"/>
        </w:rPr>
        <w:t xml:space="preserve"> </w:t>
      </w:r>
      <w:r w:rsidRPr="008A1ED0">
        <w:rPr>
          <w:lang w:val="en-US"/>
        </w:rPr>
        <w:t xml:space="preserve">pooled point estimate of the </w:t>
      </w:r>
      <w:r w:rsidR="00382DCA">
        <w:rPr>
          <w:lang w:val="en-US"/>
        </w:rPr>
        <w:t xml:space="preserve">relative rate of </w:t>
      </w:r>
      <w:r w:rsidRPr="008A1ED0">
        <w:rPr>
          <w:lang w:val="en-US"/>
        </w:rPr>
        <w:t xml:space="preserve">decline in lung function </w:t>
      </w:r>
      <w:r w:rsidR="00382DCA">
        <w:rPr>
          <w:lang w:val="en-US"/>
        </w:rPr>
        <w:t>(</w:t>
      </w:r>
      <w:proofErr w:type="spellStart"/>
      <w:r w:rsidR="00382DCA" w:rsidRPr="008A1ED0">
        <w:rPr>
          <w:lang w:val="en-US"/>
        </w:rPr>
        <w:t>rROD</w:t>
      </w:r>
      <w:proofErr w:type="spellEnd"/>
      <w:r w:rsidR="00382DCA" w:rsidRPr="008A1ED0">
        <w:rPr>
          <w:lang w:val="en-US"/>
        </w:rPr>
        <w:t xml:space="preserve"> </w:t>
      </w:r>
      <w:r w:rsidRPr="008A1ED0">
        <w:rPr>
          <w:lang w:val="en-US"/>
        </w:rPr>
        <w:t>ppFEV</w:t>
      </w:r>
      <w:r w:rsidRPr="008A1ED0">
        <w:rPr>
          <w:vertAlign w:val="subscript"/>
          <w:lang w:val="en-US"/>
        </w:rPr>
        <w:t>1</w:t>
      </w:r>
      <w:r w:rsidR="00382DCA">
        <w:rPr>
          <w:lang w:val="en-US"/>
        </w:rPr>
        <w:t>)</w:t>
      </w:r>
      <w:r w:rsidRPr="008A1ED0">
        <w:rPr>
          <w:lang w:val="en-US"/>
        </w:rPr>
        <w:t xml:space="preserve"> </w:t>
      </w:r>
      <w:r w:rsidR="00382DCA">
        <w:rPr>
          <w:lang w:val="en-US"/>
        </w:rPr>
        <w:t xml:space="preserve">for lumacaftor/ivacaftor compared to BSC </w:t>
      </w:r>
      <w:r w:rsidRPr="008A1ED0">
        <w:rPr>
          <w:lang w:val="en-US"/>
        </w:rPr>
        <w:t xml:space="preserve">was 55.7% based on five studies (PASS 108, </w:t>
      </w:r>
      <w:r>
        <w:rPr>
          <w:lang w:val="en-US"/>
        </w:rPr>
        <w:t xml:space="preserve">Flume 2021, </w:t>
      </w:r>
      <w:proofErr w:type="spellStart"/>
      <w:r w:rsidRPr="008A1ED0">
        <w:rPr>
          <w:lang w:val="en-US"/>
        </w:rPr>
        <w:t>Bourgani</w:t>
      </w:r>
      <w:proofErr w:type="spellEnd"/>
      <w:r w:rsidRPr="008A1ED0">
        <w:rPr>
          <w:lang w:val="en-US"/>
        </w:rPr>
        <w:t xml:space="preserve"> 2019, </w:t>
      </w:r>
      <w:proofErr w:type="spellStart"/>
      <w:r w:rsidRPr="008A1ED0">
        <w:rPr>
          <w:lang w:val="en-US"/>
        </w:rPr>
        <w:t>Mermis</w:t>
      </w:r>
      <w:proofErr w:type="spellEnd"/>
      <w:r w:rsidRPr="008A1ED0">
        <w:rPr>
          <w:lang w:val="en-US"/>
        </w:rPr>
        <w:t xml:space="preserve"> 2019, </w:t>
      </w:r>
      <w:proofErr w:type="spellStart"/>
      <w:r w:rsidRPr="008A1ED0">
        <w:rPr>
          <w:lang w:val="en-US"/>
        </w:rPr>
        <w:t>Muilwijk</w:t>
      </w:r>
      <w:proofErr w:type="spellEnd"/>
      <w:r w:rsidRPr="008A1ED0">
        <w:rPr>
          <w:lang w:val="en-US"/>
        </w:rPr>
        <w:t xml:space="preserve"> 2020) that included patients that had been treated for more than two years. </w:t>
      </w:r>
      <w:r w:rsidRPr="009E74E7">
        <w:rPr>
          <w:iCs/>
          <w:lang w:val="en-US"/>
        </w:rPr>
        <w:t xml:space="preserve">As discussed in paragraph </w:t>
      </w:r>
      <w:r w:rsidR="00382DCA" w:rsidRPr="0012362C">
        <w:rPr>
          <w:iCs/>
          <w:lang w:val="en-US"/>
        </w:rPr>
        <w:t>4.12</w:t>
      </w:r>
      <w:r w:rsidR="005B2444" w:rsidRPr="009E74E7">
        <w:rPr>
          <w:iCs/>
          <w:lang w:val="en-US"/>
        </w:rPr>
        <w:t xml:space="preserve">, the ESC did </w:t>
      </w:r>
      <w:r w:rsidRPr="009E74E7">
        <w:rPr>
          <w:iCs/>
          <w:lang w:val="en-US"/>
        </w:rPr>
        <w:t>not consider pooling of the data appropriate.</w:t>
      </w:r>
      <w:r>
        <w:rPr>
          <w:i/>
          <w:iCs/>
          <w:lang w:val="en-US"/>
        </w:rPr>
        <w:t xml:space="preserve"> </w:t>
      </w:r>
    </w:p>
    <w:p w:rsidR="0067266C" w:rsidRDefault="0067266C" w:rsidP="0067266C">
      <w:pPr>
        <w:pStyle w:val="3-BodyText"/>
        <w:numPr>
          <w:ilvl w:val="0"/>
          <w:numId w:val="0"/>
        </w:numPr>
        <w:rPr>
          <w:i/>
          <w:iCs/>
          <w:lang w:val="en-US"/>
        </w:rPr>
      </w:pPr>
    </w:p>
    <w:p w:rsidR="00C20A36" w:rsidRPr="0067266C" w:rsidRDefault="00C20A36" w:rsidP="0067266C">
      <w:pPr>
        <w:pStyle w:val="3-BodyText"/>
        <w:numPr>
          <w:ilvl w:val="0"/>
          <w:numId w:val="0"/>
        </w:numPr>
        <w:rPr>
          <w:u w:val="single"/>
          <w:lang w:val="en-US"/>
        </w:rPr>
      </w:pPr>
      <w:r w:rsidRPr="0067266C">
        <w:rPr>
          <w:u w:val="single"/>
        </w:rPr>
        <w:lastRenderedPageBreak/>
        <w:t>Studies where lumacaftor/ivacaftor were initiated from ages 6 to 11 years</w:t>
      </w:r>
      <w:bookmarkEnd w:id="27"/>
    </w:p>
    <w:p w:rsidR="00C26532" w:rsidRPr="005A2BA7" w:rsidRDefault="00C26532" w:rsidP="00FF6311">
      <w:pPr>
        <w:pStyle w:val="3-BodyText"/>
        <w:rPr>
          <w:i/>
          <w:lang w:val="en-US"/>
        </w:rPr>
      </w:pPr>
      <w:r w:rsidRPr="005A2BA7">
        <w:rPr>
          <w:lang w:val="en-US"/>
        </w:rPr>
        <w:t xml:space="preserve">For patients aged 6-11 years initiating treatment with lumacaftor/ivacaftor; </w:t>
      </w:r>
      <w:r w:rsidRPr="00985EC7">
        <w:t>the absolute change in ppFEV</w:t>
      </w:r>
      <w:r w:rsidRPr="00985EC7">
        <w:rPr>
          <w:vertAlign w:val="subscript"/>
        </w:rPr>
        <w:t>1</w:t>
      </w:r>
      <w:r w:rsidRPr="00985EC7">
        <w:t xml:space="preserve"> from baseline to 12 months was not significant in Study 129 (-0.9</w:t>
      </w:r>
      <w:r w:rsidR="00382DCA">
        <w:t>%</w:t>
      </w:r>
      <w:r w:rsidRPr="00985EC7">
        <w:t xml:space="preserve">; 95%CI -2.1, 0.3), or in patients </w:t>
      </w:r>
      <w:r w:rsidR="00914887">
        <w:t xml:space="preserve">who </w:t>
      </w:r>
      <w:r w:rsidRPr="00985EC7">
        <w:t xml:space="preserve"> transitioned from placebo to lumacaftor/ivacaftor treatment in Study 110 (0.0; 95%CI -2.7, 2.7); whereas a small change was observed in patients </w:t>
      </w:r>
      <w:r w:rsidR="00914887">
        <w:t xml:space="preserve">who </w:t>
      </w:r>
      <w:r w:rsidRPr="00985EC7">
        <w:t xml:space="preserve"> received lumacaftor/ivacaftor in the parent study and in Study 110 (i.e., from the baseline of the parent study to week 96 of Study 110; approximately 120 weeks) (</w:t>
      </w:r>
      <w:r w:rsidR="00382DCA">
        <w:t>+</w:t>
      </w:r>
      <w:r w:rsidRPr="00985EC7">
        <w:t>3.1</w:t>
      </w:r>
      <w:r w:rsidR="00382DCA">
        <w:t>%</w:t>
      </w:r>
      <w:r w:rsidRPr="00985EC7">
        <w:t>; 95%CI, 1.0, 5.1</w:t>
      </w:r>
      <w:r w:rsidRPr="00AB1B0D">
        <w:t xml:space="preserve">). </w:t>
      </w:r>
      <w:r w:rsidR="00FF6311" w:rsidRPr="00AB1B0D">
        <w:t xml:space="preserve">The PSCR stated the </w:t>
      </w:r>
      <w:r w:rsidR="00FF6311" w:rsidRPr="00AB1B0D">
        <w:rPr>
          <w:iCs/>
        </w:rPr>
        <w:t>results from Study 129 are interim results as the duration of local follow-up is currently limite</w:t>
      </w:r>
      <w:r w:rsidR="0026177C" w:rsidRPr="00AB1B0D">
        <w:rPr>
          <w:iCs/>
        </w:rPr>
        <w:t>d given the later access to lumacaftor/ivacaftor</w:t>
      </w:r>
      <w:r w:rsidR="00FF6311" w:rsidRPr="00AB1B0D">
        <w:rPr>
          <w:iCs/>
        </w:rPr>
        <w:t xml:space="preserve"> in Australia relative to the US. The PSCR stated Study 129 was designed to meet TGA </w:t>
      </w:r>
      <w:r w:rsidR="0046295C">
        <w:rPr>
          <w:iCs/>
        </w:rPr>
        <w:t>requirements with</w:t>
      </w:r>
      <w:r w:rsidR="00FF6311" w:rsidRPr="00AB1B0D">
        <w:rPr>
          <w:iCs/>
        </w:rPr>
        <w:t xml:space="preserve"> reporting only after 5 years (an interim report</w:t>
      </w:r>
      <w:r w:rsidR="0046295C">
        <w:rPr>
          <w:iCs/>
        </w:rPr>
        <w:t xml:space="preserve"> was not requested by the TGA</w:t>
      </w:r>
      <w:r w:rsidR="00FF6311" w:rsidRPr="00AB1B0D">
        <w:rPr>
          <w:iCs/>
        </w:rPr>
        <w:t>).</w:t>
      </w:r>
    </w:p>
    <w:p w:rsidR="007E520C" w:rsidRPr="0022271D" w:rsidRDefault="000A2246" w:rsidP="005A2BA7">
      <w:pPr>
        <w:pStyle w:val="3-BodyText"/>
        <w:rPr>
          <w:i/>
          <w:iCs/>
          <w:lang w:val="en-US"/>
        </w:rPr>
      </w:pPr>
      <w:r w:rsidRPr="005A2BA7">
        <w:t>In</w:t>
      </w:r>
      <w:r w:rsidR="005E706D" w:rsidRPr="005A2BA7">
        <w:t xml:space="preserve"> Study 110</w:t>
      </w:r>
      <w:r w:rsidRPr="005A2BA7">
        <w:t>,</w:t>
      </w:r>
      <w:r w:rsidR="005E706D" w:rsidRPr="005A2BA7">
        <w:t xml:space="preserve"> </w:t>
      </w:r>
      <w:r w:rsidR="00814262" w:rsidRPr="005A2BA7">
        <w:t xml:space="preserve">of </w:t>
      </w:r>
      <w:r w:rsidR="00A03785" w:rsidRPr="005A2BA7">
        <w:t xml:space="preserve">the </w:t>
      </w:r>
      <w:r w:rsidR="00512885" w:rsidRPr="005A2BA7">
        <w:t>patients</w:t>
      </w:r>
      <w:r w:rsidR="00914887">
        <w:t xml:space="preserve"> who</w:t>
      </w:r>
      <w:r w:rsidR="00512885" w:rsidRPr="005A2BA7">
        <w:t xml:space="preserve"> transitioned from placebo to lumacaftor/ivacaftor</w:t>
      </w:r>
      <w:r w:rsidR="00A03785" w:rsidRPr="005A2BA7">
        <w:t>,</w:t>
      </w:r>
      <w:r w:rsidR="00512885" w:rsidRPr="005A2BA7">
        <w:t xml:space="preserve"> </w:t>
      </w:r>
      <w:r w:rsidR="00A03785" w:rsidRPr="005A2BA7">
        <w:t>31 (32.3%)</w:t>
      </w:r>
      <w:r w:rsidR="00512885" w:rsidRPr="005A2BA7">
        <w:t xml:space="preserve"> had experienced at least one pulmonary exacerbation event</w:t>
      </w:r>
      <w:r w:rsidRPr="005A2BA7">
        <w:t xml:space="preserve">; </w:t>
      </w:r>
      <w:r w:rsidR="00306338" w:rsidRPr="00985EC7">
        <w:rPr>
          <w:iCs/>
        </w:rPr>
        <w:t xml:space="preserve">of the patients that received lumacaftor/ivacaftor in the Study 109 and in Study 110, </w:t>
      </w:r>
      <w:r w:rsidR="00512885" w:rsidRPr="00985EC7">
        <w:rPr>
          <w:iCs/>
        </w:rPr>
        <w:t>51</w:t>
      </w:r>
      <w:r w:rsidR="00306338" w:rsidRPr="00985EC7">
        <w:rPr>
          <w:iCs/>
        </w:rPr>
        <w:t xml:space="preserve"> </w:t>
      </w:r>
      <w:r w:rsidR="00512885" w:rsidRPr="00985EC7">
        <w:rPr>
          <w:iCs/>
        </w:rPr>
        <w:t xml:space="preserve">(49.5%) had experienced at least one pulmonary exacerbation. </w:t>
      </w:r>
      <w:r w:rsidR="005E706D" w:rsidRPr="00985EC7">
        <w:rPr>
          <w:iCs/>
        </w:rPr>
        <w:t>Few of the pulmonary exacerbation events</w:t>
      </w:r>
      <w:r w:rsidR="00FB7A1C" w:rsidRPr="00985EC7">
        <w:rPr>
          <w:iCs/>
        </w:rPr>
        <w:t xml:space="preserve"> in Study 110</w:t>
      </w:r>
      <w:r w:rsidR="005E706D" w:rsidRPr="00985EC7">
        <w:rPr>
          <w:iCs/>
        </w:rPr>
        <w:t xml:space="preserve"> required hospitalisation or antibiotic treatment. In Study 129, a pulmonary exacerbation event was defined as any episode requiring home IV or hospitalisation with respiratory symptoms</w:t>
      </w:r>
      <w:r w:rsidR="00835167" w:rsidRPr="00985EC7">
        <w:rPr>
          <w:iCs/>
        </w:rPr>
        <w:t>;</w:t>
      </w:r>
      <w:r w:rsidR="005E706D" w:rsidRPr="00985EC7">
        <w:t xml:space="preserve"> the number of pulmonary exacerbation events per patient</w:t>
      </w:r>
      <w:r w:rsidR="006E6914" w:rsidRPr="00985EC7">
        <w:t xml:space="preserve"> per year</w:t>
      </w:r>
      <w:r w:rsidR="005E706D" w:rsidRPr="00985EC7">
        <w:t xml:space="preserve"> was 0.4</w:t>
      </w:r>
      <w:r w:rsidR="006E6914" w:rsidRPr="00985EC7">
        <w:t xml:space="preserve"> (</w:t>
      </w:r>
      <w:r w:rsidR="00D63AA7" w:rsidRPr="00985EC7">
        <w:t>s</w:t>
      </w:r>
      <w:r w:rsidR="00E35C02">
        <w:t xml:space="preserve">tandard </w:t>
      </w:r>
      <w:r w:rsidR="00D63AA7" w:rsidRPr="00985EC7">
        <w:t>d</w:t>
      </w:r>
      <w:r w:rsidR="00E35C02">
        <w:t>eviation</w:t>
      </w:r>
      <w:r w:rsidR="00814262" w:rsidRPr="00985EC7">
        <w:t>, 0.9).</w:t>
      </w:r>
    </w:p>
    <w:p w:rsidR="007E520C" w:rsidRPr="002229A2" w:rsidRDefault="007E520C" w:rsidP="007E520C">
      <w:pPr>
        <w:pStyle w:val="4-SubsectionHeading"/>
      </w:pPr>
      <w:bookmarkStart w:id="28" w:name="_Toc22897642"/>
      <w:bookmarkStart w:id="29" w:name="_Toc69861496"/>
      <w:bookmarkStart w:id="30" w:name="_Toc72320701"/>
      <w:r w:rsidRPr="002229A2">
        <w:t>Comparative harms</w:t>
      </w:r>
      <w:bookmarkEnd w:id="28"/>
      <w:bookmarkEnd w:id="29"/>
      <w:bookmarkEnd w:id="30"/>
    </w:p>
    <w:p w:rsidR="007E520C" w:rsidRDefault="007E520C" w:rsidP="007E520C">
      <w:pPr>
        <w:pStyle w:val="3-BodyText"/>
        <w:rPr>
          <w:lang w:val="en-US"/>
        </w:rPr>
      </w:pPr>
      <w:r w:rsidRPr="00C30144">
        <w:rPr>
          <w:lang w:val="en-US"/>
        </w:rPr>
        <w:t xml:space="preserve">Safety outcomes were presented </w:t>
      </w:r>
      <w:r w:rsidR="00C23CF8">
        <w:rPr>
          <w:lang w:val="en-US"/>
        </w:rPr>
        <w:t>for Study 110</w:t>
      </w:r>
      <w:r w:rsidR="00BB620F">
        <w:rPr>
          <w:lang w:val="en-US"/>
        </w:rPr>
        <w:t xml:space="preserve"> and PASS 108 </w:t>
      </w:r>
      <w:r>
        <w:rPr>
          <w:lang w:val="en-US"/>
        </w:rPr>
        <w:t xml:space="preserve">pertaining to children </w:t>
      </w:r>
      <w:r w:rsidR="00914887">
        <w:rPr>
          <w:lang w:val="en-US"/>
        </w:rPr>
        <w:t xml:space="preserve">who </w:t>
      </w:r>
      <w:r>
        <w:rPr>
          <w:lang w:val="en-US"/>
        </w:rPr>
        <w:t>initiate lumacaftor/ivacaftor between the ages of 6 to 11 years</w:t>
      </w:r>
      <w:r w:rsidR="008A1ED0">
        <w:rPr>
          <w:lang w:val="en-US"/>
        </w:rPr>
        <w:t xml:space="preserve"> (see Table </w:t>
      </w:r>
      <w:r w:rsidR="004B13DF">
        <w:rPr>
          <w:lang w:val="en-US"/>
        </w:rPr>
        <w:t>9</w:t>
      </w:r>
      <w:r w:rsidR="008A1ED0">
        <w:rPr>
          <w:lang w:val="en-US"/>
        </w:rPr>
        <w:t>)</w:t>
      </w:r>
      <w:r w:rsidRPr="00C30144">
        <w:rPr>
          <w:lang w:val="en-US"/>
        </w:rPr>
        <w:t xml:space="preserve">. </w:t>
      </w:r>
    </w:p>
    <w:p w:rsidR="007E520C" w:rsidRPr="00416576" w:rsidRDefault="007E520C" w:rsidP="001C2025">
      <w:pPr>
        <w:pStyle w:val="TableFigureHeading"/>
        <w:keepLines/>
        <w:rPr>
          <w:rStyle w:val="CommentReference"/>
          <w:b/>
          <w:bCs w:val="0"/>
          <w:szCs w:val="24"/>
        </w:rPr>
      </w:pPr>
      <w:r w:rsidRPr="00D77AD5">
        <w:rPr>
          <w:rStyle w:val="CommentReference"/>
          <w:b/>
          <w:bCs w:val="0"/>
          <w:szCs w:val="24"/>
        </w:rPr>
        <w:t xml:space="preserve">Table </w:t>
      </w:r>
      <w:r w:rsidR="004B13DF">
        <w:rPr>
          <w:rStyle w:val="CommentReference"/>
          <w:b/>
          <w:bCs w:val="0"/>
          <w:szCs w:val="24"/>
        </w:rPr>
        <w:t>9</w:t>
      </w:r>
      <w:r w:rsidRPr="00D77AD5">
        <w:rPr>
          <w:rStyle w:val="CommentReference"/>
          <w:b/>
          <w:bCs w:val="0"/>
          <w:szCs w:val="24"/>
        </w:rPr>
        <w:t>: Summary of key adverse events in Study 110</w:t>
      </w:r>
    </w:p>
    <w:tbl>
      <w:tblPr>
        <w:tblStyle w:val="TableGrid"/>
        <w:tblW w:w="5268" w:type="pct"/>
        <w:tblLook w:val="04A0" w:firstRow="1" w:lastRow="0" w:firstColumn="1" w:lastColumn="0" w:noHBand="0" w:noVBand="1"/>
      </w:tblPr>
      <w:tblGrid>
        <w:gridCol w:w="6515"/>
        <w:gridCol w:w="2985"/>
      </w:tblGrid>
      <w:tr w:rsidR="007E520C" w:rsidRPr="00364BD0" w:rsidTr="00BA7EE9">
        <w:trPr>
          <w:tblHeader/>
        </w:trPr>
        <w:tc>
          <w:tcPr>
            <w:tcW w:w="3429" w:type="pct"/>
          </w:tcPr>
          <w:p w:rsidR="007E520C" w:rsidRPr="008C4CCC" w:rsidRDefault="007E520C" w:rsidP="001C2025">
            <w:pPr>
              <w:pStyle w:val="In-tableHeading"/>
              <w:keepLines/>
              <w:rPr>
                <w:lang w:val="en-AU"/>
              </w:rPr>
            </w:pPr>
          </w:p>
        </w:tc>
        <w:tc>
          <w:tcPr>
            <w:tcW w:w="1571" w:type="pct"/>
          </w:tcPr>
          <w:p w:rsidR="007E520C" w:rsidRPr="008C4CCC" w:rsidRDefault="007E520C" w:rsidP="001C2025">
            <w:pPr>
              <w:pStyle w:val="In-tableHeading"/>
              <w:keepLines/>
              <w:jc w:val="center"/>
              <w:rPr>
                <w:lang w:val="en-AU"/>
              </w:rPr>
            </w:pPr>
            <w:r w:rsidRPr="008C4CCC">
              <w:rPr>
                <w:lang w:val="en-AU"/>
              </w:rPr>
              <w:t>Overall</w:t>
            </w:r>
          </w:p>
          <w:p w:rsidR="007E520C" w:rsidRPr="008C4CCC" w:rsidRDefault="007E520C" w:rsidP="001C2025">
            <w:pPr>
              <w:pStyle w:val="In-tableHeading"/>
              <w:keepLines/>
              <w:jc w:val="center"/>
              <w:rPr>
                <w:lang w:val="en-AU"/>
              </w:rPr>
            </w:pPr>
            <w:r w:rsidRPr="008C4CCC">
              <w:rPr>
                <w:lang w:val="en-AU"/>
              </w:rPr>
              <w:t>N=239</w:t>
            </w:r>
          </w:p>
        </w:tc>
      </w:tr>
      <w:tr w:rsidR="007E520C" w:rsidRPr="00364BD0" w:rsidTr="00BA7EE9">
        <w:tc>
          <w:tcPr>
            <w:tcW w:w="3429" w:type="pct"/>
          </w:tcPr>
          <w:p w:rsidR="007E520C" w:rsidRPr="000B7061" w:rsidRDefault="007E520C" w:rsidP="001C2025">
            <w:pPr>
              <w:pStyle w:val="In-tableHeading"/>
              <w:keepLines/>
              <w:rPr>
                <w:lang w:val="en-AU"/>
              </w:rPr>
            </w:pPr>
            <w:r w:rsidRPr="000B7061">
              <w:rPr>
                <w:lang w:val="en-AU"/>
              </w:rPr>
              <w:t>Any AEs, n (%)</w:t>
            </w:r>
          </w:p>
        </w:tc>
        <w:tc>
          <w:tcPr>
            <w:tcW w:w="1571" w:type="pct"/>
          </w:tcPr>
          <w:p w:rsidR="007E520C" w:rsidRPr="00364BD0" w:rsidRDefault="007E520C" w:rsidP="001C2025">
            <w:pPr>
              <w:pStyle w:val="In-tableHeading"/>
              <w:keepLines/>
              <w:jc w:val="center"/>
              <w:rPr>
                <w:b w:val="0"/>
                <w:bCs/>
                <w:lang w:val="en-AU"/>
              </w:rPr>
            </w:pPr>
            <w:r w:rsidRPr="00364BD0">
              <w:rPr>
                <w:b w:val="0"/>
                <w:bCs/>
                <w:lang w:val="en-AU"/>
              </w:rPr>
              <w:t>236 (98.7)</w:t>
            </w:r>
          </w:p>
        </w:tc>
      </w:tr>
      <w:tr w:rsidR="007E520C" w:rsidRPr="00364BD0" w:rsidTr="00BA7EE9">
        <w:tc>
          <w:tcPr>
            <w:tcW w:w="3429" w:type="pct"/>
          </w:tcPr>
          <w:p w:rsidR="007E520C" w:rsidRPr="00364BD0" w:rsidRDefault="007E520C" w:rsidP="001C2025">
            <w:pPr>
              <w:pStyle w:val="In-tableHeading"/>
              <w:keepLines/>
              <w:rPr>
                <w:b w:val="0"/>
                <w:bCs/>
                <w:lang w:val="en-AU"/>
              </w:rPr>
            </w:pPr>
            <w:r>
              <w:rPr>
                <w:b w:val="0"/>
                <w:bCs/>
                <w:lang w:val="en-AU"/>
              </w:rPr>
              <w:t xml:space="preserve">Mild </w:t>
            </w:r>
          </w:p>
        </w:tc>
        <w:tc>
          <w:tcPr>
            <w:tcW w:w="1571" w:type="pct"/>
          </w:tcPr>
          <w:p w:rsidR="007E520C" w:rsidRPr="00364BD0" w:rsidRDefault="007E520C" w:rsidP="001C2025">
            <w:pPr>
              <w:pStyle w:val="In-tableHeading"/>
              <w:keepLines/>
              <w:jc w:val="center"/>
              <w:rPr>
                <w:b w:val="0"/>
                <w:bCs/>
                <w:lang w:val="en-AU"/>
              </w:rPr>
            </w:pPr>
            <w:r>
              <w:rPr>
                <w:b w:val="0"/>
                <w:bCs/>
                <w:lang w:val="en-AU"/>
              </w:rPr>
              <w:t>48 (20.5)</w:t>
            </w:r>
          </w:p>
        </w:tc>
      </w:tr>
      <w:tr w:rsidR="007E520C" w:rsidRPr="00364BD0" w:rsidTr="00BA7EE9">
        <w:tc>
          <w:tcPr>
            <w:tcW w:w="3429" w:type="pct"/>
          </w:tcPr>
          <w:p w:rsidR="007E520C" w:rsidRPr="00364BD0" w:rsidRDefault="007E520C" w:rsidP="001C2025">
            <w:pPr>
              <w:pStyle w:val="In-tableHeading"/>
              <w:keepLines/>
              <w:rPr>
                <w:b w:val="0"/>
                <w:bCs/>
                <w:lang w:val="en-AU"/>
              </w:rPr>
            </w:pPr>
            <w:r>
              <w:rPr>
                <w:b w:val="0"/>
                <w:bCs/>
                <w:lang w:val="en-AU"/>
              </w:rPr>
              <w:t xml:space="preserve">Moderate </w:t>
            </w:r>
          </w:p>
        </w:tc>
        <w:tc>
          <w:tcPr>
            <w:tcW w:w="1571" w:type="pct"/>
          </w:tcPr>
          <w:p w:rsidR="007E520C" w:rsidRPr="00364BD0" w:rsidRDefault="007E520C" w:rsidP="001C2025">
            <w:pPr>
              <w:pStyle w:val="In-tableHeading"/>
              <w:keepLines/>
              <w:jc w:val="center"/>
              <w:rPr>
                <w:b w:val="0"/>
                <w:bCs/>
                <w:lang w:val="en-AU"/>
              </w:rPr>
            </w:pPr>
            <w:r>
              <w:rPr>
                <w:b w:val="0"/>
                <w:bCs/>
                <w:lang w:val="en-AU"/>
              </w:rPr>
              <w:t>148 (61.9)</w:t>
            </w:r>
          </w:p>
        </w:tc>
      </w:tr>
      <w:tr w:rsidR="007E520C" w:rsidRPr="00364BD0" w:rsidTr="00BA7EE9">
        <w:tc>
          <w:tcPr>
            <w:tcW w:w="3429" w:type="pct"/>
          </w:tcPr>
          <w:p w:rsidR="007E520C" w:rsidRPr="00364BD0" w:rsidRDefault="007E520C" w:rsidP="001C2025">
            <w:pPr>
              <w:pStyle w:val="In-tableHeading"/>
              <w:keepLines/>
              <w:rPr>
                <w:b w:val="0"/>
                <w:bCs/>
                <w:lang w:val="en-AU"/>
              </w:rPr>
            </w:pPr>
            <w:r>
              <w:rPr>
                <w:b w:val="0"/>
                <w:bCs/>
                <w:lang w:val="en-AU"/>
              </w:rPr>
              <w:t xml:space="preserve">Severe </w:t>
            </w:r>
          </w:p>
        </w:tc>
        <w:tc>
          <w:tcPr>
            <w:tcW w:w="1571" w:type="pct"/>
          </w:tcPr>
          <w:p w:rsidR="007E520C" w:rsidRPr="00364BD0" w:rsidRDefault="007E520C" w:rsidP="001C2025">
            <w:pPr>
              <w:pStyle w:val="In-tableHeading"/>
              <w:keepLines/>
              <w:jc w:val="center"/>
              <w:rPr>
                <w:b w:val="0"/>
                <w:bCs/>
                <w:lang w:val="en-AU"/>
              </w:rPr>
            </w:pPr>
            <w:r>
              <w:rPr>
                <w:b w:val="0"/>
                <w:bCs/>
                <w:lang w:val="en-AU"/>
              </w:rPr>
              <w:t>39 (16.3)</w:t>
            </w:r>
          </w:p>
        </w:tc>
      </w:tr>
      <w:tr w:rsidR="007E520C" w:rsidRPr="00364BD0" w:rsidTr="00BA7EE9">
        <w:tc>
          <w:tcPr>
            <w:tcW w:w="3429" w:type="pct"/>
          </w:tcPr>
          <w:p w:rsidR="007E520C" w:rsidRPr="00364BD0" w:rsidRDefault="007E520C" w:rsidP="001C2025">
            <w:pPr>
              <w:pStyle w:val="In-tableHeading"/>
              <w:keepLines/>
              <w:rPr>
                <w:b w:val="0"/>
                <w:bCs/>
                <w:lang w:val="en-AU"/>
              </w:rPr>
            </w:pPr>
            <w:r w:rsidRPr="00D6019B">
              <w:rPr>
                <w:b w:val="0"/>
                <w:bCs/>
                <w:lang w:val="en-AU"/>
              </w:rPr>
              <w:t>AEs leading to treatment</w:t>
            </w:r>
            <w:r>
              <w:rPr>
                <w:b w:val="0"/>
                <w:bCs/>
                <w:lang w:val="en-AU"/>
              </w:rPr>
              <w:t xml:space="preserve"> </w:t>
            </w:r>
            <w:r w:rsidRPr="00D6019B">
              <w:rPr>
                <w:b w:val="0"/>
                <w:bCs/>
                <w:lang w:val="en-AU"/>
              </w:rPr>
              <w:t>discontinuation</w:t>
            </w:r>
          </w:p>
        </w:tc>
        <w:tc>
          <w:tcPr>
            <w:tcW w:w="1571" w:type="pct"/>
          </w:tcPr>
          <w:p w:rsidR="007E520C" w:rsidRPr="00364BD0" w:rsidRDefault="007E520C" w:rsidP="001C2025">
            <w:pPr>
              <w:pStyle w:val="In-tableHeading"/>
              <w:keepLines/>
              <w:jc w:val="center"/>
              <w:rPr>
                <w:b w:val="0"/>
                <w:bCs/>
                <w:lang w:val="en-AU"/>
              </w:rPr>
            </w:pPr>
            <w:r>
              <w:rPr>
                <w:b w:val="0"/>
                <w:bCs/>
                <w:lang w:val="en-AU"/>
              </w:rPr>
              <w:t>9 (3.8)</w:t>
            </w:r>
          </w:p>
        </w:tc>
      </w:tr>
      <w:tr w:rsidR="007E520C" w:rsidRPr="00364BD0" w:rsidTr="00BA7EE9">
        <w:tc>
          <w:tcPr>
            <w:tcW w:w="3429" w:type="pct"/>
          </w:tcPr>
          <w:p w:rsidR="007E520C" w:rsidRPr="00BD51E8" w:rsidRDefault="007E520C" w:rsidP="001C2025">
            <w:pPr>
              <w:pStyle w:val="In-tableHeading"/>
              <w:keepLines/>
              <w:tabs>
                <w:tab w:val="left" w:pos="1520"/>
              </w:tabs>
              <w:jc w:val="both"/>
              <w:rPr>
                <w:lang w:val="en-AU"/>
              </w:rPr>
            </w:pPr>
            <w:r w:rsidRPr="00BD51E8">
              <w:rPr>
                <w:lang w:val="en-AU"/>
              </w:rPr>
              <w:t>Serious AEs</w:t>
            </w:r>
          </w:p>
        </w:tc>
        <w:tc>
          <w:tcPr>
            <w:tcW w:w="1571" w:type="pct"/>
          </w:tcPr>
          <w:p w:rsidR="007E520C" w:rsidRPr="00364BD0" w:rsidRDefault="007E520C" w:rsidP="001C2025">
            <w:pPr>
              <w:pStyle w:val="In-tableHeading"/>
              <w:keepLines/>
              <w:jc w:val="center"/>
              <w:rPr>
                <w:b w:val="0"/>
                <w:bCs/>
                <w:lang w:val="en-AU"/>
              </w:rPr>
            </w:pPr>
            <w:r>
              <w:rPr>
                <w:b w:val="0"/>
                <w:bCs/>
                <w:lang w:val="en-AU"/>
              </w:rPr>
              <w:t>72 (30.1)</w:t>
            </w:r>
          </w:p>
        </w:tc>
      </w:tr>
      <w:tr w:rsidR="007E520C" w:rsidRPr="00364BD0" w:rsidTr="00BA7EE9">
        <w:tc>
          <w:tcPr>
            <w:tcW w:w="3429" w:type="pct"/>
          </w:tcPr>
          <w:p w:rsidR="007E520C" w:rsidRPr="00B24593" w:rsidRDefault="007E520C" w:rsidP="001C2025">
            <w:pPr>
              <w:pStyle w:val="In-tableHeading"/>
              <w:keepLines/>
              <w:tabs>
                <w:tab w:val="left" w:pos="1520"/>
              </w:tabs>
              <w:jc w:val="both"/>
              <w:rPr>
                <w:b w:val="0"/>
                <w:bCs/>
                <w:lang w:val="en-AU"/>
              </w:rPr>
            </w:pPr>
            <w:r w:rsidRPr="00056F47">
              <w:rPr>
                <w:b w:val="0"/>
                <w:bCs/>
                <w:lang w:val="en-AU"/>
              </w:rPr>
              <w:t xml:space="preserve">Infective </w:t>
            </w:r>
            <w:proofErr w:type="spellStart"/>
            <w:r w:rsidRPr="00056F47">
              <w:rPr>
                <w:b w:val="0"/>
                <w:bCs/>
                <w:lang w:val="en-AU"/>
              </w:rPr>
              <w:t>PEx</w:t>
            </w:r>
            <w:proofErr w:type="spellEnd"/>
            <w:r w:rsidRPr="00056F47">
              <w:rPr>
                <w:b w:val="0"/>
                <w:bCs/>
                <w:lang w:val="en-AU"/>
              </w:rPr>
              <w:t xml:space="preserve"> of CF</w:t>
            </w:r>
          </w:p>
        </w:tc>
        <w:tc>
          <w:tcPr>
            <w:tcW w:w="1571" w:type="pct"/>
          </w:tcPr>
          <w:p w:rsidR="007E520C" w:rsidRDefault="007E520C" w:rsidP="001C2025">
            <w:pPr>
              <w:pStyle w:val="In-tableHeading"/>
              <w:keepLines/>
              <w:jc w:val="center"/>
              <w:rPr>
                <w:b w:val="0"/>
                <w:bCs/>
                <w:lang w:val="en-AU"/>
              </w:rPr>
            </w:pPr>
            <w:r w:rsidRPr="00056F47">
              <w:rPr>
                <w:b w:val="0"/>
                <w:bCs/>
                <w:lang w:val="en-AU"/>
              </w:rPr>
              <w:t>49 (20.5)</w:t>
            </w:r>
          </w:p>
        </w:tc>
      </w:tr>
      <w:tr w:rsidR="007E520C" w:rsidRPr="00364BD0" w:rsidTr="00BA7EE9">
        <w:tc>
          <w:tcPr>
            <w:tcW w:w="3429" w:type="pct"/>
          </w:tcPr>
          <w:p w:rsidR="007E520C" w:rsidRPr="00B24593" w:rsidRDefault="007E520C" w:rsidP="001C2025">
            <w:pPr>
              <w:pStyle w:val="In-tableHeading"/>
              <w:keepLines/>
              <w:tabs>
                <w:tab w:val="left" w:pos="1520"/>
              </w:tabs>
              <w:jc w:val="both"/>
              <w:rPr>
                <w:b w:val="0"/>
                <w:bCs/>
                <w:lang w:val="en-AU"/>
              </w:rPr>
            </w:pPr>
            <w:r>
              <w:rPr>
                <w:b w:val="0"/>
                <w:bCs/>
                <w:lang w:val="en-AU"/>
              </w:rPr>
              <w:t>P</w:t>
            </w:r>
            <w:r w:rsidRPr="00A5753E">
              <w:rPr>
                <w:b w:val="0"/>
                <w:bCs/>
                <w:lang w:val="en-AU"/>
              </w:rPr>
              <w:t>ulmonary function test decreased</w:t>
            </w:r>
          </w:p>
        </w:tc>
        <w:tc>
          <w:tcPr>
            <w:tcW w:w="1571" w:type="pct"/>
          </w:tcPr>
          <w:p w:rsidR="007E520C" w:rsidRDefault="007E520C" w:rsidP="001C2025">
            <w:pPr>
              <w:pStyle w:val="In-tableHeading"/>
              <w:keepLines/>
              <w:jc w:val="center"/>
              <w:rPr>
                <w:b w:val="0"/>
                <w:bCs/>
                <w:lang w:val="en-AU"/>
              </w:rPr>
            </w:pPr>
            <w:r w:rsidRPr="00B9735D">
              <w:rPr>
                <w:b w:val="0"/>
                <w:bCs/>
                <w:lang w:val="en-AU"/>
              </w:rPr>
              <w:t>4 (1.7)</w:t>
            </w:r>
          </w:p>
        </w:tc>
      </w:tr>
      <w:tr w:rsidR="007E520C" w:rsidRPr="00364BD0" w:rsidTr="00BA7EE9">
        <w:tc>
          <w:tcPr>
            <w:tcW w:w="3429" w:type="pct"/>
          </w:tcPr>
          <w:p w:rsidR="007E520C" w:rsidRPr="00A5753E" w:rsidRDefault="007E520C" w:rsidP="001C2025">
            <w:pPr>
              <w:pStyle w:val="In-tableHeading"/>
              <w:keepLines/>
              <w:tabs>
                <w:tab w:val="left" w:pos="1520"/>
              </w:tabs>
              <w:jc w:val="both"/>
              <w:rPr>
                <w:b w:val="0"/>
                <w:bCs/>
                <w:lang w:val="en-AU"/>
              </w:rPr>
            </w:pPr>
            <w:r>
              <w:rPr>
                <w:b w:val="0"/>
                <w:bCs/>
                <w:lang w:val="en-AU"/>
              </w:rPr>
              <w:t xml:space="preserve">Constipation </w:t>
            </w:r>
          </w:p>
        </w:tc>
        <w:tc>
          <w:tcPr>
            <w:tcW w:w="1571" w:type="pct"/>
          </w:tcPr>
          <w:p w:rsidR="007E520C" w:rsidRDefault="007E520C" w:rsidP="001C2025">
            <w:pPr>
              <w:pStyle w:val="In-tableHeading"/>
              <w:keepLines/>
              <w:jc w:val="center"/>
              <w:rPr>
                <w:b w:val="0"/>
                <w:bCs/>
                <w:lang w:val="en-AU"/>
              </w:rPr>
            </w:pPr>
            <w:r w:rsidRPr="00B9735D">
              <w:rPr>
                <w:b w:val="0"/>
                <w:bCs/>
                <w:lang w:val="en-AU"/>
              </w:rPr>
              <w:t>4 (1.7)</w:t>
            </w:r>
          </w:p>
        </w:tc>
      </w:tr>
      <w:tr w:rsidR="007E520C" w:rsidRPr="00364BD0" w:rsidTr="00BA7EE9">
        <w:tc>
          <w:tcPr>
            <w:tcW w:w="3429" w:type="pct"/>
          </w:tcPr>
          <w:p w:rsidR="007E520C" w:rsidRPr="00364BD0" w:rsidRDefault="007E520C" w:rsidP="001C2025">
            <w:pPr>
              <w:pStyle w:val="In-tableHeading"/>
              <w:keepLines/>
              <w:rPr>
                <w:b w:val="0"/>
                <w:bCs/>
                <w:lang w:val="en-AU"/>
              </w:rPr>
            </w:pPr>
            <w:r>
              <w:rPr>
                <w:b w:val="0"/>
                <w:bCs/>
                <w:lang w:val="en-AU"/>
              </w:rPr>
              <w:t xml:space="preserve">AEs leading to death </w:t>
            </w:r>
          </w:p>
        </w:tc>
        <w:tc>
          <w:tcPr>
            <w:tcW w:w="1571" w:type="pct"/>
          </w:tcPr>
          <w:p w:rsidR="007E520C" w:rsidRPr="00364BD0" w:rsidRDefault="007E520C" w:rsidP="001C2025">
            <w:pPr>
              <w:pStyle w:val="In-tableHeading"/>
              <w:keepLines/>
              <w:jc w:val="center"/>
              <w:rPr>
                <w:b w:val="0"/>
                <w:bCs/>
                <w:lang w:val="en-AU"/>
              </w:rPr>
            </w:pPr>
            <w:r>
              <w:rPr>
                <w:b w:val="0"/>
                <w:bCs/>
                <w:lang w:val="en-AU"/>
              </w:rPr>
              <w:t>0</w:t>
            </w:r>
          </w:p>
        </w:tc>
      </w:tr>
      <w:tr w:rsidR="007E520C" w:rsidRPr="00364BD0" w:rsidTr="00BA7EE9">
        <w:tc>
          <w:tcPr>
            <w:tcW w:w="3429" w:type="pct"/>
          </w:tcPr>
          <w:p w:rsidR="007E520C" w:rsidRPr="009B1117" w:rsidRDefault="007E520C" w:rsidP="001C2025">
            <w:pPr>
              <w:pStyle w:val="In-tableHeading"/>
              <w:keepLines/>
              <w:rPr>
                <w:lang w:val="en-AU"/>
              </w:rPr>
            </w:pPr>
            <w:r w:rsidRPr="009B1117">
              <w:rPr>
                <w:lang w:val="en-AU"/>
              </w:rPr>
              <w:t xml:space="preserve">AEs With an Incidence of At Least 10% of patients </w:t>
            </w:r>
          </w:p>
        </w:tc>
        <w:tc>
          <w:tcPr>
            <w:tcW w:w="1571" w:type="pct"/>
          </w:tcPr>
          <w:p w:rsidR="007E520C" w:rsidRDefault="007E520C" w:rsidP="001C2025">
            <w:pPr>
              <w:pStyle w:val="In-tableHeading"/>
              <w:keepLines/>
              <w:jc w:val="center"/>
              <w:rPr>
                <w:b w:val="0"/>
                <w:bCs/>
                <w:lang w:val="en-AU"/>
              </w:rPr>
            </w:pPr>
          </w:p>
        </w:tc>
      </w:tr>
      <w:tr w:rsidR="007E520C" w:rsidRPr="00364BD0" w:rsidTr="00BA7EE9">
        <w:tc>
          <w:tcPr>
            <w:tcW w:w="3429" w:type="pct"/>
          </w:tcPr>
          <w:p w:rsidR="007E520C" w:rsidRPr="00E107C7" w:rsidRDefault="007E520C" w:rsidP="001C2025">
            <w:pPr>
              <w:pStyle w:val="In-tableHeading"/>
              <w:keepLines/>
              <w:rPr>
                <w:b w:val="0"/>
                <w:bCs/>
                <w:lang w:val="en-AU"/>
              </w:rPr>
            </w:pPr>
            <w:r>
              <w:rPr>
                <w:b w:val="0"/>
                <w:bCs/>
                <w:lang w:val="en-AU"/>
              </w:rPr>
              <w:t xml:space="preserve">Cough </w:t>
            </w:r>
          </w:p>
        </w:tc>
        <w:tc>
          <w:tcPr>
            <w:tcW w:w="1571" w:type="pct"/>
          </w:tcPr>
          <w:p w:rsidR="007E520C" w:rsidRDefault="007E520C" w:rsidP="001C2025">
            <w:pPr>
              <w:pStyle w:val="In-tableHeading"/>
              <w:keepLines/>
              <w:jc w:val="center"/>
              <w:rPr>
                <w:b w:val="0"/>
                <w:bCs/>
                <w:lang w:val="en-AU"/>
              </w:rPr>
            </w:pPr>
            <w:r w:rsidRPr="00365BFA">
              <w:rPr>
                <w:b w:val="0"/>
                <w:bCs/>
                <w:lang w:val="en-AU"/>
              </w:rPr>
              <w:t>155 (64.9)</w:t>
            </w:r>
          </w:p>
        </w:tc>
      </w:tr>
      <w:tr w:rsidR="007E520C" w:rsidRPr="00364BD0" w:rsidTr="00BA7EE9">
        <w:tc>
          <w:tcPr>
            <w:tcW w:w="3429" w:type="pct"/>
          </w:tcPr>
          <w:p w:rsidR="007E520C" w:rsidRPr="00E107C7" w:rsidRDefault="007E520C" w:rsidP="001C2025">
            <w:pPr>
              <w:pStyle w:val="In-tableHeading"/>
              <w:keepLines/>
              <w:rPr>
                <w:b w:val="0"/>
                <w:bCs/>
                <w:lang w:val="en-AU"/>
              </w:rPr>
            </w:pPr>
            <w:r>
              <w:rPr>
                <w:b w:val="0"/>
                <w:bCs/>
                <w:lang w:val="en-AU"/>
              </w:rPr>
              <w:t xml:space="preserve">Infective </w:t>
            </w:r>
            <w:proofErr w:type="spellStart"/>
            <w:r>
              <w:rPr>
                <w:b w:val="0"/>
                <w:bCs/>
                <w:lang w:val="en-AU"/>
              </w:rPr>
              <w:t>PEx</w:t>
            </w:r>
            <w:proofErr w:type="spellEnd"/>
            <w:r>
              <w:rPr>
                <w:b w:val="0"/>
                <w:bCs/>
                <w:lang w:val="en-AU"/>
              </w:rPr>
              <w:t xml:space="preserve"> of CF</w:t>
            </w:r>
          </w:p>
        </w:tc>
        <w:tc>
          <w:tcPr>
            <w:tcW w:w="1571" w:type="pct"/>
          </w:tcPr>
          <w:p w:rsidR="007E520C" w:rsidRDefault="007E520C" w:rsidP="001C2025">
            <w:pPr>
              <w:pStyle w:val="In-tableHeading"/>
              <w:keepLines/>
              <w:jc w:val="center"/>
              <w:rPr>
                <w:b w:val="0"/>
                <w:bCs/>
                <w:lang w:val="en-AU"/>
              </w:rPr>
            </w:pPr>
            <w:r w:rsidRPr="00365BFA">
              <w:rPr>
                <w:b w:val="0"/>
                <w:bCs/>
                <w:lang w:val="en-AU"/>
              </w:rPr>
              <w:t>118 (49.4)</w:t>
            </w:r>
          </w:p>
        </w:tc>
      </w:tr>
      <w:tr w:rsidR="007E520C" w:rsidRPr="00364BD0" w:rsidTr="00BA7EE9">
        <w:tc>
          <w:tcPr>
            <w:tcW w:w="3429" w:type="pct"/>
          </w:tcPr>
          <w:p w:rsidR="007E520C" w:rsidRPr="00E107C7" w:rsidRDefault="007E520C" w:rsidP="001C2025">
            <w:pPr>
              <w:pStyle w:val="In-tableHeading"/>
              <w:keepLines/>
              <w:rPr>
                <w:b w:val="0"/>
                <w:bCs/>
                <w:lang w:val="en-AU"/>
              </w:rPr>
            </w:pPr>
            <w:r>
              <w:rPr>
                <w:b w:val="0"/>
                <w:bCs/>
                <w:lang w:val="en-AU"/>
              </w:rPr>
              <w:t>Pyrexia</w:t>
            </w:r>
          </w:p>
        </w:tc>
        <w:tc>
          <w:tcPr>
            <w:tcW w:w="1571" w:type="pct"/>
          </w:tcPr>
          <w:p w:rsidR="007E520C" w:rsidRDefault="007E520C" w:rsidP="001C2025">
            <w:pPr>
              <w:pStyle w:val="In-tableHeading"/>
              <w:keepLines/>
              <w:jc w:val="center"/>
              <w:rPr>
                <w:b w:val="0"/>
                <w:bCs/>
                <w:lang w:val="en-AU"/>
              </w:rPr>
            </w:pPr>
            <w:r w:rsidRPr="00365BFA">
              <w:rPr>
                <w:b w:val="0"/>
                <w:bCs/>
                <w:lang w:val="en-AU"/>
              </w:rPr>
              <w:t>72 (30.1)</w:t>
            </w:r>
          </w:p>
        </w:tc>
      </w:tr>
      <w:tr w:rsidR="007E520C" w:rsidRPr="00364BD0" w:rsidTr="00BA7EE9">
        <w:tc>
          <w:tcPr>
            <w:tcW w:w="3429" w:type="pct"/>
          </w:tcPr>
          <w:p w:rsidR="007E520C" w:rsidRPr="00E107C7" w:rsidRDefault="007E520C" w:rsidP="001C2025">
            <w:pPr>
              <w:pStyle w:val="In-tableHeading"/>
              <w:keepLines/>
              <w:rPr>
                <w:b w:val="0"/>
                <w:bCs/>
                <w:lang w:val="en-AU"/>
              </w:rPr>
            </w:pPr>
            <w:r>
              <w:rPr>
                <w:b w:val="0"/>
                <w:bCs/>
                <w:lang w:val="en-AU"/>
              </w:rPr>
              <w:t>Nasal congestion</w:t>
            </w:r>
          </w:p>
        </w:tc>
        <w:tc>
          <w:tcPr>
            <w:tcW w:w="1571" w:type="pct"/>
          </w:tcPr>
          <w:p w:rsidR="007E520C" w:rsidRDefault="007E520C" w:rsidP="001C2025">
            <w:pPr>
              <w:pStyle w:val="In-tableHeading"/>
              <w:keepLines/>
              <w:jc w:val="center"/>
              <w:rPr>
                <w:b w:val="0"/>
                <w:bCs/>
                <w:lang w:val="en-AU"/>
              </w:rPr>
            </w:pPr>
            <w:r w:rsidRPr="00365BFA">
              <w:rPr>
                <w:b w:val="0"/>
                <w:bCs/>
                <w:lang w:val="en-AU"/>
              </w:rPr>
              <w:t>55 (23.0)</w:t>
            </w:r>
          </w:p>
        </w:tc>
      </w:tr>
      <w:tr w:rsidR="007E520C" w:rsidRPr="00364BD0" w:rsidTr="00BA7EE9">
        <w:tc>
          <w:tcPr>
            <w:tcW w:w="3429" w:type="pct"/>
          </w:tcPr>
          <w:p w:rsidR="007E520C" w:rsidRDefault="007E520C" w:rsidP="001C2025">
            <w:pPr>
              <w:pStyle w:val="In-tableHeading"/>
              <w:keepLines/>
              <w:rPr>
                <w:b w:val="0"/>
                <w:bCs/>
                <w:lang w:val="en-AU"/>
              </w:rPr>
            </w:pPr>
            <w:r>
              <w:rPr>
                <w:b w:val="0"/>
                <w:bCs/>
                <w:lang w:val="en-AU"/>
              </w:rPr>
              <w:t xml:space="preserve">Headache </w:t>
            </w:r>
          </w:p>
        </w:tc>
        <w:tc>
          <w:tcPr>
            <w:tcW w:w="1571" w:type="pct"/>
          </w:tcPr>
          <w:p w:rsidR="007E520C" w:rsidRDefault="007E520C" w:rsidP="001C2025">
            <w:pPr>
              <w:pStyle w:val="In-tableHeading"/>
              <w:keepLines/>
              <w:jc w:val="center"/>
              <w:rPr>
                <w:b w:val="0"/>
                <w:bCs/>
                <w:lang w:val="en-AU"/>
              </w:rPr>
            </w:pPr>
            <w:r w:rsidRPr="00595AF7">
              <w:rPr>
                <w:b w:val="0"/>
                <w:bCs/>
                <w:lang w:val="en-AU"/>
              </w:rPr>
              <w:t>55 (23.0)</w:t>
            </w:r>
          </w:p>
        </w:tc>
      </w:tr>
      <w:tr w:rsidR="007E520C" w:rsidRPr="00364BD0" w:rsidTr="00BA7EE9">
        <w:tc>
          <w:tcPr>
            <w:tcW w:w="3429" w:type="pct"/>
          </w:tcPr>
          <w:p w:rsidR="007E520C" w:rsidRDefault="007E520C" w:rsidP="001C2025">
            <w:pPr>
              <w:pStyle w:val="In-tableHeading"/>
              <w:keepLines/>
              <w:rPr>
                <w:b w:val="0"/>
                <w:bCs/>
                <w:lang w:val="en-AU"/>
              </w:rPr>
            </w:pPr>
            <w:r>
              <w:rPr>
                <w:b w:val="0"/>
                <w:bCs/>
                <w:lang w:val="en-AU"/>
              </w:rPr>
              <w:t>Oropharyngeal pain</w:t>
            </w:r>
          </w:p>
        </w:tc>
        <w:tc>
          <w:tcPr>
            <w:tcW w:w="1571" w:type="pct"/>
          </w:tcPr>
          <w:p w:rsidR="007E520C" w:rsidRDefault="007E520C" w:rsidP="001C2025">
            <w:pPr>
              <w:pStyle w:val="In-tableHeading"/>
              <w:keepLines/>
              <w:jc w:val="center"/>
              <w:rPr>
                <w:b w:val="0"/>
                <w:bCs/>
                <w:lang w:val="en-AU"/>
              </w:rPr>
            </w:pPr>
            <w:r w:rsidRPr="00595AF7">
              <w:rPr>
                <w:b w:val="0"/>
                <w:bCs/>
                <w:lang w:val="en-AU"/>
              </w:rPr>
              <w:t>50 (20.9)</w:t>
            </w:r>
          </w:p>
        </w:tc>
      </w:tr>
    </w:tbl>
    <w:p w:rsidR="007E520C" w:rsidRDefault="007E520C" w:rsidP="001C2025">
      <w:pPr>
        <w:pStyle w:val="In-tableHeading"/>
        <w:keepLines/>
        <w:tabs>
          <w:tab w:val="left" w:pos="5290"/>
        </w:tabs>
        <w:rPr>
          <w:b w:val="0"/>
          <w:bCs/>
          <w:sz w:val="18"/>
          <w:szCs w:val="18"/>
          <w:lang w:val="en-AU"/>
        </w:rPr>
      </w:pPr>
      <w:r w:rsidRPr="00A32F79">
        <w:rPr>
          <w:b w:val="0"/>
          <w:bCs/>
          <w:sz w:val="18"/>
          <w:szCs w:val="18"/>
          <w:lang w:val="en-AU"/>
        </w:rPr>
        <w:t>Source:</w:t>
      </w:r>
      <w:r>
        <w:rPr>
          <w:b w:val="0"/>
          <w:bCs/>
          <w:sz w:val="18"/>
          <w:szCs w:val="18"/>
          <w:lang w:val="en-AU"/>
        </w:rPr>
        <w:t xml:space="preserve"> pp49 p60, Table 50 p63 of the submission; </w:t>
      </w:r>
      <w:r w:rsidRPr="00A32F79">
        <w:rPr>
          <w:b w:val="0"/>
          <w:bCs/>
          <w:sz w:val="18"/>
          <w:szCs w:val="18"/>
          <w:lang w:val="en-AU"/>
        </w:rPr>
        <w:t>Table 12-2 p107, Table 12-3 p109, Table 12-7 p</w:t>
      </w:r>
      <w:r>
        <w:rPr>
          <w:b w:val="0"/>
          <w:bCs/>
          <w:sz w:val="18"/>
          <w:szCs w:val="18"/>
          <w:lang w:val="en-AU"/>
        </w:rPr>
        <w:t xml:space="preserve"> 122 Attachment 4 </w:t>
      </w:r>
      <w:r w:rsidRPr="00A32F79">
        <w:rPr>
          <w:b w:val="0"/>
          <w:bCs/>
          <w:sz w:val="18"/>
          <w:szCs w:val="18"/>
          <w:lang w:val="en-AU"/>
        </w:rPr>
        <w:t xml:space="preserve">Study 110 CSR, </w:t>
      </w:r>
    </w:p>
    <w:p w:rsidR="007E520C" w:rsidRDefault="007E520C" w:rsidP="001C2025">
      <w:pPr>
        <w:pStyle w:val="In-tableHeading"/>
        <w:keepLines/>
        <w:rPr>
          <w:lang w:val="en-AU"/>
        </w:rPr>
      </w:pPr>
      <w:r>
        <w:rPr>
          <w:b w:val="0"/>
          <w:bCs/>
          <w:sz w:val="18"/>
          <w:szCs w:val="18"/>
          <w:lang w:val="en-AU"/>
        </w:rPr>
        <w:t xml:space="preserve">Abbreviations: AE=adverse event; CF=cystic fibrosis; </w:t>
      </w:r>
      <w:proofErr w:type="spellStart"/>
      <w:r>
        <w:rPr>
          <w:b w:val="0"/>
          <w:bCs/>
          <w:sz w:val="18"/>
          <w:szCs w:val="18"/>
          <w:lang w:val="en-AU"/>
        </w:rPr>
        <w:t>PEx</w:t>
      </w:r>
      <w:proofErr w:type="spellEnd"/>
      <w:r>
        <w:rPr>
          <w:b w:val="0"/>
          <w:bCs/>
          <w:sz w:val="18"/>
          <w:szCs w:val="18"/>
          <w:lang w:val="en-AU"/>
        </w:rPr>
        <w:t>=pulmonary exacerbations</w:t>
      </w:r>
    </w:p>
    <w:p w:rsidR="007E520C" w:rsidRDefault="007E520C" w:rsidP="007E520C">
      <w:pPr>
        <w:pStyle w:val="In-tableHeading"/>
        <w:keepNext w:val="0"/>
        <w:rPr>
          <w:lang w:val="en-AU"/>
        </w:rPr>
      </w:pPr>
    </w:p>
    <w:p w:rsidR="008A1ED0" w:rsidRPr="00935B5A" w:rsidRDefault="008A1ED0" w:rsidP="00FF6311">
      <w:pPr>
        <w:pStyle w:val="3-BodyText"/>
        <w:rPr>
          <w:rFonts w:ascii="Arial Narrow" w:hAnsi="Arial Narrow"/>
          <w:b/>
          <w:i/>
          <w:sz w:val="20"/>
          <w:szCs w:val="16"/>
        </w:rPr>
      </w:pPr>
      <w:r w:rsidRPr="00FF6311">
        <w:rPr>
          <w:lang w:val="en-US"/>
        </w:rPr>
        <w:lastRenderedPageBreak/>
        <w:t xml:space="preserve">A </w:t>
      </w:r>
      <w:r w:rsidRPr="00FF6311">
        <w:t>summary of the safety outcomes for lumacaftor/ivacaftor compared with patients in the comparator</w:t>
      </w:r>
      <w:r w:rsidR="003E7830" w:rsidRPr="00FF6311">
        <w:t xml:space="preserve"> arm</w:t>
      </w:r>
      <w:r w:rsidRPr="00FF6311">
        <w:t xml:space="preserve"> in PASS 108 is presented in Table </w:t>
      </w:r>
      <w:r w:rsidR="005D2A5D">
        <w:t>9</w:t>
      </w:r>
      <w:r w:rsidRPr="00FF6311">
        <w:t xml:space="preserve">. </w:t>
      </w:r>
      <w:r w:rsidRPr="00FF6311">
        <w:rPr>
          <w:iCs/>
        </w:rPr>
        <w:t xml:space="preserve">These data do not </w:t>
      </w:r>
      <w:r w:rsidR="00EE786B">
        <w:rPr>
          <w:iCs/>
        </w:rPr>
        <w:t>suggest</w:t>
      </w:r>
      <w:r w:rsidR="00EE786B" w:rsidRPr="00FF6311">
        <w:rPr>
          <w:iCs/>
        </w:rPr>
        <w:t xml:space="preserve"> </w:t>
      </w:r>
      <w:r w:rsidRPr="00FF6311">
        <w:rPr>
          <w:iCs/>
        </w:rPr>
        <w:t>any new or unexpected harms associated with longer-term treatment.</w:t>
      </w:r>
      <w:r w:rsidR="00AE5753" w:rsidRPr="00FF6311">
        <w:rPr>
          <w:iCs/>
        </w:rPr>
        <w:t xml:space="preserve"> </w:t>
      </w:r>
      <w:r w:rsidR="00AE5753" w:rsidRPr="00AB1B0D">
        <w:rPr>
          <w:iCs/>
        </w:rPr>
        <w:t>The PSCR</w:t>
      </w:r>
      <w:r w:rsidR="00FF6311" w:rsidRPr="00AB1B0D">
        <w:t xml:space="preserve"> </w:t>
      </w:r>
      <w:r w:rsidR="00FF6311" w:rsidRPr="00AB1B0D">
        <w:rPr>
          <w:iCs/>
        </w:rPr>
        <w:t>noted the highly patient-relevant treatment benefits clearly demonstrated by these data i.e., a 56% reduction in deaths.</w:t>
      </w:r>
    </w:p>
    <w:p w:rsidR="00935B5A" w:rsidRPr="00935B5A" w:rsidRDefault="00935B5A" w:rsidP="00935B5A">
      <w:pPr>
        <w:pStyle w:val="3-BodyText"/>
      </w:pPr>
      <w:r w:rsidRPr="00935B5A">
        <w:t xml:space="preserve">The PBAC noted the </w:t>
      </w:r>
      <w:r w:rsidR="00AF3E52">
        <w:t>age-</w:t>
      </w:r>
      <w:r w:rsidRPr="00935B5A">
        <w:t xml:space="preserve">adjusted </w:t>
      </w:r>
      <w:r w:rsidR="00AF3E52">
        <w:t>odds ratio</w:t>
      </w:r>
      <w:r w:rsidRPr="00935B5A">
        <w:t xml:space="preserve"> for the reduction in pulmonary exacerbations in the PASS 108 study was 0.7</w:t>
      </w:r>
      <w:r w:rsidR="00711A5A">
        <w:t>0</w:t>
      </w:r>
      <w:r w:rsidRPr="00935B5A">
        <w:t xml:space="preserve"> </w:t>
      </w:r>
      <w:r>
        <w:t xml:space="preserve"> which </w:t>
      </w:r>
      <w:r w:rsidR="00AF3E52">
        <w:t xml:space="preserve">suggested a smaller treatment effect </w:t>
      </w:r>
      <w:r>
        <w:t xml:space="preserve">than </w:t>
      </w:r>
      <w:r w:rsidR="00AF3E52">
        <w:t xml:space="preserve">that previously </w:t>
      </w:r>
      <w:r>
        <w:t xml:space="preserve">applied in the economic model </w:t>
      </w:r>
      <w:r w:rsidRPr="00935B5A">
        <w:rPr>
          <w:iCs/>
        </w:rPr>
        <w:t xml:space="preserve">that informed the recommendation to list lumacaftor/ivacaftor for CF patients over 12 years </w:t>
      </w:r>
      <w:r>
        <w:t>(RR 0.44, 56% reduction in risk)</w:t>
      </w:r>
      <w:r w:rsidRPr="00935B5A">
        <w:t>.</w:t>
      </w:r>
    </w:p>
    <w:p w:rsidR="008A1ED0" w:rsidRPr="005574C9" w:rsidRDefault="008A1ED0" w:rsidP="001C2025">
      <w:pPr>
        <w:pStyle w:val="TableFigureHeading"/>
        <w:keepLines/>
        <w:rPr>
          <w:rStyle w:val="CommentReference"/>
          <w:b/>
          <w:szCs w:val="24"/>
        </w:rPr>
      </w:pPr>
      <w:r w:rsidRPr="00FF6311">
        <w:rPr>
          <w:rStyle w:val="CommentReference"/>
          <w:b/>
          <w:szCs w:val="24"/>
        </w:rPr>
        <w:t xml:space="preserve">Table </w:t>
      </w:r>
      <w:r w:rsidR="004B13DF">
        <w:rPr>
          <w:rStyle w:val="CommentReference"/>
          <w:b/>
          <w:szCs w:val="24"/>
        </w:rPr>
        <w:t>10</w:t>
      </w:r>
      <w:r w:rsidRPr="00FF6311">
        <w:rPr>
          <w:rStyle w:val="CommentReference"/>
          <w:b/>
          <w:szCs w:val="24"/>
        </w:rPr>
        <w:t>:</w:t>
      </w:r>
      <w:r w:rsidR="000A4FBA">
        <w:rPr>
          <w:rStyle w:val="CommentReference"/>
          <w:b/>
          <w:szCs w:val="24"/>
        </w:rPr>
        <w:t xml:space="preserve"> </w:t>
      </w:r>
      <w:r w:rsidRPr="00FF6311">
        <w:rPr>
          <w:rStyle w:val="CommentReference"/>
          <w:b/>
          <w:szCs w:val="24"/>
        </w:rPr>
        <w:t>Safety outcomes: PASS 108, safety cohorts, 2018</w:t>
      </w:r>
    </w:p>
    <w:tbl>
      <w:tblPr>
        <w:tblStyle w:val="TableHTAsimple"/>
        <w:tblW w:w="9493"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Safety outcomes: PASS 108, safety cohorts, 2018"/>
      </w:tblPr>
      <w:tblGrid>
        <w:gridCol w:w="2405"/>
        <w:gridCol w:w="958"/>
        <w:gridCol w:w="958"/>
        <w:gridCol w:w="958"/>
        <w:gridCol w:w="958"/>
        <w:gridCol w:w="1701"/>
        <w:gridCol w:w="1555"/>
      </w:tblGrid>
      <w:tr w:rsidR="008A1ED0" w:rsidRPr="00EA04BF" w:rsidTr="00BA7EE9">
        <w:trPr>
          <w:cnfStyle w:val="100000000000" w:firstRow="1" w:lastRow="0" w:firstColumn="0" w:lastColumn="0" w:oddVBand="0" w:evenVBand="0" w:oddHBand="0" w:evenHBand="0" w:firstRowFirstColumn="0" w:firstRowLastColumn="0" w:lastRowFirstColumn="0" w:lastRowLastColumn="0"/>
          <w:tblHeader/>
        </w:trPr>
        <w:tc>
          <w:tcPr>
            <w:tcW w:w="2405" w:type="dxa"/>
            <w:vMerge w:val="restart"/>
          </w:tcPr>
          <w:p w:rsidR="008A1ED0" w:rsidRPr="00EA04BF" w:rsidRDefault="008A1ED0" w:rsidP="001C2025">
            <w:pPr>
              <w:pStyle w:val="In-tableHeading"/>
              <w:keepLines/>
              <w:rPr>
                <w:rFonts w:cs="Times New Roman"/>
                <w:sz w:val="20"/>
                <w:lang w:eastAsia="en-AU"/>
              </w:rPr>
            </w:pPr>
            <w:proofErr w:type="spellStart"/>
            <w:r w:rsidRPr="00EA04BF">
              <w:rPr>
                <w:rFonts w:cs="Times New Roman"/>
                <w:sz w:val="20"/>
                <w:lang w:eastAsia="en-AU"/>
              </w:rPr>
              <w:t>Outcome</w:t>
            </w:r>
            <w:r w:rsidRPr="00EA04BF">
              <w:rPr>
                <w:rFonts w:cs="Times New Roman"/>
                <w:sz w:val="20"/>
                <w:vertAlign w:val="superscript"/>
                <w:lang w:eastAsia="en-AU"/>
              </w:rPr>
              <w:t>a</w:t>
            </w:r>
            <w:proofErr w:type="spellEnd"/>
          </w:p>
        </w:tc>
        <w:tc>
          <w:tcPr>
            <w:tcW w:w="1916" w:type="dxa"/>
            <w:gridSpan w:val="2"/>
          </w:tcPr>
          <w:p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 xml:space="preserve">LUMA/IVA </w:t>
            </w:r>
            <w:r w:rsidRPr="00EA04BF">
              <w:rPr>
                <w:rFonts w:cs="Times New Roman"/>
                <w:sz w:val="20"/>
                <w:lang w:eastAsia="en-AU"/>
              </w:rPr>
              <w:br/>
              <w:t xml:space="preserve">safety cohort, 2018 </w:t>
            </w:r>
            <w:r w:rsidRPr="00EA04BF">
              <w:rPr>
                <w:rFonts w:cs="Times New Roman"/>
                <w:sz w:val="20"/>
                <w:lang w:eastAsia="en-AU"/>
              </w:rPr>
              <w:br/>
              <w:t>(all ages)</w:t>
            </w:r>
            <w:r w:rsidRPr="00EA04BF">
              <w:rPr>
                <w:rFonts w:cs="Times New Roman"/>
                <w:sz w:val="20"/>
                <w:lang w:eastAsia="en-AU"/>
              </w:rPr>
              <w:br/>
              <w:t>N=4,628</w:t>
            </w:r>
          </w:p>
        </w:tc>
        <w:tc>
          <w:tcPr>
            <w:tcW w:w="1916" w:type="dxa"/>
            <w:gridSpan w:val="2"/>
          </w:tcPr>
          <w:p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 xml:space="preserve">Comparator </w:t>
            </w:r>
            <w:r w:rsidRPr="00EA04BF">
              <w:rPr>
                <w:rFonts w:cs="Times New Roman"/>
                <w:sz w:val="20"/>
                <w:lang w:eastAsia="en-AU"/>
              </w:rPr>
              <w:br/>
              <w:t xml:space="preserve">safety cohort, 2018 </w:t>
            </w:r>
            <w:r w:rsidRPr="00EA04BF">
              <w:rPr>
                <w:rFonts w:cs="Times New Roman"/>
                <w:sz w:val="20"/>
                <w:lang w:eastAsia="en-AU"/>
              </w:rPr>
              <w:br/>
              <w:t>(all ages)</w:t>
            </w:r>
            <w:r w:rsidRPr="00EA04BF">
              <w:rPr>
                <w:rFonts w:cs="Times New Roman"/>
                <w:sz w:val="20"/>
                <w:lang w:eastAsia="en-AU"/>
              </w:rPr>
              <w:br/>
              <w:t>N=5,666</w:t>
            </w:r>
          </w:p>
        </w:tc>
        <w:tc>
          <w:tcPr>
            <w:tcW w:w="1701" w:type="dxa"/>
            <w:vMerge w:val="restart"/>
          </w:tcPr>
          <w:p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RR</w:t>
            </w:r>
            <w:r>
              <w:rPr>
                <w:rFonts w:cs="Times New Roman"/>
                <w:sz w:val="20"/>
                <w:lang w:eastAsia="en-AU"/>
              </w:rPr>
              <w:t xml:space="preserve"> </w:t>
            </w:r>
            <w:r w:rsidRPr="00EA04BF">
              <w:rPr>
                <w:rFonts w:cs="Times New Roman"/>
                <w:sz w:val="20"/>
                <w:lang w:eastAsia="en-AU"/>
              </w:rPr>
              <w:t>(95%CI), unadjusted</w:t>
            </w:r>
          </w:p>
        </w:tc>
        <w:tc>
          <w:tcPr>
            <w:tcW w:w="1555" w:type="dxa"/>
            <w:vMerge w:val="restart"/>
          </w:tcPr>
          <w:p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 xml:space="preserve">OR (95%CI), </w:t>
            </w:r>
            <w:r w:rsidRPr="00EA04BF">
              <w:rPr>
                <w:rFonts w:cs="Times New Roman"/>
                <w:sz w:val="20"/>
                <w:lang w:eastAsia="en-AU"/>
              </w:rPr>
              <w:br/>
              <w:t>Age-</w:t>
            </w:r>
            <w:proofErr w:type="spellStart"/>
            <w:r w:rsidRPr="00EA04BF">
              <w:rPr>
                <w:rFonts w:cs="Times New Roman"/>
                <w:sz w:val="20"/>
                <w:lang w:eastAsia="en-AU"/>
              </w:rPr>
              <w:t>adjusted</w:t>
            </w:r>
            <w:r w:rsidRPr="00EA04BF">
              <w:rPr>
                <w:rFonts w:cs="Times New Roman"/>
                <w:sz w:val="20"/>
                <w:vertAlign w:val="superscript"/>
                <w:lang w:eastAsia="en-AU"/>
              </w:rPr>
              <w:t>b</w:t>
            </w:r>
            <w:proofErr w:type="spellEnd"/>
          </w:p>
        </w:tc>
      </w:tr>
      <w:tr w:rsidR="008A1ED0" w:rsidRPr="00EA04BF" w:rsidTr="00BA7EE9">
        <w:trPr>
          <w:cnfStyle w:val="100000000000" w:firstRow="1" w:lastRow="0" w:firstColumn="0" w:lastColumn="0" w:oddVBand="0" w:evenVBand="0" w:oddHBand="0" w:evenHBand="0" w:firstRowFirstColumn="0" w:firstRowLastColumn="0" w:lastRowFirstColumn="0" w:lastRowLastColumn="0"/>
          <w:tblHeader/>
        </w:trPr>
        <w:tc>
          <w:tcPr>
            <w:tcW w:w="2405" w:type="dxa"/>
            <w:vMerge/>
            <w:vAlign w:val="top"/>
          </w:tcPr>
          <w:p w:rsidR="008A1ED0" w:rsidRPr="00EA04BF" w:rsidRDefault="008A1ED0" w:rsidP="001C2025">
            <w:pPr>
              <w:pStyle w:val="BodyText"/>
              <w:keepNext/>
              <w:keepLines/>
              <w:rPr>
                <w:sz w:val="20"/>
                <w:szCs w:val="20"/>
              </w:rPr>
            </w:pPr>
          </w:p>
        </w:tc>
        <w:tc>
          <w:tcPr>
            <w:tcW w:w="958" w:type="dxa"/>
          </w:tcPr>
          <w:p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n</w:t>
            </w:r>
          </w:p>
        </w:tc>
        <w:tc>
          <w:tcPr>
            <w:tcW w:w="958" w:type="dxa"/>
          </w:tcPr>
          <w:p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Risk (%)</w:t>
            </w:r>
          </w:p>
        </w:tc>
        <w:tc>
          <w:tcPr>
            <w:tcW w:w="958" w:type="dxa"/>
          </w:tcPr>
          <w:p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n</w:t>
            </w:r>
          </w:p>
        </w:tc>
        <w:tc>
          <w:tcPr>
            <w:tcW w:w="958" w:type="dxa"/>
          </w:tcPr>
          <w:p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Risk (%)</w:t>
            </w:r>
          </w:p>
        </w:tc>
        <w:tc>
          <w:tcPr>
            <w:tcW w:w="1701" w:type="dxa"/>
            <w:vMerge/>
          </w:tcPr>
          <w:p w:rsidR="008A1ED0" w:rsidRPr="00EA04BF" w:rsidRDefault="008A1ED0" w:rsidP="001C2025">
            <w:pPr>
              <w:pStyle w:val="BodyText"/>
              <w:keepNext/>
              <w:keepLines/>
              <w:jc w:val="center"/>
              <w:rPr>
                <w:sz w:val="20"/>
                <w:szCs w:val="20"/>
              </w:rPr>
            </w:pPr>
          </w:p>
        </w:tc>
        <w:tc>
          <w:tcPr>
            <w:tcW w:w="1555" w:type="dxa"/>
            <w:vMerge/>
            <w:vAlign w:val="top"/>
          </w:tcPr>
          <w:p w:rsidR="008A1ED0" w:rsidRPr="00EA04BF" w:rsidRDefault="008A1ED0" w:rsidP="001C2025">
            <w:pPr>
              <w:pStyle w:val="BodyText"/>
              <w:keepNext/>
              <w:keepLines/>
              <w:jc w:val="center"/>
              <w:rPr>
                <w:sz w:val="20"/>
                <w:szCs w:val="20"/>
              </w:rPr>
            </w:pPr>
          </w:p>
        </w:tc>
      </w:tr>
      <w:tr w:rsidR="008A1ED0" w:rsidRPr="00EA04BF" w:rsidTr="00BA7EE9">
        <w:trPr>
          <w:cnfStyle w:val="000000100000" w:firstRow="0" w:lastRow="0" w:firstColumn="0" w:lastColumn="0" w:oddVBand="0" w:evenVBand="0" w:oddHBand="1" w:evenHBand="0" w:firstRowFirstColumn="0" w:firstRowLastColumn="0" w:lastRowFirstColumn="0" w:lastRowLastColumn="0"/>
        </w:trPr>
        <w:tc>
          <w:tcPr>
            <w:tcW w:w="2405" w:type="dxa"/>
            <w:vAlign w:val="top"/>
          </w:tcPr>
          <w:p w:rsidR="008A1ED0" w:rsidRPr="00EA04BF" w:rsidRDefault="008A1ED0" w:rsidP="001C2025">
            <w:pPr>
              <w:pStyle w:val="TableText0"/>
              <w:keepLines/>
              <w:rPr>
                <w:sz w:val="20"/>
                <w:lang w:val="en-AU" w:eastAsia="en-AU"/>
              </w:rPr>
            </w:pPr>
            <w:r w:rsidRPr="00EA04BF">
              <w:rPr>
                <w:sz w:val="20"/>
                <w:lang w:val="en-AU" w:eastAsia="en-AU"/>
              </w:rPr>
              <w:t>Deaths</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30</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0.7</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84</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1.5</w:t>
            </w:r>
          </w:p>
        </w:tc>
        <w:tc>
          <w:tcPr>
            <w:tcW w:w="1701" w:type="dxa"/>
          </w:tcPr>
          <w:p w:rsidR="008A1ED0" w:rsidRPr="00EA04BF" w:rsidRDefault="008A1ED0" w:rsidP="001C2025">
            <w:pPr>
              <w:pStyle w:val="TableText0"/>
              <w:keepLines/>
              <w:jc w:val="center"/>
              <w:rPr>
                <w:sz w:val="20"/>
                <w:lang w:val="en-AU" w:eastAsia="en-AU"/>
              </w:rPr>
            </w:pPr>
            <w:r w:rsidRPr="00EA04BF">
              <w:rPr>
                <w:sz w:val="20"/>
                <w:lang w:val="en-AU" w:eastAsia="en-AU"/>
              </w:rPr>
              <w:t>0.44 (0.29, 0.66)</w:t>
            </w:r>
          </w:p>
        </w:tc>
        <w:tc>
          <w:tcPr>
            <w:tcW w:w="1555" w:type="dxa"/>
            <w:vAlign w:val="top"/>
          </w:tcPr>
          <w:p w:rsidR="008A1ED0" w:rsidRPr="00EA04BF" w:rsidRDefault="008A1ED0" w:rsidP="001C2025">
            <w:pPr>
              <w:pStyle w:val="TableText0"/>
              <w:keepLines/>
              <w:jc w:val="center"/>
              <w:rPr>
                <w:sz w:val="20"/>
                <w:lang w:val="en-AU" w:eastAsia="en-AU"/>
              </w:rPr>
            </w:pPr>
            <w:r w:rsidRPr="00EA04BF">
              <w:rPr>
                <w:sz w:val="20"/>
                <w:lang w:val="en-AU" w:eastAsia="en-AU"/>
              </w:rPr>
              <w:t>0.61 (0.40, 0.94)</w:t>
            </w:r>
          </w:p>
        </w:tc>
      </w:tr>
      <w:tr w:rsidR="008A1ED0" w:rsidRPr="00EA04BF" w:rsidTr="00BA7EE9">
        <w:trPr>
          <w:cnfStyle w:val="000000010000" w:firstRow="0" w:lastRow="0" w:firstColumn="0" w:lastColumn="0" w:oddVBand="0" w:evenVBand="0" w:oddHBand="0" w:evenHBand="1" w:firstRowFirstColumn="0" w:firstRowLastColumn="0" w:lastRowFirstColumn="0" w:lastRowLastColumn="0"/>
        </w:trPr>
        <w:tc>
          <w:tcPr>
            <w:tcW w:w="2405" w:type="dxa"/>
            <w:vAlign w:val="top"/>
          </w:tcPr>
          <w:p w:rsidR="008A1ED0" w:rsidRPr="00EA04BF" w:rsidRDefault="008A1ED0" w:rsidP="001C2025">
            <w:pPr>
              <w:pStyle w:val="TableText0"/>
              <w:keepLines/>
              <w:rPr>
                <w:sz w:val="20"/>
                <w:lang w:val="en-AU" w:eastAsia="en-AU"/>
              </w:rPr>
            </w:pPr>
            <w:r w:rsidRPr="00EA04BF">
              <w:rPr>
                <w:sz w:val="20"/>
                <w:lang w:val="en-AU" w:eastAsia="en-AU"/>
              </w:rPr>
              <w:t>Organ transplantations</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25</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0.5</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84</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1.5</w:t>
            </w:r>
          </w:p>
        </w:tc>
        <w:tc>
          <w:tcPr>
            <w:tcW w:w="1701" w:type="dxa"/>
          </w:tcPr>
          <w:p w:rsidR="008A1ED0" w:rsidRPr="00EA04BF" w:rsidRDefault="008A1ED0" w:rsidP="001C2025">
            <w:pPr>
              <w:pStyle w:val="TableText0"/>
              <w:keepLines/>
              <w:jc w:val="center"/>
              <w:rPr>
                <w:sz w:val="20"/>
                <w:lang w:val="en-AU" w:eastAsia="en-AU"/>
              </w:rPr>
            </w:pPr>
            <w:r w:rsidRPr="00EA04BF">
              <w:rPr>
                <w:sz w:val="20"/>
                <w:lang w:val="en-AU" w:eastAsia="en-AU"/>
              </w:rPr>
              <w:t>0.36 (0.23, 0.57)</w:t>
            </w:r>
          </w:p>
        </w:tc>
        <w:tc>
          <w:tcPr>
            <w:tcW w:w="1555" w:type="dxa"/>
            <w:vAlign w:val="top"/>
          </w:tcPr>
          <w:p w:rsidR="008A1ED0" w:rsidRPr="00EA04BF" w:rsidRDefault="008A1ED0" w:rsidP="001C2025">
            <w:pPr>
              <w:pStyle w:val="TableText0"/>
              <w:keepLines/>
              <w:jc w:val="center"/>
              <w:rPr>
                <w:sz w:val="20"/>
                <w:lang w:val="en-AU" w:eastAsia="en-AU"/>
              </w:rPr>
            </w:pPr>
            <w:r w:rsidRPr="00EA04BF">
              <w:rPr>
                <w:sz w:val="20"/>
                <w:lang w:val="en-AU" w:eastAsia="en-AU"/>
              </w:rPr>
              <w:t>0.47 (0.30, 0.74)</w:t>
            </w:r>
          </w:p>
        </w:tc>
      </w:tr>
      <w:tr w:rsidR="008A1ED0" w:rsidRPr="00EA04BF" w:rsidTr="00BA7EE9">
        <w:trPr>
          <w:cnfStyle w:val="000000100000" w:firstRow="0" w:lastRow="0" w:firstColumn="0" w:lastColumn="0" w:oddVBand="0" w:evenVBand="0" w:oddHBand="1" w:evenHBand="0" w:firstRowFirstColumn="0" w:firstRowLastColumn="0" w:lastRowFirstColumn="0" w:lastRowLastColumn="0"/>
        </w:trPr>
        <w:tc>
          <w:tcPr>
            <w:tcW w:w="2405" w:type="dxa"/>
            <w:vAlign w:val="top"/>
          </w:tcPr>
          <w:p w:rsidR="008A1ED0" w:rsidRPr="00EA04BF" w:rsidRDefault="008A1ED0" w:rsidP="001C2025">
            <w:pPr>
              <w:pStyle w:val="TableText0"/>
              <w:keepLines/>
              <w:rPr>
                <w:sz w:val="20"/>
                <w:lang w:val="en-AU" w:eastAsia="en-AU"/>
              </w:rPr>
            </w:pPr>
            <w:r w:rsidRPr="00EA04BF">
              <w:rPr>
                <w:sz w:val="20"/>
                <w:lang w:val="en-AU" w:eastAsia="en-AU"/>
              </w:rPr>
              <w:t xml:space="preserve">Hospitalisations (any reason) </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1561</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33.7</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2484</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43.8</w:t>
            </w:r>
          </w:p>
        </w:tc>
        <w:tc>
          <w:tcPr>
            <w:tcW w:w="1701" w:type="dxa"/>
          </w:tcPr>
          <w:p w:rsidR="008A1ED0" w:rsidRPr="00EA04BF" w:rsidRDefault="008A1ED0" w:rsidP="001C2025">
            <w:pPr>
              <w:pStyle w:val="TableText0"/>
              <w:keepLines/>
              <w:jc w:val="center"/>
              <w:rPr>
                <w:sz w:val="20"/>
                <w:lang w:val="en-AU" w:eastAsia="en-AU"/>
              </w:rPr>
            </w:pPr>
            <w:r w:rsidRPr="00EA04BF">
              <w:rPr>
                <w:sz w:val="20"/>
                <w:lang w:val="en-AU" w:eastAsia="en-AU"/>
              </w:rPr>
              <w:t>0.77 (0.73, 0.81)</w:t>
            </w:r>
          </w:p>
        </w:tc>
        <w:tc>
          <w:tcPr>
            <w:tcW w:w="1555" w:type="dxa"/>
          </w:tcPr>
          <w:p w:rsidR="008A1ED0" w:rsidRPr="00EA04BF" w:rsidRDefault="008A1ED0" w:rsidP="001C2025">
            <w:pPr>
              <w:pStyle w:val="TableText0"/>
              <w:keepLines/>
              <w:jc w:val="center"/>
              <w:rPr>
                <w:sz w:val="20"/>
                <w:lang w:val="en-AU" w:eastAsia="en-AU"/>
              </w:rPr>
            </w:pPr>
            <w:r w:rsidRPr="00EA04BF">
              <w:rPr>
                <w:sz w:val="20"/>
                <w:lang w:val="en-AU" w:eastAsia="en-AU"/>
              </w:rPr>
              <w:t>0.68 (0.63, 0.74)</w:t>
            </w:r>
          </w:p>
        </w:tc>
      </w:tr>
      <w:tr w:rsidR="008A1ED0" w:rsidRPr="00EA04BF" w:rsidTr="00BA7EE9">
        <w:trPr>
          <w:cnfStyle w:val="000000010000" w:firstRow="0" w:lastRow="0" w:firstColumn="0" w:lastColumn="0" w:oddVBand="0" w:evenVBand="0" w:oddHBand="0" w:evenHBand="1" w:firstRowFirstColumn="0" w:firstRowLastColumn="0" w:lastRowFirstColumn="0" w:lastRowLastColumn="0"/>
        </w:trPr>
        <w:tc>
          <w:tcPr>
            <w:tcW w:w="2405" w:type="dxa"/>
            <w:vAlign w:val="top"/>
          </w:tcPr>
          <w:p w:rsidR="008A1ED0" w:rsidRPr="00EA04BF" w:rsidRDefault="008A1ED0" w:rsidP="001C2025">
            <w:pPr>
              <w:pStyle w:val="TableText0"/>
              <w:keepLines/>
              <w:rPr>
                <w:sz w:val="20"/>
                <w:lang w:val="en-AU" w:eastAsia="en-AU"/>
              </w:rPr>
            </w:pPr>
            <w:r>
              <w:rPr>
                <w:sz w:val="20"/>
                <w:lang w:val="en-AU" w:eastAsia="en-AU"/>
              </w:rPr>
              <w:t>P</w:t>
            </w:r>
            <w:r w:rsidRPr="005574C9">
              <w:rPr>
                <w:sz w:val="20"/>
                <w:lang w:val="en-AU" w:eastAsia="en-AU"/>
              </w:rPr>
              <w:t>ulmonary exacerbation</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1470</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31.8</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2368</w:t>
            </w:r>
          </w:p>
        </w:tc>
        <w:tc>
          <w:tcPr>
            <w:tcW w:w="958" w:type="dxa"/>
          </w:tcPr>
          <w:p w:rsidR="008A1ED0" w:rsidRPr="00EA04BF" w:rsidRDefault="008A1ED0" w:rsidP="001C2025">
            <w:pPr>
              <w:pStyle w:val="TableText0"/>
              <w:keepLines/>
              <w:jc w:val="center"/>
              <w:rPr>
                <w:sz w:val="20"/>
                <w:lang w:val="en-AU" w:eastAsia="en-AU"/>
              </w:rPr>
            </w:pPr>
            <w:r w:rsidRPr="00EA04BF">
              <w:rPr>
                <w:sz w:val="20"/>
                <w:lang w:val="en-AU" w:eastAsia="en-AU"/>
              </w:rPr>
              <w:t>41.8</w:t>
            </w:r>
          </w:p>
        </w:tc>
        <w:tc>
          <w:tcPr>
            <w:tcW w:w="1701" w:type="dxa"/>
          </w:tcPr>
          <w:p w:rsidR="008A1ED0" w:rsidRPr="00EA04BF" w:rsidRDefault="008A1ED0" w:rsidP="001C2025">
            <w:pPr>
              <w:pStyle w:val="TableText0"/>
              <w:keepLines/>
              <w:jc w:val="center"/>
              <w:rPr>
                <w:sz w:val="20"/>
                <w:lang w:val="en-AU" w:eastAsia="en-AU"/>
              </w:rPr>
            </w:pPr>
            <w:r w:rsidRPr="00EA04BF">
              <w:rPr>
                <w:sz w:val="20"/>
                <w:lang w:val="en-AU" w:eastAsia="en-AU"/>
              </w:rPr>
              <w:t>0.76 (0.72, 0.80)</w:t>
            </w:r>
          </w:p>
        </w:tc>
        <w:tc>
          <w:tcPr>
            <w:tcW w:w="1555" w:type="dxa"/>
          </w:tcPr>
          <w:p w:rsidR="008A1ED0" w:rsidRPr="00EA04BF" w:rsidRDefault="008A1ED0" w:rsidP="001C2025">
            <w:pPr>
              <w:pStyle w:val="TableText0"/>
              <w:keepLines/>
              <w:jc w:val="center"/>
              <w:rPr>
                <w:sz w:val="20"/>
                <w:lang w:val="en-AU" w:eastAsia="en-AU"/>
              </w:rPr>
            </w:pPr>
            <w:r w:rsidRPr="00EA04BF">
              <w:rPr>
                <w:sz w:val="20"/>
                <w:lang w:val="en-AU" w:eastAsia="en-AU"/>
              </w:rPr>
              <w:t>0.70 (0.65, 0.77)</w:t>
            </w:r>
          </w:p>
        </w:tc>
      </w:tr>
      <w:tr w:rsidR="008A1ED0" w:rsidRPr="00FF6311" w:rsidTr="00BA7EE9">
        <w:trPr>
          <w:cnfStyle w:val="000000100000" w:firstRow="0" w:lastRow="0" w:firstColumn="0" w:lastColumn="0" w:oddVBand="0" w:evenVBand="0" w:oddHBand="1" w:evenHBand="0" w:firstRowFirstColumn="0" w:firstRowLastColumn="0" w:lastRowFirstColumn="0" w:lastRowLastColumn="0"/>
        </w:trPr>
        <w:tc>
          <w:tcPr>
            <w:tcW w:w="2405" w:type="dxa"/>
            <w:vAlign w:val="top"/>
          </w:tcPr>
          <w:p w:rsidR="008A1ED0" w:rsidRPr="00FF6311" w:rsidRDefault="008A1ED0" w:rsidP="001C2025">
            <w:pPr>
              <w:pStyle w:val="TableText0"/>
              <w:keepLines/>
              <w:rPr>
                <w:iCs/>
              </w:rPr>
            </w:pPr>
            <w:r w:rsidRPr="00FF6311">
              <w:rPr>
                <w:iCs/>
                <w:sz w:val="20"/>
                <w:lang w:val="en-AU" w:eastAsia="en-AU"/>
              </w:rPr>
              <w:t>Complications</w:t>
            </w:r>
          </w:p>
        </w:tc>
        <w:tc>
          <w:tcPr>
            <w:tcW w:w="958" w:type="dxa"/>
          </w:tcPr>
          <w:p w:rsidR="008A1ED0" w:rsidRPr="00FF6311" w:rsidRDefault="008A1ED0" w:rsidP="001C2025">
            <w:pPr>
              <w:pStyle w:val="TableText0"/>
              <w:keepLines/>
              <w:jc w:val="center"/>
              <w:rPr>
                <w:iCs/>
              </w:rPr>
            </w:pPr>
            <w:r w:rsidRPr="00FF6311">
              <w:rPr>
                <w:iCs/>
                <w:sz w:val="20"/>
                <w:lang w:val="en-AU" w:eastAsia="en-AU"/>
              </w:rPr>
              <w:t>3,894</w:t>
            </w:r>
          </w:p>
        </w:tc>
        <w:tc>
          <w:tcPr>
            <w:tcW w:w="958" w:type="dxa"/>
          </w:tcPr>
          <w:p w:rsidR="008A1ED0" w:rsidRPr="00FF6311" w:rsidRDefault="008A1ED0" w:rsidP="001C2025">
            <w:pPr>
              <w:pStyle w:val="TableText0"/>
              <w:keepLines/>
              <w:jc w:val="center"/>
              <w:rPr>
                <w:iCs/>
                <w:sz w:val="20"/>
                <w:lang w:val="en-AU" w:eastAsia="en-AU"/>
              </w:rPr>
            </w:pPr>
            <w:r w:rsidRPr="00FF6311">
              <w:rPr>
                <w:iCs/>
                <w:sz w:val="20"/>
                <w:lang w:val="en-AU" w:eastAsia="en-AU"/>
              </w:rPr>
              <w:t>84.1</w:t>
            </w:r>
          </w:p>
        </w:tc>
        <w:tc>
          <w:tcPr>
            <w:tcW w:w="958" w:type="dxa"/>
          </w:tcPr>
          <w:p w:rsidR="008A1ED0" w:rsidRPr="00FF6311" w:rsidRDefault="008A1ED0" w:rsidP="001C2025">
            <w:pPr>
              <w:pStyle w:val="TableText0"/>
              <w:keepLines/>
              <w:jc w:val="center"/>
              <w:rPr>
                <w:iCs/>
                <w:sz w:val="20"/>
                <w:lang w:val="en-AU" w:eastAsia="en-AU"/>
              </w:rPr>
            </w:pPr>
            <w:r w:rsidRPr="00FF6311">
              <w:rPr>
                <w:iCs/>
                <w:sz w:val="20"/>
                <w:lang w:val="en-AU" w:eastAsia="en-AU"/>
              </w:rPr>
              <w:t>4,925</w:t>
            </w:r>
          </w:p>
        </w:tc>
        <w:tc>
          <w:tcPr>
            <w:tcW w:w="958" w:type="dxa"/>
          </w:tcPr>
          <w:p w:rsidR="008A1ED0" w:rsidRPr="00FF6311" w:rsidRDefault="008A1ED0" w:rsidP="001C2025">
            <w:pPr>
              <w:pStyle w:val="TableText0"/>
              <w:keepLines/>
              <w:jc w:val="center"/>
              <w:rPr>
                <w:iCs/>
                <w:sz w:val="20"/>
                <w:lang w:val="en-AU" w:eastAsia="en-AU"/>
              </w:rPr>
            </w:pPr>
            <w:r w:rsidRPr="00FF6311">
              <w:rPr>
                <w:iCs/>
                <w:sz w:val="20"/>
                <w:lang w:val="en-AU" w:eastAsia="en-AU"/>
              </w:rPr>
              <w:t>86.9</w:t>
            </w:r>
          </w:p>
        </w:tc>
        <w:tc>
          <w:tcPr>
            <w:tcW w:w="1701" w:type="dxa"/>
          </w:tcPr>
          <w:p w:rsidR="008A1ED0" w:rsidRPr="00FF6311" w:rsidRDefault="008A1ED0" w:rsidP="001C2025">
            <w:pPr>
              <w:pStyle w:val="TableText0"/>
              <w:keepLines/>
              <w:jc w:val="center"/>
              <w:rPr>
                <w:iCs/>
                <w:sz w:val="20"/>
                <w:lang w:val="en-AU" w:eastAsia="en-AU"/>
              </w:rPr>
            </w:pPr>
            <w:r w:rsidRPr="00FF6311">
              <w:rPr>
                <w:iCs/>
                <w:sz w:val="20"/>
                <w:lang w:val="en-AU" w:eastAsia="en-AU"/>
              </w:rPr>
              <w:t>0.97 (0.95, 0.98)</w:t>
            </w:r>
          </w:p>
        </w:tc>
        <w:tc>
          <w:tcPr>
            <w:tcW w:w="1555" w:type="dxa"/>
          </w:tcPr>
          <w:p w:rsidR="008A1ED0" w:rsidRPr="00FF6311" w:rsidRDefault="008A1ED0" w:rsidP="001C2025">
            <w:pPr>
              <w:pStyle w:val="TableText0"/>
              <w:keepLines/>
              <w:jc w:val="center"/>
              <w:rPr>
                <w:iCs/>
                <w:sz w:val="20"/>
                <w:lang w:val="en-AU" w:eastAsia="en-AU"/>
              </w:rPr>
            </w:pPr>
            <w:r w:rsidRPr="00FF6311">
              <w:rPr>
                <w:iCs/>
                <w:sz w:val="20"/>
                <w:lang w:val="en-AU" w:eastAsia="en-AU"/>
              </w:rPr>
              <w:t>1.04 (0.93, 1.17)</w:t>
            </w:r>
          </w:p>
        </w:tc>
      </w:tr>
    </w:tbl>
    <w:p w:rsidR="008A1ED0" w:rsidRPr="00EA04BF" w:rsidRDefault="008A1ED0" w:rsidP="001C2025">
      <w:pPr>
        <w:pStyle w:val="TableFigureFooter"/>
        <w:keepNext/>
        <w:keepLines/>
        <w:rPr>
          <w:rFonts w:eastAsia="Calibri"/>
        </w:rPr>
      </w:pPr>
      <w:r w:rsidRPr="00EA04BF">
        <w:rPr>
          <w:rFonts w:eastAsia="Calibri"/>
        </w:rPr>
        <w:t>Source: Table 51 p6</w:t>
      </w:r>
      <w:r>
        <w:rPr>
          <w:rFonts w:eastAsia="Calibri"/>
        </w:rPr>
        <w:t>3</w:t>
      </w:r>
      <w:r w:rsidRPr="00EA04BF">
        <w:rPr>
          <w:rFonts w:eastAsia="Calibri"/>
        </w:rPr>
        <w:t xml:space="preserve"> of the submission</w:t>
      </w:r>
      <w:r>
        <w:rPr>
          <w:rFonts w:eastAsia="Calibri"/>
        </w:rPr>
        <w:t>; Table 7 p28 Attachment 1a PASS 108 CSR;</w:t>
      </w:r>
      <w:r w:rsidR="000A4FBA">
        <w:rPr>
          <w:rFonts w:eastAsia="Calibri"/>
        </w:rPr>
        <w:t xml:space="preserve"> </w:t>
      </w:r>
    </w:p>
    <w:p w:rsidR="008A1ED0" w:rsidRPr="00EA04BF" w:rsidRDefault="008A1ED0" w:rsidP="001C2025">
      <w:pPr>
        <w:pStyle w:val="TableFigureFooter"/>
        <w:keepNext/>
        <w:keepLines/>
        <w:rPr>
          <w:rFonts w:eastAsia="Calibri"/>
        </w:rPr>
      </w:pPr>
      <w:proofErr w:type="spellStart"/>
      <w:proofErr w:type="gramStart"/>
      <w:r w:rsidRPr="00EA04BF">
        <w:rPr>
          <w:rFonts w:eastAsia="Calibri"/>
        </w:rPr>
        <w:t>a</w:t>
      </w:r>
      <w:proofErr w:type="spellEnd"/>
      <w:r w:rsidRPr="00EA04BF">
        <w:rPr>
          <w:rFonts w:eastAsia="Calibri"/>
        </w:rPr>
        <w:t xml:space="preserve">  The</w:t>
      </w:r>
      <w:proofErr w:type="gramEnd"/>
      <w:r w:rsidRPr="00EA04BF">
        <w:rPr>
          <w:rFonts w:eastAsia="Calibri"/>
        </w:rPr>
        <w:t xml:space="preserve"> at-risk population was based on patients with non-missing information</w:t>
      </w:r>
    </w:p>
    <w:p w:rsidR="008A1ED0" w:rsidRPr="00EA04BF" w:rsidRDefault="008A1ED0" w:rsidP="001C2025">
      <w:pPr>
        <w:pStyle w:val="TableFigureFooter"/>
        <w:keepNext/>
        <w:keepLines/>
        <w:rPr>
          <w:rFonts w:eastAsia="Calibri"/>
        </w:rPr>
      </w:pPr>
      <w:proofErr w:type="gramStart"/>
      <w:r w:rsidRPr="00EA04BF">
        <w:rPr>
          <w:rFonts w:eastAsia="Calibri"/>
        </w:rPr>
        <w:t>b  Adjusted</w:t>
      </w:r>
      <w:proofErr w:type="gramEnd"/>
      <w:r w:rsidRPr="00EA04BF">
        <w:rPr>
          <w:rFonts w:eastAsia="Calibri"/>
        </w:rPr>
        <w:t xml:space="preserve"> for age in years (continuous) on January 1, 2018</w:t>
      </w:r>
    </w:p>
    <w:p w:rsidR="008A1ED0" w:rsidRPr="00EB1376" w:rsidRDefault="008A1ED0" w:rsidP="001C2025">
      <w:pPr>
        <w:pStyle w:val="TableFigureFooter"/>
        <w:keepNext/>
        <w:keepLines/>
        <w:jc w:val="left"/>
        <w:rPr>
          <w:rFonts w:eastAsia="Calibri"/>
        </w:rPr>
      </w:pPr>
      <w:r w:rsidRPr="00EB1376">
        <w:rPr>
          <w:rFonts w:eastAsia="Calibri"/>
        </w:rPr>
        <w:t>Abbreviations: CI = confidence interval; n = number of participants reporting data; LUMA/IVA=lumacaftor/ivacaftor; N = total participants in group; OR = odds ratio; RR = relative risk</w:t>
      </w:r>
    </w:p>
    <w:p w:rsidR="007E520C" w:rsidRPr="00C9624D" w:rsidRDefault="007E520C" w:rsidP="007E520C">
      <w:pPr>
        <w:pStyle w:val="4-SubsectionHeading"/>
      </w:pPr>
      <w:bookmarkStart w:id="31" w:name="_Toc22897644"/>
      <w:bookmarkStart w:id="32" w:name="_Toc69861498"/>
      <w:bookmarkStart w:id="33" w:name="_Toc72320702"/>
      <w:r w:rsidRPr="00C9624D">
        <w:t>Clinical claim</w:t>
      </w:r>
      <w:bookmarkEnd w:id="31"/>
      <w:bookmarkEnd w:id="32"/>
      <w:bookmarkEnd w:id="33"/>
    </w:p>
    <w:p w:rsidR="000D6E1D" w:rsidRPr="00985EC7" w:rsidRDefault="007E520C" w:rsidP="001858EB">
      <w:pPr>
        <w:pStyle w:val="3-BodyText"/>
        <w:rPr>
          <w:rFonts w:eastAsia="Calibri"/>
          <w:iCs/>
        </w:rPr>
      </w:pPr>
      <w:r w:rsidRPr="00AD7285">
        <w:rPr>
          <w:rFonts w:eastAsia="Calibri"/>
        </w:rPr>
        <w:t xml:space="preserve">The submission claimed </w:t>
      </w:r>
      <w:r w:rsidR="001858EB" w:rsidRPr="00917C54">
        <w:rPr>
          <w:rFonts w:eastAsia="Calibri"/>
        </w:rPr>
        <w:t>that all available evidence supported the ppFEV</w:t>
      </w:r>
      <w:r w:rsidR="001858EB" w:rsidRPr="00917C54">
        <w:rPr>
          <w:rFonts w:eastAsia="Calibri"/>
          <w:vertAlign w:val="subscript"/>
        </w:rPr>
        <w:t>1</w:t>
      </w:r>
      <w:r w:rsidR="001858EB" w:rsidRPr="00917C54">
        <w:rPr>
          <w:rFonts w:eastAsia="Calibri"/>
        </w:rPr>
        <w:t xml:space="preserve"> </w:t>
      </w:r>
      <w:proofErr w:type="spellStart"/>
      <w:r w:rsidR="001858EB" w:rsidRPr="00917C54">
        <w:rPr>
          <w:rFonts w:eastAsia="Calibri"/>
        </w:rPr>
        <w:t>rROD</w:t>
      </w:r>
      <w:proofErr w:type="spellEnd"/>
      <w:r w:rsidR="001858EB" w:rsidRPr="00917C54">
        <w:rPr>
          <w:rFonts w:eastAsia="Calibri"/>
        </w:rPr>
        <w:t xml:space="preserve"> exceeding 42% over time for patients treated with lumacaftor/ivacaftor</w:t>
      </w:r>
      <w:r w:rsidR="0009716E" w:rsidRPr="00917C54">
        <w:rPr>
          <w:rFonts w:eastAsia="Calibri"/>
        </w:rPr>
        <w:t xml:space="preserve"> compared to BSC</w:t>
      </w:r>
      <w:r w:rsidR="001858EB" w:rsidRPr="00917C54">
        <w:rPr>
          <w:rFonts w:eastAsia="Calibri"/>
        </w:rPr>
        <w:t>.</w:t>
      </w:r>
      <w:r w:rsidR="000A4FBA">
        <w:rPr>
          <w:rFonts w:eastAsia="Calibri"/>
          <w:i/>
        </w:rPr>
        <w:t xml:space="preserve"> </w:t>
      </w:r>
    </w:p>
    <w:p w:rsidR="00B07AC4" w:rsidRPr="00985EC7" w:rsidRDefault="00B07AC4" w:rsidP="006044D3">
      <w:pPr>
        <w:pStyle w:val="3-BodyText"/>
        <w:rPr>
          <w:rFonts w:eastAsia="Calibri"/>
        </w:rPr>
      </w:pPr>
      <w:r w:rsidRPr="00985EC7">
        <w:rPr>
          <w:rFonts w:eastAsia="Calibri"/>
          <w:iCs/>
        </w:rPr>
        <w:t xml:space="preserve">The </w:t>
      </w:r>
      <w:r w:rsidR="009D2CD8">
        <w:rPr>
          <w:rFonts w:eastAsia="Calibri"/>
          <w:iCs/>
        </w:rPr>
        <w:t xml:space="preserve">evaluation considered the </w:t>
      </w:r>
      <w:r w:rsidR="00061DF8" w:rsidRPr="00985EC7">
        <w:rPr>
          <w:rFonts w:eastAsia="Calibri"/>
          <w:iCs/>
        </w:rPr>
        <w:t xml:space="preserve">therapeutic conclusion presented in the submission </w:t>
      </w:r>
      <w:r w:rsidR="00FE0C82" w:rsidRPr="00985EC7">
        <w:rPr>
          <w:rFonts w:eastAsia="Calibri"/>
          <w:iCs/>
        </w:rPr>
        <w:t>may not be</w:t>
      </w:r>
      <w:r w:rsidR="00061DF8" w:rsidRPr="00985EC7">
        <w:rPr>
          <w:rFonts w:eastAsia="Calibri"/>
          <w:iCs/>
        </w:rPr>
        <w:t xml:space="preserve"> adequately supported by the evidence for the following reasons:</w:t>
      </w:r>
    </w:p>
    <w:p w:rsidR="00B05B64" w:rsidRPr="007E6381" w:rsidRDefault="00FB2193" w:rsidP="00AB5C73">
      <w:pPr>
        <w:pStyle w:val="ListParagraph"/>
        <w:numPr>
          <w:ilvl w:val="0"/>
          <w:numId w:val="6"/>
        </w:numPr>
        <w:ind w:left="1134"/>
        <w:rPr>
          <w:rFonts w:eastAsia="Calibri"/>
        </w:rPr>
      </w:pPr>
      <w:r w:rsidRPr="00985EC7">
        <w:rPr>
          <w:rFonts w:eastAsia="Calibri"/>
          <w:iCs/>
        </w:rPr>
        <w:t xml:space="preserve">The </w:t>
      </w:r>
      <w:r w:rsidR="004164F1" w:rsidRPr="00985EC7">
        <w:rPr>
          <w:rFonts w:eastAsia="Calibri"/>
          <w:iCs/>
        </w:rPr>
        <w:t xml:space="preserve">individual </w:t>
      </w:r>
      <w:r w:rsidRPr="00985EC7">
        <w:rPr>
          <w:rFonts w:eastAsia="Calibri"/>
          <w:iCs/>
        </w:rPr>
        <w:t>s</w:t>
      </w:r>
      <w:r w:rsidR="00425963" w:rsidRPr="00985EC7">
        <w:rPr>
          <w:rFonts w:eastAsia="Calibri"/>
          <w:iCs/>
        </w:rPr>
        <w:t xml:space="preserve">tudies included in </w:t>
      </w:r>
      <w:r w:rsidR="008A57C2">
        <w:rPr>
          <w:rFonts w:eastAsia="Calibri"/>
          <w:iCs/>
        </w:rPr>
        <w:t xml:space="preserve">the submission </w:t>
      </w:r>
      <w:r w:rsidR="00425963" w:rsidRPr="00985EC7">
        <w:rPr>
          <w:rFonts w:eastAsia="Calibri"/>
          <w:iCs/>
        </w:rPr>
        <w:t>were subject to moderate to critical biases</w:t>
      </w:r>
      <w:r w:rsidR="00CC511E" w:rsidRPr="00985EC7">
        <w:rPr>
          <w:rFonts w:eastAsia="Calibri"/>
          <w:iCs/>
        </w:rPr>
        <w:t>.</w:t>
      </w:r>
      <w:r w:rsidR="002D46CC" w:rsidRPr="00985EC7">
        <w:rPr>
          <w:rFonts w:eastAsia="Calibri"/>
          <w:iCs/>
        </w:rPr>
        <w:t xml:space="preserve"> </w:t>
      </w:r>
    </w:p>
    <w:p w:rsidR="0092084F" w:rsidRPr="00985EC7" w:rsidRDefault="0092084F" w:rsidP="00AB5C73">
      <w:pPr>
        <w:pStyle w:val="ListParagraph"/>
        <w:numPr>
          <w:ilvl w:val="0"/>
          <w:numId w:val="6"/>
        </w:numPr>
        <w:ind w:left="1092"/>
        <w:rPr>
          <w:rFonts w:eastAsia="Calibri"/>
        </w:rPr>
      </w:pPr>
      <w:r w:rsidRPr="00985EC7">
        <w:rPr>
          <w:iCs/>
        </w:rPr>
        <w:t xml:space="preserve">Evidence from </w:t>
      </w:r>
      <w:r w:rsidR="00AE2951">
        <w:rPr>
          <w:iCs/>
        </w:rPr>
        <w:t xml:space="preserve">most of the </w:t>
      </w:r>
      <w:r w:rsidRPr="00985EC7">
        <w:rPr>
          <w:iCs/>
        </w:rPr>
        <w:t xml:space="preserve">studies </w:t>
      </w:r>
      <w:r w:rsidR="009D2CD8">
        <w:rPr>
          <w:iCs/>
        </w:rPr>
        <w:t>was</w:t>
      </w:r>
      <w:r w:rsidRPr="00985EC7">
        <w:rPr>
          <w:iCs/>
        </w:rPr>
        <w:t xml:space="preserve"> less informative than </w:t>
      </w:r>
      <w:r w:rsidR="00350C69">
        <w:rPr>
          <w:iCs/>
        </w:rPr>
        <w:t xml:space="preserve">the </w:t>
      </w:r>
      <w:r w:rsidRPr="00985EC7">
        <w:rPr>
          <w:iCs/>
        </w:rPr>
        <w:t xml:space="preserve">analysis presented in </w:t>
      </w:r>
      <w:proofErr w:type="spellStart"/>
      <w:r w:rsidRPr="00985EC7">
        <w:rPr>
          <w:iCs/>
        </w:rPr>
        <w:t>Konstan</w:t>
      </w:r>
      <w:proofErr w:type="spellEnd"/>
      <w:r w:rsidRPr="00985EC7">
        <w:rPr>
          <w:iCs/>
        </w:rPr>
        <w:t xml:space="preserve"> 2017 included in the original PBAC submission</w:t>
      </w:r>
      <w:r w:rsidR="009D2CD8">
        <w:rPr>
          <w:iCs/>
        </w:rPr>
        <w:t>.</w:t>
      </w:r>
      <w:r w:rsidRPr="00985EC7" w:rsidDel="0092084F">
        <w:rPr>
          <w:rFonts w:eastAsia="Calibri"/>
          <w:iCs/>
        </w:rPr>
        <w:t xml:space="preserve"> </w:t>
      </w:r>
      <w:r w:rsidR="00B20AC0">
        <w:rPr>
          <w:rFonts w:eastAsia="Calibri"/>
          <w:iCs/>
        </w:rPr>
        <w:t xml:space="preserve">The mean duration of follow up for </w:t>
      </w:r>
      <w:proofErr w:type="spellStart"/>
      <w:r w:rsidR="00B20AC0">
        <w:rPr>
          <w:rFonts w:eastAsia="Calibri"/>
          <w:iCs/>
        </w:rPr>
        <w:t>Konstan</w:t>
      </w:r>
      <w:proofErr w:type="spellEnd"/>
      <w:r w:rsidR="00B20AC0">
        <w:rPr>
          <w:rFonts w:eastAsia="Calibri"/>
          <w:iCs/>
        </w:rPr>
        <w:t xml:space="preserve"> 2017 and Flume 2021 was approximately 2.3 years</w:t>
      </w:r>
      <w:r w:rsidR="006D2EC4">
        <w:rPr>
          <w:rFonts w:eastAsia="Calibri"/>
          <w:iCs/>
        </w:rPr>
        <w:t>,</w:t>
      </w:r>
      <w:r w:rsidR="008A57C2">
        <w:rPr>
          <w:rFonts w:eastAsia="Calibri"/>
          <w:iCs/>
        </w:rPr>
        <w:t xml:space="preserve"> </w:t>
      </w:r>
      <w:r w:rsidR="00B20AC0">
        <w:rPr>
          <w:rFonts w:eastAsia="Calibri"/>
          <w:iCs/>
        </w:rPr>
        <w:t>for PASS 108 was 3.8 years</w:t>
      </w:r>
      <w:r w:rsidR="00E35C02">
        <w:rPr>
          <w:rFonts w:eastAsia="Calibri"/>
          <w:iCs/>
        </w:rPr>
        <w:t xml:space="preserve">, for </w:t>
      </w:r>
      <w:proofErr w:type="spellStart"/>
      <w:r w:rsidR="00E35C02">
        <w:rPr>
          <w:rFonts w:eastAsia="Calibri"/>
          <w:iCs/>
        </w:rPr>
        <w:t>Muilwijk</w:t>
      </w:r>
      <w:proofErr w:type="spellEnd"/>
      <w:r w:rsidR="00E35C02">
        <w:rPr>
          <w:rFonts w:eastAsia="Calibri"/>
          <w:iCs/>
        </w:rPr>
        <w:t xml:space="preserve"> 2020 was 2.4 years and t</w:t>
      </w:r>
      <w:r w:rsidR="00B20AC0">
        <w:rPr>
          <w:rFonts w:eastAsia="Calibri"/>
          <w:iCs/>
        </w:rPr>
        <w:t xml:space="preserve">he follow up for the other studies was less than 2 years. </w:t>
      </w:r>
    </w:p>
    <w:p w:rsidR="00233B18" w:rsidRPr="00233B18" w:rsidRDefault="00233B18" w:rsidP="007E520C">
      <w:pPr>
        <w:pStyle w:val="3-BodyText"/>
        <w:rPr>
          <w:rFonts w:eastAsia="Calibri"/>
          <w:iCs/>
        </w:rPr>
      </w:pPr>
      <w:r w:rsidRPr="00233B18">
        <w:rPr>
          <w:rFonts w:eastAsia="Calibri"/>
          <w:iCs/>
        </w:rPr>
        <w:t xml:space="preserve">The </w:t>
      </w:r>
      <w:r>
        <w:rPr>
          <w:rFonts w:eastAsia="Calibri"/>
          <w:iCs/>
        </w:rPr>
        <w:t xml:space="preserve">evaluation considered </w:t>
      </w:r>
      <w:r w:rsidRPr="00233B18">
        <w:rPr>
          <w:rFonts w:eastAsia="Calibri"/>
          <w:iCs/>
        </w:rPr>
        <w:t xml:space="preserve">the ACFDR </w:t>
      </w:r>
      <w:r>
        <w:rPr>
          <w:rFonts w:eastAsia="Calibri"/>
          <w:iCs/>
        </w:rPr>
        <w:t xml:space="preserve">analysis provided in the submission was </w:t>
      </w:r>
      <w:r w:rsidRPr="00233B18">
        <w:rPr>
          <w:rFonts w:eastAsia="Calibri"/>
          <w:iCs/>
        </w:rPr>
        <w:t xml:space="preserve">from a limited population of patients aged 12 years and older </w:t>
      </w:r>
      <w:r w:rsidR="00E0033F">
        <w:rPr>
          <w:rFonts w:eastAsia="Calibri"/>
          <w:iCs/>
        </w:rPr>
        <w:t>with</w:t>
      </w:r>
      <w:r w:rsidRPr="00233B18">
        <w:rPr>
          <w:rFonts w:eastAsia="Calibri"/>
          <w:iCs/>
        </w:rPr>
        <w:t xml:space="preserve"> a baseline ppFEV</w:t>
      </w:r>
      <w:r w:rsidRPr="0076409E">
        <w:rPr>
          <w:rFonts w:eastAsia="Calibri"/>
          <w:iCs/>
          <w:vertAlign w:val="subscript"/>
        </w:rPr>
        <w:t>1</w:t>
      </w:r>
      <w:r w:rsidRPr="00233B18">
        <w:rPr>
          <w:rFonts w:eastAsia="Calibri"/>
          <w:iCs/>
        </w:rPr>
        <w:t xml:space="preserve"> </w:t>
      </w:r>
      <w:proofErr w:type="gramStart"/>
      <w:r w:rsidRPr="00233B18">
        <w:rPr>
          <w:rFonts w:eastAsia="Calibri"/>
          <w:iCs/>
        </w:rPr>
        <w:t>between 40% to 90%,</w:t>
      </w:r>
      <w:proofErr w:type="gramEnd"/>
      <w:r w:rsidRPr="00233B18">
        <w:rPr>
          <w:rFonts w:eastAsia="Calibri"/>
          <w:iCs/>
        </w:rPr>
        <w:t xml:space="preserve"> which </w:t>
      </w:r>
      <w:r w:rsidR="00E0033F">
        <w:rPr>
          <w:rFonts w:eastAsia="Calibri"/>
          <w:iCs/>
        </w:rPr>
        <w:t>wa</w:t>
      </w:r>
      <w:r w:rsidRPr="00233B18">
        <w:rPr>
          <w:rFonts w:eastAsia="Calibri"/>
          <w:iCs/>
        </w:rPr>
        <w:t xml:space="preserve">s only approximately 12% of patients that have received lumacaftor/ivacaftor or tezacaftor/ivacaftor in Australia. The analysis from the ACFDR </w:t>
      </w:r>
      <w:r w:rsidR="00E0033F">
        <w:rPr>
          <w:iCs/>
        </w:rPr>
        <w:lastRenderedPageBreak/>
        <w:t>wa</w:t>
      </w:r>
      <w:r w:rsidRPr="00233B18">
        <w:rPr>
          <w:iCs/>
        </w:rPr>
        <w:t>s not</w:t>
      </w:r>
      <w:r w:rsidR="00E0033F">
        <w:rPr>
          <w:iCs/>
        </w:rPr>
        <w:t xml:space="preserve"> considered</w:t>
      </w:r>
      <w:r w:rsidRPr="00233B18">
        <w:rPr>
          <w:iCs/>
        </w:rPr>
        <w:t xml:space="preserve"> reflective of the totality of the use of lumacaftor/ivacaftor on the PBS as recorded by the ACFDR</w:t>
      </w:r>
      <w:r w:rsidR="00406D26">
        <w:rPr>
          <w:iCs/>
        </w:rPr>
        <w:t>.</w:t>
      </w:r>
    </w:p>
    <w:p w:rsidR="007E520C" w:rsidRPr="00985EC7" w:rsidRDefault="007E520C" w:rsidP="007E520C">
      <w:pPr>
        <w:pStyle w:val="3-BodyText"/>
        <w:rPr>
          <w:rFonts w:eastAsia="Calibri"/>
          <w:iCs/>
        </w:rPr>
      </w:pPr>
      <w:r w:rsidRPr="00086CA2">
        <w:rPr>
          <w:rFonts w:eastAsia="Calibri"/>
        </w:rPr>
        <w:t xml:space="preserve">The submission </w:t>
      </w:r>
      <w:r w:rsidR="00816B0B" w:rsidRPr="00086CA2">
        <w:rPr>
          <w:rFonts w:eastAsia="Calibri"/>
        </w:rPr>
        <w:t>claimed that</w:t>
      </w:r>
      <w:r w:rsidRPr="00086CA2">
        <w:rPr>
          <w:rFonts w:eastAsia="Calibri"/>
        </w:rPr>
        <w:t xml:space="preserve"> the longer-term data from Study 110, Study 129 and PASS 108</w:t>
      </w:r>
      <w:r w:rsidR="000E5730" w:rsidRPr="00086CA2">
        <w:rPr>
          <w:rFonts w:eastAsia="Calibri"/>
        </w:rPr>
        <w:t xml:space="preserve"> </w:t>
      </w:r>
      <w:r w:rsidRPr="00086CA2">
        <w:rPr>
          <w:rFonts w:eastAsia="Calibri"/>
        </w:rPr>
        <w:t>provided evidence that the efficacy and safety of treatment with lumacaftor/ivacaftor is maintained into the longer-term for up to 4 years for patients with CF aged from 6 to 11 years</w:t>
      </w:r>
      <w:r w:rsidRPr="00BB26B7">
        <w:rPr>
          <w:rFonts w:eastAsia="Calibri"/>
          <w:i/>
          <w:iCs/>
        </w:rPr>
        <w:t xml:space="preserve">. </w:t>
      </w:r>
      <w:r w:rsidRPr="00985EC7">
        <w:rPr>
          <w:rFonts w:eastAsia="Calibri"/>
          <w:iCs/>
        </w:rPr>
        <w:t>Th</w:t>
      </w:r>
      <w:r w:rsidR="009D2CD8">
        <w:rPr>
          <w:rFonts w:eastAsia="Calibri"/>
          <w:iCs/>
        </w:rPr>
        <w:t>e evaluation considered this</w:t>
      </w:r>
      <w:r w:rsidR="00644814">
        <w:rPr>
          <w:rFonts w:eastAsia="Calibri"/>
          <w:iCs/>
        </w:rPr>
        <w:t xml:space="preserve"> </w:t>
      </w:r>
      <w:r w:rsidRPr="00985EC7">
        <w:rPr>
          <w:rFonts w:eastAsia="Calibri"/>
          <w:iCs/>
        </w:rPr>
        <w:t xml:space="preserve">claim </w:t>
      </w:r>
      <w:r w:rsidR="00AF1805" w:rsidRPr="00985EC7">
        <w:rPr>
          <w:rFonts w:eastAsia="Calibri"/>
          <w:iCs/>
        </w:rPr>
        <w:t xml:space="preserve">may not be </w:t>
      </w:r>
      <w:r w:rsidRPr="00985EC7">
        <w:rPr>
          <w:rFonts w:eastAsia="Calibri"/>
          <w:iCs/>
        </w:rPr>
        <w:t xml:space="preserve">supported by the evidence presented for the following reasons: </w:t>
      </w:r>
    </w:p>
    <w:p w:rsidR="007E520C" w:rsidRPr="00985EC7" w:rsidRDefault="007E520C" w:rsidP="00AB5C73">
      <w:pPr>
        <w:pStyle w:val="ListParagraph"/>
        <w:numPr>
          <w:ilvl w:val="0"/>
          <w:numId w:val="6"/>
        </w:numPr>
        <w:ind w:left="1092"/>
        <w:rPr>
          <w:iCs/>
        </w:rPr>
      </w:pPr>
      <w:r w:rsidRPr="00985EC7">
        <w:rPr>
          <w:iCs/>
        </w:rPr>
        <w:t xml:space="preserve">Study 110 and Study 129 were non-comparative, and subject to considerable bias; the effectiveness and safety estimates are subject to considerable uncertainty. </w:t>
      </w:r>
    </w:p>
    <w:p w:rsidR="00E3618D" w:rsidRDefault="007E520C" w:rsidP="00AB5C73">
      <w:pPr>
        <w:pStyle w:val="ListParagraph"/>
        <w:numPr>
          <w:ilvl w:val="0"/>
          <w:numId w:val="6"/>
        </w:numPr>
        <w:ind w:left="1092"/>
        <w:rPr>
          <w:iCs/>
        </w:rPr>
      </w:pPr>
      <w:r w:rsidRPr="00985EC7">
        <w:rPr>
          <w:iCs/>
        </w:rPr>
        <w:t>Analyses from Study 129 were based on data collected from the ACFDR</w:t>
      </w:r>
      <w:r w:rsidR="000E5730" w:rsidRPr="00985EC7">
        <w:rPr>
          <w:iCs/>
        </w:rPr>
        <w:t xml:space="preserve"> for a select </w:t>
      </w:r>
      <w:r w:rsidR="009E735B">
        <w:rPr>
          <w:iCs/>
        </w:rPr>
        <w:t>and potentially non-representative sample</w:t>
      </w:r>
      <w:r w:rsidR="009E735B" w:rsidRPr="00985EC7">
        <w:rPr>
          <w:iCs/>
        </w:rPr>
        <w:t xml:space="preserve"> </w:t>
      </w:r>
      <w:r w:rsidR="000E5730" w:rsidRPr="00985EC7">
        <w:rPr>
          <w:iCs/>
        </w:rPr>
        <w:t xml:space="preserve">of </w:t>
      </w:r>
      <w:r w:rsidR="009E735B">
        <w:rPr>
          <w:iCs/>
        </w:rPr>
        <w:t xml:space="preserve">all treated </w:t>
      </w:r>
      <w:r w:rsidR="000E5730" w:rsidRPr="00985EC7">
        <w:rPr>
          <w:iCs/>
        </w:rPr>
        <w:t>patients</w:t>
      </w:r>
      <w:r w:rsidRPr="00985EC7">
        <w:rPr>
          <w:iCs/>
        </w:rPr>
        <w:t>. Results presented were based on 179 patients, with one year of follow-up; as such</w:t>
      </w:r>
      <w:r w:rsidR="000E5730" w:rsidRPr="00985EC7">
        <w:rPr>
          <w:iCs/>
        </w:rPr>
        <w:t>, these</w:t>
      </w:r>
      <w:r w:rsidRPr="00985EC7">
        <w:rPr>
          <w:iCs/>
        </w:rPr>
        <w:t xml:space="preserve"> data may be premature</w:t>
      </w:r>
      <w:r w:rsidR="00041773" w:rsidRPr="00985EC7">
        <w:rPr>
          <w:iCs/>
        </w:rPr>
        <w:t xml:space="preserve"> and no longer-term follow-up is available.</w:t>
      </w:r>
      <w:r w:rsidR="000A4FBA">
        <w:rPr>
          <w:iCs/>
        </w:rPr>
        <w:t xml:space="preserve"> </w:t>
      </w:r>
    </w:p>
    <w:p w:rsidR="00B0344E" w:rsidRPr="00B0344E" w:rsidRDefault="008A57C2" w:rsidP="00B0344E">
      <w:pPr>
        <w:pStyle w:val="3-BodyText"/>
        <w:rPr>
          <w:rFonts w:eastAsia="Calibri"/>
          <w:iCs/>
        </w:rPr>
      </w:pPr>
      <w:r>
        <w:t xml:space="preserve">Overall, the PBAC considered the data presented did not </w:t>
      </w:r>
      <w:r w:rsidR="009E735B">
        <w:t xml:space="preserve">adequately </w:t>
      </w:r>
      <w:r>
        <w:t xml:space="preserve">support </w:t>
      </w:r>
      <w:r w:rsidRPr="00917C54">
        <w:rPr>
          <w:rFonts w:eastAsia="Calibri"/>
        </w:rPr>
        <w:t xml:space="preserve">the </w:t>
      </w:r>
      <w:r>
        <w:rPr>
          <w:rFonts w:eastAsia="Calibri"/>
        </w:rPr>
        <w:t xml:space="preserve">claim that </w:t>
      </w:r>
      <w:r w:rsidRPr="00917C54">
        <w:rPr>
          <w:rFonts w:eastAsia="Calibri"/>
        </w:rPr>
        <w:t>ppFEV</w:t>
      </w:r>
      <w:r w:rsidRPr="00917C54">
        <w:rPr>
          <w:rFonts w:eastAsia="Calibri"/>
          <w:vertAlign w:val="subscript"/>
        </w:rPr>
        <w:t>1</w:t>
      </w:r>
      <w:r>
        <w:rPr>
          <w:rFonts w:eastAsia="Calibri"/>
        </w:rPr>
        <w:t xml:space="preserve"> </w:t>
      </w:r>
      <w:proofErr w:type="spellStart"/>
      <w:r>
        <w:rPr>
          <w:rFonts w:eastAsia="Calibri"/>
        </w:rPr>
        <w:t>rROD</w:t>
      </w:r>
      <w:proofErr w:type="spellEnd"/>
      <w:r>
        <w:rPr>
          <w:rFonts w:eastAsia="Calibri"/>
        </w:rPr>
        <w:t xml:space="preserve"> exceeded</w:t>
      </w:r>
      <w:r w:rsidRPr="00917C54">
        <w:rPr>
          <w:rFonts w:eastAsia="Calibri"/>
        </w:rPr>
        <w:t xml:space="preserve"> 42% over time for patients treated with lumacaftor/ivacaftor compared to BSC.</w:t>
      </w:r>
      <w:r w:rsidR="000A4FBA">
        <w:rPr>
          <w:rFonts w:eastAsia="Calibri"/>
          <w:i/>
        </w:rPr>
        <w:t xml:space="preserve"> </w:t>
      </w:r>
    </w:p>
    <w:p w:rsidR="007E520C" w:rsidRPr="00C9624D" w:rsidRDefault="007E520C" w:rsidP="007E520C">
      <w:pPr>
        <w:pStyle w:val="4-SubsectionHeading"/>
      </w:pPr>
      <w:bookmarkStart w:id="34" w:name="_Toc22897645"/>
      <w:bookmarkStart w:id="35" w:name="_Toc69861499"/>
      <w:bookmarkStart w:id="36" w:name="_Toc72320703"/>
      <w:r w:rsidRPr="00C9624D">
        <w:t>Economic analysis</w:t>
      </w:r>
      <w:bookmarkEnd w:id="34"/>
      <w:bookmarkEnd w:id="35"/>
      <w:bookmarkEnd w:id="36"/>
      <w:r w:rsidRPr="00C9624D">
        <w:t xml:space="preserve"> </w:t>
      </w:r>
    </w:p>
    <w:p w:rsidR="007E520C" w:rsidRPr="00F724D5" w:rsidRDefault="007E520C" w:rsidP="001B3982">
      <w:pPr>
        <w:pStyle w:val="ListParagraph"/>
        <w:numPr>
          <w:ilvl w:val="1"/>
          <w:numId w:val="1"/>
        </w:numPr>
        <w:ind w:left="709" w:hanging="709"/>
        <w:rPr>
          <w:i/>
        </w:rPr>
      </w:pPr>
      <w:r w:rsidRPr="00F2126F">
        <w:t xml:space="preserve">The economic evaluation presented was a cost-utility analysis (CUA). The structure of the model was the same as in the previous (re)submissions (March 2016, November 2016, July 2017, July 2018, July 2019), which presented a CUA of lumacaftor/ivacaftor </w:t>
      </w:r>
      <w:r w:rsidRPr="007079F1">
        <w:t xml:space="preserve">compared with BSC. </w:t>
      </w:r>
    </w:p>
    <w:p w:rsidR="007E520C" w:rsidRPr="001D1894" w:rsidRDefault="007E520C" w:rsidP="001B3982">
      <w:pPr>
        <w:pStyle w:val="ListParagraph"/>
        <w:numPr>
          <w:ilvl w:val="1"/>
          <w:numId w:val="1"/>
        </w:numPr>
        <w:ind w:left="709" w:hanging="709"/>
      </w:pPr>
      <w:r>
        <w:t>Based on the pooled estimate of ppFEV</w:t>
      </w:r>
      <w:r w:rsidRPr="00EE194C">
        <w:rPr>
          <w:vertAlign w:val="subscript"/>
        </w:rPr>
        <w:t>1</w:t>
      </w:r>
      <w:r>
        <w:t xml:space="preserve"> </w:t>
      </w:r>
      <w:proofErr w:type="spellStart"/>
      <w:r>
        <w:t>rROD</w:t>
      </w:r>
      <w:proofErr w:type="spellEnd"/>
      <w:r>
        <w:t xml:space="preserve"> from five studies (</w:t>
      </w:r>
      <w:r w:rsidR="002B6653" w:rsidRPr="002D1484">
        <w:t xml:space="preserve">paragraph </w:t>
      </w:r>
      <w:r w:rsidR="004A29C6" w:rsidRPr="002D1484">
        <w:t>4.</w:t>
      </w:r>
      <w:r w:rsidR="002D1484" w:rsidRPr="002D1484">
        <w:t>19</w:t>
      </w:r>
      <w:r w:rsidR="00FE0C82" w:rsidRPr="002D1484">
        <w:t>)</w:t>
      </w:r>
      <w:r w:rsidRPr="002D1484">
        <w:t>,</w:t>
      </w:r>
      <w:r>
        <w:t xml:space="preserve"> t</w:t>
      </w:r>
      <w:r w:rsidRPr="00A07E72">
        <w:t>he submission revised the estimate informing the ppFEV</w:t>
      </w:r>
      <w:r w:rsidRPr="00EE194C">
        <w:rPr>
          <w:vertAlign w:val="subscript"/>
        </w:rPr>
        <w:t>1</w:t>
      </w:r>
      <w:r w:rsidRPr="00A07E72">
        <w:t xml:space="preserve"> </w:t>
      </w:r>
      <w:proofErr w:type="spellStart"/>
      <w:r w:rsidRPr="00A07E72">
        <w:t>rROD</w:t>
      </w:r>
      <w:proofErr w:type="spellEnd"/>
      <w:r w:rsidRPr="00A07E72">
        <w:t xml:space="preserve"> from 42% to 55.7%. </w:t>
      </w:r>
      <w:r>
        <w:t xml:space="preserve">The </w:t>
      </w:r>
      <w:r w:rsidR="000E5730">
        <w:t xml:space="preserve">resulting </w:t>
      </w:r>
      <w:r>
        <w:t>ICER as presented in the submission dec</w:t>
      </w:r>
      <w:r w:rsidR="002B6653">
        <w:t>r</w:t>
      </w:r>
      <w:r>
        <w:t xml:space="preserve">eased from </w:t>
      </w:r>
      <w:r w:rsidRPr="00E22EA8">
        <w:t>$</w:t>
      </w:r>
      <w:r w:rsidR="00C41886">
        <w:t>155,000 to &lt; $255,000</w:t>
      </w:r>
      <w:r>
        <w:t xml:space="preserve">/QALY gained to </w:t>
      </w:r>
      <w:r w:rsidRPr="00F51F01">
        <w:t>$</w:t>
      </w:r>
      <w:r w:rsidR="00C41886">
        <w:t xml:space="preserve">115,000 to &lt; $135,000/QALY </w:t>
      </w:r>
      <w:r>
        <w:t>gained based on the revised estimate</w:t>
      </w:r>
      <w:r w:rsidR="00FD107B" w:rsidRPr="00EE194C">
        <w:rPr>
          <w:i/>
          <w:iCs/>
        </w:rPr>
        <w:t>.</w:t>
      </w:r>
      <w:r w:rsidR="000A4FBA">
        <w:rPr>
          <w:i/>
          <w:iCs/>
        </w:rPr>
        <w:t xml:space="preserve"> </w:t>
      </w:r>
      <w:r w:rsidR="007E6CE5" w:rsidRPr="00EE194C">
        <w:rPr>
          <w:iCs/>
        </w:rPr>
        <w:t>The PBAC noted the</w:t>
      </w:r>
      <w:r w:rsidR="00AC503A" w:rsidRPr="00EE194C">
        <w:rPr>
          <w:iCs/>
        </w:rPr>
        <w:t xml:space="preserve"> economic model required an estimate of the </w:t>
      </w:r>
      <w:proofErr w:type="spellStart"/>
      <w:r w:rsidR="00AC503A" w:rsidRPr="00EE194C">
        <w:rPr>
          <w:iCs/>
        </w:rPr>
        <w:t>rROD</w:t>
      </w:r>
      <w:proofErr w:type="spellEnd"/>
      <w:r w:rsidR="00AC503A" w:rsidRPr="00EE194C">
        <w:rPr>
          <w:iCs/>
        </w:rPr>
        <w:t xml:space="preserve"> from week 24 onwards. The PBAC noted</w:t>
      </w:r>
      <w:r w:rsidR="00EE194C">
        <w:rPr>
          <w:iCs/>
        </w:rPr>
        <w:t xml:space="preserve"> the</w:t>
      </w:r>
      <w:r w:rsidR="007E6CE5" w:rsidRPr="00EE194C">
        <w:rPr>
          <w:iCs/>
        </w:rPr>
        <w:t xml:space="preserve"> initial increase in ppFEV</w:t>
      </w:r>
      <w:r w:rsidR="007E6CE5" w:rsidRPr="00EE194C">
        <w:rPr>
          <w:iCs/>
          <w:vertAlign w:val="subscript"/>
        </w:rPr>
        <w:t>1</w:t>
      </w:r>
      <w:r w:rsidR="007E6CE5" w:rsidRPr="00EE194C">
        <w:rPr>
          <w:iCs/>
        </w:rPr>
        <w:t xml:space="preserve"> was </w:t>
      </w:r>
      <w:r w:rsidR="00EE194C">
        <w:rPr>
          <w:iCs/>
        </w:rPr>
        <w:t xml:space="preserve">not excluded when </w:t>
      </w:r>
      <w:r w:rsidR="007E6CE5" w:rsidRPr="00EE194C">
        <w:rPr>
          <w:iCs/>
        </w:rPr>
        <w:t>estimat</w:t>
      </w:r>
      <w:r w:rsidR="00EE194C">
        <w:rPr>
          <w:iCs/>
        </w:rPr>
        <w:t>ing the</w:t>
      </w:r>
      <w:r w:rsidR="007E6CE5" w:rsidRPr="00EE194C">
        <w:rPr>
          <w:iCs/>
        </w:rPr>
        <w:t xml:space="preserve"> </w:t>
      </w:r>
      <w:proofErr w:type="spellStart"/>
      <w:r w:rsidR="007E6CE5" w:rsidRPr="00EE194C">
        <w:rPr>
          <w:iCs/>
        </w:rPr>
        <w:t>rROD</w:t>
      </w:r>
      <w:proofErr w:type="spellEnd"/>
      <w:r w:rsidR="007E6CE5" w:rsidRPr="00EE194C">
        <w:rPr>
          <w:iCs/>
        </w:rPr>
        <w:t xml:space="preserve"> for </w:t>
      </w:r>
      <w:r w:rsidR="002573A2">
        <w:rPr>
          <w:iCs/>
        </w:rPr>
        <w:t>four</w:t>
      </w:r>
      <w:r w:rsidR="00EE194C">
        <w:rPr>
          <w:iCs/>
        </w:rPr>
        <w:t xml:space="preserve"> of the five </w:t>
      </w:r>
      <w:r w:rsidR="007E6CE5" w:rsidRPr="00EE194C">
        <w:rPr>
          <w:iCs/>
        </w:rPr>
        <w:t>studies</w:t>
      </w:r>
      <w:r w:rsidR="00EE194C">
        <w:rPr>
          <w:iCs/>
        </w:rPr>
        <w:t xml:space="preserve"> included in the pooled estimate</w:t>
      </w:r>
      <w:r w:rsidR="007E6CE5" w:rsidRPr="00EE194C">
        <w:rPr>
          <w:iCs/>
        </w:rPr>
        <w:t xml:space="preserve"> and</w:t>
      </w:r>
      <w:r w:rsidR="00EE194C">
        <w:rPr>
          <w:iCs/>
        </w:rPr>
        <w:t xml:space="preserve"> thus considered the </w:t>
      </w:r>
      <w:proofErr w:type="spellStart"/>
      <w:r w:rsidR="00EE194C">
        <w:rPr>
          <w:iCs/>
        </w:rPr>
        <w:t>rROD</w:t>
      </w:r>
      <w:proofErr w:type="spellEnd"/>
      <w:r w:rsidR="00EE194C">
        <w:rPr>
          <w:iCs/>
        </w:rPr>
        <w:t xml:space="preserve"> was overestimated and the ICER was underestimated.</w:t>
      </w:r>
      <w:r w:rsidR="000A4FBA">
        <w:rPr>
          <w:iCs/>
        </w:rPr>
        <w:t xml:space="preserve"> </w:t>
      </w:r>
      <w:r w:rsidR="006511EB" w:rsidRPr="00EE194C">
        <w:rPr>
          <w:iCs/>
        </w:rPr>
        <w:t xml:space="preserve"> </w:t>
      </w:r>
    </w:p>
    <w:p w:rsidR="007E520C" w:rsidRPr="00C9624D" w:rsidRDefault="007E520C" w:rsidP="007E520C">
      <w:pPr>
        <w:pStyle w:val="4-SubsectionHeading"/>
      </w:pPr>
      <w:bookmarkStart w:id="37" w:name="_Toc22897649"/>
      <w:bookmarkStart w:id="38" w:name="_Toc69861502"/>
      <w:bookmarkStart w:id="39" w:name="_Toc72320704"/>
      <w:r w:rsidRPr="00C9624D">
        <w:t>Financial Management – Risk Sharing Arrangements</w:t>
      </w:r>
      <w:bookmarkEnd w:id="37"/>
      <w:bookmarkEnd w:id="38"/>
      <w:bookmarkEnd w:id="39"/>
    </w:p>
    <w:p w:rsidR="009540C2" w:rsidRPr="00B0344E" w:rsidRDefault="000E5730" w:rsidP="00FF27E1">
      <w:pPr>
        <w:pStyle w:val="3-BodyText"/>
        <w:rPr>
          <w:iCs/>
        </w:rPr>
      </w:pPr>
      <w:r w:rsidRPr="008F1D25">
        <w:t xml:space="preserve">The submission concluded that in light of its estimate of the </w:t>
      </w:r>
      <w:proofErr w:type="spellStart"/>
      <w:r w:rsidRPr="008F1D25">
        <w:t>rROD</w:t>
      </w:r>
      <w:proofErr w:type="spellEnd"/>
      <w:r w:rsidRPr="008F1D25">
        <w:t xml:space="preserve"> at 55.7%, it was appropriate that Option 1 of the Deed be enacted. </w:t>
      </w:r>
      <w:r w:rsidR="00FF27E1">
        <w:t xml:space="preserve">The PBAC considered that data to reliably inform the </w:t>
      </w:r>
      <w:proofErr w:type="spellStart"/>
      <w:r w:rsidR="00FF27E1" w:rsidRPr="00083FD4">
        <w:t>rROD</w:t>
      </w:r>
      <w:proofErr w:type="spellEnd"/>
      <w:r w:rsidR="00FF27E1" w:rsidRPr="00083FD4">
        <w:t xml:space="preserve"> beyond 24 weeks</w:t>
      </w:r>
      <w:r w:rsidR="00FF27E1">
        <w:t xml:space="preserve"> was not provided by the submission and hence there was not a basis on which to enact Option 1 of the Deed.</w:t>
      </w:r>
    </w:p>
    <w:p w:rsidR="00B0344E" w:rsidRDefault="00B0344E" w:rsidP="00B0344E">
      <w:pPr>
        <w:pStyle w:val="3-BodyText"/>
        <w:numPr>
          <w:ilvl w:val="0"/>
          <w:numId w:val="0"/>
        </w:numPr>
        <w:ind w:left="720"/>
        <w:rPr>
          <w:i/>
          <w:iCs/>
        </w:rPr>
      </w:pPr>
      <w:r w:rsidRPr="00B0344E">
        <w:rPr>
          <w:i/>
          <w:iCs/>
        </w:rPr>
        <w:t>For more deta</w:t>
      </w:r>
      <w:r>
        <w:rPr>
          <w:i/>
          <w:iCs/>
        </w:rPr>
        <w:t>il on PBAC’s view, see section 5</w:t>
      </w:r>
      <w:r w:rsidRPr="00B0344E">
        <w:rPr>
          <w:i/>
          <w:iCs/>
        </w:rPr>
        <w:t xml:space="preserve"> PBAC outcome.</w:t>
      </w:r>
    </w:p>
    <w:p w:rsidR="000853B0" w:rsidRPr="00B0344E" w:rsidRDefault="000853B0" w:rsidP="00B0344E">
      <w:pPr>
        <w:pStyle w:val="3-BodyText"/>
        <w:numPr>
          <w:ilvl w:val="0"/>
          <w:numId w:val="0"/>
        </w:numPr>
        <w:ind w:left="720"/>
        <w:rPr>
          <w:i/>
          <w:iCs/>
        </w:rPr>
      </w:pPr>
    </w:p>
    <w:p w:rsidR="00FF6E45" w:rsidRPr="0061589D" w:rsidRDefault="00F334ED" w:rsidP="0061589D">
      <w:pPr>
        <w:pStyle w:val="2-SectionHeading"/>
      </w:pPr>
      <w:r w:rsidRPr="0061589D">
        <w:lastRenderedPageBreak/>
        <w:t>PBAC O</w:t>
      </w:r>
      <w:r w:rsidR="00FF6E45" w:rsidRPr="0061589D">
        <w:t>utcome</w:t>
      </w:r>
    </w:p>
    <w:p w:rsidR="00FF6E45" w:rsidRDefault="00F174C1" w:rsidP="00F174C1">
      <w:pPr>
        <w:pStyle w:val="3-BodyText"/>
      </w:pPr>
      <w:r w:rsidRPr="00F174C1">
        <w:t xml:space="preserve">The PBAC advised the data provided </w:t>
      </w:r>
      <w:r w:rsidR="005125F0">
        <w:t xml:space="preserve">by the sponsor </w:t>
      </w:r>
      <w:r w:rsidRPr="00F174C1">
        <w:t>did not meet the requirements of the Deed</w:t>
      </w:r>
      <w:r w:rsidR="009E1E18">
        <w:t>,</w:t>
      </w:r>
      <w:r w:rsidRPr="00F174C1">
        <w:t xml:space="preserve"> and </w:t>
      </w:r>
      <w:r w:rsidR="009E1E18">
        <w:t xml:space="preserve">that </w:t>
      </w:r>
      <w:r w:rsidRPr="00F174C1">
        <w:t>the long-term benefits of</w:t>
      </w:r>
      <w:r w:rsidR="00D01DA5">
        <w:t xml:space="preserve"> </w:t>
      </w:r>
      <w:r w:rsidR="007863A8" w:rsidRPr="007863A8">
        <w:t>lumacaftor/</w:t>
      </w:r>
      <w:r w:rsidR="00317E48" w:rsidRPr="007863A8">
        <w:t>ivacaftor</w:t>
      </w:r>
      <w:r w:rsidRPr="00F174C1">
        <w:t>, in terms of the relative rate of decline in ppFEV</w:t>
      </w:r>
      <w:r w:rsidRPr="00D01DA5">
        <w:rPr>
          <w:vertAlign w:val="subscript"/>
        </w:rPr>
        <w:t>1</w:t>
      </w:r>
      <w:r w:rsidRPr="00F174C1">
        <w:t xml:space="preserve"> and the rate of pulmonary exac</w:t>
      </w:r>
      <w:r>
        <w:t xml:space="preserve">erbations, remained uncertain. </w:t>
      </w:r>
      <w:r w:rsidRPr="00F174C1">
        <w:t xml:space="preserve">The PBAC considered additional </w:t>
      </w:r>
      <w:r w:rsidR="00D656D2">
        <w:t>analyses</w:t>
      </w:r>
      <w:r w:rsidR="000A4FBA">
        <w:t xml:space="preserve"> </w:t>
      </w:r>
      <w:r w:rsidR="009E1E18">
        <w:t>would be</w:t>
      </w:r>
      <w:r w:rsidR="009E1E18" w:rsidRPr="00F174C1">
        <w:t xml:space="preserve"> </w:t>
      </w:r>
      <w:r w:rsidRPr="00F174C1">
        <w:t xml:space="preserve">required </w:t>
      </w:r>
      <w:r w:rsidR="009E2F2F">
        <w:t>to meet the</w:t>
      </w:r>
      <w:r w:rsidRPr="00F174C1">
        <w:t xml:space="preserve"> requirements of the Deed.</w:t>
      </w:r>
      <w:r w:rsidR="000A4FBA">
        <w:t xml:space="preserve"> </w:t>
      </w:r>
      <w:r w:rsidRPr="00F174C1">
        <w:t xml:space="preserve"> </w:t>
      </w:r>
    </w:p>
    <w:p w:rsidR="00FF6E45" w:rsidRPr="009213F9" w:rsidRDefault="00FF6E45" w:rsidP="00A36E31">
      <w:pPr>
        <w:pStyle w:val="3-BodyText"/>
        <w:rPr>
          <w:lang w:val="en-US"/>
        </w:rPr>
      </w:pPr>
      <w:r w:rsidRPr="00602614">
        <w:rPr>
          <w:lang w:val="en-US"/>
        </w:rPr>
        <w:t>The PBAC recalled the economic model that informed the rec</w:t>
      </w:r>
      <w:r w:rsidR="00D01DA5" w:rsidRPr="00602614">
        <w:rPr>
          <w:lang w:val="en-US"/>
        </w:rPr>
        <w:t>omme</w:t>
      </w:r>
      <w:r w:rsidR="007863A8" w:rsidRPr="00602614">
        <w:rPr>
          <w:lang w:val="en-US"/>
        </w:rPr>
        <w:t>ndation to list lumacaftor/</w:t>
      </w:r>
      <w:r w:rsidRPr="00602614">
        <w:rPr>
          <w:lang w:val="en-US"/>
        </w:rPr>
        <w:t>ivacaftor</w:t>
      </w:r>
      <w:r w:rsidR="00D01DA5" w:rsidRPr="00602614">
        <w:rPr>
          <w:lang w:val="en-US"/>
        </w:rPr>
        <w:t xml:space="preserve"> for CF patients over </w:t>
      </w:r>
      <w:r w:rsidR="001F4775" w:rsidRPr="00602614">
        <w:rPr>
          <w:lang w:val="en-US"/>
        </w:rPr>
        <w:t xml:space="preserve">6 </w:t>
      </w:r>
      <w:r w:rsidR="00D01DA5" w:rsidRPr="00602614">
        <w:rPr>
          <w:lang w:val="en-US"/>
        </w:rPr>
        <w:t>years of age</w:t>
      </w:r>
      <w:r w:rsidRPr="00602614">
        <w:rPr>
          <w:lang w:val="en-US"/>
        </w:rPr>
        <w:t xml:space="preserve"> assumed an average </w:t>
      </w:r>
      <w:r w:rsidR="000D2177">
        <w:rPr>
          <w:lang w:val="en-US"/>
        </w:rPr>
        <w:t>change</w:t>
      </w:r>
      <w:r w:rsidR="000A4FBA">
        <w:rPr>
          <w:lang w:val="en-US"/>
        </w:rPr>
        <w:t xml:space="preserve"> </w:t>
      </w:r>
      <w:r w:rsidRPr="00602614">
        <w:rPr>
          <w:lang w:val="en-US"/>
        </w:rPr>
        <w:t>in ppFEV</w:t>
      </w:r>
      <w:r w:rsidRPr="00602614">
        <w:rPr>
          <w:vertAlign w:val="subscript"/>
          <w:lang w:val="en-US"/>
        </w:rPr>
        <w:t>1</w:t>
      </w:r>
      <w:r w:rsidRPr="00602614">
        <w:rPr>
          <w:lang w:val="en-US"/>
        </w:rPr>
        <w:t xml:space="preserve"> of </w:t>
      </w:r>
      <w:r w:rsidR="000D2177">
        <w:rPr>
          <w:lang w:val="en-US"/>
        </w:rPr>
        <w:t>+</w:t>
      </w:r>
      <w:r w:rsidR="001F4775" w:rsidRPr="00602614">
        <w:rPr>
          <w:lang w:val="en-US"/>
        </w:rPr>
        <w:t>3.0</w:t>
      </w:r>
      <w:r w:rsidRPr="00602614">
        <w:rPr>
          <w:lang w:val="en-US"/>
        </w:rPr>
        <w:t xml:space="preserve">% in the first 24 weeks of treatment followed by a relative rate of decline </w:t>
      </w:r>
      <w:r w:rsidR="000D2177">
        <w:rPr>
          <w:lang w:val="en-US"/>
        </w:rPr>
        <w:t>(</w:t>
      </w:r>
      <w:proofErr w:type="spellStart"/>
      <w:r w:rsidR="000D2177">
        <w:rPr>
          <w:lang w:val="en-US"/>
        </w:rPr>
        <w:t>rROD</w:t>
      </w:r>
      <w:proofErr w:type="spellEnd"/>
      <w:r w:rsidR="000D2177">
        <w:rPr>
          <w:lang w:val="en-US"/>
        </w:rPr>
        <w:t xml:space="preserve">) </w:t>
      </w:r>
      <w:r w:rsidRPr="00602614">
        <w:rPr>
          <w:lang w:val="en-US"/>
        </w:rPr>
        <w:t>of 42% compared to best supportive care</w:t>
      </w:r>
      <w:r w:rsidR="009E2F2F" w:rsidRPr="00602614">
        <w:rPr>
          <w:lang w:val="en-US"/>
        </w:rPr>
        <w:t xml:space="preserve"> (based on </w:t>
      </w:r>
      <w:proofErr w:type="spellStart"/>
      <w:r w:rsidR="009E2F2F" w:rsidRPr="00602614">
        <w:rPr>
          <w:lang w:val="en-US"/>
        </w:rPr>
        <w:t>Konstan</w:t>
      </w:r>
      <w:proofErr w:type="spellEnd"/>
      <w:r w:rsidR="009E2F2F" w:rsidRPr="00602614">
        <w:rPr>
          <w:lang w:val="en-US"/>
        </w:rPr>
        <w:t xml:space="preserve"> 2017)</w:t>
      </w:r>
      <w:r w:rsidRPr="00602614">
        <w:rPr>
          <w:lang w:val="en-US"/>
        </w:rPr>
        <w:t xml:space="preserve"> for the duration of the model</w:t>
      </w:r>
      <w:r w:rsidR="009213F9" w:rsidRPr="00602614">
        <w:rPr>
          <w:lang w:val="en-US"/>
        </w:rPr>
        <w:t xml:space="preserve">. </w:t>
      </w:r>
      <w:r w:rsidR="000D2177">
        <w:rPr>
          <w:lang w:val="en-US"/>
        </w:rPr>
        <w:t xml:space="preserve">The PBAC noted the </w:t>
      </w:r>
      <w:proofErr w:type="spellStart"/>
      <w:r w:rsidR="000D2177">
        <w:rPr>
          <w:lang w:val="en-US"/>
        </w:rPr>
        <w:t>rROD</w:t>
      </w:r>
      <w:proofErr w:type="spellEnd"/>
      <w:r w:rsidR="000D2177">
        <w:rPr>
          <w:lang w:val="en-US"/>
        </w:rPr>
        <w:t xml:space="preserve"> calculation was based </w:t>
      </w:r>
      <w:r w:rsidR="009E1E18">
        <w:rPr>
          <w:lang w:val="en-US"/>
        </w:rPr>
        <w:t xml:space="preserve">on </w:t>
      </w:r>
      <w:r w:rsidR="000D2177">
        <w:rPr>
          <w:lang w:val="en-US"/>
        </w:rPr>
        <w:t xml:space="preserve">a rate of decline of 1.33% per year for treated patients and 2.29% per year for BSC patients. </w:t>
      </w:r>
      <w:r w:rsidR="009E2F2F" w:rsidRPr="00602614">
        <w:rPr>
          <w:lang w:val="en-US"/>
        </w:rPr>
        <w:t>The PBAC noted that the assumption of the rate of decline in ppFEV</w:t>
      </w:r>
      <w:r w:rsidR="009E2F2F" w:rsidRPr="009E7A37">
        <w:rPr>
          <w:vertAlign w:val="subscript"/>
          <w:lang w:val="en-US"/>
        </w:rPr>
        <w:t>1</w:t>
      </w:r>
      <w:r w:rsidR="009E2F2F" w:rsidRPr="00602614">
        <w:rPr>
          <w:lang w:val="en-US"/>
        </w:rPr>
        <w:t xml:space="preserve"> with treatment</w:t>
      </w:r>
      <w:r w:rsidR="00C212C7" w:rsidRPr="00602614">
        <w:rPr>
          <w:lang w:val="en-US"/>
        </w:rPr>
        <w:t xml:space="preserve"> (1.33</w:t>
      </w:r>
      <w:r w:rsidR="00291148">
        <w:rPr>
          <w:lang w:val="en-US"/>
        </w:rPr>
        <w:t>%</w:t>
      </w:r>
      <w:r w:rsidR="00C212C7" w:rsidRPr="00602614">
        <w:rPr>
          <w:lang w:val="en-US"/>
        </w:rPr>
        <w:t>/year)</w:t>
      </w:r>
      <w:r w:rsidR="009E2F2F" w:rsidRPr="00602614">
        <w:rPr>
          <w:lang w:val="en-US"/>
        </w:rPr>
        <w:t xml:space="preserve"> being less than for best supportive care</w:t>
      </w:r>
      <w:r w:rsidR="00C212C7" w:rsidRPr="00602614">
        <w:rPr>
          <w:lang w:val="en-US"/>
        </w:rPr>
        <w:t xml:space="preserve"> (</w:t>
      </w:r>
      <w:r w:rsidR="00650240" w:rsidRPr="00602614">
        <w:rPr>
          <w:lang w:val="en-US"/>
        </w:rPr>
        <w:t>2.29</w:t>
      </w:r>
      <w:r w:rsidR="00291148">
        <w:rPr>
          <w:lang w:val="en-US"/>
        </w:rPr>
        <w:t>%</w:t>
      </w:r>
      <w:r w:rsidR="00650240" w:rsidRPr="00602614">
        <w:rPr>
          <w:lang w:val="en-US"/>
        </w:rPr>
        <w:t>/year)</w:t>
      </w:r>
      <w:r w:rsidR="009E2F2F" w:rsidRPr="00602614">
        <w:rPr>
          <w:lang w:val="en-US"/>
        </w:rPr>
        <w:t xml:space="preserve"> resulted in progressively larger </w:t>
      </w:r>
      <w:r w:rsidR="002108C4">
        <w:rPr>
          <w:lang w:val="en-US"/>
        </w:rPr>
        <w:t xml:space="preserve">absolute (i.e., arithmetic) </w:t>
      </w:r>
      <w:r w:rsidR="009E2F2F" w:rsidRPr="00602614">
        <w:rPr>
          <w:lang w:val="en-US"/>
        </w:rPr>
        <w:t>differences in ppFEV</w:t>
      </w:r>
      <w:r w:rsidR="009E2F2F" w:rsidRPr="009E7A37">
        <w:rPr>
          <w:vertAlign w:val="subscript"/>
          <w:lang w:val="en-US"/>
        </w:rPr>
        <w:t>1</w:t>
      </w:r>
      <w:r w:rsidR="009E2F2F" w:rsidRPr="00602614">
        <w:rPr>
          <w:lang w:val="en-US"/>
        </w:rPr>
        <w:t xml:space="preserve"> </w:t>
      </w:r>
      <w:r w:rsidR="00C212C7" w:rsidRPr="00602614">
        <w:rPr>
          <w:lang w:val="en-US"/>
        </w:rPr>
        <w:t xml:space="preserve">for the two treatment groups over the model duration (see Figure 1 for the impact over 2 years). </w:t>
      </w:r>
      <w:r w:rsidRPr="00602614">
        <w:rPr>
          <w:lang w:val="en-US"/>
        </w:rPr>
        <w:t>The model also assumed a 5</w:t>
      </w:r>
      <w:r w:rsidR="00935B5A" w:rsidRPr="00602614">
        <w:rPr>
          <w:lang w:val="en-US"/>
        </w:rPr>
        <w:t>6</w:t>
      </w:r>
      <w:r w:rsidRPr="00602614">
        <w:rPr>
          <w:lang w:val="en-US"/>
        </w:rPr>
        <w:t>% reduction in annual rate of pulmonary exacerbations requiring IV antibiotics or inpatient stays over the modelled time horizon</w:t>
      </w:r>
      <w:r w:rsidR="00D01DA5" w:rsidRPr="00602614">
        <w:rPr>
          <w:lang w:val="en-US"/>
        </w:rPr>
        <w:t xml:space="preserve"> (</w:t>
      </w:r>
      <w:r w:rsidR="007863A8" w:rsidRPr="00602614">
        <w:rPr>
          <w:lang w:val="en-US"/>
        </w:rPr>
        <w:t>paragraph 6.57, lumacaftor/</w:t>
      </w:r>
      <w:r w:rsidR="00D01DA5" w:rsidRPr="00602614">
        <w:rPr>
          <w:lang w:val="en-US"/>
        </w:rPr>
        <w:t xml:space="preserve">ivacaftor </w:t>
      </w:r>
      <w:r w:rsidR="00B57DAC">
        <w:rPr>
          <w:lang w:val="en-US"/>
        </w:rPr>
        <w:t>PSD</w:t>
      </w:r>
      <w:r w:rsidR="00D01DA5" w:rsidRPr="00602614">
        <w:rPr>
          <w:lang w:val="en-US"/>
        </w:rPr>
        <w:t>, July 2018 PBAC meeting)</w:t>
      </w:r>
      <w:r w:rsidRPr="00602614">
        <w:rPr>
          <w:lang w:val="en-US"/>
        </w:rPr>
        <w:t>.</w:t>
      </w:r>
    </w:p>
    <w:p w:rsidR="007F4A14" w:rsidRDefault="009213F9" w:rsidP="009E7A37">
      <w:pPr>
        <w:pStyle w:val="3-BodyText"/>
      </w:pPr>
      <w:r>
        <w:t>The PBAC noted Flume 2021</w:t>
      </w:r>
      <w:r w:rsidR="00602614">
        <w:t xml:space="preserve"> was the only additional study which</w:t>
      </w:r>
      <w:r>
        <w:t xml:space="preserve"> appropriately excluded the first 3 weeks of treatment </w:t>
      </w:r>
      <w:r w:rsidR="007863A8">
        <w:t xml:space="preserve">with </w:t>
      </w:r>
      <w:r w:rsidR="001F4775">
        <w:t>CFTR modulator treatment</w:t>
      </w:r>
      <w:r w:rsidR="00DA263C">
        <w:t xml:space="preserve"> </w:t>
      </w:r>
      <w:r>
        <w:t>to ensure the initial increase in ppFEV</w:t>
      </w:r>
      <w:r w:rsidRPr="00602614">
        <w:rPr>
          <w:vertAlign w:val="subscript"/>
        </w:rPr>
        <w:t>1</w:t>
      </w:r>
      <w:r>
        <w:t xml:space="preserve"> was not included in the rate of decline calculation</w:t>
      </w:r>
      <w:r w:rsidR="00C212C7">
        <w:t xml:space="preserve"> (i.e. the slope of the line as presented in Figure 1 for </w:t>
      </w:r>
      <w:proofErr w:type="spellStart"/>
      <w:r w:rsidR="00C212C7">
        <w:t>Konstan</w:t>
      </w:r>
      <w:proofErr w:type="spellEnd"/>
      <w:r w:rsidR="00C212C7">
        <w:t xml:space="preserve"> 2017)</w:t>
      </w:r>
      <w:r>
        <w:t>.</w:t>
      </w:r>
      <w:r w:rsidR="000A4FBA">
        <w:t xml:space="preserve"> </w:t>
      </w:r>
      <w:r w:rsidR="009E7A37" w:rsidRPr="009E7A37">
        <w:t xml:space="preserve">The PBAC noted </w:t>
      </w:r>
      <w:proofErr w:type="spellStart"/>
      <w:r w:rsidR="009E7A37" w:rsidRPr="009E7A37">
        <w:t>Konstan</w:t>
      </w:r>
      <w:proofErr w:type="spellEnd"/>
      <w:r w:rsidR="009E7A37" w:rsidRPr="009E7A37">
        <w:t xml:space="preserve"> 2017 and Flume 2021 compared patients previously enrolled and treated in clinical trials versus untreated </w:t>
      </w:r>
      <w:r w:rsidR="0064635D">
        <w:t xml:space="preserve">external </w:t>
      </w:r>
      <w:r w:rsidR="009E7A37" w:rsidRPr="009E7A37">
        <w:t xml:space="preserve">controls. Despite propensity matching, the PBAC considered these studies are at risk of residual confounding due to differences between those selected and willing for trial participation versus those who are not, as well as potential differences in care among study participants vs non-participants. </w:t>
      </w:r>
    </w:p>
    <w:p w:rsidR="000B6AD9" w:rsidRDefault="00650240" w:rsidP="000B6AD9">
      <w:pPr>
        <w:pStyle w:val="3-BodyText"/>
      </w:pPr>
      <w:r>
        <w:t>The PBAC noted for the remaining studies which did not exclude the</w:t>
      </w:r>
      <w:r w:rsidR="000B6AD9">
        <w:t xml:space="preserve"> initial increase in ppFEV</w:t>
      </w:r>
      <w:r w:rsidR="000B6AD9" w:rsidRPr="002C3749">
        <w:rPr>
          <w:vertAlign w:val="subscript"/>
        </w:rPr>
        <w:t>1</w:t>
      </w:r>
      <w:r w:rsidR="000B6AD9">
        <w:t xml:space="preserve">, </w:t>
      </w:r>
      <w:r>
        <w:t xml:space="preserve">the rate of decline with treatment </w:t>
      </w:r>
      <w:r w:rsidR="000B6AD9">
        <w:t xml:space="preserve">was underestimated </w:t>
      </w:r>
      <w:r>
        <w:t xml:space="preserve">and hence the </w:t>
      </w:r>
      <w:proofErr w:type="spellStart"/>
      <w:r>
        <w:t>rROD</w:t>
      </w:r>
      <w:proofErr w:type="spellEnd"/>
      <w:r w:rsidR="000B6AD9">
        <w:t xml:space="preserve"> was overestimated</w:t>
      </w:r>
      <w:r>
        <w:t xml:space="preserve">. </w:t>
      </w:r>
      <w:r w:rsidRPr="00083FD4">
        <w:t>Based on the original model assumptions (3% increase in ppFEV</w:t>
      </w:r>
      <w:r w:rsidRPr="00083FD4">
        <w:rPr>
          <w:vertAlign w:val="subscript"/>
        </w:rPr>
        <w:t>1</w:t>
      </w:r>
      <w:r w:rsidRPr="00083FD4">
        <w:t xml:space="preserve"> </w:t>
      </w:r>
      <w:r w:rsidR="00C757E0">
        <w:t xml:space="preserve">with </w:t>
      </w:r>
      <w:r w:rsidR="00C757E0" w:rsidRPr="00C825A8">
        <w:t xml:space="preserve">lumacaftor/ivacaftor </w:t>
      </w:r>
      <w:r w:rsidRPr="00083FD4">
        <w:t>followed by annual decline</w:t>
      </w:r>
      <w:r w:rsidR="00C757E0">
        <w:t xml:space="preserve"> in ppFEV</w:t>
      </w:r>
      <w:r w:rsidR="00C757E0" w:rsidRPr="00C757E0">
        <w:rPr>
          <w:vertAlign w:val="subscript"/>
        </w:rPr>
        <w:t>1</w:t>
      </w:r>
      <w:r w:rsidRPr="00083FD4">
        <w:t xml:space="preserve"> of 1.33%), the ppFEV</w:t>
      </w:r>
      <w:r w:rsidRPr="00083FD4">
        <w:rPr>
          <w:vertAlign w:val="subscript"/>
        </w:rPr>
        <w:t>1</w:t>
      </w:r>
      <w:r w:rsidRPr="00083FD4">
        <w:t xml:space="preserve"> will not decline to the baseline </w:t>
      </w:r>
      <w:r w:rsidR="000B6AD9" w:rsidRPr="00083FD4">
        <w:t xml:space="preserve">(prior to treatment) </w:t>
      </w:r>
      <w:r w:rsidRPr="00083FD4">
        <w:t xml:space="preserve">value until after </w:t>
      </w:r>
      <w:r w:rsidR="000B6AD9" w:rsidRPr="00083FD4">
        <w:t xml:space="preserve">more than </w:t>
      </w:r>
      <w:r w:rsidRPr="00083FD4">
        <w:t>2 years of treatment (initial increase 3%, end year 1</w:t>
      </w:r>
      <w:r w:rsidR="000B6AD9" w:rsidRPr="00083FD4">
        <w:t xml:space="preserve"> vs baseline</w:t>
      </w:r>
      <w:r w:rsidRPr="00083FD4">
        <w:t>: 1.67</w:t>
      </w:r>
      <w:r w:rsidR="000B6AD9" w:rsidRPr="00083FD4">
        <w:t>% increase [3.0-1.33]</w:t>
      </w:r>
      <w:r w:rsidRPr="00083FD4">
        <w:t>, end year 2</w:t>
      </w:r>
      <w:r w:rsidR="000B6AD9" w:rsidRPr="00083FD4">
        <w:t xml:space="preserve"> vs baseline</w:t>
      </w:r>
      <w:r w:rsidRPr="00083FD4">
        <w:t>:</w:t>
      </w:r>
      <w:r w:rsidR="000B6AD9" w:rsidRPr="00083FD4">
        <w:t xml:space="preserve"> </w:t>
      </w:r>
      <w:r w:rsidRPr="00083FD4">
        <w:t>0.34</w:t>
      </w:r>
      <w:r w:rsidR="000B6AD9" w:rsidRPr="00083FD4">
        <w:t>% increase</w:t>
      </w:r>
      <w:r w:rsidR="000A4FBA">
        <w:t xml:space="preserve"> </w:t>
      </w:r>
      <w:r w:rsidR="000B6AD9" w:rsidRPr="00083FD4">
        <w:t>[1.67-1.33]</w:t>
      </w:r>
      <w:r w:rsidRPr="00083FD4">
        <w:t>). Thus for studies with a</w:t>
      </w:r>
      <w:r w:rsidR="000B6AD9" w:rsidRPr="00083FD4">
        <w:t xml:space="preserve"> follow-up of less than 2 years, there should be an overall improvement in ppFEV</w:t>
      </w:r>
      <w:r w:rsidR="000B6AD9" w:rsidRPr="00083FD4">
        <w:rPr>
          <w:vertAlign w:val="subscript"/>
        </w:rPr>
        <w:t>1</w:t>
      </w:r>
      <w:r w:rsidR="000B6AD9" w:rsidRPr="00083FD4">
        <w:t xml:space="preserve"> </w:t>
      </w:r>
      <w:r w:rsidR="00602614" w:rsidRPr="00083FD4">
        <w:t xml:space="preserve">with treatment </w:t>
      </w:r>
      <w:r w:rsidR="000B6AD9" w:rsidRPr="00083FD4">
        <w:t xml:space="preserve">versus baseline, and the </w:t>
      </w:r>
      <w:proofErr w:type="spellStart"/>
      <w:r w:rsidR="000B6AD9" w:rsidRPr="00083FD4">
        <w:t>rROD</w:t>
      </w:r>
      <w:proofErr w:type="spellEnd"/>
      <w:r w:rsidR="000B6AD9" w:rsidRPr="00083FD4">
        <w:t xml:space="preserve"> should be &gt;100%.</w:t>
      </w:r>
    </w:p>
    <w:p w:rsidR="005B3681" w:rsidRDefault="00E7557F" w:rsidP="00C40B7F">
      <w:pPr>
        <w:pStyle w:val="3-BodyText"/>
      </w:pPr>
      <w:r>
        <w:t>The PBAC noted that a total of 11 studies were included in the submission of which only t</w:t>
      </w:r>
      <w:r w:rsidR="00D97160">
        <w:t>hree</w:t>
      </w:r>
      <w:r>
        <w:t xml:space="preserve"> </w:t>
      </w:r>
      <w:r w:rsidR="004811DD">
        <w:t xml:space="preserve">(Flume 2021, </w:t>
      </w:r>
      <w:proofErr w:type="spellStart"/>
      <w:r w:rsidR="004811DD">
        <w:t>Muilwijk</w:t>
      </w:r>
      <w:proofErr w:type="spellEnd"/>
      <w:r w:rsidR="004811DD">
        <w:t xml:space="preserve"> 2020 and PASS 108) </w:t>
      </w:r>
      <w:r>
        <w:t>provided data over more than 2 years of follow-up</w:t>
      </w:r>
      <w:r w:rsidR="004811DD">
        <w:t>.</w:t>
      </w:r>
      <w:r w:rsidR="000A4FBA">
        <w:t xml:space="preserve"> </w:t>
      </w:r>
      <w:r>
        <w:t xml:space="preserve">The PBAC further noted that </w:t>
      </w:r>
      <w:r w:rsidR="00F86ACA">
        <w:t>5</w:t>
      </w:r>
      <w:r w:rsidR="00D97160">
        <w:t xml:space="preserve"> </w:t>
      </w:r>
      <w:r w:rsidR="001F4775">
        <w:t>s</w:t>
      </w:r>
      <w:r w:rsidR="00F9180F">
        <w:t xml:space="preserve">tudies were </w:t>
      </w:r>
      <w:r w:rsidR="00D97160">
        <w:t xml:space="preserve">either </w:t>
      </w:r>
      <w:r w:rsidR="00F9180F">
        <w:t xml:space="preserve">available </w:t>
      </w:r>
      <w:r w:rsidR="00EA03FB">
        <w:t xml:space="preserve">in </w:t>
      </w:r>
      <w:r w:rsidR="00F9180F">
        <w:t>abstract</w:t>
      </w:r>
      <w:r w:rsidR="00EA03FB">
        <w:t xml:space="preserve"> form</w:t>
      </w:r>
      <w:r w:rsidR="00F9180F">
        <w:t xml:space="preserve"> only</w:t>
      </w:r>
      <w:r w:rsidR="00D97160">
        <w:t xml:space="preserve"> or provided </w:t>
      </w:r>
      <w:r w:rsidR="00EA16E8">
        <w:t>limited information regarding</w:t>
      </w:r>
      <w:r w:rsidR="00343939">
        <w:t xml:space="preserve"> study</w:t>
      </w:r>
      <w:r w:rsidR="00EA16E8">
        <w:t xml:space="preserve"> methodology</w:t>
      </w:r>
      <w:r w:rsidR="00602614">
        <w:t>.</w:t>
      </w:r>
      <w:r w:rsidR="00EA16E8">
        <w:t xml:space="preserve"> </w:t>
      </w:r>
      <w:r w:rsidR="00C40B7F" w:rsidRPr="00C40B7F">
        <w:t xml:space="preserve">The PBAC considered the risk of confounding was exacerbated in all studies by only </w:t>
      </w:r>
      <w:r w:rsidR="00C40B7F" w:rsidRPr="00C40B7F">
        <w:lastRenderedPageBreak/>
        <w:t xml:space="preserve">including patients who remained on treatment for the follow-up period (i.e. continuers), as it is not possible to identify the patients equivalent to the ‘continuers’ in the control group. The PBAC noted if continuers have a better baseline disease trajectory than patients </w:t>
      </w:r>
      <w:r w:rsidR="009E735B">
        <w:t>who</w:t>
      </w:r>
      <w:r w:rsidR="009E735B" w:rsidRPr="00C40B7F">
        <w:t xml:space="preserve"> </w:t>
      </w:r>
      <w:r w:rsidR="00C40B7F" w:rsidRPr="00C40B7F">
        <w:t>discontinue treatment, any benefit of treatment will be over-estimated.</w:t>
      </w:r>
      <w:r w:rsidR="00C40B7F">
        <w:t xml:space="preserve"> </w:t>
      </w:r>
      <w:r w:rsidR="00EE4319">
        <w:t>The PBAC considered</w:t>
      </w:r>
      <w:r w:rsidR="00EE4319" w:rsidRPr="005B3681">
        <w:t xml:space="preserve"> </w:t>
      </w:r>
      <w:r w:rsidR="00F9180F">
        <w:t>all</w:t>
      </w:r>
      <w:r w:rsidR="00EE4319">
        <w:t xml:space="preserve"> studies</w:t>
      </w:r>
      <w:r w:rsidR="00F9180F">
        <w:t xml:space="preserve"> were subject to </w:t>
      </w:r>
      <w:r w:rsidR="000153B4">
        <w:t xml:space="preserve">significant </w:t>
      </w:r>
      <w:r w:rsidR="001F4775">
        <w:t>limitations</w:t>
      </w:r>
      <w:r w:rsidR="005B3681" w:rsidRPr="005B3681">
        <w:t xml:space="preserve">. </w:t>
      </w:r>
    </w:p>
    <w:p w:rsidR="00EE4319" w:rsidRDefault="009942CB" w:rsidP="002C3749">
      <w:pPr>
        <w:pStyle w:val="3-BodyText"/>
      </w:pPr>
      <w:r>
        <w:t xml:space="preserve">The PBAC </w:t>
      </w:r>
      <w:r w:rsidR="00EE4319">
        <w:t>noted that</w:t>
      </w:r>
      <w:r w:rsidR="000A4FBA">
        <w:t xml:space="preserve"> </w:t>
      </w:r>
      <w:r w:rsidR="00EE4319">
        <w:t xml:space="preserve">only the </w:t>
      </w:r>
      <w:r w:rsidR="002E6A35" w:rsidRPr="002E6A35">
        <w:t xml:space="preserve">PASS 108 </w:t>
      </w:r>
      <w:r w:rsidR="00EE4319">
        <w:t xml:space="preserve">study </w:t>
      </w:r>
      <w:r w:rsidR="002E6A35" w:rsidRPr="002E6A35">
        <w:t xml:space="preserve">provided </w:t>
      </w:r>
      <w:r w:rsidR="00EE4319">
        <w:t xml:space="preserve">data over a longer follow-up period than </w:t>
      </w:r>
      <w:proofErr w:type="spellStart"/>
      <w:r w:rsidR="00EE4319">
        <w:t>Konstan</w:t>
      </w:r>
      <w:proofErr w:type="spellEnd"/>
      <w:r w:rsidR="00EE4319">
        <w:t xml:space="preserve"> 2017 and hence potentially </w:t>
      </w:r>
      <w:r w:rsidR="00C65160">
        <w:t>inform</w:t>
      </w:r>
      <w:r w:rsidR="00EE4319">
        <w:t>ed</w:t>
      </w:r>
      <w:r w:rsidR="00C65160">
        <w:t xml:space="preserve"> </w:t>
      </w:r>
      <w:r>
        <w:t xml:space="preserve">the </w:t>
      </w:r>
      <w:r w:rsidRPr="009104C8">
        <w:t>medium term</w:t>
      </w:r>
      <w:r w:rsidR="00EB4A68">
        <w:t xml:space="preserve"> effect</w:t>
      </w:r>
      <w:r>
        <w:t xml:space="preserve"> of lumacaftor/ivacaftor</w:t>
      </w:r>
      <w:r w:rsidR="0097428F">
        <w:t xml:space="preserve">. </w:t>
      </w:r>
      <w:r w:rsidR="002C3749" w:rsidRPr="002C3749">
        <w:t>The PBAC noted the limitations of the PASS 108 study included the assumption that treated homozygous and untreated heterozygous F508del patients are exchangeable</w:t>
      </w:r>
      <w:r w:rsidR="003C330C">
        <w:t xml:space="preserve"> and </w:t>
      </w:r>
      <w:r w:rsidR="002C3749" w:rsidRPr="002C3749">
        <w:t>the high proportion of pat</w:t>
      </w:r>
      <w:r w:rsidR="002C3749">
        <w:t xml:space="preserve">ients excluded from the lumacaftor/ivacaftor </w:t>
      </w:r>
      <w:r w:rsidR="002C3749" w:rsidRPr="002C3749">
        <w:t>cohort, including one-third of patients who switched treatment to another</w:t>
      </w:r>
      <w:r w:rsidR="002C3749">
        <w:t xml:space="preserve"> CFTR modulator, mainly tezacaftor/ivacaftor (</w:t>
      </w:r>
      <w:r w:rsidR="002C3749" w:rsidRPr="008A4C5E">
        <w:t>paragraph 4.14)</w:t>
      </w:r>
      <w:r w:rsidR="003C330C" w:rsidRPr="008A4C5E">
        <w:t>.</w:t>
      </w:r>
      <w:r w:rsidR="002C3749" w:rsidRPr="002C3749">
        <w:t xml:space="preserve"> The PBAC noted that if the </w:t>
      </w:r>
      <w:r w:rsidR="009E735B">
        <w:t xml:space="preserve">baseline </w:t>
      </w:r>
      <w:r w:rsidR="002C3749" w:rsidRPr="002C3749">
        <w:t>disease trajectory is better in the included versus excluded p</w:t>
      </w:r>
      <w:r w:rsidR="002C3749">
        <w:t xml:space="preserve">atients, the benefit of lumacaftor/ivacaftor </w:t>
      </w:r>
      <w:r w:rsidR="002C3749" w:rsidRPr="002C3749">
        <w:t xml:space="preserve">treatment will have been overestimated, and overall considered the results </w:t>
      </w:r>
      <w:r w:rsidR="00CE40D1">
        <w:t xml:space="preserve">did not reduce uncertainty in the long-term </w:t>
      </w:r>
      <w:proofErr w:type="spellStart"/>
      <w:r w:rsidR="00CE40D1">
        <w:t>rROD</w:t>
      </w:r>
      <w:proofErr w:type="spellEnd"/>
      <w:r w:rsidR="00CE40D1">
        <w:t xml:space="preserve"> in the economic model. </w:t>
      </w:r>
    </w:p>
    <w:p w:rsidR="003E3497" w:rsidRDefault="007D660B" w:rsidP="001D4075">
      <w:pPr>
        <w:pStyle w:val="3-BodyText"/>
      </w:pPr>
      <w:r>
        <w:t xml:space="preserve">The PBAC noted </w:t>
      </w:r>
      <w:r w:rsidR="00012B99">
        <w:t xml:space="preserve">that, based on the PASS 108 study, </w:t>
      </w:r>
      <w:r>
        <w:t xml:space="preserve">the </w:t>
      </w:r>
      <w:r w:rsidR="00A9430A">
        <w:t>change from baseline in ppFEV</w:t>
      </w:r>
      <w:r w:rsidR="00A9430A" w:rsidRPr="001B2A94">
        <w:rPr>
          <w:vertAlign w:val="subscript"/>
        </w:rPr>
        <w:t>1</w:t>
      </w:r>
      <w:r w:rsidR="00A9430A">
        <w:t xml:space="preserve"> was -</w:t>
      </w:r>
      <w:r w:rsidR="001F4775">
        <w:t>3.9</w:t>
      </w:r>
      <w:r w:rsidR="002D365D">
        <w:t>%</w:t>
      </w:r>
      <w:r w:rsidR="00A9430A">
        <w:t xml:space="preserve"> for patients </w:t>
      </w:r>
      <w:r w:rsidR="001F4775">
        <w:t xml:space="preserve">over 6 years of age </w:t>
      </w:r>
      <w:r w:rsidR="00A9430A">
        <w:t>treated with lumacaftor/ivacaftor compared to -7</w:t>
      </w:r>
      <w:r w:rsidR="001F4775">
        <w:t>.2</w:t>
      </w:r>
      <w:r w:rsidR="002D365D">
        <w:t>%</w:t>
      </w:r>
      <w:r w:rsidR="00A9430A">
        <w:t xml:space="preserve"> for patients who were not treated over 4.75 years</w:t>
      </w:r>
      <w:r w:rsidR="00012B99">
        <w:t>.</w:t>
      </w:r>
      <w:r>
        <w:t xml:space="preserve"> </w:t>
      </w:r>
      <w:r w:rsidR="00B25BD3">
        <w:t xml:space="preserve">The PBAC noted </w:t>
      </w:r>
      <w:r w:rsidR="001E5D9A">
        <w:t xml:space="preserve">based on the economic model </w:t>
      </w:r>
      <w:r w:rsidR="001B2A94">
        <w:t>that a 7-8% difference in ppFEV</w:t>
      </w:r>
      <w:r w:rsidR="001B2A94" w:rsidRPr="00D656D2">
        <w:rPr>
          <w:vertAlign w:val="subscript"/>
        </w:rPr>
        <w:t>1</w:t>
      </w:r>
      <w:r w:rsidR="001B2A94">
        <w:t xml:space="preserve"> would be expected across the treatment groups</w:t>
      </w:r>
      <w:r w:rsidR="00514972">
        <w:t xml:space="preserve"> at 4.75 years</w:t>
      </w:r>
      <w:r w:rsidR="00467258">
        <w:t>. Ho</w:t>
      </w:r>
      <w:r w:rsidR="001B2A94">
        <w:t>wever</w:t>
      </w:r>
      <w:r w:rsidR="00514972">
        <w:t>,</w:t>
      </w:r>
      <w:r w:rsidR="001B2A94">
        <w:t xml:space="preserve"> the observed difference in the PASS 108 study was 3.3% (7.2%-3.9%).</w:t>
      </w:r>
      <w:r w:rsidR="000C5168">
        <w:t xml:space="preserve">The PBAC </w:t>
      </w:r>
      <w:r w:rsidR="00684264">
        <w:t xml:space="preserve">noted </w:t>
      </w:r>
      <w:r w:rsidR="000C5168">
        <w:t xml:space="preserve">the data from PASS 108 </w:t>
      </w:r>
      <w:r w:rsidR="00F82DEA">
        <w:t>were inconsistent with an initial increase in ppFEV</w:t>
      </w:r>
      <w:r w:rsidR="00F82DEA" w:rsidRPr="001B2A94">
        <w:rPr>
          <w:vertAlign w:val="subscript"/>
        </w:rPr>
        <w:t>1</w:t>
      </w:r>
      <w:r w:rsidR="00F82DEA">
        <w:t xml:space="preserve"> of 3.0% as well as a</w:t>
      </w:r>
      <w:r w:rsidR="000C5168" w:rsidRPr="000C5168">
        <w:t xml:space="preserve"> reduction in the rate of decline</w:t>
      </w:r>
      <w:r w:rsidR="003E3497">
        <w:t xml:space="preserve"> beyond the initial increase</w:t>
      </w:r>
      <w:r w:rsidR="000C5168" w:rsidRPr="000C5168">
        <w:t xml:space="preserve"> </w:t>
      </w:r>
      <w:r w:rsidR="009E0B1F">
        <w:t>of</w:t>
      </w:r>
      <w:r w:rsidR="009E0B1F" w:rsidRPr="000C5168">
        <w:t xml:space="preserve"> </w:t>
      </w:r>
      <w:r w:rsidR="000C5168" w:rsidRPr="000C5168">
        <w:t>&lt;42%</w:t>
      </w:r>
      <w:r w:rsidR="000C5168">
        <w:t xml:space="preserve">. </w:t>
      </w:r>
      <w:r w:rsidR="003E3497">
        <w:t>The PBAC noted if the initial increase in ppFEV</w:t>
      </w:r>
      <w:r w:rsidR="003E3497" w:rsidRPr="001B2A94">
        <w:rPr>
          <w:vertAlign w:val="subscript"/>
        </w:rPr>
        <w:t>1</w:t>
      </w:r>
      <w:r w:rsidR="003E3497">
        <w:t xml:space="preserve"> was 3% </w:t>
      </w:r>
      <w:r w:rsidR="009E735B">
        <w:t xml:space="preserve">over 24 weeks as assumed in the economic model, </w:t>
      </w:r>
      <w:r w:rsidR="003E3497">
        <w:t xml:space="preserve">the </w:t>
      </w:r>
      <w:proofErr w:type="spellStart"/>
      <w:r w:rsidR="003E3497">
        <w:t>rROD</w:t>
      </w:r>
      <w:proofErr w:type="spellEnd"/>
      <w:r w:rsidR="003E3497">
        <w:t xml:space="preserve"> </w:t>
      </w:r>
      <w:r w:rsidR="009E735B">
        <w:t xml:space="preserve">after 24 weeks of therapy </w:t>
      </w:r>
      <w:r w:rsidR="003E3497">
        <w:t xml:space="preserve">would be substantially less than the 45.8% reported in the submission. </w:t>
      </w:r>
    </w:p>
    <w:p w:rsidR="00317E48" w:rsidRDefault="007E472D" w:rsidP="00A36E31">
      <w:pPr>
        <w:pStyle w:val="3-BodyText"/>
      </w:pPr>
      <w:r>
        <w:t>The PBAC noted the</w:t>
      </w:r>
      <w:r w:rsidR="008A4C5E">
        <w:t xml:space="preserve"> </w:t>
      </w:r>
      <w:r>
        <w:t xml:space="preserve">reduction in pulmonary exacerbations </w:t>
      </w:r>
      <w:r w:rsidR="002573A2">
        <w:t xml:space="preserve">observed </w:t>
      </w:r>
      <w:r w:rsidR="00D676C6">
        <w:t xml:space="preserve">in the PASS 108 study </w:t>
      </w:r>
      <w:r w:rsidR="002573A2">
        <w:t>(adjusted</w:t>
      </w:r>
      <w:r w:rsidR="008A4C5E">
        <w:t xml:space="preserve"> odds ratio </w:t>
      </w:r>
      <w:r w:rsidR="002573A2">
        <w:t xml:space="preserve"> of 0.7</w:t>
      </w:r>
      <w:r w:rsidR="009E735B">
        <w:t>0</w:t>
      </w:r>
      <w:r w:rsidR="002573A2">
        <w:t>)</w:t>
      </w:r>
      <w:r>
        <w:t xml:space="preserve"> </w:t>
      </w:r>
      <w:r w:rsidR="002573A2">
        <w:t>was</w:t>
      </w:r>
      <w:r>
        <w:t xml:space="preserve"> less than the reduction </w:t>
      </w:r>
      <w:r w:rsidR="002573A2">
        <w:t xml:space="preserve">assumed </w:t>
      </w:r>
      <w:r>
        <w:t>in the</w:t>
      </w:r>
      <w:r w:rsidR="002573A2">
        <w:t xml:space="preserve"> original</w:t>
      </w:r>
      <w:r>
        <w:t xml:space="preserve"> economic model that informed the cost effectiveness of lumacaftor/ivacaftor</w:t>
      </w:r>
      <w:r w:rsidR="002573A2">
        <w:t xml:space="preserve"> (</w:t>
      </w:r>
      <w:r w:rsidR="008A4C5E">
        <w:t>relative risk of 0.44</w:t>
      </w:r>
      <w:r w:rsidR="002573A2">
        <w:t>)</w:t>
      </w:r>
      <w:r w:rsidR="002D365D">
        <w:t>.</w:t>
      </w:r>
    </w:p>
    <w:p w:rsidR="00D378F6" w:rsidRPr="000C5168" w:rsidRDefault="008A27FD" w:rsidP="002E6A35">
      <w:pPr>
        <w:pStyle w:val="3-BodyText"/>
      </w:pPr>
      <w:r>
        <w:t>The PBAC noted the e</w:t>
      </w:r>
      <w:r w:rsidR="00D378F6">
        <w:t>conomic model</w:t>
      </w:r>
      <w:r>
        <w:t xml:space="preserve"> provided with the submission assumed a </w:t>
      </w:r>
      <w:r w:rsidR="00982F0B">
        <w:t xml:space="preserve">relative </w:t>
      </w:r>
      <w:r>
        <w:t>rate of decline of ppFEV</w:t>
      </w:r>
      <w:r w:rsidRPr="008A27FD">
        <w:rPr>
          <w:vertAlign w:val="subscript"/>
        </w:rPr>
        <w:t>1</w:t>
      </w:r>
      <w:r>
        <w:t xml:space="preserve"> of 55.7% after the initial 24 weeks of treatment based on a pooled estimate from 5 studies. T</w:t>
      </w:r>
      <w:r w:rsidR="0032610B">
        <w:t>he PBAC noted</w:t>
      </w:r>
      <w:r w:rsidR="00467258">
        <w:t xml:space="preserve"> four</w:t>
      </w:r>
      <w:r w:rsidR="0032610B">
        <w:t xml:space="preserve"> of the </w:t>
      </w:r>
      <w:r w:rsidR="00467258">
        <w:t xml:space="preserve">five </w:t>
      </w:r>
      <w:r w:rsidR="0032610B">
        <w:t>studies included the initial increase in ppFEV</w:t>
      </w:r>
      <w:r w:rsidR="0032610B" w:rsidRPr="0032610B">
        <w:rPr>
          <w:vertAlign w:val="subscript"/>
        </w:rPr>
        <w:t>1</w:t>
      </w:r>
      <w:r w:rsidR="0032610B">
        <w:t xml:space="preserve"> in the slope estimation for the rate of decline calculation which is inconsistent with the structure of the economic model</w:t>
      </w:r>
      <w:r w:rsidR="00982F0B">
        <w:t xml:space="preserve"> </w:t>
      </w:r>
      <w:r w:rsidR="00174AD4">
        <w:t xml:space="preserve">(which modelled the initial increase </w:t>
      </w:r>
      <w:r w:rsidR="00174AD4" w:rsidRPr="000C5168">
        <w:t xml:space="preserve">separately) </w:t>
      </w:r>
      <w:r w:rsidR="00982F0B" w:rsidRPr="000C5168">
        <w:t>and likely to overestimate the relative rate of decline</w:t>
      </w:r>
      <w:r w:rsidR="0032610B" w:rsidRPr="000C5168">
        <w:t>.</w:t>
      </w:r>
      <w:r w:rsidR="000A4FBA">
        <w:t xml:space="preserve"> </w:t>
      </w:r>
    </w:p>
    <w:p w:rsidR="00D378F6" w:rsidRPr="000C5168" w:rsidRDefault="00982F0B" w:rsidP="002E6A35">
      <w:pPr>
        <w:pStyle w:val="3-BodyText"/>
      </w:pPr>
      <w:r w:rsidRPr="000C5168">
        <w:t>The PBAC considered the analysis of t</w:t>
      </w:r>
      <w:r w:rsidR="00AE316E" w:rsidRPr="000C5168">
        <w:t xml:space="preserve">he ACFDR </w:t>
      </w:r>
      <w:r w:rsidR="000C5168">
        <w:t xml:space="preserve">data </w:t>
      </w:r>
      <w:r w:rsidR="00174AD4" w:rsidRPr="000C5168">
        <w:t>provided weak evidence of an initial increase in ppFEV</w:t>
      </w:r>
      <w:r w:rsidR="00174AD4" w:rsidRPr="000C5168">
        <w:rPr>
          <w:vertAlign w:val="subscript"/>
        </w:rPr>
        <w:t>1</w:t>
      </w:r>
      <w:r w:rsidR="00174AD4" w:rsidRPr="000C5168">
        <w:t xml:space="preserve"> but not a sustained reduction in rate of decline over</w:t>
      </w:r>
      <w:r w:rsidR="00C42369" w:rsidRPr="000C5168">
        <w:t xml:space="preserve"> time.</w:t>
      </w:r>
      <w:r w:rsidR="000A4FBA">
        <w:t xml:space="preserve"> </w:t>
      </w:r>
      <w:r w:rsidR="00011A68">
        <w:rPr>
          <w:iCs/>
        </w:rPr>
        <w:t>The PBAC noted the annual change in ppFEV</w:t>
      </w:r>
      <w:r w:rsidR="00011A68" w:rsidRPr="00D864B9">
        <w:rPr>
          <w:iCs/>
          <w:vertAlign w:val="subscript"/>
        </w:rPr>
        <w:t>1</w:t>
      </w:r>
      <w:r w:rsidR="00011A68">
        <w:rPr>
          <w:iCs/>
        </w:rPr>
        <w:t xml:space="preserve"> per year in the first 15 months of treatment was +1.31%.</w:t>
      </w:r>
      <w:r w:rsidR="000A4FBA">
        <w:rPr>
          <w:iCs/>
        </w:rPr>
        <w:t xml:space="preserve"> </w:t>
      </w:r>
    </w:p>
    <w:p w:rsidR="00D378F6" w:rsidRPr="000C5168" w:rsidRDefault="00AE316E" w:rsidP="00D656D2">
      <w:pPr>
        <w:pStyle w:val="3-BodyText"/>
      </w:pPr>
      <w:r w:rsidRPr="000C5168">
        <w:lastRenderedPageBreak/>
        <w:t xml:space="preserve">The PBAC acknowledged </w:t>
      </w:r>
      <w:r w:rsidR="00136DBA">
        <w:t xml:space="preserve">that, as anticipated (paragraph 6.78, lumacaftor/ivacaftor PSD, July 2018 PBAC meeting), </w:t>
      </w:r>
      <w:r w:rsidR="000C5168">
        <w:t xml:space="preserve">providing data with </w:t>
      </w:r>
      <w:r w:rsidR="00D378F6" w:rsidRPr="000C5168">
        <w:t xml:space="preserve">longer follow up </w:t>
      </w:r>
      <w:r w:rsidR="00136DBA">
        <w:t xml:space="preserve">may be limited by the </w:t>
      </w:r>
      <w:r w:rsidR="000C5168">
        <w:t>availability of new CFTR modulators.</w:t>
      </w:r>
      <w:r w:rsidR="000A4FBA">
        <w:t xml:space="preserve"> </w:t>
      </w:r>
      <w:r w:rsidR="00D656D2" w:rsidRPr="00D656D2">
        <w:t xml:space="preserve">However, the PBAC considered it </w:t>
      </w:r>
      <w:r w:rsidR="00914887">
        <w:t xml:space="preserve">may </w:t>
      </w:r>
      <w:r w:rsidR="00D656D2" w:rsidRPr="00D656D2">
        <w:t xml:space="preserve">have been appropriate to explore using longer term data </w:t>
      </w:r>
      <w:r w:rsidR="00B776D6">
        <w:t xml:space="preserve">from the US CFFPR </w:t>
      </w:r>
      <w:r w:rsidR="00D656D2" w:rsidRPr="00D656D2">
        <w:t>for patients treated continuously with lumacaftor/ivacaftor and tezacaftor/ivacaftor through consecutive periods of treatment, especially given that tezacaftor/ivacaftor was recommended on a cost-minimisation basis versus lumacaftor/ivacaftor.</w:t>
      </w:r>
    </w:p>
    <w:p w:rsidR="0048702A" w:rsidRDefault="00D82999" w:rsidP="0048702A">
      <w:pPr>
        <w:pStyle w:val="3-BodyText"/>
      </w:pPr>
      <w:r w:rsidRPr="000C5168">
        <w:t xml:space="preserve">The PBAC considered the assumption that </w:t>
      </w:r>
      <w:r>
        <w:t xml:space="preserve">treatment with lumacaftor/ivacaftor or tezacaftor/ivacaftor provided </w:t>
      </w:r>
      <w:r w:rsidRPr="000C5168">
        <w:t>a relative rate of decline in ppFEV</w:t>
      </w:r>
      <w:r w:rsidRPr="000C5168">
        <w:rPr>
          <w:vertAlign w:val="subscript"/>
        </w:rPr>
        <w:t>1</w:t>
      </w:r>
      <w:r w:rsidRPr="000C5168">
        <w:t xml:space="preserve"> of 42% </w:t>
      </w:r>
      <w:r>
        <w:t xml:space="preserve">compared to BSC </w:t>
      </w:r>
      <w:r w:rsidRPr="000C5168">
        <w:t>was sustained in the long term has not been adequately substantiated</w:t>
      </w:r>
      <w:r>
        <w:t>, based on the data provided by the sponsor to date</w:t>
      </w:r>
      <w:r w:rsidRPr="000C5168">
        <w:t xml:space="preserve">. </w:t>
      </w:r>
    </w:p>
    <w:p w:rsidR="00276A2D" w:rsidRDefault="00D82999" w:rsidP="00D76B54">
      <w:pPr>
        <w:pStyle w:val="3-BodyText"/>
      </w:pPr>
      <w:r w:rsidRPr="000C5168">
        <w:t>The PBAC advised</w:t>
      </w:r>
      <w:r w:rsidR="009E1E18">
        <w:t xml:space="preserve"> that in accordance with the Deed</w:t>
      </w:r>
      <w:r>
        <w:t xml:space="preserve"> the sponsor </w:t>
      </w:r>
      <w:r w:rsidRPr="00D76B54">
        <w:t xml:space="preserve">should provide evidence </w:t>
      </w:r>
      <w:r w:rsidR="009E1E18">
        <w:t xml:space="preserve">and data </w:t>
      </w:r>
      <w:r w:rsidRPr="00D76B54">
        <w:t xml:space="preserve">that there is a sustained reduction in the rate of decline in </w:t>
      </w:r>
      <w:r>
        <w:t>pp</w:t>
      </w:r>
      <w:r w:rsidRPr="00D76B54">
        <w:t>FEV</w:t>
      </w:r>
      <w:r w:rsidRPr="0017622B">
        <w:rPr>
          <w:vertAlign w:val="subscript"/>
        </w:rPr>
        <w:t>1</w:t>
      </w:r>
      <w:r w:rsidRPr="00D76B54">
        <w:t xml:space="preserve"> for up to </w:t>
      </w:r>
      <w:r>
        <w:t>four</w:t>
      </w:r>
      <w:r w:rsidRPr="00D76B54">
        <w:t xml:space="preserve"> years (excluding any initial impr</w:t>
      </w:r>
      <w:r>
        <w:t>ovement in ppFEV</w:t>
      </w:r>
      <w:r w:rsidRPr="0017622B">
        <w:rPr>
          <w:vertAlign w:val="subscript"/>
        </w:rPr>
        <w:t>1</w:t>
      </w:r>
      <w:r>
        <w:t xml:space="preserve">). </w:t>
      </w:r>
      <w:r w:rsidR="005236E3">
        <w:t>The PBAC considered</w:t>
      </w:r>
      <w:r>
        <w:t xml:space="preserve"> that, at a minimum,</w:t>
      </w:r>
      <w:r w:rsidR="005236E3">
        <w:t xml:space="preserve"> the following information </w:t>
      </w:r>
      <w:r w:rsidR="00E10416">
        <w:t xml:space="preserve">pertaining to the PASS 108 study </w:t>
      </w:r>
      <w:r w:rsidR="005236E3">
        <w:t xml:space="preserve">should be provided in </w:t>
      </w:r>
      <w:r>
        <w:t xml:space="preserve">the </w:t>
      </w:r>
      <w:r w:rsidR="005236E3">
        <w:t xml:space="preserve">resubmission: </w:t>
      </w:r>
    </w:p>
    <w:p w:rsidR="00E10416" w:rsidRDefault="00C751A9" w:rsidP="00E10416">
      <w:pPr>
        <w:pStyle w:val="3-BodyText"/>
        <w:numPr>
          <w:ilvl w:val="0"/>
          <w:numId w:val="9"/>
        </w:numPr>
        <w:ind w:left="993" w:hanging="284"/>
      </w:pPr>
      <w:r>
        <w:t xml:space="preserve">The ROD and </w:t>
      </w:r>
      <w:proofErr w:type="spellStart"/>
      <w:r>
        <w:t>rROD</w:t>
      </w:r>
      <w:proofErr w:type="spellEnd"/>
      <w:r>
        <w:t xml:space="preserve"> f</w:t>
      </w:r>
      <w:r w:rsidR="00E10416">
        <w:t xml:space="preserve">or the </w:t>
      </w:r>
      <w:r w:rsidR="00B776D6">
        <w:t xml:space="preserve">Year 3 </w:t>
      </w:r>
      <w:proofErr w:type="spellStart"/>
      <w:r w:rsidR="00E10416">
        <w:t>Orkambi</w:t>
      </w:r>
      <w:proofErr w:type="spellEnd"/>
      <w:r w:rsidR="00E10416">
        <w:t xml:space="preserve"> Disease Progression Cohort (n=2,287)</w:t>
      </w:r>
      <w:r>
        <w:t xml:space="preserve"> and </w:t>
      </w:r>
      <w:r w:rsidR="00E10416">
        <w:t>the Comparator Disease Progression Cohort (n=3,527) for the time periods (</w:t>
      </w:r>
      <w:proofErr w:type="spellStart"/>
      <w:r w:rsidR="00E10416">
        <w:t>i</w:t>
      </w:r>
      <w:proofErr w:type="spellEnd"/>
      <w:r w:rsidR="00E10416">
        <w:t xml:space="preserve">) 0 to 6 months; (ii) 6 months to 2 years and (iii) 2 years to the maximum follow up available. The PBAC acknowledged the sponsor’s statement that </w:t>
      </w:r>
      <w:r w:rsidR="00E10416" w:rsidRPr="00E10416">
        <w:t>it was problematic to determine the exact magnitude of the acute ppFEV</w:t>
      </w:r>
      <w:r w:rsidR="00E10416" w:rsidRPr="00E10416">
        <w:rPr>
          <w:vertAlign w:val="subscript"/>
        </w:rPr>
        <w:t>1</w:t>
      </w:r>
      <w:r w:rsidR="00E10416" w:rsidRPr="00E10416">
        <w:t xml:space="preserve"> change in the first month of treatment using registry data</w:t>
      </w:r>
      <w:r w:rsidR="00E10416">
        <w:t xml:space="preserve"> (</w:t>
      </w:r>
      <w:r w:rsidR="00E10416" w:rsidRPr="004B13DF">
        <w:t>paragraph 4.2);</w:t>
      </w:r>
      <w:r w:rsidR="00E10416">
        <w:t xml:space="preserve"> however, this analysis will provide an indication of the </w:t>
      </w:r>
      <w:r w:rsidR="005529AA">
        <w:t xml:space="preserve">interval-specific </w:t>
      </w:r>
      <w:r w:rsidR="00E10416">
        <w:t>time trends in ppFEV</w:t>
      </w:r>
      <w:r w:rsidR="00E10416" w:rsidRPr="00E10416">
        <w:rPr>
          <w:vertAlign w:val="subscript"/>
        </w:rPr>
        <w:t>1</w:t>
      </w:r>
      <w:r w:rsidR="00E10416">
        <w:t>.</w:t>
      </w:r>
    </w:p>
    <w:p w:rsidR="00B776D6" w:rsidRDefault="00B776D6" w:rsidP="00E10416">
      <w:pPr>
        <w:pStyle w:val="3-BodyText"/>
        <w:numPr>
          <w:ilvl w:val="0"/>
          <w:numId w:val="9"/>
        </w:numPr>
        <w:ind w:left="993" w:hanging="284"/>
      </w:pPr>
      <w:r>
        <w:t>Results for</w:t>
      </w:r>
      <w:r w:rsidR="00C751A9">
        <w:t xml:space="preserve"> ROD and</w:t>
      </w:r>
      <w:r>
        <w:t xml:space="preserve"> </w:t>
      </w:r>
      <w:proofErr w:type="spellStart"/>
      <w:r>
        <w:t>rROD</w:t>
      </w:r>
      <w:proofErr w:type="spellEnd"/>
      <w:r>
        <w:t xml:space="preserve"> should be presented for patients who </w:t>
      </w:r>
      <w:r w:rsidR="005529AA">
        <w:t xml:space="preserve">started on lumacaftor/ivacaftor and then </w:t>
      </w:r>
      <w:r>
        <w:t xml:space="preserve">switched to </w:t>
      </w:r>
      <w:r w:rsidR="00C751A9">
        <w:t xml:space="preserve">tezacaftor/ivacaftor and to any </w:t>
      </w:r>
      <w:r>
        <w:t xml:space="preserve">alternative CFTR modulators. For completeness, a similar analysis should be provided for patients who discontinued lumacaftor/ivacaftor but did not switch to other CFTR modulators.   </w:t>
      </w:r>
    </w:p>
    <w:p w:rsidR="005236E3" w:rsidRDefault="00DD18BC" w:rsidP="005236E3">
      <w:pPr>
        <w:pStyle w:val="3-BodyText"/>
        <w:numPr>
          <w:ilvl w:val="0"/>
          <w:numId w:val="9"/>
        </w:numPr>
        <w:ind w:left="993" w:hanging="284"/>
      </w:pPr>
      <w:r>
        <w:t xml:space="preserve">A comparison of baseline characteristics for patients in the Year 1 </w:t>
      </w:r>
      <w:proofErr w:type="spellStart"/>
      <w:r>
        <w:t>Orkambi</w:t>
      </w:r>
      <w:proofErr w:type="spellEnd"/>
      <w:r>
        <w:t xml:space="preserve"> Disease Progression Cohort </w:t>
      </w:r>
      <w:r w:rsidR="00300452">
        <w:t xml:space="preserve">(n=5,508) </w:t>
      </w:r>
      <w:r>
        <w:t xml:space="preserve">who are excluded </w:t>
      </w:r>
      <w:r w:rsidR="00E10416">
        <w:t xml:space="preserve">from the </w:t>
      </w:r>
      <w:r w:rsidR="00B776D6">
        <w:t xml:space="preserve">Year 3 </w:t>
      </w:r>
      <w:proofErr w:type="spellStart"/>
      <w:r w:rsidR="00E10416">
        <w:t>Orkambi</w:t>
      </w:r>
      <w:proofErr w:type="spellEnd"/>
      <w:r w:rsidR="00E10416">
        <w:t xml:space="preserve"> Disease Progression Cohort </w:t>
      </w:r>
      <w:r>
        <w:t>because they (</w:t>
      </w:r>
      <w:proofErr w:type="spellStart"/>
      <w:r>
        <w:t>i</w:t>
      </w:r>
      <w:proofErr w:type="spellEnd"/>
      <w:r>
        <w:t xml:space="preserve">) switched to alternative CFTR modulators or (ii) were lost to follow up or discontinued lumacaftor/ivacaftor for reasons other than switching.    </w:t>
      </w:r>
    </w:p>
    <w:p w:rsidR="00300452" w:rsidRDefault="00300452" w:rsidP="00300452">
      <w:pPr>
        <w:pStyle w:val="3-BodyText"/>
        <w:numPr>
          <w:ilvl w:val="0"/>
          <w:numId w:val="9"/>
        </w:numPr>
        <w:ind w:left="993" w:hanging="284"/>
      </w:pPr>
      <w:r>
        <w:t xml:space="preserve">Any updated PASS 108 analyses. The PBAC noted interim analysis 4 and the final report </w:t>
      </w:r>
      <w:r w:rsidR="005529AA">
        <w:t xml:space="preserve">were </w:t>
      </w:r>
      <w:r>
        <w:t xml:space="preserve">planned for 2020 and 2021, respectively. The PBAC noted elexacaftor/ivacaftor/tezacaftor became available in the US in October 2019 but considered it unlikely all patients would immediately switch treatment and data with further follow </w:t>
      </w:r>
      <w:r w:rsidR="005529AA">
        <w:t>up</w:t>
      </w:r>
      <w:r w:rsidR="0048702A">
        <w:t xml:space="preserve"> for lumacaftor/ivacaftor</w:t>
      </w:r>
      <w:r w:rsidR="005529AA">
        <w:t xml:space="preserve"> </w:t>
      </w:r>
      <w:r>
        <w:t xml:space="preserve">should be available.  </w:t>
      </w:r>
      <w:r w:rsidR="00B776D6">
        <w:t xml:space="preserve">The analyses above should also be provided using the updated data.  </w:t>
      </w:r>
    </w:p>
    <w:p w:rsidR="00317E48" w:rsidRDefault="00D656D2" w:rsidP="00D656D2">
      <w:pPr>
        <w:pStyle w:val="3-BodyText"/>
      </w:pPr>
      <w:r w:rsidRPr="00D656D2">
        <w:lastRenderedPageBreak/>
        <w:t>The PBAC advised a resubmission should be provided for consideration at the December 2021 PBAC meeting, and that this would require the submission to be lodged by 15 September.</w:t>
      </w:r>
      <w:r w:rsidR="000A4FBA">
        <w:t xml:space="preserve"> </w:t>
      </w:r>
    </w:p>
    <w:p w:rsidR="000C6989" w:rsidRDefault="006003F8" w:rsidP="000C6989">
      <w:pPr>
        <w:pStyle w:val="3-BodyText"/>
      </w:pPr>
      <w:r w:rsidRPr="006003F8">
        <w:t xml:space="preserve">The PBAC noted that the evidence provided did not meet the requirements of the </w:t>
      </w:r>
      <w:r w:rsidR="009E1E18">
        <w:t>Deed</w:t>
      </w:r>
      <w:r w:rsidR="009E1E18" w:rsidRPr="006003F8">
        <w:t xml:space="preserve"> </w:t>
      </w:r>
      <w:r w:rsidRPr="006003F8">
        <w:t xml:space="preserve">and </w:t>
      </w:r>
      <w:r w:rsidR="009E1E18">
        <w:t xml:space="preserve">did not enable </w:t>
      </w:r>
      <w:r w:rsidRPr="006003F8">
        <w:t>it to advise</w:t>
      </w:r>
      <w:r w:rsidR="009E1E18">
        <w:t xml:space="preserve"> the Minister as to</w:t>
      </w:r>
      <w:r w:rsidRPr="006003F8">
        <w:t xml:space="preserve"> the point estimate for the rate of decline </w:t>
      </w:r>
      <w:r w:rsidR="009E1E18">
        <w:t>in lung function</w:t>
      </w:r>
      <w:r w:rsidRPr="006003F8">
        <w:t xml:space="preserve">. </w:t>
      </w:r>
      <w:r w:rsidR="009E1E18">
        <w:t>T</w:t>
      </w:r>
      <w:r w:rsidRPr="006003F8">
        <w:t xml:space="preserve">he PBAC considered that </w:t>
      </w:r>
      <w:r w:rsidR="009E1E18">
        <w:t>the data provided did not justify the application</w:t>
      </w:r>
      <w:r w:rsidRPr="006003F8">
        <w:t xml:space="preserve"> of the subsidisation caps </w:t>
      </w:r>
      <w:r w:rsidR="009E1E18">
        <w:t xml:space="preserve">identified as Option 1 </w:t>
      </w:r>
      <w:r w:rsidRPr="006003F8">
        <w:t>in the Deed</w:t>
      </w:r>
      <w:r w:rsidR="00F15C31">
        <w:t>.</w:t>
      </w:r>
    </w:p>
    <w:p w:rsidR="000853B0" w:rsidRDefault="009872AD" w:rsidP="000853B0">
      <w:pPr>
        <w:pStyle w:val="3-BodyText"/>
        <w:numPr>
          <w:ilvl w:val="0"/>
          <w:numId w:val="0"/>
        </w:numPr>
        <w:rPr>
          <w:b/>
        </w:rPr>
      </w:pPr>
      <w:r w:rsidRPr="000C6989">
        <w:rPr>
          <w:b/>
        </w:rPr>
        <w:t>Outcome:</w:t>
      </w:r>
    </w:p>
    <w:p w:rsidR="009872AD" w:rsidRPr="009872AD" w:rsidRDefault="009872AD" w:rsidP="000853B0">
      <w:pPr>
        <w:pStyle w:val="3-BodyText"/>
        <w:numPr>
          <w:ilvl w:val="0"/>
          <w:numId w:val="0"/>
        </w:numPr>
        <w:rPr>
          <w:b/>
        </w:rPr>
      </w:pPr>
      <w:r w:rsidRPr="009872AD">
        <w:t>Advice provided</w:t>
      </w:r>
    </w:p>
    <w:p w:rsidR="003C3684" w:rsidRPr="003C3684" w:rsidRDefault="003C3684" w:rsidP="003C3684">
      <w:pPr>
        <w:pStyle w:val="2-SectionHeading"/>
      </w:pPr>
      <w:r w:rsidRPr="00C07617">
        <w:t>Context for Decision</w:t>
      </w:r>
    </w:p>
    <w:p w:rsidR="003C3684" w:rsidRPr="007129F2" w:rsidRDefault="003C3684" w:rsidP="00F6005D">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C3684" w:rsidRPr="003C3684" w:rsidRDefault="003C3684" w:rsidP="003C3684">
      <w:pPr>
        <w:pStyle w:val="2-SectionHeading"/>
      </w:pPr>
      <w:r>
        <w:t>Sponsor’s Comment</w:t>
      </w:r>
    </w:p>
    <w:p w:rsidR="00195FC1" w:rsidRPr="007A21AE" w:rsidRDefault="00195FC1" w:rsidP="00195FC1">
      <w:pPr>
        <w:spacing w:after="120"/>
        <w:ind w:left="720"/>
        <w:rPr>
          <w:rFonts w:asciiTheme="minorHAnsi" w:hAnsiTheme="minorHAnsi"/>
          <w:bCs/>
        </w:rPr>
      </w:pPr>
      <w:r w:rsidRPr="007A21AE">
        <w:rPr>
          <w:rFonts w:asciiTheme="minorHAnsi" w:hAnsiTheme="minorHAnsi"/>
          <w:bCs/>
        </w:rPr>
        <w:t xml:space="preserve">Vertex is disappointed that the PBAC is calling into question the data provided demonstrating the long-term benefit of </w:t>
      </w:r>
      <w:proofErr w:type="spellStart"/>
      <w:r w:rsidRPr="007A21AE">
        <w:rPr>
          <w:rFonts w:asciiTheme="minorHAnsi" w:hAnsiTheme="minorHAnsi"/>
          <w:bCs/>
        </w:rPr>
        <w:t>Orkambi</w:t>
      </w:r>
      <w:proofErr w:type="spellEnd"/>
      <w:r w:rsidRPr="007A21AE">
        <w:rPr>
          <w:rFonts w:asciiTheme="minorHAnsi" w:hAnsiTheme="minorHAnsi"/>
          <w:bCs/>
        </w:rPr>
        <w:t xml:space="preserve">® and </w:t>
      </w:r>
      <w:proofErr w:type="spellStart"/>
      <w:r w:rsidRPr="007A21AE">
        <w:rPr>
          <w:rFonts w:asciiTheme="minorHAnsi" w:hAnsiTheme="minorHAnsi"/>
          <w:bCs/>
        </w:rPr>
        <w:t>Symdeko</w:t>
      </w:r>
      <w:proofErr w:type="spellEnd"/>
      <w:r w:rsidRPr="007A21AE">
        <w:rPr>
          <w:rFonts w:asciiTheme="minorHAnsi" w:hAnsiTheme="minorHAnsi"/>
          <w:bCs/>
        </w:rPr>
        <w:t>®. The long-term benefit of these medicines is well proven as evidenced by independent and Vertex clinical trial data and the support from the 29 other international healthcare systems where patients have ongoing access to these medicines.</w:t>
      </w:r>
    </w:p>
    <w:p w:rsidR="00BC3CBF" w:rsidRPr="003D7513" w:rsidRDefault="00195FC1" w:rsidP="003D7513">
      <w:pPr>
        <w:spacing w:after="120"/>
        <w:ind w:left="720"/>
        <w:rPr>
          <w:rFonts w:asciiTheme="minorHAnsi" w:hAnsiTheme="minorHAnsi"/>
          <w:bCs/>
        </w:rPr>
      </w:pPr>
      <w:bookmarkStart w:id="40" w:name="_GoBack"/>
      <w:bookmarkEnd w:id="40"/>
      <w:r w:rsidRPr="007A21AE">
        <w:rPr>
          <w:rFonts w:asciiTheme="minorHAnsi" w:hAnsiTheme="minorHAnsi"/>
          <w:bCs/>
        </w:rPr>
        <w:t>We continue to work with the PBAC and the Department of Health to ensure they have all the data they need to confirm the long-term benefit of these currently funded medicines.</w:t>
      </w:r>
    </w:p>
    <w:sectPr w:rsidR="00BC3CBF" w:rsidRPr="003D7513" w:rsidSect="00985EC7">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942EF" w16cex:dateUtc="2021-08-07T07:35:00Z"/>
  <w16cex:commentExtensible w16cex:durableId="24B93EF5" w16cex:dateUtc="2021-08-07T07:18:00Z"/>
  <w16cex:commentExtensible w16cex:durableId="24B93EE4" w16cex:dateUtc="2021-08-07T07:18:00Z"/>
  <w16cex:commentExtensible w16cex:durableId="24B942CB" w16cex:dateUtc="2021-08-07T07:35:00Z"/>
  <w16cex:commentExtensible w16cex:durableId="24BA8DDE" w16cex:dateUtc="2021-08-08T07:07:00Z"/>
  <w16cex:commentExtensible w16cex:durableId="24B5682B" w16cex:dateUtc="2021-08-04T09:25:00Z"/>
  <w16cex:commentExtensible w16cex:durableId="24BA8F4E" w16cex:dateUtc="2021-08-08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6BFE23" w16cid:durableId="24B56759"/>
  <w16cid:commentId w16cid:paraId="6B27A033" w16cid:durableId="24B5675A"/>
  <w16cid:commentId w16cid:paraId="1F06FDCE" w16cid:durableId="24B5675B"/>
  <w16cid:commentId w16cid:paraId="37C1BC66" w16cid:durableId="24B5675C"/>
  <w16cid:commentId w16cid:paraId="57ABD9BB" w16cid:durableId="24B942EF"/>
  <w16cid:commentId w16cid:paraId="233AFB58" w16cid:durableId="24B5675D"/>
  <w16cid:commentId w16cid:paraId="2B5285F3" w16cid:durableId="24B5675E"/>
  <w16cid:commentId w16cid:paraId="5E4C74A9" w16cid:durableId="24B5675F"/>
  <w16cid:commentId w16cid:paraId="6DE9F338" w16cid:durableId="24B56760"/>
  <w16cid:commentId w16cid:paraId="2D90F4B8" w16cid:durableId="24B93EF5"/>
  <w16cid:commentId w16cid:paraId="269B4DEA" w16cid:durableId="24B56761"/>
  <w16cid:commentId w16cid:paraId="7CA09856" w16cid:durableId="24B93EE4"/>
  <w16cid:commentId w16cid:paraId="4A688F14" w16cid:durableId="24B56762"/>
  <w16cid:commentId w16cid:paraId="4D3D7EAB" w16cid:durableId="24B942CB"/>
  <w16cid:commentId w16cid:paraId="2C733E24" w16cid:durableId="24BA8DDE"/>
  <w16cid:commentId w16cid:paraId="00D9C11D" w16cid:durableId="24B56763"/>
  <w16cid:commentId w16cid:paraId="279739F5" w16cid:durableId="24B56764"/>
  <w16cid:commentId w16cid:paraId="565DAB93" w16cid:durableId="24B5682B"/>
  <w16cid:commentId w16cid:paraId="71896A77" w16cid:durableId="24B93852"/>
  <w16cid:commentId w16cid:paraId="4B4E53FE" w16cid:durableId="24BA8F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9E4" w:rsidRDefault="003829E4" w:rsidP="00124A51">
      <w:r>
        <w:separator/>
      </w:r>
    </w:p>
    <w:p w:rsidR="003829E4" w:rsidRDefault="003829E4"/>
  </w:endnote>
  <w:endnote w:type="continuationSeparator" w:id="0">
    <w:p w:rsidR="003829E4" w:rsidRDefault="003829E4" w:rsidP="00124A51">
      <w:r>
        <w:continuationSeparator/>
      </w:r>
    </w:p>
    <w:p w:rsidR="003829E4" w:rsidRDefault="00382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E4" w:rsidRDefault="00382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E4" w:rsidRDefault="003829E4">
    <w:pPr>
      <w:pStyle w:val="Footer"/>
      <w:jc w:val="center"/>
    </w:pPr>
  </w:p>
  <w:p w:rsidR="003829E4" w:rsidRPr="007C1CD9" w:rsidRDefault="00465E67" w:rsidP="004C6D4A">
    <w:pPr>
      <w:pStyle w:val="Footer"/>
      <w:jc w:val="center"/>
    </w:pPr>
    <w:sdt>
      <w:sdtPr>
        <w:id w:val="-1756814195"/>
        <w:docPartObj>
          <w:docPartGallery w:val="Page Numbers (Bottom of Page)"/>
          <w:docPartUnique/>
        </w:docPartObj>
      </w:sdtPr>
      <w:sdtEndPr>
        <w:rPr>
          <w:noProof/>
        </w:rPr>
      </w:sdtEndPr>
      <w:sdtContent>
        <w:r w:rsidR="003829E4" w:rsidRPr="004C6D4A">
          <w:rPr>
            <w:b/>
          </w:rPr>
          <w:fldChar w:fldCharType="begin"/>
        </w:r>
        <w:r w:rsidR="003829E4" w:rsidRPr="004C6D4A">
          <w:rPr>
            <w:b/>
          </w:rPr>
          <w:instrText xml:space="preserve"> PAGE   \* MERGEFORMAT </w:instrText>
        </w:r>
        <w:r w:rsidR="003829E4" w:rsidRPr="004C6D4A">
          <w:rPr>
            <w:b/>
          </w:rPr>
          <w:fldChar w:fldCharType="separate"/>
        </w:r>
        <w:r>
          <w:rPr>
            <w:b/>
            <w:noProof/>
          </w:rPr>
          <w:t>23</w:t>
        </w:r>
        <w:r w:rsidR="003829E4" w:rsidRPr="004C6D4A">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E4" w:rsidRDefault="00382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9E4" w:rsidRDefault="003829E4" w:rsidP="00124A51">
      <w:r>
        <w:separator/>
      </w:r>
    </w:p>
    <w:p w:rsidR="003829E4" w:rsidRDefault="003829E4"/>
  </w:footnote>
  <w:footnote w:type="continuationSeparator" w:id="0">
    <w:p w:rsidR="003829E4" w:rsidRDefault="003829E4" w:rsidP="00124A51">
      <w:r>
        <w:continuationSeparator/>
      </w:r>
    </w:p>
    <w:p w:rsidR="003829E4" w:rsidRDefault="003829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E4" w:rsidRDefault="00382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E4" w:rsidRPr="008C7ECB" w:rsidRDefault="003829E4" w:rsidP="00B57DAC">
    <w:pPr>
      <w:pStyle w:val="Header"/>
    </w:pPr>
    <w:r>
      <w:rPr>
        <w:i/>
      </w:rPr>
      <w:t xml:space="preserve">Public Summary Document </w:t>
    </w:r>
    <w:r w:rsidRPr="004C6D4A">
      <w:rPr>
        <w:i/>
      </w:rPr>
      <w:t>– July 2021 PBAC meeting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E4" w:rsidRDefault="00382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F22A0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E45C86"/>
    <w:multiLevelType w:val="multilevel"/>
    <w:tmpl w:val="A302F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021232"/>
    <w:multiLevelType w:val="hybridMultilevel"/>
    <w:tmpl w:val="88022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A7433"/>
    <w:multiLevelType w:val="multilevel"/>
    <w:tmpl w:val="1952DF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D67A6"/>
    <w:multiLevelType w:val="hybridMultilevel"/>
    <w:tmpl w:val="128A79B2"/>
    <w:lvl w:ilvl="0" w:tplc="04090001">
      <w:start w:val="1"/>
      <w:numFmt w:val="bullet"/>
      <w:pStyle w:val="ListParagraph"/>
      <w:lvlText w:val=""/>
      <w:lvlJc w:val="left"/>
      <w:pPr>
        <w:ind w:left="720" w:hanging="360"/>
      </w:pPr>
      <w:rPr>
        <w:rFonts w:ascii="Symbol" w:hAnsi="Symbol" w:hint="default"/>
      </w:rPr>
    </w:lvl>
    <w:lvl w:ilvl="1" w:tplc="39F6FD74">
      <w:start w:val="1"/>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6626A"/>
    <w:multiLevelType w:val="hybridMultilevel"/>
    <w:tmpl w:val="B4E8C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2B052C"/>
    <w:multiLevelType w:val="hybridMultilevel"/>
    <w:tmpl w:val="51C2C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514F48"/>
    <w:multiLevelType w:val="hybridMultilevel"/>
    <w:tmpl w:val="94CC0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145"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5"/>
  </w:num>
  <w:num w:numId="4">
    <w:abstractNumId w:val="0"/>
  </w:num>
  <w:num w:numId="5">
    <w:abstractNumId w:val="7"/>
  </w:num>
  <w:num w:numId="6">
    <w:abstractNumId w:val="2"/>
  </w:num>
  <w:num w:numId="7">
    <w:abstractNumId w:val="9"/>
  </w:num>
  <w:num w:numId="8">
    <w:abstractNumId w:val="6"/>
  </w:num>
  <w:num w:numId="9">
    <w:abstractNumId w:val="8"/>
  </w:num>
  <w:num w:numId="10">
    <w:abstractNumId w:val="10"/>
  </w:num>
  <w:num w:numId="11">
    <w:abstractNumId w:val="10"/>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14C"/>
    <w:rsid w:val="00000522"/>
    <w:rsid w:val="000005AA"/>
    <w:rsid w:val="00000790"/>
    <w:rsid w:val="000009A2"/>
    <w:rsid w:val="00000BEA"/>
    <w:rsid w:val="00000C40"/>
    <w:rsid w:val="00000FB0"/>
    <w:rsid w:val="0000110B"/>
    <w:rsid w:val="0000144C"/>
    <w:rsid w:val="00001940"/>
    <w:rsid w:val="00001CCC"/>
    <w:rsid w:val="00001DA2"/>
    <w:rsid w:val="00001E10"/>
    <w:rsid w:val="00002382"/>
    <w:rsid w:val="0000258B"/>
    <w:rsid w:val="00002A0F"/>
    <w:rsid w:val="00002B72"/>
    <w:rsid w:val="00002E89"/>
    <w:rsid w:val="00002F90"/>
    <w:rsid w:val="00003160"/>
    <w:rsid w:val="00003499"/>
    <w:rsid w:val="000034FC"/>
    <w:rsid w:val="0000363C"/>
    <w:rsid w:val="000039B7"/>
    <w:rsid w:val="00003A60"/>
    <w:rsid w:val="00003BF8"/>
    <w:rsid w:val="00003E70"/>
    <w:rsid w:val="0000405D"/>
    <w:rsid w:val="000041B8"/>
    <w:rsid w:val="0000420D"/>
    <w:rsid w:val="00004543"/>
    <w:rsid w:val="00004910"/>
    <w:rsid w:val="00004956"/>
    <w:rsid w:val="00004D14"/>
    <w:rsid w:val="0000581D"/>
    <w:rsid w:val="0000582A"/>
    <w:rsid w:val="00005A53"/>
    <w:rsid w:val="00005C70"/>
    <w:rsid w:val="00005E61"/>
    <w:rsid w:val="0000639A"/>
    <w:rsid w:val="00006445"/>
    <w:rsid w:val="00006BB0"/>
    <w:rsid w:val="00006C6F"/>
    <w:rsid w:val="00006E55"/>
    <w:rsid w:val="00007284"/>
    <w:rsid w:val="000072EC"/>
    <w:rsid w:val="000078FD"/>
    <w:rsid w:val="00010063"/>
    <w:rsid w:val="00010300"/>
    <w:rsid w:val="00010896"/>
    <w:rsid w:val="000108D0"/>
    <w:rsid w:val="00010911"/>
    <w:rsid w:val="00010DD6"/>
    <w:rsid w:val="00011022"/>
    <w:rsid w:val="00011624"/>
    <w:rsid w:val="00011934"/>
    <w:rsid w:val="00011A68"/>
    <w:rsid w:val="00011C5C"/>
    <w:rsid w:val="00011CB1"/>
    <w:rsid w:val="00011E12"/>
    <w:rsid w:val="00011F48"/>
    <w:rsid w:val="00011F54"/>
    <w:rsid w:val="000125A2"/>
    <w:rsid w:val="00012947"/>
    <w:rsid w:val="000129F1"/>
    <w:rsid w:val="00012B99"/>
    <w:rsid w:val="00013108"/>
    <w:rsid w:val="00013247"/>
    <w:rsid w:val="00013385"/>
    <w:rsid w:val="000133AA"/>
    <w:rsid w:val="000133C6"/>
    <w:rsid w:val="000136FD"/>
    <w:rsid w:val="00013840"/>
    <w:rsid w:val="0001387E"/>
    <w:rsid w:val="00013B47"/>
    <w:rsid w:val="00013BAA"/>
    <w:rsid w:val="00013E4A"/>
    <w:rsid w:val="000141DC"/>
    <w:rsid w:val="0001499F"/>
    <w:rsid w:val="000149F8"/>
    <w:rsid w:val="00014D38"/>
    <w:rsid w:val="00014DC1"/>
    <w:rsid w:val="00014EB8"/>
    <w:rsid w:val="000152CD"/>
    <w:rsid w:val="000152EA"/>
    <w:rsid w:val="000153B4"/>
    <w:rsid w:val="000155A6"/>
    <w:rsid w:val="000156E2"/>
    <w:rsid w:val="00015787"/>
    <w:rsid w:val="00015886"/>
    <w:rsid w:val="00015CA7"/>
    <w:rsid w:val="00015E08"/>
    <w:rsid w:val="00015E8B"/>
    <w:rsid w:val="000162EF"/>
    <w:rsid w:val="0001631D"/>
    <w:rsid w:val="000165C7"/>
    <w:rsid w:val="00016C90"/>
    <w:rsid w:val="00017044"/>
    <w:rsid w:val="00017431"/>
    <w:rsid w:val="0001749A"/>
    <w:rsid w:val="000176E3"/>
    <w:rsid w:val="00017996"/>
    <w:rsid w:val="00017C75"/>
    <w:rsid w:val="00017DCE"/>
    <w:rsid w:val="00017FB9"/>
    <w:rsid w:val="00017FDF"/>
    <w:rsid w:val="00020018"/>
    <w:rsid w:val="00020229"/>
    <w:rsid w:val="000205B5"/>
    <w:rsid w:val="000207C9"/>
    <w:rsid w:val="00020990"/>
    <w:rsid w:val="000210F0"/>
    <w:rsid w:val="000212C9"/>
    <w:rsid w:val="00021313"/>
    <w:rsid w:val="00021822"/>
    <w:rsid w:val="00021B27"/>
    <w:rsid w:val="0002225F"/>
    <w:rsid w:val="00022510"/>
    <w:rsid w:val="00022515"/>
    <w:rsid w:val="0002253A"/>
    <w:rsid w:val="00022933"/>
    <w:rsid w:val="00022F39"/>
    <w:rsid w:val="000232A4"/>
    <w:rsid w:val="0002364C"/>
    <w:rsid w:val="00023763"/>
    <w:rsid w:val="000238B1"/>
    <w:rsid w:val="00023CC9"/>
    <w:rsid w:val="00024270"/>
    <w:rsid w:val="0002470F"/>
    <w:rsid w:val="000247E0"/>
    <w:rsid w:val="00024E8C"/>
    <w:rsid w:val="00025094"/>
    <w:rsid w:val="000257BE"/>
    <w:rsid w:val="00025812"/>
    <w:rsid w:val="0002627E"/>
    <w:rsid w:val="00026395"/>
    <w:rsid w:val="000265CD"/>
    <w:rsid w:val="000266EB"/>
    <w:rsid w:val="000266F5"/>
    <w:rsid w:val="000274B8"/>
    <w:rsid w:val="000278D4"/>
    <w:rsid w:val="00027925"/>
    <w:rsid w:val="00027B98"/>
    <w:rsid w:val="00027E23"/>
    <w:rsid w:val="00030B03"/>
    <w:rsid w:val="00030C2A"/>
    <w:rsid w:val="00030E03"/>
    <w:rsid w:val="00030E69"/>
    <w:rsid w:val="000310BD"/>
    <w:rsid w:val="0003142D"/>
    <w:rsid w:val="000317CE"/>
    <w:rsid w:val="00031814"/>
    <w:rsid w:val="00031878"/>
    <w:rsid w:val="00031930"/>
    <w:rsid w:val="00031B48"/>
    <w:rsid w:val="00031E2C"/>
    <w:rsid w:val="0003260A"/>
    <w:rsid w:val="00032F36"/>
    <w:rsid w:val="00032F8B"/>
    <w:rsid w:val="00033190"/>
    <w:rsid w:val="00033366"/>
    <w:rsid w:val="000333F8"/>
    <w:rsid w:val="000333FC"/>
    <w:rsid w:val="00033552"/>
    <w:rsid w:val="000335FF"/>
    <w:rsid w:val="00033863"/>
    <w:rsid w:val="00033FDB"/>
    <w:rsid w:val="000348D8"/>
    <w:rsid w:val="00034A18"/>
    <w:rsid w:val="00034CA9"/>
    <w:rsid w:val="00034D3A"/>
    <w:rsid w:val="00034D8A"/>
    <w:rsid w:val="00034E55"/>
    <w:rsid w:val="000350FD"/>
    <w:rsid w:val="00035105"/>
    <w:rsid w:val="000353A0"/>
    <w:rsid w:val="00035804"/>
    <w:rsid w:val="00035B90"/>
    <w:rsid w:val="00035BF7"/>
    <w:rsid w:val="00035DC0"/>
    <w:rsid w:val="00035DDC"/>
    <w:rsid w:val="00035E02"/>
    <w:rsid w:val="0003620A"/>
    <w:rsid w:val="00036709"/>
    <w:rsid w:val="00036829"/>
    <w:rsid w:val="0003692F"/>
    <w:rsid w:val="00036B69"/>
    <w:rsid w:val="000373B0"/>
    <w:rsid w:val="000376AC"/>
    <w:rsid w:val="000379BD"/>
    <w:rsid w:val="00037A9C"/>
    <w:rsid w:val="000401AF"/>
    <w:rsid w:val="000406A4"/>
    <w:rsid w:val="00040895"/>
    <w:rsid w:val="000409E8"/>
    <w:rsid w:val="00040ABC"/>
    <w:rsid w:val="0004100A"/>
    <w:rsid w:val="00041106"/>
    <w:rsid w:val="00041773"/>
    <w:rsid w:val="0004191C"/>
    <w:rsid w:val="00041AA8"/>
    <w:rsid w:val="00041BDA"/>
    <w:rsid w:val="00041D79"/>
    <w:rsid w:val="00041E49"/>
    <w:rsid w:val="000421E8"/>
    <w:rsid w:val="00042AA7"/>
    <w:rsid w:val="00042DA5"/>
    <w:rsid w:val="00042EA3"/>
    <w:rsid w:val="0004304D"/>
    <w:rsid w:val="00043109"/>
    <w:rsid w:val="00043412"/>
    <w:rsid w:val="000434C8"/>
    <w:rsid w:val="000435EE"/>
    <w:rsid w:val="00043ACF"/>
    <w:rsid w:val="00043C37"/>
    <w:rsid w:val="000440C0"/>
    <w:rsid w:val="000442D7"/>
    <w:rsid w:val="0004443C"/>
    <w:rsid w:val="00044A0A"/>
    <w:rsid w:val="00044BC4"/>
    <w:rsid w:val="00044DC6"/>
    <w:rsid w:val="00044F18"/>
    <w:rsid w:val="00044F86"/>
    <w:rsid w:val="00045017"/>
    <w:rsid w:val="0004519C"/>
    <w:rsid w:val="00045546"/>
    <w:rsid w:val="00045549"/>
    <w:rsid w:val="00045768"/>
    <w:rsid w:val="0004588F"/>
    <w:rsid w:val="00045A2B"/>
    <w:rsid w:val="00045D1C"/>
    <w:rsid w:val="000461DA"/>
    <w:rsid w:val="00046390"/>
    <w:rsid w:val="0004685C"/>
    <w:rsid w:val="000468DE"/>
    <w:rsid w:val="0004698F"/>
    <w:rsid w:val="00046CA8"/>
    <w:rsid w:val="00046F43"/>
    <w:rsid w:val="00046F56"/>
    <w:rsid w:val="000478AF"/>
    <w:rsid w:val="00047931"/>
    <w:rsid w:val="00047D07"/>
    <w:rsid w:val="00047D09"/>
    <w:rsid w:val="00047E24"/>
    <w:rsid w:val="000515C6"/>
    <w:rsid w:val="0005179F"/>
    <w:rsid w:val="00051C5E"/>
    <w:rsid w:val="00052640"/>
    <w:rsid w:val="0005296F"/>
    <w:rsid w:val="00053019"/>
    <w:rsid w:val="00053087"/>
    <w:rsid w:val="0005312C"/>
    <w:rsid w:val="000531B7"/>
    <w:rsid w:val="0005369D"/>
    <w:rsid w:val="00053836"/>
    <w:rsid w:val="000539D0"/>
    <w:rsid w:val="00053A71"/>
    <w:rsid w:val="00053D13"/>
    <w:rsid w:val="00053EF5"/>
    <w:rsid w:val="00054621"/>
    <w:rsid w:val="000546D7"/>
    <w:rsid w:val="00054C3F"/>
    <w:rsid w:val="00055309"/>
    <w:rsid w:val="00055475"/>
    <w:rsid w:val="000555B0"/>
    <w:rsid w:val="000555ED"/>
    <w:rsid w:val="00055C2B"/>
    <w:rsid w:val="00055E10"/>
    <w:rsid w:val="00055F48"/>
    <w:rsid w:val="0005678D"/>
    <w:rsid w:val="00056B56"/>
    <w:rsid w:val="00056D45"/>
    <w:rsid w:val="00056ECF"/>
    <w:rsid w:val="00056FD3"/>
    <w:rsid w:val="000571DE"/>
    <w:rsid w:val="000571EF"/>
    <w:rsid w:val="000577B0"/>
    <w:rsid w:val="00057CEE"/>
    <w:rsid w:val="000600AD"/>
    <w:rsid w:val="00060124"/>
    <w:rsid w:val="000602B1"/>
    <w:rsid w:val="000604DF"/>
    <w:rsid w:val="000606A4"/>
    <w:rsid w:val="00060D82"/>
    <w:rsid w:val="00060E1A"/>
    <w:rsid w:val="00060FE2"/>
    <w:rsid w:val="000610EC"/>
    <w:rsid w:val="000611D0"/>
    <w:rsid w:val="000615AD"/>
    <w:rsid w:val="00061DF8"/>
    <w:rsid w:val="00062484"/>
    <w:rsid w:val="000628C6"/>
    <w:rsid w:val="00062F91"/>
    <w:rsid w:val="00063DC2"/>
    <w:rsid w:val="00064144"/>
    <w:rsid w:val="00064300"/>
    <w:rsid w:val="000643E6"/>
    <w:rsid w:val="000644C2"/>
    <w:rsid w:val="000648A4"/>
    <w:rsid w:val="00064977"/>
    <w:rsid w:val="00064BA8"/>
    <w:rsid w:val="00064F41"/>
    <w:rsid w:val="00065062"/>
    <w:rsid w:val="000653B5"/>
    <w:rsid w:val="00065788"/>
    <w:rsid w:val="000657C2"/>
    <w:rsid w:val="00065849"/>
    <w:rsid w:val="00065DAD"/>
    <w:rsid w:val="000661F3"/>
    <w:rsid w:val="00066360"/>
    <w:rsid w:val="00066AF8"/>
    <w:rsid w:val="00066E48"/>
    <w:rsid w:val="00066F6C"/>
    <w:rsid w:val="00067017"/>
    <w:rsid w:val="00067191"/>
    <w:rsid w:val="000676AC"/>
    <w:rsid w:val="000678A2"/>
    <w:rsid w:val="00067A71"/>
    <w:rsid w:val="00067F2E"/>
    <w:rsid w:val="0007001C"/>
    <w:rsid w:val="000702A6"/>
    <w:rsid w:val="000702DD"/>
    <w:rsid w:val="0007038D"/>
    <w:rsid w:val="00070476"/>
    <w:rsid w:val="00070523"/>
    <w:rsid w:val="000705E1"/>
    <w:rsid w:val="000705FD"/>
    <w:rsid w:val="000706DA"/>
    <w:rsid w:val="0007088D"/>
    <w:rsid w:val="000709CA"/>
    <w:rsid w:val="00070A50"/>
    <w:rsid w:val="00070A8E"/>
    <w:rsid w:val="000710BC"/>
    <w:rsid w:val="000711E4"/>
    <w:rsid w:val="00071248"/>
    <w:rsid w:val="0007152D"/>
    <w:rsid w:val="00071699"/>
    <w:rsid w:val="00071DF3"/>
    <w:rsid w:val="00071F26"/>
    <w:rsid w:val="000720B9"/>
    <w:rsid w:val="00072286"/>
    <w:rsid w:val="000722AF"/>
    <w:rsid w:val="000723DF"/>
    <w:rsid w:val="0007285F"/>
    <w:rsid w:val="00072875"/>
    <w:rsid w:val="00072A76"/>
    <w:rsid w:val="00072A8F"/>
    <w:rsid w:val="00072C57"/>
    <w:rsid w:val="00072CE8"/>
    <w:rsid w:val="0007308C"/>
    <w:rsid w:val="00073214"/>
    <w:rsid w:val="000733BC"/>
    <w:rsid w:val="00073722"/>
    <w:rsid w:val="000737F7"/>
    <w:rsid w:val="00073801"/>
    <w:rsid w:val="0007384C"/>
    <w:rsid w:val="00073A73"/>
    <w:rsid w:val="00073B51"/>
    <w:rsid w:val="00073B6B"/>
    <w:rsid w:val="00074760"/>
    <w:rsid w:val="000748A9"/>
    <w:rsid w:val="000749BF"/>
    <w:rsid w:val="00074AB5"/>
    <w:rsid w:val="00074D1E"/>
    <w:rsid w:val="00074F36"/>
    <w:rsid w:val="0007597F"/>
    <w:rsid w:val="0007598A"/>
    <w:rsid w:val="00075F28"/>
    <w:rsid w:val="000765B3"/>
    <w:rsid w:val="000765D8"/>
    <w:rsid w:val="00076616"/>
    <w:rsid w:val="0007672F"/>
    <w:rsid w:val="0007680C"/>
    <w:rsid w:val="00076869"/>
    <w:rsid w:val="00076959"/>
    <w:rsid w:val="0007698E"/>
    <w:rsid w:val="00076ABD"/>
    <w:rsid w:val="00076B54"/>
    <w:rsid w:val="00076CB2"/>
    <w:rsid w:val="00076CB4"/>
    <w:rsid w:val="000774F0"/>
    <w:rsid w:val="000775AA"/>
    <w:rsid w:val="000777CF"/>
    <w:rsid w:val="00077B3E"/>
    <w:rsid w:val="00077C45"/>
    <w:rsid w:val="00080431"/>
    <w:rsid w:val="00080909"/>
    <w:rsid w:val="00080DA1"/>
    <w:rsid w:val="00080DD8"/>
    <w:rsid w:val="00080F28"/>
    <w:rsid w:val="000811FF"/>
    <w:rsid w:val="00081233"/>
    <w:rsid w:val="000812CA"/>
    <w:rsid w:val="00081360"/>
    <w:rsid w:val="000816B0"/>
    <w:rsid w:val="00081707"/>
    <w:rsid w:val="0008182A"/>
    <w:rsid w:val="0008194D"/>
    <w:rsid w:val="00081E0D"/>
    <w:rsid w:val="00081E63"/>
    <w:rsid w:val="00081F1B"/>
    <w:rsid w:val="00081F48"/>
    <w:rsid w:val="00082144"/>
    <w:rsid w:val="0008258D"/>
    <w:rsid w:val="000826B4"/>
    <w:rsid w:val="00082C43"/>
    <w:rsid w:val="0008301C"/>
    <w:rsid w:val="000831FB"/>
    <w:rsid w:val="00083202"/>
    <w:rsid w:val="000832EF"/>
    <w:rsid w:val="00083302"/>
    <w:rsid w:val="0008340E"/>
    <w:rsid w:val="0008351A"/>
    <w:rsid w:val="000835C2"/>
    <w:rsid w:val="0008378D"/>
    <w:rsid w:val="000837F3"/>
    <w:rsid w:val="0008388C"/>
    <w:rsid w:val="00083A81"/>
    <w:rsid w:val="00083AB7"/>
    <w:rsid w:val="00083E36"/>
    <w:rsid w:val="00083E99"/>
    <w:rsid w:val="00083EB4"/>
    <w:rsid w:val="00083FD4"/>
    <w:rsid w:val="00084151"/>
    <w:rsid w:val="00084546"/>
    <w:rsid w:val="0008455C"/>
    <w:rsid w:val="00084A9C"/>
    <w:rsid w:val="00084B87"/>
    <w:rsid w:val="00084FA8"/>
    <w:rsid w:val="000853B0"/>
    <w:rsid w:val="00085686"/>
    <w:rsid w:val="000856C5"/>
    <w:rsid w:val="0008584D"/>
    <w:rsid w:val="00085C31"/>
    <w:rsid w:val="00085F52"/>
    <w:rsid w:val="00086123"/>
    <w:rsid w:val="000867DD"/>
    <w:rsid w:val="00086CA2"/>
    <w:rsid w:val="000870F3"/>
    <w:rsid w:val="000872F2"/>
    <w:rsid w:val="00087351"/>
    <w:rsid w:val="00087618"/>
    <w:rsid w:val="0008775A"/>
    <w:rsid w:val="00087BDD"/>
    <w:rsid w:val="00087FEA"/>
    <w:rsid w:val="000901E6"/>
    <w:rsid w:val="000902D9"/>
    <w:rsid w:val="0009097A"/>
    <w:rsid w:val="00090C7E"/>
    <w:rsid w:val="00091062"/>
    <w:rsid w:val="0009127B"/>
    <w:rsid w:val="000914AA"/>
    <w:rsid w:val="00091C0A"/>
    <w:rsid w:val="000921D9"/>
    <w:rsid w:val="00092600"/>
    <w:rsid w:val="0009262B"/>
    <w:rsid w:val="00092669"/>
    <w:rsid w:val="000927EC"/>
    <w:rsid w:val="000929DD"/>
    <w:rsid w:val="00092B1B"/>
    <w:rsid w:val="00092D69"/>
    <w:rsid w:val="00092D90"/>
    <w:rsid w:val="00092FC5"/>
    <w:rsid w:val="00093310"/>
    <w:rsid w:val="0009338E"/>
    <w:rsid w:val="00093455"/>
    <w:rsid w:val="000935D6"/>
    <w:rsid w:val="0009365C"/>
    <w:rsid w:val="00093831"/>
    <w:rsid w:val="00093882"/>
    <w:rsid w:val="00093A27"/>
    <w:rsid w:val="00093A84"/>
    <w:rsid w:val="00093CEA"/>
    <w:rsid w:val="00094031"/>
    <w:rsid w:val="00094036"/>
    <w:rsid w:val="00094326"/>
    <w:rsid w:val="000943DC"/>
    <w:rsid w:val="0009445C"/>
    <w:rsid w:val="00094756"/>
    <w:rsid w:val="00094C77"/>
    <w:rsid w:val="00094CEF"/>
    <w:rsid w:val="00094D7A"/>
    <w:rsid w:val="00095148"/>
    <w:rsid w:val="00095200"/>
    <w:rsid w:val="00095291"/>
    <w:rsid w:val="0009553F"/>
    <w:rsid w:val="00095994"/>
    <w:rsid w:val="00095AC8"/>
    <w:rsid w:val="00095DF1"/>
    <w:rsid w:val="00095FE5"/>
    <w:rsid w:val="00096284"/>
    <w:rsid w:val="000964BC"/>
    <w:rsid w:val="000965E4"/>
    <w:rsid w:val="000965EE"/>
    <w:rsid w:val="00096E19"/>
    <w:rsid w:val="00096EE6"/>
    <w:rsid w:val="00096F59"/>
    <w:rsid w:val="00096FF0"/>
    <w:rsid w:val="0009716E"/>
    <w:rsid w:val="00097324"/>
    <w:rsid w:val="00097580"/>
    <w:rsid w:val="00097599"/>
    <w:rsid w:val="000975CD"/>
    <w:rsid w:val="00097724"/>
    <w:rsid w:val="000979E0"/>
    <w:rsid w:val="00097AC9"/>
    <w:rsid w:val="00097BB2"/>
    <w:rsid w:val="000A0A8A"/>
    <w:rsid w:val="000A0A96"/>
    <w:rsid w:val="000A0D17"/>
    <w:rsid w:val="000A0EE1"/>
    <w:rsid w:val="000A0FEF"/>
    <w:rsid w:val="000A1A13"/>
    <w:rsid w:val="000A1A6D"/>
    <w:rsid w:val="000A1BC0"/>
    <w:rsid w:val="000A1CA1"/>
    <w:rsid w:val="000A1F38"/>
    <w:rsid w:val="000A2246"/>
    <w:rsid w:val="000A2877"/>
    <w:rsid w:val="000A2AFB"/>
    <w:rsid w:val="000A2C88"/>
    <w:rsid w:val="000A2D27"/>
    <w:rsid w:val="000A315E"/>
    <w:rsid w:val="000A33A9"/>
    <w:rsid w:val="000A33C8"/>
    <w:rsid w:val="000A33DE"/>
    <w:rsid w:val="000A3531"/>
    <w:rsid w:val="000A3847"/>
    <w:rsid w:val="000A3896"/>
    <w:rsid w:val="000A39F1"/>
    <w:rsid w:val="000A3E47"/>
    <w:rsid w:val="000A40CC"/>
    <w:rsid w:val="000A4377"/>
    <w:rsid w:val="000A43A4"/>
    <w:rsid w:val="000A458D"/>
    <w:rsid w:val="000A46CE"/>
    <w:rsid w:val="000A47CC"/>
    <w:rsid w:val="000A4801"/>
    <w:rsid w:val="000A4861"/>
    <w:rsid w:val="000A48DC"/>
    <w:rsid w:val="000A4AE1"/>
    <w:rsid w:val="000A4BCA"/>
    <w:rsid w:val="000A4D03"/>
    <w:rsid w:val="000A4FBA"/>
    <w:rsid w:val="000A5526"/>
    <w:rsid w:val="000A5635"/>
    <w:rsid w:val="000A5750"/>
    <w:rsid w:val="000A5788"/>
    <w:rsid w:val="000A5947"/>
    <w:rsid w:val="000A5AA9"/>
    <w:rsid w:val="000A5B8D"/>
    <w:rsid w:val="000A5CA5"/>
    <w:rsid w:val="000A5D1F"/>
    <w:rsid w:val="000A5D8F"/>
    <w:rsid w:val="000A6039"/>
    <w:rsid w:val="000A62FE"/>
    <w:rsid w:val="000A663A"/>
    <w:rsid w:val="000A66A1"/>
    <w:rsid w:val="000A6E49"/>
    <w:rsid w:val="000A6F7A"/>
    <w:rsid w:val="000A71DA"/>
    <w:rsid w:val="000A7453"/>
    <w:rsid w:val="000A75F8"/>
    <w:rsid w:val="000A776D"/>
    <w:rsid w:val="000A7776"/>
    <w:rsid w:val="000A7786"/>
    <w:rsid w:val="000A7D08"/>
    <w:rsid w:val="000A7E40"/>
    <w:rsid w:val="000B0121"/>
    <w:rsid w:val="000B01A0"/>
    <w:rsid w:val="000B02D4"/>
    <w:rsid w:val="000B0350"/>
    <w:rsid w:val="000B057A"/>
    <w:rsid w:val="000B0670"/>
    <w:rsid w:val="000B0727"/>
    <w:rsid w:val="000B098D"/>
    <w:rsid w:val="000B0995"/>
    <w:rsid w:val="000B099D"/>
    <w:rsid w:val="000B0A58"/>
    <w:rsid w:val="000B0CC5"/>
    <w:rsid w:val="000B0D3B"/>
    <w:rsid w:val="000B0DD0"/>
    <w:rsid w:val="000B0E75"/>
    <w:rsid w:val="000B10C9"/>
    <w:rsid w:val="000B1B3E"/>
    <w:rsid w:val="000B2122"/>
    <w:rsid w:val="000B217E"/>
    <w:rsid w:val="000B23FA"/>
    <w:rsid w:val="000B25EF"/>
    <w:rsid w:val="000B27AB"/>
    <w:rsid w:val="000B2824"/>
    <w:rsid w:val="000B2947"/>
    <w:rsid w:val="000B29C1"/>
    <w:rsid w:val="000B2A59"/>
    <w:rsid w:val="000B2A63"/>
    <w:rsid w:val="000B2DCB"/>
    <w:rsid w:val="000B2EA0"/>
    <w:rsid w:val="000B2F25"/>
    <w:rsid w:val="000B2FC3"/>
    <w:rsid w:val="000B3260"/>
    <w:rsid w:val="000B33B3"/>
    <w:rsid w:val="000B363B"/>
    <w:rsid w:val="000B3A08"/>
    <w:rsid w:val="000B3DC9"/>
    <w:rsid w:val="000B4270"/>
    <w:rsid w:val="000B47DC"/>
    <w:rsid w:val="000B4822"/>
    <w:rsid w:val="000B518A"/>
    <w:rsid w:val="000B522B"/>
    <w:rsid w:val="000B531B"/>
    <w:rsid w:val="000B54A1"/>
    <w:rsid w:val="000B5737"/>
    <w:rsid w:val="000B5C15"/>
    <w:rsid w:val="000B5CE0"/>
    <w:rsid w:val="000B5D17"/>
    <w:rsid w:val="000B614F"/>
    <w:rsid w:val="000B61A8"/>
    <w:rsid w:val="000B6ACA"/>
    <w:rsid w:val="000B6AD9"/>
    <w:rsid w:val="000B6C58"/>
    <w:rsid w:val="000B6CAC"/>
    <w:rsid w:val="000B7090"/>
    <w:rsid w:val="000B7387"/>
    <w:rsid w:val="000B7612"/>
    <w:rsid w:val="000B774C"/>
    <w:rsid w:val="000B78AE"/>
    <w:rsid w:val="000B7F7D"/>
    <w:rsid w:val="000B7F89"/>
    <w:rsid w:val="000C021F"/>
    <w:rsid w:val="000C03D1"/>
    <w:rsid w:val="000C0801"/>
    <w:rsid w:val="000C0B91"/>
    <w:rsid w:val="000C0BEF"/>
    <w:rsid w:val="000C0FF3"/>
    <w:rsid w:val="000C1307"/>
    <w:rsid w:val="000C136A"/>
    <w:rsid w:val="000C1414"/>
    <w:rsid w:val="000C156C"/>
    <w:rsid w:val="000C16F6"/>
    <w:rsid w:val="000C1742"/>
    <w:rsid w:val="000C195E"/>
    <w:rsid w:val="000C19C8"/>
    <w:rsid w:val="000C1AC9"/>
    <w:rsid w:val="000C1CC1"/>
    <w:rsid w:val="000C1D80"/>
    <w:rsid w:val="000C1ED1"/>
    <w:rsid w:val="000C2354"/>
    <w:rsid w:val="000C2635"/>
    <w:rsid w:val="000C2B4B"/>
    <w:rsid w:val="000C2D12"/>
    <w:rsid w:val="000C2D20"/>
    <w:rsid w:val="000C31F1"/>
    <w:rsid w:val="000C328C"/>
    <w:rsid w:val="000C38CA"/>
    <w:rsid w:val="000C3AFA"/>
    <w:rsid w:val="000C3BCB"/>
    <w:rsid w:val="000C3DF9"/>
    <w:rsid w:val="000C40A5"/>
    <w:rsid w:val="000C429A"/>
    <w:rsid w:val="000C48A0"/>
    <w:rsid w:val="000C4C42"/>
    <w:rsid w:val="000C4D8B"/>
    <w:rsid w:val="000C4DEE"/>
    <w:rsid w:val="000C4F74"/>
    <w:rsid w:val="000C5168"/>
    <w:rsid w:val="000C56E7"/>
    <w:rsid w:val="000C57BD"/>
    <w:rsid w:val="000C59F5"/>
    <w:rsid w:val="000C5A71"/>
    <w:rsid w:val="000C5A8A"/>
    <w:rsid w:val="000C5DDE"/>
    <w:rsid w:val="000C5E73"/>
    <w:rsid w:val="000C6713"/>
    <w:rsid w:val="000C67C3"/>
    <w:rsid w:val="000C6912"/>
    <w:rsid w:val="000C6989"/>
    <w:rsid w:val="000C6ACF"/>
    <w:rsid w:val="000C7473"/>
    <w:rsid w:val="000C787D"/>
    <w:rsid w:val="000C7CDF"/>
    <w:rsid w:val="000D0057"/>
    <w:rsid w:val="000D0BBD"/>
    <w:rsid w:val="000D12F1"/>
    <w:rsid w:val="000D1364"/>
    <w:rsid w:val="000D1B22"/>
    <w:rsid w:val="000D1BFC"/>
    <w:rsid w:val="000D1D25"/>
    <w:rsid w:val="000D1D5D"/>
    <w:rsid w:val="000D2177"/>
    <w:rsid w:val="000D22A8"/>
    <w:rsid w:val="000D23B9"/>
    <w:rsid w:val="000D24AC"/>
    <w:rsid w:val="000D281A"/>
    <w:rsid w:val="000D2848"/>
    <w:rsid w:val="000D29CB"/>
    <w:rsid w:val="000D2F53"/>
    <w:rsid w:val="000D30A6"/>
    <w:rsid w:val="000D317F"/>
    <w:rsid w:val="000D326A"/>
    <w:rsid w:val="000D33A0"/>
    <w:rsid w:val="000D356B"/>
    <w:rsid w:val="000D396A"/>
    <w:rsid w:val="000D3D73"/>
    <w:rsid w:val="000D3D98"/>
    <w:rsid w:val="000D3E1D"/>
    <w:rsid w:val="000D3ECE"/>
    <w:rsid w:val="000D4206"/>
    <w:rsid w:val="000D45EE"/>
    <w:rsid w:val="000D46A3"/>
    <w:rsid w:val="000D47DE"/>
    <w:rsid w:val="000D4D02"/>
    <w:rsid w:val="000D4D2A"/>
    <w:rsid w:val="000D4D70"/>
    <w:rsid w:val="000D4ECF"/>
    <w:rsid w:val="000D50A6"/>
    <w:rsid w:val="000D50CB"/>
    <w:rsid w:val="000D51FB"/>
    <w:rsid w:val="000D6504"/>
    <w:rsid w:val="000D669D"/>
    <w:rsid w:val="000D66FC"/>
    <w:rsid w:val="000D67C0"/>
    <w:rsid w:val="000D68B6"/>
    <w:rsid w:val="000D6A2A"/>
    <w:rsid w:val="000D6E1D"/>
    <w:rsid w:val="000D7036"/>
    <w:rsid w:val="000D72E9"/>
    <w:rsid w:val="000D782E"/>
    <w:rsid w:val="000D783A"/>
    <w:rsid w:val="000D7B3D"/>
    <w:rsid w:val="000D7B6C"/>
    <w:rsid w:val="000D7D41"/>
    <w:rsid w:val="000D7D7F"/>
    <w:rsid w:val="000E0012"/>
    <w:rsid w:val="000E0097"/>
    <w:rsid w:val="000E0389"/>
    <w:rsid w:val="000E03A3"/>
    <w:rsid w:val="000E0640"/>
    <w:rsid w:val="000E0732"/>
    <w:rsid w:val="000E0884"/>
    <w:rsid w:val="000E0AD2"/>
    <w:rsid w:val="000E0C21"/>
    <w:rsid w:val="000E0D56"/>
    <w:rsid w:val="000E0D81"/>
    <w:rsid w:val="000E0D8E"/>
    <w:rsid w:val="000E1224"/>
    <w:rsid w:val="000E135D"/>
    <w:rsid w:val="000E1A3D"/>
    <w:rsid w:val="000E2451"/>
    <w:rsid w:val="000E2A55"/>
    <w:rsid w:val="000E2BEC"/>
    <w:rsid w:val="000E3AE8"/>
    <w:rsid w:val="000E426B"/>
    <w:rsid w:val="000E42EA"/>
    <w:rsid w:val="000E4482"/>
    <w:rsid w:val="000E459A"/>
    <w:rsid w:val="000E47EC"/>
    <w:rsid w:val="000E4F40"/>
    <w:rsid w:val="000E55BA"/>
    <w:rsid w:val="000E5730"/>
    <w:rsid w:val="000E5742"/>
    <w:rsid w:val="000E5AB6"/>
    <w:rsid w:val="000E63B5"/>
    <w:rsid w:val="000E680E"/>
    <w:rsid w:val="000E6CE2"/>
    <w:rsid w:val="000E6E94"/>
    <w:rsid w:val="000E737E"/>
    <w:rsid w:val="000E7521"/>
    <w:rsid w:val="000E7D4B"/>
    <w:rsid w:val="000E7FB4"/>
    <w:rsid w:val="000F00BA"/>
    <w:rsid w:val="000F00D4"/>
    <w:rsid w:val="000F0BBC"/>
    <w:rsid w:val="000F0C89"/>
    <w:rsid w:val="000F1259"/>
    <w:rsid w:val="000F1330"/>
    <w:rsid w:val="000F1406"/>
    <w:rsid w:val="000F165C"/>
    <w:rsid w:val="000F16FC"/>
    <w:rsid w:val="000F20B4"/>
    <w:rsid w:val="000F22BF"/>
    <w:rsid w:val="000F2527"/>
    <w:rsid w:val="000F2975"/>
    <w:rsid w:val="000F2E56"/>
    <w:rsid w:val="000F2FFD"/>
    <w:rsid w:val="000F3118"/>
    <w:rsid w:val="000F316A"/>
    <w:rsid w:val="000F3595"/>
    <w:rsid w:val="000F364B"/>
    <w:rsid w:val="000F370F"/>
    <w:rsid w:val="000F38AC"/>
    <w:rsid w:val="000F3C74"/>
    <w:rsid w:val="000F3CAF"/>
    <w:rsid w:val="000F43E5"/>
    <w:rsid w:val="000F47E3"/>
    <w:rsid w:val="000F4A21"/>
    <w:rsid w:val="000F4BB8"/>
    <w:rsid w:val="000F4FA9"/>
    <w:rsid w:val="000F51C4"/>
    <w:rsid w:val="000F5352"/>
    <w:rsid w:val="000F53FB"/>
    <w:rsid w:val="000F563A"/>
    <w:rsid w:val="000F5C14"/>
    <w:rsid w:val="000F5DC1"/>
    <w:rsid w:val="000F637A"/>
    <w:rsid w:val="000F6A00"/>
    <w:rsid w:val="000F6B34"/>
    <w:rsid w:val="000F7105"/>
    <w:rsid w:val="000F7127"/>
    <w:rsid w:val="000F7436"/>
    <w:rsid w:val="000F750C"/>
    <w:rsid w:val="000F756D"/>
    <w:rsid w:val="000F79C1"/>
    <w:rsid w:val="000F7B54"/>
    <w:rsid w:val="000F7F52"/>
    <w:rsid w:val="000F7FF9"/>
    <w:rsid w:val="0010003C"/>
    <w:rsid w:val="001002C7"/>
    <w:rsid w:val="00100915"/>
    <w:rsid w:val="00100934"/>
    <w:rsid w:val="0010099A"/>
    <w:rsid w:val="00100A65"/>
    <w:rsid w:val="00100B23"/>
    <w:rsid w:val="00100D4D"/>
    <w:rsid w:val="00100F8A"/>
    <w:rsid w:val="00101057"/>
    <w:rsid w:val="001010F2"/>
    <w:rsid w:val="00101A96"/>
    <w:rsid w:val="00101ACC"/>
    <w:rsid w:val="00101AF6"/>
    <w:rsid w:val="00101B34"/>
    <w:rsid w:val="00101B9B"/>
    <w:rsid w:val="00101E16"/>
    <w:rsid w:val="001020B2"/>
    <w:rsid w:val="001021B5"/>
    <w:rsid w:val="00102532"/>
    <w:rsid w:val="00102744"/>
    <w:rsid w:val="001028B4"/>
    <w:rsid w:val="00102F39"/>
    <w:rsid w:val="00102F67"/>
    <w:rsid w:val="0010312C"/>
    <w:rsid w:val="001034A4"/>
    <w:rsid w:val="001034A6"/>
    <w:rsid w:val="001034DD"/>
    <w:rsid w:val="00103A07"/>
    <w:rsid w:val="00103A6B"/>
    <w:rsid w:val="00103CBF"/>
    <w:rsid w:val="00103D64"/>
    <w:rsid w:val="00103EF7"/>
    <w:rsid w:val="00103FC5"/>
    <w:rsid w:val="001044D2"/>
    <w:rsid w:val="0010452E"/>
    <w:rsid w:val="00104E8F"/>
    <w:rsid w:val="001052A4"/>
    <w:rsid w:val="00105379"/>
    <w:rsid w:val="00105383"/>
    <w:rsid w:val="0010554F"/>
    <w:rsid w:val="0010572E"/>
    <w:rsid w:val="00105859"/>
    <w:rsid w:val="001058D7"/>
    <w:rsid w:val="001058F8"/>
    <w:rsid w:val="00105AE2"/>
    <w:rsid w:val="00105B5E"/>
    <w:rsid w:val="00105B93"/>
    <w:rsid w:val="00105BEF"/>
    <w:rsid w:val="00105CAE"/>
    <w:rsid w:val="001060C6"/>
    <w:rsid w:val="001067AC"/>
    <w:rsid w:val="00106B80"/>
    <w:rsid w:val="001071C5"/>
    <w:rsid w:val="00107278"/>
    <w:rsid w:val="00107600"/>
    <w:rsid w:val="00107881"/>
    <w:rsid w:val="00107E42"/>
    <w:rsid w:val="00107EEB"/>
    <w:rsid w:val="0011032E"/>
    <w:rsid w:val="00110589"/>
    <w:rsid w:val="00110625"/>
    <w:rsid w:val="00110BF7"/>
    <w:rsid w:val="00110E09"/>
    <w:rsid w:val="0011119A"/>
    <w:rsid w:val="001112BB"/>
    <w:rsid w:val="0011170D"/>
    <w:rsid w:val="00111F72"/>
    <w:rsid w:val="0011218B"/>
    <w:rsid w:val="0011251D"/>
    <w:rsid w:val="00112719"/>
    <w:rsid w:val="00112A33"/>
    <w:rsid w:val="00112A64"/>
    <w:rsid w:val="00112B3E"/>
    <w:rsid w:val="00112B6C"/>
    <w:rsid w:val="00112D5D"/>
    <w:rsid w:val="0011348B"/>
    <w:rsid w:val="00113884"/>
    <w:rsid w:val="001138A6"/>
    <w:rsid w:val="00113CB6"/>
    <w:rsid w:val="00113E71"/>
    <w:rsid w:val="001140E2"/>
    <w:rsid w:val="00114816"/>
    <w:rsid w:val="00114B07"/>
    <w:rsid w:val="00114DEA"/>
    <w:rsid w:val="00114E17"/>
    <w:rsid w:val="00114F7B"/>
    <w:rsid w:val="001157B3"/>
    <w:rsid w:val="0011581B"/>
    <w:rsid w:val="00115982"/>
    <w:rsid w:val="00115C0C"/>
    <w:rsid w:val="00115C5E"/>
    <w:rsid w:val="00115F44"/>
    <w:rsid w:val="001162F5"/>
    <w:rsid w:val="00116353"/>
    <w:rsid w:val="00116811"/>
    <w:rsid w:val="00116A9F"/>
    <w:rsid w:val="00116C53"/>
    <w:rsid w:val="0011705D"/>
    <w:rsid w:val="001171B5"/>
    <w:rsid w:val="00117B1D"/>
    <w:rsid w:val="00117BFA"/>
    <w:rsid w:val="00117ED5"/>
    <w:rsid w:val="001209DB"/>
    <w:rsid w:val="00120DE1"/>
    <w:rsid w:val="0012113E"/>
    <w:rsid w:val="001211A5"/>
    <w:rsid w:val="00121799"/>
    <w:rsid w:val="001219E6"/>
    <w:rsid w:val="001222FC"/>
    <w:rsid w:val="0012240A"/>
    <w:rsid w:val="001224C2"/>
    <w:rsid w:val="001224EF"/>
    <w:rsid w:val="00122851"/>
    <w:rsid w:val="001228E7"/>
    <w:rsid w:val="00122D7E"/>
    <w:rsid w:val="00123329"/>
    <w:rsid w:val="0012362C"/>
    <w:rsid w:val="00123902"/>
    <w:rsid w:val="00123982"/>
    <w:rsid w:val="00123B96"/>
    <w:rsid w:val="00123E40"/>
    <w:rsid w:val="0012418F"/>
    <w:rsid w:val="001241C4"/>
    <w:rsid w:val="00124971"/>
    <w:rsid w:val="00124A51"/>
    <w:rsid w:val="00124ADC"/>
    <w:rsid w:val="00124C27"/>
    <w:rsid w:val="00125023"/>
    <w:rsid w:val="00125289"/>
    <w:rsid w:val="00125750"/>
    <w:rsid w:val="00125810"/>
    <w:rsid w:val="00125823"/>
    <w:rsid w:val="00125EDC"/>
    <w:rsid w:val="00125FE9"/>
    <w:rsid w:val="00126125"/>
    <w:rsid w:val="001263D2"/>
    <w:rsid w:val="0012640C"/>
    <w:rsid w:val="00126621"/>
    <w:rsid w:val="00126960"/>
    <w:rsid w:val="001269AA"/>
    <w:rsid w:val="00126B1D"/>
    <w:rsid w:val="00126B7C"/>
    <w:rsid w:val="00126B87"/>
    <w:rsid w:val="00127121"/>
    <w:rsid w:val="001275A8"/>
    <w:rsid w:val="00127A5D"/>
    <w:rsid w:val="00127D24"/>
    <w:rsid w:val="001301E9"/>
    <w:rsid w:val="001309E3"/>
    <w:rsid w:val="00130C4D"/>
    <w:rsid w:val="0013123C"/>
    <w:rsid w:val="0013150B"/>
    <w:rsid w:val="001317FB"/>
    <w:rsid w:val="00131A23"/>
    <w:rsid w:val="00131D82"/>
    <w:rsid w:val="0013211A"/>
    <w:rsid w:val="0013223A"/>
    <w:rsid w:val="001326C7"/>
    <w:rsid w:val="00132778"/>
    <w:rsid w:val="001327F1"/>
    <w:rsid w:val="001329AB"/>
    <w:rsid w:val="00132B22"/>
    <w:rsid w:val="00132B29"/>
    <w:rsid w:val="00132ED0"/>
    <w:rsid w:val="00133008"/>
    <w:rsid w:val="00133044"/>
    <w:rsid w:val="001331FD"/>
    <w:rsid w:val="0013334E"/>
    <w:rsid w:val="00133361"/>
    <w:rsid w:val="00133540"/>
    <w:rsid w:val="001335E4"/>
    <w:rsid w:val="0013383F"/>
    <w:rsid w:val="00133CAA"/>
    <w:rsid w:val="00133D36"/>
    <w:rsid w:val="00133D59"/>
    <w:rsid w:val="00133D8B"/>
    <w:rsid w:val="00133ECA"/>
    <w:rsid w:val="00133F1E"/>
    <w:rsid w:val="00133FC1"/>
    <w:rsid w:val="00134155"/>
    <w:rsid w:val="00134811"/>
    <w:rsid w:val="00134CAB"/>
    <w:rsid w:val="00134E66"/>
    <w:rsid w:val="001351B2"/>
    <w:rsid w:val="00135216"/>
    <w:rsid w:val="001352AB"/>
    <w:rsid w:val="00135631"/>
    <w:rsid w:val="001357A0"/>
    <w:rsid w:val="00135C36"/>
    <w:rsid w:val="00135F37"/>
    <w:rsid w:val="00135F4B"/>
    <w:rsid w:val="0013636D"/>
    <w:rsid w:val="00136431"/>
    <w:rsid w:val="00136590"/>
    <w:rsid w:val="0013683F"/>
    <w:rsid w:val="001368E2"/>
    <w:rsid w:val="00136915"/>
    <w:rsid w:val="00136DBA"/>
    <w:rsid w:val="00136DE8"/>
    <w:rsid w:val="00137326"/>
    <w:rsid w:val="00137476"/>
    <w:rsid w:val="00137645"/>
    <w:rsid w:val="0013784A"/>
    <w:rsid w:val="0014015A"/>
    <w:rsid w:val="00140587"/>
    <w:rsid w:val="00140C9B"/>
    <w:rsid w:val="00140DC5"/>
    <w:rsid w:val="00140DCC"/>
    <w:rsid w:val="00140DEC"/>
    <w:rsid w:val="00140E99"/>
    <w:rsid w:val="00141013"/>
    <w:rsid w:val="001410CE"/>
    <w:rsid w:val="00141430"/>
    <w:rsid w:val="001418AB"/>
    <w:rsid w:val="00141B43"/>
    <w:rsid w:val="00141B62"/>
    <w:rsid w:val="00141E3D"/>
    <w:rsid w:val="00142024"/>
    <w:rsid w:val="00142220"/>
    <w:rsid w:val="001426C8"/>
    <w:rsid w:val="00142825"/>
    <w:rsid w:val="00142959"/>
    <w:rsid w:val="001429C5"/>
    <w:rsid w:val="001429EA"/>
    <w:rsid w:val="0014312A"/>
    <w:rsid w:val="0014367D"/>
    <w:rsid w:val="00143AC1"/>
    <w:rsid w:val="00143F67"/>
    <w:rsid w:val="00144461"/>
    <w:rsid w:val="001444EC"/>
    <w:rsid w:val="00144531"/>
    <w:rsid w:val="00144820"/>
    <w:rsid w:val="00144A81"/>
    <w:rsid w:val="00144AD3"/>
    <w:rsid w:val="00144DC8"/>
    <w:rsid w:val="001450AD"/>
    <w:rsid w:val="00145290"/>
    <w:rsid w:val="001453FF"/>
    <w:rsid w:val="00145454"/>
    <w:rsid w:val="00145540"/>
    <w:rsid w:val="001455CD"/>
    <w:rsid w:val="001456B0"/>
    <w:rsid w:val="001460BB"/>
    <w:rsid w:val="0014636F"/>
    <w:rsid w:val="00146471"/>
    <w:rsid w:val="0014663B"/>
    <w:rsid w:val="0014668D"/>
    <w:rsid w:val="001468D9"/>
    <w:rsid w:val="0014702D"/>
    <w:rsid w:val="00147417"/>
    <w:rsid w:val="001474FF"/>
    <w:rsid w:val="00147793"/>
    <w:rsid w:val="00147844"/>
    <w:rsid w:val="00147B8B"/>
    <w:rsid w:val="00147CCC"/>
    <w:rsid w:val="0015022A"/>
    <w:rsid w:val="0015045D"/>
    <w:rsid w:val="00150656"/>
    <w:rsid w:val="00151228"/>
    <w:rsid w:val="001512FB"/>
    <w:rsid w:val="00151484"/>
    <w:rsid w:val="00151783"/>
    <w:rsid w:val="00152194"/>
    <w:rsid w:val="00152930"/>
    <w:rsid w:val="00152D7D"/>
    <w:rsid w:val="00152E27"/>
    <w:rsid w:val="00152F80"/>
    <w:rsid w:val="00152FA7"/>
    <w:rsid w:val="0015318D"/>
    <w:rsid w:val="001531FC"/>
    <w:rsid w:val="0015347E"/>
    <w:rsid w:val="00153883"/>
    <w:rsid w:val="00154255"/>
    <w:rsid w:val="001543AA"/>
    <w:rsid w:val="001549A2"/>
    <w:rsid w:val="001549BF"/>
    <w:rsid w:val="00154C49"/>
    <w:rsid w:val="00154E79"/>
    <w:rsid w:val="00154FB2"/>
    <w:rsid w:val="00155632"/>
    <w:rsid w:val="00155886"/>
    <w:rsid w:val="00155C01"/>
    <w:rsid w:val="00155C8E"/>
    <w:rsid w:val="00155CC7"/>
    <w:rsid w:val="00155D40"/>
    <w:rsid w:val="0015668D"/>
    <w:rsid w:val="001566D9"/>
    <w:rsid w:val="001566E4"/>
    <w:rsid w:val="00156958"/>
    <w:rsid w:val="00156C4A"/>
    <w:rsid w:val="00156F8F"/>
    <w:rsid w:val="001570B4"/>
    <w:rsid w:val="00157102"/>
    <w:rsid w:val="00157130"/>
    <w:rsid w:val="001571A2"/>
    <w:rsid w:val="001571CE"/>
    <w:rsid w:val="00157336"/>
    <w:rsid w:val="00157417"/>
    <w:rsid w:val="001576B1"/>
    <w:rsid w:val="001600D6"/>
    <w:rsid w:val="00160189"/>
    <w:rsid w:val="001601E3"/>
    <w:rsid w:val="0016047B"/>
    <w:rsid w:val="0016051C"/>
    <w:rsid w:val="0016063D"/>
    <w:rsid w:val="001606D7"/>
    <w:rsid w:val="001606D8"/>
    <w:rsid w:val="001608C2"/>
    <w:rsid w:val="00160A4C"/>
    <w:rsid w:val="00160B60"/>
    <w:rsid w:val="00160C97"/>
    <w:rsid w:val="00160DD5"/>
    <w:rsid w:val="00160FE0"/>
    <w:rsid w:val="001611DD"/>
    <w:rsid w:val="0016147D"/>
    <w:rsid w:val="001615E2"/>
    <w:rsid w:val="00161987"/>
    <w:rsid w:val="00161AED"/>
    <w:rsid w:val="00161C28"/>
    <w:rsid w:val="00161DDD"/>
    <w:rsid w:val="00161DFF"/>
    <w:rsid w:val="00162730"/>
    <w:rsid w:val="00162913"/>
    <w:rsid w:val="00163215"/>
    <w:rsid w:val="0016334A"/>
    <w:rsid w:val="00163621"/>
    <w:rsid w:val="00163644"/>
    <w:rsid w:val="0016377B"/>
    <w:rsid w:val="0016381D"/>
    <w:rsid w:val="001638A8"/>
    <w:rsid w:val="00163C28"/>
    <w:rsid w:val="00163EFF"/>
    <w:rsid w:val="00163F66"/>
    <w:rsid w:val="00164019"/>
    <w:rsid w:val="0016407C"/>
    <w:rsid w:val="0016463E"/>
    <w:rsid w:val="0016469A"/>
    <w:rsid w:val="00164870"/>
    <w:rsid w:val="00164D78"/>
    <w:rsid w:val="001650DB"/>
    <w:rsid w:val="00165113"/>
    <w:rsid w:val="00165571"/>
    <w:rsid w:val="00165634"/>
    <w:rsid w:val="00165653"/>
    <w:rsid w:val="00165894"/>
    <w:rsid w:val="00165AD6"/>
    <w:rsid w:val="00165EAB"/>
    <w:rsid w:val="0016602A"/>
    <w:rsid w:val="00166167"/>
    <w:rsid w:val="001661FB"/>
    <w:rsid w:val="00166337"/>
    <w:rsid w:val="00166488"/>
    <w:rsid w:val="00166580"/>
    <w:rsid w:val="00166609"/>
    <w:rsid w:val="00166B7D"/>
    <w:rsid w:val="00166D4F"/>
    <w:rsid w:val="001671A0"/>
    <w:rsid w:val="00167399"/>
    <w:rsid w:val="0016741E"/>
    <w:rsid w:val="0016767F"/>
    <w:rsid w:val="00167D9D"/>
    <w:rsid w:val="00170192"/>
    <w:rsid w:val="001703FF"/>
    <w:rsid w:val="0017045E"/>
    <w:rsid w:val="00170AA6"/>
    <w:rsid w:val="00170B2D"/>
    <w:rsid w:val="00170C54"/>
    <w:rsid w:val="0017131F"/>
    <w:rsid w:val="001713D4"/>
    <w:rsid w:val="001718CE"/>
    <w:rsid w:val="00171964"/>
    <w:rsid w:val="00171B36"/>
    <w:rsid w:val="00171BBA"/>
    <w:rsid w:val="00171C91"/>
    <w:rsid w:val="00172297"/>
    <w:rsid w:val="0017246A"/>
    <w:rsid w:val="00172609"/>
    <w:rsid w:val="0017269F"/>
    <w:rsid w:val="0017285C"/>
    <w:rsid w:val="00172C05"/>
    <w:rsid w:val="00172DA0"/>
    <w:rsid w:val="00172F7E"/>
    <w:rsid w:val="00172FAC"/>
    <w:rsid w:val="00173171"/>
    <w:rsid w:val="001732CB"/>
    <w:rsid w:val="0017339B"/>
    <w:rsid w:val="00173565"/>
    <w:rsid w:val="00173A82"/>
    <w:rsid w:val="00173AA4"/>
    <w:rsid w:val="00173B07"/>
    <w:rsid w:val="00173B31"/>
    <w:rsid w:val="001742B6"/>
    <w:rsid w:val="0017450E"/>
    <w:rsid w:val="001745A4"/>
    <w:rsid w:val="001745F6"/>
    <w:rsid w:val="00174AD4"/>
    <w:rsid w:val="00174B08"/>
    <w:rsid w:val="001751FA"/>
    <w:rsid w:val="0017536C"/>
    <w:rsid w:val="0017567E"/>
    <w:rsid w:val="001758EA"/>
    <w:rsid w:val="00175A59"/>
    <w:rsid w:val="00175A96"/>
    <w:rsid w:val="0017622B"/>
    <w:rsid w:val="0017653F"/>
    <w:rsid w:val="00176546"/>
    <w:rsid w:val="001766CA"/>
    <w:rsid w:val="00176701"/>
    <w:rsid w:val="001768C5"/>
    <w:rsid w:val="001769FA"/>
    <w:rsid w:val="00176D98"/>
    <w:rsid w:val="0017734D"/>
    <w:rsid w:val="001773D3"/>
    <w:rsid w:val="00177756"/>
    <w:rsid w:val="00180A86"/>
    <w:rsid w:val="00180C1F"/>
    <w:rsid w:val="00180F49"/>
    <w:rsid w:val="00181194"/>
    <w:rsid w:val="0018121A"/>
    <w:rsid w:val="001812A1"/>
    <w:rsid w:val="001812D3"/>
    <w:rsid w:val="00181436"/>
    <w:rsid w:val="00181D88"/>
    <w:rsid w:val="00181D9C"/>
    <w:rsid w:val="00181E1C"/>
    <w:rsid w:val="00181EAD"/>
    <w:rsid w:val="00182387"/>
    <w:rsid w:val="0018263B"/>
    <w:rsid w:val="00182787"/>
    <w:rsid w:val="00182C0F"/>
    <w:rsid w:val="00182DA4"/>
    <w:rsid w:val="00182E2E"/>
    <w:rsid w:val="001830EE"/>
    <w:rsid w:val="001831B1"/>
    <w:rsid w:val="001831EC"/>
    <w:rsid w:val="00183353"/>
    <w:rsid w:val="0018345C"/>
    <w:rsid w:val="001837A7"/>
    <w:rsid w:val="0018381F"/>
    <w:rsid w:val="0018384E"/>
    <w:rsid w:val="00184775"/>
    <w:rsid w:val="001849BA"/>
    <w:rsid w:val="00184B0E"/>
    <w:rsid w:val="00184C17"/>
    <w:rsid w:val="00184E3B"/>
    <w:rsid w:val="001852DE"/>
    <w:rsid w:val="00185822"/>
    <w:rsid w:val="001858EB"/>
    <w:rsid w:val="00185A01"/>
    <w:rsid w:val="00185A9C"/>
    <w:rsid w:val="00185E3B"/>
    <w:rsid w:val="0018631C"/>
    <w:rsid w:val="001867F2"/>
    <w:rsid w:val="00186940"/>
    <w:rsid w:val="001869B0"/>
    <w:rsid w:val="00186B2A"/>
    <w:rsid w:val="00186C35"/>
    <w:rsid w:val="00186D1C"/>
    <w:rsid w:val="00186EDF"/>
    <w:rsid w:val="00186F3D"/>
    <w:rsid w:val="00187131"/>
    <w:rsid w:val="0018721C"/>
    <w:rsid w:val="0018736B"/>
    <w:rsid w:val="001874DD"/>
    <w:rsid w:val="0018752F"/>
    <w:rsid w:val="00187702"/>
    <w:rsid w:val="00187BE7"/>
    <w:rsid w:val="0019069B"/>
    <w:rsid w:val="001907D4"/>
    <w:rsid w:val="001908C0"/>
    <w:rsid w:val="00190D07"/>
    <w:rsid w:val="00190DD6"/>
    <w:rsid w:val="00191D31"/>
    <w:rsid w:val="00191DD1"/>
    <w:rsid w:val="00191F1F"/>
    <w:rsid w:val="00191FFC"/>
    <w:rsid w:val="00192314"/>
    <w:rsid w:val="0019256F"/>
    <w:rsid w:val="00192590"/>
    <w:rsid w:val="00192DAA"/>
    <w:rsid w:val="00192F79"/>
    <w:rsid w:val="001933FB"/>
    <w:rsid w:val="0019362C"/>
    <w:rsid w:val="00193838"/>
    <w:rsid w:val="00193840"/>
    <w:rsid w:val="0019388C"/>
    <w:rsid w:val="00193977"/>
    <w:rsid w:val="00193B2D"/>
    <w:rsid w:val="00193F31"/>
    <w:rsid w:val="00193F47"/>
    <w:rsid w:val="00193FBB"/>
    <w:rsid w:val="00194711"/>
    <w:rsid w:val="00194A59"/>
    <w:rsid w:val="00194AD8"/>
    <w:rsid w:val="00195222"/>
    <w:rsid w:val="0019526B"/>
    <w:rsid w:val="0019542F"/>
    <w:rsid w:val="00195D81"/>
    <w:rsid w:val="00195FC1"/>
    <w:rsid w:val="0019628D"/>
    <w:rsid w:val="001966B1"/>
    <w:rsid w:val="00196C16"/>
    <w:rsid w:val="00196CBA"/>
    <w:rsid w:val="00196CBE"/>
    <w:rsid w:val="001970B9"/>
    <w:rsid w:val="0019730E"/>
    <w:rsid w:val="0019754D"/>
    <w:rsid w:val="001975D8"/>
    <w:rsid w:val="001976C0"/>
    <w:rsid w:val="001979B5"/>
    <w:rsid w:val="001A01C2"/>
    <w:rsid w:val="001A02BF"/>
    <w:rsid w:val="001A044D"/>
    <w:rsid w:val="001A071B"/>
    <w:rsid w:val="001A073D"/>
    <w:rsid w:val="001A08DE"/>
    <w:rsid w:val="001A09FC"/>
    <w:rsid w:val="001A0AAC"/>
    <w:rsid w:val="001A0F1F"/>
    <w:rsid w:val="001A0F23"/>
    <w:rsid w:val="001A13A9"/>
    <w:rsid w:val="001A14D3"/>
    <w:rsid w:val="001A178E"/>
    <w:rsid w:val="001A1FE1"/>
    <w:rsid w:val="001A20CF"/>
    <w:rsid w:val="001A25ED"/>
    <w:rsid w:val="001A26E4"/>
    <w:rsid w:val="001A26EF"/>
    <w:rsid w:val="001A2924"/>
    <w:rsid w:val="001A2ADC"/>
    <w:rsid w:val="001A2DE1"/>
    <w:rsid w:val="001A3190"/>
    <w:rsid w:val="001A330E"/>
    <w:rsid w:val="001A39F4"/>
    <w:rsid w:val="001A3C46"/>
    <w:rsid w:val="001A3ED6"/>
    <w:rsid w:val="001A43FA"/>
    <w:rsid w:val="001A45BC"/>
    <w:rsid w:val="001A47C5"/>
    <w:rsid w:val="001A483C"/>
    <w:rsid w:val="001A4CC6"/>
    <w:rsid w:val="001A51FA"/>
    <w:rsid w:val="001A54C1"/>
    <w:rsid w:val="001A55F4"/>
    <w:rsid w:val="001A597D"/>
    <w:rsid w:val="001A59FB"/>
    <w:rsid w:val="001A5ADA"/>
    <w:rsid w:val="001A5CA8"/>
    <w:rsid w:val="001A5E9E"/>
    <w:rsid w:val="001A5EF4"/>
    <w:rsid w:val="001A5F7A"/>
    <w:rsid w:val="001A612F"/>
    <w:rsid w:val="001A633C"/>
    <w:rsid w:val="001A6354"/>
    <w:rsid w:val="001A6366"/>
    <w:rsid w:val="001A6C31"/>
    <w:rsid w:val="001A6E51"/>
    <w:rsid w:val="001A7018"/>
    <w:rsid w:val="001A7AE8"/>
    <w:rsid w:val="001A7C23"/>
    <w:rsid w:val="001B068D"/>
    <w:rsid w:val="001B06EB"/>
    <w:rsid w:val="001B0949"/>
    <w:rsid w:val="001B106A"/>
    <w:rsid w:val="001B14E1"/>
    <w:rsid w:val="001B15AD"/>
    <w:rsid w:val="001B204E"/>
    <w:rsid w:val="001B2239"/>
    <w:rsid w:val="001B223A"/>
    <w:rsid w:val="001B2372"/>
    <w:rsid w:val="001B23AE"/>
    <w:rsid w:val="001B26BE"/>
    <w:rsid w:val="001B2809"/>
    <w:rsid w:val="001B2A91"/>
    <w:rsid w:val="001B2A94"/>
    <w:rsid w:val="001B2BED"/>
    <w:rsid w:val="001B2FB6"/>
    <w:rsid w:val="001B2FCE"/>
    <w:rsid w:val="001B312A"/>
    <w:rsid w:val="001B3289"/>
    <w:rsid w:val="001B3359"/>
    <w:rsid w:val="001B3443"/>
    <w:rsid w:val="001B3982"/>
    <w:rsid w:val="001B3A0E"/>
    <w:rsid w:val="001B3B0F"/>
    <w:rsid w:val="001B3EC4"/>
    <w:rsid w:val="001B404F"/>
    <w:rsid w:val="001B424F"/>
    <w:rsid w:val="001B4D20"/>
    <w:rsid w:val="001B53FD"/>
    <w:rsid w:val="001B55A4"/>
    <w:rsid w:val="001B5B96"/>
    <w:rsid w:val="001B5CA0"/>
    <w:rsid w:val="001B5CAC"/>
    <w:rsid w:val="001B5CB3"/>
    <w:rsid w:val="001B5D3A"/>
    <w:rsid w:val="001B5E93"/>
    <w:rsid w:val="001B6039"/>
    <w:rsid w:val="001B67AC"/>
    <w:rsid w:val="001B6905"/>
    <w:rsid w:val="001B6B51"/>
    <w:rsid w:val="001B6C25"/>
    <w:rsid w:val="001B71F4"/>
    <w:rsid w:val="001B721C"/>
    <w:rsid w:val="001B74F7"/>
    <w:rsid w:val="001B7957"/>
    <w:rsid w:val="001B7BBF"/>
    <w:rsid w:val="001B7BC1"/>
    <w:rsid w:val="001B7E31"/>
    <w:rsid w:val="001B7EA1"/>
    <w:rsid w:val="001C00FA"/>
    <w:rsid w:val="001C0138"/>
    <w:rsid w:val="001C0278"/>
    <w:rsid w:val="001C02DA"/>
    <w:rsid w:val="001C0301"/>
    <w:rsid w:val="001C0497"/>
    <w:rsid w:val="001C06FC"/>
    <w:rsid w:val="001C07A1"/>
    <w:rsid w:val="001C110C"/>
    <w:rsid w:val="001C139C"/>
    <w:rsid w:val="001C16CE"/>
    <w:rsid w:val="001C1BA6"/>
    <w:rsid w:val="001C1C6C"/>
    <w:rsid w:val="001C2025"/>
    <w:rsid w:val="001C29BC"/>
    <w:rsid w:val="001C2A9B"/>
    <w:rsid w:val="001C2AF2"/>
    <w:rsid w:val="001C2B82"/>
    <w:rsid w:val="001C2C34"/>
    <w:rsid w:val="001C2F38"/>
    <w:rsid w:val="001C318B"/>
    <w:rsid w:val="001C31B4"/>
    <w:rsid w:val="001C35F0"/>
    <w:rsid w:val="001C378A"/>
    <w:rsid w:val="001C3A11"/>
    <w:rsid w:val="001C3C6C"/>
    <w:rsid w:val="001C40A9"/>
    <w:rsid w:val="001C41E4"/>
    <w:rsid w:val="001C4299"/>
    <w:rsid w:val="001C4874"/>
    <w:rsid w:val="001C48FD"/>
    <w:rsid w:val="001C4EDC"/>
    <w:rsid w:val="001C4F09"/>
    <w:rsid w:val="001C4F34"/>
    <w:rsid w:val="001C5E3A"/>
    <w:rsid w:val="001C5F94"/>
    <w:rsid w:val="001C6306"/>
    <w:rsid w:val="001C643A"/>
    <w:rsid w:val="001C652A"/>
    <w:rsid w:val="001C66AF"/>
    <w:rsid w:val="001C6919"/>
    <w:rsid w:val="001C6E66"/>
    <w:rsid w:val="001C7012"/>
    <w:rsid w:val="001C7115"/>
    <w:rsid w:val="001C71EB"/>
    <w:rsid w:val="001C7A56"/>
    <w:rsid w:val="001C7C76"/>
    <w:rsid w:val="001C7D02"/>
    <w:rsid w:val="001C7E2B"/>
    <w:rsid w:val="001C7F61"/>
    <w:rsid w:val="001C7FA0"/>
    <w:rsid w:val="001C7FC6"/>
    <w:rsid w:val="001D0197"/>
    <w:rsid w:val="001D01D1"/>
    <w:rsid w:val="001D0284"/>
    <w:rsid w:val="001D0478"/>
    <w:rsid w:val="001D069D"/>
    <w:rsid w:val="001D0756"/>
    <w:rsid w:val="001D0960"/>
    <w:rsid w:val="001D09EE"/>
    <w:rsid w:val="001D0A78"/>
    <w:rsid w:val="001D0CBB"/>
    <w:rsid w:val="001D0D75"/>
    <w:rsid w:val="001D1100"/>
    <w:rsid w:val="001D1191"/>
    <w:rsid w:val="001D126F"/>
    <w:rsid w:val="001D1391"/>
    <w:rsid w:val="001D1555"/>
    <w:rsid w:val="001D157C"/>
    <w:rsid w:val="001D176D"/>
    <w:rsid w:val="001D187E"/>
    <w:rsid w:val="001D1ABA"/>
    <w:rsid w:val="001D1F09"/>
    <w:rsid w:val="001D25D7"/>
    <w:rsid w:val="001D2669"/>
    <w:rsid w:val="001D2820"/>
    <w:rsid w:val="001D296D"/>
    <w:rsid w:val="001D2D2E"/>
    <w:rsid w:val="001D2D76"/>
    <w:rsid w:val="001D2E15"/>
    <w:rsid w:val="001D2EA5"/>
    <w:rsid w:val="001D326D"/>
    <w:rsid w:val="001D333A"/>
    <w:rsid w:val="001D37B2"/>
    <w:rsid w:val="001D3A46"/>
    <w:rsid w:val="001D3BD3"/>
    <w:rsid w:val="001D3D4D"/>
    <w:rsid w:val="001D4075"/>
    <w:rsid w:val="001D4143"/>
    <w:rsid w:val="001D439D"/>
    <w:rsid w:val="001D48CE"/>
    <w:rsid w:val="001D50B2"/>
    <w:rsid w:val="001D5356"/>
    <w:rsid w:val="001D5487"/>
    <w:rsid w:val="001D54AA"/>
    <w:rsid w:val="001D5760"/>
    <w:rsid w:val="001D6588"/>
    <w:rsid w:val="001D65D7"/>
    <w:rsid w:val="001D65E6"/>
    <w:rsid w:val="001D6E98"/>
    <w:rsid w:val="001D6F49"/>
    <w:rsid w:val="001D70B9"/>
    <w:rsid w:val="001D72FA"/>
    <w:rsid w:val="001D7596"/>
    <w:rsid w:val="001D7645"/>
    <w:rsid w:val="001D7870"/>
    <w:rsid w:val="001D78FB"/>
    <w:rsid w:val="001D7C0F"/>
    <w:rsid w:val="001D7E91"/>
    <w:rsid w:val="001E06FE"/>
    <w:rsid w:val="001E0980"/>
    <w:rsid w:val="001E0C7A"/>
    <w:rsid w:val="001E0D22"/>
    <w:rsid w:val="001E0D77"/>
    <w:rsid w:val="001E11BE"/>
    <w:rsid w:val="001E1315"/>
    <w:rsid w:val="001E1589"/>
    <w:rsid w:val="001E1B41"/>
    <w:rsid w:val="001E1E3A"/>
    <w:rsid w:val="001E1E50"/>
    <w:rsid w:val="001E1E86"/>
    <w:rsid w:val="001E238E"/>
    <w:rsid w:val="001E2483"/>
    <w:rsid w:val="001E25C9"/>
    <w:rsid w:val="001E2767"/>
    <w:rsid w:val="001E295B"/>
    <w:rsid w:val="001E2A3B"/>
    <w:rsid w:val="001E2B1E"/>
    <w:rsid w:val="001E2CFF"/>
    <w:rsid w:val="001E2D06"/>
    <w:rsid w:val="001E2E81"/>
    <w:rsid w:val="001E2F24"/>
    <w:rsid w:val="001E30D4"/>
    <w:rsid w:val="001E34DF"/>
    <w:rsid w:val="001E35FC"/>
    <w:rsid w:val="001E3EFA"/>
    <w:rsid w:val="001E4030"/>
    <w:rsid w:val="001E4947"/>
    <w:rsid w:val="001E4A8D"/>
    <w:rsid w:val="001E5051"/>
    <w:rsid w:val="001E50B4"/>
    <w:rsid w:val="001E51A7"/>
    <w:rsid w:val="001E52EB"/>
    <w:rsid w:val="001E59CC"/>
    <w:rsid w:val="001E5AA3"/>
    <w:rsid w:val="001E5C7E"/>
    <w:rsid w:val="001E5D9A"/>
    <w:rsid w:val="001E6049"/>
    <w:rsid w:val="001E6176"/>
    <w:rsid w:val="001E61D2"/>
    <w:rsid w:val="001E6408"/>
    <w:rsid w:val="001E6A53"/>
    <w:rsid w:val="001E6D14"/>
    <w:rsid w:val="001E6D89"/>
    <w:rsid w:val="001E6DEA"/>
    <w:rsid w:val="001E708C"/>
    <w:rsid w:val="001E740C"/>
    <w:rsid w:val="001E74EA"/>
    <w:rsid w:val="001E7EE7"/>
    <w:rsid w:val="001F005A"/>
    <w:rsid w:val="001F0183"/>
    <w:rsid w:val="001F060A"/>
    <w:rsid w:val="001F0707"/>
    <w:rsid w:val="001F0ACA"/>
    <w:rsid w:val="001F0E3C"/>
    <w:rsid w:val="001F1171"/>
    <w:rsid w:val="001F1235"/>
    <w:rsid w:val="001F18BB"/>
    <w:rsid w:val="001F18F4"/>
    <w:rsid w:val="001F19B9"/>
    <w:rsid w:val="001F19E2"/>
    <w:rsid w:val="001F1B2B"/>
    <w:rsid w:val="001F1BC7"/>
    <w:rsid w:val="001F1CB3"/>
    <w:rsid w:val="001F1EA4"/>
    <w:rsid w:val="001F21DB"/>
    <w:rsid w:val="001F2664"/>
    <w:rsid w:val="001F2680"/>
    <w:rsid w:val="001F2706"/>
    <w:rsid w:val="001F2AE6"/>
    <w:rsid w:val="001F2E2B"/>
    <w:rsid w:val="001F3186"/>
    <w:rsid w:val="001F34EB"/>
    <w:rsid w:val="001F385A"/>
    <w:rsid w:val="001F38B5"/>
    <w:rsid w:val="001F3B18"/>
    <w:rsid w:val="001F3F82"/>
    <w:rsid w:val="001F4078"/>
    <w:rsid w:val="001F4081"/>
    <w:rsid w:val="001F447C"/>
    <w:rsid w:val="001F45D0"/>
    <w:rsid w:val="001F4775"/>
    <w:rsid w:val="001F5366"/>
    <w:rsid w:val="001F572B"/>
    <w:rsid w:val="001F5DC1"/>
    <w:rsid w:val="001F5FAB"/>
    <w:rsid w:val="001F6168"/>
    <w:rsid w:val="001F6211"/>
    <w:rsid w:val="001F6264"/>
    <w:rsid w:val="001F656D"/>
    <w:rsid w:val="001F659C"/>
    <w:rsid w:val="001F6DAB"/>
    <w:rsid w:val="001F6EC2"/>
    <w:rsid w:val="001F7323"/>
    <w:rsid w:val="001F7361"/>
    <w:rsid w:val="001F7478"/>
    <w:rsid w:val="001F7A2C"/>
    <w:rsid w:val="001F7B20"/>
    <w:rsid w:val="001F7F57"/>
    <w:rsid w:val="001F7FE4"/>
    <w:rsid w:val="00200213"/>
    <w:rsid w:val="002004BD"/>
    <w:rsid w:val="0020051D"/>
    <w:rsid w:val="0020051E"/>
    <w:rsid w:val="002006F7"/>
    <w:rsid w:val="002007F3"/>
    <w:rsid w:val="00200ED1"/>
    <w:rsid w:val="00200F10"/>
    <w:rsid w:val="00201096"/>
    <w:rsid w:val="002011B0"/>
    <w:rsid w:val="0020132A"/>
    <w:rsid w:val="00201597"/>
    <w:rsid w:val="00201851"/>
    <w:rsid w:val="00201D8E"/>
    <w:rsid w:val="00201FBF"/>
    <w:rsid w:val="0020216E"/>
    <w:rsid w:val="002025D0"/>
    <w:rsid w:val="0020264E"/>
    <w:rsid w:val="0020293A"/>
    <w:rsid w:val="00203116"/>
    <w:rsid w:val="00203181"/>
    <w:rsid w:val="00203248"/>
    <w:rsid w:val="002033AE"/>
    <w:rsid w:val="0020377E"/>
    <w:rsid w:val="00203783"/>
    <w:rsid w:val="0020385F"/>
    <w:rsid w:val="00203CFB"/>
    <w:rsid w:val="00203E6B"/>
    <w:rsid w:val="002041AF"/>
    <w:rsid w:val="002041F1"/>
    <w:rsid w:val="00204290"/>
    <w:rsid w:val="002044EB"/>
    <w:rsid w:val="00204907"/>
    <w:rsid w:val="00204C27"/>
    <w:rsid w:val="00204C52"/>
    <w:rsid w:val="002051FF"/>
    <w:rsid w:val="0020571C"/>
    <w:rsid w:val="00205796"/>
    <w:rsid w:val="00205BCA"/>
    <w:rsid w:val="00205CC7"/>
    <w:rsid w:val="00206627"/>
    <w:rsid w:val="002068A0"/>
    <w:rsid w:val="00206B53"/>
    <w:rsid w:val="00206C4C"/>
    <w:rsid w:val="00206E25"/>
    <w:rsid w:val="00207021"/>
    <w:rsid w:val="00207214"/>
    <w:rsid w:val="0020732F"/>
    <w:rsid w:val="0020733D"/>
    <w:rsid w:val="002074AB"/>
    <w:rsid w:val="002075B6"/>
    <w:rsid w:val="00207718"/>
    <w:rsid w:val="00207B7F"/>
    <w:rsid w:val="00207D00"/>
    <w:rsid w:val="00207F2B"/>
    <w:rsid w:val="00207FFE"/>
    <w:rsid w:val="00210057"/>
    <w:rsid w:val="002105C1"/>
    <w:rsid w:val="002106C3"/>
    <w:rsid w:val="00210715"/>
    <w:rsid w:val="0021086A"/>
    <w:rsid w:val="002108C4"/>
    <w:rsid w:val="00210B72"/>
    <w:rsid w:val="00210B80"/>
    <w:rsid w:val="00210C20"/>
    <w:rsid w:val="00210E3C"/>
    <w:rsid w:val="00210F6A"/>
    <w:rsid w:val="002113B7"/>
    <w:rsid w:val="002114A8"/>
    <w:rsid w:val="0021177F"/>
    <w:rsid w:val="00211891"/>
    <w:rsid w:val="002119B5"/>
    <w:rsid w:val="00211B03"/>
    <w:rsid w:val="00211EE9"/>
    <w:rsid w:val="00211F12"/>
    <w:rsid w:val="0021214A"/>
    <w:rsid w:val="002123E4"/>
    <w:rsid w:val="00212486"/>
    <w:rsid w:val="0021275C"/>
    <w:rsid w:val="002127BB"/>
    <w:rsid w:val="00212B3D"/>
    <w:rsid w:val="00212C74"/>
    <w:rsid w:val="00212CB1"/>
    <w:rsid w:val="0021327A"/>
    <w:rsid w:val="00213383"/>
    <w:rsid w:val="002135A5"/>
    <w:rsid w:val="00213844"/>
    <w:rsid w:val="00213B4D"/>
    <w:rsid w:val="00213BA2"/>
    <w:rsid w:val="00213C90"/>
    <w:rsid w:val="00213EF5"/>
    <w:rsid w:val="00214051"/>
    <w:rsid w:val="00214093"/>
    <w:rsid w:val="00214152"/>
    <w:rsid w:val="00214211"/>
    <w:rsid w:val="0021445C"/>
    <w:rsid w:val="00214EC8"/>
    <w:rsid w:val="00214EE7"/>
    <w:rsid w:val="00215106"/>
    <w:rsid w:val="00215394"/>
    <w:rsid w:val="002153A7"/>
    <w:rsid w:val="0021554F"/>
    <w:rsid w:val="0021557F"/>
    <w:rsid w:val="00215C06"/>
    <w:rsid w:val="00215C19"/>
    <w:rsid w:val="00215CB2"/>
    <w:rsid w:val="00216168"/>
    <w:rsid w:val="00216337"/>
    <w:rsid w:val="002167D2"/>
    <w:rsid w:val="00216A9C"/>
    <w:rsid w:val="00216BF5"/>
    <w:rsid w:val="0021704F"/>
    <w:rsid w:val="0021739D"/>
    <w:rsid w:val="002175B6"/>
    <w:rsid w:val="00217B82"/>
    <w:rsid w:val="00217CC5"/>
    <w:rsid w:val="0022076C"/>
    <w:rsid w:val="00220A89"/>
    <w:rsid w:val="00221AB7"/>
    <w:rsid w:val="00221ADE"/>
    <w:rsid w:val="00221F70"/>
    <w:rsid w:val="002221F6"/>
    <w:rsid w:val="00222284"/>
    <w:rsid w:val="002222B9"/>
    <w:rsid w:val="0022237C"/>
    <w:rsid w:val="0022271D"/>
    <w:rsid w:val="002229A2"/>
    <w:rsid w:val="00223349"/>
    <w:rsid w:val="0022384E"/>
    <w:rsid w:val="002238D7"/>
    <w:rsid w:val="00223B49"/>
    <w:rsid w:val="00223CB4"/>
    <w:rsid w:val="00223D5A"/>
    <w:rsid w:val="00223E98"/>
    <w:rsid w:val="00224134"/>
    <w:rsid w:val="002241BE"/>
    <w:rsid w:val="002242D4"/>
    <w:rsid w:val="00224600"/>
    <w:rsid w:val="00224627"/>
    <w:rsid w:val="002248D5"/>
    <w:rsid w:val="0022495D"/>
    <w:rsid w:val="00224DD4"/>
    <w:rsid w:val="00224E80"/>
    <w:rsid w:val="002251D8"/>
    <w:rsid w:val="00225251"/>
    <w:rsid w:val="002255F1"/>
    <w:rsid w:val="00225666"/>
    <w:rsid w:val="00226006"/>
    <w:rsid w:val="00226040"/>
    <w:rsid w:val="002260C9"/>
    <w:rsid w:val="0022617E"/>
    <w:rsid w:val="0022644F"/>
    <w:rsid w:val="00226801"/>
    <w:rsid w:val="0022683B"/>
    <w:rsid w:val="00226C64"/>
    <w:rsid w:val="00226C98"/>
    <w:rsid w:val="00227063"/>
    <w:rsid w:val="0022711D"/>
    <w:rsid w:val="00227375"/>
    <w:rsid w:val="002274B7"/>
    <w:rsid w:val="0022788C"/>
    <w:rsid w:val="002278A0"/>
    <w:rsid w:val="00227C15"/>
    <w:rsid w:val="002303B5"/>
    <w:rsid w:val="002304CF"/>
    <w:rsid w:val="002309CC"/>
    <w:rsid w:val="00230ACD"/>
    <w:rsid w:val="00230C9B"/>
    <w:rsid w:val="002311EE"/>
    <w:rsid w:val="002313F7"/>
    <w:rsid w:val="002318A6"/>
    <w:rsid w:val="002318BB"/>
    <w:rsid w:val="00231953"/>
    <w:rsid w:val="00231B55"/>
    <w:rsid w:val="00231E3D"/>
    <w:rsid w:val="0023209F"/>
    <w:rsid w:val="002321A0"/>
    <w:rsid w:val="002321DB"/>
    <w:rsid w:val="0023238B"/>
    <w:rsid w:val="002325A6"/>
    <w:rsid w:val="00232605"/>
    <w:rsid w:val="00232760"/>
    <w:rsid w:val="00232856"/>
    <w:rsid w:val="00232AA7"/>
    <w:rsid w:val="00232B19"/>
    <w:rsid w:val="00232B9E"/>
    <w:rsid w:val="00232CBD"/>
    <w:rsid w:val="00232E5D"/>
    <w:rsid w:val="00232E87"/>
    <w:rsid w:val="00232F08"/>
    <w:rsid w:val="00232FEF"/>
    <w:rsid w:val="00233382"/>
    <w:rsid w:val="002333B8"/>
    <w:rsid w:val="002336D0"/>
    <w:rsid w:val="00233888"/>
    <w:rsid w:val="002338A4"/>
    <w:rsid w:val="00233989"/>
    <w:rsid w:val="00233B18"/>
    <w:rsid w:val="00233B96"/>
    <w:rsid w:val="00233C01"/>
    <w:rsid w:val="0023413C"/>
    <w:rsid w:val="00234398"/>
    <w:rsid w:val="0023450D"/>
    <w:rsid w:val="002346F0"/>
    <w:rsid w:val="00234783"/>
    <w:rsid w:val="00234DB2"/>
    <w:rsid w:val="00234DCD"/>
    <w:rsid w:val="00234F5C"/>
    <w:rsid w:val="00235060"/>
    <w:rsid w:val="00235209"/>
    <w:rsid w:val="002352BF"/>
    <w:rsid w:val="00235391"/>
    <w:rsid w:val="002353EC"/>
    <w:rsid w:val="00235911"/>
    <w:rsid w:val="00235CAF"/>
    <w:rsid w:val="00235E51"/>
    <w:rsid w:val="00235F83"/>
    <w:rsid w:val="00236055"/>
    <w:rsid w:val="0023629D"/>
    <w:rsid w:val="00236512"/>
    <w:rsid w:val="00236696"/>
    <w:rsid w:val="002366E4"/>
    <w:rsid w:val="00236D16"/>
    <w:rsid w:val="002371F5"/>
    <w:rsid w:val="00237255"/>
    <w:rsid w:val="0023765A"/>
    <w:rsid w:val="00237832"/>
    <w:rsid w:val="00237BB4"/>
    <w:rsid w:val="00237CB9"/>
    <w:rsid w:val="00237DB9"/>
    <w:rsid w:val="00240167"/>
    <w:rsid w:val="00240393"/>
    <w:rsid w:val="0024059C"/>
    <w:rsid w:val="002405C3"/>
    <w:rsid w:val="002408E1"/>
    <w:rsid w:val="002409BD"/>
    <w:rsid w:val="002409FC"/>
    <w:rsid w:val="00240BD1"/>
    <w:rsid w:val="0024112B"/>
    <w:rsid w:val="002413A1"/>
    <w:rsid w:val="002414DF"/>
    <w:rsid w:val="0024171D"/>
    <w:rsid w:val="00241880"/>
    <w:rsid w:val="0024195C"/>
    <w:rsid w:val="00241F6E"/>
    <w:rsid w:val="00242197"/>
    <w:rsid w:val="002424AF"/>
    <w:rsid w:val="002425C8"/>
    <w:rsid w:val="002425E9"/>
    <w:rsid w:val="0024268F"/>
    <w:rsid w:val="0024296E"/>
    <w:rsid w:val="00242BA2"/>
    <w:rsid w:val="002430CC"/>
    <w:rsid w:val="002430CE"/>
    <w:rsid w:val="002430E3"/>
    <w:rsid w:val="00243108"/>
    <w:rsid w:val="002431A5"/>
    <w:rsid w:val="00243671"/>
    <w:rsid w:val="002437C3"/>
    <w:rsid w:val="00243986"/>
    <w:rsid w:val="002439DC"/>
    <w:rsid w:val="00243BB9"/>
    <w:rsid w:val="00243CA6"/>
    <w:rsid w:val="00243E2E"/>
    <w:rsid w:val="00243E4D"/>
    <w:rsid w:val="002441D2"/>
    <w:rsid w:val="00244276"/>
    <w:rsid w:val="002442EB"/>
    <w:rsid w:val="00244486"/>
    <w:rsid w:val="0024453A"/>
    <w:rsid w:val="0024461B"/>
    <w:rsid w:val="00244626"/>
    <w:rsid w:val="002447F9"/>
    <w:rsid w:val="00244DC1"/>
    <w:rsid w:val="00244DC8"/>
    <w:rsid w:val="00244F11"/>
    <w:rsid w:val="00244FD1"/>
    <w:rsid w:val="002453CE"/>
    <w:rsid w:val="00245754"/>
    <w:rsid w:val="002458BA"/>
    <w:rsid w:val="0024597E"/>
    <w:rsid w:val="00245CE9"/>
    <w:rsid w:val="00245D2C"/>
    <w:rsid w:val="00245D33"/>
    <w:rsid w:val="00245DD9"/>
    <w:rsid w:val="002460B7"/>
    <w:rsid w:val="002462B8"/>
    <w:rsid w:val="0024636C"/>
    <w:rsid w:val="00246454"/>
    <w:rsid w:val="00246A4B"/>
    <w:rsid w:val="002476EA"/>
    <w:rsid w:val="00247925"/>
    <w:rsid w:val="00247C03"/>
    <w:rsid w:val="00247C47"/>
    <w:rsid w:val="00247CEB"/>
    <w:rsid w:val="00250547"/>
    <w:rsid w:val="002506EC"/>
    <w:rsid w:val="00250740"/>
    <w:rsid w:val="0025083B"/>
    <w:rsid w:val="00250C24"/>
    <w:rsid w:val="00251006"/>
    <w:rsid w:val="002510AD"/>
    <w:rsid w:val="00251215"/>
    <w:rsid w:val="00251456"/>
    <w:rsid w:val="002516EB"/>
    <w:rsid w:val="0025186A"/>
    <w:rsid w:val="00251BE2"/>
    <w:rsid w:val="002520F0"/>
    <w:rsid w:val="0025219C"/>
    <w:rsid w:val="002521EE"/>
    <w:rsid w:val="0025226A"/>
    <w:rsid w:val="002524D5"/>
    <w:rsid w:val="00252987"/>
    <w:rsid w:val="00252F2E"/>
    <w:rsid w:val="00252F77"/>
    <w:rsid w:val="00253343"/>
    <w:rsid w:val="00253552"/>
    <w:rsid w:val="00253AF1"/>
    <w:rsid w:val="00253B1D"/>
    <w:rsid w:val="00253BE4"/>
    <w:rsid w:val="00253CD6"/>
    <w:rsid w:val="00253F37"/>
    <w:rsid w:val="0025424C"/>
    <w:rsid w:val="00254767"/>
    <w:rsid w:val="00254C32"/>
    <w:rsid w:val="00254DCF"/>
    <w:rsid w:val="002550BA"/>
    <w:rsid w:val="0025534B"/>
    <w:rsid w:val="00255512"/>
    <w:rsid w:val="002555E6"/>
    <w:rsid w:val="002559FD"/>
    <w:rsid w:val="00255BB7"/>
    <w:rsid w:val="0025662F"/>
    <w:rsid w:val="00256B50"/>
    <w:rsid w:val="00256C25"/>
    <w:rsid w:val="00256DAC"/>
    <w:rsid w:val="00256F28"/>
    <w:rsid w:val="002573A2"/>
    <w:rsid w:val="002574A8"/>
    <w:rsid w:val="00257541"/>
    <w:rsid w:val="00257641"/>
    <w:rsid w:val="0025770A"/>
    <w:rsid w:val="0025774C"/>
    <w:rsid w:val="00257A17"/>
    <w:rsid w:val="00257A1F"/>
    <w:rsid w:val="00257A39"/>
    <w:rsid w:val="00257AC4"/>
    <w:rsid w:val="00257B70"/>
    <w:rsid w:val="00260134"/>
    <w:rsid w:val="00260794"/>
    <w:rsid w:val="002607F7"/>
    <w:rsid w:val="0026098A"/>
    <w:rsid w:val="00260BA1"/>
    <w:rsid w:val="0026124E"/>
    <w:rsid w:val="002612FC"/>
    <w:rsid w:val="0026177C"/>
    <w:rsid w:val="002617DE"/>
    <w:rsid w:val="0026184A"/>
    <w:rsid w:val="00261A6C"/>
    <w:rsid w:val="00261ED8"/>
    <w:rsid w:val="00261EEF"/>
    <w:rsid w:val="00262182"/>
    <w:rsid w:val="00262417"/>
    <w:rsid w:val="0026257F"/>
    <w:rsid w:val="00262A1A"/>
    <w:rsid w:val="00262A3E"/>
    <w:rsid w:val="00262A87"/>
    <w:rsid w:val="00262E75"/>
    <w:rsid w:val="002636C0"/>
    <w:rsid w:val="0026393A"/>
    <w:rsid w:val="00263A7E"/>
    <w:rsid w:val="00263D99"/>
    <w:rsid w:val="00264191"/>
    <w:rsid w:val="00264D26"/>
    <w:rsid w:val="00264E3F"/>
    <w:rsid w:val="00264FB0"/>
    <w:rsid w:val="0026538B"/>
    <w:rsid w:val="00265622"/>
    <w:rsid w:val="002657D0"/>
    <w:rsid w:val="00265B12"/>
    <w:rsid w:val="00265E19"/>
    <w:rsid w:val="00265E99"/>
    <w:rsid w:val="00266107"/>
    <w:rsid w:val="0026671F"/>
    <w:rsid w:val="00266C9E"/>
    <w:rsid w:val="00266DBB"/>
    <w:rsid w:val="00267091"/>
    <w:rsid w:val="00267269"/>
    <w:rsid w:val="00267471"/>
    <w:rsid w:val="00267642"/>
    <w:rsid w:val="00267AEA"/>
    <w:rsid w:val="00267CDA"/>
    <w:rsid w:val="00267E41"/>
    <w:rsid w:val="002700E0"/>
    <w:rsid w:val="002700E6"/>
    <w:rsid w:val="00270352"/>
    <w:rsid w:val="0027067B"/>
    <w:rsid w:val="00270BE2"/>
    <w:rsid w:val="002719CF"/>
    <w:rsid w:val="00271BBA"/>
    <w:rsid w:val="00271E3B"/>
    <w:rsid w:val="0027226C"/>
    <w:rsid w:val="00272338"/>
    <w:rsid w:val="0027233D"/>
    <w:rsid w:val="00272531"/>
    <w:rsid w:val="002725A9"/>
    <w:rsid w:val="0027294B"/>
    <w:rsid w:val="002729F1"/>
    <w:rsid w:val="00272CB9"/>
    <w:rsid w:val="00272FFE"/>
    <w:rsid w:val="00273219"/>
    <w:rsid w:val="0027334B"/>
    <w:rsid w:val="0027396B"/>
    <w:rsid w:val="00273EB4"/>
    <w:rsid w:val="0027406F"/>
    <w:rsid w:val="0027425D"/>
    <w:rsid w:val="00274431"/>
    <w:rsid w:val="002744D6"/>
    <w:rsid w:val="00274625"/>
    <w:rsid w:val="00274682"/>
    <w:rsid w:val="002746D6"/>
    <w:rsid w:val="00274BD5"/>
    <w:rsid w:val="00274EE8"/>
    <w:rsid w:val="00275246"/>
    <w:rsid w:val="00275474"/>
    <w:rsid w:val="00275B39"/>
    <w:rsid w:val="00275C5A"/>
    <w:rsid w:val="00275F51"/>
    <w:rsid w:val="00276142"/>
    <w:rsid w:val="0027651E"/>
    <w:rsid w:val="00276985"/>
    <w:rsid w:val="00276A0D"/>
    <w:rsid w:val="00276A2D"/>
    <w:rsid w:val="00277138"/>
    <w:rsid w:val="00277490"/>
    <w:rsid w:val="00277645"/>
    <w:rsid w:val="0027769F"/>
    <w:rsid w:val="00277B28"/>
    <w:rsid w:val="00277CB0"/>
    <w:rsid w:val="0028012F"/>
    <w:rsid w:val="00280CFB"/>
    <w:rsid w:val="00280DC4"/>
    <w:rsid w:val="00280FE2"/>
    <w:rsid w:val="00281014"/>
    <w:rsid w:val="0028110C"/>
    <w:rsid w:val="002811E9"/>
    <w:rsid w:val="00281938"/>
    <w:rsid w:val="00281966"/>
    <w:rsid w:val="00281FA5"/>
    <w:rsid w:val="0028220C"/>
    <w:rsid w:val="0028227C"/>
    <w:rsid w:val="0028235D"/>
    <w:rsid w:val="00282740"/>
    <w:rsid w:val="00282755"/>
    <w:rsid w:val="00282C00"/>
    <w:rsid w:val="00282CB2"/>
    <w:rsid w:val="00283312"/>
    <w:rsid w:val="00283805"/>
    <w:rsid w:val="00283998"/>
    <w:rsid w:val="00283B05"/>
    <w:rsid w:val="00283CFC"/>
    <w:rsid w:val="00283E9C"/>
    <w:rsid w:val="00284092"/>
    <w:rsid w:val="00284141"/>
    <w:rsid w:val="00284204"/>
    <w:rsid w:val="002843D3"/>
    <w:rsid w:val="00284527"/>
    <w:rsid w:val="00284645"/>
    <w:rsid w:val="002846C0"/>
    <w:rsid w:val="00284956"/>
    <w:rsid w:val="00284C7E"/>
    <w:rsid w:val="00284CD1"/>
    <w:rsid w:val="00284DE6"/>
    <w:rsid w:val="00284E6F"/>
    <w:rsid w:val="00285471"/>
    <w:rsid w:val="00285522"/>
    <w:rsid w:val="002856DC"/>
    <w:rsid w:val="00285C40"/>
    <w:rsid w:val="00285C79"/>
    <w:rsid w:val="0028665D"/>
    <w:rsid w:val="002867A9"/>
    <w:rsid w:val="002868FC"/>
    <w:rsid w:val="00286AEA"/>
    <w:rsid w:val="0028742E"/>
    <w:rsid w:val="00287463"/>
    <w:rsid w:val="0028756F"/>
    <w:rsid w:val="00287DF7"/>
    <w:rsid w:val="00287E6C"/>
    <w:rsid w:val="002902FA"/>
    <w:rsid w:val="00290B9B"/>
    <w:rsid w:val="00290EC5"/>
    <w:rsid w:val="00290F6C"/>
    <w:rsid w:val="00291148"/>
    <w:rsid w:val="00291D99"/>
    <w:rsid w:val="00291EE0"/>
    <w:rsid w:val="002921D3"/>
    <w:rsid w:val="00292213"/>
    <w:rsid w:val="002922FD"/>
    <w:rsid w:val="002923F1"/>
    <w:rsid w:val="00292FB6"/>
    <w:rsid w:val="00293047"/>
    <w:rsid w:val="002930D3"/>
    <w:rsid w:val="00293D46"/>
    <w:rsid w:val="0029401B"/>
    <w:rsid w:val="002941D3"/>
    <w:rsid w:val="002941E5"/>
    <w:rsid w:val="0029421F"/>
    <w:rsid w:val="002942D5"/>
    <w:rsid w:val="0029436D"/>
    <w:rsid w:val="00294497"/>
    <w:rsid w:val="0029474D"/>
    <w:rsid w:val="00294870"/>
    <w:rsid w:val="00294882"/>
    <w:rsid w:val="00294C74"/>
    <w:rsid w:val="00294F1A"/>
    <w:rsid w:val="00295346"/>
    <w:rsid w:val="00295BF4"/>
    <w:rsid w:val="00295BF9"/>
    <w:rsid w:val="00295CF4"/>
    <w:rsid w:val="00296172"/>
    <w:rsid w:val="00296509"/>
    <w:rsid w:val="002966D2"/>
    <w:rsid w:val="0029682C"/>
    <w:rsid w:val="00296D17"/>
    <w:rsid w:val="002974C1"/>
    <w:rsid w:val="0029779D"/>
    <w:rsid w:val="002979D8"/>
    <w:rsid w:val="00297A5F"/>
    <w:rsid w:val="00297A6E"/>
    <w:rsid w:val="002A027B"/>
    <w:rsid w:val="002A0502"/>
    <w:rsid w:val="002A0B06"/>
    <w:rsid w:val="002A0DEB"/>
    <w:rsid w:val="002A0FF7"/>
    <w:rsid w:val="002A11DF"/>
    <w:rsid w:val="002A11E4"/>
    <w:rsid w:val="002A121E"/>
    <w:rsid w:val="002A12F1"/>
    <w:rsid w:val="002A14AB"/>
    <w:rsid w:val="002A1874"/>
    <w:rsid w:val="002A19C5"/>
    <w:rsid w:val="002A1CF0"/>
    <w:rsid w:val="002A1FC1"/>
    <w:rsid w:val="002A2078"/>
    <w:rsid w:val="002A213C"/>
    <w:rsid w:val="002A262F"/>
    <w:rsid w:val="002A2743"/>
    <w:rsid w:val="002A2A1F"/>
    <w:rsid w:val="002A2ADE"/>
    <w:rsid w:val="002A2B68"/>
    <w:rsid w:val="002A2F50"/>
    <w:rsid w:val="002A2FE5"/>
    <w:rsid w:val="002A3594"/>
    <w:rsid w:val="002A3BD0"/>
    <w:rsid w:val="002A3D65"/>
    <w:rsid w:val="002A3EB1"/>
    <w:rsid w:val="002A3F3B"/>
    <w:rsid w:val="002A4232"/>
    <w:rsid w:val="002A440C"/>
    <w:rsid w:val="002A4509"/>
    <w:rsid w:val="002A46E8"/>
    <w:rsid w:val="002A4936"/>
    <w:rsid w:val="002A4A6B"/>
    <w:rsid w:val="002A4BB5"/>
    <w:rsid w:val="002A4D0F"/>
    <w:rsid w:val="002A4D4A"/>
    <w:rsid w:val="002A4DD8"/>
    <w:rsid w:val="002A4DE4"/>
    <w:rsid w:val="002A51F1"/>
    <w:rsid w:val="002A5FBA"/>
    <w:rsid w:val="002A6130"/>
    <w:rsid w:val="002A647C"/>
    <w:rsid w:val="002A6491"/>
    <w:rsid w:val="002A65A2"/>
    <w:rsid w:val="002A6682"/>
    <w:rsid w:val="002A680A"/>
    <w:rsid w:val="002A687C"/>
    <w:rsid w:val="002A7299"/>
    <w:rsid w:val="002A7543"/>
    <w:rsid w:val="002A75AC"/>
    <w:rsid w:val="002A7851"/>
    <w:rsid w:val="002A7B68"/>
    <w:rsid w:val="002A7C4B"/>
    <w:rsid w:val="002B01AB"/>
    <w:rsid w:val="002B05A1"/>
    <w:rsid w:val="002B09A4"/>
    <w:rsid w:val="002B09B3"/>
    <w:rsid w:val="002B09B6"/>
    <w:rsid w:val="002B0E07"/>
    <w:rsid w:val="002B11ED"/>
    <w:rsid w:val="002B17A1"/>
    <w:rsid w:val="002B18FC"/>
    <w:rsid w:val="002B1997"/>
    <w:rsid w:val="002B19C3"/>
    <w:rsid w:val="002B1C1F"/>
    <w:rsid w:val="002B1FB4"/>
    <w:rsid w:val="002B24E9"/>
    <w:rsid w:val="002B2A58"/>
    <w:rsid w:val="002B2B10"/>
    <w:rsid w:val="002B2EA9"/>
    <w:rsid w:val="002B313A"/>
    <w:rsid w:val="002B32B9"/>
    <w:rsid w:val="002B35AF"/>
    <w:rsid w:val="002B3A48"/>
    <w:rsid w:val="002B3A7D"/>
    <w:rsid w:val="002B3BB7"/>
    <w:rsid w:val="002B3BC2"/>
    <w:rsid w:val="002B3D65"/>
    <w:rsid w:val="002B424C"/>
    <w:rsid w:val="002B42D5"/>
    <w:rsid w:val="002B432F"/>
    <w:rsid w:val="002B4595"/>
    <w:rsid w:val="002B461E"/>
    <w:rsid w:val="002B4E88"/>
    <w:rsid w:val="002B4FAF"/>
    <w:rsid w:val="002B53E2"/>
    <w:rsid w:val="002B5722"/>
    <w:rsid w:val="002B5AF9"/>
    <w:rsid w:val="002B5D9C"/>
    <w:rsid w:val="002B5EF9"/>
    <w:rsid w:val="002B620F"/>
    <w:rsid w:val="002B62B3"/>
    <w:rsid w:val="002B65B2"/>
    <w:rsid w:val="002B6653"/>
    <w:rsid w:val="002B66E8"/>
    <w:rsid w:val="002B6754"/>
    <w:rsid w:val="002B67B7"/>
    <w:rsid w:val="002B6BA3"/>
    <w:rsid w:val="002B6CCE"/>
    <w:rsid w:val="002B6EBA"/>
    <w:rsid w:val="002B6ED3"/>
    <w:rsid w:val="002B7151"/>
    <w:rsid w:val="002B76E6"/>
    <w:rsid w:val="002B7914"/>
    <w:rsid w:val="002B79D4"/>
    <w:rsid w:val="002B7B95"/>
    <w:rsid w:val="002B7C7A"/>
    <w:rsid w:val="002C03B3"/>
    <w:rsid w:val="002C0724"/>
    <w:rsid w:val="002C09C1"/>
    <w:rsid w:val="002C0A23"/>
    <w:rsid w:val="002C0B24"/>
    <w:rsid w:val="002C0DC9"/>
    <w:rsid w:val="002C1153"/>
    <w:rsid w:val="002C1170"/>
    <w:rsid w:val="002C139C"/>
    <w:rsid w:val="002C16ED"/>
    <w:rsid w:val="002C2240"/>
    <w:rsid w:val="002C2510"/>
    <w:rsid w:val="002C2704"/>
    <w:rsid w:val="002C2775"/>
    <w:rsid w:val="002C27C1"/>
    <w:rsid w:val="002C2A5A"/>
    <w:rsid w:val="002C2C35"/>
    <w:rsid w:val="002C2CAC"/>
    <w:rsid w:val="002C2FEA"/>
    <w:rsid w:val="002C3093"/>
    <w:rsid w:val="002C30B5"/>
    <w:rsid w:val="002C3436"/>
    <w:rsid w:val="002C3683"/>
    <w:rsid w:val="002C3749"/>
    <w:rsid w:val="002C3A96"/>
    <w:rsid w:val="002C40BA"/>
    <w:rsid w:val="002C420B"/>
    <w:rsid w:val="002C4772"/>
    <w:rsid w:val="002C4A11"/>
    <w:rsid w:val="002C4AF9"/>
    <w:rsid w:val="002C4C8E"/>
    <w:rsid w:val="002C4E12"/>
    <w:rsid w:val="002C5099"/>
    <w:rsid w:val="002C511E"/>
    <w:rsid w:val="002C529F"/>
    <w:rsid w:val="002C52B2"/>
    <w:rsid w:val="002C54BE"/>
    <w:rsid w:val="002C56F1"/>
    <w:rsid w:val="002C5889"/>
    <w:rsid w:val="002C5D2F"/>
    <w:rsid w:val="002C6310"/>
    <w:rsid w:val="002C65F9"/>
    <w:rsid w:val="002C68ED"/>
    <w:rsid w:val="002C69A2"/>
    <w:rsid w:val="002C6B1A"/>
    <w:rsid w:val="002C6BEC"/>
    <w:rsid w:val="002C6E13"/>
    <w:rsid w:val="002C6FCC"/>
    <w:rsid w:val="002C71CE"/>
    <w:rsid w:val="002C732F"/>
    <w:rsid w:val="002C737C"/>
    <w:rsid w:val="002C749E"/>
    <w:rsid w:val="002C758B"/>
    <w:rsid w:val="002C7936"/>
    <w:rsid w:val="002C7E09"/>
    <w:rsid w:val="002C7F4A"/>
    <w:rsid w:val="002D0385"/>
    <w:rsid w:val="002D0458"/>
    <w:rsid w:val="002D07ED"/>
    <w:rsid w:val="002D08F8"/>
    <w:rsid w:val="002D0932"/>
    <w:rsid w:val="002D0B04"/>
    <w:rsid w:val="002D0BA3"/>
    <w:rsid w:val="002D0D62"/>
    <w:rsid w:val="002D1142"/>
    <w:rsid w:val="002D13C9"/>
    <w:rsid w:val="002D1484"/>
    <w:rsid w:val="002D17E3"/>
    <w:rsid w:val="002D1A2E"/>
    <w:rsid w:val="002D1A41"/>
    <w:rsid w:val="002D2037"/>
    <w:rsid w:val="002D22B8"/>
    <w:rsid w:val="002D27E6"/>
    <w:rsid w:val="002D2F11"/>
    <w:rsid w:val="002D308E"/>
    <w:rsid w:val="002D3171"/>
    <w:rsid w:val="002D3216"/>
    <w:rsid w:val="002D33D4"/>
    <w:rsid w:val="002D350B"/>
    <w:rsid w:val="002D3591"/>
    <w:rsid w:val="002D35D7"/>
    <w:rsid w:val="002D364A"/>
    <w:rsid w:val="002D365D"/>
    <w:rsid w:val="002D3B65"/>
    <w:rsid w:val="002D3DE3"/>
    <w:rsid w:val="002D3E38"/>
    <w:rsid w:val="002D4471"/>
    <w:rsid w:val="002D46CC"/>
    <w:rsid w:val="002D4764"/>
    <w:rsid w:val="002D5336"/>
    <w:rsid w:val="002D56C2"/>
    <w:rsid w:val="002D577C"/>
    <w:rsid w:val="002D5853"/>
    <w:rsid w:val="002D5860"/>
    <w:rsid w:val="002D5B99"/>
    <w:rsid w:val="002D5ED1"/>
    <w:rsid w:val="002D6058"/>
    <w:rsid w:val="002D6A9E"/>
    <w:rsid w:val="002D6C89"/>
    <w:rsid w:val="002D6FD1"/>
    <w:rsid w:val="002D736F"/>
    <w:rsid w:val="002D7449"/>
    <w:rsid w:val="002D79AE"/>
    <w:rsid w:val="002D79C5"/>
    <w:rsid w:val="002E0189"/>
    <w:rsid w:val="002E0513"/>
    <w:rsid w:val="002E052A"/>
    <w:rsid w:val="002E0D2E"/>
    <w:rsid w:val="002E1071"/>
    <w:rsid w:val="002E114A"/>
    <w:rsid w:val="002E1278"/>
    <w:rsid w:val="002E15B9"/>
    <w:rsid w:val="002E15DA"/>
    <w:rsid w:val="002E1B39"/>
    <w:rsid w:val="002E1F0E"/>
    <w:rsid w:val="002E2013"/>
    <w:rsid w:val="002E2158"/>
    <w:rsid w:val="002E2381"/>
    <w:rsid w:val="002E2882"/>
    <w:rsid w:val="002E28FE"/>
    <w:rsid w:val="002E300F"/>
    <w:rsid w:val="002E33F4"/>
    <w:rsid w:val="002E3601"/>
    <w:rsid w:val="002E3835"/>
    <w:rsid w:val="002E3CC1"/>
    <w:rsid w:val="002E431F"/>
    <w:rsid w:val="002E4362"/>
    <w:rsid w:val="002E47F6"/>
    <w:rsid w:val="002E4C9F"/>
    <w:rsid w:val="002E4E3B"/>
    <w:rsid w:val="002E4F02"/>
    <w:rsid w:val="002E5995"/>
    <w:rsid w:val="002E5A4C"/>
    <w:rsid w:val="002E5BC8"/>
    <w:rsid w:val="002E5BE5"/>
    <w:rsid w:val="002E5F53"/>
    <w:rsid w:val="002E5F80"/>
    <w:rsid w:val="002E6447"/>
    <w:rsid w:val="002E6460"/>
    <w:rsid w:val="002E64AA"/>
    <w:rsid w:val="002E657D"/>
    <w:rsid w:val="002E6A35"/>
    <w:rsid w:val="002E6E31"/>
    <w:rsid w:val="002E6E42"/>
    <w:rsid w:val="002E6FCE"/>
    <w:rsid w:val="002E70CF"/>
    <w:rsid w:val="002E710A"/>
    <w:rsid w:val="002E72B6"/>
    <w:rsid w:val="002E73EA"/>
    <w:rsid w:val="002E761C"/>
    <w:rsid w:val="002E7722"/>
    <w:rsid w:val="002E77D3"/>
    <w:rsid w:val="002E7838"/>
    <w:rsid w:val="002E7D3E"/>
    <w:rsid w:val="002E7D4B"/>
    <w:rsid w:val="002E7E41"/>
    <w:rsid w:val="002F07A6"/>
    <w:rsid w:val="002F07BA"/>
    <w:rsid w:val="002F09A9"/>
    <w:rsid w:val="002F0A76"/>
    <w:rsid w:val="002F0DA9"/>
    <w:rsid w:val="002F1014"/>
    <w:rsid w:val="002F1606"/>
    <w:rsid w:val="002F181E"/>
    <w:rsid w:val="002F1C6B"/>
    <w:rsid w:val="002F1DDA"/>
    <w:rsid w:val="002F21D8"/>
    <w:rsid w:val="002F22EF"/>
    <w:rsid w:val="002F283E"/>
    <w:rsid w:val="002F3013"/>
    <w:rsid w:val="002F3528"/>
    <w:rsid w:val="002F36FB"/>
    <w:rsid w:val="002F3A03"/>
    <w:rsid w:val="002F3B10"/>
    <w:rsid w:val="002F3E7E"/>
    <w:rsid w:val="002F3F45"/>
    <w:rsid w:val="002F4156"/>
    <w:rsid w:val="002F4337"/>
    <w:rsid w:val="002F4463"/>
    <w:rsid w:val="002F474C"/>
    <w:rsid w:val="002F4A45"/>
    <w:rsid w:val="002F4DF2"/>
    <w:rsid w:val="002F4EE5"/>
    <w:rsid w:val="002F5E6F"/>
    <w:rsid w:val="002F601C"/>
    <w:rsid w:val="002F61C5"/>
    <w:rsid w:val="002F643C"/>
    <w:rsid w:val="002F66C5"/>
    <w:rsid w:val="002F6B00"/>
    <w:rsid w:val="002F71C0"/>
    <w:rsid w:val="002F74F1"/>
    <w:rsid w:val="002F759B"/>
    <w:rsid w:val="002F7A03"/>
    <w:rsid w:val="002F7BE5"/>
    <w:rsid w:val="002F7BF4"/>
    <w:rsid w:val="00300452"/>
    <w:rsid w:val="00300746"/>
    <w:rsid w:val="003007CA"/>
    <w:rsid w:val="00300920"/>
    <w:rsid w:val="00300B7E"/>
    <w:rsid w:val="00300E1E"/>
    <w:rsid w:val="00300F44"/>
    <w:rsid w:val="00301017"/>
    <w:rsid w:val="0030155F"/>
    <w:rsid w:val="00301BE6"/>
    <w:rsid w:val="0030205D"/>
    <w:rsid w:val="00302291"/>
    <w:rsid w:val="00302954"/>
    <w:rsid w:val="00302C16"/>
    <w:rsid w:val="0030311A"/>
    <w:rsid w:val="00303279"/>
    <w:rsid w:val="0030338F"/>
    <w:rsid w:val="0030380F"/>
    <w:rsid w:val="003042AA"/>
    <w:rsid w:val="00304307"/>
    <w:rsid w:val="00304337"/>
    <w:rsid w:val="00304840"/>
    <w:rsid w:val="003049FE"/>
    <w:rsid w:val="00304D8A"/>
    <w:rsid w:val="00304ED8"/>
    <w:rsid w:val="00305019"/>
    <w:rsid w:val="003050A9"/>
    <w:rsid w:val="00305365"/>
    <w:rsid w:val="0030587B"/>
    <w:rsid w:val="00305B84"/>
    <w:rsid w:val="00305CA3"/>
    <w:rsid w:val="00305F46"/>
    <w:rsid w:val="00305F5A"/>
    <w:rsid w:val="003061A1"/>
    <w:rsid w:val="00306338"/>
    <w:rsid w:val="003065A7"/>
    <w:rsid w:val="00306671"/>
    <w:rsid w:val="003068F3"/>
    <w:rsid w:val="00306D98"/>
    <w:rsid w:val="00306E60"/>
    <w:rsid w:val="003071B2"/>
    <w:rsid w:val="003075C5"/>
    <w:rsid w:val="0030785E"/>
    <w:rsid w:val="0030786C"/>
    <w:rsid w:val="00307A96"/>
    <w:rsid w:val="0031030B"/>
    <w:rsid w:val="0031031A"/>
    <w:rsid w:val="00310322"/>
    <w:rsid w:val="003104E1"/>
    <w:rsid w:val="00310981"/>
    <w:rsid w:val="00310DF1"/>
    <w:rsid w:val="00310E72"/>
    <w:rsid w:val="003114BF"/>
    <w:rsid w:val="00311DBF"/>
    <w:rsid w:val="00311E15"/>
    <w:rsid w:val="00311E6C"/>
    <w:rsid w:val="00311FA8"/>
    <w:rsid w:val="003121FD"/>
    <w:rsid w:val="003124D9"/>
    <w:rsid w:val="00312594"/>
    <w:rsid w:val="00312C95"/>
    <w:rsid w:val="00312FB3"/>
    <w:rsid w:val="003135A9"/>
    <w:rsid w:val="00313733"/>
    <w:rsid w:val="00313E11"/>
    <w:rsid w:val="00313E18"/>
    <w:rsid w:val="00313E4A"/>
    <w:rsid w:val="003142FF"/>
    <w:rsid w:val="0031439D"/>
    <w:rsid w:val="003143D9"/>
    <w:rsid w:val="003147B2"/>
    <w:rsid w:val="00314A46"/>
    <w:rsid w:val="00314CBE"/>
    <w:rsid w:val="00315378"/>
    <w:rsid w:val="003153F5"/>
    <w:rsid w:val="00315498"/>
    <w:rsid w:val="00315DB3"/>
    <w:rsid w:val="00315FC2"/>
    <w:rsid w:val="003163E7"/>
    <w:rsid w:val="00316474"/>
    <w:rsid w:val="003164A0"/>
    <w:rsid w:val="003164C8"/>
    <w:rsid w:val="003165F7"/>
    <w:rsid w:val="003166E5"/>
    <w:rsid w:val="003167B2"/>
    <w:rsid w:val="00316E79"/>
    <w:rsid w:val="00317012"/>
    <w:rsid w:val="00317590"/>
    <w:rsid w:val="00317D45"/>
    <w:rsid w:val="00317DED"/>
    <w:rsid w:val="00317E48"/>
    <w:rsid w:val="00317E9D"/>
    <w:rsid w:val="00317FD0"/>
    <w:rsid w:val="003201D6"/>
    <w:rsid w:val="00320749"/>
    <w:rsid w:val="00320C8F"/>
    <w:rsid w:val="0032127E"/>
    <w:rsid w:val="00321777"/>
    <w:rsid w:val="00321838"/>
    <w:rsid w:val="00321AF5"/>
    <w:rsid w:val="00321B2E"/>
    <w:rsid w:val="00321B57"/>
    <w:rsid w:val="00321C38"/>
    <w:rsid w:val="00321DF8"/>
    <w:rsid w:val="00322107"/>
    <w:rsid w:val="00322355"/>
    <w:rsid w:val="003225A6"/>
    <w:rsid w:val="00322846"/>
    <w:rsid w:val="00322BB6"/>
    <w:rsid w:val="00322ECF"/>
    <w:rsid w:val="00322FD7"/>
    <w:rsid w:val="003231C3"/>
    <w:rsid w:val="003231DE"/>
    <w:rsid w:val="0032347C"/>
    <w:rsid w:val="00323F92"/>
    <w:rsid w:val="00324B36"/>
    <w:rsid w:val="00324DCD"/>
    <w:rsid w:val="00324FA9"/>
    <w:rsid w:val="0032525C"/>
    <w:rsid w:val="00325BC3"/>
    <w:rsid w:val="0032610B"/>
    <w:rsid w:val="003262D2"/>
    <w:rsid w:val="003267FE"/>
    <w:rsid w:val="00326DA6"/>
    <w:rsid w:val="00326DA7"/>
    <w:rsid w:val="00327016"/>
    <w:rsid w:val="003270E4"/>
    <w:rsid w:val="003272AB"/>
    <w:rsid w:val="00327430"/>
    <w:rsid w:val="003277A9"/>
    <w:rsid w:val="00327C42"/>
    <w:rsid w:val="00327DC0"/>
    <w:rsid w:val="00327DD9"/>
    <w:rsid w:val="00327EAF"/>
    <w:rsid w:val="0033031D"/>
    <w:rsid w:val="00330612"/>
    <w:rsid w:val="00330A57"/>
    <w:rsid w:val="00330AF2"/>
    <w:rsid w:val="00330DAA"/>
    <w:rsid w:val="00330F5C"/>
    <w:rsid w:val="00331105"/>
    <w:rsid w:val="00331106"/>
    <w:rsid w:val="003317C5"/>
    <w:rsid w:val="0033182B"/>
    <w:rsid w:val="003318EE"/>
    <w:rsid w:val="00331B11"/>
    <w:rsid w:val="00331B27"/>
    <w:rsid w:val="00331FC5"/>
    <w:rsid w:val="0033293E"/>
    <w:rsid w:val="00332C73"/>
    <w:rsid w:val="00332CF2"/>
    <w:rsid w:val="003330E5"/>
    <w:rsid w:val="00333267"/>
    <w:rsid w:val="00333579"/>
    <w:rsid w:val="0033371D"/>
    <w:rsid w:val="00333821"/>
    <w:rsid w:val="0033394E"/>
    <w:rsid w:val="003347E4"/>
    <w:rsid w:val="00334B65"/>
    <w:rsid w:val="00334B7E"/>
    <w:rsid w:val="00334C6B"/>
    <w:rsid w:val="00334DFA"/>
    <w:rsid w:val="00334FB4"/>
    <w:rsid w:val="003350D0"/>
    <w:rsid w:val="00335110"/>
    <w:rsid w:val="00335119"/>
    <w:rsid w:val="00335377"/>
    <w:rsid w:val="003353A4"/>
    <w:rsid w:val="0033568F"/>
    <w:rsid w:val="00335772"/>
    <w:rsid w:val="0033582A"/>
    <w:rsid w:val="00335CAB"/>
    <w:rsid w:val="00335E2B"/>
    <w:rsid w:val="003360FB"/>
    <w:rsid w:val="003362E0"/>
    <w:rsid w:val="003366C9"/>
    <w:rsid w:val="003367F1"/>
    <w:rsid w:val="00336922"/>
    <w:rsid w:val="0033695A"/>
    <w:rsid w:val="00336DA7"/>
    <w:rsid w:val="00336EAA"/>
    <w:rsid w:val="00336F8C"/>
    <w:rsid w:val="0033703B"/>
    <w:rsid w:val="0033717D"/>
    <w:rsid w:val="003371B0"/>
    <w:rsid w:val="00337256"/>
    <w:rsid w:val="003375BC"/>
    <w:rsid w:val="0033772D"/>
    <w:rsid w:val="00337A6F"/>
    <w:rsid w:val="00337B62"/>
    <w:rsid w:val="00337B8B"/>
    <w:rsid w:val="003402CC"/>
    <w:rsid w:val="00340589"/>
    <w:rsid w:val="00340A3A"/>
    <w:rsid w:val="00340DF1"/>
    <w:rsid w:val="00341264"/>
    <w:rsid w:val="00341A54"/>
    <w:rsid w:val="00341BBC"/>
    <w:rsid w:val="00342273"/>
    <w:rsid w:val="003424ED"/>
    <w:rsid w:val="00342685"/>
    <w:rsid w:val="00342974"/>
    <w:rsid w:val="003429D4"/>
    <w:rsid w:val="00342F36"/>
    <w:rsid w:val="00342F6F"/>
    <w:rsid w:val="00342FC2"/>
    <w:rsid w:val="00343348"/>
    <w:rsid w:val="00343742"/>
    <w:rsid w:val="00343939"/>
    <w:rsid w:val="00343AEF"/>
    <w:rsid w:val="00343CE3"/>
    <w:rsid w:val="00344082"/>
    <w:rsid w:val="0034435E"/>
    <w:rsid w:val="003446E9"/>
    <w:rsid w:val="0034481A"/>
    <w:rsid w:val="00344AFA"/>
    <w:rsid w:val="00344BE9"/>
    <w:rsid w:val="00344E17"/>
    <w:rsid w:val="00345319"/>
    <w:rsid w:val="00345BA2"/>
    <w:rsid w:val="003461CA"/>
    <w:rsid w:val="00346553"/>
    <w:rsid w:val="00346A17"/>
    <w:rsid w:val="00346D40"/>
    <w:rsid w:val="0034712A"/>
    <w:rsid w:val="00347307"/>
    <w:rsid w:val="00347443"/>
    <w:rsid w:val="0035002C"/>
    <w:rsid w:val="0035018B"/>
    <w:rsid w:val="003502C9"/>
    <w:rsid w:val="00350465"/>
    <w:rsid w:val="00350591"/>
    <w:rsid w:val="00350630"/>
    <w:rsid w:val="00350A2C"/>
    <w:rsid w:val="00350BD1"/>
    <w:rsid w:val="00350C69"/>
    <w:rsid w:val="00350D9F"/>
    <w:rsid w:val="00350E11"/>
    <w:rsid w:val="00351130"/>
    <w:rsid w:val="003512A1"/>
    <w:rsid w:val="00351458"/>
    <w:rsid w:val="003516AA"/>
    <w:rsid w:val="003517F9"/>
    <w:rsid w:val="003517FA"/>
    <w:rsid w:val="00351BA9"/>
    <w:rsid w:val="00352533"/>
    <w:rsid w:val="00352556"/>
    <w:rsid w:val="003526AF"/>
    <w:rsid w:val="003526B0"/>
    <w:rsid w:val="003528C9"/>
    <w:rsid w:val="00352A1D"/>
    <w:rsid w:val="003531AA"/>
    <w:rsid w:val="003531C9"/>
    <w:rsid w:val="003532D8"/>
    <w:rsid w:val="003538B3"/>
    <w:rsid w:val="00353A9C"/>
    <w:rsid w:val="00353AB3"/>
    <w:rsid w:val="00353B89"/>
    <w:rsid w:val="00353DC1"/>
    <w:rsid w:val="00353DF7"/>
    <w:rsid w:val="00353E83"/>
    <w:rsid w:val="003540C5"/>
    <w:rsid w:val="00354411"/>
    <w:rsid w:val="00354599"/>
    <w:rsid w:val="003549E8"/>
    <w:rsid w:val="00354A05"/>
    <w:rsid w:val="00354AD8"/>
    <w:rsid w:val="00354C44"/>
    <w:rsid w:val="00354F64"/>
    <w:rsid w:val="003551CA"/>
    <w:rsid w:val="0035525E"/>
    <w:rsid w:val="00355278"/>
    <w:rsid w:val="00355884"/>
    <w:rsid w:val="00355966"/>
    <w:rsid w:val="00355A24"/>
    <w:rsid w:val="0035615C"/>
    <w:rsid w:val="0035620E"/>
    <w:rsid w:val="003562B9"/>
    <w:rsid w:val="00356330"/>
    <w:rsid w:val="0035636C"/>
    <w:rsid w:val="0035699A"/>
    <w:rsid w:val="003569F6"/>
    <w:rsid w:val="00356A10"/>
    <w:rsid w:val="00356C05"/>
    <w:rsid w:val="00356CB4"/>
    <w:rsid w:val="00356CB8"/>
    <w:rsid w:val="00356CC3"/>
    <w:rsid w:val="00356CD1"/>
    <w:rsid w:val="003576AC"/>
    <w:rsid w:val="00357A87"/>
    <w:rsid w:val="00357B71"/>
    <w:rsid w:val="00357D37"/>
    <w:rsid w:val="003600CA"/>
    <w:rsid w:val="0036017F"/>
    <w:rsid w:val="003602AE"/>
    <w:rsid w:val="00360345"/>
    <w:rsid w:val="003606A6"/>
    <w:rsid w:val="00360C7F"/>
    <w:rsid w:val="00360E19"/>
    <w:rsid w:val="003610A4"/>
    <w:rsid w:val="0036112F"/>
    <w:rsid w:val="003611FE"/>
    <w:rsid w:val="0036139B"/>
    <w:rsid w:val="00361695"/>
    <w:rsid w:val="0036169C"/>
    <w:rsid w:val="00361A05"/>
    <w:rsid w:val="00361C3F"/>
    <w:rsid w:val="003623B4"/>
    <w:rsid w:val="003624C4"/>
    <w:rsid w:val="003627E7"/>
    <w:rsid w:val="003628EA"/>
    <w:rsid w:val="003629DF"/>
    <w:rsid w:val="00362BCF"/>
    <w:rsid w:val="00362C99"/>
    <w:rsid w:val="00362E6C"/>
    <w:rsid w:val="00362F85"/>
    <w:rsid w:val="003630D0"/>
    <w:rsid w:val="00363104"/>
    <w:rsid w:val="003632BE"/>
    <w:rsid w:val="00363364"/>
    <w:rsid w:val="00363708"/>
    <w:rsid w:val="00363A37"/>
    <w:rsid w:val="00363B00"/>
    <w:rsid w:val="00363BF1"/>
    <w:rsid w:val="00363C7C"/>
    <w:rsid w:val="0036419D"/>
    <w:rsid w:val="00364492"/>
    <w:rsid w:val="00364ABB"/>
    <w:rsid w:val="00364B36"/>
    <w:rsid w:val="00364C56"/>
    <w:rsid w:val="00364D0D"/>
    <w:rsid w:val="0036518A"/>
    <w:rsid w:val="003654AC"/>
    <w:rsid w:val="0036553E"/>
    <w:rsid w:val="00365621"/>
    <w:rsid w:val="00365980"/>
    <w:rsid w:val="00365AD4"/>
    <w:rsid w:val="00365C28"/>
    <w:rsid w:val="003663A8"/>
    <w:rsid w:val="00366853"/>
    <w:rsid w:val="00366860"/>
    <w:rsid w:val="00366891"/>
    <w:rsid w:val="00366C83"/>
    <w:rsid w:val="00367105"/>
    <w:rsid w:val="003675F6"/>
    <w:rsid w:val="00367752"/>
    <w:rsid w:val="00367931"/>
    <w:rsid w:val="00367968"/>
    <w:rsid w:val="00367AB8"/>
    <w:rsid w:val="00367DD3"/>
    <w:rsid w:val="00370063"/>
    <w:rsid w:val="00370799"/>
    <w:rsid w:val="00370906"/>
    <w:rsid w:val="003709F9"/>
    <w:rsid w:val="00370EE4"/>
    <w:rsid w:val="003710CF"/>
    <w:rsid w:val="00371512"/>
    <w:rsid w:val="003716E4"/>
    <w:rsid w:val="00371713"/>
    <w:rsid w:val="0037171A"/>
    <w:rsid w:val="00371798"/>
    <w:rsid w:val="00371DDB"/>
    <w:rsid w:val="00371EAD"/>
    <w:rsid w:val="003724D5"/>
    <w:rsid w:val="00372701"/>
    <w:rsid w:val="00372980"/>
    <w:rsid w:val="003731CB"/>
    <w:rsid w:val="00373238"/>
    <w:rsid w:val="003732FA"/>
    <w:rsid w:val="0037358A"/>
    <w:rsid w:val="00373A40"/>
    <w:rsid w:val="00373BF9"/>
    <w:rsid w:val="003741DC"/>
    <w:rsid w:val="0037424E"/>
    <w:rsid w:val="00374410"/>
    <w:rsid w:val="00374470"/>
    <w:rsid w:val="00374C3B"/>
    <w:rsid w:val="00374F50"/>
    <w:rsid w:val="00374FA1"/>
    <w:rsid w:val="00374FFF"/>
    <w:rsid w:val="003750F6"/>
    <w:rsid w:val="00375155"/>
    <w:rsid w:val="00375983"/>
    <w:rsid w:val="00375A1E"/>
    <w:rsid w:val="00375F3E"/>
    <w:rsid w:val="003760FC"/>
    <w:rsid w:val="0037656F"/>
    <w:rsid w:val="00376DC3"/>
    <w:rsid w:val="0037748A"/>
    <w:rsid w:val="00377560"/>
    <w:rsid w:val="0037761F"/>
    <w:rsid w:val="0037776A"/>
    <w:rsid w:val="003779FE"/>
    <w:rsid w:val="00377AE5"/>
    <w:rsid w:val="00380090"/>
    <w:rsid w:val="0038036A"/>
    <w:rsid w:val="00380407"/>
    <w:rsid w:val="00380409"/>
    <w:rsid w:val="003805EE"/>
    <w:rsid w:val="003806EF"/>
    <w:rsid w:val="00380826"/>
    <w:rsid w:val="0038092E"/>
    <w:rsid w:val="00380A11"/>
    <w:rsid w:val="00380AD8"/>
    <w:rsid w:val="00380DDF"/>
    <w:rsid w:val="003814CE"/>
    <w:rsid w:val="00381508"/>
    <w:rsid w:val="00381FC3"/>
    <w:rsid w:val="003826AE"/>
    <w:rsid w:val="003829E4"/>
    <w:rsid w:val="00382ABF"/>
    <w:rsid w:val="00382DCA"/>
    <w:rsid w:val="00382E55"/>
    <w:rsid w:val="00382ED3"/>
    <w:rsid w:val="00383023"/>
    <w:rsid w:val="003830DB"/>
    <w:rsid w:val="00383206"/>
    <w:rsid w:val="003833CA"/>
    <w:rsid w:val="0038365C"/>
    <w:rsid w:val="0038369B"/>
    <w:rsid w:val="00383794"/>
    <w:rsid w:val="00383B78"/>
    <w:rsid w:val="003842C3"/>
    <w:rsid w:val="003849A4"/>
    <w:rsid w:val="003850E8"/>
    <w:rsid w:val="003854CB"/>
    <w:rsid w:val="00385973"/>
    <w:rsid w:val="00385A9D"/>
    <w:rsid w:val="00385CD5"/>
    <w:rsid w:val="00385D9D"/>
    <w:rsid w:val="00385DA6"/>
    <w:rsid w:val="00385E20"/>
    <w:rsid w:val="0038624D"/>
    <w:rsid w:val="00386424"/>
    <w:rsid w:val="0038681E"/>
    <w:rsid w:val="0038682D"/>
    <w:rsid w:val="00386CAA"/>
    <w:rsid w:val="003870A1"/>
    <w:rsid w:val="003879B7"/>
    <w:rsid w:val="003902B1"/>
    <w:rsid w:val="00390562"/>
    <w:rsid w:val="003908D4"/>
    <w:rsid w:val="003909C4"/>
    <w:rsid w:val="00390ECF"/>
    <w:rsid w:val="00391051"/>
    <w:rsid w:val="0039116E"/>
    <w:rsid w:val="003916F0"/>
    <w:rsid w:val="0039179C"/>
    <w:rsid w:val="00391904"/>
    <w:rsid w:val="00391AC2"/>
    <w:rsid w:val="00391B4F"/>
    <w:rsid w:val="00392104"/>
    <w:rsid w:val="003921E2"/>
    <w:rsid w:val="003921F7"/>
    <w:rsid w:val="003924A4"/>
    <w:rsid w:val="0039252E"/>
    <w:rsid w:val="00392C38"/>
    <w:rsid w:val="00392FBA"/>
    <w:rsid w:val="00393331"/>
    <w:rsid w:val="003939DA"/>
    <w:rsid w:val="00393BD9"/>
    <w:rsid w:val="0039401B"/>
    <w:rsid w:val="0039423D"/>
    <w:rsid w:val="0039458A"/>
    <w:rsid w:val="00394891"/>
    <w:rsid w:val="003948E1"/>
    <w:rsid w:val="003949B6"/>
    <w:rsid w:val="00395315"/>
    <w:rsid w:val="00395911"/>
    <w:rsid w:val="00395C63"/>
    <w:rsid w:val="00395CC8"/>
    <w:rsid w:val="00395E06"/>
    <w:rsid w:val="003962CD"/>
    <w:rsid w:val="003965B2"/>
    <w:rsid w:val="00396734"/>
    <w:rsid w:val="0039681F"/>
    <w:rsid w:val="00396896"/>
    <w:rsid w:val="00396ABF"/>
    <w:rsid w:val="00396BFA"/>
    <w:rsid w:val="00396CBC"/>
    <w:rsid w:val="00396FD0"/>
    <w:rsid w:val="00396FED"/>
    <w:rsid w:val="00397208"/>
    <w:rsid w:val="0039732C"/>
    <w:rsid w:val="00397896"/>
    <w:rsid w:val="00397A13"/>
    <w:rsid w:val="00397A98"/>
    <w:rsid w:val="003A094E"/>
    <w:rsid w:val="003A09E4"/>
    <w:rsid w:val="003A0D02"/>
    <w:rsid w:val="003A1173"/>
    <w:rsid w:val="003A1413"/>
    <w:rsid w:val="003A15D5"/>
    <w:rsid w:val="003A1987"/>
    <w:rsid w:val="003A1A7A"/>
    <w:rsid w:val="003A1C00"/>
    <w:rsid w:val="003A1FC3"/>
    <w:rsid w:val="003A22A7"/>
    <w:rsid w:val="003A2392"/>
    <w:rsid w:val="003A23CD"/>
    <w:rsid w:val="003A25E8"/>
    <w:rsid w:val="003A2831"/>
    <w:rsid w:val="003A2834"/>
    <w:rsid w:val="003A2967"/>
    <w:rsid w:val="003A2A5C"/>
    <w:rsid w:val="003A2A66"/>
    <w:rsid w:val="003A2A84"/>
    <w:rsid w:val="003A2D17"/>
    <w:rsid w:val="003A31C9"/>
    <w:rsid w:val="003A3363"/>
    <w:rsid w:val="003A35AD"/>
    <w:rsid w:val="003A3B8A"/>
    <w:rsid w:val="003A3C79"/>
    <w:rsid w:val="003A3CB6"/>
    <w:rsid w:val="003A3EAA"/>
    <w:rsid w:val="003A3ED1"/>
    <w:rsid w:val="003A3F6A"/>
    <w:rsid w:val="003A41A7"/>
    <w:rsid w:val="003A44DB"/>
    <w:rsid w:val="003A4919"/>
    <w:rsid w:val="003A5052"/>
    <w:rsid w:val="003A549D"/>
    <w:rsid w:val="003A5575"/>
    <w:rsid w:val="003A5724"/>
    <w:rsid w:val="003A57AD"/>
    <w:rsid w:val="003A62D0"/>
    <w:rsid w:val="003A6DE5"/>
    <w:rsid w:val="003A7AB3"/>
    <w:rsid w:val="003A7B5B"/>
    <w:rsid w:val="003A7B7A"/>
    <w:rsid w:val="003A7C54"/>
    <w:rsid w:val="003A7D5E"/>
    <w:rsid w:val="003A7E1D"/>
    <w:rsid w:val="003B02D9"/>
    <w:rsid w:val="003B04A8"/>
    <w:rsid w:val="003B069B"/>
    <w:rsid w:val="003B074F"/>
    <w:rsid w:val="003B0758"/>
    <w:rsid w:val="003B07B5"/>
    <w:rsid w:val="003B0B0F"/>
    <w:rsid w:val="003B0D73"/>
    <w:rsid w:val="003B0D87"/>
    <w:rsid w:val="003B113A"/>
    <w:rsid w:val="003B1172"/>
    <w:rsid w:val="003B127F"/>
    <w:rsid w:val="003B1504"/>
    <w:rsid w:val="003B1511"/>
    <w:rsid w:val="003B18F9"/>
    <w:rsid w:val="003B2593"/>
    <w:rsid w:val="003B2649"/>
    <w:rsid w:val="003B28D5"/>
    <w:rsid w:val="003B29BD"/>
    <w:rsid w:val="003B2A42"/>
    <w:rsid w:val="003B30A5"/>
    <w:rsid w:val="003B3103"/>
    <w:rsid w:val="003B3156"/>
    <w:rsid w:val="003B346B"/>
    <w:rsid w:val="003B38FA"/>
    <w:rsid w:val="003B391E"/>
    <w:rsid w:val="003B3971"/>
    <w:rsid w:val="003B3BFC"/>
    <w:rsid w:val="003B41B9"/>
    <w:rsid w:val="003B440B"/>
    <w:rsid w:val="003B4506"/>
    <w:rsid w:val="003B4649"/>
    <w:rsid w:val="003B46DD"/>
    <w:rsid w:val="003B47D3"/>
    <w:rsid w:val="003B47EB"/>
    <w:rsid w:val="003B47EC"/>
    <w:rsid w:val="003B4998"/>
    <w:rsid w:val="003B4C9E"/>
    <w:rsid w:val="003B4D8F"/>
    <w:rsid w:val="003B5199"/>
    <w:rsid w:val="003B543A"/>
    <w:rsid w:val="003B55D1"/>
    <w:rsid w:val="003B57BA"/>
    <w:rsid w:val="003B57D9"/>
    <w:rsid w:val="003B57FC"/>
    <w:rsid w:val="003B5854"/>
    <w:rsid w:val="003B59AD"/>
    <w:rsid w:val="003B5B61"/>
    <w:rsid w:val="003B5F46"/>
    <w:rsid w:val="003B6056"/>
    <w:rsid w:val="003B61E8"/>
    <w:rsid w:val="003B642E"/>
    <w:rsid w:val="003B670D"/>
    <w:rsid w:val="003B6C1D"/>
    <w:rsid w:val="003B6EBE"/>
    <w:rsid w:val="003B72BC"/>
    <w:rsid w:val="003B7338"/>
    <w:rsid w:val="003B7477"/>
    <w:rsid w:val="003B76C5"/>
    <w:rsid w:val="003C012F"/>
    <w:rsid w:val="003C02A0"/>
    <w:rsid w:val="003C02F3"/>
    <w:rsid w:val="003C06C0"/>
    <w:rsid w:val="003C09CB"/>
    <w:rsid w:val="003C0A8E"/>
    <w:rsid w:val="003C12B0"/>
    <w:rsid w:val="003C1654"/>
    <w:rsid w:val="003C174D"/>
    <w:rsid w:val="003C1A88"/>
    <w:rsid w:val="003C1B78"/>
    <w:rsid w:val="003C1E78"/>
    <w:rsid w:val="003C1F43"/>
    <w:rsid w:val="003C2327"/>
    <w:rsid w:val="003C2715"/>
    <w:rsid w:val="003C2737"/>
    <w:rsid w:val="003C2F6A"/>
    <w:rsid w:val="003C3276"/>
    <w:rsid w:val="003C330C"/>
    <w:rsid w:val="003C364C"/>
    <w:rsid w:val="003C3684"/>
    <w:rsid w:val="003C39B9"/>
    <w:rsid w:val="003C3ACE"/>
    <w:rsid w:val="003C3EF6"/>
    <w:rsid w:val="003C3F80"/>
    <w:rsid w:val="003C3F99"/>
    <w:rsid w:val="003C457D"/>
    <w:rsid w:val="003C4962"/>
    <w:rsid w:val="003C4DEC"/>
    <w:rsid w:val="003C509A"/>
    <w:rsid w:val="003C50DE"/>
    <w:rsid w:val="003C512A"/>
    <w:rsid w:val="003C513C"/>
    <w:rsid w:val="003C5263"/>
    <w:rsid w:val="003C54DE"/>
    <w:rsid w:val="003C54E5"/>
    <w:rsid w:val="003C5542"/>
    <w:rsid w:val="003C5696"/>
    <w:rsid w:val="003C5700"/>
    <w:rsid w:val="003C58C6"/>
    <w:rsid w:val="003C5911"/>
    <w:rsid w:val="003C5E1A"/>
    <w:rsid w:val="003C5E60"/>
    <w:rsid w:val="003C5EFF"/>
    <w:rsid w:val="003C60DB"/>
    <w:rsid w:val="003C6788"/>
    <w:rsid w:val="003C6823"/>
    <w:rsid w:val="003C6B3C"/>
    <w:rsid w:val="003C6F9B"/>
    <w:rsid w:val="003C7184"/>
    <w:rsid w:val="003C72FD"/>
    <w:rsid w:val="003C7561"/>
    <w:rsid w:val="003C76C8"/>
    <w:rsid w:val="003C77D9"/>
    <w:rsid w:val="003C7C4F"/>
    <w:rsid w:val="003C7CB2"/>
    <w:rsid w:val="003C7D19"/>
    <w:rsid w:val="003C7D2F"/>
    <w:rsid w:val="003C7F8D"/>
    <w:rsid w:val="003D024C"/>
    <w:rsid w:val="003D06B6"/>
    <w:rsid w:val="003D085E"/>
    <w:rsid w:val="003D095C"/>
    <w:rsid w:val="003D0A7B"/>
    <w:rsid w:val="003D0E2E"/>
    <w:rsid w:val="003D1073"/>
    <w:rsid w:val="003D11AD"/>
    <w:rsid w:val="003D15F9"/>
    <w:rsid w:val="003D167B"/>
    <w:rsid w:val="003D1828"/>
    <w:rsid w:val="003D1D3B"/>
    <w:rsid w:val="003D1DE4"/>
    <w:rsid w:val="003D1E9A"/>
    <w:rsid w:val="003D1FCF"/>
    <w:rsid w:val="003D2196"/>
    <w:rsid w:val="003D224B"/>
    <w:rsid w:val="003D2422"/>
    <w:rsid w:val="003D2724"/>
    <w:rsid w:val="003D29B7"/>
    <w:rsid w:val="003D2F5D"/>
    <w:rsid w:val="003D3076"/>
    <w:rsid w:val="003D3081"/>
    <w:rsid w:val="003D32A8"/>
    <w:rsid w:val="003D3765"/>
    <w:rsid w:val="003D387B"/>
    <w:rsid w:val="003D3961"/>
    <w:rsid w:val="003D39A1"/>
    <w:rsid w:val="003D3DB7"/>
    <w:rsid w:val="003D3E2D"/>
    <w:rsid w:val="003D3E67"/>
    <w:rsid w:val="003D3F2B"/>
    <w:rsid w:val="003D3FBF"/>
    <w:rsid w:val="003D4124"/>
    <w:rsid w:val="003D4A30"/>
    <w:rsid w:val="003D4A44"/>
    <w:rsid w:val="003D4EFD"/>
    <w:rsid w:val="003D4FED"/>
    <w:rsid w:val="003D5161"/>
    <w:rsid w:val="003D5185"/>
    <w:rsid w:val="003D5A3A"/>
    <w:rsid w:val="003D5B5A"/>
    <w:rsid w:val="003D5D5F"/>
    <w:rsid w:val="003D5EDC"/>
    <w:rsid w:val="003D617C"/>
    <w:rsid w:val="003D65A8"/>
    <w:rsid w:val="003D6940"/>
    <w:rsid w:val="003D69A0"/>
    <w:rsid w:val="003D6AF3"/>
    <w:rsid w:val="003D6C53"/>
    <w:rsid w:val="003D6CA5"/>
    <w:rsid w:val="003D6E8A"/>
    <w:rsid w:val="003D6FF1"/>
    <w:rsid w:val="003D70E2"/>
    <w:rsid w:val="003D72D2"/>
    <w:rsid w:val="003D7452"/>
    <w:rsid w:val="003D7513"/>
    <w:rsid w:val="003D7758"/>
    <w:rsid w:val="003D7807"/>
    <w:rsid w:val="003D79BB"/>
    <w:rsid w:val="003D7BA2"/>
    <w:rsid w:val="003D7C54"/>
    <w:rsid w:val="003D7C98"/>
    <w:rsid w:val="003D7D9D"/>
    <w:rsid w:val="003D7F93"/>
    <w:rsid w:val="003E0347"/>
    <w:rsid w:val="003E034E"/>
    <w:rsid w:val="003E0543"/>
    <w:rsid w:val="003E0CEB"/>
    <w:rsid w:val="003E0DA3"/>
    <w:rsid w:val="003E0F10"/>
    <w:rsid w:val="003E142C"/>
    <w:rsid w:val="003E1498"/>
    <w:rsid w:val="003E1510"/>
    <w:rsid w:val="003E17CD"/>
    <w:rsid w:val="003E1A04"/>
    <w:rsid w:val="003E1F0A"/>
    <w:rsid w:val="003E222B"/>
    <w:rsid w:val="003E26D7"/>
    <w:rsid w:val="003E2881"/>
    <w:rsid w:val="003E2B5B"/>
    <w:rsid w:val="003E2F66"/>
    <w:rsid w:val="003E2FAC"/>
    <w:rsid w:val="003E30FE"/>
    <w:rsid w:val="003E3166"/>
    <w:rsid w:val="003E3497"/>
    <w:rsid w:val="003E35E3"/>
    <w:rsid w:val="003E3776"/>
    <w:rsid w:val="003E3A8B"/>
    <w:rsid w:val="003E3CCC"/>
    <w:rsid w:val="003E431A"/>
    <w:rsid w:val="003E458F"/>
    <w:rsid w:val="003E45A9"/>
    <w:rsid w:val="003E5348"/>
    <w:rsid w:val="003E559C"/>
    <w:rsid w:val="003E58BF"/>
    <w:rsid w:val="003E5A42"/>
    <w:rsid w:val="003E5B44"/>
    <w:rsid w:val="003E5EED"/>
    <w:rsid w:val="003E618D"/>
    <w:rsid w:val="003E62DE"/>
    <w:rsid w:val="003E6488"/>
    <w:rsid w:val="003E64DF"/>
    <w:rsid w:val="003E6586"/>
    <w:rsid w:val="003E673C"/>
    <w:rsid w:val="003E6776"/>
    <w:rsid w:val="003E67A2"/>
    <w:rsid w:val="003E6C14"/>
    <w:rsid w:val="003E6DA5"/>
    <w:rsid w:val="003E73FC"/>
    <w:rsid w:val="003E749E"/>
    <w:rsid w:val="003E7830"/>
    <w:rsid w:val="003E78DB"/>
    <w:rsid w:val="003E78F9"/>
    <w:rsid w:val="003E7AB4"/>
    <w:rsid w:val="003E7CE1"/>
    <w:rsid w:val="003F0692"/>
    <w:rsid w:val="003F06EB"/>
    <w:rsid w:val="003F072B"/>
    <w:rsid w:val="003F0BAC"/>
    <w:rsid w:val="003F1394"/>
    <w:rsid w:val="003F1528"/>
    <w:rsid w:val="003F1CD1"/>
    <w:rsid w:val="003F1D86"/>
    <w:rsid w:val="003F1EF0"/>
    <w:rsid w:val="003F2268"/>
    <w:rsid w:val="003F22C0"/>
    <w:rsid w:val="003F2640"/>
    <w:rsid w:val="003F2B3C"/>
    <w:rsid w:val="003F2BFE"/>
    <w:rsid w:val="003F2D2D"/>
    <w:rsid w:val="003F2E0F"/>
    <w:rsid w:val="003F3637"/>
    <w:rsid w:val="003F39E8"/>
    <w:rsid w:val="003F3B41"/>
    <w:rsid w:val="003F3C87"/>
    <w:rsid w:val="003F4156"/>
    <w:rsid w:val="003F45D6"/>
    <w:rsid w:val="003F4945"/>
    <w:rsid w:val="003F4B2B"/>
    <w:rsid w:val="003F4CF7"/>
    <w:rsid w:val="003F4D83"/>
    <w:rsid w:val="003F4F98"/>
    <w:rsid w:val="003F502C"/>
    <w:rsid w:val="003F5AB7"/>
    <w:rsid w:val="003F5ADF"/>
    <w:rsid w:val="003F5B14"/>
    <w:rsid w:val="003F5BF0"/>
    <w:rsid w:val="003F6123"/>
    <w:rsid w:val="003F6178"/>
    <w:rsid w:val="003F6AB2"/>
    <w:rsid w:val="003F6B4F"/>
    <w:rsid w:val="003F7051"/>
    <w:rsid w:val="003F73DA"/>
    <w:rsid w:val="003F7605"/>
    <w:rsid w:val="003F77C6"/>
    <w:rsid w:val="003F7CD1"/>
    <w:rsid w:val="003F7F32"/>
    <w:rsid w:val="004001CF"/>
    <w:rsid w:val="00400974"/>
    <w:rsid w:val="00400B29"/>
    <w:rsid w:val="00400B6B"/>
    <w:rsid w:val="00400B99"/>
    <w:rsid w:val="00400D2E"/>
    <w:rsid w:val="00401124"/>
    <w:rsid w:val="0040112D"/>
    <w:rsid w:val="004011F3"/>
    <w:rsid w:val="004013B1"/>
    <w:rsid w:val="004015F4"/>
    <w:rsid w:val="0040176D"/>
    <w:rsid w:val="00401984"/>
    <w:rsid w:val="00401B96"/>
    <w:rsid w:val="00401CEA"/>
    <w:rsid w:val="004028FD"/>
    <w:rsid w:val="00402926"/>
    <w:rsid w:val="00402C9F"/>
    <w:rsid w:val="00403222"/>
    <w:rsid w:val="0040379C"/>
    <w:rsid w:val="004038D2"/>
    <w:rsid w:val="0040395B"/>
    <w:rsid w:val="00403F7E"/>
    <w:rsid w:val="00403F81"/>
    <w:rsid w:val="00403FBB"/>
    <w:rsid w:val="00403FD4"/>
    <w:rsid w:val="00404302"/>
    <w:rsid w:val="00404536"/>
    <w:rsid w:val="00404928"/>
    <w:rsid w:val="004049A2"/>
    <w:rsid w:val="00404C50"/>
    <w:rsid w:val="00404D26"/>
    <w:rsid w:val="00404EBA"/>
    <w:rsid w:val="00404F54"/>
    <w:rsid w:val="0040504B"/>
    <w:rsid w:val="00405507"/>
    <w:rsid w:val="004059F4"/>
    <w:rsid w:val="00405CE2"/>
    <w:rsid w:val="00405D2D"/>
    <w:rsid w:val="00405D3E"/>
    <w:rsid w:val="0040631D"/>
    <w:rsid w:val="004063D8"/>
    <w:rsid w:val="004066FA"/>
    <w:rsid w:val="004068AD"/>
    <w:rsid w:val="00406AD9"/>
    <w:rsid w:val="00406D26"/>
    <w:rsid w:val="00406DDE"/>
    <w:rsid w:val="004070ED"/>
    <w:rsid w:val="004071A0"/>
    <w:rsid w:val="00407610"/>
    <w:rsid w:val="004077F0"/>
    <w:rsid w:val="004079A7"/>
    <w:rsid w:val="00407B05"/>
    <w:rsid w:val="00407BA2"/>
    <w:rsid w:val="00407FE5"/>
    <w:rsid w:val="00410005"/>
    <w:rsid w:val="004101B0"/>
    <w:rsid w:val="00410326"/>
    <w:rsid w:val="00410657"/>
    <w:rsid w:val="00410708"/>
    <w:rsid w:val="004108F7"/>
    <w:rsid w:val="004109FF"/>
    <w:rsid w:val="00410CD5"/>
    <w:rsid w:val="00410D4A"/>
    <w:rsid w:val="00410EC7"/>
    <w:rsid w:val="00410F39"/>
    <w:rsid w:val="004111CE"/>
    <w:rsid w:val="00411268"/>
    <w:rsid w:val="004112F4"/>
    <w:rsid w:val="00411866"/>
    <w:rsid w:val="00411B39"/>
    <w:rsid w:val="00411B9B"/>
    <w:rsid w:val="00411C0D"/>
    <w:rsid w:val="00412230"/>
    <w:rsid w:val="004127A7"/>
    <w:rsid w:val="00412915"/>
    <w:rsid w:val="00412B5A"/>
    <w:rsid w:val="00412D21"/>
    <w:rsid w:val="00412DCF"/>
    <w:rsid w:val="00413832"/>
    <w:rsid w:val="00413A1E"/>
    <w:rsid w:val="00413B15"/>
    <w:rsid w:val="00413D2B"/>
    <w:rsid w:val="00413E69"/>
    <w:rsid w:val="0041401A"/>
    <w:rsid w:val="00414476"/>
    <w:rsid w:val="004145BF"/>
    <w:rsid w:val="0041484F"/>
    <w:rsid w:val="00414C2E"/>
    <w:rsid w:val="004151CF"/>
    <w:rsid w:val="00415312"/>
    <w:rsid w:val="004156BA"/>
    <w:rsid w:val="0041586F"/>
    <w:rsid w:val="00415A4F"/>
    <w:rsid w:val="00415B4D"/>
    <w:rsid w:val="00415BBE"/>
    <w:rsid w:val="00415FF6"/>
    <w:rsid w:val="0041615A"/>
    <w:rsid w:val="0041620C"/>
    <w:rsid w:val="0041622F"/>
    <w:rsid w:val="00416279"/>
    <w:rsid w:val="00416364"/>
    <w:rsid w:val="004164F1"/>
    <w:rsid w:val="004164FC"/>
    <w:rsid w:val="00416565"/>
    <w:rsid w:val="00416AC9"/>
    <w:rsid w:val="00416D86"/>
    <w:rsid w:val="0041711C"/>
    <w:rsid w:val="0041719D"/>
    <w:rsid w:val="00417276"/>
    <w:rsid w:val="00417510"/>
    <w:rsid w:val="0041766F"/>
    <w:rsid w:val="004178DE"/>
    <w:rsid w:val="004179C7"/>
    <w:rsid w:val="0042021A"/>
    <w:rsid w:val="004203FC"/>
    <w:rsid w:val="0042047F"/>
    <w:rsid w:val="004205F5"/>
    <w:rsid w:val="0042063F"/>
    <w:rsid w:val="00420871"/>
    <w:rsid w:val="00420AA6"/>
    <w:rsid w:val="00420B9F"/>
    <w:rsid w:val="00421054"/>
    <w:rsid w:val="004216A3"/>
    <w:rsid w:val="004218CD"/>
    <w:rsid w:val="0042192C"/>
    <w:rsid w:val="0042192D"/>
    <w:rsid w:val="00421CF2"/>
    <w:rsid w:val="00422260"/>
    <w:rsid w:val="00422304"/>
    <w:rsid w:val="00422353"/>
    <w:rsid w:val="00422379"/>
    <w:rsid w:val="00422452"/>
    <w:rsid w:val="00422542"/>
    <w:rsid w:val="0042261E"/>
    <w:rsid w:val="00422798"/>
    <w:rsid w:val="00422C27"/>
    <w:rsid w:val="00423977"/>
    <w:rsid w:val="0042398E"/>
    <w:rsid w:val="00423CCD"/>
    <w:rsid w:val="00423D4F"/>
    <w:rsid w:val="0042413F"/>
    <w:rsid w:val="0042435C"/>
    <w:rsid w:val="00424983"/>
    <w:rsid w:val="00424C9F"/>
    <w:rsid w:val="00424D63"/>
    <w:rsid w:val="00424DB7"/>
    <w:rsid w:val="00424F2F"/>
    <w:rsid w:val="00424F4C"/>
    <w:rsid w:val="0042507B"/>
    <w:rsid w:val="0042516B"/>
    <w:rsid w:val="004251D9"/>
    <w:rsid w:val="004251E4"/>
    <w:rsid w:val="00425321"/>
    <w:rsid w:val="004255CC"/>
    <w:rsid w:val="0042567A"/>
    <w:rsid w:val="0042574B"/>
    <w:rsid w:val="00425963"/>
    <w:rsid w:val="00425A7F"/>
    <w:rsid w:val="00425AC6"/>
    <w:rsid w:val="00425BCE"/>
    <w:rsid w:val="00425D51"/>
    <w:rsid w:val="00425F77"/>
    <w:rsid w:val="00426027"/>
    <w:rsid w:val="0042629A"/>
    <w:rsid w:val="004262B9"/>
    <w:rsid w:val="004268B7"/>
    <w:rsid w:val="004269EE"/>
    <w:rsid w:val="00426CF6"/>
    <w:rsid w:val="00426DCB"/>
    <w:rsid w:val="00426F8A"/>
    <w:rsid w:val="00427918"/>
    <w:rsid w:val="004279F9"/>
    <w:rsid w:val="00427A31"/>
    <w:rsid w:val="00427F3E"/>
    <w:rsid w:val="00430202"/>
    <w:rsid w:val="00430603"/>
    <w:rsid w:val="00430630"/>
    <w:rsid w:val="004306C2"/>
    <w:rsid w:val="004309B1"/>
    <w:rsid w:val="00430C14"/>
    <w:rsid w:val="00430C87"/>
    <w:rsid w:val="00431114"/>
    <w:rsid w:val="00431227"/>
    <w:rsid w:val="00431479"/>
    <w:rsid w:val="004319F8"/>
    <w:rsid w:val="00431A33"/>
    <w:rsid w:val="00431C03"/>
    <w:rsid w:val="00431E55"/>
    <w:rsid w:val="00431FAF"/>
    <w:rsid w:val="00432120"/>
    <w:rsid w:val="004321F6"/>
    <w:rsid w:val="0043239A"/>
    <w:rsid w:val="004324A7"/>
    <w:rsid w:val="00432817"/>
    <w:rsid w:val="00432894"/>
    <w:rsid w:val="00432DAB"/>
    <w:rsid w:val="00433036"/>
    <w:rsid w:val="00433044"/>
    <w:rsid w:val="004335B8"/>
    <w:rsid w:val="004335E6"/>
    <w:rsid w:val="004337B7"/>
    <w:rsid w:val="0043388E"/>
    <w:rsid w:val="00433BC2"/>
    <w:rsid w:val="00433C43"/>
    <w:rsid w:val="00433EB6"/>
    <w:rsid w:val="00433FFE"/>
    <w:rsid w:val="00434088"/>
    <w:rsid w:val="0043433E"/>
    <w:rsid w:val="004347B2"/>
    <w:rsid w:val="004349A5"/>
    <w:rsid w:val="00434AF9"/>
    <w:rsid w:val="00434FC3"/>
    <w:rsid w:val="0043501D"/>
    <w:rsid w:val="00435350"/>
    <w:rsid w:val="004355CF"/>
    <w:rsid w:val="00435E80"/>
    <w:rsid w:val="00435F2B"/>
    <w:rsid w:val="0043676A"/>
    <w:rsid w:val="00436ACF"/>
    <w:rsid w:val="00436B10"/>
    <w:rsid w:val="00436C9D"/>
    <w:rsid w:val="00436F74"/>
    <w:rsid w:val="0043732D"/>
    <w:rsid w:val="004373C6"/>
    <w:rsid w:val="004373C8"/>
    <w:rsid w:val="0043747F"/>
    <w:rsid w:val="004375B9"/>
    <w:rsid w:val="004375F7"/>
    <w:rsid w:val="00437740"/>
    <w:rsid w:val="00437A43"/>
    <w:rsid w:val="00437C30"/>
    <w:rsid w:val="004402B0"/>
    <w:rsid w:val="004403A4"/>
    <w:rsid w:val="0044098A"/>
    <w:rsid w:val="0044099F"/>
    <w:rsid w:val="00440D1C"/>
    <w:rsid w:val="00440F91"/>
    <w:rsid w:val="0044115C"/>
    <w:rsid w:val="00441161"/>
    <w:rsid w:val="004412B0"/>
    <w:rsid w:val="004414F2"/>
    <w:rsid w:val="0044159E"/>
    <w:rsid w:val="00441B09"/>
    <w:rsid w:val="00441FEC"/>
    <w:rsid w:val="004421D6"/>
    <w:rsid w:val="004423BF"/>
    <w:rsid w:val="0044255E"/>
    <w:rsid w:val="004428D0"/>
    <w:rsid w:val="00442DB1"/>
    <w:rsid w:val="00443081"/>
    <w:rsid w:val="004436E0"/>
    <w:rsid w:val="00443A1F"/>
    <w:rsid w:val="00443B34"/>
    <w:rsid w:val="00443C16"/>
    <w:rsid w:val="00443C66"/>
    <w:rsid w:val="00443E15"/>
    <w:rsid w:val="00443EED"/>
    <w:rsid w:val="00444185"/>
    <w:rsid w:val="004443A7"/>
    <w:rsid w:val="0044442C"/>
    <w:rsid w:val="0044478D"/>
    <w:rsid w:val="00444835"/>
    <w:rsid w:val="004448DF"/>
    <w:rsid w:val="0044496E"/>
    <w:rsid w:val="00445073"/>
    <w:rsid w:val="004452C4"/>
    <w:rsid w:val="00445941"/>
    <w:rsid w:val="00445B3C"/>
    <w:rsid w:val="00445EB5"/>
    <w:rsid w:val="00446199"/>
    <w:rsid w:val="00446297"/>
    <w:rsid w:val="0044648F"/>
    <w:rsid w:val="004464EB"/>
    <w:rsid w:val="004465AC"/>
    <w:rsid w:val="00446AD2"/>
    <w:rsid w:val="00446D15"/>
    <w:rsid w:val="00446D73"/>
    <w:rsid w:val="004470D0"/>
    <w:rsid w:val="00447216"/>
    <w:rsid w:val="004479E3"/>
    <w:rsid w:val="00447C4C"/>
    <w:rsid w:val="00447CA3"/>
    <w:rsid w:val="00447D26"/>
    <w:rsid w:val="00447DFC"/>
    <w:rsid w:val="004502AA"/>
    <w:rsid w:val="00450443"/>
    <w:rsid w:val="00450AC3"/>
    <w:rsid w:val="004515B1"/>
    <w:rsid w:val="004515E8"/>
    <w:rsid w:val="00451620"/>
    <w:rsid w:val="00451798"/>
    <w:rsid w:val="00451913"/>
    <w:rsid w:val="00451920"/>
    <w:rsid w:val="00451C4C"/>
    <w:rsid w:val="00451F13"/>
    <w:rsid w:val="00451FA0"/>
    <w:rsid w:val="004521F6"/>
    <w:rsid w:val="00452225"/>
    <w:rsid w:val="00452799"/>
    <w:rsid w:val="00453088"/>
    <w:rsid w:val="00453445"/>
    <w:rsid w:val="00453874"/>
    <w:rsid w:val="00453C56"/>
    <w:rsid w:val="004540CB"/>
    <w:rsid w:val="004542F8"/>
    <w:rsid w:val="0045442F"/>
    <w:rsid w:val="0045466E"/>
    <w:rsid w:val="004546AA"/>
    <w:rsid w:val="00454BBC"/>
    <w:rsid w:val="00454C8C"/>
    <w:rsid w:val="0045526C"/>
    <w:rsid w:val="004552C5"/>
    <w:rsid w:val="00455589"/>
    <w:rsid w:val="0045573B"/>
    <w:rsid w:val="00455832"/>
    <w:rsid w:val="00455867"/>
    <w:rsid w:val="00455B77"/>
    <w:rsid w:val="00455C8F"/>
    <w:rsid w:val="00455CAF"/>
    <w:rsid w:val="00455D45"/>
    <w:rsid w:val="00455E8A"/>
    <w:rsid w:val="0045629B"/>
    <w:rsid w:val="00456923"/>
    <w:rsid w:val="00457101"/>
    <w:rsid w:val="004573BA"/>
    <w:rsid w:val="0045754D"/>
    <w:rsid w:val="0045799A"/>
    <w:rsid w:val="00457BB8"/>
    <w:rsid w:val="0046049F"/>
    <w:rsid w:val="00460673"/>
    <w:rsid w:val="0046074D"/>
    <w:rsid w:val="00460B2B"/>
    <w:rsid w:val="00460CE5"/>
    <w:rsid w:val="00461787"/>
    <w:rsid w:val="004619F3"/>
    <w:rsid w:val="00461A5A"/>
    <w:rsid w:val="00462183"/>
    <w:rsid w:val="004621A1"/>
    <w:rsid w:val="00462363"/>
    <w:rsid w:val="004623B0"/>
    <w:rsid w:val="00462495"/>
    <w:rsid w:val="00462704"/>
    <w:rsid w:val="00462788"/>
    <w:rsid w:val="0046295C"/>
    <w:rsid w:val="00462B61"/>
    <w:rsid w:val="00462B8B"/>
    <w:rsid w:val="00462C18"/>
    <w:rsid w:val="00462DE8"/>
    <w:rsid w:val="00462ED8"/>
    <w:rsid w:val="00462F4A"/>
    <w:rsid w:val="004635BA"/>
    <w:rsid w:val="0046383D"/>
    <w:rsid w:val="0046387C"/>
    <w:rsid w:val="00463A26"/>
    <w:rsid w:val="00463A80"/>
    <w:rsid w:val="0046414C"/>
    <w:rsid w:val="00464225"/>
    <w:rsid w:val="004642A4"/>
    <w:rsid w:val="00464349"/>
    <w:rsid w:val="00464595"/>
    <w:rsid w:val="00464E9D"/>
    <w:rsid w:val="00465057"/>
    <w:rsid w:val="00465704"/>
    <w:rsid w:val="004657A5"/>
    <w:rsid w:val="004658B5"/>
    <w:rsid w:val="00465BE6"/>
    <w:rsid w:val="00465E67"/>
    <w:rsid w:val="00465F91"/>
    <w:rsid w:val="004663A7"/>
    <w:rsid w:val="004667B7"/>
    <w:rsid w:val="004668CB"/>
    <w:rsid w:val="00466C84"/>
    <w:rsid w:val="00467258"/>
    <w:rsid w:val="00467465"/>
    <w:rsid w:val="004675ED"/>
    <w:rsid w:val="0046793C"/>
    <w:rsid w:val="0046794A"/>
    <w:rsid w:val="00467BAA"/>
    <w:rsid w:val="00467C06"/>
    <w:rsid w:val="00467C1D"/>
    <w:rsid w:val="00467D61"/>
    <w:rsid w:val="00467E5D"/>
    <w:rsid w:val="0047017E"/>
    <w:rsid w:val="004703CB"/>
    <w:rsid w:val="0047077C"/>
    <w:rsid w:val="0047108F"/>
    <w:rsid w:val="004710A5"/>
    <w:rsid w:val="004719BB"/>
    <w:rsid w:val="00471AE4"/>
    <w:rsid w:val="00471EA5"/>
    <w:rsid w:val="00471F38"/>
    <w:rsid w:val="00472190"/>
    <w:rsid w:val="004726A3"/>
    <w:rsid w:val="00472A79"/>
    <w:rsid w:val="00472B21"/>
    <w:rsid w:val="00472CA9"/>
    <w:rsid w:val="00472E6A"/>
    <w:rsid w:val="00472FA7"/>
    <w:rsid w:val="00472FB2"/>
    <w:rsid w:val="0047336B"/>
    <w:rsid w:val="00473742"/>
    <w:rsid w:val="00473867"/>
    <w:rsid w:val="00473C89"/>
    <w:rsid w:val="00473CAD"/>
    <w:rsid w:val="00473F19"/>
    <w:rsid w:val="004746C6"/>
    <w:rsid w:val="004747E7"/>
    <w:rsid w:val="00474A57"/>
    <w:rsid w:val="00474FA9"/>
    <w:rsid w:val="00475011"/>
    <w:rsid w:val="004752AA"/>
    <w:rsid w:val="00475AED"/>
    <w:rsid w:val="00475D42"/>
    <w:rsid w:val="00475E22"/>
    <w:rsid w:val="00476139"/>
    <w:rsid w:val="004761F8"/>
    <w:rsid w:val="0047645F"/>
    <w:rsid w:val="004765F8"/>
    <w:rsid w:val="0047677D"/>
    <w:rsid w:val="00476C22"/>
    <w:rsid w:val="00477250"/>
    <w:rsid w:val="004775F8"/>
    <w:rsid w:val="0047790A"/>
    <w:rsid w:val="00477DE5"/>
    <w:rsid w:val="004801D8"/>
    <w:rsid w:val="00480270"/>
    <w:rsid w:val="004804E5"/>
    <w:rsid w:val="004806F1"/>
    <w:rsid w:val="004807C6"/>
    <w:rsid w:val="0048088E"/>
    <w:rsid w:val="00480CDA"/>
    <w:rsid w:val="00480F2B"/>
    <w:rsid w:val="00480FA7"/>
    <w:rsid w:val="004811DD"/>
    <w:rsid w:val="004815F5"/>
    <w:rsid w:val="00481722"/>
    <w:rsid w:val="004818C0"/>
    <w:rsid w:val="00481EBA"/>
    <w:rsid w:val="00481FB3"/>
    <w:rsid w:val="00481FD8"/>
    <w:rsid w:val="00482656"/>
    <w:rsid w:val="00482720"/>
    <w:rsid w:val="0048274E"/>
    <w:rsid w:val="00482800"/>
    <w:rsid w:val="004828B6"/>
    <w:rsid w:val="00482AE2"/>
    <w:rsid w:val="00482C7C"/>
    <w:rsid w:val="00483389"/>
    <w:rsid w:val="004835E7"/>
    <w:rsid w:val="0048383C"/>
    <w:rsid w:val="004839C0"/>
    <w:rsid w:val="00483B91"/>
    <w:rsid w:val="0048455D"/>
    <w:rsid w:val="00484967"/>
    <w:rsid w:val="00484A16"/>
    <w:rsid w:val="00484AD6"/>
    <w:rsid w:val="004850C9"/>
    <w:rsid w:val="004851A9"/>
    <w:rsid w:val="0048532C"/>
    <w:rsid w:val="00485832"/>
    <w:rsid w:val="004860CE"/>
    <w:rsid w:val="00486456"/>
    <w:rsid w:val="004867E2"/>
    <w:rsid w:val="004869DF"/>
    <w:rsid w:val="00486CEE"/>
    <w:rsid w:val="00486D5E"/>
    <w:rsid w:val="0048702A"/>
    <w:rsid w:val="00487083"/>
    <w:rsid w:val="004872FD"/>
    <w:rsid w:val="00487649"/>
    <w:rsid w:val="0048786B"/>
    <w:rsid w:val="00487979"/>
    <w:rsid w:val="00487E41"/>
    <w:rsid w:val="00487EFE"/>
    <w:rsid w:val="00490193"/>
    <w:rsid w:val="00490235"/>
    <w:rsid w:val="004903B1"/>
    <w:rsid w:val="004904DB"/>
    <w:rsid w:val="004905C6"/>
    <w:rsid w:val="00490AD6"/>
    <w:rsid w:val="00490B17"/>
    <w:rsid w:val="00490E68"/>
    <w:rsid w:val="00491A8F"/>
    <w:rsid w:val="00491B3A"/>
    <w:rsid w:val="00491BB5"/>
    <w:rsid w:val="00491BF0"/>
    <w:rsid w:val="00492033"/>
    <w:rsid w:val="004920A3"/>
    <w:rsid w:val="004928E5"/>
    <w:rsid w:val="004928FC"/>
    <w:rsid w:val="00492AB2"/>
    <w:rsid w:val="00492B10"/>
    <w:rsid w:val="00492C10"/>
    <w:rsid w:val="00492C39"/>
    <w:rsid w:val="00492C84"/>
    <w:rsid w:val="00492CFD"/>
    <w:rsid w:val="004932AB"/>
    <w:rsid w:val="00493469"/>
    <w:rsid w:val="004938DA"/>
    <w:rsid w:val="00493A14"/>
    <w:rsid w:val="00493D12"/>
    <w:rsid w:val="00493EC7"/>
    <w:rsid w:val="00493EEF"/>
    <w:rsid w:val="00494207"/>
    <w:rsid w:val="0049444D"/>
    <w:rsid w:val="0049448B"/>
    <w:rsid w:val="004945AA"/>
    <w:rsid w:val="0049499F"/>
    <w:rsid w:val="00494DD5"/>
    <w:rsid w:val="00494E9B"/>
    <w:rsid w:val="00494F90"/>
    <w:rsid w:val="00495056"/>
    <w:rsid w:val="004952F5"/>
    <w:rsid w:val="004954B3"/>
    <w:rsid w:val="0049582E"/>
    <w:rsid w:val="00495A21"/>
    <w:rsid w:val="00495BB4"/>
    <w:rsid w:val="00495DA9"/>
    <w:rsid w:val="00495DB8"/>
    <w:rsid w:val="00496120"/>
    <w:rsid w:val="004962D2"/>
    <w:rsid w:val="0049667E"/>
    <w:rsid w:val="004966FD"/>
    <w:rsid w:val="00496AFD"/>
    <w:rsid w:val="004978EA"/>
    <w:rsid w:val="0049790C"/>
    <w:rsid w:val="004A00C0"/>
    <w:rsid w:val="004A03EC"/>
    <w:rsid w:val="004A0406"/>
    <w:rsid w:val="004A0861"/>
    <w:rsid w:val="004A0A4A"/>
    <w:rsid w:val="004A0BA0"/>
    <w:rsid w:val="004A0D78"/>
    <w:rsid w:val="004A0DA1"/>
    <w:rsid w:val="004A0F7A"/>
    <w:rsid w:val="004A0FB3"/>
    <w:rsid w:val="004A1122"/>
    <w:rsid w:val="004A11C2"/>
    <w:rsid w:val="004A11CE"/>
    <w:rsid w:val="004A1263"/>
    <w:rsid w:val="004A13D6"/>
    <w:rsid w:val="004A1917"/>
    <w:rsid w:val="004A1A50"/>
    <w:rsid w:val="004A1F0B"/>
    <w:rsid w:val="004A1FF8"/>
    <w:rsid w:val="004A203C"/>
    <w:rsid w:val="004A255D"/>
    <w:rsid w:val="004A25B5"/>
    <w:rsid w:val="004A2642"/>
    <w:rsid w:val="004A27DA"/>
    <w:rsid w:val="004A29C6"/>
    <w:rsid w:val="004A337D"/>
    <w:rsid w:val="004A33B0"/>
    <w:rsid w:val="004A34A7"/>
    <w:rsid w:val="004A3611"/>
    <w:rsid w:val="004A3631"/>
    <w:rsid w:val="004A36B1"/>
    <w:rsid w:val="004A382B"/>
    <w:rsid w:val="004A3962"/>
    <w:rsid w:val="004A39F9"/>
    <w:rsid w:val="004A3AA0"/>
    <w:rsid w:val="004A3B60"/>
    <w:rsid w:val="004A3C04"/>
    <w:rsid w:val="004A3C1E"/>
    <w:rsid w:val="004A3D94"/>
    <w:rsid w:val="004A42F2"/>
    <w:rsid w:val="004A46A5"/>
    <w:rsid w:val="004A4746"/>
    <w:rsid w:val="004A5008"/>
    <w:rsid w:val="004A51A7"/>
    <w:rsid w:val="004A52E9"/>
    <w:rsid w:val="004A5647"/>
    <w:rsid w:val="004A59E6"/>
    <w:rsid w:val="004A5A84"/>
    <w:rsid w:val="004A5AE1"/>
    <w:rsid w:val="004A5BC4"/>
    <w:rsid w:val="004A5C75"/>
    <w:rsid w:val="004A6040"/>
    <w:rsid w:val="004A62A8"/>
    <w:rsid w:val="004A6597"/>
    <w:rsid w:val="004A6809"/>
    <w:rsid w:val="004A6926"/>
    <w:rsid w:val="004A69E9"/>
    <w:rsid w:val="004A6FA0"/>
    <w:rsid w:val="004A7848"/>
    <w:rsid w:val="004A7FE2"/>
    <w:rsid w:val="004B0362"/>
    <w:rsid w:val="004B1056"/>
    <w:rsid w:val="004B1112"/>
    <w:rsid w:val="004B12D4"/>
    <w:rsid w:val="004B13DF"/>
    <w:rsid w:val="004B166A"/>
    <w:rsid w:val="004B18A4"/>
    <w:rsid w:val="004B19BE"/>
    <w:rsid w:val="004B1B2B"/>
    <w:rsid w:val="004B1CB4"/>
    <w:rsid w:val="004B249A"/>
    <w:rsid w:val="004B28E9"/>
    <w:rsid w:val="004B292C"/>
    <w:rsid w:val="004B2BAB"/>
    <w:rsid w:val="004B2C44"/>
    <w:rsid w:val="004B2C53"/>
    <w:rsid w:val="004B2DF0"/>
    <w:rsid w:val="004B2DF7"/>
    <w:rsid w:val="004B2F18"/>
    <w:rsid w:val="004B3207"/>
    <w:rsid w:val="004B3AAF"/>
    <w:rsid w:val="004B3D75"/>
    <w:rsid w:val="004B3DDB"/>
    <w:rsid w:val="004B427F"/>
    <w:rsid w:val="004B442E"/>
    <w:rsid w:val="004B44FD"/>
    <w:rsid w:val="004B4B6E"/>
    <w:rsid w:val="004B5035"/>
    <w:rsid w:val="004B5B63"/>
    <w:rsid w:val="004B5CE6"/>
    <w:rsid w:val="004B5CFC"/>
    <w:rsid w:val="004B5E1D"/>
    <w:rsid w:val="004B5EB6"/>
    <w:rsid w:val="004B5F3C"/>
    <w:rsid w:val="004B5F5C"/>
    <w:rsid w:val="004B65E9"/>
    <w:rsid w:val="004B6A7E"/>
    <w:rsid w:val="004B6BA4"/>
    <w:rsid w:val="004B6CCB"/>
    <w:rsid w:val="004B6F79"/>
    <w:rsid w:val="004B70C1"/>
    <w:rsid w:val="004B774D"/>
    <w:rsid w:val="004B797B"/>
    <w:rsid w:val="004B79C8"/>
    <w:rsid w:val="004C05CD"/>
    <w:rsid w:val="004C0823"/>
    <w:rsid w:val="004C0D74"/>
    <w:rsid w:val="004C130E"/>
    <w:rsid w:val="004C1CC8"/>
    <w:rsid w:val="004C1D80"/>
    <w:rsid w:val="004C1DE0"/>
    <w:rsid w:val="004C1F34"/>
    <w:rsid w:val="004C2329"/>
    <w:rsid w:val="004C2991"/>
    <w:rsid w:val="004C29EC"/>
    <w:rsid w:val="004C2BE2"/>
    <w:rsid w:val="004C2BF5"/>
    <w:rsid w:val="004C2F54"/>
    <w:rsid w:val="004C3350"/>
    <w:rsid w:val="004C3446"/>
    <w:rsid w:val="004C3675"/>
    <w:rsid w:val="004C36F9"/>
    <w:rsid w:val="004C399A"/>
    <w:rsid w:val="004C39A0"/>
    <w:rsid w:val="004C3D7E"/>
    <w:rsid w:val="004C3EAB"/>
    <w:rsid w:val="004C42CD"/>
    <w:rsid w:val="004C42FA"/>
    <w:rsid w:val="004C4550"/>
    <w:rsid w:val="004C4AB2"/>
    <w:rsid w:val="004C4AD6"/>
    <w:rsid w:val="004C4AED"/>
    <w:rsid w:val="004C4B63"/>
    <w:rsid w:val="004C53C2"/>
    <w:rsid w:val="004C5816"/>
    <w:rsid w:val="004C5C10"/>
    <w:rsid w:val="004C5C1F"/>
    <w:rsid w:val="004C5F91"/>
    <w:rsid w:val="004C67CB"/>
    <w:rsid w:val="004C6854"/>
    <w:rsid w:val="004C6903"/>
    <w:rsid w:val="004C69B9"/>
    <w:rsid w:val="004C6C9E"/>
    <w:rsid w:val="004C6D4A"/>
    <w:rsid w:val="004C6E67"/>
    <w:rsid w:val="004C6E96"/>
    <w:rsid w:val="004C7038"/>
    <w:rsid w:val="004C7040"/>
    <w:rsid w:val="004C7064"/>
    <w:rsid w:val="004C7389"/>
    <w:rsid w:val="004C73B4"/>
    <w:rsid w:val="004C74B2"/>
    <w:rsid w:val="004C74CF"/>
    <w:rsid w:val="004C795A"/>
    <w:rsid w:val="004C7DEC"/>
    <w:rsid w:val="004C7EFC"/>
    <w:rsid w:val="004D01DB"/>
    <w:rsid w:val="004D02B3"/>
    <w:rsid w:val="004D0899"/>
    <w:rsid w:val="004D13B2"/>
    <w:rsid w:val="004D1553"/>
    <w:rsid w:val="004D16CE"/>
    <w:rsid w:val="004D1716"/>
    <w:rsid w:val="004D1786"/>
    <w:rsid w:val="004D1AC0"/>
    <w:rsid w:val="004D1BD5"/>
    <w:rsid w:val="004D1EF3"/>
    <w:rsid w:val="004D213D"/>
    <w:rsid w:val="004D2242"/>
    <w:rsid w:val="004D2641"/>
    <w:rsid w:val="004D2959"/>
    <w:rsid w:val="004D2ABB"/>
    <w:rsid w:val="004D2C2D"/>
    <w:rsid w:val="004D3021"/>
    <w:rsid w:val="004D32C5"/>
    <w:rsid w:val="004D33CE"/>
    <w:rsid w:val="004D34D6"/>
    <w:rsid w:val="004D34E1"/>
    <w:rsid w:val="004D3547"/>
    <w:rsid w:val="004D3572"/>
    <w:rsid w:val="004D3699"/>
    <w:rsid w:val="004D3798"/>
    <w:rsid w:val="004D3A6E"/>
    <w:rsid w:val="004D3BA9"/>
    <w:rsid w:val="004D3F5B"/>
    <w:rsid w:val="004D3F93"/>
    <w:rsid w:val="004D42D4"/>
    <w:rsid w:val="004D45D3"/>
    <w:rsid w:val="004D47C9"/>
    <w:rsid w:val="004D491A"/>
    <w:rsid w:val="004D4BB7"/>
    <w:rsid w:val="004D52B6"/>
    <w:rsid w:val="004D5336"/>
    <w:rsid w:val="004D5548"/>
    <w:rsid w:val="004D5813"/>
    <w:rsid w:val="004D6164"/>
    <w:rsid w:val="004D6186"/>
    <w:rsid w:val="004D6573"/>
    <w:rsid w:val="004D65FF"/>
    <w:rsid w:val="004D6638"/>
    <w:rsid w:val="004D69B5"/>
    <w:rsid w:val="004D7105"/>
    <w:rsid w:val="004D7227"/>
    <w:rsid w:val="004D770B"/>
    <w:rsid w:val="004D7E0B"/>
    <w:rsid w:val="004D7EDC"/>
    <w:rsid w:val="004E0018"/>
    <w:rsid w:val="004E043D"/>
    <w:rsid w:val="004E08A5"/>
    <w:rsid w:val="004E090B"/>
    <w:rsid w:val="004E0B5F"/>
    <w:rsid w:val="004E0E7F"/>
    <w:rsid w:val="004E0EB8"/>
    <w:rsid w:val="004E1503"/>
    <w:rsid w:val="004E18E9"/>
    <w:rsid w:val="004E20F7"/>
    <w:rsid w:val="004E2362"/>
    <w:rsid w:val="004E28D1"/>
    <w:rsid w:val="004E2ADC"/>
    <w:rsid w:val="004E2ED1"/>
    <w:rsid w:val="004E2F90"/>
    <w:rsid w:val="004E30D5"/>
    <w:rsid w:val="004E3516"/>
    <w:rsid w:val="004E35A5"/>
    <w:rsid w:val="004E38D5"/>
    <w:rsid w:val="004E3A39"/>
    <w:rsid w:val="004E3A88"/>
    <w:rsid w:val="004E3B28"/>
    <w:rsid w:val="004E407A"/>
    <w:rsid w:val="004E4093"/>
    <w:rsid w:val="004E40FF"/>
    <w:rsid w:val="004E4230"/>
    <w:rsid w:val="004E43B2"/>
    <w:rsid w:val="004E453F"/>
    <w:rsid w:val="004E4578"/>
    <w:rsid w:val="004E45A4"/>
    <w:rsid w:val="004E4869"/>
    <w:rsid w:val="004E4E15"/>
    <w:rsid w:val="004E5262"/>
    <w:rsid w:val="004E5294"/>
    <w:rsid w:val="004E52E2"/>
    <w:rsid w:val="004E572D"/>
    <w:rsid w:val="004E5831"/>
    <w:rsid w:val="004E58E8"/>
    <w:rsid w:val="004E59C1"/>
    <w:rsid w:val="004E5E09"/>
    <w:rsid w:val="004E5F36"/>
    <w:rsid w:val="004E606B"/>
    <w:rsid w:val="004E692D"/>
    <w:rsid w:val="004E6AF5"/>
    <w:rsid w:val="004E6D58"/>
    <w:rsid w:val="004E6E59"/>
    <w:rsid w:val="004E71B3"/>
    <w:rsid w:val="004E73E9"/>
    <w:rsid w:val="004E7719"/>
    <w:rsid w:val="004E78E8"/>
    <w:rsid w:val="004E7A44"/>
    <w:rsid w:val="004E7EFB"/>
    <w:rsid w:val="004F0046"/>
    <w:rsid w:val="004F01A3"/>
    <w:rsid w:val="004F06B5"/>
    <w:rsid w:val="004F0878"/>
    <w:rsid w:val="004F0AF9"/>
    <w:rsid w:val="004F0B1A"/>
    <w:rsid w:val="004F0B8E"/>
    <w:rsid w:val="004F0B91"/>
    <w:rsid w:val="004F0F1F"/>
    <w:rsid w:val="004F134C"/>
    <w:rsid w:val="004F14DE"/>
    <w:rsid w:val="004F16DE"/>
    <w:rsid w:val="004F17DE"/>
    <w:rsid w:val="004F1D02"/>
    <w:rsid w:val="004F2679"/>
    <w:rsid w:val="004F2910"/>
    <w:rsid w:val="004F293A"/>
    <w:rsid w:val="004F2D22"/>
    <w:rsid w:val="004F2F21"/>
    <w:rsid w:val="004F2F28"/>
    <w:rsid w:val="004F34C4"/>
    <w:rsid w:val="004F34EA"/>
    <w:rsid w:val="004F39A8"/>
    <w:rsid w:val="004F3DE5"/>
    <w:rsid w:val="004F3DE6"/>
    <w:rsid w:val="004F43D5"/>
    <w:rsid w:val="004F455F"/>
    <w:rsid w:val="004F4740"/>
    <w:rsid w:val="004F4871"/>
    <w:rsid w:val="004F48B9"/>
    <w:rsid w:val="004F4C45"/>
    <w:rsid w:val="004F4F15"/>
    <w:rsid w:val="004F4FFE"/>
    <w:rsid w:val="004F526B"/>
    <w:rsid w:val="004F530F"/>
    <w:rsid w:val="004F577E"/>
    <w:rsid w:val="004F5A12"/>
    <w:rsid w:val="004F5A68"/>
    <w:rsid w:val="004F5C52"/>
    <w:rsid w:val="004F5C76"/>
    <w:rsid w:val="004F5CA1"/>
    <w:rsid w:val="004F5DC7"/>
    <w:rsid w:val="004F5E75"/>
    <w:rsid w:val="004F63AE"/>
    <w:rsid w:val="004F6913"/>
    <w:rsid w:val="004F6AD6"/>
    <w:rsid w:val="004F6B63"/>
    <w:rsid w:val="004F6BD1"/>
    <w:rsid w:val="004F746A"/>
    <w:rsid w:val="004F7536"/>
    <w:rsid w:val="004F77D2"/>
    <w:rsid w:val="004F7853"/>
    <w:rsid w:val="004F7865"/>
    <w:rsid w:val="004F7C36"/>
    <w:rsid w:val="004F7C38"/>
    <w:rsid w:val="00500396"/>
    <w:rsid w:val="00500A6E"/>
    <w:rsid w:val="00500AD7"/>
    <w:rsid w:val="00500EA2"/>
    <w:rsid w:val="00500EF2"/>
    <w:rsid w:val="00501394"/>
    <w:rsid w:val="00501493"/>
    <w:rsid w:val="00501587"/>
    <w:rsid w:val="0050173A"/>
    <w:rsid w:val="0050174E"/>
    <w:rsid w:val="00501805"/>
    <w:rsid w:val="00501854"/>
    <w:rsid w:val="00501903"/>
    <w:rsid w:val="00501F31"/>
    <w:rsid w:val="0050219B"/>
    <w:rsid w:val="00502279"/>
    <w:rsid w:val="00502393"/>
    <w:rsid w:val="00502476"/>
    <w:rsid w:val="00502763"/>
    <w:rsid w:val="00502818"/>
    <w:rsid w:val="00502904"/>
    <w:rsid w:val="0050292E"/>
    <w:rsid w:val="00502A6F"/>
    <w:rsid w:val="00502A84"/>
    <w:rsid w:val="00502F79"/>
    <w:rsid w:val="00503282"/>
    <w:rsid w:val="00503397"/>
    <w:rsid w:val="00503709"/>
    <w:rsid w:val="005037A5"/>
    <w:rsid w:val="005039DF"/>
    <w:rsid w:val="00503A99"/>
    <w:rsid w:val="00503CB5"/>
    <w:rsid w:val="00503F17"/>
    <w:rsid w:val="005041FD"/>
    <w:rsid w:val="0050478C"/>
    <w:rsid w:val="00504C83"/>
    <w:rsid w:val="00504E51"/>
    <w:rsid w:val="00505025"/>
    <w:rsid w:val="005053C0"/>
    <w:rsid w:val="005054B1"/>
    <w:rsid w:val="005058C3"/>
    <w:rsid w:val="00505EF5"/>
    <w:rsid w:val="005060A1"/>
    <w:rsid w:val="0050613D"/>
    <w:rsid w:val="005063E7"/>
    <w:rsid w:val="00506472"/>
    <w:rsid w:val="00506676"/>
    <w:rsid w:val="00506812"/>
    <w:rsid w:val="00506928"/>
    <w:rsid w:val="00506940"/>
    <w:rsid w:val="00506A22"/>
    <w:rsid w:val="00507122"/>
    <w:rsid w:val="0050729D"/>
    <w:rsid w:val="005077EF"/>
    <w:rsid w:val="005108B5"/>
    <w:rsid w:val="005108F1"/>
    <w:rsid w:val="00510C25"/>
    <w:rsid w:val="00510DB6"/>
    <w:rsid w:val="00511047"/>
    <w:rsid w:val="005110CD"/>
    <w:rsid w:val="00511420"/>
    <w:rsid w:val="0051159D"/>
    <w:rsid w:val="0051188A"/>
    <w:rsid w:val="0051191A"/>
    <w:rsid w:val="00511AD5"/>
    <w:rsid w:val="00511B66"/>
    <w:rsid w:val="00511DC7"/>
    <w:rsid w:val="005120E5"/>
    <w:rsid w:val="005125F0"/>
    <w:rsid w:val="00512885"/>
    <w:rsid w:val="00512C6A"/>
    <w:rsid w:val="00512CE8"/>
    <w:rsid w:val="0051303E"/>
    <w:rsid w:val="00513159"/>
    <w:rsid w:val="00513300"/>
    <w:rsid w:val="0051389A"/>
    <w:rsid w:val="00513ABD"/>
    <w:rsid w:val="00513C3C"/>
    <w:rsid w:val="00513CD7"/>
    <w:rsid w:val="00514011"/>
    <w:rsid w:val="005141AD"/>
    <w:rsid w:val="005142C1"/>
    <w:rsid w:val="005142C5"/>
    <w:rsid w:val="00514343"/>
    <w:rsid w:val="0051476B"/>
    <w:rsid w:val="00514972"/>
    <w:rsid w:val="0051501B"/>
    <w:rsid w:val="005152B5"/>
    <w:rsid w:val="00515300"/>
    <w:rsid w:val="00515503"/>
    <w:rsid w:val="005155A1"/>
    <w:rsid w:val="00515782"/>
    <w:rsid w:val="005159F6"/>
    <w:rsid w:val="00515A95"/>
    <w:rsid w:val="00515AA9"/>
    <w:rsid w:val="00515AAE"/>
    <w:rsid w:val="00515C08"/>
    <w:rsid w:val="005161DD"/>
    <w:rsid w:val="00516261"/>
    <w:rsid w:val="005166D6"/>
    <w:rsid w:val="00516D29"/>
    <w:rsid w:val="00516DE6"/>
    <w:rsid w:val="00516FEC"/>
    <w:rsid w:val="005172D6"/>
    <w:rsid w:val="00517622"/>
    <w:rsid w:val="00517740"/>
    <w:rsid w:val="00517A3F"/>
    <w:rsid w:val="00517D00"/>
    <w:rsid w:val="00517FAC"/>
    <w:rsid w:val="005203FC"/>
    <w:rsid w:val="00520549"/>
    <w:rsid w:val="0052123C"/>
    <w:rsid w:val="00521319"/>
    <w:rsid w:val="005213BA"/>
    <w:rsid w:val="00521684"/>
    <w:rsid w:val="005218A9"/>
    <w:rsid w:val="00521A0B"/>
    <w:rsid w:val="00521D2B"/>
    <w:rsid w:val="00521F7A"/>
    <w:rsid w:val="005222F7"/>
    <w:rsid w:val="0052239E"/>
    <w:rsid w:val="00522BC8"/>
    <w:rsid w:val="00523298"/>
    <w:rsid w:val="005234DC"/>
    <w:rsid w:val="005236E3"/>
    <w:rsid w:val="0052381A"/>
    <w:rsid w:val="00523B87"/>
    <w:rsid w:val="00523C28"/>
    <w:rsid w:val="00523CCF"/>
    <w:rsid w:val="0052434A"/>
    <w:rsid w:val="00524607"/>
    <w:rsid w:val="00524625"/>
    <w:rsid w:val="0052469D"/>
    <w:rsid w:val="005246E5"/>
    <w:rsid w:val="00524707"/>
    <w:rsid w:val="0052482C"/>
    <w:rsid w:val="005248C1"/>
    <w:rsid w:val="00524E2F"/>
    <w:rsid w:val="00524ECD"/>
    <w:rsid w:val="00525366"/>
    <w:rsid w:val="005259AB"/>
    <w:rsid w:val="00525A08"/>
    <w:rsid w:val="00525C23"/>
    <w:rsid w:val="005265A4"/>
    <w:rsid w:val="005265F4"/>
    <w:rsid w:val="00526647"/>
    <w:rsid w:val="00526952"/>
    <w:rsid w:val="00526BD7"/>
    <w:rsid w:val="00526CFE"/>
    <w:rsid w:val="00526EB5"/>
    <w:rsid w:val="005270D2"/>
    <w:rsid w:val="0052710E"/>
    <w:rsid w:val="00527150"/>
    <w:rsid w:val="00527236"/>
    <w:rsid w:val="0052725F"/>
    <w:rsid w:val="00527AAF"/>
    <w:rsid w:val="00527C3A"/>
    <w:rsid w:val="00527D66"/>
    <w:rsid w:val="00527DD1"/>
    <w:rsid w:val="00527E38"/>
    <w:rsid w:val="00527E4D"/>
    <w:rsid w:val="00527FDA"/>
    <w:rsid w:val="005300AD"/>
    <w:rsid w:val="005303D7"/>
    <w:rsid w:val="00530C8D"/>
    <w:rsid w:val="00530F99"/>
    <w:rsid w:val="0053107A"/>
    <w:rsid w:val="00531525"/>
    <w:rsid w:val="00531701"/>
    <w:rsid w:val="0053176B"/>
    <w:rsid w:val="0053181B"/>
    <w:rsid w:val="00531985"/>
    <w:rsid w:val="0053199C"/>
    <w:rsid w:val="00531ED2"/>
    <w:rsid w:val="00532004"/>
    <w:rsid w:val="005321D2"/>
    <w:rsid w:val="00532313"/>
    <w:rsid w:val="005324E6"/>
    <w:rsid w:val="00532731"/>
    <w:rsid w:val="005329FB"/>
    <w:rsid w:val="00532E55"/>
    <w:rsid w:val="00532EE5"/>
    <w:rsid w:val="00532F23"/>
    <w:rsid w:val="00533280"/>
    <w:rsid w:val="005334AF"/>
    <w:rsid w:val="005335CA"/>
    <w:rsid w:val="00534275"/>
    <w:rsid w:val="005343F9"/>
    <w:rsid w:val="00534664"/>
    <w:rsid w:val="005347CE"/>
    <w:rsid w:val="0053481C"/>
    <w:rsid w:val="005348D7"/>
    <w:rsid w:val="00534B27"/>
    <w:rsid w:val="00534E49"/>
    <w:rsid w:val="00534EDA"/>
    <w:rsid w:val="005352AE"/>
    <w:rsid w:val="005352D2"/>
    <w:rsid w:val="00535446"/>
    <w:rsid w:val="00535B1C"/>
    <w:rsid w:val="00535F99"/>
    <w:rsid w:val="0053603C"/>
    <w:rsid w:val="00536A72"/>
    <w:rsid w:val="00536D50"/>
    <w:rsid w:val="00536DFC"/>
    <w:rsid w:val="00536F42"/>
    <w:rsid w:val="00537182"/>
    <w:rsid w:val="00537183"/>
    <w:rsid w:val="005371CA"/>
    <w:rsid w:val="005374D7"/>
    <w:rsid w:val="005376DB"/>
    <w:rsid w:val="00537815"/>
    <w:rsid w:val="0054003A"/>
    <w:rsid w:val="00540170"/>
    <w:rsid w:val="005402AA"/>
    <w:rsid w:val="0054049B"/>
    <w:rsid w:val="00540899"/>
    <w:rsid w:val="00541066"/>
    <w:rsid w:val="005414FD"/>
    <w:rsid w:val="00541646"/>
    <w:rsid w:val="00541659"/>
    <w:rsid w:val="00541EDD"/>
    <w:rsid w:val="005424A5"/>
    <w:rsid w:val="00542743"/>
    <w:rsid w:val="00542C2D"/>
    <w:rsid w:val="00542CE6"/>
    <w:rsid w:val="00542F87"/>
    <w:rsid w:val="0054315B"/>
    <w:rsid w:val="005432A4"/>
    <w:rsid w:val="005433B1"/>
    <w:rsid w:val="00543D39"/>
    <w:rsid w:val="00543FFB"/>
    <w:rsid w:val="005443B8"/>
    <w:rsid w:val="00544B77"/>
    <w:rsid w:val="00544E1D"/>
    <w:rsid w:val="00544F9D"/>
    <w:rsid w:val="0054537C"/>
    <w:rsid w:val="00545406"/>
    <w:rsid w:val="005455EA"/>
    <w:rsid w:val="0054581D"/>
    <w:rsid w:val="00545A3C"/>
    <w:rsid w:val="00546208"/>
    <w:rsid w:val="0054627E"/>
    <w:rsid w:val="005463EF"/>
    <w:rsid w:val="00546411"/>
    <w:rsid w:val="005465AF"/>
    <w:rsid w:val="00546A07"/>
    <w:rsid w:val="00546C07"/>
    <w:rsid w:val="00546C5C"/>
    <w:rsid w:val="00546C96"/>
    <w:rsid w:val="00546DD5"/>
    <w:rsid w:val="00546E30"/>
    <w:rsid w:val="00546ED3"/>
    <w:rsid w:val="0054716C"/>
    <w:rsid w:val="00547608"/>
    <w:rsid w:val="005478BD"/>
    <w:rsid w:val="005479E3"/>
    <w:rsid w:val="005500ED"/>
    <w:rsid w:val="00550300"/>
    <w:rsid w:val="00550303"/>
    <w:rsid w:val="0055046F"/>
    <w:rsid w:val="005504A4"/>
    <w:rsid w:val="00550A48"/>
    <w:rsid w:val="00550C11"/>
    <w:rsid w:val="00551044"/>
    <w:rsid w:val="00551229"/>
    <w:rsid w:val="00551482"/>
    <w:rsid w:val="0055165C"/>
    <w:rsid w:val="005516FE"/>
    <w:rsid w:val="00551812"/>
    <w:rsid w:val="00551985"/>
    <w:rsid w:val="00551A4F"/>
    <w:rsid w:val="00552012"/>
    <w:rsid w:val="00552208"/>
    <w:rsid w:val="0055259D"/>
    <w:rsid w:val="0055264B"/>
    <w:rsid w:val="005529AA"/>
    <w:rsid w:val="00552BD3"/>
    <w:rsid w:val="00552BED"/>
    <w:rsid w:val="00552DED"/>
    <w:rsid w:val="00552E00"/>
    <w:rsid w:val="005532A0"/>
    <w:rsid w:val="00553310"/>
    <w:rsid w:val="00553696"/>
    <w:rsid w:val="005536C3"/>
    <w:rsid w:val="00553B2D"/>
    <w:rsid w:val="00553CD4"/>
    <w:rsid w:val="005542DE"/>
    <w:rsid w:val="005543DA"/>
    <w:rsid w:val="00554521"/>
    <w:rsid w:val="00554AA0"/>
    <w:rsid w:val="00554C88"/>
    <w:rsid w:val="00554D09"/>
    <w:rsid w:val="00554E77"/>
    <w:rsid w:val="00555109"/>
    <w:rsid w:val="00555245"/>
    <w:rsid w:val="005552D7"/>
    <w:rsid w:val="0055538C"/>
    <w:rsid w:val="005559A1"/>
    <w:rsid w:val="00556B35"/>
    <w:rsid w:val="00556C25"/>
    <w:rsid w:val="00556D43"/>
    <w:rsid w:val="00556E51"/>
    <w:rsid w:val="00556F36"/>
    <w:rsid w:val="00557116"/>
    <w:rsid w:val="0055741A"/>
    <w:rsid w:val="005579F4"/>
    <w:rsid w:val="00557C7D"/>
    <w:rsid w:val="00557FA0"/>
    <w:rsid w:val="00560297"/>
    <w:rsid w:val="0056039B"/>
    <w:rsid w:val="005606BF"/>
    <w:rsid w:val="00560ABB"/>
    <w:rsid w:val="00560C4C"/>
    <w:rsid w:val="005611B7"/>
    <w:rsid w:val="00561353"/>
    <w:rsid w:val="005613C2"/>
    <w:rsid w:val="00561551"/>
    <w:rsid w:val="005617B3"/>
    <w:rsid w:val="005618D4"/>
    <w:rsid w:val="00561A32"/>
    <w:rsid w:val="00561B21"/>
    <w:rsid w:val="00561D99"/>
    <w:rsid w:val="00561E3B"/>
    <w:rsid w:val="0056210F"/>
    <w:rsid w:val="005629F4"/>
    <w:rsid w:val="00562B86"/>
    <w:rsid w:val="00562F26"/>
    <w:rsid w:val="005631C2"/>
    <w:rsid w:val="00563DB5"/>
    <w:rsid w:val="0056432D"/>
    <w:rsid w:val="00564498"/>
    <w:rsid w:val="00564A1B"/>
    <w:rsid w:val="00564BB0"/>
    <w:rsid w:val="00564C99"/>
    <w:rsid w:val="00564E27"/>
    <w:rsid w:val="00564F89"/>
    <w:rsid w:val="00565127"/>
    <w:rsid w:val="00565198"/>
    <w:rsid w:val="005651AC"/>
    <w:rsid w:val="005651B2"/>
    <w:rsid w:val="005652B8"/>
    <w:rsid w:val="005654FD"/>
    <w:rsid w:val="00565638"/>
    <w:rsid w:val="0056595A"/>
    <w:rsid w:val="00565DF0"/>
    <w:rsid w:val="00565F34"/>
    <w:rsid w:val="00565FDE"/>
    <w:rsid w:val="005661F7"/>
    <w:rsid w:val="00566279"/>
    <w:rsid w:val="00566327"/>
    <w:rsid w:val="0056658D"/>
    <w:rsid w:val="0056658E"/>
    <w:rsid w:val="00566593"/>
    <w:rsid w:val="005667C4"/>
    <w:rsid w:val="0056696F"/>
    <w:rsid w:val="00566E05"/>
    <w:rsid w:val="00566F73"/>
    <w:rsid w:val="0056708A"/>
    <w:rsid w:val="00567ACD"/>
    <w:rsid w:val="00567B3D"/>
    <w:rsid w:val="00567D4B"/>
    <w:rsid w:val="00570032"/>
    <w:rsid w:val="005704BC"/>
    <w:rsid w:val="005706EF"/>
    <w:rsid w:val="00570CD9"/>
    <w:rsid w:val="00570D2E"/>
    <w:rsid w:val="00571065"/>
    <w:rsid w:val="00571193"/>
    <w:rsid w:val="00571462"/>
    <w:rsid w:val="00571529"/>
    <w:rsid w:val="00571826"/>
    <w:rsid w:val="005719C6"/>
    <w:rsid w:val="00571D2F"/>
    <w:rsid w:val="00571E86"/>
    <w:rsid w:val="00572269"/>
    <w:rsid w:val="0057244A"/>
    <w:rsid w:val="00572572"/>
    <w:rsid w:val="005727E0"/>
    <w:rsid w:val="0057298F"/>
    <w:rsid w:val="005729A8"/>
    <w:rsid w:val="00572BEB"/>
    <w:rsid w:val="00572C04"/>
    <w:rsid w:val="00572D4E"/>
    <w:rsid w:val="00572D59"/>
    <w:rsid w:val="00572E2A"/>
    <w:rsid w:val="00572F26"/>
    <w:rsid w:val="0057317E"/>
    <w:rsid w:val="0057396C"/>
    <w:rsid w:val="00573DE9"/>
    <w:rsid w:val="005750C5"/>
    <w:rsid w:val="005752DE"/>
    <w:rsid w:val="005753F1"/>
    <w:rsid w:val="00575521"/>
    <w:rsid w:val="005755E6"/>
    <w:rsid w:val="00575ADD"/>
    <w:rsid w:val="00575D8D"/>
    <w:rsid w:val="00575F3C"/>
    <w:rsid w:val="00575FC4"/>
    <w:rsid w:val="00576669"/>
    <w:rsid w:val="00576972"/>
    <w:rsid w:val="00576C73"/>
    <w:rsid w:val="005772C8"/>
    <w:rsid w:val="005772F3"/>
    <w:rsid w:val="00577351"/>
    <w:rsid w:val="00577502"/>
    <w:rsid w:val="00577F37"/>
    <w:rsid w:val="00580252"/>
    <w:rsid w:val="0058031F"/>
    <w:rsid w:val="00580A2C"/>
    <w:rsid w:val="00580E3C"/>
    <w:rsid w:val="00580F45"/>
    <w:rsid w:val="005811C9"/>
    <w:rsid w:val="0058149B"/>
    <w:rsid w:val="00581609"/>
    <w:rsid w:val="00581E4D"/>
    <w:rsid w:val="005820A6"/>
    <w:rsid w:val="0058226E"/>
    <w:rsid w:val="00582521"/>
    <w:rsid w:val="00582830"/>
    <w:rsid w:val="00582DD3"/>
    <w:rsid w:val="00583001"/>
    <w:rsid w:val="00583699"/>
    <w:rsid w:val="0058369D"/>
    <w:rsid w:val="005839CA"/>
    <w:rsid w:val="00583A54"/>
    <w:rsid w:val="00583AAF"/>
    <w:rsid w:val="00583DD9"/>
    <w:rsid w:val="0058428F"/>
    <w:rsid w:val="00584476"/>
    <w:rsid w:val="0058451E"/>
    <w:rsid w:val="005847B6"/>
    <w:rsid w:val="00584940"/>
    <w:rsid w:val="005849B7"/>
    <w:rsid w:val="005849D2"/>
    <w:rsid w:val="00584A73"/>
    <w:rsid w:val="00584B8C"/>
    <w:rsid w:val="00584E0A"/>
    <w:rsid w:val="00584EF4"/>
    <w:rsid w:val="005851B2"/>
    <w:rsid w:val="00585488"/>
    <w:rsid w:val="00585787"/>
    <w:rsid w:val="005859D3"/>
    <w:rsid w:val="00585B80"/>
    <w:rsid w:val="00585CDD"/>
    <w:rsid w:val="00585CF5"/>
    <w:rsid w:val="00585EB1"/>
    <w:rsid w:val="00585F9C"/>
    <w:rsid w:val="00586226"/>
    <w:rsid w:val="00586425"/>
    <w:rsid w:val="005868C2"/>
    <w:rsid w:val="00586A2C"/>
    <w:rsid w:val="00586D9D"/>
    <w:rsid w:val="00586FFD"/>
    <w:rsid w:val="00587058"/>
    <w:rsid w:val="0058712E"/>
    <w:rsid w:val="00587357"/>
    <w:rsid w:val="005873EB"/>
    <w:rsid w:val="00587821"/>
    <w:rsid w:val="005879EF"/>
    <w:rsid w:val="0059033D"/>
    <w:rsid w:val="00590363"/>
    <w:rsid w:val="005906EB"/>
    <w:rsid w:val="00590751"/>
    <w:rsid w:val="005908F9"/>
    <w:rsid w:val="00590952"/>
    <w:rsid w:val="00590A82"/>
    <w:rsid w:val="00590D88"/>
    <w:rsid w:val="00590DF2"/>
    <w:rsid w:val="00591008"/>
    <w:rsid w:val="00591526"/>
    <w:rsid w:val="0059187E"/>
    <w:rsid w:val="00591893"/>
    <w:rsid w:val="005918CC"/>
    <w:rsid w:val="00591957"/>
    <w:rsid w:val="00591B25"/>
    <w:rsid w:val="00591D19"/>
    <w:rsid w:val="00591DB5"/>
    <w:rsid w:val="005922B7"/>
    <w:rsid w:val="005923C8"/>
    <w:rsid w:val="00592483"/>
    <w:rsid w:val="005924FC"/>
    <w:rsid w:val="005925DC"/>
    <w:rsid w:val="00592964"/>
    <w:rsid w:val="00592A90"/>
    <w:rsid w:val="00593581"/>
    <w:rsid w:val="00593AB8"/>
    <w:rsid w:val="00593AE7"/>
    <w:rsid w:val="00593E33"/>
    <w:rsid w:val="00593EBD"/>
    <w:rsid w:val="0059400A"/>
    <w:rsid w:val="005945B0"/>
    <w:rsid w:val="005945D7"/>
    <w:rsid w:val="0059490E"/>
    <w:rsid w:val="00594A7E"/>
    <w:rsid w:val="00594BE0"/>
    <w:rsid w:val="00595764"/>
    <w:rsid w:val="00595CA5"/>
    <w:rsid w:val="00595CDA"/>
    <w:rsid w:val="00595E5A"/>
    <w:rsid w:val="00595F3F"/>
    <w:rsid w:val="00596197"/>
    <w:rsid w:val="00596220"/>
    <w:rsid w:val="005966A8"/>
    <w:rsid w:val="005966CA"/>
    <w:rsid w:val="005969D9"/>
    <w:rsid w:val="00596B37"/>
    <w:rsid w:val="00596D25"/>
    <w:rsid w:val="00596F41"/>
    <w:rsid w:val="00596FB9"/>
    <w:rsid w:val="00597275"/>
    <w:rsid w:val="0059749F"/>
    <w:rsid w:val="005977AD"/>
    <w:rsid w:val="0059796A"/>
    <w:rsid w:val="00597AC4"/>
    <w:rsid w:val="00597BF9"/>
    <w:rsid w:val="005A03F5"/>
    <w:rsid w:val="005A077F"/>
    <w:rsid w:val="005A09B4"/>
    <w:rsid w:val="005A0BAC"/>
    <w:rsid w:val="005A0E21"/>
    <w:rsid w:val="005A0E40"/>
    <w:rsid w:val="005A0E46"/>
    <w:rsid w:val="005A0E82"/>
    <w:rsid w:val="005A1194"/>
    <w:rsid w:val="005A1200"/>
    <w:rsid w:val="005A1307"/>
    <w:rsid w:val="005A1627"/>
    <w:rsid w:val="005A1647"/>
    <w:rsid w:val="005A16D1"/>
    <w:rsid w:val="005A16DE"/>
    <w:rsid w:val="005A1950"/>
    <w:rsid w:val="005A19BE"/>
    <w:rsid w:val="005A1E53"/>
    <w:rsid w:val="005A1FB4"/>
    <w:rsid w:val="005A2A09"/>
    <w:rsid w:val="005A2A6C"/>
    <w:rsid w:val="005A2BA7"/>
    <w:rsid w:val="005A2C99"/>
    <w:rsid w:val="005A309A"/>
    <w:rsid w:val="005A3151"/>
    <w:rsid w:val="005A33A9"/>
    <w:rsid w:val="005A34CA"/>
    <w:rsid w:val="005A34E8"/>
    <w:rsid w:val="005A373D"/>
    <w:rsid w:val="005A3BED"/>
    <w:rsid w:val="005A3D89"/>
    <w:rsid w:val="005A3DA9"/>
    <w:rsid w:val="005A44C8"/>
    <w:rsid w:val="005A484A"/>
    <w:rsid w:val="005A4B36"/>
    <w:rsid w:val="005A4DC3"/>
    <w:rsid w:val="005A4DE1"/>
    <w:rsid w:val="005A5336"/>
    <w:rsid w:val="005A55A3"/>
    <w:rsid w:val="005A56C1"/>
    <w:rsid w:val="005A574A"/>
    <w:rsid w:val="005A57D4"/>
    <w:rsid w:val="005A5D36"/>
    <w:rsid w:val="005A60C9"/>
    <w:rsid w:val="005A629B"/>
    <w:rsid w:val="005A6616"/>
    <w:rsid w:val="005A6A78"/>
    <w:rsid w:val="005A6CEB"/>
    <w:rsid w:val="005A6E9A"/>
    <w:rsid w:val="005A6F4F"/>
    <w:rsid w:val="005A708E"/>
    <w:rsid w:val="005A70EA"/>
    <w:rsid w:val="005A7793"/>
    <w:rsid w:val="005A7C5C"/>
    <w:rsid w:val="005A7CD5"/>
    <w:rsid w:val="005A7DC8"/>
    <w:rsid w:val="005B00B8"/>
    <w:rsid w:val="005B03F5"/>
    <w:rsid w:val="005B0462"/>
    <w:rsid w:val="005B0704"/>
    <w:rsid w:val="005B0B58"/>
    <w:rsid w:val="005B0B5B"/>
    <w:rsid w:val="005B0CE1"/>
    <w:rsid w:val="005B0FDB"/>
    <w:rsid w:val="005B1161"/>
    <w:rsid w:val="005B1219"/>
    <w:rsid w:val="005B1425"/>
    <w:rsid w:val="005B169B"/>
    <w:rsid w:val="005B1920"/>
    <w:rsid w:val="005B1F77"/>
    <w:rsid w:val="005B21E3"/>
    <w:rsid w:val="005B22C9"/>
    <w:rsid w:val="005B232B"/>
    <w:rsid w:val="005B2363"/>
    <w:rsid w:val="005B243A"/>
    <w:rsid w:val="005B2444"/>
    <w:rsid w:val="005B2688"/>
    <w:rsid w:val="005B27F7"/>
    <w:rsid w:val="005B28A7"/>
    <w:rsid w:val="005B2FB1"/>
    <w:rsid w:val="005B2FB4"/>
    <w:rsid w:val="005B3046"/>
    <w:rsid w:val="005B342A"/>
    <w:rsid w:val="005B3559"/>
    <w:rsid w:val="005B3681"/>
    <w:rsid w:val="005B374B"/>
    <w:rsid w:val="005B3FAE"/>
    <w:rsid w:val="005B40FE"/>
    <w:rsid w:val="005B4181"/>
    <w:rsid w:val="005B443A"/>
    <w:rsid w:val="005B4DFE"/>
    <w:rsid w:val="005B4E53"/>
    <w:rsid w:val="005B5027"/>
    <w:rsid w:val="005B50AE"/>
    <w:rsid w:val="005B5857"/>
    <w:rsid w:val="005B5989"/>
    <w:rsid w:val="005B5C93"/>
    <w:rsid w:val="005B5D60"/>
    <w:rsid w:val="005B5FDA"/>
    <w:rsid w:val="005B632B"/>
    <w:rsid w:val="005B6332"/>
    <w:rsid w:val="005B6445"/>
    <w:rsid w:val="005B64A1"/>
    <w:rsid w:val="005B681B"/>
    <w:rsid w:val="005B6BFE"/>
    <w:rsid w:val="005B6C2E"/>
    <w:rsid w:val="005B6F39"/>
    <w:rsid w:val="005B76E4"/>
    <w:rsid w:val="005B785E"/>
    <w:rsid w:val="005B7B43"/>
    <w:rsid w:val="005B7C6B"/>
    <w:rsid w:val="005C005B"/>
    <w:rsid w:val="005C04D3"/>
    <w:rsid w:val="005C0703"/>
    <w:rsid w:val="005C0D71"/>
    <w:rsid w:val="005C0DBB"/>
    <w:rsid w:val="005C0DF5"/>
    <w:rsid w:val="005C0E99"/>
    <w:rsid w:val="005C1490"/>
    <w:rsid w:val="005C15AB"/>
    <w:rsid w:val="005C16F2"/>
    <w:rsid w:val="005C19C0"/>
    <w:rsid w:val="005C1A5B"/>
    <w:rsid w:val="005C1AB4"/>
    <w:rsid w:val="005C1AB9"/>
    <w:rsid w:val="005C1B83"/>
    <w:rsid w:val="005C1EBF"/>
    <w:rsid w:val="005C2009"/>
    <w:rsid w:val="005C201F"/>
    <w:rsid w:val="005C2434"/>
    <w:rsid w:val="005C25FF"/>
    <w:rsid w:val="005C26DD"/>
    <w:rsid w:val="005C2979"/>
    <w:rsid w:val="005C2D55"/>
    <w:rsid w:val="005C2FA0"/>
    <w:rsid w:val="005C31EB"/>
    <w:rsid w:val="005C339D"/>
    <w:rsid w:val="005C346B"/>
    <w:rsid w:val="005C3A2D"/>
    <w:rsid w:val="005C3BFE"/>
    <w:rsid w:val="005C3E1E"/>
    <w:rsid w:val="005C41F7"/>
    <w:rsid w:val="005C451A"/>
    <w:rsid w:val="005C46AE"/>
    <w:rsid w:val="005C4A3F"/>
    <w:rsid w:val="005C4F28"/>
    <w:rsid w:val="005C5043"/>
    <w:rsid w:val="005C53A5"/>
    <w:rsid w:val="005C54F8"/>
    <w:rsid w:val="005C55CF"/>
    <w:rsid w:val="005C59EF"/>
    <w:rsid w:val="005C5DBD"/>
    <w:rsid w:val="005C5F57"/>
    <w:rsid w:val="005C600B"/>
    <w:rsid w:val="005C607E"/>
    <w:rsid w:val="005C6255"/>
    <w:rsid w:val="005C6511"/>
    <w:rsid w:val="005C6CB5"/>
    <w:rsid w:val="005C6E83"/>
    <w:rsid w:val="005C6EB5"/>
    <w:rsid w:val="005C6EE6"/>
    <w:rsid w:val="005C7026"/>
    <w:rsid w:val="005C71A7"/>
    <w:rsid w:val="005C7476"/>
    <w:rsid w:val="005D044D"/>
    <w:rsid w:val="005D0586"/>
    <w:rsid w:val="005D0814"/>
    <w:rsid w:val="005D0844"/>
    <w:rsid w:val="005D0ABD"/>
    <w:rsid w:val="005D0AE2"/>
    <w:rsid w:val="005D0BB8"/>
    <w:rsid w:val="005D0C10"/>
    <w:rsid w:val="005D0D1F"/>
    <w:rsid w:val="005D10A0"/>
    <w:rsid w:val="005D10EF"/>
    <w:rsid w:val="005D184E"/>
    <w:rsid w:val="005D18AD"/>
    <w:rsid w:val="005D1B4E"/>
    <w:rsid w:val="005D20E7"/>
    <w:rsid w:val="005D2341"/>
    <w:rsid w:val="005D23ED"/>
    <w:rsid w:val="005D242F"/>
    <w:rsid w:val="005D2585"/>
    <w:rsid w:val="005D26B4"/>
    <w:rsid w:val="005D2734"/>
    <w:rsid w:val="005D29B4"/>
    <w:rsid w:val="005D2A5D"/>
    <w:rsid w:val="005D2F2D"/>
    <w:rsid w:val="005D30F2"/>
    <w:rsid w:val="005D3829"/>
    <w:rsid w:val="005D394E"/>
    <w:rsid w:val="005D3AF6"/>
    <w:rsid w:val="005D3BE4"/>
    <w:rsid w:val="005D3C2D"/>
    <w:rsid w:val="005D44E2"/>
    <w:rsid w:val="005D5293"/>
    <w:rsid w:val="005D56AD"/>
    <w:rsid w:val="005D57E4"/>
    <w:rsid w:val="005D5860"/>
    <w:rsid w:val="005D5A13"/>
    <w:rsid w:val="005D5AD1"/>
    <w:rsid w:val="005D5B76"/>
    <w:rsid w:val="005D5C16"/>
    <w:rsid w:val="005D5FE9"/>
    <w:rsid w:val="005D7283"/>
    <w:rsid w:val="005D74DD"/>
    <w:rsid w:val="005D77BB"/>
    <w:rsid w:val="005D7885"/>
    <w:rsid w:val="005D7A9A"/>
    <w:rsid w:val="005D7B79"/>
    <w:rsid w:val="005D7C32"/>
    <w:rsid w:val="005E027C"/>
    <w:rsid w:val="005E0930"/>
    <w:rsid w:val="005E0ACB"/>
    <w:rsid w:val="005E0B23"/>
    <w:rsid w:val="005E0C6A"/>
    <w:rsid w:val="005E1014"/>
    <w:rsid w:val="005E137D"/>
    <w:rsid w:val="005E13D1"/>
    <w:rsid w:val="005E19C7"/>
    <w:rsid w:val="005E19E0"/>
    <w:rsid w:val="005E1A15"/>
    <w:rsid w:val="005E1F61"/>
    <w:rsid w:val="005E20C7"/>
    <w:rsid w:val="005E2179"/>
    <w:rsid w:val="005E2B8B"/>
    <w:rsid w:val="005E3392"/>
    <w:rsid w:val="005E3456"/>
    <w:rsid w:val="005E3508"/>
    <w:rsid w:val="005E37D8"/>
    <w:rsid w:val="005E38A8"/>
    <w:rsid w:val="005E3A9B"/>
    <w:rsid w:val="005E3C59"/>
    <w:rsid w:val="005E3EE2"/>
    <w:rsid w:val="005E4161"/>
    <w:rsid w:val="005E4382"/>
    <w:rsid w:val="005E4B2D"/>
    <w:rsid w:val="005E4BA0"/>
    <w:rsid w:val="005E4DE2"/>
    <w:rsid w:val="005E5075"/>
    <w:rsid w:val="005E55EF"/>
    <w:rsid w:val="005E59B4"/>
    <w:rsid w:val="005E5B9B"/>
    <w:rsid w:val="005E5ED3"/>
    <w:rsid w:val="005E664C"/>
    <w:rsid w:val="005E6B64"/>
    <w:rsid w:val="005E6CBC"/>
    <w:rsid w:val="005E6D13"/>
    <w:rsid w:val="005E706D"/>
    <w:rsid w:val="005E721C"/>
    <w:rsid w:val="005E72FF"/>
    <w:rsid w:val="005E73C0"/>
    <w:rsid w:val="005E794D"/>
    <w:rsid w:val="005E7C18"/>
    <w:rsid w:val="005E7C40"/>
    <w:rsid w:val="005E7CB6"/>
    <w:rsid w:val="005F008B"/>
    <w:rsid w:val="005F01CB"/>
    <w:rsid w:val="005F057B"/>
    <w:rsid w:val="005F05C9"/>
    <w:rsid w:val="005F071E"/>
    <w:rsid w:val="005F0C66"/>
    <w:rsid w:val="005F0DB6"/>
    <w:rsid w:val="005F0E68"/>
    <w:rsid w:val="005F102E"/>
    <w:rsid w:val="005F145A"/>
    <w:rsid w:val="005F1A03"/>
    <w:rsid w:val="005F2230"/>
    <w:rsid w:val="005F26C2"/>
    <w:rsid w:val="005F2706"/>
    <w:rsid w:val="005F273A"/>
    <w:rsid w:val="005F296E"/>
    <w:rsid w:val="005F29AF"/>
    <w:rsid w:val="005F2A94"/>
    <w:rsid w:val="005F2D24"/>
    <w:rsid w:val="005F3040"/>
    <w:rsid w:val="005F3184"/>
    <w:rsid w:val="005F31AD"/>
    <w:rsid w:val="005F32E5"/>
    <w:rsid w:val="005F3854"/>
    <w:rsid w:val="005F3946"/>
    <w:rsid w:val="005F3D1A"/>
    <w:rsid w:val="005F43BF"/>
    <w:rsid w:val="005F4796"/>
    <w:rsid w:val="005F4994"/>
    <w:rsid w:val="005F4B8C"/>
    <w:rsid w:val="005F4C34"/>
    <w:rsid w:val="005F5056"/>
    <w:rsid w:val="005F5217"/>
    <w:rsid w:val="005F5393"/>
    <w:rsid w:val="005F5619"/>
    <w:rsid w:val="005F5CFD"/>
    <w:rsid w:val="005F683E"/>
    <w:rsid w:val="005F68FB"/>
    <w:rsid w:val="005F69E5"/>
    <w:rsid w:val="005F6A8F"/>
    <w:rsid w:val="005F6BB7"/>
    <w:rsid w:val="005F6C6C"/>
    <w:rsid w:val="005F6F02"/>
    <w:rsid w:val="005F718C"/>
    <w:rsid w:val="005F725F"/>
    <w:rsid w:val="005F74B6"/>
    <w:rsid w:val="005F7588"/>
    <w:rsid w:val="005F76BF"/>
    <w:rsid w:val="005F7810"/>
    <w:rsid w:val="005F7C2C"/>
    <w:rsid w:val="005F7D09"/>
    <w:rsid w:val="005F7E14"/>
    <w:rsid w:val="005F7E5B"/>
    <w:rsid w:val="005F7F02"/>
    <w:rsid w:val="005F7F18"/>
    <w:rsid w:val="005F7F8E"/>
    <w:rsid w:val="00600117"/>
    <w:rsid w:val="006003F8"/>
    <w:rsid w:val="00600CBD"/>
    <w:rsid w:val="00600DB0"/>
    <w:rsid w:val="00600E60"/>
    <w:rsid w:val="006011B4"/>
    <w:rsid w:val="00601647"/>
    <w:rsid w:val="00601954"/>
    <w:rsid w:val="006019B6"/>
    <w:rsid w:val="00601FA8"/>
    <w:rsid w:val="006023E3"/>
    <w:rsid w:val="00602402"/>
    <w:rsid w:val="006024FC"/>
    <w:rsid w:val="00602614"/>
    <w:rsid w:val="00602B76"/>
    <w:rsid w:val="00602BAA"/>
    <w:rsid w:val="00602BF7"/>
    <w:rsid w:val="00602FE3"/>
    <w:rsid w:val="006030FA"/>
    <w:rsid w:val="00603977"/>
    <w:rsid w:val="00603DB9"/>
    <w:rsid w:val="00604305"/>
    <w:rsid w:val="0060430F"/>
    <w:rsid w:val="006044D3"/>
    <w:rsid w:val="00604604"/>
    <w:rsid w:val="006049F2"/>
    <w:rsid w:val="00604AEC"/>
    <w:rsid w:val="00604F0C"/>
    <w:rsid w:val="0060508B"/>
    <w:rsid w:val="00605366"/>
    <w:rsid w:val="00605621"/>
    <w:rsid w:val="006059F7"/>
    <w:rsid w:val="00605A83"/>
    <w:rsid w:val="00605F2B"/>
    <w:rsid w:val="0060607C"/>
    <w:rsid w:val="006062BC"/>
    <w:rsid w:val="00606656"/>
    <w:rsid w:val="00606AD2"/>
    <w:rsid w:val="00606B53"/>
    <w:rsid w:val="00606D7C"/>
    <w:rsid w:val="00606FBA"/>
    <w:rsid w:val="0060745B"/>
    <w:rsid w:val="006074F9"/>
    <w:rsid w:val="00607669"/>
    <w:rsid w:val="006076F4"/>
    <w:rsid w:val="00607747"/>
    <w:rsid w:val="00607807"/>
    <w:rsid w:val="0060796E"/>
    <w:rsid w:val="00607AFD"/>
    <w:rsid w:val="00607CF5"/>
    <w:rsid w:val="00607D48"/>
    <w:rsid w:val="006100DE"/>
    <w:rsid w:val="0061013F"/>
    <w:rsid w:val="006102B7"/>
    <w:rsid w:val="0061032C"/>
    <w:rsid w:val="00610515"/>
    <w:rsid w:val="0061074A"/>
    <w:rsid w:val="006109A6"/>
    <w:rsid w:val="00610A11"/>
    <w:rsid w:val="00611402"/>
    <w:rsid w:val="00611409"/>
    <w:rsid w:val="00611595"/>
    <w:rsid w:val="00611642"/>
    <w:rsid w:val="00611F66"/>
    <w:rsid w:val="00611FD0"/>
    <w:rsid w:val="006120DD"/>
    <w:rsid w:val="00612151"/>
    <w:rsid w:val="006122E6"/>
    <w:rsid w:val="00612C4E"/>
    <w:rsid w:val="00612CAF"/>
    <w:rsid w:val="00612F97"/>
    <w:rsid w:val="006132EA"/>
    <w:rsid w:val="0061345D"/>
    <w:rsid w:val="00613E61"/>
    <w:rsid w:val="00613F11"/>
    <w:rsid w:val="00614509"/>
    <w:rsid w:val="00614679"/>
    <w:rsid w:val="0061478D"/>
    <w:rsid w:val="006149A2"/>
    <w:rsid w:val="00614B5B"/>
    <w:rsid w:val="00614B99"/>
    <w:rsid w:val="00614CFA"/>
    <w:rsid w:val="00614E6E"/>
    <w:rsid w:val="00615041"/>
    <w:rsid w:val="006152BA"/>
    <w:rsid w:val="0061549B"/>
    <w:rsid w:val="00615539"/>
    <w:rsid w:val="0061580C"/>
    <w:rsid w:val="0061589D"/>
    <w:rsid w:val="00615A34"/>
    <w:rsid w:val="00615D90"/>
    <w:rsid w:val="006163EE"/>
    <w:rsid w:val="006165CE"/>
    <w:rsid w:val="006166D8"/>
    <w:rsid w:val="00616802"/>
    <w:rsid w:val="00616ACF"/>
    <w:rsid w:val="00616CE9"/>
    <w:rsid w:val="00616EF1"/>
    <w:rsid w:val="0061729C"/>
    <w:rsid w:val="006172DA"/>
    <w:rsid w:val="006174EF"/>
    <w:rsid w:val="006176A0"/>
    <w:rsid w:val="006176EA"/>
    <w:rsid w:val="006179A5"/>
    <w:rsid w:val="006179BC"/>
    <w:rsid w:val="00617B80"/>
    <w:rsid w:val="00617BFC"/>
    <w:rsid w:val="00617E12"/>
    <w:rsid w:val="00617FCB"/>
    <w:rsid w:val="00620140"/>
    <w:rsid w:val="0062042B"/>
    <w:rsid w:val="006205C0"/>
    <w:rsid w:val="00620B43"/>
    <w:rsid w:val="00620C25"/>
    <w:rsid w:val="00620C68"/>
    <w:rsid w:val="00620D17"/>
    <w:rsid w:val="00621095"/>
    <w:rsid w:val="00621477"/>
    <w:rsid w:val="00621750"/>
    <w:rsid w:val="0062188F"/>
    <w:rsid w:val="00621ADA"/>
    <w:rsid w:val="00621B0C"/>
    <w:rsid w:val="00621C69"/>
    <w:rsid w:val="00622344"/>
    <w:rsid w:val="0062244B"/>
    <w:rsid w:val="00622697"/>
    <w:rsid w:val="006226B8"/>
    <w:rsid w:val="0062298C"/>
    <w:rsid w:val="00622CFB"/>
    <w:rsid w:val="00623454"/>
    <w:rsid w:val="00623460"/>
    <w:rsid w:val="006234B2"/>
    <w:rsid w:val="00623511"/>
    <w:rsid w:val="0062363F"/>
    <w:rsid w:val="006237AE"/>
    <w:rsid w:val="00623A10"/>
    <w:rsid w:val="00623B05"/>
    <w:rsid w:val="00623C66"/>
    <w:rsid w:val="00623DC7"/>
    <w:rsid w:val="00623F7B"/>
    <w:rsid w:val="0062421B"/>
    <w:rsid w:val="006245E4"/>
    <w:rsid w:val="006247B3"/>
    <w:rsid w:val="00624D62"/>
    <w:rsid w:val="00625063"/>
    <w:rsid w:val="00625255"/>
    <w:rsid w:val="00625B01"/>
    <w:rsid w:val="00625BAD"/>
    <w:rsid w:val="00625BBA"/>
    <w:rsid w:val="006260EA"/>
    <w:rsid w:val="00626275"/>
    <w:rsid w:val="006262C2"/>
    <w:rsid w:val="0062668B"/>
    <w:rsid w:val="006268CA"/>
    <w:rsid w:val="00626D45"/>
    <w:rsid w:val="0062702B"/>
    <w:rsid w:val="0062710A"/>
    <w:rsid w:val="00627157"/>
    <w:rsid w:val="0062749A"/>
    <w:rsid w:val="006276F0"/>
    <w:rsid w:val="006277C9"/>
    <w:rsid w:val="006279FC"/>
    <w:rsid w:val="00630002"/>
    <w:rsid w:val="00630789"/>
    <w:rsid w:val="006311B7"/>
    <w:rsid w:val="006312E5"/>
    <w:rsid w:val="00631371"/>
    <w:rsid w:val="0063158F"/>
    <w:rsid w:val="006316ED"/>
    <w:rsid w:val="00631738"/>
    <w:rsid w:val="00631A62"/>
    <w:rsid w:val="00631B83"/>
    <w:rsid w:val="00631CA2"/>
    <w:rsid w:val="00631CF1"/>
    <w:rsid w:val="00631D6B"/>
    <w:rsid w:val="00631E86"/>
    <w:rsid w:val="00631F27"/>
    <w:rsid w:val="00632183"/>
    <w:rsid w:val="0063224F"/>
    <w:rsid w:val="006323A3"/>
    <w:rsid w:val="006323CB"/>
    <w:rsid w:val="006326FC"/>
    <w:rsid w:val="006329A9"/>
    <w:rsid w:val="00632FE9"/>
    <w:rsid w:val="00633015"/>
    <w:rsid w:val="006330A1"/>
    <w:rsid w:val="006336FC"/>
    <w:rsid w:val="00633BBC"/>
    <w:rsid w:val="00633D60"/>
    <w:rsid w:val="00633F8A"/>
    <w:rsid w:val="00634273"/>
    <w:rsid w:val="0063479F"/>
    <w:rsid w:val="0063482A"/>
    <w:rsid w:val="00634CE2"/>
    <w:rsid w:val="0063509D"/>
    <w:rsid w:val="006353F0"/>
    <w:rsid w:val="00635436"/>
    <w:rsid w:val="006354B2"/>
    <w:rsid w:val="006357B5"/>
    <w:rsid w:val="006357BB"/>
    <w:rsid w:val="00635DBB"/>
    <w:rsid w:val="00635E80"/>
    <w:rsid w:val="00636068"/>
    <w:rsid w:val="00636324"/>
    <w:rsid w:val="006364A1"/>
    <w:rsid w:val="006365FE"/>
    <w:rsid w:val="00636761"/>
    <w:rsid w:val="0063678E"/>
    <w:rsid w:val="006368FC"/>
    <w:rsid w:val="00636B3F"/>
    <w:rsid w:val="00637027"/>
    <w:rsid w:val="006374EB"/>
    <w:rsid w:val="006377CF"/>
    <w:rsid w:val="006377E9"/>
    <w:rsid w:val="006378DF"/>
    <w:rsid w:val="00637BFD"/>
    <w:rsid w:val="00640181"/>
    <w:rsid w:val="00640301"/>
    <w:rsid w:val="00640327"/>
    <w:rsid w:val="006405D5"/>
    <w:rsid w:val="00640793"/>
    <w:rsid w:val="00640AA3"/>
    <w:rsid w:val="00640B7E"/>
    <w:rsid w:val="00640C30"/>
    <w:rsid w:val="00640DDE"/>
    <w:rsid w:val="00640E3A"/>
    <w:rsid w:val="00640E91"/>
    <w:rsid w:val="0064130A"/>
    <w:rsid w:val="00641320"/>
    <w:rsid w:val="00641426"/>
    <w:rsid w:val="00641A1B"/>
    <w:rsid w:val="00641B67"/>
    <w:rsid w:val="00641C4E"/>
    <w:rsid w:val="00641FB3"/>
    <w:rsid w:val="00641FF7"/>
    <w:rsid w:val="006420F2"/>
    <w:rsid w:val="00642280"/>
    <w:rsid w:val="00642470"/>
    <w:rsid w:val="006425CB"/>
    <w:rsid w:val="0064272B"/>
    <w:rsid w:val="00642CBA"/>
    <w:rsid w:val="00643545"/>
    <w:rsid w:val="0064369E"/>
    <w:rsid w:val="00643807"/>
    <w:rsid w:val="006439F3"/>
    <w:rsid w:val="00643C47"/>
    <w:rsid w:val="00644121"/>
    <w:rsid w:val="0064422D"/>
    <w:rsid w:val="0064434C"/>
    <w:rsid w:val="006443C3"/>
    <w:rsid w:val="0064443C"/>
    <w:rsid w:val="00644814"/>
    <w:rsid w:val="00644BE3"/>
    <w:rsid w:val="00644E69"/>
    <w:rsid w:val="00644EE5"/>
    <w:rsid w:val="00645026"/>
    <w:rsid w:val="00645042"/>
    <w:rsid w:val="00645285"/>
    <w:rsid w:val="00645A4E"/>
    <w:rsid w:val="00645E46"/>
    <w:rsid w:val="00645E58"/>
    <w:rsid w:val="0064615B"/>
    <w:rsid w:val="0064635D"/>
    <w:rsid w:val="006466F1"/>
    <w:rsid w:val="0064684A"/>
    <w:rsid w:val="006471A0"/>
    <w:rsid w:val="006471CC"/>
    <w:rsid w:val="00647217"/>
    <w:rsid w:val="006474C2"/>
    <w:rsid w:val="00647597"/>
    <w:rsid w:val="006476D8"/>
    <w:rsid w:val="00647A29"/>
    <w:rsid w:val="00650240"/>
    <w:rsid w:val="0065045C"/>
    <w:rsid w:val="00650516"/>
    <w:rsid w:val="0065060F"/>
    <w:rsid w:val="0065079F"/>
    <w:rsid w:val="00650901"/>
    <w:rsid w:val="006509FF"/>
    <w:rsid w:val="00650B60"/>
    <w:rsid w:val="00650C6E"/>
    <w:rsid w:val="00650CED"/>
    <w:rsid w:val="00650D26"/>
    <w:rsid w:val="006511EB"/>
    <w:rsid w:val="006517D3"/>
    <w:rsid w:val="00651811"/>
    <w:rsid w:val="00651B37"/>
    <w:rsid w:val="00651C1F"/>
    <w:rsid w:val="00651D55"/>
    <w:rsid w:val="00651E63"/>
    <w:rsid w:val="00651FB8"/>
    <w:rsid w:val="006522B5"/>
    <w:rsid w:val="006522D3"/>
    <w:rsid w:val="006528B3"/>
    <w:rsid w:val="00652A11"/>
    <w:rsid w:val="00652A28"/>
    <w:rsid w:val="00652FC8"/>
    <w:rsid w:val="0065322E"/>
    <w:rsid w:val="00653332"/>
    <w:rsid w:val="00653423"/>
    <w:rsid w:val="0065379F"/>
    <w:rsid w:val="00653E3A"/>
    <w:rsid w:val="0065420A"/>
    <w:rsid w:val="00654248"/>
    <w:rsid w:val="006543EF"/>
    <w:rsid w:val="006543FA"/>
    <w:rsid w:val="006547A7"/>
    <w:rsid w:val="00654A5F"/>
    <w:rsid w:val="00654BCF"/>
    <w:rsid w:val="00654D99"/>
    <w:rsid w:val="00654DFE"/>
    <w:rsid w:val="00654FAE"/>
    <w:rsid w:val="006550BE"/>
    <w:rsid w:val="00655129"/>
    <w:rsid w:val="00655527"/>
    <w:rsid w:val="006555EB"/>
    <w:rsid w:val="0065577B"/>
    <w:rsid w:val="0065586D"/>
    <w:rsid w:val="00655967"/>
    <w:rsid w:val="00655ACA"/>
    <w:rsid w:val="00655BD6"/>
    <w:rsid w:val="00655FE6"/>
    <w:rsid w:val="00656188"/>
    <w:rsid w:val="00656259"/>
    <w:rsid w:val="0065630E"/>
    <w:rsid w:val="0065647D"/>
    <w:rsid w:val="00656493"/>
    <w:rsid w:val="0065651B"/>
    <w:rsid w:val="00656530"/>
    <w:rsid w:val="00656880"/>
    <w:rsid w:val="00656C85"/>
    <w:rsid w:val="00656DC7"/>
    <w:rsid w:val="006570DD"/>
    <w:rsid w:val="0065715A"/>
    <w:rsid w:val="0065725E"/>
    <w:rsid w:val="006573E3"/>
    <w:rsid w:val="00657498"/>
    <w:rsid w:val="00657754"/>
    <w:rsid w:val="006577BF"/>
    <w:rsid w:val="0065797B"/>
    <w:rsid w:val="00657D33"/>
    <w:rsid w:val="00657F28"/>
    <w:rsid w:val="00660188"/>
    <w:rsid w:val="00660542"/>
    <w:rsid w:val="0066087F"/>
    <w:rsid w:val="00660992"/>
    <w:rsid w:val="006609EF"/>
    <w:rsid w:val="00660BFC"/>
    <w:rsid w:val="006610F1"/>
    <w:rsid w:val="00661195"/>
    <w:rsid w:val="00661316"/>
    <w:rsid w:val="00661396"/>
    <w:rsid w:val="006613CF"/>
    <w:rsid w:val="0066173F"/>
    <w:rsid w:val="00661A5C"/>
    <w:rsid w:val="00661AB2"/>
    <w:rsid w:val="00661AF3"/>
    <w:rsid w:val="00661C6B"/>
    <w:rsid w:val="00661CFB"/>
    <w:rsid w:val="00661F55"/>
    <w:rsid w:val="006620D1"/>
    <w:rsid w:val="0066244B"/>
    <w:rsid w:val="006627C7"/>
    <w:rsid w:val="00662942"/>
    <w:rsid w:val="0066294C"/>
    <w:rsid w:val="00662B20"/>
    <w:rsid w:val="00662B92"/>
    <w:rsid w:val="00662BF4"/>
    <w:rsid w:val="00662C81"/>
    <w:rsid w:val="006630D7"/>
    <w:rsid w:val="006633D6"/>
    <w:rsid w:val="006634B9"/>
    <w:rsid w:val="006636F6"/>
    <w:rsid w:val="00663A2C"/>
    <w:rsid w:val="00663CA3"/>
    <w:rsid w:val="00663D9B"/>
    <w:rsid w:val="00663E4D"/>
    <w:rsid w:val="00663EC1"/>
    <w:rsid w:val="00663FB7"/>
    <w:rsid w:val="00664038"/>
    <w:rsid w:val="006641E0"/>
    <w:rsid w:val="006642D2"/>
    <w:rsid w:val="0066479E"/>
    <w:rsid w:val="006647F0"/>
    <w:rsid w:val="00664AD8"/>
    <w:rsid w:val="00664DF5"/>
    <w:rsid w:val="00665005"/>
    <w:rsid w:val="006652CE"/>
    <w:rsid w:val="0066537D"/>
    <w:rsid w:val="00665412"/>
    <w:rsid w:val="006656B2"/>
    <w:rsid w:val="00665DC1"/>
    <w:rsid w:val="00665DDC"/>
    <w:rsid w:val="0066600D"/>
    <w:rsid w:val="00666036"/>
    <w:rsid w:val="0066639A"/>
    <w:rsid w:val="006663A5"/>
    <w:rsid w:val="006664E8"/>
    <w:rsid w:val="006666AA"/>
    <w:rsid w:val="00666747"/>
    <w:rsid w:val="006667EB"/>
    <w:rsid w:val="00666945"/>
    <w:rsid w:val="00666B9F"/>
    <w:rsid w:val="00666C44"/>
    <w:rsid w:val="00667079"/>
    <w:rsid w:val="00667288"/>
    <w:rsid w:val="00667437"/>
    <w:rsid w:val="00667456"/>
    <w:rsid w:val="00667A0C"/>
    <w:rsid w:val="00667F7F"/>
    <w:rsid w:val="00670157"/>
    <w:rsid w:val="006702B3"/>
    <w:rsid w:val="00670350"/>
    <w:rsid w:val="00670484"/>
    <w:rsid w:val="006705EA"/>
    <w:rsid w:val="00670660"/>
    <w:rsid w:val="006708A4"/>
    <w:rsid w:val="006708B1"/>
    <w:rsid w:val="00670906"/>
    <w:rsid w:val="00670937"/>
    <w:rsid w:val="006709BC"/>
    <w:rsid w:val="00670EF8"/>
    <w:rsid w:val="00671004"/>
    <w:rsid w:val="00671100"/>
    <w:rsid w:val="006714B7"/>
    <w:rsid w:val="0067170A"/>
    <w:rsid w:val="0067188F"/>
    <w:rsid w:val="006719BE"/>
    <w:rsid w:val="00671A1B"/>
    <w:rsid w:val="00671E5A"/>
    <w:rsid w:val="00671F51"/>
    <w:rsid w:val="00672646"/>
    <w:rsid w:val="0067266C"/>
    <w:rsid w:val="006726AA"/>
    <w:rsid w:val="00672756"/>
    <w:rsid w:val="0067343E"/>
    <w:rsid w:val="00674046"/>
    <w:rsid w:val="00674059"/>
    <w:rsid w:val="006741A1"/>
    <w:rsid w:val="00674470"/>
    <w:rsid w:val="00674CA4"/>
    <w:rsid w:val="00674E42"/>
    <w:rsid w:val="00674E94"/>
    <w:rsid w:val="0067575D"/>
    <w:rsid w:val="00675902"/>
    <w:rsid w:val="0067594A"/>
    <w:rsid w:val="00675D1E"/>
    <w:rsid w:val="00675F5B"/>
    <w:rsid w:val="00676310"/>
    <w:rsid w:val="00676921"/>
    <w:rsid w:val="00676A94"/>
    <w:rsid w:val="00676B88"/>
    <w:rsid w:val="00676BD6"/>
    <w:rsid w:val="00676BDD"/>
    <w:rsid w:val="00676D9A"/>
    <w:rsid w:val="00676F54"/>
    <w:rsid w:val="0067700F"/>
    <w:rsid w:val="0067711C"/>
    <w:rsid w:val="0067747B"/>
    <w:rsid w:val="0067750D"/>
    <w:rsid w:val="0067767A"/>
    <w:rsid w:val="006776B6"/>
    <w:rsid w:val="0067776E"/>
    <w:rsid w:val="00677804"/>
    <w:rsid w:val="00677A40"/>
    <w:rsid w:val="00677B95"/>
    <w:rsid w:val="00677BC4"/>
    <w:rsid w:val="00677FA5"/>
    <w:rsid w:val="006802D4"/>
    <w:rsid w:val="0068050C"/>
    <w:rsid w:val="00680BDA"/>
    <w:rsid w:val="00680C0F"/>
    <w:rsid w:val="00680CD2"/>
    <w:rsid w:val="006813F8"/>
    <w:rsid w:val="006816E3"/>
    <w:rsid w:val="00681C80"/>
    <w:rsid w:val="00681D83"/>
    <w:rsid w:val="00681EE2"/>
    <w:rsid w:val="00681F11"/>
    <w:rsid w:val="00682033"/>
    <w:rsid w:val="00682112"/>
    <w:rsid w:val="00682296"/>
    <w:rsid w:val="0068259D"/>
    <w:rsid w:val="00682A6A"/>
    <w:rsid w:val="00682BA6"/>
    <w:rsid w:val="00682DA4"/>
    <w:rsid w:val="00682F80"/>
    <w:rsid w:val="00683122"/>
    <w:rsid w:val="006833D0"/>
    <w:rsid w:val="00683567"/>
    <w:rsid w:val="006836C9"/>
    <w:rsid w:val="00683B31"/>
    <w:rsid w:val="00683F34"/>
    <w:rsid w:val="0068409D"/>
    <w:rsid w:val="00684264"/>
    <w:rsid w:val="006845CB"/>
    <w:rsid w:val="00684603"/>
    <w:rsid w:val="006849D5"/>
    <w:rsid w:val="00684CAA"/>
    <w:rsid w:val="00684CD5"/>
    <w:rsid w:val="0068514C"/>
    <w:rsid w:val="00685836"/>
    <w:rsid w:val="00685AD7"/>
    <w:rsid w:val="00685B26"/>
    <w:rsid w:val="00685BB0"/>
    <w:rsid w:val="00685BC0"/>
    <w:rsid w:val="00685BEF"/>
    <w:rsid w:val="00685DCF"/>
    <w:rsid w:val="00686268"/>
    <w:rsid w:val="0068626E"/>
    <w:rsid w:val="006863C6"/>
    <w:rsid w:val="006864B3"/>
    <w:rsid w:val="00686532"/>
    <w:rsid w:val="00686957"/>
    <w:rsid w:val="006869FD"/>
    <w:rsid w:val="00686A7D"/>
    <w:rsid w:val="00686DDA"/>
    <w:rsid w:val="006872BA"/>
    <w:rsid w:val="0068739E"/>
    <w:rsid w:val="00687480"/>
    <w:rsid w:val="006877EF"/>
    <w:rsid w:val="006878CF"/>
    <w:rsid w:val="00687DFD"/>
    <w:rsid w:val="00687E7B"/>
    <w:rsid w:val="00687FF0"/>
    <w:rsid w:val="00690795"/>
    <w:rsid w:val="0069099B"/>
    <w:rsid w:val="006909E7"/>
    <w:rsid w:val="00690CFB"/>
    <w:rsid w:val="006911D3"/>
    <w:rsid w:val="006911FB"/>
    <w:rsid w:val="00691279"/>
    <w:rsid w:val="00691648"/>
    <w:rsid w:val="0069165D"/>
    <w:rsid w:val="006917D7"/>
    <w:rsid w:val="00691F06"/>
    <w:rsid w:val="00692479"/>
    <w:rsid w:val="006924E8"/>
    <w:rsid w:val="00692B8B"/>
    <w:rsid w:val="00692CC0"/>
    <w:rsid w:val="00692D38"/>
    <w:rsid w:val="006930C1"/>
    <w:rsid w:val="006932A0"/>
    <w:rsid w:val="0069386E"/>
    <w:rsid w:val="00693899"/>
    <w:rsid w:val="00694088"/>
    <w:rsid w:val="0069434C"/>
    <w:rsid w:val="00694F44"/>
    <w:rsid w:val="00694FF7"/>
    <w:rsid w:val="00695036"/>
    <w:rsid w:val="00695734"/>
    <w:rsid w:val="006957E0"/>
    <w:rsid w:val="00695969"/>
    <w:rsid w:val="00695B02"/>
    <w:rsid w:val="00695C6C"/>
    <w:rsid w:val="006962F1"/>
    <w:rsid w:val="00696727"/>
    <w:rsid w:val="0069676F"/>
    <w:rsid w:val="0069684D"/>
    <w:rsid w:val="00696DA6"/>
    <w:rsid w:val="00696F27"/>
    <w:rsid w:val="00696F51"/>
    <w:rsid w:val="00696FBE"/>
    <w:rsid w:val="0069746D"/>
    <w:rsid w:val="006975C8"/>
    <w:rsid w:val="006979A5"/>
    <w:rsid w:val="00697AC1"/>
    <w:rsid w:val="006A00ED"/>
    <w:rsid w:val="006A06A0"/>
    <w:rsid w:val="006A0714"/>
    <w:rsid w:val="006A0940"/>
    <w:rsid w:val="006A09F1"/>
    <w:rsid w:val="006A10D3"/>
    <w:rsid w:val="006A1958"/>
    <w:rsid w:val="006A1D75"/>
    <w:rsid w:val="006A1FC1"/>
    <w:rsid w:val="006A2746"/>
    <w:rsid w:val="006A2948"/>
    <w:rsid w:val="006A2F6C"/>
    <w:rsid w:val="006A33D9"/>
    <w:rsid w:val="006A3660"/>
    <w:rsid w:val="006A38EC"/>
    <w:rsid w:val="006A3AB6"/>
    <w:rsid w:val="006A3C3C"/>
    <w:rsid w:val="006A3DD7"/>
    <w:rsid w:val="006A3F28"/>
    <w:rsid w:val="006A41FC"/>
    <w:rsid w:val="006A4825"/>
    <w:rsid w:val="006A4AC5"/>
    <w:rsid w:val="006A5B2C"/>
    <w:rsid w:val="006A5F70"/>
    <w:rsid w:val="006A5FF1"/>
    <w:rsid w:val="006A61A2"/>
    <w:rsid w:val="006A63AC"/>
    <w:rsid w:val="006A66CB"/>
    <w:rsid w:val="006A6A51"/>
    <w:rsid w:val="006A6B99"/>
    <w:rsid w:val="006A6CCC"/>
    <w:rsid w:val="006A6D46"/>
    <w:rsid w:val="006A6D85"/>
    <w:rsid w:val="006A6F16"/>
    <w:rsid w:val="006A79D2"/>
    <w:rsid w:val="006A7B04"/>
    <w:rsid w:val="006A7E5F"/>
    <w:rsid w:val="006A7E86"/>
    <w:rsid w:val="006B03A8"/>
    <w:rsid w:val="006B0B96"/>
    <w:rsid w:val="006B0BC5"/>
    <w:rsid w:val="006B0C30"/>
    <w:rsid w:val="006B0F72"/>
    <w:rsid w:val="006B11C1"/>
    <w:rsid w:val="006B139A"/>
    <w:rsid w:val="006B1927"/>
    <w:rsid w:val="006B19B1"/>
    <w:rsid w:val="006B1A7A"/>
    <w:rsid w:val="006B1AAC"/>
    <w:rsid w:val="006B1B14"/>
    <w:rsid w:val="006B1B44"/>
    <w:rsid w:val="006B202C"/>
    <w:rsid w:val="006B2130"/>
    <w:rsid w:val="006B241F"/>
    <w:rsid w:val="006B261B"/>
    <w:rsid w:val="006B28B6"/>
    <w:rsid w:val="006B29FE"/>
    <w:rsid w:val="006B2C90"/>
    <w:rsid w:val="006B3193"/>
    <w:rsid w:val="006B33D3"/>
    <w:rsid w:val="006B35E6"/>
    <w:rsid w:val="006B3628"/>
    <w:rsid w:val="006B3819"/>
    <w:rsid w:val="006B3A74"/>
    <w:rsid w:val="006B3BC2"/>
    <w:rsid w:val="006B3D66"/>
    <w:rsid w:val="006B3FB6"/>
    <w:rsid w:val="006B3FBA"/>
    <w:rsid w:val="006B4087"/>
    <w:rsid w:val="006B4181"/>
    <w:rsid w:val="006B4233"/>
    <w:rsid w:val="006B45A1"/>
    <w:rsid w:val="006B464E"/>
    <w:rsid w:val="006B465A"/>
    <w:rsid w:val="006B4996"/>
    <w:rsid w:val="006B50E4"/>
    <w:rsid w:val="006B5140"/>
    <w:rsid w:val="006B518A"/>
    <w:rsid w:val="006B53D7"/>
    <w:rsid w:val="006B55D7"/>
    <w:rsid w:val="006B57D8"/>
    <w:rsid w:val="006B587A"/>
    <w:rsid w:val="006B5ABA"/>
    <w:rsid w:val="006B5DDD"/>
    <w:rsid w:val="006B60C5"/>
    <w:rsid w:val="006B6CDB"/>
    <w:rsid w:val="006B6DD0"/>
    <w:rsid w:val="006B6E0E"/>
    <w:rsid w:val="006B70E2"/>
    <w:rsid w:val="006B721E"/>
    <w:rsid w:val="006B77CF"/>
    <w:rsid w:val="006B785B"/>
    <w:rsid w:val="006B7A6B"/>
    <w:rsid w:val="006B7BC9"/>
    <w:rsid w:val="006B7BD9"/>
    <w:rsid w:val="006B7CCE"/>
    <w:rsid w:val="006B7FA2"/>
    <w:rsid w:val="006C0090"/>
    <w:rsid w:val="006C0102"/>
    <w:rsid w:val="006C0346"/>
    <w:rsid w:val="006C0399"/>
    <w:rsid w:val="006C0462"/>
    <w:rsid w:val="006C04A8"/>
    <w:rsid w:val="006C069E"/>
    <w:rsid w:val="006C0777"/>
    <w:rsid w:val="006C07AA"/>
    <w:rsid w:val="006C12B9"/>
    <w:rsid w:val="006C15E5"/>
    <w:rsid w:val="006C1DDA"/>
    <w:rsid w:val="006C1E2F"/>
    <w:rsid w:val="006C1E5A"/>
    <w:rsid w:val="006C21C2"/>
    <w:rsid w:val="006C2583"/>
    <w:rsid w:val="006C281F"/>
    <w:rsid w:val="006C29D2"/>
    <w:rsid w:val="006C2A8E"/>
    <w:rsid w:val="006C2CB1"/>
    <w:rsid w:val="006C2E2A"/>
    <w:rsid w:val="006C3255"/>
    <w:rsid w:val="006C325D"/>
    <w:rsid w:val="006C3303"/>
    <w:rsid w:val="006C3561"/>
    <w:rsid w:val="006C3CB2"/>
    <w:rsid w:val="006C3D7C"/>
    <w:rsid w:val="006C3F26"/>
    <w:rsid w:val="006C4341"/>
    <w:rsid w:val="006C457F"/>
    <w:rsid w:val="006C462C"/>
    <w:rsid w:val="006C4B57"/>
    <w:rsid w:val="006C4FD4"/>
    <w:rsid w:val="006C51E1"/>
    <w:rsid w:val="006C63C6"/>
    <w:rsid w:val="006C6717"/>
    <w:rsid w:val="006C67A7"/>
    <w:rsid w:val="006C6819"/>
    <w:rsid w:val="006C6B61"/>
    <w:rsid w:val="006C6CD5"/>
    <w:rsid w:val="006C6F04"/>
    <w:rsid w:val="006C6F6A"/>
    <w:rsid w:val="006C7411"/>
    <w:rsid w:val="006C755D"/>
    <w:rsid w:val="006C7780"/>
    <w:rsid w:val="006C779E"/>
    <w:rsid w:val="006C7A82"/>
    <w:rsid w:val="006C7C04"/>
    <w:rsid w:val="006C7D90"/>
    <w:rsid w:val="006D0383"/>
    <w:rsid w:val="006D0748"/>
    <w:rsid w:val="006D08F9"/>
    <w:rsid w:val="006D0A96"/>
    <w:rsid w:val="006D0C04"/>
    <w:rsid w:val="006D0D17"/>
    <w:rsid w:val="006D111D"/>
    <w:rsid w:val="006D1166"/>
    <w:rsid w:val="006D1324"/>
    <w:rsid w:val="006D13FC"/>
    <w:rsid w:val="006D154C"/>
    <w:rsid w:val="006D1ACC"/>
    <w:rsid w:val="006D1B0B"/>
    <w:rsid w:val="006D1C15"/>
    <w:rsid w:val="006D1D33"/>
    <w:rsid w:val="006D1E4B"/>
    <w:rsid w:val="006D1F0A"/>
    <w:rsid w:val="006D1F21"/>
    <w:rsid w:val="006D21C1"/>
    <w:rsid w:val="006D236A"/>
    <w:rsid w:val="006D2ACA"/>
    <w:rsid w:val="006D2AEE"/>
    <w:rsid w:val="006D2E1D"/>
    <w:rsid w:val="006D2EC4"/>
    <w:rsid w:val="006D342E"/>
    <w:rsid w:val="006D3912"/>
    <w:rsid w:val="006D393F"/>
    <w:rsid w:val="006D3ACD"/>
    <w:rsid w:val="006D3C61"/>
    <w:rsid w:val="006D3C7D"/>
    <w:rsid w:val="006D3D9B"/>
    <w:rsid w:val="006D406B"/>
    <w:rsid w:val="006D41D6"/>
    <w:rsid w:val="006D4339"/>
    <w:rsid w:val="006D4659"/>
    <w:rsid w:val="006D4934"/>
    <w:rsid w:val="006D493D"/>
    <w:rsid w:val="006D4D3C"/>
    <w:rsid w:val="006D4D6A"/>
    <w:rsid w:val="006D4FDF"/>
    <w:rsid w:val="006D50F7"/>
    <w:rsid w:val="006D52E4"/>
    <w:rsid w:val="006D5953"/>
    <w:rsid w:val="006D59A6"/>
    <w:rsid w:val="006D5D3E"/>
    <w:rsid w:val="006D5D5F"/>
    <w:rsid w:val="006D5D89"/>
    <w:rsid w:val="006D6296"/>
    <w:rsid w:val="006D6342"/>
    <w:rsid w:val="006D68FB"/>
    <w:rsid w:val="006D6A21"/>
    <w:rsid w:val="006D6BB5"/>
    <w:rsid w:val="006D6EC2"/>
    <w:rsid w:val="006D70E9"/>
    <w:rsid w:val="006D7201"/>
    <w:rsid w:val="006D74B1"/>
    <w:rsid w:val="006D752B"/>
    <w:rsid w:val="006D768F"/>
    <w:rsid w:val="006D7AF3"/>
    <w:rsid w:val="006D7EF5"/>
    <w:rsid w:val="006E01F1"/>
    <w:rsid w:val="006E01F9"/>
    <w:rsid w:val="006E07E4"/>
    <w:rsid w:val="006E0A0D"/>
    <w:rsid w:val="006E0A9E"/>
    <w:rsid w:val="006E0E0B"/>
    <w:rsid w:val="006E0E5E"/>
    <w:rsid w:val="006E0F8E"/>
    <w:rsid w:val="006E15A1"/>
    <w:rsid w:val="006E16E0"/>
    <w:rsid w:val="006E1908"/>
    <w:rsid w:val="006E225B"/>
    <w:rsid w:val="006E24EE"/>
    <w:rsid w:val="006E259A"/>
    <w:rsid w:val="006E2868"/>
    <w:rsid w:val="006E29EF"/>
    <w:rsid w:val="006E2B10"/>
    <w:rsid w:val="006E2FD8"/>
    <w:rsid w:val="006E3150"/>
    <w:rsid w:val="006E31A1"/>
    <w:rsid w:val="006E31F3"/>
    <w:rsid w:val="006E3410"/>
    <w:rsid w:val="006E353E"/>
    <w:rsid w:val="006E35DC"/>
    <w:rsid w:val="006E38C8"/>
    <w:rsid w:val="006E3CA4"/>
    <w:rsid w:val="006E3ED1"/>
    <w:rsid w:val="006E4130"/>
    <w:rsid w:val="006E415D"/>
    <w:rsid w:val="006E43E8"/>
    <w:rsid w:val="006E484E"/>
    <w:rsid w:val="006E4D11"/>
    <w:rsid w:val="006E4FF9"/>
    <w:rsid w:val="006E50ED"/>
    <w:rsid w:val="006E53FC"/>
    <w:rsid w:val="006E5A38"/>
    <w:rsid w:val="006E5D05"/>
    <w:rsid w:val="006E66D4"/>
    <w:rsid w:val="006E66EE"/>
    <w:rsid w:val="006E66F9"/>
    <w:rsid w:val="006E6914"/>
    <w:rsid w:val="006E6A60"/>
    <w:rsid w:val="006E6AAD"/>
    <w:rsid w:val="006E6AD9"/>
    <w:rsid w:val="006E6B40"/>
    <w:rsid w:val="006E6E11"/>
    <w:rsid w:val="006E6F5A"/>
    <w:rsid w:val="006E7494"/>
    <w:rsid w:val="006E76F9"/>
    <w:rsid w:val="006E7779"/>
    <w:rsid w:val="006E7A48"/>
    <w:rsid w:val="006E7D1F"/>
    <w:rsid w:val="006E7E47"/>
    <w:rsid w:val="006E7E60"/>
    <w:rsid w:val="006F0111"/>
    <w:rsid w:val="006F08B0"/>
    <w:rsid w:val="006F0939"/>
    <w:rsid w:val="006F09E7"/>
    <w:rsid w:val="006F0DF3"/>
    <w:rsid w:val="006F1027"/>
    <w:rsid w:val="006F10B4"/>
    <w:rsid w:val="006F1109"/>
    <w:rsid w:val="006F1464"/>
    <w:rsid w:val="006F1723"/>
    <w:rsid w:val="006F17AF"/>
    <w:rsid w:val="006F19CA"/>
    <w:rsid w:val="006F1B00"/>
    <w:rsid w:val="006F1EA0"/>
    <w:rsid w:val="006F2594"/>
    <w:rsid w:val="006F2AB1"/>
    <w:rsid w:val="006F2F45"/>
    <w:rsid w:val="006F2FAE"/>
    <w:rsid w:val="006F306C"/>
    <w:rsid w:val="006F323B"/>
    <w:rsid w:val="006F328F"/>
    <w:rsid w:val="006F3556"/>
    <w:rsid w:val="006F3875"/>
    <w:rsid w:val="006F3997"/>
    <w:rsid w:val="006F3D20"/>
    <w:rsid w:val="006F3D59"/>
    <w:rsid w:val="006F3D7D"/>
    <w:rsid w:val="006F3DC7"/>
    <w:rsid w:val="006F3E76"/>
    <w:rsid w:val="006F4028"/>
    <w:rsid w:val="006F40D6"/>
    <w:rsid w:val="006F424F"/>
    <w:rsid w:val="006F428B"/>
    <w:rsid w:val="006F43FE"/>
    <w:rsid w:val="006F4532"/>
    <w:rsid w:val="006F4B89"/>
    <w:rsid w:val="006F50E6"/>
    <w:rsid w:val="006F52C9"/>
    <w:rsid w:val="006F538F"/>
    <w:rsid w:val="006F5814"/>
    <w:rsid w:val="006F5999"/>
    <w:rsid w:val="006F5AF7"/>
    <w:rsid w:val="006F5CC8"/>
    <w:rsid w:val="006F5E1E"/>
    <w:rsid w:val="006F5F0D"/>
    <w:rsid w:val="006F5FA2"/>
    <w:rsid w:val="006F639D"/>
    <w:rsid w:val="006F63A5"/>
    <w:rsid w:val="006F67E5"/>
    <w:rsid w:val="006F6C66"/>
    <w:rsid w:val="006F6C8C"/>
    <w:rsid w:val="006F6F38"/>
    <w:rsid w:val="006F7124"/>
    <w:rsid w:val="006F7556"/>
    <w:rsid w:val="006F7A1A"/>
    <w:rsid w:val="006F7CE2"/>
    <w:rsid w:val="00700239"/>
    <w:rsid w:val="00700724"/>
    <w:rsid w:val="00700C76"/>
    <w:rsid w:val="00700C97"/>
    <w:rsid w:val="00700CB6"/>
    <w:rsid w:val="007011D7"/>
    <w:rsid w:val="00701257"/>
    <w:rsid w:val="0070142B"/>
    <w:rsid w:val="00701CB1"/>
    <w:rsid w:val="00701F65"/>
    <w:rsid w:val="00701FA5"/>
    <w:rsid w:val="0070203D"/>
    <w:rsid w:val="00702251"/>
    <w:rsid w:val="00702438"/>
    <w:rsid w:val="0070263A"/>
    <w:rsid w:val="0070276E"/>
    <w:rsid w:val="007028AF"/>
    <w:rsid w:val="00702A37"/>
    <w:rsid w:val="00702AC7"/>
    <w:rsid w:val="00702B5C"/>
    <w:rsid w:val="00702B68"/>
    <w:rsid w:val="00702F8F"/>
    <w:rsid w:val="00702FED"/>
    <w:rsid w:val="00703574"/>
    <w:rsid w:val="007035D9"/>
    <w:rsid w:val="007039BD"/>
    <w:rsid w:val="00704562"/>
    <w:rsid w:val="00704950"/>
    <w:rsid w:val="00704C62"/>
    <w:rsid w:val="007052FE"/>
    <w:rsid w:val="00705568"/>
    <w:rsid w:val="007055A7"/>
    <w:rsid w:val="007059F3"/>
    <w:rsid w:val="00705D0C"/>
    <w:rsid w:val="00705F98"/>
    <w:rsid w:val="0070641D"/>
    <w:rsid w:val="007065A5"/>
    <w:rsid w:val="007065DD"/>
    <w:rsid w:val="0070673C"/>
    <w:rsid w:val="00706E46"/>
    <w:rsid w:val="0070712C"/>
    <w:rsid w:val="00707178"/>
    <w:rsid w:val="007072AF"/>
    <w:rsid w:val="007076E5"/>
    <w:rsid w:val="007077EC"/>
    <w:rsid w:val="007077FF"/>
    <w:rsid w:val="007079FC"/>
    <w:rsid w:val="00707E2A"/>
    <w:rsid w:val="00707F37"/>
    <w:rsid w:val="00707F4D"/>
    <w:rsid w:val="00710201"/>
    <w:rsid w:val="00710429"/>
    <w:rsid w:val="00710B09"/>
    <w:rsid w:val="00710E45"/>
    <w:rsid w:val="00711190"/>
    <w:rsid w:val="0071154D"/>
    <w:rsid w:val="007115CE"/>
    <w:rsid w:val="0071166D"/>
    <w:rsid w:val="00711A36"/>
    <w:rsid w:val="00711A5A"/>
    <w:rsid w:val="00711B31"/>
    <w:rsid w:val="00711D7A"/>
    <w:rsid w:val="00711F3A"/>
    <w:rsid w:val="00711F69"/>
    <w:rsid w:val="007121F8"/>
    <w:rsid w:val="00712207"/>
    <w:rsid w:val="00712273"/>
    <w:rsid w:val="0071232F"/>
    <w:rsid w:val="00712436"/>
    <w:rsid w:val="007124B9"/>
    <w:rsid w:val="007127F2"/>
    <w:rsid w:val="007129AA"/>
    <w:rsid w:val="00713330"/>
    <w:rsid w:val="007135F2"/>
    <w:rsid w:val="0071372F"/>
    <w:rsid w:val="00713B41"/>
    <w:rsid w:val="00713C1B"/>
    <w:rsid w:val="00713E74"/>
    <w:rsid w:val="007140E4"/>
    <w:rsid w:val="007142B8"/>
    <w:rsid w:val="007148DA"/>
    <w:rsid w:val="00714B2E"/>
    <w:rsid w:val="00714C26"/>
    <w:rsid w:val="00714C4B"/>
    <w:rsid w:val="00714D99"/>
    <w:rsid w:val="0071529C"/>
    <w:rsid w:val="00715369"/>
    <w:rsid w:val="00715596"/>
    <w:rsid w:val="0071598A"/>
    <w:rsid w:val="007159CB"/>
    <w:rsid w:val="00715DB6"/>
    <w:rsid w:val="00715F31"/>
    <w:rsid w:val="00716448"/>
    <w:rsid w:val="007166E5"/>
    <w:rsid w:val="0071680D"/>
    <w:rsid w:val="0071687B"/>
    <w:rsid w:val="007168A3"/>
    <w:rsid w:val="00716E0F"/>
    <w:rsid w:val="007170DA"/>
    <w:rsid w:val="007172AD"/>
    <w:rsid w:val="00717461"/>
    <w:rsid w:val="007178B2"/>
    <w:rsid w:val="00717C32"/>
    <w:rsid w:val="00717CF8"/>
    <w:rsid w:val="007203BD"/>
    <w:rsid w:val="00720400"/>
    <w:rsid w:val="00720801"/>
    <w:rsid w:val="007209ED"/>
    <w:rsid w:val="00720D64"/>
    <w:rsid w:val="007211A0"/>
    <w:rsid w:val="007211F6"/>
    <w:rsid w:val="0072149A"/>
    <w:rsid w:val="00721554"/>
    <w:rsid w:val="00721643"/>
    <w:rsid w:val="00721782"/>
    <w:rsid w:val="00721934"/>
    <w:rsid w:val="00721AD8"/>
    <w:rsid w:val="00721CAD"/>
    <w:rsid w:val="00721EC5"/>
    <w:rsid w:val="0072207A"/>
    <w:rsid w:val="007222F6"/>
    <w:rsid w:val="0072247C"/>
    <w:rsid w:val="007227ED"/>
    <w:rsid w:val="00722951"/>
    <w:rsid w:val="00722B1B"/>
    <w:rsid w:val="00722E51"/>
    <w:rsid w:val="007233BD"/>
    <w:rsid w:val="0072353D"/>
    <w:rsid w:val="00723564"/>
    <w:rsid w:val="00723E76"/>
    <w:rsid w:val="00723F6C"/>
    <w:rsid w:val="0072416F"/>
    <w:rsid w:val="007244F8"/>
    <w:rsid w:val="00724ADF"/>
    <w:rsid w:val="0072520C"/>
    <w:rsid w:val="0072526A"/>
    <w:rsid w:val="00725611"/>
    <w:rsid w:val="00725652"/>
    <w:rsid w:val="00725719"/>
    <w:rsid w:val="007261A1"/>
    <w:rsid w:val="007263EB"/>
    <w:rsid w:val="00726D50"/>
    <w:rsid w:val="00726E14"/>
    <w:rsid w:val="0072719E"/>
    <w:rsid w:val="007274F3"/>
    <w:rsid w:val="007276F0"/>
    <w:rsid w:val="00727C94"/>
    <w:rsid w:val="00727D4C"/>
    <w:rsid w:val="00727E7C"/>
    <w:rsid w:val="00727EED"/>
    <w:rsid w:val="007300B5"/>
    <w:rsid w:val="00730519"/>
    <w:rsid w:val="00730761"/>
    <w:rsid w:val="00730779"/>
    <w:rsid w:val="0073083E"/>
    <w:rsid w:val="007309BA"/>
    <w:rsid w:val="00730EC6"/>
    <w:rsid w:val="007310CF"/>
    <w:rsid w:val="00731193"/>
    <w:rsid w:val="00731226"/>
    <w:rsid w:val="0073137A"/>
    <w:rsid w:val="00731502"/>
    <w:rsid w:val="00731B0A"/>
    <w:rsid w:val="00731E3B"/>
    <w:rsid w:val="00731EAE"/>
    <w:rsid w:val="00731F11"/>
    <w:rsid w:val="0073203E"/>
    <w:rsid w:val="007320B0"/>
    <w:rsid w:val="007323DF"/>
    <w:rsid w:val="00732625"/>
    <w:rsid w:val="007328D0"/>
    <w:rsid w:val="00732964"/>
    <w:rsid w:val="00732A16"/>
    <w:rsid w:val="00732C52"/>
    <w:rsid w:val="00732D3E"/>
    <w:rsid w:val="00732E1F"/>
    <w:rsid w:val="00733073"/>
    <w:rsid w:val="0073362D"/>
    <w:rsid w:val="0073391B"/>
    <w:rsid w:val="00733A2C"/>
    <w:rsid w:val="00733A7F"/>
    <w:rsid w:val="00733FAF"/>
    <w:rsid w:val="0073404F"/>
    <w:rsid w:val="0073433C"/>
    <w:rsid w:val="0073473F"/>
    <w:rsid w:val="00734A33"/>
    <w:rsid w:val="00734BFF"/>
    <w:rsid w:val="00734D7C"/>
    <w:rsid w:val="00735033"/>
    <w:rsid w:val="00735328"/>
    <w:rsid w:val="00735AA4"/>
    <w:rsid w:val="00736085"/>
    <w:rsid w:val="0073617C"/>
    <w:rsid w:val="0073685B"/>
    <w:rsid w:val="007369DF"/>
    <w:rsid w:val="00736D36"/>
    <w:rsid w:val="0073712E"/>
    <w:rsid w:val="00737891"/>
    <w:rsid w:val="007378B4"/>
    <w:rsid w:val="00737D7F"/>
    <w:rsid w:val="007404D0"/>
    <w:rsid w:val="0074053A"/>
    <w:rsid w:val="00740573"/>
    <w:rsid w:val="007408A4"/>
    <w:rsid w:val="00740D93"/>
    <w:rsid w:val="00740E8C"/>
    <w:rsid w:val="00740E9D"/>
    <w:rsid w:val="00741316"/>
    <w:rsid w:val="00741443"/>
    <w:rsid w:val="0074155E"/>
    <w:rsid w:val="007417AD"/>
    <w:rsid w:val="00741972"/>
    <w:rsid w:val="00741F4F"/>
    <w:rsid w:val="00741FA4"/>
    <w:rsid w:val="007423C2"/>
    <w:rsid w:val="0074248D"/>
    <w:rsid w:val="00742735"/>
    <w:rsid w:val="00742953"/>
    <w:rsid w:val="00742B08"/>
    <w:rsid w:val="00742D83"/>
    <w:rsid w:val="00742E10"/>
    <w:rsid w:val="0074387B"/>
    <w:rsid w:val="00743A2C"/>
    <w:rsid w:val="00743CE2"/>
    <w:rsid w:val="00744211"/>
    <w:rsid w:val="0074438F"/>
    <w:rsid w:val="007446D1"/>
    <w:rsid w:val="007447F5"/>
    <w:rsid w:val="007449BF"/>
    <w:rsid w:val="007449D0"/>
    <w:rsid w:val="00744D20"/>
    <w:rsid w:val="00744F3A"/>
    <w:rsid w:val="00745029"/>
    <w:rsid w:val="0074509D"/>
    <w:rsid w:val="0074578C"/>
    <w:rsid w:val="00745B48"/>
    <w:rsid w:val="00745B95"/>
    <w:rsid w:val="00745C8D"/>
    <w:rsid w:val="00746003"/>
    <w:rsid w:val="00746260"/>
    <w:rsid w:val="00746BC0"/>
    <w:rsid w:val="00746CD8"/>
    <w:rsid w:val="00746FE0"/>
    <w:rsid w:val="00747309"/>
    <w:rsid w:val="007473A9"/>
    <w:rsid w:val="007478E8"/>
    <w:rsid w:val="00747957"/>
    <w:rsid w:val="00747C8C"/>
    <w:rsid w:val="00747ED6"/>
    <w:rsid w:val="00747F99"/>
    <w:rsid w:val="007500F3"/>
    <w:rsid w:val="007500FF"/>
    <w:rsid w:val="00750216"/>
    <w:rsid w:val="00750391"/>
    <w:rsid w:val="0075047E"/>
    <w:rsid w:val="00750631"/>
    <w:rsid w:val="007509E6"/>
    <w:rsid w:val="00750D90"/>
    <w:rsid w:val="00750EB2"/>
    <w:rsid w:val="007510B4"/>
    <w:rsid w:val="00751AC5"/>
    <w:rsid w:val="00751E71"/>
    <w:rsid w:val="00751EDB"/>
    <w:rsid w:val="0075201E"/>
    <w:rsid w:val="007520CD"/>
    <w:rsid w:val="00752142"/>
    <w:rsid w:val="007523F9"/>
    <w:rsid w:val="00752538"/>
    <w:rsid w:val="007525A0"/>
    <w:rsid w:val="00752A3F"/>
    <w:rsid w:val="00752D67"/>
    <w:rsid w:val="007530D3"/>
    <w:rsid w:val="00753174"/>
    <w:rsid w:val="0075357E"/>
    <w:rsid w:val="00753727"/>
    <w:rsid w:val="00753BF0"/>
    <w:rsid w:val="0075441D"/>
    <w:rsid w:val="00754741"/>
    <w:rsid w:val="00754874"/>
    <w:rsid w:val="00754C08"/>
    <w:rsid w:val="007554DF"/>
    <w:rsid w:val="0075593D"/>
    <w:rsid w:val="00755C41"/>
    <w:rsid w:val="00756A74"/>
    <w:rsid w:val="00756CBB"/>
    <w:rsid w:val="0075717C"/>
    <w:rsid w:val="007572E8"/>
    <w:rsid w:val="007573E8"/>
    <w:rsid w:val="007573FB"/>
    <w:rsid w:val="0075756C"/>
    <w:rsid w:val="007577AC"/>
    <w:rsid w:val="007578E9"/>
    <w:rsid w:val="00757ABF"/>
    <w:rsid w:val="00757C38"/>
    <w:rsid w:val="00757DC9"/>
    <w:rsid w:val="00760384"/>
    <w:rsid w:val="00760714"/>
    <w:rsid w:val="00760C4E"/>
    <w:rsid w:val="00760F9E"/>
    <w:rsid w:val="00761AB5"/>
    <w:rsid w:val="00761C28"/>
    <w:rsid w:val="00761C3A"/>
    <w:rsid w:val="00761CBB"/>
    <w:rsid w:val="00761FBD"/>
    <w:rsid w:val="00762184"/>
    <w:rsid w:val="007621FA"/>
    <w:rsid w:val="00762293"/>
    <w:rsid w:val="0076237A"/>
    <w:rsid w:val="007626B5"/>
    <w:rsid w:val="0076279A"/>
    <w:rsid w:val="007627BE"/>
    <w:rsid w:val="00762829"/>
    <w:rsid w:val="00762CC5"/>
    <w:rsid w:val="00762D2A"/>
    <w:rsid w:val="0076365A"/>
    <w:rsid w:val="0076409E"/>
    <w:rsid w:val="00764399"/>
    <w:rsid w:val="0076450A"/>
    <w:rsid w:val="007648A1"/>
    <w:rsid w:val="00764F03"/>
    <w:rsid w:val="00765060"/>
    <w:rsid w:val="007658A4"/>
    <w:rsid w:val="00765B1A"/>
    <w:rsid w:val="00765B6B"/>
    <w:rsid w:val="00765DFB"/>
    <w:rsid w:val="00765FA0"/>
    <w:rsid w:val="007661F9"/>
    <w:rsid w:val="00766532"/>
    <w:rsid w:val="007665AF"/>
    <w:rsid w:val="00766804"/>
    <w:rsid w:val="0076719E"/>
    <w:rsid w:val="007675EB"/>
    <w:rsid w:val="007679D6"/>
    <w:rsid w:val="00767C18"/>
    <w:rsid w:val="00767D45"/>
    <w:rsid w:val="00770341"/>
    <w:rsid w:val="007703AE"/>
    <w:rsid w:val="0077072D"/>
    <w:rsid w:val="007707BF"/>
    <w:rsid w:val="007709F7"/>
    <w:rsid w:val="00770DFB"/>
    <w:rsid w:val="00770EC2"/>
    <w:rsid w:val="00771566"/>
    <w:rsid w:val="007717EF"/>
    <w:rsid w:val="00771A89"/>
    <w:rsid w:val="00771F48"/>
    <w:rsid w:val="00772180"/>
    <w:rsid w:val="007721EB"/>
    <w:rsid w:val="007722BA"/>
    <w:rsid w:val="00772550"/>
    <w:rsid w:val="007727E1"/>
    <w:rsid w:val="007728D7"/>
    <w:rsid w:val="00772DA0"/>
    <w:rsid w:val="00772ECF"/>
    <w:rsid w:val="00772F99"/>
    <w:rsid w:val="00773155"/>
    <w:rsid w:val="0077316B"/>
    <w:rsid w:val="00773402"/>
    <w:rsid w:val="0077356D"/>
    <w:rsid w:val="0077367E"/>
    <w:rsid w:val="00773942"/>
    <w:rsid w:val="00774364"/>
    <w:rsid w:val="007745E6"/>
    <w:rsid w:val="0077493A"/>
    <w:rsid w:val="00774AF1"/>
    <w:rsid w:val="00774DD8"/>
    <w:rsid w:val="007756D5"/>
    <w:rsid w:val="0077576A"/>
    <w:rsid w:val="00775A28"/>
    <w:rsid w:val="00775B22"/>
    <w:rsid w:val="00775BB6"/>
    <w:rsid w:val="00775E55"/>
    <w:rsid w:val="00775E71"/>
    <w:rsid w:val="00776199"/>
    <w:rsid w:val="00776738"/>
    <w:rsid w:val="00776896"/>
    <w:rsid w:val="00776929"/>
    <w:rsid w:val="00776C3D"/>
    <w:rsid w:val="00777335"/>
    <w:rsid w:val="007773D4"/>
    <w:rsid w:val="007775F9"/>
    <w:rsid w:val="007776F2"/>
    <w:rsid w:val="00777857"/>
    <w:rsid w:val="007778F7"/>
    <w:rsid w:val="00777968"/>
    <w:rsid w:val="00777FB1"/>
    <w:rsid w:val="00780171"/>
    <w:rsid w:val="007801EC"/>
    <w:rsid w:val="00780287"/>
    <w:rsid w:val="00780A92"/>
    <w:rsid w:val="00780DC2"/>
    <w:rsid w:val="00780F89"/>
    <w:rsid w:val="00781426"/>
    <w:rsid w:val="00781427"/>
    <w:rsid w:val="007814A9"/>
    <w:rsid w:val="00781764"/>
    <w:rsid w:val="007817E3"/>
    <w:rsid w:val="00781A43"/>
    <w:rsid w:val="00781D46"/>
    <w:rsid w:val="007821A1"/>
    <w:rsid w:val="0078232E"/>
    <w:rsid w:val="00782646"/>
    <w:rsid w:val="007826A2"/>
    <w:rsid w:val="0078272E"/>
    <w:rsid w:val="007827A4"/>
    <w:rsid w:val="00783373"/>
    <w:rsid w:val="007833C6"/>
    <w:rsid w:val="0078358D"/>
    <w:rsid w:val="00783B30"/>
    <w:rsid w:val="00783E71"/>
    <w:rsid w:val="00783F14"/>
    <w:rsid w:val="00783F1B"/>
    <w:rsid w:val="007843F2"/>
    <w:rsid w:val="0078477D"/>
    <w:rsid w:val="00784B79"/>
    <w:rsid w:val="00784CC2"/>
    <w:rsid w:val="00784DAE"/>
    <w:rsid w:val="00785015"/>
    <w:rsid w:val="007854CB"/>
    <w:rsid w:val="0078567E"/>
    <w:rsid w:val="0078568A"/>
    <w:rsid w:val="00785A9F"/>
    <w:rsid w:val="00785AA5"/>
    <w:rsid w:val="00785E23"/>
    <w:rsid w:val="00786203"/>
    <w:rsid w:val="007862BB"/>
    <w:rsid w:val="007863A8"/>
    <w:rsid w:val="007867EB"/>
    <w:rsid w:val="00786DED"/>
    <w:rsid w:val="00786ECD"/>
    <w:rsid w:val="007873F3"/>
    <w:rsid w:val="00787552"/>
    <w:rsid w:val="00787D77"/>
    <w:rsid w:val="00787D9C"/>
    <w:rsid w:val="0079026D"/>
    <w:rsid w:val="007904B9"/>
    <w:rsid w:val="00790813"/>
    <w:rsid w:val="00790B98"/>
    <w:rsid w:val="00791886"/>
    <w:rsid w:val="00792057"/>
    <w:rsid w:val="00792333"/>
    <w:rsid w:val="0079238A"/>
    <w:rsid w:val="007925DF"/>
    <w:rsid w:val="007926E3"/>
    <w:rsid w:val="00792CC3"/>
    <w:rsid w:val="00792DAF"/>
    <w:rsid w:val="0079310D"/>
    <w:rsid w:val="0079319D"/>
    <w:rsid w:val="0079376A"/>
    <w:rsid w:val="00793A78"/>
    <w:rsid w:val="007940D0"/>
    <w:rsid w:val="007944C7"/>
    <w:rsid w:val="0079468F"/>
    <w:rsid w:val="0079473E"/>
    <w:rsid w:val="0079478B"/>
    <w:rsid w:val="00794FE5"/>
    <w:rsid w:val="007950A1"/>
    <w:rsid w:val="007956D4"/>
    <w:rsid w:val="0079616F"/>
    <w:rsid w:val="007964F2"/>
    <w:rsid w:val="00796606"/>
    <w:rsid w:val="007967A5"/>
    <w:rsid w:val="00796DBE"/>
    <w:rsid w:val="00796E7E"/>
    <w:rsid w:val="00797018"/>
    <w:rsid w:val="0079735C"/>
    <w:rsid w:val="007974C2"/>
    <w:rsid w:val="0079774D"/>
    <w:rsid w:val="00797876"/>
    <w:rsid w:val="00797BFE"/>
    <w:rsid w:val="00797D4A"/>
    <w:rsid w:val="007A0656"/>
    <w:rsid w:val="007A0862"/>
    <w:rsid w:val="007A08AA"/>
    <w:rsid w:val="007A08C4"/>
    <w:rsid w:val="007A094D"/>
    <w:rsid w:val="007A09BF"/>
    <w:rsid w:val="007A0A12"/>
    <w:rsid w:val="007A132D"/>
    <w:rsid w:val="007A1345"/>
    <w:rsid w:val="007A1437"/>
    <w:rsid w:val="007A153D"/>
    <w:rsid w:val="007A1924"/>
    <w:rsid w:val="007A1AEC"/>
    <w:rsid w:val="007A1B6B"/>
    <w:rsid w:val="007A1E1C"/>
    <w:rsid w:val="007A1E63"/>
    <w:rsid w:val="007A210A"/>
    <w:rsid w:val="007A21B9"/>
    <w:rsid w:val="007A22AB"/>
    <w:rsid w:val="007A237A"/>
    <w:rsid w:val="007A2487"/>
    <w:rsid w:val="007A25EE"/>
    <w:rsid w:val="007A29DB"/>
    <w:rsid w:val="007A2AF8"/>
    <w:rsid w:val="007A2CA1"/>
    <w:rsid w:val="007A2DDB"/>
    <w:rsid w:val="007A2E97"/>
    <w:rsid w:val="007A36D8"/>
    <w:rsid w:val="007A37D0"/>
    <w:rsid w:val="007A39F4"/>
    <w:rsid w:val="007A3D0B"/>
    <w:rsid w:val="007A4192"/>
    <w:rsid w:val="007A432D"/>
    <w:rsid w:val="007A4752"/>
    <w:rsid w:val="007A4764"/>
    <w:rsid w:val="007A4ADC"/>
    <w:rsid w:val="007A4C62"/>
    <w:rsid w:val="007A4CC0"/>
    <w:rsid w:val="007A4F4D"/>
    <w:rsid w:val="007A524A"/>
    <w:rsid w:val="007A533C"/>
    <w:rsid w:val="007A5C5E"/>
    <w:rsid w:val="007A5DEE"/>
    <w:rsid w:val="007A608D"/>
    <w:rsid w:val="007A64DA"/>
    <w:rsid w:val="007A6B0E"/>
    <w:rsid w:val="007A6B34"/>
    <w:rsid w:val="007A6D17"/>
    <w:rsid w:val="007A6DB4"/>
    <w:rsid w:val="007A70BA"/>
    <w:rsid w:val="007A7290"/>
    <w:rsid w:val="007A7D02"/>
    <w:rsid w:val="007A7DC5"/>
    <w:rsid w:val="007A7E9A"/>
    <w:rsid w:val="007A7F94"/>
    <w:rsid w:val="007B00CC"/>
    <w:rsid w:val="007B012A"/>
    <w:rsid w:val="007B0294"/>
    <w:rsid w:val="007B034C"/>
    <w:rsid w:val="007B052F"/>
    <w:rsid w:val="007B088E"/>
    <w:rsid w:val="007B0D68"/>
    <w:rsid w:val="007B10A0"/>
    <w:rsid w:val="007B1104"/>
    <w:rsid w:val="007B11B0"/>
    <w:rsid w:val="007B13C5"/>
    <w:rsid w:val="007B1441"/>
    <w:rsid w:val="007B15AF"/>
    <w:rsid w:val="007B17BE"/>
    <w:rsid w:val="007B18D4"/>
    <w:rsid w:val="007B1BDE"/>
    <w:rsid w:val="007B2161"/>
    <w:rsid w:val="007B226B"/>
    <w:rsid w:val="007B22B8"/>
    <w:rsid w:val="007B251D"/>
    <w:rsid w:val="007B2948"/>
    <w:rsid w:val="007B295D"/>
    <w:rsid w:val="007B2D0D"/>
    <w:rsid w:val="007B2EA3"/>
    <w:rsid w:val="007B3240"/>
    <w:rsid w:val="007B390D"/>
    <w:rsid w:val="007B3AF2"/>
    <w:rsid w:val="007B3D21"/>
    <w:rsid w:val="007B4032"/>
    <w:rsid w:val="007B4BED"/>
    <w:rsid w:val="007B4F58"/>
    <w:rsid w:val="007B522F"/>
    <w:rsid w:val="007B528D"/>
    <w:rsid w:val="007B5618"/>
    <w:rsid w:val="007B5689"/>
    <w:rsid w:val="007B570E"/>
    <w:rsid w:val="007B5AF2"/>
    <w:rsid w:val="007B5B95"/>
    <w:rsid w:val="007B5BBE"/>
    <w:rsid w:val="007B608D"/>
    <w:rsid w:val="007B62C4"/>
    <w:rsid w:val="007B63CA"/>
    <w:rsid w:val="007B6414"/>
    <w:rsid w:val="007B67F5"/>
    <w:rsid w:val="007B6A19"/>
    <w:rsid w:val="007B6B59"/>
    <w:rsid w:val="007B6BDE"/>
    <w:rsid w:val="007B7050"/>
    <w:rsid w:val="007B72C3"/>
    <w:rsid w:val="007B77D1"/>
    <w:rsid w:val="007B7842"/>
    <w:rsid w:val="007B7CBB"/>
    <w:rsid w:val="007B7EDD"/>
    <w:rsid w:val="007C00EF"/>
    <w:rsid w:val="007C0156"/>
    <w:rsid w:val="007C0188"/>
    <w:rsid w:val="007C0233"/>
    <w:rsid w:val="007C0237"/>
    <w:rsid w:val="007C0299"/>
    <w:rsid w:val="007C07C7"/>
    <w:rsid w:val="007C0CA4"/>
    <w:rsid w:val="007C0E13"/>
    <w:rsid w:val="007C0F28"/>
    <w:rsid w:val="007C1036"/>
    <w:rsid w:val="007C1639"/>
    <w:rsid w:val="007C18BA"/>
    <w:rsid w:val="007C1CD9"/>
    <w:rsid w:val="007C1CE3"/>
    <w:rsid w:val="007C1F03"/>
    <w:rsid w:val="007C2AA6"/>
    <w:rsid w:val="007C2CF3"/>
    <w:rsid w:val="007C2F4E"/>
    <w:rsid w:val="007C32EF"/>
    <w:rsid w:val="007C3322"/>
    <w:rsid w:val="007C342F"/>
    <w:rsid w:val="007C357D"/>
    <w:rsid w:val="007C361D"/>
    <w:rsid w:val="007C3A50"/>
    <w:rsid w:val="007C3C28"/>
    <w:rsid w:val="007C3CE2"/>
    <w:rsid w:val="007C3DDE"/>
    <w:rsid w:val="007C3F69"/>
    <w:rsid w:val="007C414C"/>
    <w:rsid w:val="007C429B"/>
    <w:rsid w:val="007C45B9"/>
    <w:rsid w:val="007C4B84"/>
    <w:rsid w:val="007C531F"/>
    <w:rsid w:val="007C54A8"/>
    <w:rsid w:val="007C556E"/>
    <w:rsid w:val="007C5595"/>
    <w:rsid w:val="007C5ABE"/>
    <w:rsid w:val="007C5B05"/>
    <w:rsid w:val="007C5D9D"/>
    <w:rsid w:val="007C5FFF"/>
    <w:rsid w:val="007C6334"/>
    <w:rsid w:val="007C64A5"/>
    <w:rsid w:val="007C6E64"/>
    <w:rsid w:val="007C70FF"/>
    <w:rsid w:val="007C71D8"/>
    <w:rsid w:val="007C751E"/>
    <w:rsid w:val="007C7B8C"/>
    <w:rsid w:val="007C7C25"/>
    <w:rsid w:val="007C7CC4"/>
    <w:rsid w:val="007C7D5C"/>
    <w:rsid w:val="007C7FE4"/>
    <w:rsid w:val="007D004F"/>
    <w:rsid w:val="007D01ED"/>
    <w:rsid w:val="007D03E6"/>
    <w:rsid w:val="007D07FB"/>
    <w:rsid w:val="007D0826"/>
    <w:rsid w:val="007D09DA"/>
    <w:rsid w:val="007D0B38"/>
    <w:rsid w:val="007D21BA"/>
    <w:rsid w:val="007D23DB"/>
    <w:rsid w:val="007D267B"/>
    <w:rsid w:val="007D2AED"/>
    <w:rsid w:val="007D3000"/>
    <w:rsid w:val="007D32CB"/>
    <w:rsid w:val="007D364C"/>
    <w:rsid w:val="007D366D"/>
    <w:rsid w:val="007D3B0D"/>
    <w:rsid w:val="007D3C8B"/>
    <w:rsid w:val="007D3D7E"/>
    <w:rsid w:val="007D3F8A"/>
    <w:rsid w:val="007D4026"/>
    <w:rsid w:val="007D4147"/>
    <w:rsid w:val="007D41D1"/>
    <w:rsid w:val="007D4395"/>
    <w:rsid w:val="007D479E"/>
    <w:rsid w:val="007D4D4B"/>
    <w:rsid w:val="007D4E71"/>
    <w:rsid w:val="007D5018"/>
    <w:rsid w:val="007D5295"/>
    <w:rsid w:val="007D5317"/>
    <w:rsid w:val="007D53AF"/>
    <w:rsid w:val="007D5440"/>
    <w:rsid w:val="007D55AB"/>
    <w:rsid w:val="007D55E2"/>
    <w:rsid w:val="007D5B16"/>
    <w:rsid w:val="007D5B32"/>
    <w:rsid w:val="007D5DBB"/>
    <w:rsid w:val="007D646F"/>
    <w:rsid w:val="007D660B"/>
    <w:rsid w:val="007D6697"/>
    <w:rsid w:val="007D68D1"/>
    <w:rsid w:val="007D68E8"/>
    <w:rsid w:val="007D69EB"/>
    <w:rsid w:val="007D69F6"/>
    <w:rsid w:val="007D6A3B"/>
    <w:rsid w:val="007D6F08"/>
    <w:rsid w:val="007D75BD"/>
    <w:rsid w:val="007D75FF"/>
    <w:rsid w:val="007D776F"/>
    <w:rsid w:val="007D7A47"/>
    <w:rsid w:val="007D7B6A"/>
    <w:rsid w:val="007D7B89"/>
    <w:rsid w:val="007D7D9E"/>
    <w:rsid w:val="007D7F3A"/>
    <w:rsid w:val="007E0129"/>
    <w:rsid w:val="007E0220"/>
    <w:rsid w:val="007E0310"/>
    <w:rsid w:val="007E0345"/>
    <w:rsid w:val="007E0499"/>
    <w:rsid w:val="007E08B6"/>
    <w:rsid w:val="007E08DF"/>
    <w:rsid w:val="007E097F"/>
    <w:rsid w:val="007E0C4D"/>
    <w:rsid w:val="007E0D3C"/>
    <w:rsid w:val="007E0F76"/>
    <w:rsid w:val="007E10E9"/>
    <w:rsid w:val="007E1167"/>
    <w:rsid w:val="007E119A"/>
    <w:rsid w:val="007E128F"/>
    <w:rsid w:val="007E1825"/>
    <w:rsid w:val="007E1ABE"/>
    <w:rsid w:val="007E1AE1"/>
    <w:rsid w:val="007E1D4E"/>
    <w:rsid w:val="007E1DAA"/>
    <w:rsid w:val="007E213A"/>
    <w:rsid w:val="007E24A1"/>
    <w:rsid w:val="007E24A3"/>
    <w:rsid w:val="007E2626"/>
    <w:rsid w:val="007E27FD"/>
    <w:rsid w:val="007E2994"/>
    <w:rsid w:val="007E2CA8"/>
    <w:rsid w:val="007E2CFC"/>
    <w:rsid w:val="007E2FBF"/>
    <w:rsid w:val="007E3040"/>
    <w:rsid w:val="007E3656"/>
    <w:rsid w:val="007E3D9F"/>
    <w:rsid w:val="007E40DE"/>
    <w:rsid w:val="007E4257"/>
    <w:rsid w:val="007E436F"/>
    <w:rsid w:val="007E447E"/>
    <w:rsid w:val="007E44AF"/>
    <w:rsid w:val="007E46AF"/>
    <w:rsid w:val="007E472D"/>
    <w:rsid w:val="007E4F55"/>
    <w:rsid w:val="007E4F8C"/>
    <w:rsid w:val="007E4FA2"/>
    <w:rsid w:val="007E50A3"/>
    <w:rsid w:val="007E5185"/>
    <w:rsid w:val="007E520C"/>
    <w:rsid w:val="007E59EC"/>
    <w:rsid w:val="007E5C70"/>
    <w:rsid w:val="007E5C8C"/>
    <w:rsid w:val="007E6221"/>
    <w:rsid w:val="007E6381"/>
    <w:rsid w:val="007E6651"/>
    <w:rsid w:val="007E6B3F"/>
    <w:rsid w:val="007E6B97"/>
    <w:rsid w:val="007E6CE5"/>
    <w:rsid w:val="007E6DE0"/>
    <w:rsid w:val="007E6EEF"/>
    <w:rsid w:val="007E6F1F"/>
    <w:rsid w:val="007E701A"/>
    <w:rsid w:val="007E7295"/>
    <w:rsid w:val="007E72CA"/>
    <w:rsid w:val="007F00B0"/>
    <w:rsid w:val="007F0155"/>
    <w:rsid w:val="007F01A5"/>
    <w:rsid w:val="007F0354"/>
    <w:rsid w:val="007F093F"/>
    <w:rsid w:val="007F0CF2"/>
    <w:rsid w:val="007F0EA8"/>
    <w:rsid w:val="007F0F2C"/>
    <w:rsid w:val="007F0FC2"/>
    <w:rsid w:val="007F0FD0"/>
    <w:rsid w:val="007F1017"/>
    <w:rsid w:val="007F12B1"/>
    <w:rsid w:val="007F15E6"/>
    <w:rsid w:val="007F171F"/>
    <w:rsid w:val="007F1721"/>
    <w:rsid w:val="007F1947"/>
    <w:rsid w:val="007F19B9"/>
    <w:rsid w:val="007F1EF5"/>
    <w:rsid w:val="007F1F47"/>
    <w:rsid w:val="007F1F4E"/>
    <w:rsid w:val="007F23AC"/>
    <w:rsid w:val="007F23C5"/>
    <w:rsid w:val="007F25F4"/>
    <w:rsid w:val="007F2711"/>
    <w:rsid w:val="007F291B"/>
    <w:rsid w:val="007F2B3A"/>
    <w:rsid w:val="007F2C66"/>
    <w:rsid w:val="007F2E38"/>
    <w:rsid w:val="007F2E3E"/>
    <w:rsid w:val="007F2EF7"/>
    <w:rsid w:val="007F3062"/>
    <w:rsid w:val="007F30ED"/>
    <w:rsid w:val="007F32C3"/>
    <w:rsid w:val="007F32CB"/>
    <w:rsid w:val="007F33CE"/>
    <w:rsid w:val="007F34F7"/>
    <w:rsid w:val="007F35B2"/>
    <w:rsid w:val="007F3CFE"/>
    <w:rsid w:val="007F44E0"/>
    <w:rsid w:val="007F4503"/>
    <w:rsid w:val="007F4599"/>
    <w:rsid w:val="007F4A14"/>
    <w:rsid w:val="007F4A3F"/>
    <w:rsid w:val="007F4A61"/>
    <w:rsid w:val="007F4EFE"/>
    <w:rsid w:val="007F5255"/>
    <w:rsid w:val="007F5426"/>
    <w:rsid w:val="007F543F"/>
    <w:rsid w:val="007F5494"/>
    <w:rsid w:val="007F56CC"/>
    <w:rsid w:val="007F5772"/>
    <w:rsid w:val="007F5F5D"/>
    <w:rsid w:val="007F5FB2"/>
    <w:rsid w:val="007F6028"/>
    <w:rsid w:val="007F606D"/>
    <w:rsid w:val="007F61C2"/>
    <w:rsid w:val="007F645F"/>
    <w:rsid w:val="007F64FB"/>
    <w:rsid w:val="007F65BC"/>
    <w:rsid w:val="007F6A38"/>
    <w:rsid w:val="007F6A74"/>
    <w:rsid w:val="007F76A6"/>
    <w:rsid w:val="007F77B2"/>
    <w:rsid w:val="007F7808"/>
    <w:rsid w:val="008000A0"/>
    <w:rsid w:val="008000D5"/>
    <w:rsid w:val="0080064F"/>
    <w:rsid w:val="00800881"/>
    <w:rsid w:val="0080090A"/>
    <w:rsid w:val="00800C83"/>
    <w:rsid w:val="00801040"/>
    <w:rsid w:val="00801748"/>
    <w:rsid w:val="008018EE"/>
    <w:rsid w:val="00801A3B"/>
    <w:rsid w:val="00801CFC"/>
    <w:rsid w:val="00801DA3"/>
    <w:rsid w:val="00801E57"/>
    <w:rsid w:val="00801E64"/>
    <w:rsid w:val="00801FFB"/>
    <w:rsid w:val="00802241"/>
    <w:rsid w:val="00802403"/>
    <w:rsid w:val="00802430"/>
    <w:rsid w:val="00802963"/>
    <w:rsid w:val="00802AE8"/>
    <w:rsid w:val="00802BF7"/>
    <w:rsid w:val="00802D64"/>
    <w:rsid w:val="0080301B"/>
    <w:rsid w:val="008035AF"/>
    <w:rsid w:val="00803664"/>
    <w:rsid w:val="00803E13"/>
    <w:rsid w:val="008042B3"/>
    <w:rsid w:val="00804467"/>
    <w:rsid w:val="00804573"/>
    <w:rsid w:val="00804610"/>
    <w:rsid w:val="008048BA"/>
    <w:rsid w:val="00804A03"/>
    <w:rsid w:val="00804B24"/>
    <w:rsid w:val="00804CCA"/>
    <w:rsid w:val="00805142"/>
    <w:rsid w:val="008057C9"/>
    <w:rsid w:val="00805C7C"/>
    <w:rsid w:val="00805E29"/>
    <w:rsid w:val="00805E53"/>
    <w:rsid w:val="00805FCE"/>
    <w:rsid w:val="008060DA"/>
    <w:rsid w:val="0080622B"/>
    <w:rsid w:val="00806370"/>
    <w:rsid w:val="00806553"/>
    <w:rsid w:val="0080684B"/>
    <w:rsid w:val="00806B25"/>
    <w:rsid w:val="00806B8A"/>
    <w:rsid w:val="00806EBC"/>
    <w:rsid w:val="00806F0A"/>
    <w:rsid w:val="008073E6"/>
    <w:rsid w:val="008075DF"/>
    <w:rsid w:val="0080761C"/>
    <w:rsid w:val="00807635"/>
    <w:rsid w:val="008076F4"/>
    <w:rsid w:val="008078EC"/>
    <w:rsid w:val="00807A8B"/>
    <w:rsid w:val="00807B97"/>
    <w:rsid w:val="00807D79"/>
    <w:rsid w:val="00807DF1"/>
    <w:rsid w:val="00807E22"/>
    <w:rsid w:val="008102F1"/>
    <w:rsid w:val="00810758"/>
    <w:rsid w:val="00810979"/>
    <w:rsid w:val="00810AAA"/>
    <w:rsid w:val="00810ABE"/>
    <w:rsid w:val="00810D22"/>
    <w:rsid w:val="00811383"/>
    <w:rsid w:val="008113BE"/>
    <w:rsid w:val="008114F5"/>
    <w:rsid w:val="00811686"/>
    <w:rsid w:val="008118FE"/>
    <w:rsid w:val="00811A6F"/>
    <w:rsid w:val="00812142"/>
    <w:rsid w:val="00812149"/>
    <w:rsid w:val="008128E9"/>
    <w:rsid w:val="00812CAC"/>
    <w:rsid w:val="00812DDB"/>
    <w:rsid w:val="00813095"/>
    <w:rsid w:val="008131CA"/>
    <w:rsid w:val="00813F6E"/>
    <w:rsid w:val="00813FEF"/>
    <w:rsid w:val="0081418E"/>
    <w:rsid w:val="00814262"/>
    <w:rsid w:val="0081449C"/>
    <w:rsid w:val="008145A5"/>
    <w:rsid w:val="00814613"/>
    <w:rsid w:val="0081483A"/>
    <w:rsid w:val="00815361"/>
    <w:rsid w:val="008154B3"/>
    <w:rsid w:val="00815828"/>
    <w:rsid w:val="00815873"/>
    <w:rsid w:val="00815B7A"/>
    <w:rsid w:val="00815D81"/>
    <w:rsid w:val="0081601C"/>
    <w:rsid w:val="00816361"/>
    <w:rsid w:val="008163AA"/>
    <w:rsid w:val="008163CC"/>
    <w:rsid w:val="0081642D"/>
    <w:rsid w:val="00816610"/>
    <w:rsid w:val="008166EF"/>
    <w:rsid w:val="00816955"/>
    <w:rsid w:val="00816B0B"/>
    <w:rsid w:val="00816BC8"/>
    <w:rsid w:val="00816CB7"/>
    <w:rsid w:val="00816E28"/>
    <w:rsid w:val="00816E60"/>
    <w:rsid w:val="00816FEF"/>
    <w:rsid w:val="00817230"/>
    <w:rsid w:val="008173D0"/>
    <w:rsid w:val="0081753C"/>
    <w:rsid w:val="00817625"/>
    <w:rsid w:val="00817B2F"/>
    <w:rsid w:val="00817B5E"/>
    <w:rsid w:val="00817C18"/>
    <w:rsid w:val="00817C22"/>
    <w:rsid w:val="008200DC"/>
    <w:rsid w:val="00820A8C"/>
    <w:rsid w:val="00820AEF"/>
    <w:rsid w:val="0082104C"/>
    <w:rsid w:val="0082153C"/>
    <w:rsid w:val="008215FB"/>
    <w:rsid w:val="00821AAD"/>
    <w:rsid w:val="00821C5A"/>
    <w:rsid w:val="00822397"/>
    <w:rsid w:val="008224D6"/>
    <w:rsid w:val="008225C2"/>
    <w:rsid w:val="008225C8"/>
    <w:rsid w:val="00822663"/>
    <w:rsid w:val="00822713"/>
    <w:rsid w:val="00822832"/>
    <w:rsid w:val="00822A49"/>
    <w:rsid w:val="00822BEB"/>
    <w:rsid w:val="00823174"/>
    <w:rsid w:val="0082328F"/>
    <w:rsid w:val="008232D9"/>
    <w:rsid w:val="008233C6"/>
    <w:rsid w:val="00823645"/>
    <w:rsid w:val="008237F0"/>
    <w:rsid w:val="0082385B"/>
    <w:rsid w:val="00823A7C"/>
    <w:rsid w:val="00823B22"/>
    <w:rsid w:val="00824004"/>
    <w:rsid w:val="0082436A"/>
    <w:rsid w:val="00824C6A"/>
    <w:rsid w:val="00824E04"/>
    <w:rsid w:val="00824E6F"/>
    <w:rsid w:val="0082500D"/>
    <w:rsid w:val="008250F3"/>
    <w:rsid w:val="008251BA"/>
    <w:rsid w:val="008252B8"/>
    <w:rsid w:val="00825751"/>
    <w:rsid w:val="00825857"/>
    <w:rsid w:val="00825DA6"/>
    <w:rsid w:val="008260FD"/>
    <w:rsid w:val="00826271"/>
    <w:rsid w:val="00826382"/>
    <w:rsid w:val="008264EB"/>
    <w:rsid w:val="00826662"/>
    <w:rsid w:val="00826969"/>
    <w:rsid w:val="00826BF1"/>
    <w:rsid w:val="00827E02"/>
    <w:rsid w:val="00830239"/>
    <w:rsid w:val="00830A36"/>
    <w:rsid w:val="00830A78"/>
    <w:rsid w:val="00830DEC"/>
    <w:rsid w:val="00830E73"/>
    <w:rsid w:val="008312BC"/>
    <w:rsid w:val="00831456"/>
    <w:rsid w:val="0083167E"/>
    <w:rsid w:val="00831B6E"/>
    <w:rsid w:val="00831B81"/>
    <w:rsid w:val="00831CCA"/>
    <w:rsid w:val="008321D1"/>
    <w:rsid w:val="0083228E"/>
    <w:rsid w:val="00832416"/>
    <w:rsid w:val="00832771"/>
    <w:rsid w:val="00832ED5"/>
    <w:rsid w:val="00833485"/>
    <w:rsid w:val="00833621"/>
    <w:rsid w:val="008336F8"/>
    <w:rsid w:val="00833899"/>
    <w:rsid w:val="00833B05"/>
    <w:rsid w:val="00833E1E"/>
    <w:rsid w:val="0083403D"/>
    <w:rsid w:val="00834313"/>
    <w:rsid w:val="008345DB"/>
    <w:rsid w:val="008349F1"/>
    <w:rsid w:val="00834CBD"/>
    <w:rsid w:val="00834CE6"/>
    <w:rsid w:val="00834D19"/>
    <w:rsid w:val="00835167"/>
    <w:rsid w:val="0083543A"/>
    <w:rsid w:val="008356BF"/>
    <w:rsid w:val="008356DE"/>
    <w:rsid w:val="00835979"/>
    <w:rsid w:val="00835DDE"/>
    <w:rsid w:val="00835E83"/>
    <w:rsid w:val="008362B4"/>
    <w:rsid w:val="00836861"/>
    <w:rsid w:val="0083688D"/>
    <w:rsid w:val="00836994"/>
    <w:rsid w:val="008369CE"/>
    <w:rsid w:val="00836E56"/>
    <w:rsid w:val="00836E83"/>
    <w:rsid w:val="00837503"/>
    <w:rsid w:val="008376B8"/>
    <w:rsid w:val="0084030B"/>
    <w:rsid w:val="00840498"/>
    <w:rsid w:val="00840597"/>
    <w:rsid w:val="00840826"/>
    <w:rsid w:val="00840889"/>
    <w:rsid w:val="00840AE8"/>
    <w:rsid w:val="00840C84"/>
    <w:rsid w:val="00840CA2"/>
    <w:rsid w:val="00840D33"/>
    <w:rsid w:val="00840D57"/>
    <w:rsid w:val="00840F54"/>
    <w:rsid w:val="0084106E"/>
    <w:rsid w:val="00841090"/>
    <w:rsid w:val="0084132A"/>
    <w:rsid w:val="00841417"/>
    <w:rsid w:val="00841A11"/>
    <w:rsid w:val="00841ADF"/>
    <w:rsid w:val="00841B17"/>
    <w:rsid w:val="00841E3B"/>
    <w:rsid w:val="008425D0"/>
    <w:rsid w:val="008426AE"/>
    <w:rsid w:val="0084306E"/>
    <w:rsid w:val="008430E9"/>
    <w:rsid w:val="0084346B"/>
    <w:rsid w:val="008435F7"/>
    <w:rsid w:val="0084374F"/>
    <w:rsid w:val="00843A95"/>
    <w:rsid w:val="00843CBB"/>
    <w:rsid w:val="00843F0F"/>
    <w:rsid w:val="0084438B"/>
    <w:rsid w:val="008445E4"/>
    <w:rsid w:val="008446FF"/>
    <w:rsid w:val="0084478B"/>
    <w:rsid w:val="00844A22"/>
    <w:rsid w:val="00844D3C"/>
    <w:rsid w:val="00845036"/>
    <w:rsid w:val="00845A00"/>
    <w:rsid w:val="00845A4A"/>
    <w:rsid w:val="00845B34"/>
    <w:rsid w:val="00845C50"/>
    <w:rsid w:val="00845DC4"/>
    <w:rsid w:val="00845F9F"/>
    <w:rsid w:val="00846874"/>
    <w:rsid w:val="00846963"/>
    <w:rsid w:val="00846F5E"/>
    <w:rsid w:val="00847646"/>
    <w:rsid w:val="00847682"/>
    <w:rsid w:val="00847703"/>
    <w:rsid w:val="00847A2B"/>
    <w:rsid w:val="00847A4F"/>
    <w:rsid w:val="00847A6D"/>
    <w:rsid w:val="00847B8B"/>
    <w:rsid w:val="00847D07"/>
    <w:rsid w:val="00847DF5"/>
    <w:rsid w:val="00850050"/>
    <w:rsid w:val="0085021F"/>
    <w:rsid w:val="00850943"/>
    <w:rsid w:val="00850C88"/>
    <w:rsid w:val="00851033"/>
    <w:rsid w:val="00851212"/>
    <w:rsid w:val="00851411"/>
    <w:rsid w:val="00851821"/>
    <w:rsid w:val="00851AD9"/>
    <w:rsid w:val="00851D04"/>
    <w:rsid w:val="00851DA6"/>
    <w:rsid w:val="008522BB"/>
    <w:rsid w:val="00852830"/>
    <w:rsid w:val="0085309D"/>
    <w:rsid w:val="008530D5"/>
    <w:rsid w:val="0085356F"/>
    <w:rsid w:val="0085360B"/>
    <w:rsid w:val="00853873"/>
    <w:rsid w:val="008539E3"/>
    <w:rsid w:val="00853C08"/>
    <w:rsid w:val="00853F39"/>
    <w:rsid w:val="00854508"/>
    <w:rsid w:val="00854735"/>
    <w:rsid w:val="00854824"/>
    <w:rsid w:val="00854981"/>
    <w:rsid w:val="00854AC4"/>
    <w:rsid w:val="00854BE6"/>
    <w:rsid w:val="00854EA0"/>
    <w:rsid w:val="008552E5"/>
    <w:rsid w:val="0085559C"/>
    <w:rsid w:val="00855E69"/>
    <w:rsid w:val="00855F9B"/>
    <w:rsid w:val="00855FB3"/>
    <w:rsid w:val="00855FD4"/>
    <w:rsid w:val="008563FB"/>
    <w:rsid w:val="00856417"/>
    <w:rsid w:val="0085658F"/>
    <w:rsid w:val="00856897"/>
    <w:rsid w:val="00856DE0"/>
    <w:rsid w:val="00856E9A"/>
    <w:rsid w:val="008579A6"/>
    <w:rsid w:val="00857BAF"/>
    <w:rsid w:val="00860040"/>
    <w:rsid w:val="0086024A"/>
    <w:rsid w:val="008603CA"/>
    <w:rsid w:val="008604F3"/>
    <w:rsid w:val="0086075D"/>
    <w:rsid w:val="00860D56"/>
    <w:rsid w:val="008611A2"/>
    <w:rsid w:val="00861403"/>
    <w:rsid w:val="0086172D"/>
    <w:rsid w:val="00861A32"/>
    <w:rsid w:val="00861E92"/>
    <w:rsid w:val="00861F9C"/>
    <w:rsid w:val="008620A2"/>
    <w:rsid w:val="008623F3"/>
    <w:rsid w:val="00862500"/>
    <w:rsid w:val="00862502"/>
    <w:rsid w:val="008626EE"/>
    <w:rsid w:val="00862AB4"/>
    <w:rsid w:val="00862BF0"/>
    <w:rsid w:val="00862CC1"/>
    <w:rsid w:val="00862EBF"/>
    <w:rsid w:val="008632E8"/>
    <w:rsid w:val="0086384B"/>
    <w:rsid w:val="00863CE7"/>
    <w:rsid w:val="008640CD"/>
    <w:rsid w:val="008641A7"/>
    <w:rsid w:val="0086423D"/>
    <w:rsid w:val="0086442F"/>
    <w:rsid w:val="008644A8"/>
    <w:rsid w:val="00864834"/>
    <w:rsid w:val="008649D9"/>
    <w:rsid w:val="00864AA3"/>
    <w:rsid w:val="00864D1E"/>
    <w:rsid w:val="0086520A"/>
    <w:rsid w:val="0086552E"/>
    <w:rsid w:val="008655DC"/>
    <w:rsid w:val="00865778"/>
    <w:rsid w:val="00865AFB"/>
    <w:rsid w:val="00865D7A"/>
    <w:rsid w:val="00865EDF"/>
    <w:rsid w:val="008660D4"/>
    <w:rsid w:val="0086625C"/>
    <w:rsid w:val="008667A3"/>
    <w:rsid w:val="00866987"/>
    <w:rsid w:val="00866DDB"/>
    <w:rsid w:val="00866F87"/>
    <w:rsid w:val="008673B4"/>
    <w:rsid w:val="008674C6"/>
    <w:rsid w:val="00867622"/>
    <w:rsid w:val="00867648"/>
    <w:rsid w:val="00867A47"/>
    <w:rsid w:val="00867AB8"/>
    <w:rsid w:val="00867B86"/>
    <w:rsid w:val="00867D18"/>
    <w:rsid w:val="008700F2"/>
    <w:rsid w:val="00870190"/>
    <w:rsid w:val="008703C9"/>
    <w:rsid w:val="00870467"/>
    <w:rsid w:val="0087048A"/>
    <w:rsid w:val="00870568"/>
    <w:rsid w:val="0087062B"/>
    <w:rsid w:val="008706D1"/>
    <w:rsid w:val="00871001"/>
    <w:rsid w:val="008711B1"/>
    <w:rsid w:val="008711F0"/>
    <w:rsid w:val="0087131F"/>
    <w:rsid w:val="0087160C"/>
    <w:rsid w:val="00871EB9"/>
    <w:rsid w:val="00871F89"/>
    <w:rsid w:val="00871FA9"/>
    <w:rsid w:val="008723E7"/>
    <w:rsid w:val="0087247F"/>
    <w:rsid w:val="008724A5"/>
    <w:rsid w:val="00872570"/>
    <w:rsid w:val="00872792"/>
    <w:rsid w:val="0087279C"/>
    <w:rsid w:val="008728E9"/>
    <w:rsid w:val="00872A86"/>
    <w:rsid w:val="00872ACA"/>
    <w:rsid w:val="00872CDE"/>
    <w:rsid w:val="0087310A"/>
    <w:rsid w:val="0087323C"/>
    <w:rsid w:val="0087348D"/>
    <w:rsid w:val="0087350D"/>
    <w:rsid w:val="00873ABB"/>
    <w:rsid w:val="00873F1D"/>
    <w:rsid w:val="0087401D"/>
    <w:rsid w:val="0087407F"/>
    <w:rsid w:val="0087465A"/>
    <w:rsid w:val="00874711"/>
    <w:rsid w:val="00874838"/>
    <w:rsid w:val="00874C1F"/>
    <w:rsid w:val="00874D4F"/>
    <w:rsid w:val="00874D6D"/>
    <w:rsid w:val="00874D7A"/>
    <w:rsid w:val="00874EF4"/>
    <w:rsid w:val="008754EA"/>
    <w:rsid w:val="008758F6"/>
    <w:rsid w:val="00875974"/>
    <w:rsid w:val="0087599F"/>
    <w:rsid w:val="00875A0B"/>
    <w:rsid w:val="00875B15"/>
    <w:rsid w:val="00875CF9"/>
    <w:rsid w:val="00875CFA"/>
    <w:rsid w:val="0087638C"/>
    <w:rsid w:val="008765FE"/>
    <w:rsid w:val="00876830"/>
    <w:rsid w:val="00876BC8"/>
    <w:rsid w:val="00876D5E"/>
    <w:rsid w:val="00876EDB"/>
    <w:rsid w:val="00876F94"/>
    <w:rsid w:val="00877099"/>
    <w:rsid w:val="00877118"/>
    <w:rsid w:val="0087724E"/>
    <w:rsid w:val="008772CD"/>
    <w:rsid w:val="008774FE"/>
    <w:rsid w:val="0087752D"/>
    <w:rsid w:val="00877833"/>
    <w:rsid w:val="00880120"/>
    <w:rsid w:val="00880145"/>
    <w:rsid w:val="008803F2"/>
    <w:rsid w:val="008803FA"/>
    <w:rsid w:val="0088051B"/>
    <w:rsid w:val="008805DB"/>
    <w:rsid w:val="0088082C"/>
    <w:rsid w:val="00880A55"/>
    <w:rsid w:val="00880C23"/>
    <w:rsid w:val="00881422"/>
    <w:rsid w:val="008816E0"/>
    <w:rsid w:val="00881802"/>
    <w:rsid w:val="00881A4F"/>
    <w:rsid w:val="00881B59"/>
    <w:rsid w:val="0088211F"/>
    <w:rsid w:val="0088254E"/>
    <w:rsid w:val="00882782"/>
    <w:rsid w:val="008827B3"/>
    <w:rsid w:val="00882874"/>
    <w:rsid w:val="00882A02"/>
    <w:rsid w:val="00882B58"/>
    <w:rsid w:val="00882D36"/>
    <w:rsid w:val="00882E3C"/>
    <w:rsid w:val="00882FDE"/>
    <w:rsid w:val="00883546"/>
    <w:rsid w:val="0088376A"/>
    <w:rsid w:val="00883787"/>
    <w:rsid w:val="00883B02"/>
    <w:rsid w:val="00883E50"/>
    <w:rsid w:val="00883FCE"/>
    <w:rsid w:val="00884981"/>
    <w:rsid w:val="00884F4B"/>
    <w:rsid w:val="00885366"/>
    <w:rsid w:val="0088548A"/>
    <w:rsid w:val="008855E4"/>
    <w:rsid w:val="00885A69"/>
    <w:rsid w:val="00886122"/>
    <w:rsid w:val="00886412"/>
    <w:rsid w:val="008866E7"/>
    <w:rsid w:val="00886707"/>
    <w:rsid w:val="00886A2D"/>
    <w:rsid w:val="00886A3A"/>
    <w:rsid w:val="00886CD2"/>
    <w:rsid w:val="008870DE"/>
    <w:rsid w:val="00887237"/>
    <w:rsid w:val="00887872"/>
    <w:rsid w:val="00887BBF"/>
    <w:rsid w:val="008904D3"/>
    <w:rsid w:val="00890545"/>
    <w:rsid w:val="008914FD"/>
    <w:rsid w:val="008915D3"/>
    <w:rsid w:val="0089178A"/>
    <w:rsid w:val="00891A04"/>
    <w:rsid w:val="00891B3F"/>
    <w:rsid w:val="00891B61"/>
    <w:rsid w:val="00891E6F"/>
    <w:rsid w:val="0089275D"/>
    <w:rsid w:val="0089283C"/>
    <w:rsid w:val="00892A36"/>
    <w:rsid w:val="00892E09"/>
    <w:rsid w:val="008930C9"/>
    <w:rsid w:val="008931DA"/>
    <w:rsid w:val="00893211"/>
    <w:rsid w:val="00893239"/>
    <w:rsid w:val="0089344C"/>
    <w:rsid w:val="00893850"/>
    <w:rsid w:val="008941B0"/>
    <w:rsid w:val="008942DB"/>
    <w:rsid w:val="00894489"/>
    <w:rsid w:val="008946B4"/>
    <w:rsid w:val="00894955"/>
    <w:rsid w:val="00894B64"/>
    <w:rsid w:val="00894BFC"/>
    <w:rsid w:val="00895874"/>
    <w:rsid w:val="00895940"/>
    <w:rsid w:val="00895C2C"/>
    <w:rsid w:val="00895E8F"/>
    <w:rsid w:val="00895FFB"/>
    <w:rsid w:val="008962B5"/>
    <w:rsid w:val="008963A1"/>
    <w:rsid w:val="008963A5"/>
    <w:rsid w:val="00896CED"/>
    <w:rsid w:val="00896D5D"/>
    <w:rsid w:val="0089728C"/>
    <w:rsid w:val="008978A7"/>
    <w:rsid w:val="00897A48"/>
    <w:rsid w:val="00897AF0"/>
    <w:rsid w:val="00897E26"/>
    <w:rsid w:val="008A0101"/>
    <w:rsid w:val="008A0306"/>
    <w:rsid w:val="008A032C"/>
    <w:rsid w:val="008A0392"/>
    <w:rsid w:val="008A0484"/>
    <w:rsid w:val="008A04EC"/>
    <w:rsid w:val="008A06AB"/>
    <w:rsid w:val="008A09CC"/>
    <w:rsid w:val="008A0C9D"/>
    <w:rsid w:val="008A0CAF"/>
    <w:rsid w:val="008A0F09"/>
    <w:rsid w:val="008A104C"/>
    <w:rsid w:val="008A1065"/>
    <w:rsid w:val="008A1223"/>
    <w:rsid w:val="008A1286"/>
    <w:rsid w:val="008A1839"/>
    <w:rsid w:val="008A1952"/>
    <w:rsid w:val="008A1A53"/>
    <w:rsid w:val="008A1BB3"/>
    <w:rsid w:val="008A1C2F"/>
    <w:rsid w:val="008A1ED0"/>
    <w:rsid w:val="008A1FF7"/>
    <w:rsid w:val="008A2277"/>
    <w:rsid w:val="008A26B7"/>
    <w:rsid w:val="008A27FD"/>
    <w:rsid w:val="008A28F3"/>
    <w:rsid w:val="008A2FC6"/>
    <w:rsid w:val="008A3118"/>
    <w:rsid w:val="008A32B8"/>
    <w:rsid w:val="008A3363"/>
    <w:rsid w:val="008A3371"/>
    <w:rsid w:val="008A36E3"/>
    <w:rsid w:val="008A3760"/>
    <w:rsid w:val="008A3C3E"/>
    <w:rsid w:val="008A4090"/>
    <w:rsid w:val="008A4184"/>
    <w:rsid w:val="008A41B3"/>
    <w:rsid w:val="008A43B9"/>
    <w:rsid w:val="008A497B"/>
    <w:rsid w:val="008A4C5E"/>
    <w:rsid w:val="008A4E1D"/>
    <w:rsid w:val="008A4F32"/>
    <w:rsid w:val="008A50FE"/>
    <w:rsid w:val="008A524E"/>
    <w:rsid w:val="008A5686"/>
    <w:rsid w:val="008A5705"/>
    <w:rsid w:val="008A57C2"/>
    <w:rsid w:val="008A630E"/>
    <w:rsid w:val="008A653E"/>
    <w:rsid w:val="008A65A7"/>
    <w:rsid w:val="008A6C12"/>
    <w:rsid w:val="008A7167"/>
    <w:rsid w:val="008A76D3"/>
    <w:rsid w:val="008A79DE"/>
    <w:rsid w:val="008A7B08"/>
    <w:rsid w:val="008A7B3D"/>
    <w:rsid w:val="008B02C7"/>
    <w:rsid w:val="008B0397"/>
    <w:rsid w:val="008B04D4"/>
    <w:rsid w:val="008B0902"/>
    <w:rsid w:val="008B0961"/>
    <w:rsid w:val="008B0A33"/>
    <w:rsid w:val="008B0C33"/>
    <w:rsid w:val="008B14FD"/>
    <w:rsid w:val="008B1757"/>
    <w:rsid w:val="008B17FE"/>
    <w:rsid w:val="008B1AF9"/>
    <w:rsid w:val="008B1C5A"/>
    <w:rsid w:val="008B1E07"/>
    <w:rsid w:val="008B1E19"/>
    <w:rsid w:val="008B211E"/>
    <w:rsid w:val="008B2B80"/>
    <w:rsid w:val="008B2CA0"/>
    <w:rsid w:val="008B2DFD"/>
    <w:rsid w:val="008B2F3D"/>
    <w:rsid w:val="008B32EF"/>
    <w:rsid w:val="008B33E6"/>
    <w:rsid w:val="008B35A1"/>
    <w:rsid w:val="008B3EAC"/>
    <w:rsid w:val="008B3F45"/>
    <w:rsid w:val="008B4308"/>
    <w:rsid w:val="008B4554"/>
    <w:rsid w:val="008B473E"/>
    <w:rsid w:val="008B4FAD"/>
    <w:rsid w:val="008B4FB1"/>
    <w:rsid w:val="008B5701"/>
    <w:rsid w:val="008B58CE"/>
    <w:rsid w:val="008B59B8"/>
    <w:rsid w:val="008B5A13"/>
    <w:rsid w:val="008B5CFB"/>
    <w:rsid w:val="008B5E65"/>
    <w:rsid w:val="008B6077"/>
    <w:rsid w:val="008B6266"/>
    <w:rsid w:val="008B6BBC"/>
    <w:rsid w:val="008B6DB3"/>
    <w:rsid w:val="008B6EC8"/>
    <w:rsid w:val="008B720F"/>
    <w:rsid w:val="008B72D6"/>
    <w:rsid w:val="008B7992"/>
    <w:rsid w:val="008B7AFE"/>
    <w:rsid w:val="008B7B53"/>
    <w:rsid w:val="008B7D7E"/>
    <w:rsid w:val="008C0145"/>
    <w:rsid w:val="008C080C"/>
    <w:rsid w:val="008C0B00"/>
    <w:rsid w:val="008C17A0"/>
    <w:rsid w:val="008C17D6"/>
    <w:rsid w:val="008C18DF"/>
    <w:rsid w:val="008C2478"/>
    <w:rsid w:val="008C287F"/>
    <w:rsid w:val="008C28A4"/>
    <w:rsid w:val="008C2AA4"/>
    <w:rsid w:val="008C2FF2"/>
    <w:rsid w:val="008C336D"/>
    <w:rsid w:val="008C37E2"/>
    <w:rsid w:val="008C3A90"/>
    <w:rsid w:val="008C3D87"/>
    <w:rsid w:val="008C430D"/>
    <w:rsid w:val="008C46BE"/>
    <w:rsid w:val="008C4CCC"/>
    <w:rsid w:val="008C4F24"/>
    <w:rsid w:val="008C5471"/>
    <w:rsid w:val="008C5585"/>
    <w:rsid w:val="008C5610"/>
    <w:rsid w:val="008C5739"/>
    <w:rsid w:val="008C58B3"/>
    <w:rsid w:val="008C58BD"/>
    <w:rsid w:val="008C5A8A"/>
    <w:rsid w:val="008C5D71"/>
    <w:rsid w:val="008C65C4"/>
    <w:rsid w:val="008C66B8"/>
    <w:rsid w:val="008C6BFD"/>
    <w:rsid w:val="008C6DFE"/>
    <w:rsid w:val="008C6EEB"/>
    <w:rsid w:val="008C761E"/>
    <w:rsid w:val="008C7649"/>
    <w:rsid w:val="008C7BE2"/>
    <w:rsid w:val="008C7DDF"/>
    <w:rsid w:val="008C7ECB"/>
    <w:rsid w:val="008D00D9"/>
    <w:rsid w:val="008D03E9"/>
    <w:rsid w:val="008D068B"/>
    <w:rsid w:val="008D07A8"/>
    <w:rsid w:val="008D082C"/>
    <w:rsid w:val="008D0E6F"/>
    <w:rsid w:val="008D108F"/>
    <w:rsid w:val="008D1117"/>
    <w:rsid w:val="008D141C"/>
    <w:rsid w:val="008D1853"/>
    <w:rsid w:val="008D1AB0"/>
    <w:rsid w:val="008D1B9B"/>
    <w:rsid w:val="008D1C68"/>
    <w:rsid w:val="008D1EFB"/>
    <w:rsid w:val="008D20CE"/>
    <w:rsid w:val="008D2674"/>
    <w:rsid w:val="008D2794"/>
    <w:rsid w:val="008D29AE"/>
    <w:rsid w:val="008D2B3B"/>
    <w:rsid w:val="008D2B88"/>
    <w:rsid w:val="008D2E3C"/>
    <w:rsid w:val="008D2E50"/>
    <w:rsid w:val="008D31B4"/>
    <w:rsid w:val="008D33E7"/>
    <w:rsid w:val="008D3675"/>
    <w:rsid w:val="008D380F"/>
    <w:rsid w:val="008D383A"/>
    <w:rsid w:val="008D3858"/>
    <w:rsid w:val="008D3877"/>
    <w:rsid w:val="008D3B86"/>
    <w:rsid w:val="008D40FC"/>
    <w:rsid w:val="008D4148"/>
    <w:rsid w:val="008D42DF"/>
    <w:rsid w:val="008D453C"/>
    <w:rsid w:val="008D4755"/>
    <w:rsid w:val="008D4C3D"/>
    <w:rsid w:val="008D4EC2"/>
    <w:rsid w:val="008D53F0"/>
    <w:rsid w:val="008D55C1"/>
    <w:rsid w:val="008D5E02"/>
    <w:rsid w:val="008D6607"/>
    <w:rsid w:val="008D6A50"/>
    <w:rsid w:val="008D6AFE"/>
    <w:rsid w:val="008D6BB5"/>
    <w:rsid w:val="008D729A"/>
    <w:rsid w:val="008D743C"/>
    <w:rsid w:val="008D757F"/>
    <w:rsid w:val="008D783E"/>
    <w:rsid w:val="008D797E"/>
    <w:rsid w:val="008D7AAE"/>
    <w:rsid w:val="008D7CAB"/>
    <w:rsid w:val="008D7D48"/>
    <w:rsid w:val="008E0111"/>
    <w:rsid w:val="008E0849"/>
    <w:rsid w:val="008E0D3C"/>
    <w:rsid w:val="008E0E57"/>
    <w:rsid w:val="008E11F5"/>
    <w:rsid w:val="008E198F"/>
    <w:rsid w:val="008E1B9E"/>
    <w:rsid w:val="008E21E1"/>
    <w:rsid w:val="008E260A"/>
    <w:rsid w:val="008E27EE"/>
    <w:rsid w:val="008E2E7E"/>
    <w:rsid w:val="008E3141"/>
    <w:rsid w:val="008E3575"/>
    <w:rsid w:val="008E3B0D"/>
    <w:rsid w:val="008E3B6D"/>
    <w:rsid w:val="008E3BE9"/>
    <w:rsid w:val="008E3D06"/>
    <w:rsid w:val="008E40BC"/>
    <w:rsid w:val="008E41E6"/>
    <w:rsid w:val="008E420F"/>
    <w:rsid w:val="008E4666"/>
    <w:rsid w:val="008E4F64"/>
    <w:rsid w:val="008E53E8"/>
    <w:rsid w:val="008E55AB"/>
    <w:rsid w:val="008E5D54"/>
    <w:rsid w:val="008E5DFF"/>
    <w:rsid w:val="008E5E80"/>
    <w:rsid w:val="008E5EAF"/>
    <w:rsid w:val="008E5ED4"/>
    <w:rsid w:val="008E6154"/>
    <w:rsid w:val="008E6A55"/>
    <w:rsid w:val="008E6AFE"/>
    <w:rsid w:val="008E6B94"/>
    <w:rsid w:val="008E6C70"/>
    <w:rsid w:val="008E6C7E"/>
    <w:rsid w:val="008E71BA"/>
    <w:rsid w:val="008E71FE"/>
    <w:rsid w:val="008E74B5"/>
    <w:rsid w:val="008E75B6"/>
    <w:rsid w:val="008E7879"/>
    <w:rsid w:val="008E7E4F"/>
    <w:rsid w:val="008F0678"/>
    <w:rsid w:val="008F06CD"/>
    <w:rsid w:val="008F08B9"/>
    <w:rsid w:val="008F0C32"/>
    <w:rsid w:val="008F120A"/>
    <w:rsid w:val="008F13EE"/>
    <w:rsid w:val="008F15E0"/>
    <w:rsid w:val="008F1800"/>
    <w:rsid w:val="008F1A5D"/>
    <w:rsid w:val="008F1AB0"/>
    <w:rsid w:val="008F1CAD"/>
    <w:rsid w:val="008F1D09"/>
    <w:rsid w:val="008F1D25"/>
    <w:rsid w:val="008F1D6C"/>
    <w:rsid w:val="008F1DF5"/>
    <w:rsid w:val="008F2083"/>
    <w:rsid w:val="008F2272"/>
    <w:rsid w:val="008F239A"/>
    <w:rsid w:val="008F2524"/>
    <w:rsid w:val="008F27E0"/>
    <w:rsid w:val="008F2A3C"/>
    <w:rsid w:val="008F2BB6"/>
    <w:rsid w:val="008F2D91"/>
    <w:rsid w:val="008F2E31"/>
    <w:rsid w:val="008F30C9"/>
    <w:rsid w:val="008F30D3"/>
    <w:rsid w:val="008F3330"/>
    <w:rsid w:val="008F34BA"/>
    <w:rsid w:val="008F3723"/>
    <w:rsid w:val="008F3750"/>
    <w:rsid w:val="008F37CA"/>
    <w:rsid w:val="008F3C11"/>
    <w:rsid w:val="008F3D7C"/>
    <w:rsid w:val="008F3D9B"/>
    <w:rsid w:val="008F3EAD"/>
    <w:rsid w:val="008F408E"/>
    <w:rsid w:val="008F41E3"/>
    <w:rsid w:val="008F48DA"/>
    <w:rsid w:val="008F48EB"/>
    <w:rsid w:val="008F4A41"/>
    <w:rsid w:val="008F4B9E"/>
    <w:rsid w:val="008F4D96"/>
    <w:rsid w:val="008F4F0B"/>
    <w:rsid w:val="008F4F73"/>
    <w:rsid w:val="008F5038"/>
    <w:rsid w:val="008F50CE"/>
    <w:rsid w:val="008F5A19"/>
    <w:rsid w:val="008F5D1F"/>
    <w:rsid w:val="008F5FA6"/>
    <w:rsid w:val="008F639B"/>
    <w:rsid w:val="008F6820"/>
    <w:rsid w:val="008F6BBB"/>
    <w:rsid w:val="008F7116"/>
    <w:rsid w:val="008F76BD"/>
    <w:rsid w:val="008F7768"/>
    <w:rsid w:val="008F795B"/>
    <w:rsid w:val="00900094"/>
    <w:rsid w:val="009000AD"/>
    <w:rsid w:val="00900265"/>
    <w:rsid w:val="009003CD"/>
    <w:rsid w:val="00900BB0"/>
    <w:rsid w:val="00900D4B"/>
    <w:rsid w:val="009010EE"/>
    <w:rsid w:val="00901264"/>
    <w:rsid w:val="00901453"/>
    <w:rsid w:val="009014E9"/>
    <w:rsid w:val="00901531"/>
    <w:rsid w:val="009015F3"/>
    <w:rsid w:val="009017AA"/>
    <w:rsid w:val="00901D2B"/>
    <w:rsid w:val="00901DB7"/>
    <w:rsid w:val="00902C1C"/>
    <w:rsid w:val="00902E51"/>
    <w:rsid w:val="00902F42"/>
    <w:rsid w:val="009036AB"/>
    <w:rsid w:val="009036B4"/>
    <w:rsid w:val="00903870"/>
    <w:rsid w:val="00903933"/>
    <w:rsid w:val="0090396B"/>
    <w:rsid w:val="009039CE"/>
    <w:rsid w:val="00903A83"/>
    <w:rsid w:val="00903B64"/>
    <w:rsid w:val="00903BC2"/>
    <w:rsid w:val="00903E31"/>
    <w:rsid w:val="0090440F"/>
    <w:rsid w:val="00904587"/>
    <w:rsid w:val="009046C4"/>
    <w:rsid w:val="00904951"/>
    <w:rsid w:val="00904A7D"/>
    <w:rsid w:val="00904BCD"/>
    <w:rsid w:val="00904E2B"/>
    <w:rsid w:val="00904ED1"/>
    <w:rsid w:val="0090538A"/>
    <w:rsid w:val="0090541B"/>
    <w:rsid w:val="0090567F"/>
    <w:rsid w:val="009056A2"/>
    <w:rsid w:val="00905A47"/>
    <w:rsid w:val="00905F7C"/>
    <w:rsid w:val="0090604D"/>
    <w:rsid w:val="009062A5"/>
    <w:rsid w:val="0090697D"/>
    <w:rsid w:val="00906A96"/>
    <w:rsid w:val="00906B20"/>
    <w:rsid w:val="00907090"/>
    <w:rsid w:val="009071F7"/>
    <w:rsid w:val="00907576"/>
    <w:rsid w:val="00907B90"/>
    <w:rsid w:val="00907BDE"/>
    <w:rsid w:val="00907C15"/>
    <w:rsid w:val="0091012F"/>
    <w:rsid w:val="009101A9"/>
    <w:rsid w:val="009104C8"/>
    <w:rsid w:val="009105CF"/>
    <w:rsid w:val="00910D67"/>
    <w:rsid w:val="00910FA7"/>
    <w:rsid w:val="00911090"/>
    <w:rsid w:val="00911272"/>
    <w:rsid w:val="0091191F"/>
    <w:rsid w:val="00911BA8"/>
    <w:rsid w:val="00911D33"/>
    <w:rsid w:val="00911E62"/>
    <w:rsid w:val="00911EBA"/>
    <w:rsid w:val="00911F30"/>
    <w:rsid w:val="00911FF4"/>
    <w:rsid w:val="009120CB"/>
    <w:rsid w:val="00912489"/>
    <w:rsid w:val="0091260A"/>
    <w:rsid w:val="009126DD"/>
    <w:rsid w:val="0091279D"/>
    <w:rsid w:val="00912B77"/>
    <w:rsid w:val="00912D4A"/>
    <w:rsid w:val="0091312D"/>
    <w:rsid w:val="009135D6"/>
    <w:rsid w:val="009137A4"/>
    <w:rsid w:val="00913840"/>
    <w:rsid w:val="009138AC"/>
    <w:rsid w:val="00914179"/>
    <w:rsid w:val="00914465"/>
    <w:rsid w:val="00914887"/>
    <w:rsid w:val="009148F5"/>
    <w:rsid w:val="00914B73"/>
    <w:rsid w:val="00914C77"/>
    <w:rsid w:val="0091527E"/>
    <w:rsid w:val="00915768"/>
    <w:rsid w:val="009158D8"/>
    <w:rsid w:val="009159E1"/>
    <w:rsid w:val="0091607D"/>
    <w:rsid w:val="00916259"/>
    <w:rsid w:val="009166AF"/>
    <w:rsid w:val="0091676C"/>
    <w:rsid w:val="00916944"/>
    <w:rsid w:val="009169E7"/>
    <w:rsid w:val="0091714B"/>
    <w:rsid w:val="0091734C"/>
    <w:rsid w:val="009173F0"/>
    <w:rsid w:val="0091746D"/>
    <w:rsid w:val="009174A8"/>
    <w:rsid w:val="009174DD"/>
    <w:rsid w:val="0091750A"/>
    <w:rsid w:val="0091766C"/>
    <w:rsid w:val="009178C7"/>
    <w:rsid w:val="00917A5E"/>
    <w:rsid w:val="00917C54"/>
    <w:rsid w:val="00917C61"/>
    <w:rsid w:val="00917E5C"/>
    <w:rsid w:val="00920259"/>
    <w:rsid w:val="009202EB"/>
    <w:rsid w:val="0092084F"/>
    <w:rsid w:val="0092096E"/>
    <w:rsid w:val="00920B96"/>
    <w:rsid w:val="00920E8B"/>
    <w:rsid w:val="00920E95"/>
    <w:rsid w:val="00920F6E"/>
    <w:rsid w:val="0092103E"/>
    <w:rsid w:val="009213F9"/>
    <w:rsid w:val="0092146C"/>
    <w:rsid w:val="009215EC"/>
    <w:rsid w:val="009215FC"/>
    <w:rsid w:val="00921681"/>
    <w:rsid w:val="00921ACB"/>
    <w:rsid w:val="00921F1F"/>
    <w:rsid w:val="009222A4"/>
    <w:rsid w:val="009223E7"/>
    <w:rsid w:val="009223FA"/>
    <w:rsid w:val="009226EB"/>
    <w:rsid w:val="00922A64"/>
    <w:rsid w:val="00922AA2"/>
    <w:rsid w:val="009231D1"/>
    <w:rsid w:val="00923340"/>
    <w:rsid w:val="0092369B"/>
    <w:rsid w:val="0092462A"/>
    <w:rsid w:val="009247BA"/>
    <w:rsid w:val="009248B0"/>
    <w:rsid w:val="00924A07"/>
    <w:rsid w:val="00924DB9"/>
    <w:rsid w:val="00924EAD"/>
    <w:rsid w:val="009256A6"/>
    <w:rsid w:val="00925877"/>
    <w:rsid w:val="009260E8"/>
    <w:rsid w:val="009260FB"/>
    <w:rsid w:val="009261CF"/>
    <w:rsid w:val="009264DC"/>
    <w:rsid w:val="0092673A"/>
    <w:rsid w:val="009267F8"/>
    <w:rsid w:val="00926926"/>
    <w:rsid w:val="00926AD0"/>
    <w:rsid w:val="0092710D"/>
    <w:rsid w:val="0092714C"/>
    <w:rsid w:val="0092716C"/>
    <w:rsid w:val="0092716F"/>
    <w:rsid w:val="00927369"/>
    <w:rsid w:val="009274F0"/>
    <w:rsid w:val="009276C4"/>
    <w:rsid w:val="0092779C"/>
    <w:rsid w:val="00927AB7"/>
    <w:rsid w:val="00927FD9"/>
    <w:rsid w:val="0093069A"/>
    <w:rsid w:val="00930726"/>
    <w:rsid w:val="00930CBC"/>
    <w:rsid w:val="0093130F"/>
    <w:rsid w:val="00931327"/>
    <w:rsid w:val="00931400"/>
    <w:rsid w:val="00931466"/>
    <w:rsid w:val="0093176B"/>
    <w:rsid w:val="00932237"/>
    <w:rsid w:val="0093233D"/>
    <w:rsid w:val="009325B9"/>
    <w:rsid w:val="0093277D"/>
    <w:rsid w:val="009329CD"/>
    <w:rsid w:val="009330E7"/>
    <w:rsid w:val="00933107"/>
    <w:rsid w:val="0093317B"/>
    <w:rsid w:val="009333D6"/>
    <w:rsid w:val="00933732"/>
    <w:rsid w:val="00933907"/>
    <w:rsid w:val="009340C1"/>
    <w:rsid w:val="009345C8"/>
    <w:rsid w:val="00934988"/>
    <w:rsid w:val="00934D4B"/>
    <w:rsid w:val="0093585C"/>
    <w:rsid w:val="0093594C"/>
    <w:rsid w:val="00935B5A"/>
    <w:rsid w:val="00936435"/>
    <w:rsid w:val="0093647C"/>
    <w:rsid w:val="00936B97"/>
    <w:rsid w:val="00936D2E"/>
    <w:rsid w:val="00937089"/>
    <w:rsid w:val="00937172"/>
    <w:rsid w:val="009371A3"/>
    <w:rsid w:val="009371DF"/>
    <w:rsid w:val="00937232"/>
    <w:rsid w:val="009376A1"/>
    <w:rsid w:val="009379E8"/>
    <w:rsid w:val="00937B23"/>
    <w:rsid w:val="00937B4B"/>
    <w:rsid w:val="00937B99"/>
    <w:rsid w:val="00937CC8"/>
    <w:rsid w:val="00937DCF"/>
    <w:rsid w:val="00937F49"/>
    <w:rsid w:val="0094014E"/>
    <w:rsid w:val="00940192"/>
    <w:rsid w:val="009402A6"/>
    <w:rsid w:val="00940710"/>
    <w:rsid w:val="00940920"/>
    <w:rsid w:val="00940924"/>
    <w:rsid w:val="009415F7"/>
    <w:rsid w:val="00941BA9"/>
    <w:rsid w:val="009421A2"/>
    <w:rsid w:val="00942304"/>
    <w:rsid w:val="00942550"/>
    <w:rsid w:val="00942589"/>
    <w:rsid w:val="00942620"/>
    <w:rsid w:val="009427EE"/>
    <w:rsid w:val="009428D7"/>
    <w:rsid w:val="00942994"/>
    <w:rsid w:val="00942EE1"/>
    <w:rsid w:val="009433A3"/>
    <w:rsid w:val="009436F9"/>
    <w:rsid w:val="00943B27"/>
    <w:rsid w:val="00943C29"/>
    <w:rsid w:val="00943D7F"/>
    <w:rsid w:val="00943E73"/>
    <w:rsid w:val="00943EFE"/>
    <w:rsid w:val="00943F3B"/>
    <w:rsid w:val="0094417C"/>
    <w:rsid w:val="00944180"/>
    <w:rsid w:val="009444C7"/>
    <w:rsid w:val="009445C0"/>
    <w:rsid w:val="00944715"/>
    <w:rsid w:val="00944796"/>
    <w:rsid w:val="009447BB"/>
    <w:rsid w:val="009449FA"/>
    <w:rsid w:val="00944BB6"/>
    <w:rsid w:val="00944D1E"/>
    <w:rsid w:val="00944F8A"/>
    <w:rsid w:val="00945535"/>
    <w:rsid w:val="009459D8"/>
    <w:rsid w:val="00945D6E"/>
    <w:rsid w:val="0094612A"/>
    <w:rsid w:val="0094627A"/>
    <w:rsid w:val="009463D7"/>
    <w:rsid w:val="0094668B"/>
    <w:rsid w:val="009468A5"/>
    <w:rsid w:val="00946B42"/>
    <w:rsid w:val="00946CA2"/>
    <w:rsid w:val="009474F9"/>
    <w:rsid w:val="009476A0"/>
    <w:rsid w:val="009476A2"/>
    <w:rsid w:val="009476DB"/>
    <w:rsid w:val="00947752"/>
    <w:rsid w:val="009502D5"/>
    <w:rsid w:val="009504F1"/>
    <w:rsid w:val="0095089F"/>
    <w:rsid w:val="00950B08"/>
    <w:rsid w:val="00950CB6"/>
    <w:rsid w:val="00950D3B"/>
    <w:rsid w:val="00950EB1"/>
    <w:rsid w:val="009510A2"/>
    <w:rsid w:val="009510B9"/>
    <w:rsid w:val="00951336"/>
    <w:rsid w:val="009516D4"/>
    <w:rsid w:val="00951708"/>
    <w:rsid w:val="009519B4"/>
    <w:rsid w:val="00951A81"/>
    <w:rsid w:val="00951C33"/>
    <w:rsid w:val="0095209D"/>
    <w:rsid w:val="009529EC"/>
    <w:rsid w:val="00952A04"/>
    <w:rsid w:val="00952C6C"/>
    <w:rsid w:val="00953150"/>
    <w:rsid w:val="00953257"/>
    <w:rsid w:val="00953A01"/>
    <w:rsid w:val="00953A22"/>
    <w:rsid w:val="00953B5C"/>
    <w:rsid w:val="00954076"/>
    <w:rsid w:val="009540C2"/>
    <w:rsid w:val="00954118"/>
    <w:rsid w:val="00954314"/>
    <w:rsid w:val="0095474C"/>
    <w:rsid w:val="00954E44"/>
    <w:rsid w:val="009552C1"/>
    <w:rsid w:val="0095531C"/>
    <w:rsid w:val="00955715"/>
    <w:rsid w:val="00955874"/>
    <w:rsid w:val="009558E6"/>
    <w:rsid w:val="00955957"/>
    <w:rsid w:val="00955AEE"/>
    <w:rsid w:val="00955B4A"/>
    <w:rsid w:val="00955FB1"/>
    <w:rsid w:val="00956034"/>
    <w:rsid w:val="0095642F"/>
    <w:rsid w:val="009567E7"/>
    <w:rsid w:val="00956861"/>
    <w:rsid w:val="00956B17"/>
    <w:rsid w:val="00956E33"/>
    <w:rsid w:val="00956EC9"/>
    <w:rsid w:val="009570A0"/>
    <w:rsid w:val="00957538"/>
    <w:rsid w:val="009575EB"/>
    <w:rsid w:val="009576ED"/>
    <w:rsid w:val="00957763"/>
    <w:rsid w:val="0095781A"/>
    <w:rsid w:val="009579D1"/>
    <w:rsid w:val="00957BCD"/>
    <w:rsid w:val="00957EDC"/>
    <w:rsid w:val="009602BB"/>
    <w:rsid w:val="009603C7"/>
    <w:rsid w:val="00960562"/>
    <w:rsid w:val="009607F1"/>
    <w:rsid w:val="009611B6"/>
    <w:rsid w:val="009617E5"/>
    <w:rsid w:val="00961933"/>
    <w:rsid w:val="00961992"/>
    <w:rsid w:val="00961A01"/>
    <w:rsid w:val="00961EDA"/>
    <w:rsid w:val="009622BE"/>
    <w:rsid w:val="0096294B"/>
    <w:rsid w:val="009629CB"/>
    <w:rsid w:val="00962CB9"/>
    <w:rsid w:val="00963018"/>
    <w:rsid w:val="009633EB"/>
    <w:rsid w:val="00963632"/>
    <w:rsid w:val="009637FB"/>
    <w:rsid w:val="00963838"/>
    <w:rsid w:val="00963990"/>
    <w:rsid w:val="00963A2C"/>
    <w:rsid w:val="00963F26"/>
    <w:rsid w:val="009640CD"/>
    <w:rsid w:val="00964312"/>
    <w:rsid w:val="00964663"/>
    <w:rsid w:val="009646A1"/>
    <w:rsid w:val="00964B87"/>
    <w:rsid w:val="00964CE4"/>
    <w:rsid w:val="00964EDB"/>
    <w:rsid w:val="0096500E"/>
    <w:rsid w:val="009652F2"/>
    <w:rsid w:val="00965536"/>
    <w:rsid w:val="0096594E"/>
    <w:rsid w:val="00965B8A"/>
    <w:rsid w:val="00966B81"/>
    <w:rsid w:val="00966D0E"/>
    <w:rsid w:val="00966DF5"/>
    <w:rsid w:val="00966FBF"/>
    <w:rsid w:val="009671E4"/>
    <w:rsid w:val="009672BA"/>
    <w:rsid w:val="00967957"/>
    <w:rsid w:val="00967A85"/>
    <w:rsid w:val="00967F90"/>
    <w:rsid w:val="00967FEA"/>
    <w:rsid w:val="00970655"/>
    <w:rsid w:val="0097071F"/>
    <w:rsid w:val="00970B58"/>
    <w:rsid w:val="00970B68"/>
    <w:rsid w:val="00970C2D"/>
    <w:rsid w:val="009717AC"/>
    <w:rsid w:val="00971DDA"/>
    <w:rsid w:val="00971E80"/>
    <w:rsid w:val="00972087"/>
    <w:rsid w:val="009722E7"/>
    <w:rsid w:val="00972779"/>
    <w:rsid w:val="00972BD4"/>
    <w:rsid w:val="00972D33"/>
    <w:rsid w:val="00973873"/>
    <w:rsid w:val="009739A6"/>
    <w:rsid w:val="00973D71"/>
    <w:rsid w:val="00973DAF"/>
    <w:rsid w:val="00973E83"/>
    <w:rsid w:val="00974048"/>
    <w:rsid w:val="00974279"/>
    <w:rsid w:val="0097428F"/>
    <w:rsid w:val="0097439D"/>
    <w:rsid w:val="009743C2"/>
    <w:rsid w:val="009743C7"/>
    <w:rsid w:val="00974485"/>
    <w:rsid w:val="009744A2"/>
    <w:rsid w:val="00974A7A"/>
    <w:rsid w:val="009751C1"/>
    <w:rsid w:val="009756BD"/>
    <w:rsid w:val="00976229"/>
    <w:rsid w:val="009763BE"/>
    <w:rsid w:val="0097685D"/>
    <w:rsid w:val="0097689E"/>
    <w:rsid w:val="00976AD0"/>
    <w:rsid w:val="00976B36"/>
    <w:rsid w:val="00976BD1"/>
    <w:rsid w:val="00976D46"/>
    <w:rsid w:val="00976DD1"/>
    <w:rsid w:val="009771D2"/>
    <w:rsid w:val="009771F5"/>
    <w:rsid w:val="00977552"/>
    <w:rsid w:val="00977561"/>
    <w:rsid w:val="0097765A"/>
    <w:rsid w:val="009778BB"/>
    <w:rsid w:val="009779C3"/>
    <w:rsid w:val="00977A04"/>
    <w:rsid w:val="00977E55"/>
    <w:rsid w:val="00977E9B"/>
    <w:rsid w:val="00980548"/>
    <w:rsid w:val="009807F7"/>
    <w:rsid w:val="00980B1C"/>
    <w:rsid w:val="0098113B"/>
    <w:rsid w:val="009811F1"/>
    <w:rsid w:val="00981A3C"/>
    <w:rsid w:val="00981F43"/>
    <w:rsid w:val="00981F59"/>
    <w:rsid w:val="009822D3"/>
    <w:rsid w:val="00982671"/>
    <w:rsid w:val="009827FA"/>
    <w:rsid w:val="00982A34"/>
    <w:rsid w:val="00982F0B"/>
    <w:rsid w:val="009834DC"/>
    <w:rsid w:val="00983509"/>
    <w:rsid w:val="009835C0"/>
    <w:rsid w:val="0098367F"/>
    <w:rsid w:val="00983948"/>
    <w:rsid w:val="00983A67"/>
    <w:rsid w:val="00983B41"/>
    <w:rsid w:val="00983BF6"/>
    <w:rsid w:val="00983CF6"/>
    <w:rsid w:val="00983E57"/>
    <w:rsid w:val="00984101"/>
    <w:rsid w:val="00984AC7"/>
    <w:rsid w:val="00984ADA"/>
    <w:rsid w:val="00984E02"/>
    <w:rsid w:val="00984F40"/>
    <w:rsid w:val="0098519F"/>
    <w:rsid w:val="009851E2"/>
    <w:rsid w:val="00985462"/>
    <w:rsid w:val="00985512"/>
    <w:rsid w:val="00985BC7"/>
    <w:rsid w:val="00985D78"/>
    <w:rsid w:val="00985DC3"/>
    <w:rsid w:val="00985DE2"/>
    <w:rsid w:val="00985EC7"/>
    <w:rsid w:val="00985F19"/>
    <w:rsid w:val="009861A7"/>
    <w:rsid w:val="009863BC"/>
    <w:rsid w:val="0098641B"/>
    <w:rsid w:val="00986435"/>
    <w:rsid w:val="00986618"/>
    <w:rsid w:val="0098675D"/>
    <w:rsid w:val="00986BDF"/>
    <w:rsid w:val="00986C0A"/>
    <w:rsid w:val="00986FDE"/>
    <w:rsid w:val="009872AD"/>
    <w:rsid w:val="009873ED"/>
    <w:rsid w:val="00987971"/>
    <w:rsid w:val="00987F0E"/>
    <w:rsid w:val="0099020E"/>
    <w:rsid w:val="0099077F"/>
    <w:rsid w:val="00990E8E"/>
    <w:rsid w:val="00991288"/>
    <w:rsid w:val="00991354"/>
    <w:rsid w:val="0099138A"/>
    <w:rsid w:val="0099169E"/>
    <w:rsid w:val="009926E0"/>
    <w:rsid w:val="009928A8"/>
    <w:rsid w:val="0099294B"/>
    <w:rsid w:val="00992BF5"/>
    <w:rsid w:val="00992C75"/>
    <w:rsid w:val="00992F8F"/>
    <w:rsid w:val="0099372F"/>
    <w:rsid w:val="00993ABE"/>
    <w:rsid w:val="00993AD6"/>
    <w:rsid w:val="00993DBC"/>
    <w:rsid w:val="009941C6"/>
    <w:rsid w:val="009942CB"/>
    <w:rsid w:val="0099442C"/>
    <w:rsid w:val="0099451E"/>
    <w:rsid w:val="00994B55"/>
    <w:rsid w:val="00994BBE"/>
    <w:rsid w:val="00994CA1"/>
    <w:rsid w:val="00995449"/>
    <w:rsid w:val="00995779"/>
    <w:rsid w:val="00995E07"/>
    <w:rsid w:val="00995EB2"/>
    <w:rsid w:val="00995F11"/>
    <w:rsid w:val="0099615D"/>
    <w:rsid w:val="009961CE"/>
    <w:rsid w:val="009963F4"/>
    <w:rsid w:val="00996445"/>
    <w:rsid w:val="009968C8"/>
    <w:rsid w:val="009968D4"/>
    <w:rsid w:val="00996A00"/>
    <w:rsid w:val="00996A8F"/>
    <w:rsid w:val="00996B1A"/>
    <w:rsid w:val="00996B36"/>
    <w:rsid w:val="009972AF"/>
    <w:rsid w:val="0099731F"/>
    <w:rsid w:val="009976DD"/>
    <w:rsid w:val="00997AC2"/>
    <w:rsid w:val="00997BCF"/>
    <w:rsid w:val="00997E2C"/>
    <w:rsid w:val="00997ECF"/>
    <w:rsid w:val="00997F51"/>
    <w:rsid w:val="009A0051"/>
    <w:rsid w:val="009A04B9"/>
    <w:rsid w:val="009A0501"/>
    <w:rsid w:val="009A05A6"/>
    <w:rsid w:val="009A0970"/>
    <w:rsid w:val="009A0B6B"/>
    <w:rsid w:val="009A0C44"/>
    <w:rsid w:val="009A10E7"/>
    <w:rsid w:val="009A1C1A"/>
    <w:rsid w:val="009A1EAB"/>
    <w:rsid w:val="009A2275"/>
    <w:rsid w:val="009A2896"/>
    <w:rsid w:val="009A2A12"/>
    <w:rsid w:val="009A2DCC"/>
    <w:rsid w:val="009A30D5"/>
    <w:rsid w:val="009A3447"/>
    <w:rsid w:val="009A3D55"/>
    <w:rsid w:val="009A4070"/>
    <w:rsid w:val="009A41B0"/>
    <w:rsid w:val="009A4304"/>
    <w:rsid w:val="009A46A3"/>
    <w:rsid w:val="009A4A97"/>
    <w:rsid w:val="009A4DE6"/>
    <w:rsid w:val="009A55F8"/>
    <w:rsid w:val="009A5738"/>
    <w:rsid w:val="009A58D0"/>
    <w:rsid w:val="009A5ABC"/>
    <w:rsid w:val="009A5ED6"/>
    <w:rsid w:val="009A5F89"/>
    <w:rsid w:val="009A61F0"/>
    <w:rsid w:val="009A64AE"/>
    <w:rsid w:val="009A6972"/>
    <w:rsid w:val="009A6BB7"/>
    <w:rsid w:val="009A73AB"/>
    <w:rsid w:val="009A7F10"/>
    <w:rsid w:val="009B0011"/>
    <w:rsid w:val="009B0100"/>
    <w:rsid w:val="009B026B"/>
    <w:rsid w:val="009B0342"/>
    <w:rsid w:val="009B0B03"/>
    <w:rsid w:val="009B0D5A"/>
    <w:rsid w:val="009B0D81"/>
    <w:rsid w:val="009B0EE6"/>
    <w:rsid w:val="009B0EED"/>
    <w:rsid w:val="009B0F01"/>
    <w:rsid w:val="009B111A"/>
    <w:rsid w:val="009B115C"/>
    <w:rsid w:val="009B12C3"/>
    <w:rsid w:val="009B130B"/>
    <w:rsid w:val="009B15B5"/>
    <w:rsid w:val="009B1D3B"/>
    <w:rsid w:val="009B1E17"/>
    <w:rsid w:val="009B1F08"/>
    <w:rsid w:val="009B2302"/>
    <w:rsid w:val="009B2614"/>
    <w:rsid w:val="009B2A8E"/>
    <w:rsid w:val="009B2C7A"/>
    <w:rsid w:val="009B2D5B"/>
    <w:rsid w:val="009B2DDA"/>
    <w:rsid w:val="009B2FBC"/>
    <w:rsid w:val="009B32DE"/>
    <w:rsid w:val="009B375C"/>
    <w:rsid w:val="009B38A1"/>
    <w:rsid w:val="009B3C90"/>
    <w:rsid w:val="009B3E26"/>
    <w:rsid w:val="009B3E5B"/>
    <w:rsid w:val="009B4AE0"/>
    <w:rsid w:val="009B5972"/>
    <w:rsid w:val="009B5CC1"/>
    <w:rsid w:val="009B5CEA"/>
    <w:rsid w:val="009B641C"/>
    <w:rsid w:val="009B6483"/>
    <w:rsid w:val="009B64DE"/>
    <w:rsid w:val="009B655B"/>
    <w:rsid w:val="009B6761"/>
    <w:rsid w:val="009B6A79"/>
    <w:rsid w:val="009B6A7F"/>
    <w:rsid w:val="009B7050"/>
    <w:rsid w:val="009B7344"/>
    <w:rsid w:val="009B73FF"/>
    <w:rsid w:val="009B758B"/>
    <w:rsid w:val="009B775E"/>
    <w:rsid w:val="009B7866"/>
    <w:rsid w:val="009B7A0E"/>
    <w:rsid w:val="009B7A7F"/>
    <w:rsid w:val="009B7C0E"/>
    <w:rsid w:val="009C01D4"/>
    <w:rsid w:val="009C02AF"/>
    <w:rsid w:val="009C095C"/>
    <w:rsid w:val="009C09E2"/>
    <w:rsid w:val="009C09F4"/>
    <w:rsid w:val="009C0DFC"/>
    <w:rsid w:val="009C1074"/>
    <w:rsid w:val="009C1172"/>
    <w:rsid w:val="009C132E"/>
    <w:rsid w:val="009C1C76"/>
    <w:rsid w:val="009C1E6C"/>
    <w:rsid w:val="009C1ED7"/>
    <w:rsid w:val="009C1F1F"/>
    <w:rsid w:val="009C20E6"/>
    <w:rsid w:val="009C22AA"/>
    <w:rsid w:val="009C25B8"/>
    <w:rsid w:val="009C2611"/>
    <w:rsid w:val="009C26E3"/>
    <w:rsid w:val="009C283C"/>
    <w:rsid w:val="009C28BA"/>
    <w:rsid w:val="009C2A07"/>
    <w:rsid w:val="009C2A20"/>
    <w:rsid w:val="009C2B59"/>
    <w:rsid w:val="009C33F1"/>
    <w:rsid w:val="009C35E5"/>
    <w:rsid w:val="009C36D6"/>
    <w:rsid w:val="009C3706"/>
    <w:rsid w:val="009C39C0"/>
    <w:rsid w:val="009C3A3A"/>
    <w:rsid w:val="009C3B26"/>
    <w:rsid w:val="009C3F32"/>
    <w:rsid w:val="009C3FB6"/>
    <w:rsid w:val="009C460F"/>
    <w:rsid w:val="009C48BF"/>
    <w:rsid w:val="009C4945"/>
    <w:rsid w:val="009C4C66"/>
    <w:rsid w:val="009C4D4A"/>
    <w:rsid w:val="009C4D5C"/>
    <w:rsid w:val="009C4E2C"/>
    <w:rsid w:val="009C4F04"/>
    <w:rsid w:val="009C5500"/>
    <w:rsid w:val="009C5A61"/>
    <w:rsid w:val="009C5BDF"/>
    <w:rsid w:val="009C5FB3"/>
    <w:rsid w:val="009C64EC"/>
    <w:rsid w:val="009C650B"/>
    <w:rsid w:val="009C6A12"/>
    <w:rsid w:val="009C6BD1"/>
    <w:rsid w:val="009C6CDD"/>
    <w:rsid w:val="009C6CEA"/>
    <w:rsid w:val="009C6DC2"/>
    <w:rsid w:val="009C7563"/>
    <w:rsid w:val="009C764B"/>
    <w:rsid w:val="009C769B"/>
    <w:rsid w:val="009C780F"/>
    <w:rsid w:val="009C7B85"/>
    <w:rsid w:val="009C7C7B"/>
    <w:rsid w:val="009C7FD6"/>
    <w:rsid w:val="009D0197"/>
    <w:rsid w:val="009D0254"/>
    <w:rsid w:val="009D0299"/>
    <w:rsid w:val="009D02FD"/>
    <w:rsid w:val="009D0470"/>
    <w:rsid w:val="009D07B4"/>
    <w:rsid w:val="009D07D5"/>
    <w:rsid w:val="009D0951"/>
    <w:rsid w:val="009D0979"/>
    <w:rsid w:val="009D0B01"/>
    <w:rsid w:val="009D0C57"/>
    <w:rsid w:val="009D0CBA"/>
    <w:rsid w:val="009D109F"/>
    <w:rsid w:val="009D125A"/>
    <w:rsid w:val="009D1782"/>
    <w:rsid w:val="009D18C1"/>
    <w:rsid w:val="009D1A64"/>
    <w:rsid w:val="009D216C"/>
    <w:rsid w:val="009D2254"/>
    <w:rsid w:val="009D295B"/>
    <w:rsid w:val="009D2A47"/>
    <w:rsid w:val="009D2CD8"/>
    <w:rsid w:val="009D2F00"/>
    <w:rsid w:val="009D2FBD"/>
    <w:rsid w:val="009D30FF"/>
    <w:rsid w:val="009D3204"/>
    <w:rsid w:val="009D3472"/>
    <w:rsid w:val="009D3545"/>
    <w:rsid w:val="009D3E87"/>
    <w:rsid w:val="009D3F81"/>
    <w:rsid w:val="009D4029"/>
    <w:rsid w:val="009D413A"/>
    <w:rsid w:val="009D41C4"/>
    <w:rsid w:val="009D41D3"/>
    <w:rsid w:val="009D4CF2"/>
    <w:rsid w:val="009D4FB7"/>
    <w:rsid w:val="009D521E"/>
    <w:rsid w:val="009D57C3"/>
    <w:rsid w:val="009D5B91"/>
    <w:rsid w:val="009D5EAA"/>
    <w:rsid w:val="009D5FB6"/>
    <w:rsid w:val="009D7205"/>
    <w:rsid w:val="009D723A"/>
    <w:rsid w:val="009D72DC"/>
    <w:rsid w:val="009D73E7"/>
    <w:rsid w:val="009D76D9"/>
    <w:rsid w:val="009D792E"/>
    <w:rsid w:val="009D7992"/>
    <w:rsid w:val="009D7A01"/>
    <w:rsid w:val="009D7A62"/>
    <w:rsid w:val="009D7B00"/>
    <w:rsid w:val="009D7BF5"/>
    <w:rsid w:val="009D7EAB"/>
    <w:rsid w:val="009E026B"/>
    <w:rsid w:val="009E0618"/>
    <w:rsid w:val="009E066B"/>
    <w:rsid w:val="009E08DB"/>
    <w:rsid w:val="009E0B1F"/>
    <w:rsid w:val="009E0D25"/>
    <w:rsid w:val="009E0D31"/>
    <w:rsid w:val="009E0DFE"/>
    <w:rsid w:val="009E0E82"/>
    <w:rsid w:val="009E1380"/>
    <w:rsid w:val="009E17EB"/>
    <w:rsid w:val="009E1A62"/>
    <w:rsid w:val="009E1B66"/>
    <w:rsid w:val="009E1B89"/>
    <w:rsid w:val="009E1D52"/>
    <w:rsid w:val="009E1E18"/>
    <w:rsid w:val="009E1F24"/>
    <w:rsid w:val="009E1FFA"/>
    <w:rsid w:val="009E22C6"/>
    <w:rsid w:val="009E24CF"/>
    <w:rsid w:val="009E2E04"/>
    <w:rsid w:val="009E2E1F"/>
    <w:rsid w:val="009E2F2F"/>
    <w:rsid w:val="009E31F6"/>
    <w:rsid w:val="009E35D0"/>
    <w:rsid w:val="009E367C"/>
    <w:rsid w:val="009E37C9"/>
    <w:rsid w:val="009E3CBB"/>
    <w:rsid w:val="009E3EE7"/>
    <w:rsid w:val="009E4088"/>
    <w:rsid w:val="009E4110"/>
    <w:rsid w:val="009E420F"/>
    <w:rsid w:val="009E4358"/>
    <w:rsid w:val="009E44DB"/>
    <w:rsid w:val="009E4A0E"/>
    <w:rsid w:val="009E4C07"/>
    <w:rsid w:val="009E4EF0"/>
    <w:rsid w:val="009E53CF"/>
    <w:rsid w:val="009E5987"/>
    <w:rsid w:val="009E5AB8"/>
    <w:rsid w:val="009E5AC0"/>
    <w:rsid w:val="009E5C0E"/>
    <w:rsid w:val="009E5DF6"/>
    <w:rsid w:val="009E5E32"/>
    <w:rsid w:val="009E6145"/>
    <w:rsid w:val="009E619B"/>
    <w:rsid w:val="009E63DE"/>
    <w:rsid w:val="009E64D2"/>
    <w:rsid w:val="009E6A63"/>
    <w:rsid w:val="009E6B0A"/>
    <w:rsid w:val="009E6C2F"/>
    <w:rsid w:val="009E6DDA"/>
    <w:rsid w:val="009E6F3D"/>
    <w:rsid w:val="009E71CF"/>
    <w:rsid w:val="009E7279"/>
    <w:rsid w:val="009E72E9"/>
    <w:rsid w:val="009E735B"/>
    <w:rsid w:val="009E74E7"/>
    <w:rsid w:val="009E75B3"/>
    <w:rsid w:val="009E76C5"/>
    <w:rsid w:val="009E7A37"/>
    <w:rsid w:val="009E7CBA"/>
    <w:rsid w:val="009E7D7C"/>
    <w:rsid w:val="009E7F57"/>
    <w:rsid w:val="009F0003"/>
    <w:rsid w:val="009F003F"/>
    <w:rsid w:val="009F077A"/>
    <w:rsid w:val="009F0C92"/>
    <w:rsid w:val="009F0D83"/>
    <w:rsid w:val="009F1067"/>
    <w:rsid w:val="009F11D7"/>
    <w:rsid w:val="009F153A"/>
    <w:rsid w:val="009F1672"/>
    <w:rsid w:val="009F195C"/>
    <w:rsid w:val="009F1D27"/>
    <w:rsid w:val="009F21B7"/>
    <w:rsid w:val="009F2261"/>
    <w:rsid w:val="009F24F0"/>
    <w:rsid w:val="009F29CE"/>
    <w:rsid w:val="009F2B73"/>
    <w:rsid w:val="009F2CD7"/>
    <w:rsid w:val="009F2D05"/>
    <w:rsid w:val="009F30DB"/>
    <w:rsid w:val="009F30E6"/>
    <w:rsid w:val="009F310A"/>
    <w:rsid w:val="009F37AF"/>
    <w:rsid w:val="009F3810"/>
    <w:rsid w:val="009F3836"/>
    <w:rsid w:val="009F3C7D"/>
    <w:rsid w:val="009F422F"/>
    <w:rsid w:val="009F442B"/>
    <w:rsid w:val="009F45E2"/>
    <w:rsid w:val="009F47DB"/>
    <w:rsid w:val="009F4A52"/>
    <w:rsid w:val="009F5109"/>
    <w:rsid w:val="009F5290"/>
    <w:rsid w:val="009F5573"/>
    <w:rsid w:val="009F5BDA"/>
    <w:rsid w:val="009F5E53"/>
    <w:rsid w:val="009F5F12"/>
    <w:rsid w:val="009F657C"/>
    <w:rsid w:val="009F6A89"/>
    <w:rsid w:val="009F6EA0"/>
    <w:rsid w:val="009F722C"/>
    <w:rsid w:val="009F73C1"/>
    <w:rsid w:val="009F7A7C"/>
    <w:rsid w:val="00A000EF"/>
    <w:rsid w:val="00A0015A"/>
    <w:rsid w:val="00A0059E"/>
    <w:rsid w:val="00A0086C"/>
    <w:rsid w:val="00A00BB0"/>
    <w:rsid w:val="00A00D21"/>
    <w:rsid w:val="00A01184"/>
    <w:rsid w:val="00A0186F"/>
    <w:rsid w:val="00A01A6F"/>
    <w:rsid w:val="00A01DBC"/>
    <w:rsid w:val="00A01DE5"/>
    <w:rsid w:val="00A01DEE"/>
    <w:rsid w:val="00A0208E"/>
    <w:rsid w:val="00A021DA"/>
    <w:rsid w:val="00A02350"/>
    <w:rsid w:val="00A02489"/>
    <w:rsid w:val="00A02D0C"/>
    <w:rsid w:val="00A02FD9"/>
    <w:rsid w:val="00A030CE"/>
    <w:rsid w:val="00A030ED"/>
    <w:rsid w:val="00A0370F"/>
    <w:rsid w:val="00A03785"/>
    <w:rsid w:val="00A037C2"/>
    <w:rsid w:val="00A0386D"/>
    <w:rsid w:val="00A03927"/>
    <w:rsid w:val="00A03D43"/>
    <w:rsid w:val="00A03FDF"/>
    <w:rsid w:val="00A042AA"/>
    <w:rsid w:val="00A04380"/>
    <w:rsid w:val="00A0438A"/>
    <w:rsid w:val="00A049DF"/>
    <w:rsid w:val="00A04A9A"/>
    <w:rsid w:val="00A04F38"/>
    <w:rsid w:val="00A04FCE"/>
    <w:rsid w:val="00A0510F"/>
    <w:rsid w:val="00A051A8"/>
    <w:rsid w:val="00A05472"/>
    <w:rsid w:val="00A05690"/>
    <w:rsid w:val="00A057B8"/>
    <w:rsid w:val="00A05A4F"/>
    <w:rsid w:val="00A05C32"/>
    <w:rsid w:val="00A061BC"/>
    <w:rsid w:val="00A061FC"/>
    <w:rsid w:val="00A06328"/>
    <w:rsid w:val="00A06375"/>
    <w:rsid w:val="00A0653F"/>
    <w:rsid w:val="00A0655C"/>
    <w:rsid w:val="00A068CE"/>
    <w:rsid w:val="00A06A9F"/>
    <w:rsid w:val="00A06BFB"/>
    <w:rsid w:val="00A06DA2"/>
    <w:rsid w:val="00A06E98"/>
    <w:rsid w:val="00A06F0E"/>
    <w:rsid w:val="00A07128"/>
    <w:rsid w:val="00A07201"/>
    <w:rsid w:val="00A07845"/>
    <w:rsid w:val="00A07A21"/>
    <w:rsid w:val="00A07ACE"/>
    <w:rsid w:val="00A07D3E"/>
    <w:rsid w:val="00A07E0C"/>
    <w:rsid w:val="00A10164"/>
    <w:rsid w:val="00A10200"/>
    <w:rsid w:val="00A10402"/>
    <w:rsid w:val="00A104B4"/>
    <w:rsid w:val="00A105F7"/>
    <w:rsid w:val="00A10656"/>
    <w:rsid w:val="00A10875"/>
    <w:rsid w:val="00A10A80"/>
    <w:rsid w:val="00A10EC9"/>
    <w:rsid w:val="00A10EE2"/>
    <w:rsid w:val="00A11280"/>
    <w:rsid w:val="00A1132A"/>
    <w:rsid w:val="00A1144A"/>
    <w:rsid w:val="00A115AD"/>
    <w:rsid w:val="00A117B0"/>
    <w:rsid w:val="00A11A94"/>
    <w:rsid w:val="00A11C77"/>
    <w:rsid w:val="00A11CD0"/>
    <w:rsid w:val="00A121FB"/>
    <w:rsid w:val="00A124F5"/>
    <w:rsid w:val="00A1268D"/>
    <w:rsid w:val="00A12E98"/>
    <w:rsid w:val="00A13106"/>
    <w:rsid w:val="00A1368C"/>
    <w:rsid w:val="00A136CE"/>
    <w:rsid w:val="00A13948"/>
    <w:rsid w:val="00A13B97"/>
    <w:rsid w:val="00A13BEE"/>
    <w:rsid w:val="00A13E42"/>
    <w:rsid w:val="00A141AF"/>
    <w:rsid w:val="00A1475A"/>
    <w:rsid w:val="00A14CAD"/>
    <w:rsid w:val="00A1555B"/>
    <w:rsid w:val="00A155C5"/>
    <w:rsid w:val="00A155D3"/>
    <w:rsid w:val="00A159CD"/>
    <w:rsid w:val="00A15DF8"/>
    <w:rsid w:val="00A16171"/>
    <w:rsid w:val="00A16227"/>
    <w:rsid w:val="00A1634B"/>
    <w:rsid w:val="00A1659F"/>
    <w:rsid w:val="00A16A31"/>
    <w:rsid w:val="00A16AD8"/>
    <w:rsid w:val="00A16C51"/>
    <w:rsid w:val="00A16E5F"/>
    <w:rsid w:val="00A170F7"/>
    <w:rsid w:val="00A17292"/>
    <w:rsid w:val="00A172A5"/>
    <w:rsid w:val="00A173D0"/>
    <w:rsid w:val="00A173EB"/>
    <w:rsid w:val="00A174C7"/>
    <w:rsid w:val="00A1767C"/>
    <w:rsid w:val="00A17C44"/>
    <w:rsid w:val="00A17D73"/>
    <w:rsid w:val="00A17EBF"/>
    <w:rsid w:val="00A17EDF"/>
    <w:rsid w:val="00A201A4"/>
    <w:rsid w:val="00A2020B"/>
    <w:rsid w:val="00A20272"/>
    <w:rsid w:val="00A202CB"/>
    <w:rsid w:val="00A2037A"/>
    <w:rsid w:val="00A20B61"/>
    <w:rsid w:val="00A21050"/>
    <w:rsid w:val="00A21234"/>
    <w:rsid w:val="00A212CB"/>
    <w:rsid w:val="00A2180A"/>
    <w:rsid w:val="00A21B6C"/>
    <w:rsid w:val="00A21C95"/>
    <w:rsid w:val="00A21CB6"/>
    <w:rsid w:val="00A21CF3"/>
    <w:rsid w:val="00A21DA0"/>
    <w:rsid w:val="00A21F82"/>
    <w:rsid w:val="00A222B0"/>
    <w:rsid w:val="00A22430"/>
    <w:rsid w:val="00A22459"/>
    <w:rsid w:val="00A226DC"/>
    <w:rsid w:val="00A22996"/>
    <w:rsid w:val="00A229D3"/>
    <w:rsid w:val="00A22A0C"/>
    <w:rsid w:val="00A2320C"/>
    <w:rsid w:val="00A237A7"/>
    <w:rsid w:val="00A23A2B"/>
    <w:rsid w:val="00A23EB0"/>
    <w:rsid w:val="00A241AC"/>
    <w:rsid w:val="00A243B5"/>
    <w:rsid w:val="00A243E0"/>
    <w:rsid w:val="00A246B5"/>
    <w:rsid w:val="00A24745"/>
    <w:rsid w:val="00A24813"/>
    <w:rsid w:val="00A2506B"/>
    <w:rsid w:val="00A25114"/>
    <w:rsid w:val="00A2522F"/>
    <w:rsid w:val="00A2525D"/>
    <w:rsid w:val="00A25348"/>
    <w:rsid w:val="00A259BC"/>
    <w:rsid w:val="00A25AD4"/>
    <w:rsid w:val="00A25BEB"/>
    <w:rsid w:val="00A260AA"/>
    <w:rsid w:val="00A261A7"/>
    <w:rsid w:val="00A261EA"/>
    <w:rsid w:val="00A2635E"/>
    <w:rsid w:val="00A26A74"/>
    <w:rsid w:val="00A26A7D"/>
    <w:rsid w:val="00A26CDF"/>
    <w:rsid w:val="00A26EA9"/>
    <w:rsid w:val="00A27377"/>
    <w:rsid w:val="00A27679"/>
    <w:rsid w:val="00A277FD"/>
    <w:rsid w:val="00A278C7"/>
    <w:rsid w:val="00A27AEC"/>
    <w:rsid w:val="00A27C3A"/>
    <w:rsid w:val="00A27EC3"/>
    <w:rsid w:val="00A30455"/>
    <w:rsid w:val="00A30574"/>
    <w:rsid w:val="00A30967"/>
    <w:rsid w:val="00A30E4A"/>
    <w:rsid w:val="00A30E91"/>
    <w:rsid w:val="00A30FA1"/>
    <w:rsid w:val="00A30FFF"/>
    <w:rsid w:val="00A31407"/>
    <w:rsid w:val="00A314FE"/>
    <w:rsid w:val="00A318DC"/>
    <w:rsid w:val="00A318EF"/>
    <w:rsid w:val="00A31931"/>
    <w:rsid w:val="00A320DB"/>
    <w:rsid w:val="00A32287"/>
    <w:rsid w:val="00A3230B"/>
    <w:rsid w:val="00A3236E"/>
    <w:rsid w:val="00A324A8"/>
    <w:rsid w:val="00A328D0"/>
    <w:rsid w:val="00A32A1A"/>
    <w:rsid w:val="00A32C8A"/>
    <w:rsid w:val="00A331F6"/>
    <w:rsid w:val="00A33538"/>
    <w:rsid w:val="00A335EA"/>
    <w:rsid w:val="00A338D3"/>
    <w:rsid w:val="00A338F6"/>
    <w:rsid w:val="00A33902"/>
    <w:rsid w:val="00A33959"/>
    <w:rsid w:val="00A33A0A"/>
    <w:rsid w:val="00A33EC5"/>
    <w:rsid w:val="00A345B3"/>
    <w:rsid w:val="00A34978"/>
    <w:rsid w:val="00A34A76"/>
    <w:rsid w:val="00A34C97"/>
    <w:rsid w:val="00A350E8"/>
    <w:rsid w:val="00A3556F"/>
    <w:rsid w:val="00A35929"/>
    <w:rsid w:val="00A3593A"/>
    <w:rsid w:val="00A35D16"/>
    <w:rsid w:val="00A3650E"/>
    <w:rsid w:val="00A365D0"/>
    <w:rsid w:val="00A3684B"/>
    <w:rsid w:val="00A36A7A"/>
    <w:rsid w:val="00A36AA0"/>
    <w:rsid w:val="00A36ABB"/>
    <w:rsid w:val="00A36BA4"/>
    <w:rsid w:val="00A36BE8"/>
    <w:rsid w:val="00A36D84"/>
    <w:rsid w:val="00A36E31"/>
    <w:rsid w:val="00A37439"/>
    <w:rsid w:val="00A378F9"/>
    <w:rsid w:val="00A37B79"/>
    <w:rsid w:val="00A37BCD"/>
    <w:rsid w:val="00A37D27"/>
    <w:rsid w:val="00A37E3E"/>
    <w:rsid w:val="00A4005B"/>
    <w:rsid w:val="00A40304"/>
    <w:rsid w:val="00A40649"/>
    <w:rsid w:val="00A40669"/>
    <w:rsid w:val="00A40B63"/>
    <w:rsid w:val="00A40C99"/>
    <w:rsid w:val="00A40E23"/>
    <w:rsid w:val="00A41593"/>
    <w:rsid w:val="00A41689"/>
    <w:rsid w:val="00A41E16"/>
    <w:rsid w:val="00A41E9D"/>
    <w:rsid w:val="00A42112"/>
    <w:rsid w:val="00A42236"/>
    <w:rsid w:val="00A42323"/>
    <w:rsid w:val="00A4245F"/>
    <w:rsid w:val="00A42592"/>
    <w:rsid w:val="00A42D64"/>
    <w:rsid w:val="00A42EAE"/>
    <w:rsid w:val="00A430C7"/>
    <w:rsid w:val="00A431DF"/>
    <w:rsid w:val="00A4364D"/>
    <w:rsid w:val="00A436C2"/>
    <w:rsid w:val="00A436F4"/>
    <w:rsid w:val="00A4375C"/>
    <w:rsid w:val="00A43A05"/>
    <w:rsid w:val="00A43C59"/>
    <w:rsid w:val="00A43D6B"/>
    <w:rsid w:val="00A441E3"/>
    <w:rsid w:val="00A44223"/>
    <w:rsid w:val="00A443F9"/>
    <w:rsid w:val="00A44927"/>
    <w:rsid w:val="00A44BCD"/>
    <w:rsid w:val="00A44D01"/>
    <w:rsid w:val="00A453AB"/>
    <w:rsid w:val="00A455C5"/>
    <w:rsid w:val="00A4582C"/>
    <w:rsid w:val="00A458D6"/>
    <w:rsid w:val="00A4591D"/>
    <w:rsid w:val="00A4598E"/>
    <w:rsid w:val="00A45B86"/>
    <w:rsid w:val="00A45BEA"/>
    <w:rsid w:val="00A46312"/>
    <w:rsid w:val="00A46336"/>
    <w:rsid w:val="00A46343"/>
    <w:rsid w:val="00A46937"/>
    <w:rsid w:val="00A46CF5"/>
    <w:rsid w:val="00A46D12"/>
    <w:rsid w:val="00A46D21"/>
    <w:rsid w:val="00A46D41"/>
    <w:rsid w:val="00A46F89"/>
    <w:rsid w:val="00A46FBA"/>
    <w:rsid w:val="00A47542"/>
    <w:rsid w:val="00A47637"/>
    <w:rsid w:val="00A50205"/>
    <w:rsid w:val="00A50432"/>
    <w:rsid w:val="00A5046C"/>
    <w:rsid w:val="00A50552"/>
    <w:rsid w:val="00A50802"/>
    <w:rsid w:val="00A50EB3"/>
    <w:rsid w:val="00A50ECD"/>
    <w:rsid w:val="00A50F5F"/>
    <w:rsid w:val="00A51045"/>
    <w:rsid w:val="00A510DB"/>
    <w:rsid w:val="00A513B2"/>
    <w:rsid w:val="00A518F3"/>
    <w:rsid w:val="00A5193E"/>
    <w:rsid w:val="00A51983"/>
    <w:rsid w:val="00A519E8"/>
    <w:rsid w:val="00A51A92"/>
    <w:rsid w:val="00A51C1C"/>
    <w:rsid w:val="00A51CA8"/>
    <w:rsid w:val="00A51D1A"/>
    <w:rsid w:val="00A52158"/>
    <w:rsid w:val="00A52230"/>
    <w:rsid w:val="00A52265"/>
    <w:rsid w:val="00A524B6"/>
    <w:rsid w:val="00A5252E"/>
    <w:rsid w:val="00A52729"/>
    <w:rsid w:val="00A52746"/>
    <w:rsid w:val="00A528D8"/>
    <w:rsid w:val="00A52B39"/>
    <w:rsid w:val="00A52B92"/>
    <w:rsid w:val="00A52FEE"/>
    <w:rsid w:val="00A5316B"/>
    <w:rsid w:val="00A533BA"/>
    <w:rsid w:val="00A53675"/>
    <w:rsid w:val="00A536E1"/>
    <w:rsid w:val="00A53994"/>
    <w:rsid w:val="00A5470B"/>
    <w:rsid w:val="00A5470E"/>
    <w:rsid w:val="00A5486F"/>
    <w:rsid w:val="00A5490F"/>
    <w:rsid w:val="00A5496B"/>
    <w:rsid w:val="00A549BF"/>
    <w:rsid w:val="00A54B6C"/>
    <w:rsid w:val="00A54B9A"/>
    <w:rsid w:val="00A54C63"/>
    <w:rsid w:val="00A54C6D"/>
    <w:rsid w:val="00A54D4E"/>
    <w:rsid w:val="00A54E2F"/>
    <w:rsid w:val="00A54E7C"/>
    <w:rsid w:val="00A5501B"/>
    <w:rsid w:val="00A5511B"/>
    <w:rsid w:val="00A5523F"/>
    <w:rsid w:val="00A554F2"/>
    <w:rsid w:val="00A557D1"/>
    <w:rsid w:val="00A55826"/>
    <w:rsid w:val="00A55BBB"/>
    <w:rsid w:val="00A561A4"/>
    <w:rsid w:val="00A5639C"/>
    <w:rsid w:val="00A563E7"/>
    <w:rsid w:val="00A564D7"/>
    <w:rsid w:val="00A56B6A"/>
    <w:rsid w:val="00A56CE1"/>
    <w:rsid w:val="00A56E13"/>
    <w:rsid w:val="00A57225"/>
    <w:rsid w:val="00A5724D"/>
    <w:rsid w:val="00A57692"/>
    <w:rsid w:val="00A57887"/>
    <w:rsid w:val="00A578DC"/>
    <w:rsid w:val="00A57DC5"/>
    <w:rsid w:val="00A57E13"/>
    <w:rsid w:val="00A60474"/>
    <w:rsid w:val="00A604EB"/>
    <w:rsid w:val="00A60C7C"/>
    <w:rsid w:val="00A60CC3"/>
    <w:rsid w:val="00A60ECD"/>
    <w:rsid w:val="00A60FC9"/>
    <w:rsid w:val="00A612FA"/>
    <w:rsid w:val="00A615B0"/>
    <w:rsid w:val="00A61DA0"/>
    <w:rsid w:val="00A62598"/>
    <w:rsid w:val="00A626EE"/>
    <w:rsid w:val="00A627BA"/>
    <w:rsid w:val="00A62838"/>
    <w:rsid w:val="00A62AAB"/>
    <w:rsid w:val="00A63649"/>
    <w:rsid w:val="00A636E1"/>
    <w:rsid w:val="00A636E9"/>
    <w:rsid w:val="00A638A1"/>
    <w:rsid w:val="00A640E2"/>
    <w:rsid w:val="00A644B4"/>
    <w:rsid w:val="00A644E1"/>
    <w:rsid w:val="00A6459D"/>
    <w:rsid w:val="00A64A74"/>
    <w:rsid w:val="00A64D65"/>
    <w:rsid w:val="00A64D72"/>
    <w:rsid w:val="00A652A8"/>
    <w:rsid w:val="00A65323"/>
    <w:rsid w:val="00A65393"/>
    <w:rsid w:val="00A65951"/>
    <w:rsid w:val="00A659E2"/>
    <w:rsid w:val="00A65D4A"/>
    <w:rsid w:val="00A65FFE"/>
    <w:rsid w:val="00A669C0"/>
    <w:rsid w:val="00A67250"/>
    <w:rsid w:val="00A6725B"/>
    <w:rsid w:val="00A677BE"/>
    <w:rsid w:val="00A67F08"/>
    <w:rsid w:val="00A67F8E"/>
    <w:rsid w:val="00A703CF"/>
    <w:rsid w:val="00A70527"/>
    <w:rsid w:val="00A70551"/>
    <w:rsid w:val="00A70605"/>
    <w:rsid w:val="00A708F1"/>
    <w:rsid w:val="00A70AB9"/>
    <w:rsid w:val="00A70BE8"/>
    <w:rsid w:val="00A71180"/>
    <w:rsid w:val="00A7123E"/>
    <w:rsid w:val="00A713B6"/>
    <w:rsid w:val="00A715CB"/>
    <w:rsid w:val="00A71946"/>
    <w:rsid w:val="00A72B49"/>
    <w:rsid w:val="00A72C06"/>
    <w:rsid w:val="00A72D5E"/>
    <w:rsid w:val="00A73134"/>
    <w:rsid w:val="00A736A7"/>
    <w:rsid w:val="00A7378F"/>
    <w:rsid w:val="00A738C6"/>
    <w:rsid w:val="00A739C2"/>
    <w:rsid w:val="00A73D29"/>
    <w:rsid w:val="00A73DD3"/>
    <w:rsid w:val="00A74105"/>
    <w:rsid w:val="00A7438F"/>
    <w:rsid w:val="00A74685"/>
    <w:rsid w:val="00A746CE"/>
    <w:rsid w:val="00A749E1"/>
    <w:rsid w:val="00A74EAA"/>
    <w:rsid w:val="00A75117"/>
    <w:rsid w:val="00A75654"/>
    <w:rsid w:val="00A75872"/>
    <w:rsid w:val="00A7587B"/>
    <w:rsid w:val="00A7596E"/>
    <w:rsid w:val="00A75F4A"/>
    <w:rsid w:val="00A76001"/>
    <w:rsid w:val="00A76098"/>
    <w:rsid w:val="00A760B3"/>
    <w:rsid w:val="00A767E2"/>
    <w:rsid w:val="00A76D44"/>
    <w:rsid w:val="00A771A5"/>
    <w:rsid w:val="00A77595"/>
    <w:rsid w:val="00A77616"/>
    <w:rsid w:val="00A777A6"/>
    <w:rsid w:val="00A777B2"/>
    <w:rsid w:val="00A77A2A"/>
    <w:rsid w:val="00A77B08"/>
    <w:rsid w:val="00A77CDB"/>
    <w:rsid w:val="00A77E90"/>
    <w:rsid w:val="00A77ED1"/>
    <w:rsid w:val="00A77F87"/>
    <w:rsid w:val="00A8006A"/>
    <w:rsid w:val="00A801B5"/>
    <w:rsid w:val="00A802CC"/>
    <w:rsid w:val="00A8085F"/>
    <w:rsid w:val="00A80DAB"/>
    <w:rsid w:val="00A81A65"/>
    <w:rsid w:val="00A81B6B"/>
    <w:rsid w:val="00A81C67"/>
    <w:rsid w:val="00A81D39"/>
    <w:rsid w:val="00A81E84"/>
    <w:rsid w:val="00A81EED"/>
    <w:rsid w:val="00A82023"/>
    <w:rsid w:val="00A8215C"/>
    <w:rsid w:val="00A82351"/>
    <w:rsid w:val="00A8253A"/>
    <w:rsid w:val="00A8253C"/>
    <w:rsid w:val="00A8255D"/>
    <w:rsid w:val="00A825D4"/>
    <w:rsid w:val="00A8289B"/>
    <w:rsid w:val="00A828F6"/>
    <w:rsid w:val="00A82A36"/>
    <w:rsid w:val="00A82B73"/>
    <w:rsid w:val="00A82D60"/>
    <w:rsid w:val="00A8305F"/>
    <w:rsid w:val="00A83415"/>
    <w:rsid w:val="00A83731"/>
    <w:rsid w:val="00A83CC3"/>
    <w:rsid w:val="00A83D7F"/>
    <w:rsid w:val="00A83F89"/>
    <w:rsid w:val="00A84291"/>
    <w:rsid w:val="00A8432E"/>
    <w:rsid w:val="00A84337"/>
    <w:rsid w:val="00A845F9"/>
    <w:rsid w:val="00A847C0"/>
    <w:rsid w:val="00A84876"/>
    <w:rsid w:val="00A84DD8"/>
    <w:rsid w:val="00A84F69"/>
    <w:rsid w:val="00A8500C"/>
    <w:rsid w:val="00A8507B"/>
    <w:rsid w:val="00A85915"/>
    <w:rsid w:val="00A85927"/>
    <w:rsid w:val="00A85BAA"/>
    <w:rsid w:val="00A85BBA"/>
    <w:rsid w:val="00A85C5E"/>
    <w:rsid w:val="00A8608C"/>
    <w:rsid w:val="00A861BE"/>
    <w:rsid w:val="00A86257"/>
    <w:rsid w:val="00A86538"/>
    <w:rsid w:val="00A8678B"/>
    <w:rsid w:val="00A86855"/>
    <w:rsid w:val="00A86B68"/>
    <w:rsid w:val="00A86E8B"/>
    <w:rsid w:val="00A8713C"/>
    <w:rsid w:val="00A87164"/>
    <w:rsid w:val="00A87384"/>
    <w:rsid w:val="00A87489"/>
    <w:rsid w:val="00A87578"/>
    <w:rsid w:val="00A8765F"/>
    <w:rsid w:val="00A879D0"/>
    <w:rsid w:val="00A879F0"/>
    <w:rsid w:val="00A87F58"/>
    <w:rsid w:val="00A90655"/>
    <w:rsid w:val="00A906AC"/>
    <w:rsid w:val="00A907F0"/>
    <w:rsid w:val="00A90B8D"/>
    <w:rsid w:val="00A90C50"/>
    <w:rsid w:val="00A9106A"/>
    <w:rsid w:val="00A9108E"/>
    <w:rsid w:val="00A912A6"/>
    <w:rsid w:val="00A917B8"/>
    <w:rsid w:val="00A92027"/>
    <w:rsid w:val="00A921AF"/>
    <w:rsid w:val="00A9290D"/>
    <w:rsid w:val="00A92983"/>
    <w:rsid w:val="00A929E5"/>
    <w:rsid w:val="00A92CEE"/>
    <w:rsid w:val="00A92E8D"/>
    <w:rsid w:val="00A92EB4"/>
    <w:rsid w:val="00A92FEC"/>
    <w:rsid w:val="00A93072"/>
    <w:rsid w:val="00A93590"/>
    <w:rsid w:val="00A936CD"/>
    <w:rsid w:val="00A93866"/>
    <w:rsid w:val="00A938BD"/>
    <w:rsid w:val="00A93953"/>
    <w:rsid w:val="00A93957"/>
    <w:rsid w:val="00A93D34"/>
    <w:rsid w:val="00A9430A"/>
    <w:rsid w:val="00A94B4A"/>
    <w:rsid w:val="00A94DF5"/>
    <w:rsid w:val="00A95100"/>
    <w:rsid w:val="00A956DA"/>
    <w:rsid w:val="00A959D8"/>
    <w:rsid w:val="00A95E61"/>
    <w:rsid w:val="00A96301"/>
    <w:rsid w:val="00A9644C"/>
    <w:rsid w:val="00A96637"/>
    <w:rsid w:val="00A96873"/>
    <w:rsid w:val="00A968B4"/>
    <w:rsid w:val="00A96B52"/>
    <w:rsid w:val="00A96D2A"/>
    <w:rsid w:val="00A97049"/>
    <w:rsid w:val="00A97237"/>
    <w:rsid w:val="00A973CD"/>
    <w:rsid w:val="00A9767C"/>
    <w:rsid w:val="00A97687"/>
    <w:rsid w:val="00A976DF"/>
    <w:rsid w:val="00A97907"/>
    <w:rsid w:val="00A9799B"/>
    <w:rsid w:val="00A97C5C"/>
    <w:rsid w:val="00A97E2E"/>
    <w:rsid w:val="00AA00B6"/>
    <w:rsid w:val="00AA0298"/>
    <w:rsid w:val="00AA08A1"/>
    <w:rsid w:val="00AA0947"/>
    <w:rsid w:val="00AA0F7B"/>
    <w:rsid w:val="00AA0F8C"/>
    <w:rsid w:val="00AA113D"/>
    <w:rsid w:val="00AA1281"/>
    <w:rsid w:val="00AA150E"/>
    <w:rsid w:val="00AA1CAB"/>
    <w:rsid w:val="00AA1F41"/>
    <w:rsid w:val="00AA2091"/>
    <w:rsid w:val="00AA2196"/>
    <w:rsid w:val="00AA22CA"/>
    <w:rsid w:val="00AA2593"/>
    <w:rsid w:val="00AA28EE"/>
    <w:rsid w:val="00AA28EF"/>
    <w:rsid w:val="00AA2BC5"/>
    <w:rsid w:val="00AA2CA3"/>
    <w:rsid w:val="00AA2FA0"/>
    <w:rsid w:val="00AA3209"/>
    <w:rsid w:val="00AA324E"/>
    <w:rsid w:val="00AA3636"/>
    <w:rsid w:val="00AA38EE"/>
    <w:rsid w:val="00AA3B80"/>
    <w:rsid w:val="00AA3B8B"/>
    <w:rsid w:val="00AA3D53"/>
    <w:rsid w:val="00AA3D60"/>
    <w:rsid w:val="00AA3DD4"/>
    <w:rsid w:val="00AA410D"/>
    <w:rsid w:val="00AA420B"/>
    <w:rsid w:val="00AA4340"/>
    <w:rsid w:val="00AA4382"/>
    <w:rsid w:val="00AA4413"/>
    <w:rsid w:val="00AA4723"/>
    <w:rsid w:val="00AA480F"/>
    <w:rsid w:val="00AA4879"/>
    <w:rsid w:val="00AA4BD5"/>
    <w:rsid w:val="00AA4C4A"/>
    <w:rsid w:val="00AA4C9C"/>
    <w:rsid w:val="00AA4FD7"/>
    <w:rsid w:val="00AA5762"/>
    <w:rsid w:val="00AA5BE4"/>
    <w:rsid w:val="00AA5BF4"/>
    <w:rsid w:val="00AA5C71"/>
    <w:rsid w:val="00AA5FA4"/>
    <w:rsid w:val="00AA6010"/>
    <w:rsid w:val="00AA642C"/>
    <w:rsid w:val="00AA6BD5"/>
    <w:rsid w:val="00AA6BD8"/>
    <w:rsid w:val="00AA6C7D"/>
    <w:rsid w:val="00AA6F9F"/>
    <w:rsid w:val="00AA75AF"/>
    <w:rsid w:val="00AA7879"/>
    <w:rsid w:val="00AA7A09"/>
    <w:rsid w:val="00AA7CDF"/>
    <w:rsid w:val="00AA7E66"/>
    <w:rsid w:val="00AA7E71"/>
    <w:rsid w:val="00AA7E74"/>
    <w:rsid w:val="00AA7FD6"/>
    <w:rsid w:val="00AB042A"/>
    <w:rsid w:val="00AB0670"/>
    <w:rsid w:val="00AB0839"/>
    <w:rsid w:val="00AB099E"/>
    <w:rsid w:val="00AB0E77"/>
    <w:rsid w:val="00AB1024"/>
    <w:rsid w:val="00AB10E6"/>
    <w:rsid w:val="00AB19EF"/>
    <w:rsid w:val="00AB1ADB"/>
    <w:rsid w:val="00AB1B0D"/>
    <w:rsid w:val="00AB1D0B"/>
    <w:rsid w:val="00AB2473"/>
    <w:rsid w:val="00AB2547"/>
    <w:rsid w:val="00AB2AA3"/>
    <w:rsid w:val="00AB2D34"/>
    <w:rsid w:val="00AB2EF2"/>
    <w:rsid w:val="00AB3092"/>
    <w:rsid w:val="00AB314C"/>
    <w:rsid w:val="00AB3430"/>
    <w:rsid w:val="00AB3506"/>
    <w:rsid w:val="00AB37B9"/>
    <w:rsid w:val="00AB383C"/>
    <w:rsid w:val="00AB38E1"/>
    <w:rsid w:val="00AB3982"/>
    <w:rsid w:val="00AB39E4"/>
    <w:rsid w:val="00AB3DDC"/>
    <w:rsid w:val="00AB40DF"/>
    <w:rsid w:val="00AB43BA"/>
    <w:rsid w:val="00AB43DD"/>
    <w:rsid w:val="00AB459D"/>
    <w:rsid w:val="00AB485D"/>
    <w:rsid w:val="00AB4AD1"/>
    <w:rsid w:val="00AB4E31"/>
    <w:rsid w:val="00AB4F11"/>
    <w:rsid w:val="00AB58EA"/>
    <w:rsid w:val="00AB5C73"/>
    <w:rsid w:val="00AB5D49"/>
    <w:rsid w:val="00AB5E07"/>
    <w:rsid w:val="00AB6160"/>
    <w:rsid w:val="00AB63F4"/>
    <w:rsid w:val="00AB67D2"/>
    <w:rsid w:val="00AB68AA"/>
    <w:rsid w:val="00AB7021"/>
    <w:rsid w:val="00AB70EB"/>
    <w:rsid w:val="00AB72A3"/>
    <w:rsid w:val="00AB72DA"/>
    <w:rsid w:val="00AB733D"/>
    <w:rsid w:val="00AB75FC"/>
    <w:rsid w:val="00AB77C0"/>
    <w:rsid w:val="00AB7A4B"/>
    <w:rsid w:val="00AB7CFA"/>
    <w:rsid w:val="00AC01D6"/>
    <w:rsid w:val="00AC03E7"/>
    <w:rsid w:val="00AC07FF"/>
    <w:rsid w:val="00AC0A7B"/>
    <w:rsid w:val="00AC0ADC"/>
    <w:rsid w:val="00AC0BFA"/>
    <w:rsid w:val="00AC0FAC"/>
    <w:rsid w:val="00AC178B"/>
    <w:rsid w:val="00AC1901"/>
    <w:rsid w:val="00AC1978"/>
    <w:rsid w:val="00AC1979"/>
    <w:rsid w:val="00AC1C55"/>
    <w:rsid w:val="00AC220B"/>
    <w:rsid w:val="00AC2545"/>
    <w:rsid w:val="00AC2586"/>
    <w:rsid w:val="00AC26A4"/>
    <w:rsid w:val="00AC281B"/>
    <w:rsid w:val="00AC28B0"/>
    <w:rsid w:val="00AC2D8D"/>
    <w:rsid w:val="00AC3132"/>
    <w:rsid w:val="00AC32D1"/>
    <w:rsid w:val="00AC353A"/>
    <w:rsid w:val="00AC38A0"/>
    <w:rsid w:val="00AC3EFC"/>
    <w:rsid w:val="00AC3F2C"/>
    <w:rsid w:val="00AC401C"/>
    <w:rsid w:val="00AC40C9"/>
    <w:rsid w:val="00AC421F"/>
    <w:rsid w:val="00AC4257"/>
    <w:rsid w:val="00AC44E6"/>
    <w:rsid w:val="00AC452B"/>
    <w:rsid w:val="00AC4894"/>
    <w:rsid w:val="00AC48A8"/>
    <w:rsid w:val="00AC490F"/>
    <w:rsid w:val="00AC4DB5"/>
    <w:rsid w:val="00AC503A"/>
    <w:rsid w:val="00AC5055"/>
    <w:rsid w:val="00AC5631"/>
    <w:rsid w:val="00AC5735"/>
    <w:rsid w:val="00AC5A4E"/>
    <w:rsid w:val="00AC5A86"/>
    <w:rsid w:val="00AC5B48"/>
    <w:rsid w:val="00AC5C57"/>
    <w:rsid w:val="00AC6089"/>
    <w:rsid w:val="00AC62E0"/>
    <w:rsid w:val="00AC63DF"/>
    <w:rsid w:val="00AC647D"/>
    <w:rsid w:val="00AC68B4"/>
    <w:rsid w:val="00AC72DC"/>
    <w:rsid w:val="00AC73FE"/>
    <w:rsid w:val="00AC75D2"/>
    <w:rsid w:val="00AC787F"/>
    <w:rsid w:val="00AC7882"/>
    <w:rsid w:val="00AC7BD3"/>
    <w:rsid w:val="00AD07B9"/>
    <w:rsid w:val="00AD0865"/>
    <w:rsid w:val="00AD0C4F"/>
    <w:rsid w:val="00AD1450"/>
    <w:rsid w:val="00AD1C75"/>
    <w:rsid w:val="00AD246E"/>
    <w:rsid w:val="00AD254F"/>
    <w:rsid w:val="00AD25B1"/>
    <w:rsid w:val="00AD2692"/>
    <w:rsid w:val="00AD2A32"/>
    <w:rsid w:val="00AD2BBC"/>
    <w:rsid w:val="00AD2C9A"/>
    <w:rsid w:val="00AD2E5E"/>
    <w:rsid w:val="00AD35B5"/>
    <w:rsid w:val="00AD361F"/>
    <w:rsid w:val="00AD36F9"/>
    <w:rsid w:val="00AD3A18"/>
    <w:rsid w:val="00AD438E"/>
    <w:rsid w:val="00AD454A"/>
    <w:rsid w:val="00AD475F"/>
    <w:rsid w:val="00AD47E9"/>
    <w:rsid w:val="00AD49A0"/>
    <w:rsid w:val="00AD4D47"/>
    <w:rsid w:val="00AD50AD"/>
    <w:rsid w:val="00AD5189"/>
    <w:rsid w:val="00AD530D"/>
    <w:rsid w:val="00AD543E"/>
    <w:rsid w:val="00AD54C2"/>
    <w:rsid w:val="00AD55E8"/>
    <w:rsid w:val="00AD56CB"/>
    <w:rsid w:val="00AD56F6"/>
    <w:rsid w:val="00AD5A39"/>
    <w:rsid w:val="00AD5AB7"/>
    <w:rsid w:val="00AD5D5D"/>
    <w:rsid w:val="00AD6149"/>
    <w:rsid w:val="00AD634F"/>
    <w:rsid w:val="00AD63D1"/>
    <w:rsid w:val="00AD6502"/>
    <w:rsid w:val="00AD6823"/>
    <w:rsid w:val="00AD6A90"/>
    <w:rsid w:val="00AD6C65"/>
    <w:rsid w:val="00AD6D71"/>
    <w:rsid w:val="00AD7205"/>
    <w:rsid w:val="00AD7316"/>
    <w:rsid w:val="00AD7696"/>
    <w:rsid w:val="00AD7713"/>
    <w:rsid w:val="00AD799E"/>
    <w:rsid w:val="00AD7A72"/>
    <w:rsid w:val="00AD7DE2"/>
    <w:rsid w:val="00AD7E1A"/>
    <w:rsid w:val="00AE0135"/>
    <w:rsid w:val="00AE0695"/>
    <w:rsid w:val="00AE0877"/>
    <w:rsid w:val="00AE09D8"/>
    <w:rsid w:val="00AE184C"/>
    <w:rsid w:val="00AE18A0"/>
    <w:rsid w:val="00AE18DA"/>
    <w:rsid w:val="00AE1AC1"/>
    <w:rsid w:val="00AE1D63"/>
    <w:rsid w:val="00AE1E6D"/>
    <w:rsid w:val="00AE1F21"/>
    <w:rsid w:val="00AE2020"/>
    <w:rsid w:val="00AE21DB"/>
    <w:rsid w:val="00AE221A"/>
    <w:rsid w:val="00AE2406"/>
    <w:rsid w:val="00AE245A"/>
    <w:rsid w:val="00AE2903"/>
    <w:rsid w:val="00AE2951"/>
    <w:rsid w:val="00AE2B82"/>
    <w:rsid w:val="00AE2D51"/>
    <w:rsid w:val="00AE2E52"/>
    <w:rsid w:val="00AE316E"/>
    <w:rsid w:val="00AE326E"/>
    <w:rsid w:val="00AE39A5"/>
    <w:rsid w:val="00AE3B09"/>
    <w:rsid w:val="00AE3E7E"/>
    <w:rsid w:val="00AE4025"/>
    <w:rsid w:val="00AE41EB"/>
    <w:rsid w:val="00AE42A7"/>
    <w:rsid w:val="00AE430F"/>
    <w:rsid w:val="00AE44B3"/>
    <w:rsid w:val="00AE4505"/>
    <w:rsid w:val="00AE46D6"/>
    <w:rsid w:val="00AE47B2"/>
    <w:rsid w:val="00AE4919"/>
    <w:rsid w:val="00AE49F1"/>
    <w:rsid w:val="00AE4BBF"/>
    <w:rsid w:val="00AE4FA1"/>
    <w:rsid w:val="00AE530E"/>
    <w:rsid w:val="00AE5753"/>
    <w:rsid w:val="00AE59E7"/>
    <w:rsid w:val="00AE5F30"/>
    <w:rsid w:val="00AE61F8"/>
    <w:rsid w:val="00AE65DF"/>
    <w:rsid w:val="00AE6616"/>
    <w:rsid w:val="00AE676D"/>
    <w:rsid w:val="00AE67D6"/>
    <w:rsid w:val="00AE69DA"/>
    <w:rsid w:val="00AE6C8F"/>
    <w:rsid w:val="00AE6CBB"/>
    <w:rsid w:val="00AE6D1B"/>
    <w:rsid w:val="00AE7396"/>
    <w:rsid w:val="00AE744E"/>
    <w:rsid w:val="00AE758E"/>
    <w:rsid w:val="00AE76D9"/>
    <w:rsid w:val="00AE76DD"/>
    <w:rsid w:val="00AE786D"/>
    <w:rsid w:val="00AE79BA"/>
    <w:rsid w:val="00AE7D87"/>
    <w:rsid w:val="00AE7DB9"/>
    <w:rsid w:val="00AF1315"/>
    <w:rsid w:val="00AF1322"/>
    <w:rsid w:val="00AF1395"/>
    <w:rsid w:val="00AF15C0"/>
    <w:rsid w:val="00AF1805"/>
    <w:rsid w:val="00AF1997"/>
    <w:rsid w:val="00AF19BF"/>
    <w:rsid w:val="00AF1A0E"/>
    <w:rsid w:val="00AF1B6F"/>
    <w:rsid w:val="00AF2051"/>
    <w:rsid w:val="00AF2AC3"/>
    <w:rsid w:val="00AF2B06"/>
    <w:rsid w:val="00AF2B2D"/>
    <w:rsid w:val="00AF2DC3"/>
    <w:rsid w:val="00AF2E09"/>
    <w:rsid w:val="00AF2FDB"/>
    <w:rsid w:val="00AF32D0"/>
    <w:rsid w:val="00AF3418"/>
    <w:rsid w:val="00AF3590"/>
    <w:rsid w:val="00AF3664"/>
    <w:rsid w:val="00AF3671"/>
    <w:rsid w:val="00AF3C99"/>
    <w:rsid w:val="00AF3CBC"/>
    <w:rsid w:val="00AF3CEC"/>
    <w:rsid w:val="00AF3E52"/>
    <w:rsid w:val="00AF3E8A"/>
    <w:rsid w:val="00AF3EB0"/>
    <w:rsid w:val="00AF416F"/>
    <w:rsid w:val="00AF4215"/>
    <w:rsid w:val="00AF4339"/>
    <w:rsid w:val="00AF433F"/>
    <w:rsid w:val="00AF4763"/>
    <w:rsid w:val="00AF4922"/>
    <w:rsid w:val="00AF4984"/>
    <w:rsid w:val="00AF4A5F"/>
    <w:rsid w:val="00AF4A60"/>
    <w:rsid w:val="00AF4E82"/>
    <w:rsid w:val="00AF504E"/>
    <w:rsid w:val="00AF540C"/>
    <w:rsid w:val="00AF5705"/>
    <w:rsid w:val="00AF580A"/>
    <w:rsid w:val="00AF5963"/>
    <w:rsid w:val="00AF5A1C"/>
    <w:rsid w:val="00AF5AF7"/>
    <w:rsid w:val="00AF5C0D"/>
    <w:rsid w:val="00AF5D07"/>
    <w:rsid w:val="00AF64EF"/>
    <w:rsid w:val="00AF6559"/>
    <w:rsid w:val="00AF66BB"/>
    <w:rsid w:val="00AF6793"/>
    <w:rsid w:val="00AF6863"/>
    <w:rsid w:val="00AF6C52"/>
    <w:rsid w:val="00AF7254"/>
    <w:rsid w:val="00AF731E"/>
    <w:rsid w:val="00AF746B"/>
    <w:rsid w:val="00AF74BC"/>
    <w:rsid w:val="00AF7703"/>
    <w:rsid w:val="00AF7912"/>
    <w:rsid w:val="00AF7B91"/>
    <w:rsid w:val="00B00402"/>
    <w:rsid w:val="00B0060A"/>
    <w:rsid w:val="00B009A5"/>
    <w:rsid w:val="00B00ABA"/>
    <w:rsid w:val="00B0170A"/>
    <w:rsid w:val="00B01AF1"/>
    <w:rsid w:val="00B01B60"/>
    <w:rsid w:val="00B02112"/>
    <w:rsid w:val="00B024C5"/>
    <w:rsid w:val="00B0257F"/>
    <w:rsid w:val="00B02CC4"/>
    <w:rsid w:val="00B033E5"/>
    <w:rsid w:val="00B0344E"/>
    <w:rsid w:val="00B0376C"/>
    <w:rsid w:val="00B03791"/>
    <w:rsid w:val="00B038A4"/>
    <w:rsid w:val="00B03A63"/>
    <w:rsid w:val="00B03A7C"/>
    <w:rsid w:val="00B03E0C"/>
    <w:rsid w:val="00B03F94"/>
    <w:rsid w:val="00B0415D"/>
    <w:rsid w:val="00B041D8"/>
    <w:rsid w:val="00B0433D"/>
    <w:rsid w:val="00B04556"/>
    <w:rsid w:val="00B04891"/>
    <w:rsid w:val="00B04998"/>
    <w:rsid w:val="00B053B8"/>
    <w:rsid w:val="00B05677"/>
    <w:rsid w:val="00B05B64"/>
    <w:rsid w:val="00B05CF1"/>
    <w:rsid w:val="00B06238"/>
    <w:rsid w:val="00B0646C"/>
    <w:rsid w:val="00B067E9"/>
    <w:rsid w:val="00B06B7B"/>
    <w:rsid w:val="00B06C6C"/>
    <w:rsid w:val="00B0744A"/>
    <w:rsid w:val="00B074D9"/>
    <w:rsid w:val="00B076B2"/>
    <w:rsid w:val="00B0782E"/>
    <w:rsid w:val="00B07AC4"/>
    <w:rsid w:val="00B07E54"/>
    <w:rsid w:val="00B07E74"/>
    <w:rsid w:val="00B107FB"/>
    <w:rsid w:val="00B10B95"/>
    <w:rsid w:val="00B10F41"/>
    <w:rsid w:val="00B1179F"/>
    <w:rsid w:val="00B11963"/>
    <w:rsid w:val="00B1196F"/>
    <w:rsid w:val="00B11B6A"/>
    <w:rsid w:val="00B11BBD"/>
    <w:rsid w:val="00B12188"/>
    <w:rsid w:val="00B122E8"/>
    <w:rsid w:val="00B12645"/>
    <w:rsid w:val="00B126F7"/>
    <w:rsid w:val="00B127BF"/>
    <w:rsid w:val="00B130F3"/>
    <w:rsid w:val="00B13ED4"/>
    <w:rsid w:val="00B1451B"/>
    <w:rsid w:val="00B148DF"/>
    <w:rsid w:val="00B14C88"/>
    <w:rsid w:val="00B14F63"/>
    <w:rsid w:val="00B14F68"/>
    <w:rsid w:val="00B1522C"/>
    <w:rsid w:val="00B152C5"/>
    <w:rsid w:val="00B153E0"/>
    <w:rsid w:val="00B15661"/>
    <w:rsid w:val="00B157EC"/>
    <w:rsid w:val="00B15B9E"/>
    <w:rsid w:val="00B15BCF"/>
    <w:rsid w:val="00B15FC8"/>
    <w:rsid w:val="00B161CE"/>
    <w:rsid w:val="00B16BCA"/>
    <w:rsid w:val="00B16C8E"/>
    <w:rsid w:val="00B16CF4"/>
    <w:rsid w:val="00B16F7B"/>
    <w:rsid w:val="00B17057"/>
    <w:rsid w:val="00B17BC0"/>
    <w:rsid w:val="00B17C31"/>
    <w:rsid w:val="00B17DF9"/>
    <w:rsid w:val="00B17F55"/>
    <w:rsid w:val="00B2002E"/>
    <w:rsid w:val="00B201A4"/>
    <w:rsid w:val="00B201D1"/>
    <w:rsid w:val="00B20470"/>
    <w:rsid w:val="00B20504"/>
    <w:rsid w:val="00B20866"/>
    <w:rsid w:val="00B20AC0"/>
    <w:rsid w:val="00B20D06"/>
    <w:rsid w:val="00B20D7C"/>
    <w:rsid w:val="00B2106E"/>
    <w:rsid w:val="00B212DC"/>
    <w:rsid w:val="00B213A6"/>
    <w:rsid w:val="00B213C9"/>
    <w:rsid w:val="00B215D4"/>
    <w:rsid w:val="00B2176A"/>
    <w:rsid w:val="00B21A6C"/>
    <w:rsid w:val="00B21BED"/>
    <w:rsid w:val="00B21F5D"/>
    <w:rsid w:val="00B22017"/>
    <w:rsid w:val="00B225C3"/>
    <w:rsid w:val="00B2260D"/>
    <w:rsid w:val="00B2274A"/>
    <w:rsid w:val="00B227DE"/>
    <w:rsid w:val="00B2299F"/>
    <w:rsid w:val="00B22A95"/>
    <w:rsid w:val="00B22B01"/>
    <w:rsid w:val="00B22C9C"/>
    <w:rsid w:val="00B22E00"/>
    <w:rsid w:val="00B22F01"/>
    <w:rsid w:val="00B22F67"/>
    <w:rsid w:val="00B23096"/>
    <w:rsid w:val="00B231AE"/>
    <w:rsid w:val="00B231B0"/>
    <w:rsid w:val="00B234CD"/>
    <w:rsid w:val="00B235B0"/>
    <w:rsid w:val="00B2371D"/>
    <w:rsid w:val="00B23BDE"/>
    <w:rsid w:val="00B23C2E"/>
    <w:rsid w:val="00B23FB5"/>
    <w:rsid w:val="00B24151"/>
    <w:rsid w:val="00B244AC"/>
    <w:rsid w:val="00B24649"/>
    <w:rsid w:val="00B246DF"/>
    <w:rsid w:val="00B24846"/>
    <w:rsid w:val="00B24DF6"/>
    <w:rsid w:val="00B24F1D"/>
    <w:rsid w:val="00B25313"/>
    <w:rsid w:val="00B255E4"/>
    <w:rsid w:val="00B2596B"/>
    <w:rsid w:val="00B25B93"/>
    <w:rsid w:val="00B25BD3"/>
    <w:rsid w:val="00B25BDE"/>
    <w:rsid w:val="00B25D91"/>
    <w:rsid w:val="00B25DF3"/>
    <w:rsid w:val="00B25E78"/>
    <w:rsid w:val="00B25FCD"/>
    <w:rsid w:val="00B264D9"/>
    <w:rsid w:val="00B26516"/>
    <w:rsid w:val="00B26628"/>
    <w:rsid w:val="00B26869"/>
    <w:rsid w:val="00B268FD"/>
    <w:rsid w:val="00B26C9B"/>
    <w:rsid w:val="00B26E7D"/>
    <w:rsid w:val="00B26EF8"/>
    <w:rsid w:val="00B272C2"/>
    <w:rsid w:val="00B27590"/>
    <w:rsid w:val="00B27742"/>
    <w:rsid w:val="00B27A34"/>
    <w:rsid w:val="00B30058"/>
    <w:rsid w:val="00B30361"/>
    <w:rsid w:val="00B3054A"/>
    <w:rsid w:val="00B305F2"/>
    <w:rsid w:val="00B307AC"/>
    <w:rsid w:val="00B3080A"/>
    <w:rsid w:val="00B30BC3"/>
    <w:rsid w:val="00B30E98"/>
    <w:rsid w:val="00B312EE"/>
    <w:rsid w:val="00B3132A"/>
    <w:rsid w:val="00B31340"/>
    <w:rsid w:val="00B31C72"/>
    <w:rsid w:val="00B32AE1"/>
    <w:rsid w:val="00B32D2C"/>
    <w:rsid w:val="00B33258"/>
    <w:rsid w:val="00B33C27"/>
    <w:rsid w:val="00B33F2B"/>
    <w:rsid w:val="00B33F8A"/>
    <w:rsid w:val="00B34210"/>
    <w:rsid w:val="00B344CF"/>
    <w:rsid w:val="00B344FB"/>
    <w:rsid w:val="00B3477E"/>
    <w:rsid w:val="00B34B3B"/>
    <w:rsid w:val="00B34F52"/>
    <w:rsid w:val="00B34FE2"/>
    <w:rsid w:val="00B350B8"/>
    <w:rsid w:val="00B35166"/>
    <w:rsid w:val="00B351E1"/>
    <w:rsid w:val="00B35722"/>
    <w:rsid w:val="00B357D8"/>
    <w:rsid w:val="00B35846"/>
    <w:rsid w:val="00B35B25"/>
    <w:rsid w:val="00B35D2F"/>
    <w:rsid w:val="00B35D7C"/>
    <w:rsid w:val="00B35DEA"/>
    <w:rsid w:val="00B360F4"/>
    <w:rsid w:val="00B36775"/>
    <w:rsid w:val="00B369CB"/>
    <w:rsid w:val="00B36A00"/>
    <w:rsid w:val="00B36AB2"/>
    <w:rsid w:val="00B36F5D"/>
    <w:rsid w:val="00B36FD2"/>
    <w:rsid w:val="00B37397"/>
    <w:rsid w:val="00B37AC8"/>
    <w:rsid w:val="00B37AEF"/>
    <w:rsid w:val="00B37B3A"/>
    <w:rsid w:val="00B37BFC"/>
    <w:rsid w:val="00B37C25"/>
    <w:rsid w:val="00B37DD0"/>
    <w:rsid w:val="00B4007D"/>
    <w:rsid w:val="00B40342"/>
    <w:rsid w:val="00B40358"/>
    <w:rsid w:val="00B4066E"/>
    <w:rsid w:val="00B40A2E"/>
    <w:rsid w:val="00B41614"/>
    <w:rsid w:val="00B41B19"/>
    <w:rsid w:val="00B41F1B"/>
    <w:rsid w:val="00B420C9"/>
    <w:rsid w:val="00B421BE"/>
    <w:rsid w:val="00B42851"/>
    <w:rsid w:val="00B42915"/>
    <w:rsid w:val="00B42A02"/>
    <w:rsid w:val="00B42BAE"/>
    <w:rsid w:val="00B42F80"/>
    <w:rsid w:val="00B4313B"/>
    <w:rsid w:val="00B435CB"/>
    <w:rsid w:val="00B43752"/>
    <w:rsid w:val="00B43923"/>
    <w:rsid w:val="00B43B3A"/>
    <w:rsid w:val="00B44134"/>
    <w:rsid w:val="00B44274"/>
    <w:rsid w:val="00B44308"/>
    <w:rsid w:val="00B44710"/>
    <w:rsid w:val="00B449DC"/>
    <w:rsid w:val="00B44A13"/>
    <w:rsid w:val="00B44E37"/>
    <w:rsid w:val="00B450BE"/>
    <w:rsid w:val="00B45251"/>
    <w:rsid w:val="00B45298"/>
    <w:rsid w:val="00B452A2"/>
    <w:rsid w:val="00B45509"/>
    <w:rsid w:val="00B45A1E"/>
    <w:rsid w:val="00B46034"/>
    <w:rsid w:val="00B461D4"/>
    <w:rsid w:val="00B46315"/>
    <w:rsid w:val="00B46B87"/>
    <w:rsid w:val="00B46F47"/>
    <w:rsid w:val="00B47043"/>
    <w:rsid w:val="00B4718C"/>
    <w:rsid w:val="00B474D2"/>
    <w:rsid w:val="00B479C8"/>
    <w:rsid w:val="00B479D7"/>
    <w:rsid w:val="00B47A76"/>
    <w:rsid w:val="00B500AD"/>
    <w:rsid w:val="00B50162"/>
    <w:rsid w:val="00B50291"/>
    <w:rsid w:val="00B505C8"/>
    <w:rsid w:val="00B50DB8"/>
    <w:rsid w:val="00B50E1E"/>
    <w:rsid w:val="00B51380"/>
    <w:rsid w:val="00B5155C"/>
    <w:rsid w:val="00B515B4"/>
    <w:rsid w:val="00B517D3"/>
    <w:rsid w:val="00B51BDE"/>
    <w:rsid w:val="00B5205C"/>
    <w:rsid w:val="00B520C7"/>
    <w:rsid w:val="00B521E2"/>
    <w:rsid w:val="00B5275D"/>
    <w:rsid w:val="00B52860"/>
    <w:rsid w:val="00B52BEC"/>
    <w:rsid w:val="00B52FE3"/>
    <w:rsid w:val="00B53242"/>
    <w:rsid w:val="00B5331B"/>
    <w:rsid w:val="00B53654"/>
    <w:rsid w:val="00B5370E"/>
    <w:rsid w:val="00B53905"/>
    <w:rsid w:val="00B53B29"/>
    <w:rsid w:val="00B53F2C"/>
    <w:rsid w:val="00B54021"/>
    <w:rsid w:val="00B5497A"/>
    <w:rsid w:val="00B54A71"/>
    <w:rsid w:val="00B54B5B"/>
    <w:rsid w:val="00B54F9C"/>
    <w:rsid w:val="00B55053"/>
    <w:rsid w:val="00B5523A"/>
    <w:rsid w:val="00B55555"/>
    <w:rsid w:val="00B55619"/>
    <w:rsid w:val="00B5562E"/>
    <w:rsid w:val="00B55D65"/>
    <w:rsid w:val="00B56003"/>
    <w:rsid w:val="00B56282"/>
    <w:rsid w:val="00B562A1"/>
    <w:rsid w:val="00B56438"/>
    <w:rsid w:val="00B56ABB"/>
    <w:rsid w:val="00B56BE1"/>
    <w:rsid w:val="00B57000"/>
    <w:rsid w:val="00B5786E"/>
    <w:rsid w:val="00B579BF"/>
    <w:rsid w:val="00B57D1A"/>
    <w:rsid w:val="00B57D2E"/>
    <w:rsid w:val="00B57DAC"/>
    <w:rsid w:val="00B6002F"/>
    <w:rsid w:val="00B60161"/>
    <w:rsid w:val="00B60552"/>
    <w:rsid w:val="00B6084F"/>
    <w:rsid w:val="00B60939"/>
    <w:rsid w:val="00B60AFD"/>
    <w:rsid w:val="00B60F15"/>
    <w:rsid w:val="00B6127D"/>
    <w:rsid w:val="00B6140C"/>
    <w:rsid w:val="00B614A4"/>
    <w:rsid w:val="00B614E8"/>
    <w:rsid w:val="00B6151D"/>
    <w:rsid w:val="00B61A51"/>
    <w:rsid w:val="00B61B7A"/>
    <w:rsid w:val="00B6200F"/>
    <w:rsid w:val="00B620FE"/>
    <w:rsid w:val="00B621DE"/>
    <w:rsid w:val="00B62275"/>
    <w:rsid w:val="00B62470"/>
    <w:rsid w:val="00B62715"/>
    <w:rsid w:val="00B627C2"/>
    <w:rsid w:val="00B62AAF"/>
    <w:rsid w:val="00B62DA6"/>
    <w:rsid w:val="00B631F0"/>
    <w:rsid w:val="00B63248"/>
    <w:rsid w:val="00B63429"/>
    <w:rsid w:val="00B63A13"/>
    <w:rsid w:val="00B63E33"/>
    <w:rsid w:val="00B64545"/>
    <w:rsid w:val="00B6479F"/>
    <w:rsid w:val="00B6497C"/>
    <w:rsid w:val="00B649BB"/>
    <w:rsid w:val="00B64D5C"/>
    <w:rsid w:val="00B64D94"/>
    <w:rsid w:val="00B65233"/>
    <w:rsid w:val="00B65263"/>
    <w:rsid w:val="00B65611"/>
    <w:rsid w:val="00B658B1"/>
    <w:rsid w:val="00B65A35"/>
    <w:rsid w:val="00B66254"/>
    <w:rsid w:val="00B663BD"/>
    <w:rsid w:val="00B66708"/>
    <w:rsid w:val="00B6671A"/>
    <w:rsid w:val="00B66942"/>
    <w:rsid w:val="00B67192"/>
    <w:rsid w:val="00B67982"/>
    <w:rsid w:val="00B679FB"/>
    <w:rsid w:val="00B67E1D"/>
    <w:rsid w:val="00B67F8B"/>
    <w:rsid w:val="00B7020D"/>
    <w:rsid w:val="00B706EF"/>
    <w:rsid w:val="00B7092D"/>
    <w:rsid w:val="00B70E8E"/>
    <w:rsid w:val="00B710B9"/>
    <w:rsid w:val="00B71395"/>
    <w:rsid w:val="00B71503"/>
    <w:rsid w:val="00B7160D"/>
    <w:rsid w:val="00B71639"/>
    <w:rsid w:val="00B71C41"/>
    <w:rsid w:val="00B71DB6"/>
    <w:rsid w:val="00B71EF3"/>
    <w:rsid w:val="00B72101"/>
    <w:rsid w:val="00B7211E"/>
    <w:rsid w:val="00B7225B"/>
    <w:rsid w:val="00B723C6"/>
    <w:rsid w:val="00B727AD"/>
    <w:rsid w:val="00B72EC0"/>
    <w:rsid w:val="00B72F2C"/>
    <w:rsid w:val="00B731AB"/>
    <w:rsid w:val="00B73224"/>
    <w:rsid w:val="00B73441"/>
    <w:rsid w:val="00B73510"/>
    <w:rsid w:val="00B7397B"/>
    <w:rsid w:val="00B73D30"/>
    <w:rsid w:val="00B7411A"/>
    <w:rsid w:val="00B74425"/>
    <w:rsid w:val="00B7472C"/>
    <w:rsid w:val="00B74CE4"/>
    <w:rsid w:val="00B75841"/>
    <w:rsid w:val="00B7588E"/>
    <w:rsid w:val="00B75B7D"/>
    <w:rsid w:val="00B75B9A"/>
    <w:rsid w:val="00B75D01"/>
    <w:rsid w:val="00B75D1E"/>
    <w:rsid w:val="00B7621B"/>
    <w:rsid w:val="00B764FF"/>
    <w:rsid w:val="00B765F3"/>
    <w:rsid w:val="00B76804"/>
    <w:rsid w:val="00B76883"/>
    <w:rsid w:val="00B768AF"/>
    <w:rsid w:val="00B76C92"/>
    <w:rsid w:val="00B76DC0"/>
    <w:rsid w:val="00B76F94"/>
    <w:rsid w:val="00B76FC1"/>
    <w:rsid w:val="00B77268"/>
    <w:rsid w:val="00B77358"/>
    <w:rsid w:val="00B7753C"/>
    <w:rsid w:val="00B7768E"/>
    <w:rsid w:val="00B776D6"/>
    <w:rsid w:val="00B779C2"/>
    <w:rsid w:val="00B77DDA"/>
    <w:rsid w:val="00B77E75"/>
    <w:rsid w:val="00B77EAC"/>
    <w:rsid w:val="00B77FDD"/>
    <w:rsid w:val="00B80056"/>
    <w:rsid w:val="00B8055B"/>
    <w:rsid w:val="00B8059C"/>
    <w:rsid w:val="00B80E59"/>
    <w:rsid w:val="00B81087"/>
    <w:rsid w:val="00B81337"/>
    <w:rsid w:val="00B8166D"/>
    <w:rsid w:val="00B816CF"/>
    <w:rsid w:val="00B818A4"/>
    <w:rsid w:val="00B81CEC"/>
    <w:rsid w:val="00B81EC9"/>
    <w:rsid w:val="00B81F2A"/>
    <w:rsid w:val="00B81F6E"/>
    <w:rsid w:val="00B827CA"/>
    <w:rsid w:val="00B82F52"/>
    <w:rsid w:val="00B83188"/>
    <w:rsid w:val="00B83A64"/>
    <w:rsid w:val="00B83F14"/>
    <w:rsid w:val="00B83F34"/>
    <w:rsid w:val="00B84084"/>
    <w:rsid w:val="00B84117"/>
    <w:rsid w:val="00B843A0"/>
    <w:rsid w:val="00B8456B"/>
    <w:rsid w:val="00B847F9"/>
    <w:rsid w:val="00B848DC"/>
    <w:rsid w:val="00B84B37"/>
    <w:rsid w:val="00B84E4D"/>
    <w:rsid w:val="00B85559"/>
    <w:rsid w:val="00B858F0"/>
    <w:rsid w:val="00B85AA2"/>
    <w:rsid w:val="00B85AF8"/>
    <w:rsid w:val="00B8605A"/>
    <w:rsid w:val="00B8649C"/>
    <w:rsid w:val="00B864EF"/>
    <w:rsid w:val="00B8695D"/>
    <w:rsid w:val="00B8696E"/>
    <w:rsid w:val="00B869BF"/>
    <w:rsid w:val="00B86A77"/>
    <w:rsid w:val="00B86BA2"/>
    <w:rsid w:val="00B8721B"/>
    <w:rsid w:val="00B8728C"/>
    <w:rsid w:val="00B87A9A"/>
    <w:rsid w:val="00B87CC5"/>
    <w:rsid w:val="00B87F0A"/>
    <w:rsid w:val="00B87F59"/>
    <w:rsid w:val="00B90341"/>
    <w:rsid w:val="00B903DE"/>
    <w:rsid w:val="00B905BC"/>
    <w:rsid w:val="00B90629"/>
    <w:rsid w:val="00B908B1"/>
    <w:rsid w:val="00B9095A"/>
    <w:rsid w:val="00B90B9C"/>
    <w:rsid w:val="00B90C73"/>
    <w:rsid w:val="00B90CA9"/>
    <w:rsid w:val="00B91384"/>
    <w:rsid w:val="00B914B0"/>
    <w:rsid w:val="00B915B2"/>
    <w:rsid w:val="00B91906"/>
    <w:rsid w:val="00B91B72"/>
    <w:rsid w:val="00B91CDC"/>
    <w:rsid w:val="00B920D9"/>
    <w:rsid w:val="00B923A6"/>
    <w:rsid w:val="00B92400"/>
    <w:rsid w:val="00B9277C"/>
    <w:rsid w:val="00B92D0B"/>
    <w:rsid w:val="00B92EC5"/>
    <w:rsid w:val="00B932AE"/>
    <w:rsid w:val="00B9387C"/>
    <w:rsid w:val="00B93B23"/>
    <w:rsid w:val="00B93FC0"/>
    <w:rsid w:val="00B940A0"/>
    <w:rsid w:val="00B94147"/>
    <w:rsid w:val="00B94467"/>
    <w:rsid w:val="00B944B3"/>
    <w:rsid w:val="00B9453F"/>
    <w:rsid w:val="00B94612"/>
    <w:rsid w:val="00B948CC"/>
    <w:rsid w:val="00B94945"/>
    <w:rsid w:val="00B949D7"/>
    <w:rsid w:val="00B94A23"/>
    <w:rsid w:val="00B94DD6"/>
    <w:rsid w:val="00B959EA"/>
    <w:rsid w:val="00B95A13"/>
    <w:rsid w:val="00B95B88"/>
    <w:rsid w:val="00B95E9F"/>
    <w:rsid w:val="00B95EC0"/>
    <w:rsid w:val="00B9609E"/>
    <w:rsid w:val="00B9647A"/>
    <w:rsid w:val="00B966C7"/>
    <w:rsid w:val="00B966F5"/>
    <w:rsid w:val="00B9674C"/>
    <w:rsid w:val="00B96B93"/>
    <w:rsid w:val="00B96DD2"/>
    <w:rsid w:val="00B973C0"/>
    <w:rsid w:val="00B9760F"/>
    <w:rsid w:val="00B9773C"/>
    <w:rsid w:val="00B9786C"/>
    <w:rsid w:val="00BA040A"/>
    <w:rsid w:val="00BA0518"/>
    <w:rsid w:val="00BA065B"/>
    <w:rsid w:val="00BA0906"/>
    <w:rsid w:val="00BA0C20"/>
    <w:rsid w:val="00BA0C64"/>
    <w:rsid w:val="00BA0E48"/>
    <w:rsid w:val="00BA0F08"/>
    <w:rsid w:val="00BA119B"/>
    <w:rsid w:val="00BA11E1"/>
    <w:rsid w:val="00BA11ED"/>
    <w:rsid w:val="00BA1288"/>
    <w:rsid w:val="00BA1749"/>
    <w:rsid w:val="00BA19AF"/>
    <w:rsid w:val="00BA1A93"/>
    <w:rsid w:val="00BA1CA2"/>
    <w:rsid w:val="00BA1E1F"/>
    <w:rsid w:val="00BA1ED0"/>
    <w:rsid w:val="00BA1F15"/>
    <w:rsid w:val="00BA2352"/>
    <w:rsid w:val="00BA2873"/>
    <w:rsid w:val="00BA2F0F"/>
    <w:rsid w:val="00BA316C"/>
    <w:rsid w:val="00BA31CA"/>
    <w:rsid w:val="00BA322D"/>
    <w:rsid w:val="00BA32DA"/>
    <w:rsid w:val="00BA3331"/>
    <w:rsid w:val="00BA3778"/>
    <w:rsid w:val="00BA37F0"/>
    <w:rsid w:val="00BA3B25"/>
    <w:rsid w:val="00BA3C82"/>
    <w:rsid w:val="00BA3CE0"/>
    <w:rsid w:val="00BA3E9B"/>
    <w:rsid w:val="00BA4102"/>
    <w:rsid w:val="00BA41A9"/>
    <w:rsid w:val="00BA4559"/>
    <w:rsid w:val="00BA47F2"/>
    <w:rsid w:val="00BA480A"/>
    <w:rsid w:val="00BA4836"/>
    <w:rsid w:val="00BA48D3"/>
    <w:rsid w:val="00BA4AFE"/>
    <w:rsid w:val="00BA4D75"/>
    <w:rsid w:val="00BA4DE7"/>
    <w:rsid w:val="00BA5019"/>
    <w:rsid w:val="00BA5399"/>
    <w:rsid w:val="00BA57D5"/>
    <w:rsid w:val="00BA58FB"/>
    <w:rsid w:val="00BA5908"/>
    <w:rsid w:val="00BA597D"/>
    <w:rsid w:val="00BA5DB8"/>
    <w:rsid w:val="00BA63F3"/>
    <w:rsid w:val="00BA63FA"/>
    <w:rsid w:val="00BA645B"/>
    <w:rsid w:val="00BA6553"/>
    <w:rsid w:val="00BA65D4"/>
    <w:rsid w:val="00BA6868"/>
    <w:rsid w:val="00BA6C7B"/>
    <w:rsid w:val="00BA7239"/>
    <w:rsid w:val="00BA7293"/>
    <w:rsid w:val="00BA73CE"/>
    <w:rsid w:val="00BA73F2"/>
    <w:rsid w:val="00BA7760"/>
    <w:rsid w:val="00BA7884"/>
    <w:rsid w:val="00BA7C31"/>
    <w:rsid w:val="00BA7EE9"/>
    <w:rsid w:val="00BB00B3"/>
    <w:rsid w:val="00BB0226"/>
    <w:rsid w:val="00BB02AF"/>
    <w:rsid w:val="00BB064B"/>
    <w:rsid w:val="00BB0BDD"/>
    <w:rsid w:val="00BB0D9C"/>
    <w:rsid w:val="00BB0F14"/>
    <w:rsid w:val="00BB106E"/>
    <w:rsid w:val="00BB133F"/>
    <w:rsid w:val="00BB176C"/>
    <w:rsid w:val="00BB17AD"/>
    <w:rsid w:val="00BB17E2"/>
    <w:rsid w:val="00BB18DE"/>
    <w:rsid w:val="00BB1980"/>
    <w:rsid w:val="00BB1E99"/>
    <w:rsid w:val="00BB1F27"/>
    <w:rsid w:val="00BB28A0"/>
    <w:rsid w:val="00BB2A73"/>
    <w:rsid w:val="00BB36F8"/>
    <w:rsid w:val="00BB3A45"/>
    <w:rsid w:val="00BB3B55"/>
    <w:rsid w:val="00BB3DD6"/>
    <w:rsid w:val="00BB3E9F"/>
    <w:rsid w:val="00BB413B"/>
    <w:rsid w:val="00BB4227"/>
    <w:rsid w:val="00BB4313"/>
    <w:rsid w:val="00BB451E"/>
    <w:rsid w:val="00BB4ACC"/>
    <w:rsid w:val="00BB509C"/>
    <w:rsid w:val="00BB519A"/>
    <w:rsid w:val="00BB51A8"/>
    <w:rsid w:val="00BB544D"/>
    <w:rsid w:val="00BB5B09"/>
    <w:rsid w:val="00BB620F"/>
    <w:rsid w:val="00BB67DE"/>
    <w:rsid w:val="00BB6B7B"/>
    <w:rsid w:val="00BB6D68"/>
    <w:rsid w:val="00BB6FB7"/>
    <w:rsid w:val="00BB703E"/>
    <w:rsid w:val="00BB7123"/>
    <w:rsid w:val="00BB729F"/>
    <w:rsid w:val="00BB732D"/>
    <w:rsid w:val="00BB735D"/>
    <w:rsid w:val="00BB7405"/>
    <w:rsid w:val="00BB79C2"/>
    <w:rsid w:val="00BB7AA1"/>
    <w:rsid w:val="00BB7D95"/>
    <w:rsid w:val="00BB7E9F"/>
    <w:rsid w:val="00BB7F5D"/>
    <w:rsid w:val="00BC0156"/>
    <w:rsid w:val="00BC0EA1"/>
    <w:rsid w:val="00BC118D"/>
    <w:rsid w:val="00BC1234"/>
    <w:rsid w:val="00BC1327"/>
    <w:rsid w:val="00BC15BC"/>
    <w:rsid w:val="00BC1C17"/>
    <w:rsid w:val="00BC1C2D"/>
    <w:rsid w:val="00BC1E55"/>
    <w:rsid w:val="00BC2063"/>
    <w:rsid w:val="00BC2112"/>
    <w:rsid w:val="00BC2158"/>
    <w:rsid w:val="00BC230A"/>
    <w:rsid w:val="00BC24F0"/>
    <w:rsid w:val="00BC250B"/>
    <w:rsid w:val="00BC28A1"/>
    <w:rsid w:val="00BC29D9"/>
    <w:rsid w:val="00BC2FED"/>
    <w:rsid w:val="00BC2FFE"/>
    <w:rsid w:val="00BC347D"/>
    <w:rsid w:val="00BC35CF"/>
    <w:rsid w:val="00BC3631"/>
    <w:rsid w:val="00BC3654"/>
    <w:rsid w:val="00BC3AF3"/>
    <w:rsid w:val="00BC3C4F"/>
    <w:rsid w:val="00BC3CBF"/>
    <w:rsid w:val="00BC411A"/>
    <w:rsid w:val="00BC4B04"/>
    <w:rsid w:val="00BC4DCF"/>
    <w:rsid w:val="00BC4DD7"/>
    <w:rsid w:val="00BC4FD2"/>
    <w:rsid w:val="00BC5407"/>
    <w:rsid w:val="00BC5810"/>
    <w:rsid w:val="00BC582A"/>
    <w:rsid w:val="00BC58A1"/>
    <w:rsid w:val="00BC591F"/>
    <w:rsid w:val="00BC5D02"/>
    <w:rsid w:val="00BC5FDB"/>
    <w:rsid w:val="00BC64FD"/>
    <w:rsid w:val="00BC65E2"/>
    <w:rsid w:val="00BC6C04"/>
    <w:rsid w:val="00BC6CCE"/>
    <w:rsid w:val="00BC7C1F"/>
    <w:rsid w:val="00BC7C63"/>
    <w:rsid w:val="00BC7C8F"/>
    <w:rsid w:val="00BC7D6D"/>
    <w:rsid w:val="00BC7E1D"/>
    <w:rsid w:val="00BD0064"/>
    <w:rsid w:val="00BD0476"/>
    <w:rsid w:val="00BD049A"/>
    <w:rsid w:val="00BD0C49"/>
    <w:rsid w:val="00BD0C8D"/>
    <w:rsid w:val="00BD0D52"/>
    <w:rsid w:val="00BD115C"/>
    <w:rsid w:val="00BD126A"/>
    <w:rsid w:val="00BD136C"/>
    <w:rsid w:val="00BD1432"/>
    <w:rsid w:val="00BD14BC"/>
    <w:rsid w:val="00BD15B0"/>
    <w:rsid w:val="00BD1B9C"/>
    <w:rsid w:val="00BD1C45"/>
    <w:rsid w:val="00BD2016"/>
    <w:rsid w:val="00BD2108"/>
    <w:rsid w:val="00BD29CF"/>
    <w:rsid w:val="00BD2E3E"/>
    <w:rsid w:val="00BD2ED0"/>
    <w:rsid w:val="00BD3010"/>
    <w:rsid w:val="00BD30D2"/>
    <w:rsid w:val="00BD34BA"/>
    <w:rsid w:val="00BD35E4"/>
    <w:rsid w:val="00BD362B"/>
    <w:rsid w:val="00BD3935"/>
    <w:rsid w:val="00BD3CAC"/>
    <w:rsid w:val="00BD47EA"/>
    <w:rsid w:val="00BD4D63"/>
    <w:rsid w:val="00BD4DEF"/>
    <w:rsid w:val="00BD5016"/>
    <w:rsid w:val="00BD5685"/>
    <w:rsid w:val="00BD56BA"/>
    <w:rsid w:val="00BD57C6"/>
    <w:rsid w:val="00BD5AF0"/>
    <w:rsid w:val="00BD5B41"/>
    <w:rsid w:val="00BD5B78"/>
    <w:rsid w:val="00BD6005"/>
    <w:rsid w:val="00BD6145"/>
    <w:rsid w:val="00BD63BD"/>
    <w:rsid w:val="00BD6649"/>
    <w:rsid w:val="00BD68A3"/>
    <w:rsid w:val="00BD6938"/>
    <w:rsid w:val="00BD6A85"/>
    <w:rsid w:val="00BD6CAF"/>
    <w:rsid w:val="00BD6CF3"/>
    <w:rsid w:val="00BD70DE"/>
    <w:rsid w:val="00BD7122"/>
    <w:rsid w:val="00BD7564"/>
    <w:rsid w:val="00BD75FB"/>
    <w:rsid w:val="00BD7737"/>
    <w:rsid w:val="00BD7C8F"/>
    <w:rsid w:val="00BE0180"/>
    <w:rsid w:val="00BE02EE"/>
    <w:rsid w:val="00BE04C0"/>
    <w:rsid w:val="00BE0BBD"/>
    <w:rsid w:val="00BE0ECA"/>
    <w:rsid w:val="00BE1160"/>
    <w:rsid w:val="00BE1B98"/>
    <w:rsid w:val="00BE1C0F"/>
    <w:rsid w:val="00BE1E87"/>
    <w:rsid w:val="00BE202B"/>
    <w:rsid w:val="00BE2110"/>
    <w:rsid w:val="00BE217C"/>
    <w:rsid w:val="00BE2180"/>
    <w:rsid w:val="00BE21F2"/>
    <w:rsid w:val="00BE25B8"/>
    <w:rsid w:val="00BE298D"/>
    <w:rsid w:val="00BE2C35"/>
    <w:rsid w:val="00BE2C75"/>
    <w:rsid w:val="00BE2E2C"/>
    <w:rsid w:val="00BE300C"/>
    <w:rsid w:val="00BE3084"/>
    <w:rsid w:val="00BE324D"/>
    <w:rsid w:val="00BE3364"/>
    <w:rsid w:val="00BE33A4"/>
    <w:rsid w:val="00BE3A8A"/>
    <w:rsid w:val="00BE3DB0"/>
    <w:rsid w:val="00BE3F86"/>
    <w:rsid w:val="00BE4275"/>
    <w:rsid w:val="00BE45B9"/>
    <w:rsid w:val="00BE47C8"/>
    <w:rsid w:val="00BE47F5"/>
    <w:rsid w:val="00BE489B"/>
    <w:rsid w:val="00BE5940"/>
    <w:rsid w:val="00BE62F6"/>
    <w:rsid w:val="00BE645F"/>
    <w:rsid w:val="00BE69D5"/>
    <w:rsid w:val="00BE6A0D"/>
    <w:rsid w:val="00BE6AB5"/>
    <w:rsid w:val="00BE6CBB"/>
    <w:rsid w:val="00BE72CB"/>
    <w:rsid w:val="00BE754B"/>
    <w:rsid w:val="00BE7636"/>
    <w:rsid w:val="00BE7B08"/>
    <w:rsid w:val="00BE7DCC"/>
    <w:rsid w:val="00BE7F64"/>
    <w:rsid w:val="00BF011A"/>
    <w:rsid w:val="00BF0311"/>
    <w:rsid w:val="00BF0346"/>
    <w:rsid w:val="00BF04C8"/>
    <w:rsid w:val="00BF0571"/>
    <w:rsid w:val="00BF06AE"/>
    <w:rsid w:val="00BF091E"/>
    <w:rsid w:val="00BF09DE"/>
    <w:rsid w:val="00BF0EB7"/>
    <w:rsid w:val="00BF0F95"/>
    <w:rsid w:val="00BF1232"/>
    <w:rsid w:val="00BF12B3"/>
    <w:rsid w:val="00BF1426"/>
    <w:rsid w:val="00BF1599"/>
    <w:rsid w:val="00BF1643"/>
    <w:rsid w:val="00BF16BC"/>
    <w:rsid w:val="00BF2433"/>
    <w:rsid w:val="00BF2840"/>
    <w:rsid w:val="00BF28EC"/>
    <w:rsid w:val="00BF292A"/>
    <w:rsid w:val="00BF2D81"/>
    <w:rsid w:val="00BF2F30"/>
    <w:rsid w:val="00BF2FCA"/>
    <w:rsid w:val="00BF3529"/>
    <w:rsid w:val="00BF362F"/>
    <w:rsid w:val="00BF394B"/>
    <w:rsid w:val="00BF3A5F"/>
    <w:rsid w:val="00BF3B08"/>
    <w:rsid w:val="00BF445A"/>
    <w:rsid w:val="00BF44B2"/>
    <w:rsid w:val="00BF470A"/>
    <w:rsid w:val="00BF4719"/>
    <w:rsid w:val="00BF471A"/>
    <w:rsid w:val="00BF48C4"/>
    <w:rsid w:val="00BF48C7"/>
    <w:rsid w:val="00BF4C3A"/>
    <w:rsid w:val="00BF50F7"/>
    <w:rsid w:val="00BF5223"/>
    <w:rsid w:val="00BF54A5"/>
    <w:rsid w:val="00BF59AC"/>
    <w:rsid w:val="00BF5EE3"/>
    <w:rsid w:val="00BF603E"/>
    <w:rsid w:val="00BF61C9"/>
    <w:rsid w:val="00BF653E"/>
    <w:rsid w:val="00BF69BB"/>
    <w:rsid w:val="00BF6C94"/>
    <w:rsid w:val="00BF6F15"/>
    <w:rsid w:val="00BF72D4"/>
    <w:rsid w:val="00BF7692"/>
    <w:rsid w:val="00BF78AE"/>
    <w:rsid w:val="00BF78E4"/>
    <w:rsid w:val="00BF7BDA"/>
    <w:rsid w:val="00C00424"/>
    <w:rsid w:val="00C008AF"/>
    <w:rsid w:val="00C010A3"/>
    <w:rsid w:val="00C01191"/>
    <w:rsid w:val="00C01291"/>
    <w:rsid w:val="00C01453"/>
    <w:rsid w:val="00C014FC"/>
    <w:rsid w:val="00C01D68"/>
    <w:rsid w:val="00C02064"/>
    <w:rsid w:val="00C02334"/>
    <w:rsid w:val="00C0235F"/>
    <w:rsid w:val="00C0273E"/>
    <w:rsid w:val="00C02822"/>
    <w:rsid w:val="00C0287D"/>
    <w:rsid w:val="00C02944"/>
    <w:rsid w:val="00C02CA2"/>
    <w:rsid w:val="00C03100"/>
    <w:rsid w:val="00C0316C"/>
    <w:rsid w:val="00C038DE"/>
    <w:rsid w:val="00C03B0B"/>
    <w:rsid w:val="00C03B86"/>
    <w:rsid w:val="00C03E35"/>
    <w:rsid w:val="00C03EAD"/>
    <w:rsid w:val="00C04848"/>
    <w:rsid w:val="00C04887"/>
    <w:rsid w:val="00C04B66"/>
    <w:rsid w:val="00C052B7"/>
    <w:rsid w:val="00C05367"/>
    <w:rsid w:val="00C055C2"/>
    <w:rsid w:val="00C05809"/>
    <w:rsid w:val="00C05ED4"/>
    <w:rsid w:val="00C061AE"/>
    <w:rsid w:val="00C06287"/>
    <w:rsid w:val="00C063D4"/>
    <w:rsid w:val="00C064E9"/>
    <w:rsid w:val="00C066E8"/>
    <w:rsid w:val="00C069E7"/>
    <w:rsid w:val="00C06E76"/>
    <w:rsid w:val="00C06FCD"/>
    <w:rsid w:val="00C06FF4"/>
    <w:rsid w:val="00C072D6"/>
    <w:rsid w:val="00C0731F"/>
    <w:rsid w:val="00C07483"/>
    <w:rsid w:val="00C078A2"/>
    <w:rsid w:val="00C07E78"/>
    <w:rsid w:val="00C10020"/>
    <w:rsid w:val="00C104CD"/>
    <w:rsid w:val="00C106F9"/>
    <w:rsid w:val="00C11057"/>
    <w:rsid w:val="00C110E2"/>
    <w:rsid w:val="00C113C7"/>
    <w:rsid w:val="00C1168E"/>
    <w:rsid w:val="00C1179F"/>
    <w:rsid w:val="00C11C8A"/>
    <w:rsid w:val="00C12856"/>
    <w:rsid w:val="00C1297A"/>
    <w:rsid w:val="00C12C14"/>
    <w:rsid w:val="00C12D50"/>
    <w:rsid w:val="00C137F0"/>
    <w:rsid w:val="00C13A54"/>
    <w:rsid w:val="00C13E09"/>
    <w:rsid w:val="00C13FAF"/>
    <w:rsid w:val="00C14067"/>
    <w:rsid w:val="00C140BE"/>
    <w:rsid w:val="00C145B7"/>
    <w:rsid w:val="00C147A6"/>
    <w:rsid w:val="00C147EE"/>
    <w:rsid w:val="00C14A76"/>
    <w:rsid w:val="00C14B00"/>
    <w:rsid w:val="00C152AD"/>
    <w:rsid w:val="00C153F7"/>
    <w:rsid w:val="00C154D2"/>
    <w:rsid w:val="00C15522"/>
    <w:rsid w:val="00C15999"/>
    <w:rsid w:val="00C15C72"/>
    <w:rsid w:val="00C15F04"/>
    <w:rsid w:val="00C15F8A"/>
    <w:rsid w:val="00C164D3"/>
    <w:rsid w:val="00C165BD"/>
    <w:rsid w:val="00C1664F"/>
    <w:rsid w:val="00C168DB"/>
    <w:rsid w:val="00C16932"/>
    <w:rsid w:val="00C177A7"/>
    <w:rsid w:val="00C179B3"/>
    <w:rsid w:val="00C17C0D"/>
    <w:rsid w:val="00C17E3F"/>
    <w:rsid w:val="00C17E8A"/>
    <w:rsid w:val="00C17F28"/>
    <w:rsid w:val="00C17F6D"/>
    <w:rsid w:val="00C200AA"/>
    <w:rsid w:val="00C20356"/>
    <w:rsid w:val="00C20417"/>
    <w:rsid w:val="00C20A36"/>
    <w:rsid w:val="00C20D2F"/>
    <w:rsid w:val="00C212C7"/>
    <w:rsid w:val="00C216F9"/>
    <w:rsid w:val="00C21830"/>
    <w:rsid w:val="00C21C29"/>
    <w:rsid w:val="00C21C77"/>
    <w:rsid w:val="00C22017"/>
    <w:rsid w:val="00C22713"/>
    <w:rsid w:val="00C230B9"/>
    <w:rsid w:val="00C232C8"/>
    <w:rsid w:val="00C23386"/>
    <w:rsid w:val="00C2357E"/>
    <w:rsid w:val="00C237ED"/>
    <w:rsid w:val="00C23A1F"/>
    <w:rsid w:val="00C23CF8"/>
    <w:rsid w:val="00C23F00"/>
    <w:rsid w:val="00C24062"/>
    <w:rsid w:val="00C2411C"/>
    <w:rsid w:val="00C24407"/>
    <w:rsid w:val="00C24632"/>
    <w:rsid w:val="00C24646"/>
    <w:rsid w:val="00C24815"/>
    <w:rsid w:val="00C24A7F"/>
    <w:rsid w:val="00C24E70"/>
    <w:rsid w:val="00C2507F"/>
    <w:rsid w:val="00C25418"/>
    <w:rsid w:val="00C25499"/>
    <w:rsid w:val="00C2559E"/>
    <w:rsid w:val="00C2561D"/>
    <w:rsid w:val="00C25925"/>
    <w:rsid w:val="00C25945"/>
    <w:rsid w:val="00C25C86"/>
    <w:rsid w:val="00C25D14"/>
    <w:rsid w:val="00C25D9C"/>
    <w:rsid w:val="00C25E95"/>
    <w:rsid w:val="00C26455"/>
    <w:rsid w:val="00C26498"/>
    <w:rsid w:val="00C26532"/>
    <w:rsid w:val="00C267B9"/>
    <w:rsid w:val="00C267FF"/>
    <w:rsid w:val="00C26949"/>
    <w:rsid w:val="00C26A25"/>
    <w:rsid w:val="00C26C43"/>
    <w:rsid w:val="00C272E0"/>
    <w:rsid w:val="00C27728"/>
    <w:rsid w:val="00C2778B"/>
    <w:rsid w:val="00C27BA2"/>
    <w:rsid w:val="00C27DDC"/>
    <w:rsid w:val="00C27EE1"/>
    <w:rsid w:val="00C3001B"/>
    <w:rsid w:val="00C30239"/>
    <w:rsid w:val="00C3030D"/>
    <w:rsid w:val="00C30494"/>
    <w:rsid w:val="00C305B4"/>
    <w:rsid w:val="00C30698"/>
    <w:rsid w:val="00C307C3"/>
    <w:rsid w:val="00C30C06"/>
    <w:rsid w:val="00C3115F"/>
    <w:rsid w:val="00C31201"/>
    <w:rsid w:val="00C315C6"/>
    <w:rsid w:val="00C31649"/>
    <w:rsid w:val="00C31C70"/>
    <w:rsid w:val="00C31F1D"/>
    <w:rsid w:val="00C323F9"/>
    <w:rsid w:val="00C324B9"/>
    <w:rsid w:val="00C328C5"/>
    <w:rsid w:val="00C329B4"/>
    <w:rsid w:val="00C329DF"/>
    <w:rsid w:val="00C32E48"/>
    <w:rsid w:val="00C3301A"/>
    <w:rsid w:val="00C330F3"/>
    <w:rsid w:val="00C331F4"/>
    <w:rsid w:val="00C3322F"/>
    <w:rsid w:val="00C33584"/>
    <w:rsid w:val="00C335CE"/>
    <w:rsid w:val="00C3392D"/>
    <w:rsid w:val="00C33948"/>
    <w:rsid w:val="00C3394D"/>
    <w:rsid w:val="00C33E10"/>
    <w:rsid w:val="00C33E91"/>
    <w:rsid w:val="00C34004"/>
    <w:rsid w:val="00C340D9"/>
    <w:rsid w:val="00C34327"/>
    <w:rsid w:val="00C34336"/>
    <w:rsid w:val="00C3434C"/>
    <w:rsid w:val="00C34359"/>
    <w:rsid w:val="00C3449B"/>
    <w:rsid w:val="00C344AF"/>
    <w:rsid w:val="00C34A52"/>
    <w:rsid w:val="00C358A5"/>
    <w:rsid w:val="00C35D3B"/>
    <w:rsid w:val="00C35EC8"/>
    <w:rsid w:val="00C35EDA"/>
    <w:rsid w:val="00C35EFE"/>
    <w:rsid w:val="00C36930"/>
    <w:rsid w:val="00C3693E"/>
    <w:rsid w:val="00C36C2C"/>
    <w:rsid w:val="00C36CFC"/>
    <w:rsid w:val="00C36E14"/>
    <w:rsid w:val="00C36EC5"/>
    <w:rsid w:val="00C36F21"/>
    <w:rsid w:val="00C36F41"/>
    <w:rsid w:val="00C36FA0"/>
    <w:rsid w:val="00C3735D"/>
    <w:rsid w:val="00C3771B"/>
    <w:rsid w:val="00C37CBA"/>
    <w:rsid w:val="00C37D2B"/>
    <w:rsid w:val="00C37D8F"/>
    <w:rsid w:val="00C37ECB"/>
    <w:rsid w:val="00C37F0D"/>
    <w:rsid w:val="00C40385"/>
    <w:rsid w:val="00C4049C"/>
    <w:rsid w:val="00C40802"/>
    <w:rsid w:val="00C40890"/>
    <w:rsid w:val="00C409B6"/>
    <w:rsid w:val="00C40B7F"/>
    <w:rsid w:val="00C40C3C"/>
    <w:rsid w:val="00C40FDB"/>
    <w:rsid w:val="00C4118D"/>
    <w:rsid w:val="00C412DF"/>
    <w:rsid w:val="00C4141E"/>
    <w:rsid w:val="00C4148B"/>
    <w:rsid w:val="00C41745"/>
    <w:rsid w:val="00C41768"/>
    <w:rsid w:val="00C41886"/>
    <w:rsid w:val="00C41B59"/>
    <w:rsid w:val="00C41D58"/>
    <w:rsid w:val="00C41E1B"/>
    <w:rsid w:val="00C41EEE"/>
    <w:rsid w:val="00C41FD4"/>
    <w:rsid w:val="00C420EF"/>
    <w:rsid w:val="00C42299"/>
    <w:rsid w:val="00C42369"/>
    <w:rsid w:val="00C42531"/>
    <w:rsid w:val="00C425AB"/>
    <w:rsid w:val="00C425C2"/>
    <w:rsid w:val="00C428B3"/>
    <w:rsid w:val="00C43229"/>
    <w:rsid w:val="00C433E4"/>
    <w:rsid w:val="00C43429"/>
    <w:rsid w:val="00C43649"/>
    <w:rsid w:val="00C436BF"/>
    <w:rsid w:val="00C436CA"/>
    <w:rsid w:val="00C4385A"/>
    <w:rsid w:val="00C43950"/>
    <w:rsid w:val="00C4398F"/>
    <w:rsid w:val="00C43B80"/>
    <w:rsid w:val="00C43BA4"/>
    <w:rsid w:val="00C44B93"/>
    <w:rsid w:val="00C45417"/>
    <w:rsid w:val="00C455EA"/>
    <w:rsid w:val="00C45BBF"/>
    <w:rsid w:val="00C462F7"/>
    <w:rsid w:val="00C4639B"/>
    <w:rsid w:val="00C4641E"/>
    <w:rsid w:val="00C464ED"/>
    <w:rsid w:val="00C464F0"/>
    <w:rsid w:val="00C46625"/>
    <w:rsid w:val="00C46687"/>
    <w:rsid w:val="00C467D3"/>
    <w:rsid w:val="00C4684F"/>
    <w:rsid w:val="00C4687C"/>
    <w:rsid w:val="00C46930"/>
    <w:rsid w:val="00C46C8C"/>
    <w:rsid w:val="00C46F0B"/>
    <w:rsid w:val="00C472FD"/>
    <w:rsid w:val="00C475AA"/>
    <w:rsid w:val="00C47B3D"/>
    <w:rsid w:val="00C47DB4"/>
    <w:rsid w:val="00C47FA8"/>
    <w:rsid w:val="00C503CC"/>
    <w:rsid w:val="00C50B37"/>
    <w:rsid w:val="00C50E6C"/>
    <w:rsid w:val="00C51C0B"/>
    <w:rsid w:val="00C51F9A"/>
    <w:rsid w:val="00C521C2"/>
    <w:rsid w:val="00C522A7"/>
    <w:rsid w:val="00C5233C"/>
    <w:rsid w:val="00C525A2"/>
    <w:rsid w:val="00C52B4F"/>
    <w:rsid w:val="00C531CB"/>
    <w:rsid w:val="00C536F7"/>
    <w:rsid w:val="00C53738"/>
    <w:rsid w:val="00C53BF6"/>
    <w:rsid w:val="00C53C98"/>
    <w:rsid w:val="00C53D18"/>
    <w:rsid w:val="00C545D3"/>
    <w:rsid w:val="00C54B3F"/>
    <w:rsid w:val="00C54B49"/>
    <w:rsid w:val="00C54C97"/>
    <w:rsid w:val="00C54C9E"/>
    <w:rsid w:val="00C54E10"/>
    <w:rsid w:val="00C54E92"/>
    <w:rsid w:val="00C54F9A"/>
    <w:rsid w:val="00C560D9"/>
    <w:rsid w:val="00C5624B"/>
    <w:rsid w:val="00C562C1"/>
    <w:rsid w:val="00C562F1"/>
    <w:rsid w:val="00C56442"/>
    <w:rsid w:val="00C5661F"/>
    <w:rsid w:val="00C56FCF"/>
    <w:rsid w:val="00C56FE2"/>
    <w:rsid w:val="00C573D5"/>
    <w:rsid w:val="00C57415"/>
    <w:rsid w:val="00C5774E"/>
    <w:rsid w:val="00C5777E"/>
    <w:rsid w:val="00C57B08"/>
    <w:rsid w:val="00C57B6C"/>
    <w:rsid w:val="00C57B72"/>
    <w:rsid w:val="00C57FFA"/>
    <w:rsid w:val="00C600C2"/>
    <w:rsid w:val="00C6033A"/>
    <w:rsid w:val="00C6090F"/>
    <w:rsid w:val="00C609C2"/>
    <w:rsid w:val="00C60CA7"/>
    <w:rsid w:val="00C6117C"/>
    <w:rsid w:val="00C615D6"/>
    <w:rsid w:val="00C6188E"/>
    <w:rsid w:val="00C61BF1"/>
    <w:rsid w:val="00C61F71"/>
    <w:rsid w:val="00C61F7A"/>
    <w:rsid w:val="00C61FCF"/>
    <w:rsid w:val="00C624F0"/>
    <w:rsid w:val="00C62602"/>
    <w:rsid w:val="00C628A6"/>
    <w:rsid w:val="00C62FBF"/>
    <w:rsid w:val="00C63007"/>
    <w:rsid w:val="00C63030"/>
    <w:rsid w:val="00C6330C"/>
    <w:rsid w:val="00C63A02"/>
    <w:rsid w:val="00C63CBC"/>
    <w:rsid w:val="00C63EB3"/>
    <w:rsid w:val="00C63FB1"/>
    <w:rsid w:val="00C642BA"/>
    <w:rsid w:val="00C64344"/>
    <w:rsid w:val="00C64373"/>
    <w:rsid w:val="00C64657"/>
    <w:rsid w:val="00C648EE"/>
    <w:rsid w:val="00C6493C"/>
    <w:rsid w:val="00C64A15"/>
    <w:rsid w:val="00C65108"/>
    <w:rsid w:val="00C65160"/>
    <w:rsid w:val="00C65576"/>
    <w:rsid w:val="00C65618"/>
    <w:rsid w:val="00C65F11"/>
    <w:rsid w:val="00C66165"/>
    <w:rsid w:val="00C661DC"/>
    <w:rsid w:val="00C66729"/>
    <w:rsid w:val="00C669BA"/>
    <w:rsid w:val="00C67018"/>
    <w:rsid w:val="00C67033"/>
    <w:rsid w:val="00C670A9"/>
    <w:rsid w:val="00C67491"/>
    <w:rsid w:val="00C6771B"/>
    <w:rsid w:val="00C67743"/>
    <w:rsid w:val="00C67956"/>
    <w:rsid w:val="00C67FB3"/>
    <w:rsid w:val="00C70177"/>
    <w:rsid w:val="00C702F4"/>
    <w:rsid w:val="00C705BC"/>
    <w:rsid w:val="00C7060A"/>
    <w:rsid w:val="00C70877"/>
    <w:rsid w:val="00C708F4"/>
    <w:rsid w:val="00C70E3F"/>
    <w:rsid w:val="00C7106D"/>
    <w:rsid w:val="00C7118E"/>
    <w:rsid w:val="00C713AD"/>
    <w:rsid w:val="00C7151A"/>
    <w:rsid w:val="00C7156A"/>
    <w:rsid w:val="00C716C7"/>
    <w:rsid w:val="00C717E3"/>
    <w:rsid w:val="00C71F60"/>
    <w:rsid w:val="00C72208"/>
    <w:rsid w:val="00C72241"/>
    <w:rsid w:val="00C722BD"/>
    <w:rsid w:val="00C72CF4"/>
    <w:rsid w:val="00C7305F"/>
    <w:rsid w:val="00C73313"/>
    <w:rsid w:val="00C73323"/>
    <w:rsid w:val="00C7359B"/>
    <w:rsid w:val="00C735B3"/>
    <w:rsid w:val="00C73609"/>
    <w:rsid w:val="00C73CA9"/>
    <w:rsid w:val="00C73E6F"/>
    <w:rsid w:val="00C73F99"/>
    <w:rsid w:val="00C7411E"/>
    <w:rsid w:val="00C741D9"/>
    <w:rsid w:val="00C74211"/>
    <w:rsid w:val="00C74603"/>
    <w:rsid w:val="00C74666"/>
    <w:rsid w:val="00C74BB2"/>
    <w:rsid w:val="00C74D3A"/>
    <w:rsid w:val="00C74D8D"/>
    <w:rsid w:val="00C74ED7"/>
    <w:rsid w:val="00C750C8"/>
    <w:rsid w:val="00C751A9"/>
    <w:rsid w:val="00C7560F"/>
    <w:rsid w:val="00C75610"/>
    <w:rsid w:val="00C756F7"/>
    <w:rsid w:val="00C757E0"/>
    <w:rsid w:val="00C75B0C"/>
    <w:rsid w:val="00C75D1F"/>
    <w:rsid w:val="00C76243"/>
    <w:rsid w:val="00C76430"/>
    <w:rsid w:val="00C76461"/>
    <w:rsid w:val="00C7654A"/>
    <w:rsid w:val="00C76553"/>
    <w:rsid w:val="00C768A7"/>
    <w:rsid w:val="00C768C6"/>
    <w:rsid w:val="00C7697F"/>
    <w:rsid w:val="00C76AD4"/>
    <w:rsid w:val="00C76CCD"/>
    <w:rsid w:val="00C76EA5"/>
    <w:rsid w:val="00C76F6C"/>
    <w:rsid w:val="00C7705C"/>
    <w:rsid w:val="00C770D9"/>
    <w:rsid w:val="00C771AD"/>
    <w:rsid w:val="00C771DC"/>
    <w:rsid w:val="00C7776D"/>
    <w:rsid w:val="00C778DC"/>
    <w:rsid w:val="00C77949"/>
    <w:rsid w:val="00C77BB5"/>
    <w:rsid w:val="00C80189"/>
    <w:rsid w:val="00C80283"/>
    <w:rsid w:val="00C8039C"/>
    <w:rsid w:val="00C80402"/>
    <w:rsid w:val="00C80A0E"/>
    <w:rsid w:val="00C80CC6"/>
    <w:rsid w:val="00C81199"/>
    <w:rsid w:val="00C818CC"/>
    <w:rsid w:val="00C82054"/>
    <w:rsid w:val="00C8213F"/>
    <w:rsid w:val="00C821D8"/>
    <w:rsid w:val="00C824E1"/>
    <w:rsid w:val="00C8256A"/>
    <w:rsid w:val="00C825A8"/>
    <w:rsid w:val="00C82C6C"/>
    <w:rsid w:val="00C82F9B"/>
    <w:rsid w:val="00C837FB"/>
    <w:rsid w:val="00C83DA6"/>
    <w:rsid w:val="00C83ED2"/>
    <w:rsid w:val="00C84011"/>
    <w:rsid w:val="00C8427F"/>
    <w:rsid w:val="00C8435C"/>
    <w:rsid w:val="00C846F6"/>
    <w:rsid w:val="00C84AC9"/>
    <w:rsid w:val="00C84F41"/>
    <w:rsid w:val="00C850B1"/>
    <w:rsid w:val="00C85154"/>
    <w:rsid w:val="00C85F1D"/>
    <w:rsid w:val="00C85F7B"/>
    <w:rsid w:val="00C861C4"/>
    <w:rsid w:val="00C8688B"/>
    <w:rsid w:val="00C86954"/>
    <w:rsid w:val="00C86ACF"/>
    <w:rsid w:val="00C86B80"/>
    <w:rsid w:val="00C86C13"/>
    <w:rsid w:val="00C87056"/>
    <w:rsid w:val="00C8721B"/>
    <w:rsid w:val="00C872EF"/>
    <w:rsid w:val="00C8772E"/>
    <w:rsid w:val="00C877B6"/>
    <w:rsid w:val="00C8797A"/>
    <w:rsid w:val="00C879A5"/>
    <w:rsid w:val="00C900B7"/>
    <w:rsid w:val="00C900B8"/>
    <w:rsid w:val="00C90845"/>
    <w:rsid w:val="00C90C71"/>
    <w:rsid w:val="00C91000"/>
    <w:rsid w:val="00C91112"/>
    <w:rsid w:val="00C91312"/>
    <w:rsid w:val="00C91314"/>
    <w:rsid w:val="00C9131C"/>
    <w:rsid w:val="00C914BB"/>
    <w:rsid w:val="00C91692"/>
    <w:rsid w:val="00C917D5"/>
    <w:rsid w:val="00C9184E"/>
    <w:rsid w:val="00C9194E"/>
    <w:rsid w:val="00C91D81"/>
    <w:rsid w:val="00C91FD1"/>
    <w:rsid w:val="00C92035"/>
    <w:rsid w:val="00C92755"/>
    <w:rsid w:val="00C92D6C"/>
    <w:rsid w:val="00C92F36"/>
    <w:rsid w:val="00C931CF"/>
    <w:rsid w:val="00C938C4"/>
    <w:rsid w:val="00C938CF"/>
    <w:rsid w:val="00C93B74"/>
    <w:rsid w:val="00C94053"/>
    <w:rsid w:val="00C94506"/>
    <w:rsid w:val="00C9454E"/>
    <w:rsid w:val="00C947BF"/>
    <w:rsid w:val="00C9482F"/>
    <w:rsid w:val="00C94C48"/>
    <w:rsid w:val="00C94F8B"/>
    <w:rsid w:val="00C95045"/>
    <w:rsid w:val="00C95514"/>
    <w:rsid w:val="00C9560B"/>
    <w:rsid w:val="00C9561C"/>
    <w:rsid w:val="00C95C9E"/>
    <w:rsid w:val="00C95D65"/>
    <w:rsid w:val="00C95E81"/>
    <w:rsid w:val="00C95ED8"/>
    <w:rsid w:val="00C9624D"/>
    <w:rsid w:val="00C962FE"/>
    <w:rsid w:val="00C96435"/>
    <w:rsid w:val="00C96771"/>
    <w:rsid w:val="00C9685D"/>
    <w:rsid w:val="00C969DA"/>
    <w:rsid w:val="00C96CFC"/>
    <w:rsid w:val="00C96D6E"/>
    <w:rsid w:val="00C973DB"/>
    <w:rsid w:val="00C9775B"/>
    <w:rsid w:val="00C977A6"/>
    <w:rsid w:val="00C979CA"/>
    <w:rsid w:val="00CA023C"/>
    <w:rsid w:val="00CA03F1"/>
    <w:rsid w:val="00CA04C5"/>
    <w:rsid w:val="00CA059E"/>
    <w:rsid w:val="00CA0BD8"/>
    <w:rsid w:val="00CA0D4E"/>
    <w:rsid w:val="00CA1247"/>
    <w:rsid w:val="00CA12FC"/>
    <w:rsid w:val="00CA14BF"/>
    <w:rsid w:val="00CA1621"/>
    <w:rsid w:val="00CA16BC"/>
    <w:rsid w:val="00CA2538"/>
    <w:rsid w:val="00CA2658"/>
    <w:rsid w:val="00CA2B9F"/>
    <w:rsid w:val="00CA2C77"/>
    <w:rsid w:val="00CA2C96"/>
    <w:rsid w:val="00CA2DF0"/>
    <w:rsid w:val="00CA2E88"/>
    <w:rsid w:val="00CA3050"/>
    <w:rsid w:val="00CA3135"/>
    <w:rsid w:val="00CA346E"/>
    <w:rsid w:val="00CA3CDF"/>
    <w:rsid w:val="00CA3DBE"/>
    <w:rsid w:val="00CA444F"/>
    <w:rsid w:val="00CA4661"/>
    <w:rsid w:val="00CA4814"/>
    <w:rsid w:val="00CA4A77"/>
    <w:rsid w:val="00CA4F5D"/>
    <w:rsid w:val="00CA5004"/>
    <w:rsid w:val="00CA5245"/>
    <w:rsid w:val="00CA557B"/>
    <w:rsid w:val="00CA56CE"/>
    <w:rsid w:val="00CA5AB3"/>
    <w:rsid w:val="00CA615F"/>
    <w:rsid w:val="00CA616B"/>
    <w:rsid w:val="00CA6A4A"/>
    <w:rsid w:val="00CA6EFE"/>
    <w:rsid w:val="00CA6F26"/>
    <w:rsid w:val="00CA7146"/>
    <w:rsid w:val="00CA71F4"/>
    <w:rsid w:val="00CA7511"/>
    <w:rsid w:val="00CA7592"/>
    <w:rsid w:val="00CA78F3"/>
    <w:rsid w:val="00CA7AE7"/>
    <w:rsid w:val="00CA7B09"/>
    <w:rsid w:val="00CA7BC5"/>
    <w:rsid w:val="00CA7C35"/>
    <w:rsid w:val="00CA7FE9"/>
    <w:rsid w:val="00CB0566"/>
    <w:rsid w:val="00CB068E"/>
    <w:rsid w:val="00CB07A4"/>
    <w:rsid w:val="00CB07B4"/>
    <w:rsid w:val="00CB0B8C"/>
    <w:rsid w:val="00CB0F09"/>
    <w:rsid w:val="00CB12A5"/>
    <w:rsid w:val="00CB14EC"/>
    <w:rsid w:val="00CB1590"/>
    <w:rsid w:val="00CB170F"/>
    <w:rsid w:val="00CB19C8"/>
    <w:rsid w:val="00CB1CAC"/>
    <w:rsid w:val="00CB24A2"/>
    <w:rsid w:val="00CB25B8"/>
    <w:rsid w:val="00CB26D7"/>
    <w:rsid w:val="00CB2878"/>
    <w:rsid w:val="00CB29C3"/>
    <w:rsid w:val="00CB2BFC"/>
    <w:rsid w:val="00CB2CAE"/>
    <w:rsid w:val="00CB2DC7"/>
    <w:rsid w:val="00CB2F2A"/>
    <w:rsid w:val="00CB3329"/>
    <w:rsid w:val="00CB3746"/>
    <w:rsid w:val="00CB3987"/>
    <w:rsid w:val="00CB3A5C"/>
    <w:rsid w:val="00CB3A86"/>
    <w:rsid w:val="00CB3ABC"/>
    <w:rsid w:val="00CB3CF7"/>
    <w:rsid w:val="00CB3E9F"/>
    <w:rsid w:val="00CB4331"/>
    <w:rsid w:val="00CB439D"/>
    <w:rsid w:val="00CB44EF"/>
    <w:rsid w:val="00CB452F"/>
    <w:rsid w:val="00CB46A6"/>
    <w:rsid w:val="00CB5054"/>
    <w:rsid w:val="00CB52E6"/>
    <w:rsid w:val="00CB5B1A"/>
    <w:rsid w:val="00CB5B6A"/>
    <w:rsid w:val="00CB5D31"/>
    <w:rsid w:val="00CB610F"/>
    <w:rsid w:val="00CB6214"/>
    <w:rsid w:val="00CB6308"/>
    <w:rsid w:val="00CB64EE"/>
    <w:rsid w:val="00CB6534"/>
    <w:rsid w:val="00CB6B22"/>
    <w:rsid w:val="00CB6C83"/>
    <w:rsid w:val="00CB7203"/>
    <w:rsid w:val="00CB7467"/>
    <w:rsid w:val="00CB763C"/>
    <w:rsid w:val="00CB775A"/>
    <w:rsid w:val="00CB78A8"/>
    <w:rsid w:val="00CB78D1"/>
    <w:rsid w:val="00CB78E2"/>
    <w:rsid w:val="00CB7BEF"/>
    <w:rsid w:val="00CB7E10"/>
    <w:rsid w:val="00CB7ECD"/>
    <w:rsid w:val="00CB7F5F"/>
    <w:rsid w:val="00CC011F"/>
    <w:rsid w:val="00CC062C"/>
    <w:rsid w:val="00CC06C4"/>
    <w:rsid w:val="00CC1340"/>
    <w:rsid w:val="00CC13D3"/>
    <w:rsid w:val="00CC1B39"/>
    <w:rsid w:val="00CC223A"/>
    <w:rsid w:val="00CC2557"/>
    <w:rsid w:val="00CC2958"/>
    <w:rsid w:val="00CC2B62"/>
    <w:rsid w:val="00CC30DC"/>
    <w:rsid w:val="00CC314F"/>
    <w:rsid w:val="00CC319D"/>
    <w:rsid w:val="00CC338A"/>
    <w:rsid w:val="00CC35EA"/>
    <w:rsid w:val="00CC3848"/>
    <w:rsid w:val="00CC39E8"/>
    <w:rsid w:val="00CC3C2F"/>
    <w:rsid w:val="00CC3DA9"/>
    <w:rsid w:val="00CC3DE1"/>
    <w:rsid w:val="00CC3EE4"/>
    <w:rsid w:val="00CC3F01"/>
    <w:rsid w:val="00CC465C"/>
    <w:rsid w:val="00CC470C"/>
    <w:rsid w:val="00CC4C56"/>
    <w:rsid w:val="00CC4E03"/>
    <w:rsid w:val="00CC4FC4"/>
    <w:rsid w:val="00CC511E"/>
    <w:rsid w:val="00CC5206"/>
    <w:rsid w:val="00CC5C24"/>
    <w:rsid w:val="00CC5E85"/>
    <w:rsid w:val="00CC6249"/>
    <w:rsid w:val="00CC64C8"/>
    <w:rsid w:val="00CC6CAE"/>
    <w:rsid w:val="00CC6D70"/>
    <w:rsid w:val="00CC6FE8"/>
    <w:rsid w:val="00CC72B8"/>
    <w:rsid w:val="00CC74FE"/>
    <w:rsid w:val="00CC7AC1"/>
    <w:rsid w:val="00CC7D7A"/>
    <w:rsid w:val="00CC7DFB"/>
    <w:rsid w:val="00CC7F46"/>
    <w:rsid w:val="00CC7FB5"/>
    <w:rsid w:val="00CD0200"/>
    <w:rsid w:val="00CD069D"/>
    <w:rsid w:val="00CD07ED"/>
    <w:rsid w:val="00CD1349"/>
    <w:rsid w:val="00CD1E5D"/>
    <w:rsid w:val="00CD1E76"/>
    <w:rsid w:val="00CD1F34"/>
    <w:rsid w:val="00CD2247"/>
    <w:rsid w:val="00CD2251"/>
    <w:rsid w:val="00CD28B0"/>
    <w:rsid w:val="00CD2E81"/>
    <w:rsid w:val="00CD33C5"/>
    <w:rsid w:val="00CD3F2A"/>
    <w:rsid w:val="00CD3F77"/>
    <w:rsid w:val="00CD4095"/>
    <w:rsid w:val="00CD41BB"/>
    <w:rsid w:val="00CD4430"/>
    <w:rsid w:val="00CD446D"/>
    <w:rsid w:val="00CD4557"/>
    <w:rsid w:val="00CD469D"/>
    <w:rsid w:val="00CD46DB"/>
    <w:rsid w:val="00CD4985"/>
    <w:rsid w:val="00CD49BB"/>
    <w:rsid w:val="00CD49D8"/>
    <w:rsid w:val="00CD5140"/>
    <w:rsid w:val="00CD5149"/>
    <w:rsid w:val="00CD5434"/>
    <w:rsid w:val="00CD586D"/>
    <w:rsid w:val="00CD59CB"/>
    <w:rsid w:val="00CD5CE0"/>
    <w:rsid w:val="00CD64B0"/>
    <w:rsid w:val="00CD64CB"/>
    <w:rsid w:val="00CD65B1"/>
    <w:rsid w:val="00CD6913"/>
    <w:rsid w:val="00CD6ADC"/>
    <w:rsid w:val="00CD6C1E"/>
    <w:rsid w:val="00CD6C2D"/>
    <w:rsid w:val="00CD6C91"/>
    <w:rsid w:val="00CD6D4E"/>
    <w:rsid w:val="00CD6D87"/>
    <w:rsid w:val="00CD703F"/>
    <w:rsid w:val="00CD705A"/>
    <w:rsid w:val="00CD7169"/>
    <w:rsid w:val="00CD7193"/>
    <w:rsid w:val="00CD7390"/>
    <w:rsid w:val="00CD77A9"/>
    <w:rsid w:val="00CD7C89"/>
    <w:rsid w:val="00CD7EB4"/>
    <w:rsid w:val="00CE0DC7"/>
    <w:rsid w:val="00CE0DED"/>
    <w:rsid w:val="00CE0FC6"/>
    <w:rsid w:val="00CE19BD"/>
    <w:rsid w:val="00CE1CD5"/>
    <w:rsid w:val="00CE1CE0"/>
    <w:rsid w:val="00CE1CEF"/>
    <w:rsid w:val="00CE201E"/>
    <w:rsid w:val="00CE2488"/>
    <w:rsid w:val="00CE2539"/>
    <w:rsid w:val="00CE268A"/>
    <w:rsid w:val="00CE2836"/>
    <w:rsid w:val="00CE28CA"/>
    <w:rsid w:val="00CE2966"/>
    <w:rsid w:val="00CE2A06"/>
    <w:rsid w:val="00CE2A5C"/>
    <w:rsid w:val="00CE33DE"/>
    <w:rsid w:val="00CE3417"/>
    <w:rsid w:val="00CE3428"/>
    <w:rsid w:val="00CE38C8"/>
    <w:rsid w:val="00CE3A70"/>
    <w:rsid w:val="00CE3DC5"/>
    <w:rsid w:val="00CE3F44"/>
    <w:rsid w:val="00CE40D1"/>
    <w:rsid w:val="00CE40F0"/>
    <w:rsid w:val="00CE429A"/>
    <w:rsid w:val="00CE42EF"/>
    <w:rsid w:val="00CE4377"/>
    <w:rsid w:val="00CE4424"/>
    <w:rsid w:val="00CE485C"/>
    <w:rsid w:val="00CE496C"/>
    <w:rsid w:val="00CE52C1"/>
    <w:rsid w:val="00CE52C9"/>
    <w:rsid w:val="00CE530F"/>
    <w:rsid w:val="00CE57FF"/>
    <w:rsid w:val="00CE5A2E"/>
    <w:rsid w:val="00CE61CD"/>
    <w:rsid w:val="00CE6274"/>
    <w:rsid w:val="00CE67B7"/>
    <w:rsid w:val="00CE6B24"/>
    <w:rsid w:val="00CE6EEE"/>
    <w:rsid w:val="00CE6FE2"/>
    <w:rsid w:val="00CE725D"/>
    <w:rsid w:val="00CE725E"/>
    <w:rsid w:val="00CE75E0"/>
    <w:rsid w:val="00CE765E"/>
    <w:rsid w:val="00CE77B6"/>
    <w:rsid w:val="00CE7C03"/>
    <w:rsid w:val="00CE7D39"/>
    <w:rsid w:val="00CE7E11"/>
    <w:rsid w:val="00CE7FB4"/>
    <w:rsid w:val="00CF052B"/>
    <w:rsid w:val="00CF081C"/>
    <w:rsid w:val="00CF08CA"/>
    <w:rsid w:val="00CF0FE3"/>
    <w:rsid w:val="00CF105F"/>
    <w:rsid w:val="00CF13F6"/>
    <w:rsid w:val="00CF1868"/>
    <w:rsid w:val="00CF1ADE"/>
    <w:rsid w:val="00CF1C13"/>
    <w:rsid w:val="00CF1E28"/>
    <w:rsid w:val="00CF1FF3"/>
    <w:rsid w:val="00CF2444"/>
    <w:rsid w:val="00CF2B1E"/>
    <w:rsid w:val="00CF2B8D"/>
    <w:rsid w:val="00CF2BA8"/>
    <w:rsid w:val="00CF2F8F"/>
    <w:rsid w:val="00CF30DC"/>
    <w:rsid w:val="00CF3218"/>
    <w:rsid w:val="00CF32EC"/>
    <w:rsid w:val="00CF3430"/>
    <w:rsid w:val="00CF37BB"/>
    <w:rsid w:val="00CF386A"/>
    <w:rsid w:val="00CF3A0A"/>
    <w:rsid w:val="00CF3F52"/>
    <w:rsid w:val="00CF4353"/>
    <w:rsid w:val="00CF44D0"/>
    <w:rsid w:val="00CF456B"/>
    <w:rsid w:val="00CF4ADF"/>
    <w:rsid w:val="00CF4B2B"/>
    <w:rsid w:val="00CF4DC7"/>
    <w:rsid w:val="00CF4E66"/>
    <w:rsid w:val="00CF50B6"/>
    <w:rsid w:val="00CF5A22"/>
    <w:rsid w:val="00CF5E9D"/>
    <w:rsid w:val="00CF5F67"/>
    <w:rsid w:val="00CF6125"/>
    <w:rsid w:val="00CF625D"/>
    <w:rsid w:val="00CF6308"/>
    <w:rsid w:val="00CF64FC"/>
    <w:rsid w:val="00CF66A8"/>
    <w:rsid w:val="00CF7017"/>
    <w:rsid w:val="00CF7093"/>
    <w:rsid w:val="00CF77BC"/>
    <w:rsid w:val="00CF79A0"/>
    <w:rsid w:val="00CF7BF7"/>
    <w:rsid w:val="00D000A4"/>
    <w:rsid w:val="00D00124"/>
    <w:rsid w:val="00D00273"/>
    <w:rsid w:val="00D00290"/>
    <w:rsid w:val="00D005EC"/>
    <w:rsid w:val="00D0072E"/>
    <w:rsid w:val="00D00771"/>
    <w:rsid w:val="00D00956"/>
    <w:rsid w:val="00D00B39"/>
    <w:rsid w:val="00D00F70"/>
    <w:rsid w:val="00D0122F"/>
    <w:rsid w:val="00D01293"/>
    <w:rsid w:val="00D012C8"/>
    <w:rsid w:val="00D01824"/>
    <w:rsid w:val="00D018D8"/>
    <w:rsid w:val="00D01BF2"/>
    <w:rsid w:val="00D01DA5"/>
    <w:rsid w:val="00D01FF6"/>
    <w:rsid w:val="00D0262E"/>
    <w:rsid w:val="00D026E9"/>
    <w:rsid w:val="00D03AC4"/>
    <w:rsid w:val="00D03BF5"/>
    <w:rsid w:val="00D04125"/>
    <w:rsid w:val="00D04139"/>
    <w:rsid w:val="00D045A3"/>
    <w:rsid w:val="00D045CC"/>
    <w:rsid w:val="00D04698"/>
    <w:rsid w:val="00D04980"/>
    <w:rsid w:val="00D04D74"/>
    <w:rsid w:val="00D04E41"/>
    <w:rsid w:val="00D058B3"/>
    <w:rsid w:val="00D058F4"/>
    <w:rsid w:val="00D05E3D"/>
    <w:rsid w:val="00D0611B"/>
    <w:rsid w:val="00D06139"/>
    <w:rsid w:val="00D063E4"/>
    <w:rsid w:val="00D06457"/>
    <w:rsid w:val="00D0653E"/>
    <w:rsid w:val="00D06CB2"/>
    <w:rsid w:val="00D071C4"/>
    <w:rsid w:val="00D07B03"/>
    <w:rsid w:val="00D07F5E"/>
    <w:rsid w:val="00D101F7"/>
    <w:rsid w:val="00D108B8"/>
    <w:rsid w:val="00D110BD"/>
    <w:rsid w:val="00D11110"/>
    <w:rsid w:val="00D11386"/>
    <w:rsid w:val="00D11918"/>
    <w:rsid w:val="00D11A38"/>
    <w:rsid w:val="00D12181"/>
    <w:rsid w:val="00D122AB"/>
    <w:rsid w:val="00D124DB"/>
    <w:rsid w:val="00D124FE"/>
    <w:rsid w:val="00D128F9"/>
    <w:rsid w:val="00D12983"/>
    <w:rsid w:val="00D12D85"/>
    <w:rsid w:val="00D12F34"/>
    <w:rsid w:val="00D13045"/>
    <w:rsid w:val="00D1323D"/>
    <w:rsid w:val="00D13675"/>
    <w:rsid w:val="00D1368D"/>
    <w:rsid w:val="00D136C3"/>
    <w:rsid w:val="00D13762"/>
    <w:rsid w:val="00D13A19"/>
    <w:rsid w:val="00D141E1"/>
    <w:rsid w:val="00D142CB"/>
    <w:rsid w:val="00D1486B"/>
    <w:rsid w:val="00D149B6"/>
    <w:rsid w:val="00D14B29"/>
    <w:rsid w:val="00D14B2C"/>
    <w:rsid w:val="00D14F68"/>
    <w:rsid w:val="00D15314"/>
    <w:rsid w:val="00D153F2"/>
    <w:rsid w:val="00D155D2"/>
    <w:rsid w:val="00D1560B"/>
    <w:rsid w:val="00D1561C"/>
    <w:rsid w:val="00D156B5"/>
    <w:rsid w:val="00D1577F"/>
    <w:rsid w:val="00D15F4C"/>
    <w:rsid w:val="00D16062"/>
    <w:rsid w:val="00D16447"/>
    <w:rsid w:val="00D16784"/>
    <w:rsid w:val="00D16889"/>
    <w:rsid w:val="00D16CBC"/>
    <w:rsid w:val="00D16F96"/>
    <w:rsid w:val="00D17767"/>
    <w:rsid w:val="00D1785A"/>
    <w:rsid w:val="00D17D6C"/>
    <w:rsid w:val="00D20848"/>
    <w:rsid w:val="00D209F5"/>
    <w:rsid w:val="00D20A40"/>
    <w:rsid w:val="00D210CD"/>
    <w:rsid w:val="00D214CE"/>
    <w:rsid w:val="00D2155B"/>
    <w:rsid w:val="00D2165D"/>
    <w:rsid w:val="00D21850"/>
    <w:rsid w:val="00D21879"/>
    <w:rsid w:val="00D22252"/>
    <w:rsid w:val="00D22314"/>
    <w:rsid w:val="00D2231F"/>
    <w:rsid w:val="00D22D8E"/>
    <w:rsid w:val="00D22F29"/>
    <w:rsid w:val="00D23015"/>
    <w:rsid w:val="00D230FE"/>
    <w:rsid w:val="00D23161"/>
    <w:rsid w:val="00D231B7"/>
    <w:rsid w:val="00D2342A"/>
    <w:rsid w:val="00D23540"/>
    <w:rsid w:val="00D23770"/>
    <w:rsid w:val="00D23884"/>
    <w:rsid w:val="00D239EF"/>
    <w:rsid w:val="00D23D11"/>
    <w:rsid w:val="00D23DF2"/>
    <w:rsid w:val="00D242BD"/>
    <w:rsid w:val="00D24375"/>
    <w:rsid w:val="00D244B6"/>
    <w:rsid w:val="00D24983"/>
    <w:rsid w:val="00D24D0B"/>
    <w:rsid w:val="00D24D62"/>
    <w:rsid w:val="00D24F0A"/>
    <w:rsid w:val="00D251CC"/>
    <w:rsid w:val="00D2533B"/>
    <w:rsid w:val="00D255C9"/>
    <w:rsid w:val="00D258DE"/>
    <w:rsid w:val="00D25C63"/>
    <w:rsid w:val="00D25CBE"/>
    <w:rsid w:val="00D25CD2"/>
    <w:rsid w:val="00D26400"/>
    <w:rsid w:val="00D267DF"/>
    <w:rsid w:val="00D2683D"/>
    <w:rsid w:val="00D26932"/>
    <w:rsid w:val="00D2697D"/>
    <w:rsid w:val="00D269A3"/>
    <w:rsid w:val="00D26C6D"/>
    <w:rsid w:val="00D26C8F"/>
    <w:rsid w:val="00D26D31"/>
    <w:rsid w:val="00D26E55"/>
    <w:rsid w:val="00D26F08"/>
    <w:rsid w:val="00D272D3"/>
    <w:rsid w:val="00D27527"/>
    <w:rsid w:val="00D2754D"/>
    <w:rsid w:val="00D275D4"/>
    <w:rsid w:val="00D279D9"/>
    <w:rsid w:val="00D27B27"/>
    <w:rsid w:val="00D27B33"/>
    <w:rsid w:val="00D27ED1"/>
    <w:rsid w:val="00D30389"/>
    <w:rsid w:val="00D304FB"/>
    <w:rsid w:val="00D306CB"/>
    <w:rsid w:val="00D308D3"/>
    <w:rsid w:val="00D30E64"/>
    <w:rsid w:val="00D31226"/>
    <w:rsid w:val="00D3136E"/>
    <w:rsid w:val="00D316DE"/>
    <w:rsid w:val="00D31951"/>
    <w:rsid w:val="00D31B07"/>
    <w:rsid w:val="00D31DE9"/>
    <w:rsid w:val="00D327DE"/>
    <w:rsid w:val="00D32A10"/>
    <w:rsid w:val="00D32B17"/>
    <w:rsid w:val="00D32E38"/>
    <w:rsid w:val="00D331F3"/>
    <w:rsid w:val="00D334FE"/>
    <w:rsid w:val="00D337D6"/>
    <w:rsid w:val="00D33BE9"/>
    <w:rsid w:val="00D33E0D"/>
    <w:rsid w:val="00D33E15"/>
    <w:rsid w:val="00D33E78"/>
    <w:rsid w:val="00D33F3C"/>
    <w:rsid w:val="00D33F93"/>
    <w:rsid w:val="00D348B9"/>
    <w:rsid w:val="00D34BDA"/>
    <w:rsid w:val="00D35297"/>
    <w:rsid w:val="00D355B0"/>
    <w:rsid w:val="00D3565E"/>
    <w:rsid w:val="00D357FF"/>
    <w:rsid w:val="00D35E07"/>
    <w:rsid w:val="00D36400"/>
    <w:rsid w:val="00D3661F"/>
    <w:rsid w:val="00D367B2"/>
    <w:rsid w:val="00D3690B"/>
    <w:rsid w:val="00D36B05"/>
    <w:rsid w:val="00D36C4B"/>
    <w:rsid w:val="00D36E6F"/>
    <w:rsid w:val="00D37253"/>
    <w:rsid w:val="00D378F6"/>
    <w:rsid w:val="00D37900"/>
    <w:rsid w:val="00D4006B"/>
    <w:rsid w:val="00D40073"/>
    <w:rsid w:val="00D401B9"/>
    <w:rsid w:val="00D40224"/>
    <w:rsid w:val="00D403F3"/>
    <w:rsid w:val="00D4044D"/>
    <w:rsid w:val="00D40490"/>
    <w:rsid w:val="00D40A00"/>
    <w:rsid w:val="00D40A16"/>
    <w:rsid w:val="00D40FDC"/>
    <w:rsid w:val="00D412DB"/>
    <w:rsid w:val="00D414B8"/>
    <w:rsid w:val="00D416CF"/>
    <w:rsid w:val="00D41858"/>
    <w:rsid w:val="00D421A2"/>
    <w:rsid w:val="00D4243A"/>
    <w:rsid w:val="00D424C7"/>
    <w:rsid w:val="00D42601"/>
    <w:rsid w:val="00D42779"/>
    <w:rsid w:val="00D42CDC"/>
    <w:rsid w:val="00D43153"/>
    <w:rsid w:val="00D433D3"/>
    <w:rsid w:val="00D437B7"/>
    <w:rsid w:val="00D4383C"/>
    <w:rsid w:val="00D43A0C"/>
    <w:rsid w:val="00D43B2A"/>
    <w:rsid w:val="00D43D83"/>
    <w:rsid w:val="00D43D94"/>
    <w:rsid w:val="00D44136"/>
    <w:rsid w:val="00D44458"/>
    <w:rsid w:val="00D444CC"/>
    <w:rsid w:val="00D446A6"/>
    <w:rsid w:val="00D447B0"/>
    <w:rsid w:val="00D448E0"/>
    <w:rsid w:val="00D44BB7"/>
    <w:rsid w:val="00D44D36"/>
    <w:rsid w:val="00D44DC8"/>
    <w:rsid w:val="00D4514A"/>
    <w:rsid w:val="00D452AD"/>
    <w:rsid w:val="00D4539A"/>
    <w:rsid w:val="00D453FD"/>
    <w:rsid w:val="00D45624"/>
    <w:rsid w:val="00D457A8"/>
    <w:rsid w:val="00D457FD"/>
    <w:rsid w:val="00D45908"/>
    <w:rsid w:val="00D45C2D"/>
    <w:rsid w:val="00D45D66"/>
    <w:rsid w:val="00D46324"/>
    <w:rsid w:val="00D46472"/>
    <w:rsid w:val="00D46E09"/>
    <w:rsid w:val="00D46E73"/>
    <w:rsid w:val="00D47200"/>
    <w:rsid w:val="00D47230"/>
    <w:rsid w:val="00D47377"/>
    <w:rsid w:val="00D47575"/>
    <w:rsid w:val="00D47636"/>
    <w:rsid w:val="00D47A9E"/>
    <w:rsid w:val="00D47C17"/>
    <w:rsid w:val="00D47CA0"/>
    <w:rsid w:val="00D47F17"/>
    <w:rsid w:val="00D47F97"/>
    <w:rsid w:val="00D502C8"/>
    <w:rsid w:val="00D505AB"/>
    <w:rsid w:val="00D509F4"/>
    <w:rsid w:val="00D50DFF"/>
    <w:rsid w:val="00D50E7C"/>
    <w:rsid w:val="00D50E7D"/>
    <w:rsid w:val="00D50F3A"/>
    <w:rsid w:val="00D510A3"/>
    <w:rsid w:val="00D510F4"/>
    <w:rsid w:val="00D51AAC"/>
    <w:rsid w:val="00D5240D"/>
    <w:rsid w:val="00D5243B"/>
    <w:rsid w:val="00D52A28"/>
    <w:rsid w:val="00D52B6C"/>
    <w:rsid w:val="00D52C9A"/>
    <w:rsid w:val="00D53038"/>
    <w:rsid w:val="00D53088"/>
    <w:rsid w:val="00D531AB"/>
    <w:rsid w:val="00D53229"/>
    <w:rsid w:val="00D533EC"/>
    <w:rsid w:val="00D534AB"/>
    <w:rsid w:val="00D538D9"/>
    <w:rsid w:val="00D53C45"/>
    <w:rsid w:val="00D54179"/>
    <w:rsid w:val="00D544A1"/>
    <w:rsid w:val="00D549B1"/>
    <w:rsid w:val="00D54BB9"/>
    <w:rsid w:val="00D54E39"/>
    <w:rsid w:val="00D54ED6"/>
    <w:rsid w:val="00D54FD5"/>
    <w:rsid w:val="00D55124"/>
    <w:rsid w:val="00D5578E"/>
    <w:rsid w:val="00D55D4A"/>
    <w:rsid w:val="00D5604F"/>
    <w:rsid w:val="00D5633E"/>
    <w:rsid w:val="00D56949"/>
    <w:rsid w:val="00D569E6"/>
    <w:rsid w:val="00D56A17"/>
    <w:rsid w:val="00D56A95"/>
    <w:rsid w:val="00D56B3A"/>
    <w:rsid w:val="00D56DC1"/>
    <w:rsid w:val="00D57089"/>
    <w:rsid w:val="00D57ACD"/>
    <w:rsid w:val="00D57E19"/>
    <w:rsid w:val="00D57FC8"/>
    <w:rsid w:val="00D60A64"/>
    <w:rsid w:val="00D60CBF"/>
    <w:rsid w:val="00D6108B"/>
    <w:rsid w:val="00D612A3"/>
    <w:rsid w:val="00D614B5"/>
    <w:rsid w:val="00D616E3"/>
    <w:rsid w:val="00D61885"/>
    <w:rsid w:val="00D619C5"/>
    <w:rsid w:val="00D619D1"/>
    <w:rsid w:val="00D61A58"/>
    <w:rsid w:val="00D62163"/>
    <w:rsid w:val="00D62169"/>
    <w:rsid w:val="00D624FB"/>
    <w:rsid w:val="00D62598"/>
    <w:rsid w:val="00D62DB0"/>
    <w:rsid w:val="00D634F0"/>
    <w:rsid w:val="00D63731"/>
    <w:rsid w:val="00D637CD"/>
    <w:rsid w:val="00D63804"/>
    <w:rsid w:val="00D638B9"/>
    <w:rsid w:val="00D63A30"/>
    <w:rsid w:val="00D63A62"/>
    <w:rsid w:val="00D63AA7"/>
    <w:rsid w:val="00D63AE4"/>
    <w:rsid w:val="00D63DF6"/>
    <w:rsid w:val="00D64048"/>
    <w:rsid w:val="00D642A7"/>
    <w:rsid w:val="00D6442E"/>
    <w:rsid w:val="00D6458E"/>
    <w:rsid w:val="00D6472D"/>
    <w:rsid w:val="00D64731"/>
    <w:rsid w:val="00D64816"/>
    <w:rsid w:val="00D64856"/>
    <w:rsid w:val="00D64DF2"/>
    <w:rsid w:val="00D64F7F"/>
    <w:rsid w:val="00D650C0"/>
    <w:rsid w:val="00D656D2"/>
    <w:rsid w:val="00D658CF"/>
    <w:rsid w:val="00D6594E"/>
    <w:rsid w:val="00D65D6E"/>
    <w:rsid w:val="00D66007"/>
    <w:rsid w:val="00D66030"/>
    <w:rsid w:val="00D66060"/>
    <w:rsid w:val="00D660E0"/>
    <w:rsid w:val="00D661A6"/>
    <w:rsid w:val="00D667FD"/>
    <w:rsid w:val="00D66EF7"/>
    <w:rsid w:val="00D67619"/>
    <w:rsid w:val="00D676C6"/>
    <w:rsid w:val="00D67966"/>
    <w:rsid w:val="00D67BF8"/>
    <w:rsid w:val="00D7053A"/>
    <w:rsid w:val="00D705E9"/>
    <w:rsid w:val="00D70A0B"/>
    <w:rsid w:val="00D70A1E"/>
    <w:rsid w:val="00D70B66"/>
    <w:rsid w:val="00D70F16"/>
    <w:rsid w:val="00D712CD"/>
    <w:rsid w:val="00D715C4"/>
    <w:rsid w:val="00D7168E"/>
    <w:rsid w:val="00D71848"/>
    <w:rsid w:val="00D72062"/>
    <w:rsid w:val="00D725CF"/>
    <w:rsid w:val="00D725F0"/>
    <w:rsid w:val="00D72769"/>
    <w:rsid w:val="00D72F57"/>
    <w:rsid w:val="00D73425"/>
    <w:rsid w:val="00D7355B"/>
    <w:rsid w:val="00D7365A"/>
    <w:rsid w:val="00D738C7"/>
    <w:rsid w:val="00D738E2"/>
    <w:rsid w:val="00D7396C"/>
    <w:rsid w:val="00D73E34"/>
    <w:rsid w:val="00D73F03"/>
    <w:rsid w:val="00D74005"/>
    <w:rsid w:val="00D743E6"/>
    <w:rsid w:val="00D744D7"/>
    <w:rsid w:val="00D74803"/>
    <w:rsid w:val="00D749B2"/>
    <w:rsid w:val="00D749F1"/>
    <w:rsid w:val="00D74ABA"/>
    <w:rsid w:val="00D74D9F"/>
    <w:rsid w:val="00D750E3"/>
    <w:rsid w:val="00D75269"/>
    <w:rsid w:val="00D754C2"/>
    <w:rsid w:val="00D756D3"/>
    <w:rsid w:val="00D759B3"/>
    <w:rsid w:val="00D75A08"/>
    <w:rsid w:val="00D75E4D"/>
    <w:rsid w:val="00D76521"/>
    <w:rsid w:val="00D76609"/>
    <w:rsid w:val="00D76A44"/>
    <w:rsid w:val="00D76B14"/>
    <w:rsid w:val="00D76B54"/>
    <w:rsid w:val="00D76F76"/>
    <w:rsid w:val="00D7712F"/>
    <w:rsid w:val="00D771EA"/>
    <w:rsid w:val="00D778A5"/>
    <w:rsid w:val="00D779BD"/>
    <w:rsid w:val="00D779E8"/>
    <w:rsid w:val="00D77AD5"/>
    <w:rsid w:val="00D802B6"/>
    <w:rsid w:val="00D80A5E"/>
    <w:rsid w:val="00D81112"/>
    <w:rsid w:val="00D81158"/>
    <w:rsid w:val="00D813A9"/>
    <w:rsid w:val="00D81468"/>
    <w:rsid w:val="00D8157E"/>
    <w:rsid w:val="00D815EF"/>
    <w:rsid w:val="00D81668"/>
    <w:rsid w:val="00D8176D"/>
    <w:rsid w:val="00D81F26"/>
    <w:rsid w:val="00D826FD"/>
    <w:rsid w:val="00D82999"/>
    <w:rsid w:val="00D82F59"/>
    <w:rsid w:val="00D82FF8"/>
    <w:rsid w:val="00D83218"/>
    <w:rsid w:val="00D8322F"/>
    <w:rsid w:val="00D832CA"/>
    <w:rsid w:val="00D833D0"/>
    <w:rsid w:val="00D83487"/>
    <w:rsid w:val="00D834BC"/>
    <w:rsid w:val="00D83519"/>
    <w:rsid w:val="00D83598"/>
    <w:rsid w:val="00D835AA"/>
    <w:rsid w:val="00D8363D"/>
    <w:rsid w:val="00D836A7"/>
    <w:rsid w:val="00D83C08"/>
    <w:rsid w:val="00D83DFA"/>
    <w:rsid w:val="00D83F2B"/>
    <w:rsid w:val="00D84259"/>
    <w:rsid w:val="00D85330"/>
    <w:rsid w:val="00D853CA"/>
    <w:rsid w:val="00D8565A"/>
    <w:rsid w:val="00D8585E"/>
    <w:rsid w:val="00D85A90"/>
    <w:rsid w:val="00D85C51"/>
    <w:rsid w:val="00D85D7A"/>
    <w:rsid w:val="00D85F9C"/>
    <w:rsid w:val="00D86016"/>
    <w:rsid w:val="00D8611E"/>
    <w:rsid w:val="00D861F6"/>
    <w:rsid w:val="00D86231"/>
    <w:rsid w:val="00D8631F"/>
    <w:rsid w:val="00D864B9"/>
    <w:rsid w:val="00D865BD"/>
    <w:rsid w:val="00D8670A"/>
    <w:rsid w:val="00D8676B"/>
    <w:rsid w:val="00D8692E"/>
    <w:rsid w:val="00D86C48"/>
    <w:rsid w:val="00D86D33"/>
    <w:rsid w:val="00D86E2C"/>
    <w:rsid w:val="00D86F4B"/>
    <w:rsid w:val="00D8724C"/>
    <w:rsid w:val="00D8730B"/>
    <w:rsid w:val="00D87685"/>
    <w:rsid w:val="00D8775D"/>
    <w:rsid w:val="00D902D8"/>
    <w:rsid w:val="00D906FD"/>
    <w:rsid w:val="00D90951"/>
    <w:rsid w:val="00D90AD3"/>
    <w:rsid w:val="00D90B46"/>
    <w:rsid w:val="00D90C93"/>
    <w:rsid w:val="00D90D40"/>
    <w:rsid w:val="00D90E33"/>
    <w:rsid w:val="00D913BD"/>
    <w:rsid w:val="00D91536"/>
    <w:rsid w:val="00D91745"/>
    <w:rsid w:val="00D91923"/>
    <w:rsid w:val="00D91BF4"/>
    <w:rsid w:val="00D91CCC"/>
    <w:rsid w:val="00D92195"/>
    <w:rsid w:val="00D9249F"/>
    <w:rsid w:val="00D925F4"/>
    <w:rsid w:val="00D9279C"/>
    <w:rsid w:val="00D927CF"/>
    <w:rsid w:val="00D928D8"/>
    <w:rsid w:val="00D93250"/>
    <w:rsid w:val="00D935AA"/>
    <w:rsid w:val="00D935E0"/>
    <w:rsid w:val="00D9373A"/>
    <w:rsid w:val="00D93753"/>
    <w:rsid w:val="00D93A96"/>
    <w:rsid w:val="00D93BC3"/>
    <w:rsid w:val="00D944AF"/>
    <w:rsid w:val="00D94653"/>
    <w:rsid w:val="00D94857"/>
    <w:rsid w:val="00D948E8"/>
    <w:rsid w:val="00D94B5C"/>
    <w:rsid w:val="00D94C96"/>
    <w:rsid w:val="00D94EFE"/>
    <w:rsid w:val="00D94FC4"/>
    <w:rsid w:val="00D9533C"/>
    <w:rsid w:val="00D9534D"/>
    <w:rsid w:val="00D953FE"/>
    <w:rsid w:val="00D95486"/>
    <w:rsid w:val="00D9577E"/>
    <w:rsid w:val="00D95FD5"/>
    <w:rsid w:val="00D96212"/>
    <w:rsid w:val="00D96540"/>
    <w:rsid w:val="00D96688"/>
    <w:rsid w:val="00D96B73"/>
    <w:rsid w:val="00D96E14"/>
    <w:rsid w:val="00D96F01"/>
    <w:rsid w:val="00D97160"/>
    <w:rsid w:val="00D972DD"/>
    <w:rsid w:val="00D97733"/>
    <w:rsid w:val="00D97EF6"/>
    <w:rsid w:val="00DA06C2"/>
    <w:rsid w:val="00DA0B79"/>
    <w:rsid w:val="00DA11E2"/>
    <w:rsid w:val="00DA1335"/>
    <w:rsid w:val="00DA1430"/>
    <w:rsid w:val="00DA17F2"/>
    <w:rsid w:val="00DA1946"/>
    <w:rsid w:val="00DA1B93"/>
    <w:rsid w:val="00DA1D8B"/>
    <w:rsid w:val="00DA1F4B"/>
    <w:rsid w:val="00DA20F1"/>
    <w:rsid w:val="00DA24F9"/>
    <w:rsid w:val="00DA263C"/>
    <w:rsid w:val="00DA2753"/>
    <w:rsid w:val="00DA2B2D"/>
    <w:rsid w:val="00DA2B6D"/>
    <w:rsid w:val="00DA3167"/>
    <w:rsid w:val="00DA329A"/>
    <w:rsid w:val="00DA3399"/>
    <w:rsid w:val="00DA3452"/>
    <w:rsid w:val="00DA3686"/>
    <w:rsid w:val="00DA38DC"/>
    <w:rsid w:val="00DA39D9"/>
    <w:rsid w:val="00DA3AC4"/>
    <w:rsid w:val="00DA3BE6"/>
    <w:rsid w:val="00DA3C27"/>
    <w:rsid w:val="00DA43A3"/>
    <w:rsid w:val="00DA47D0"/>
    <w:rsid w:val="00DA47FF"/>
    <w:rsid w:val="00DA487F"/>
    <w:rsid w:val="00DA4899"/>
    <w:rsid w:val="00DA49CB"/>
    <w:rsid w:val="00DA4A97"/>
    <w:rsid w:val="00DA4AB0"/>
    <w:rsid w:val="00DA4B68"/>
    <w:rsid w:val="00DA4DC3"/>
    <w:rsid w:val="00DA51C0"/>
    <w:rsid w:val="00DA5210"/>
    <w:rsid w:val="00DA5266"/>
    <w:rsid w:val="00DA5400"/>
    <w:rsid w:val="00DA5567"/>
    <w:rsid w:val="00DA59B9"/>
    <w:rsid w:val="00DA6221"/>
    <w:rsid w:val="00DA66CB"/>
    <w:rsid w:val="00DA69ED"/>
    <w:rsid w:val="00DA6A81"/>
    <w:rsid w:val="00DA6A8B"/>
    <w:rsid w:val="00DA6C11"/>
    <w:rsid w:val="00DA7046"/>
    <w:rsid w:val="00DA70A0"/>
    <w:rsid w:val="00DA748E"/>
    <w:rsid w:val="00DA7656"/>
    <w:rsid w:val="00DA77A5"/>
    <w:rsid w:val="00DA7941"/>
    <w:rsid w:val="00DA794E"/>
    <w:rsid w:val="00DA7FCA"/>
    <w:rsid w:val="00DB0070"/>
    <w:rsid w:val="00DB0121"/>
    <w:rsid w:val="00DB03B7"/>
    <w:rsid w:val="00DB0559"/>
    <w:rsid w:val="00DB08A0"/>
    <w:rsid w:val="00DB08D6"/>
    <w:rsid w:val="00DB0AA3"/>
    <w:rsid w:val="00DB0B67"/>
    <w:rsid w:val="00DB0CF5"/>
    <w:rsid w:val="00DB0D5B"/>
    <w:rsid w:val="00DB0E81"/>
    <w:rsid w:val="00DB127E"/>
    <w:rsid w:val="00DB17F3"/>
    <w:rsid w:val="00DB18F9"/>
    <w:rsid w:val="00DB1A63"/>
    <w:rsid w:val="00DB2393"/>
    <w:rsid w:val="00DB2470"/>
    <w:rsid w:val="00DB2531"/>
    <w:rsid w:val="00DB27C7"/>
    <w:rsid w:val="00DB2892"/>
    <w:rsid w:val="00DB2B6E"/>
    <w:rsid w:val="00DB2BEF"/>
    <w:rsid w:val="00DB307F"/>
    <w:rsid w:val="00DB33C5"/>
    <w:rsid w:val="00DB3447"/>
    <w:rsid w:val="00DB3521"/>
    <w:rsid w:val="00DB36A1"/>
    <w:rsid w:val="00DB3DBF"/>
    <w:rsid w:val="00DB3E7D"/>
    <w:rsid w:val="00DB40E4"/>
    <w:rsid w:val="00DB42F4"/>
    <w:rsid w:val="00DB43CA"/>
    <w:rsid w:val="00DB484F"/>
    <w:rsid w:val="00DB4B47"/>
    <w:rsid w:val="00DB5075"/>
    <w:rsid w:val="00DB57D2"/>
    <w:rsid w:val="00DB59C8"/>
    <w:rsid w:val="00DB5AFF"/>
    <w:rsid w:val="00DB5B2C"/>
    <w:rsid w:val="00DB5BBB"/>
    <w:rsid w:val="00DB65A2"/>
    <w:rsid w:val="00DB661A"/>
    <w:rsid w:val="00DB6691"/>
    <w:rsid w:val="00DB6697"/>
    <w:rsid w:val="00DB68C0"/>
    <w:rsid w:val="00DB6C2D"/>
    <w:rsid w:val="00DB6E7E"/>
    <w:rsid w:val="00DB6F13"/>
    <w:rsid w:val="00DB6FFA"/>
    <w:rsid w:val="00DB7027"/>
    <w:rsid w:val="00DB716A"/>
    <w:rsid w:val="00DB74D6"/>
    <w:rsid w:val="00DB7CDA"/>
    <w:rsid w:val="00DB7F41"/>
    <w:rsid w:val="00DC0015"/>
    <w:rsid w:val="00DC01F5"/>
    <w:rsid w:val="00DC03BC"/>
    <w:rsid w:val="00DC04F6"/>
    <w:rsid w:val="00DC0690"/>
    <w:rsid w:val="00DC0724"/>
    <w:rsid w:val="00DC0860"/>
    <w:rsid w:val="00DC0A51"/>
    <w:rsid w:val="00DC0B6D"/>
    <w:rsid w:val="00DC0C3A"/>
    <w:rsid w:val="00DC1287"/>
    <w:rsid w:val="00DC162D"/>
    <w:rsid w:val="00DC174E"/>
    <w:rsid w:val="00DC18BA"/>
    <w:rsid w:val="00DC1C43"/>
    <w:rsid w:val="00DC1D65"/>
    <w:rsid w:val="00DC20D7"/>
    <w:rsid w:val="00DC252F"/>
    <w:rsid w:val="00DC2689"/>
    <w:rsid w:val="00DC27FF"/>
    <w:rsid w:val="00DC2BE2"/>
    <w:rsid w:val="00DC2C87"/>
    <w:rsid w:val="00DC2E38"/>
    <w:rsid w:val="00DC3629"/>
    <w:rsid w:val="00DC398B"/>
    <w:rsid w:val="00DC39A6"/>
    <w:rsid w:val="00DC3C02"/>
    <w:rsid w:val="00DC3C57"/>
    <w:rsid w:val="00DC3F71"/>
    <w:rsid w:val="00DC41CA"/>
    <w:rsid w:val="00DC42D0"/>
    <w:rsid w:val="00DC43FC"/>
    <w:rsid w:val="00DC456E"/>
    <w:rsid w:val="00DC48B7"/>
    <w:rsid w:val="00DC5501"/>
    <w:rsid w:val="00DC5796"/>
    <w:rsid w:val="00DC5FCB"/>
    <w:rsid w:val="00DC6206"/>
    <w:rsid w:val="00DC6746"/>
    <w:rsid w:val="00DC67BD"/>
    <w:rsid w:val="00DC68B6"/>
    <w:rsid w:val="00DC7154"/>
    <w:rsid w:val="00DC7839"/>
    <w:rsid w:val="00DC7B1C"/>
    <w:rsid w:val="00DC7B57"/>
    <w:rsid w:val="00DC7C27"/>
    <w:rsid w:val="00DC7C5F"/>
    <w:rsid w:val="00DC7C71"/>
    <w:rsid w:val="00DC7DDB"/>
    <w:rsid w:val="00DC7E8A"/>
    <w:rsid w:val="00DC7F0E"/>
    <w:rsid w:val="00DC7FDD"/>
    <w:rsid w:val="00DD0111"/>
    <w:rsid w:val="00DD04E4"/>
    <w:rsid w:val="00DD0536"/>
    <w:rsid w:val="00DD062A"/>
    <w:rsid w:val="00DD0BCB"/>
    <w:rsid w:val="00DD0DF6"/>
    <w:rsid w:val="00DD0E13"/>
    <w:rsid w:val="00DD0E18"/>
    <w:rsid w:val="00DD0EE6"/>
    <w:rsid w:val="00DD0F78"/>
    <w:rsid w:val="00DD1389"/>
    <w:rsid w:val="00DD18BC"/>
    <w:rsid w:val="00DD1C72"/>
    <w:rsid w:val="00DD226D"/>
    <w:rsid w:val="00DD273C"/>
    <w:rsid w:val="00DD27A8"/>
    <w:rsid w:val="00DD2F22"/>
    <w:rsid w:val="00DD309B"/>
    <w:rsid w:val="00DD325B"/>
    <w:rsid w:val="00DD3382"/>
    <w:rsid w:val="00DD343C"/>
    <w:rsid w:val="00DD34F9"/>
    <w:rsid w:val="00DD368E"/>
    <w:rsid w:val="00DD388F"/>
    <w:rsid w:val="00DD38AA"/>
    <w:rsid w:val="00DD3C79"/>
    <w:rsid w:val="00DD3D53"/>
    <w:rsid w:val="00DD3F28"/>
    <w:rsid w:val="00DD4244"/>
    <w:rsid w:val="00DD437B"/>
    <w:rsid w:val="00DD43A7"/>
    <w:rsid w:val="00DD4537"/>
    <w:rsid w:val="00DD475F"/>
    <w:rsid w:val="00DD4788"/>
    <w:rsid w:val="00DD4812"/>
    <w:rsid w:val="00DD4B20"/>
    <w:rsid w:val="00DD4E15"/>
    <w:rsid w:val="00DD4EA8"/>
    <w:rsid w:val="00DD51BD"/>
    <w:rsid w:val="00DD5250"/>
    <w:rsid w:val="00DD53B2"/>
    <w:rsid w:val="00DD54FB"/>
    <w:rsid w:val="00DD5A56"/>
    <w:rsid w:val="00DD5DB4"/>
    <w:rsid w:val="00DD5E3D"/>
    <w:rsid w:val="00DD6040"/>
    <w:rsid w:val="00DD611F"/>
    <w:rsid w:val="00DD6237"/>
    <w:rsid w:val="00DD62C9"/>
    <w:rsid w:val="00DD659F"/>
    <w:rsid w:val="00DD6846"/>
    <w:rsid w:val="00DD6BF0"/>
    <w:rsid w:val="00DD6D5D"/>
    <w:rsid w:val="00DD6DAE"/>
    <w:rsid w:val="00DD6F3F"/>
    <w:rsid w:val="00DD703D"/>
    <w:rsid w:val="00DD7245"/>
    <w:rsid w:val="00DD7640"/>
    <w:rsid w:val="00DD79D8"/>
    <w:rsid w:val="00DD7A65"/>
    <w:rsid w:val="00DD7F2F"/>
    <w:rsid w:val="00DE0067"/>
    <w:rsid w:val="00DE010D"/>
    <w:rsid w:val="00DE0373"/>
    <w:rsid w:val="00DE08BA"/>
    <w:rsid w:val="00DE0913"/>
    <w:rsid w:val="00DE0CAE"/>
    <w:rsid w:val="00DE0E1A"/>
    <w:rsid w:val="00DE0F97"/>
    <w:rsid w:val="00DE103F"/>
    <w:rsid w:val="00DE13EE"/>
    <w:rsid w:val="00DE1E4D"/>
    <w:rsid w:val="00DE20C0"/>
    <w:rsid w:val="00DE2304"/>
    <w:rsid w:val="00DE255E"/>
    <w:rsid w:val="00DE27D1"/>
    <w:rsid w:val="00DE2BA1"/>
    <w:rsid w:val="00DE3077"/>
    <w:rsid w:val="00DE3138"/>
    <w:rsid w:val="00DE3319"/>
    <w:rsid w:val="00DE3434"/>
    <w:rsid w:val="00DE3454"/>
    <w:rsid w:val="00DE3608"/>
    <w:rsid w:val="00DE37F8"/>
    <w:rsid w:val="00DE3928"/>
    <w:rsid w:val="00DE3ACF"/>
    <w:rsid w:val="00DE3E43"/>
    <w:rsid w:val="00DE3F3D"/>
    <w:rsid w:val="00DE3F4F"/>
    <w:rsid w:val="00DE3FED"/>
    <w:rsid w:val="00DE4073"/>
    <w:rsid w:val="00DE42DC"/>
    <w:rsid w:val="00DE49EE"/>
    <w:rsid w:val="00DE4A99"/>
    <w:rsid w:val="00DE4AE8"/>
    <w:rsid w:val="00DE4BE9"/>
    <w:rsid w:val="00DE4BF2"/>
    <w:rsid w:val="00DE4CEC"/>
    <w:rsid w:val="00DE4E5A"/>
    <w:rsid w:val="00DE4FCB"/>
    <w:rsid w:val="00DE52A3"/>
    <w:rsid w:val="00DE5679"/>
    <w:rsid w:val="00DE56FF"/>
    <w:rsid w:val="00DE5945"/>
    <w:rsid w:val="00DE59CA"/>
    <w:rsid w:val="00DE5A3D"/>
    <w:rsid w:val="00DE5B85"/>
    <w:rsid w:val="00DE5D07"/>
    <w:rsid w:val="00DE5F3D"/>
    <w:rsid w:val="00DE5F5D"/>
    <w:rsid w:val="00DE6017"/>
    <w:rsid w:val="00DE60E7"/>
    <w:rsid w:val="00DE639A"/>
    <w:rsid w:val="00DE6591"/>
    <w:rsid w:val="00DE65C0"/>
    <w:rsid w:val="00DE6669"/>
    <w:rsid w:val="00DE6AA5"/>
    <w:rsid w:val="00DE6D81"/>
    <w:rsid w:val="00DE72A7"/>
    <w:rsid w:val="00DE73C9"/>
    <w:rsid w:val="00DE7458"/>
    <w:rsid w:val="00DE74FF"/>
    <w:rsid w:val="00DE753A"/>
    <w:rsid w:val="00DE760E"/>
    <w:rsid w:val="00DE771F"/>
    <w:rsid w:val="00DE7832"/>
    <w:rsid w:val="00DE7AEA"/>
    <w:rsid w:val="00DE7D50"/>
    <w:rsid w:val="00DE7D71"/>
    <w:rsid w:val="00DF0160"/>
    <w:rsid w:val="00DF0525"/>
    <w:rsid w:val="00DF056B"/>
    <w:rsid w:val="00DF0878"/>
    <w:rsid w:val="00DF090A"/>
    <w:rsid w:val="00DF097D"/>
    <w:rsid w:val="00DF0B57"/>
    <w:rsid w:val="00DF0B9B"/>
    <w:rsid w:val="00DF0BE8"/>
    <w:rsid w:val="00DF0F9D"/>
    <w:rsid w:val="00DF18FC"/>
    <w:rsid w:val="00DF1ACF"/>
    <w:rsid w:val="00DF1AE8"/>
    <w:rsid w:val="00DF1B1D"/>
    <w:rsid w:val="00DF1F89"/>
    <w:rsid w:val="00DF2516"/>
    <w:rsid w:val="00DF29C0"/>
    <w:rsid w:val="00DF2BD3"/>
    <w:rsid w:val="00DF2CF1"/>
    <w:rsid w:val="00DF2E55"/>
    <w:rsid w:val="00DF31D0"/>
    <w:rsid w:val="00DF3469"/>
    <w:rsid w:val="00DF34E6"/>
    <w:rsid w:val="00DF34F3"/>
    <w:rsid w:val="00DF36B6"/>
    <w:rsid w:val="00DF384E"/>
    <w:rsid w:val="00DF3ABE"/>
    <w:rsid w:val="00DF3F7D"/>
    <w:rsid w:val="00DF40E5"/>
    <w:rsid w:val="00DF43D4"/>
    <w:rsid w:val="00DF4465"/>
    <w:rsid w:val="00DF46EA"/>
    <w:rsid w:val="00DF4885"/>
    <w:rsid w:val="00DF4A5E"/>
    <w:rsid w:val="00DF4A97"/>
    <w:rsid w:val="00DF4AE4"/>
    <w:rsid w:val="00DF4CC9"/>
    <w:rsid w:val="00DF5014"/>
    <w:rsid w:val="00DF511A"/>
    <w:rsid w:val="00DF51DE"/>
    <w:rsid w:val="00DF51F0"/>
    <w:rsid w:val="00DF5D2B"/>
    <w:rsid w:val="00DF61E8"/>
    <w:rsid w:val="00DF6244"/>
    <w:rsid w:val="00DF6260"/>
    <w:rsid w:val="00DF63D5"/>
    <w:rsid w:val="00DF646A"/>
    <w:rsid w:val="00DF65F0"/>
    <w:rsid w:val="00DF66B3"/>
    <w:rsid w:val="00DF66F1"/>
    <w:rsid w:val="00DF67D7"/>
    <w:rsid w:val="00DF6986"/>
    <w:rsid w:val="00DF6DB6"/>
    <w:rsid w:val="00DF6F30"/>
    <w:rsid w:val="00DF795E"/>
    <w:rsid w:val="00DF7C09"/>
    <w:rsid w:val="00DF7DE2"/>
    <w:rsid w:val="00DF7E76"/>
    <w:rsid w:val="00E0031E"/>
    <w:rsid w:val="00E0033F"/>
    <w:rsid w:val="00E003A6"/>
    <w:rsid w:val="00E00442"/>
    <w:rsid w:val="00E005BC"/>
    <w:rsid w:val="00E00667"/>
    <w:rsid w:val="00E00E8E"/>
    <w:rsid w:val="00E011CD"/>
    <w:rsid w:val="00E01234"/>
    <w:rsid w:val="00E02029"/>
    <w:rsid w:val="00E03234"/>
    <w:rsid w:val="00E037C1"/>
    <w:rsid w:val="00E03AB7"/>
    <w:rsid w:val="00E03E47"/>
    <w:rsid w:val="00E03F0C"/>
    <w:rsid w:val="00E03F61"/>
    <w:rsid w:val="00E04379"/>
    <w:rsid w:val="00E0439F"/>
    <w:rsid w:val="00E0492E"/>
    <w:rsid w:val="00E04AF5"/>
    <w:rsid w:val="00E04C38"/>
    <w:rsid w:val="00E04D00"/>
    <w:rsid w:val="00E0512A"/>
    <w:rsid w:val="00E05134"/>
    <w:rsid w:val="00E05449"/>
    <w:rsid w:val="00E05630"/>
    <w:rsid w:val="00E05B0C"/>
    <w:rsid w:val="00E05B77"/>
    <w:rsid w:val="00E05CAF"/>
    <w:rsid w:val="00E05CB4"/>
    <w:rsid w:val="00E05D58"/>
    <w:rsid w:val="00E06172"/>
    <w:rsid w:val="00E0665E"/>
    <w:rsid w:val="00E06983"/>
    <w:rsid w:val="00E06A69"/>
    <w:rsid w:val="00E06B0D"/>
    <w:rsid w:val="00E06B2C"/>
    <w:rsid w:val="00E06DBB"/>
    <w:rsid w:val="00E06F9C"/>
    <w:rsid w:val="00E07057"/>
    <w:rsid w:val="00E077D1"/>
    <w:rsid w:val="00E077D4"/>
    <w:rsid w:val="00E07C5E"/>
    <w:rsid w:val="00E07F11"/>
    <w:rsid w:val="00E10149"/>
    <w:rsid w:val="00E10416"/>
    <w:rsid w:val="00E10DD8"/>
    <w:rsid w:val="00E11340"/>
    <w:rsid w:val="00E11452"/>
    <w:rsid w:val="00E115C6"/>
    <w:rsid w:val="00E119F0"/>
    <w:rsid w:val="00E11C2E"/>
    <w:rsid w:val="00E11C8E"/>
    <w:rsid w:val="00E122A1"/>
    <w:rsid w:val="00E12695"/>
    <w:rsid w:val="00E127E3"/>
    <w:rsid w:val="00E12931"/>
    <w:rsid w:val="00E12CCD"/>
    <w:rsid w:val="00E12D5A"/>
    <w:rsid w:val="00E1300E"/>
    <w:rsid w:val="00E13130"/>
    <w:rsid w:val="00E13239"/>
    <w:rsid w:val="00E1357C"/>
    <w:rsid w:val="00E13760"/>
    <w:rsid w:val="00E13C59"/>
    <w:rsid w:val="00E14180"/>
    <w:rsid w:val="00E144CD"/>
    <w:rsid w:val="00E145E4"/>
    <w:rsid w:val="00E14DFD"/>
    <w:rsid w:val="00E14ECA"/>
    <w:rsid w:val="00E1513C"/>
    <w:rsid w:val="00E1551E"/>
    <w:rsid w:val="00E15629"/>
    <w:rsid w:val="00E15BBF"/>
    <w:rsid w:val="00E15D91"/>
    <w:rsid w:val="00E15DA3"/>
    <w:rsid w:val="00E1601C"/>
    <w:rsid w:val="00E16206"/>
    <w:rsid w:val="00E162FF"/>
    <w:rsid w:val="00E1636D"/>
    <w:rsid w:val="00E16372"/>
    <w:rsid w:val="00E1652E"/>
    <w:rsid w:val="00E16535"/>
    <w:rsid w:val="00E168DC"/>
    <w:rsid w:val="00E16905"/>
    <w:rsid w:val="00E169D5"/>
    <w:rsid w:val="00E174D5"/>
    <w:rsid w:val="00E17543"/>
    <w:rsid w:val="00E17642"/>
    <w:rsid w:val="00E176FF"/>
    <w:rsid w:val="00E179D1"/>
    <w:rsid w:val="00E17E2D"/>
    <w:rsid w:val="00E17F34"/>
    <w:rsid w:val="00E17FB4"/>
    <w:rsid w:val="00E204EE"/>
    <w:rsid w:val="00E2081C"/>
    <w:rsid w:val="00E20BB8"/>
    <w:rsid w:val="00E20C67"/>
    <w:rsid w:val="00E20E4D"/>
    <w:rsid w:val="00E20ED6"/>
    <w:rsid w:val="00E20F21"/>
    <w:rsid w:val="00E20F6D"/>
    <w:rsid w:val="00E21358"/>
    <w:rsid w:val="00E215D7"/>
    <w:rsid w:val="00E21787"/>
    <w:rsid w:val="00E21A4E"/>
    <w:rsid w:val="00E21C8E"/>
    <w:rsid w:val="00E2222C"/>
    <w:rsid w:val="00E2249B"/>
    <w:rsid w:val="00E2254C"/>
    <w:rsid w:val="00E226E4"/>
    <w:rsid w:val="00E2291D"/>
    <w:rsid w:val="00E22A0D"/>
    <w:rsid w:val="00E22B38"/>
    <w:rsid w:val="00E22D9E"/>
    <w:rsid w:val="00E22E3A"/>
    <w:rsid w:val="00E2337E"/>
    <w:rsid w:val="00E23948"/>
    <w:rsid w:val="00E239A6"/>
    <w:rsid w:val="00E23ABF"/>
    <w:rsid w:val="00E23BBE"/>
    <w:rsid w:val="00E24243"/>
    <w:rsid w:val="00E24273"/>
    <w:rsid w:val="00E244F6"/>
    <w:rsid w:val="00E24878"/>
    <w:rsid w:val="00E24E4E"/>
    <w:rsid w:val="00E24F6A"/>
    <w:rsid w:val="00E24FBF"/>
    <w:rsid w:val="00E2517E"/>
    <w:rsid w:val="00E254C5"/>
    <w:rsid w:val="00E25CA2"/>
    <w:rsid w:val="00E2660A"/>
    <w:rsid w:val="00E26831"/>
    <w:rsid w:val="00E26E68"/>
    <w:rsid w:val="00E2771E"/>
    <w:rsid w:val="00E277FD"/>
    <w:rsid w:val="00E27806"/>
    <w:rsid w:val="00E278B1"/>
    <w:rsid w:val="00E27B04"/>
    <w:rsid w:val="00E27C63"/>
    <w:rsid w:val="00E3018F"/>
    <w:rsid w:val="00E30532"/>
    <w:rsid w:val="00E30911"/>
    <w:rsid w:val="00E30D28"/>
    <w:rsid w:val="00E30D2F"/>
    <w:rsid w:val="00E311EF"/>
    <w:rsid w:val="00E3150E"/>
    <w:rsid w:val="00E315C9"/>
    <w:rsid w:val="00E31971"/>
    <w:rsid w:val="00E31E69"/>
    <w:rsid w:val="00E32180"/>
    <w:rsid w:val="00E32492"/>
    <w:rsid w:val="00E326F3"/>
    <w:rsid w:val="00E32973"/>
    <w:rsid w:val="00E32CB9"/>
    <w:rsid w:val="00E32D25"/>
    <w:rsid w:val="00E32D90"/>
    <w:rsid w:val="00E335CD"/>
    <w:rsid w:val="00E335EE"/>
    <w:rsid w:val="00E336C1"/>
    <w:rsid w:val="00E3385A"/>
    <w:rsid w:val="00E33B9B"/>
    <w:rsid w:val="00E3404E"/>
    <w:rsid w:val="00E34209"/>
    <w:rsid w:val="00E3430A"/>
    <w:rsid w:val="00E343D8"/>
    <w:rsid w:val="00E346F4"/>
    <w:rsid w:val="00E34948"/>
    <w:rsid w:val="00E34AFC"/>
    <w:rsid w:val="00E34C39"/>
    <w:rsid w:val="00E3529B"/>
    <w:rsid w:val="00E35729"/>
    <w:rsid w:val="00E358CE"/>
    <w:rsid w:val="00E35911"/>
    <w:rsid w:val="00E35A91"/>
    <w:rsid w:val="00E35C02"/>
    <w:rsid w:val="00E3618D"/>
    <w:rsid w:val="00E363A3"/>
    <w:rsid w:val="00E36430"/>
    <w:rsid w:val="00E364B7"/>
    <w:rsid w:val="00E364F4"/>
    <w:rsid w:val="00E36873"/>
    <w:rsid w:val="00E36C47"/>
    <w:rsid w:val="00E36D9B"/>
    <w:rsid w:val="00E370A0"/>
    <w:rsid w:val="00E373BF"/>
    <w:rsid w:val="00E37442"/>
    <w:rsid w:val="00E374A0"/>
    <w:rsid w:val="00E37569"/>
    <w:rsid w:val="00E3769F"/>
    <w:rsid w:val="00E40086"/>
    <w:rsid w:val="00E401B2"/>
    <w:rsid w:val="00E402A0"/>
    <w:rsid w:val="00E4065E"/>
    <w:rsid w:val="00E407FD"/>
    <w:rsid w:val="00E40A43"/>
    <w:rsid w:val="00E40A5A"/>
    <w:rsid w:val="00E40B3C"/>
    <w:rsid w:val="00E40BB2"/>
    <w:rsid w:val="00E40C7C"/>
    <w:rsid w:val="00E412E0"/>
    <w:rsid w:val="00E41358"/>
    <w:rsid w:val="00E41523"/>
    <w:rsid w:val="00E418FB"/>
    <w:rsid w:val="00E4195A"/>
    <w:rsid w:val="00E41BE9"/>
    <w:rsid w:val="00E41C92"/>
    <w:rsid w:val="00E41E30"/>
    <w:rsid w:val="00E41E8D"/>
    <w:rsid w:val="00E42034"/>
    <w:rsid w:val="00E4235F"/>
    <w:rsid w:val="00E424C4"/>
    <w:rsid w:val="00E42D54"/>
    <w:rsid w:val="00E42F73"/>
    <w:rsid w:val="00E43748"/>
    <w:rsid w:val="00E43D70"/>
    <w:rsid w:val="00E43E2C"/>
    <w:rsid w:val="00E43E75"/>
    <w:rsid w:val="00E442C4"/>
    <w:rsid w:val="00E44708"/>
    <w:rsid w:val="00E44910"/>
    <w:rsid w:val="00E44B6F"/>
    <w:rsid w:val="00E44C91"/>
    <w:rsid w:val="00E44EC0"/>
    <w:rsid w:val="00E451A5"/>
    <w:rsid w:val="00E454D1"/>
    <w:rsid w:val="00E457A5"/>
    <w:rsid w:val="00E46651"/>
    <w:rsid w:val="00E466F3"/>
    <w:rsid w:val="00E467D1"/>
    <w:rsid w:val="00E468B5"/>
    <w:rsid w:val="00E46ADB"/>
    <w:rsid w:val="00E46E19"/>
    <w:rsid w:val="00E471A5"/>
    <w:rsid w:val="00E47270"/>
    <w:rsid w:val="00E4768B"/>
    <w:rsid w:val="00E479C1"/>
    <w:rsid w:val="00E47B2C"/>
    <w:rsid w:val="00E47B90"/>
    <w:rsid w:val="00E502EA"/>
    <w:rsid w:val="00E50330"/>
    <w:rsid w:val="00E50471"/>
    <w:rsid w:val="00E505E6"/>
    <w:rsid w:val="00E50605"/>
    <w:rsid w:val="00E5069C"/>
    <w:rsid w:val="00E50C67"/>
    <w:rsid w:val="00E50F7A"/>
    <w:rsid w:val="00E511A2"/>
    <w:rsid w:val="00E51560"/>
    <w:rsid w:val="00E51D00"/>
    <w:rsid w:val="00E52196"/>
    <w:rsid w:val="00E521D9"/>
    <w:rsid w:val="00E5250B"/>
    <w:rsid w:val="00E526D6"/>
    <w:rsid w:val="00E52DE8"/>
    <w:rsid w:val="00E53064"/>
    <w:rsid w:val="00E5317A"/>
    <w:rsid w:val="00E537FC"/>
    <w:rsid w:val="00E5395F"/>
    <w:rsid w:val="00E53975"/>
    <w:rsid w:val="00E53B36"/>
    <w:rsid w:val="00E53B90"/>
    <w:rsid w:val="00E53C23"/>
    <w:rsid w:val="00E53FC8"/>
    <w:rsid w:val="00E53FFD"/>
    <w:rsid w:val="00E54014"/>
    <w:rsid w:val="00E54070"/>
    <w:rsid w:val="00E54252"/>
    <w:rsid w:val="00E54347"/>
    <w:rsid w:val="00E544A6"/>
    <w:rsid w:val="00E54A31"/>
    <w:rsid w:val="00E54C2F"/>
    <w:rsid w:val="00E54E0F"/>
    <w:rsid w:val="00E5517B"/>
    <w:rsid w:val="00E55424"/>
    <w:rsid w:val="00E555D5"/>
    <w:rsid w:val="00E55915"/>
    <w:rsid w:val="00E559A6"/>
    <w:rsid w:val="00E55B50"/>
    <w:rsid w:val="00E55BB5"/>
    <w:rsid w:val="00E55EAB"/>
    <w:rsid w:val="00E55F01"/>
    <w:rsid w:val="00E56310"/>
    <w:rsid w:val="00E56414"/>
    <w:rsid w:val="00E56523"/>
    <w:rsid w:val="00E56530"/>
    <w:rsid w:val="00E5681C"/>
    <w:rsid w:val="00E56860"/>
    <w:rsid w:val="00E569B7"/>
    <w:rsid w:val="00E56AB9"/>
    <w:rsid w:val="00E570DB"/>
    <w:rsid w:val="00E57292"/>
    <w:rsid w:val="00E57894"/>
    <w:rsid w:val="00E579D4"/>
    <w:rsid w:val="00E57A68"/>
    <w:rsid w:val="00E57C6B"/>
    <w:rsid w:val="00E57DBE"/>
    <w:rsid w:val="00E57EBA"/>
    <w:rsid w:val="00E60000"/>
    <w:rsid w:val="00E6011A"/>
    <w:rsid w:val="00E60176"/>
    <w:rsid w:val="00E601DF"/>
    <w:rsid w:val="00E6046A"/>
    <w:rsid w:val="00E60687"/>
    <w:rsid w:val="00E6111F"/>
    <w:rsid w:val="00E612B6"/>
    <w:rsid w:val="00E613AE"/>
    <w:rsid w:val="00E613B7"/>
    <w:rsid w:val="00E61452"/>
    <w:rsid w:val="00E61573"/>
    <w:rsid w:val="00E61DB6"/>
    <w:rsid w:val="00E61E51"/>
    <w:rsid w:val="00E620FF"/>
    <w:rsid w:val="00E6213D"/>
    <w:rsid w:val="00E6214C"/>
    <w:rsid w:val="00E62377"/>
    <w:rsid w:val="00E623F0"/>
    <w:rsid w:val="00E6242A"/>
    <w:rsid w:val="00E62677"/>
    <w:rsid w:val="00E626E8"/>
    <w:rsid w:val="00E6283E"/>
    <w:rsid w:val="00E62AAB"/>
    <w:rsid w:val="00E62B47"/>
    <w:rsid w:val="00E62BAA"/>
    <w:rsid w:val="00E62BEC"/>
    <w:rsid w:val="00E62E3F"/>
    <w:rsid w:val="00E63330"/>
    <w:rsid w:val="00E6337A"/>
    <w:rsid w:val="00E63572"/>
    <w:rsid w:val="00E63C0D"/>
    <w:rsid w:val="00E6453A"/>
    <w:rsid w:val="00E64900"/>
    <w:rsid w:val="00E64925"/>
    <w:rsid w:val="00E64C77"/>
    <w:rsid w:val="00E64C79"/>
    <w:rsid w:val="00E65465"/>
    <w:rsid w:val="00E65A99"/>
    <w:rsid w:val="00E65E79"/>
    <w:rsid w:val="00E65F40"/>
    <w:rsid w:val="00E65FC0"/>
    <w:rsid w:val="00E65FDF"/>
    <w:rsid w:val="00E6600A"/>
    <w:rsid w:val="00E660B6"/>
    <w:rsid w:val="00E66568"/>
    <w:rsid w:val="00E66626"/>
    <w:rsid w:val="00E668DA"/>
    <w:rsid w:val="00E66AEF"/>
    <w:rsid w:val="00E66BA2"/>
    <w:rsid w:val="00E672DA"/>
    <w:rsid w:val="00E67416"/>
    <w:rsid w:val="00E67B04"/>
    <w:rsid w:val="00E67D40"/>
    <w:rsid w:val="00E67E11"/>
    <w:rsid w:val="00E70378"/>
    <w:rsid w:val="00E70769"/>
    <w:rsid w:val="00E7087A"/>
    <w:rsid w:val="00E70BD7"/>
    <w:rsid w:val="00E70FCA"/>
    <w:rsid w:val="00E7111C"/>
    <w:rsid w:val="00E712EB"/>
    <w:rsid w:val="00E715AC"/>
    <w:rsid w:val="00E718B6"/>
    <w:rsid w:val="00E71965"/>
    <w:rsid w:val="00E71D83"/>
    <w:rsid w:val="00E721EB"/>
    <w:rsid w:val="00E722DF"/>
    <w:rsid w:val="00E7232B"/>
    <w:rsid w:val="00E723BA"/>
    <w:rsid w:val="00E726C1"/>
    <w:rsid w:val="00E72815"/>
    <w:rsid w:val="00E72846"/>
    <w:rsid w:val="00E728B7"/>
    <w:rsid w:val="00E72AD2"/>
    <w:rsid w:val="00E732D0"/>
    <w:rsid w:val="00E73359"/>
    <w:rsid w:val="00E7335B"/>
    <w:rsid w:val="00E733CD"/>
    <w:rsid w:val="00E733FB"/>
    <w:rsid w:val="00E7343E"/>
    <w:rsid w:val="00E73581"/>
    <w:rsid w:val="00E735AD"/>
    <w:rsid w:val="00E738E7"/>
    <w:rsid w:val="00E73E78"/>
    <w:rsid w:val="00E73FBC"/>
    <w:rsid w:val="00E745EC"/>
    <w:rsid w:val="00E74744"/>
    <w:rsid w:val="00E74852"/>
    <w:rsid w:val="00E74DD6"/>
    <w:rsid w:val="00E74E41"/>
    <w:rsid w:val="00E753E6"/>
    <w:rsid w:val="00E7557F"/>
    <w:rsid w:val="00E75843"/>
    <w:rsid w:val="00E7588C"/>
    <w:rsid w:val="00E75903"/>
    <w:rsid w:val="00E75FFF"/>
    <w:rsid w:val="00E76050"/>
    <w:rsid w:val="00E7626E"/>
    <w:rsid w:val="00E762B6"/>
    <w:rsid w:val="00E7649C"/>
    <w:rsid w:val="00E76636"/>
    <w:rsid w:val="00E7672F"/>
    <w:rsid w:val="00E76D0B"/>
    <w:rsid w:val="00E76FCE"/>
    <w:rsid w:val="00E77011"/>
    <w:rsid w:val="00E770E9"/>
    <w:rsid w:val="00E777B4"/>
    <w:rsid w:val="00E777C4"/>
    <w:rsid w:val="00E7785C"/>
    <w:rsid w:val="00E7787A"/>
    <w:rsid w:val="00E77C40"/>
    <w:rsid w:val="00E77D5B"/>
    <w:rsid w:val="00E77DF5"/>
    <w:rsid w:val="00E80712"/>
    <w:rsid w:val="00E8080E"/>
    <w:rsid w:val="00E80A71"/>
    <w:rsid w:val="00E80F10"/>
    <w:rsid w:val="00E8138A"/>
    <w:rsid w:val="00E813D6"/>
    <w:rsid w:val="00E814F8"/>
    <w:rsid w:val="00E81AF8"/>
    <w:rsid w:val="00E81CA7"/>
    <w:rsid w:val="00E81DC8"/>
    <w:rsid w:val="00E82264"/>
    <w:rsid w:val="00E8230D"/>
    <w:rsid w:val="00E82728"/>
    <w:rsid w:val="00E82860"/>
    <w:rsid w:val="00E83316"/>
    <w:rsid w:val="00E833F7"/>
    <w:rsid w:val="00E83596"/>
    <w:rsid w:val="00E8385A"/>
    <w:rsid w:val="00E838F2"/>
    <w:rsid w:val="00E83BDF"/>
    <w:rsid w:val="00E84150"/>
    <w:rsid w:val="00E84335"/>
    <w:rsid w:val="00E84338"/>
    <w:rsid w:val="00E843D9"/>
    <w:rsid w:val="00E84623"/>
    <w:rsid w:val="00E84765"/>
    <w:rsid w:val="00E84C94"/>
    <w:rsid w:val="00E84F25"/>
    <w:rsid w:val="00E850D8"/>
    <w:rsid w:val="00E850F5"/>
    <w:rsid w:val="00E853F4"/>
    <w:rsid w:val="00E856F6"/>
    <w:rsid w:val="00E857CD"/>
    <w:rsid w:val="00E858FB"/>
    <w:rsid w:val="00E863A9"/>
    <w:rsid w:val="00E868D3"/>
    <w:rsid w:val="00E86C72"/>
    <w:rsid w:val="00E86C9E"/>
    <w:rsid w:val="00E86E80"/>
    <w:rsid w:val="00E877EC"/>
    <w:rsid w:val="00E87988"/>
    <w:rsid w:val="00E87A1D"/>
    <w:rsid w:val="00E87BD3"/>
    <w:rsid w:val="00E87E9A"/>
    <w:rsid w:val="00E87EAE"/>
    <w:rsid w:val="00E901E7"/>
    <w:rsid w:val="00E903CD"/>
    <w:rsid w:val="00E9044A"/>
    <w:rsid w:val="00E9058F"/>
    <w:rsid w:val="00E9094A"/>
    <w:rsid w:val="00E90A76"/>
    <w:rsid w:val="00E90B83"/>
    <w:rsid w:val="00E90BA1"/>
    <w:rsid w:val="00E911F6"/>
    <w:rsid w:val="00E9140E"/>
    <w:rsid w:val="00E91836"/>
    <w:rsid w:val="00E9189D"/>
    <w:rsid w:val="00E91953"/>
    <w:rsid w:val="00E91A7B"/>
    <w:rsid w:val="00E91D35"/>
    <w:rsid w:val="00E91FAA"/>
    <w:rsid w:val="00E92086"/>
    <w:rsid w:val="00E921AD"/>
    <w:rsid w:val="00E926A5"/>
    <w:rsid w:val="00E9290D"/>
    <w:rsid w:val="00E92D90"/>
    <w:rsid w:val="00E92E39"/>
    <w:rsid w:val="00E9303C"/>
    <w:rsid w:val="00E930D2"/>
    <w:rsid w:val="00E932E0"/>
    <w:rsid w:val="00E9334D"/>
    <w:rsid w:val="00E93B4D"/>
    <w:rsid w:val="00E93BD3"/>
    <w:rsid w:val="00E93D82"/>
    <w:rsid w:val="00E944E0"/>
    <w:rsid w:val="00E94554"/>
    <w:rsid w:val="00E94697"/>
    <w:rsid w:val="00E9484A"/>
    <w:rsid w:val="00E94876"/>
    <w:rsid w:val="00E94FC7"/>
    <w:rsid w:val="00E9517E"/>
    <w:rsid w:val="00E95859"/>
    <w:rsid w:val="00E9618D"/>
    <w:rsid w:val="00E961AF"/>
    <w:rsid w:val="00E9621F"/>
    <w:rsid w:val="00E963CA"/>
    <w:rsid w:val="00E9652A"/>
    <w:rsid w:val="00E96851"/>
    <w:rsid w:val="00E96E01"/>
    <w:rsid w:val="00E97212"/>
    <w:rsid w:val="00E973BB"/>
    <w:rsid w:val="00E9798F"/>
    <w:rsid w:val="00E97ABD"/>
    <w:rsid w:val="00EA0372"/>
    <w:rsid w:val="00EA03FB"/>
    <w:rsid w:val="00EA04BF"/>
    <w:rsid w:val="00EA0835"/>
    <w:rsid w:val="00EA0C4F"/>
    <w:rsid w:val="00EA1098"/>
    <w:rsid w:val="00EA1424"/>
    <w:rsid w:val="00EA157F"/>
    <w:rsid w:val="00EA16E8"/>
    <w:rsid w:val="00EA17C3"/>
    <w:rsid w:val="00EA1809"/>
    <w:rsid w:val="00EA19C7"/>
    <w:rsid w:val="00EA1A81"/>
    <w:rsid w:val="00EA1EFE"/>
    <w:rsid w:val="00EA211F"/>
    <w:rsid w:val="00EA2251"/>
    <w:rsid w:val="00EA22E5"/>
    <w:rsid w:val="00EA2337"/>
    <w:rsid w:val="00EA2539"/>
    <w:rsid w:val="00EA2560"/>
    <w:rsid w:val="00EA270E"/>
    <w:rsid w:val="00EA2836"/>
    <w:rsid w:val="00EA2AB1"/>
    <w:rsid w:val="00EA2CAA"/>
    <w:rsid w:val="00EA2E80"/>
    <w:rsid w:val="00EA3259"/>
    <w:rsid w:val="00EA34A0"/>
    <w:rsid w:val="00EA3532"/>
    <w:rsid w:val="00EA3631"/>
    <w:rsid w:val="00EA367C"/>
    <w:rsid w:val="00EA3864"/>
    <w:rsid w:val="00EA3AE5"/>
    <w:rsid w:val="00EA3B08"/>
    <w:rsid w:val="00EA3B7E"/>
    <w:rsid w:val="00EA3D45"/>
    <w:rsid w:val="00EA3EAC"/>
    <w:rsid w:val="00EA3EED"/>
    <w:rsid w:val="00EA40F7"/>
    <w:rsid w:val="00EA468F"/>
    <w:rsid w:val="00EA46C4"/>
    <w:rsid w:val="00EA4BD7"/>
    <w:rsid w:val="00EA4F4A"/>
    <w:rsid w:val="00EA5181"/>
    <w:rsid w:val="00EA5212"/>
    <w:rsid w:val="00EA5B6B"/>
    <w:rsid w:val="00EA5D04"/>
    <w:rsid w:val="00EA5EBF"/>
    <w:rsid w:val="00EA6398"/>
    <w:rsid w:val="00EA6486"/>
    <w:rsid w:val="00EA6625"/>
    <w:rsid w:val="00EA6C09"/>
    <w:rsid w:val="00EA6C7F"/>
    <w:rsid w:val="00EA6CE3"/>
    <w:rsid w:val="00EA7041"/>
    <w:rsid w:val="00EA7235"/>
    <w:rsid w:val="00EA72E4"/>
    <w:rsid w:val="00EA7559"/>
    <w:rsid w:val="00EA7772"/>
    <w:rsid w:val="00EA7A0E"/>
    <w:rsid w:val="00EA7C0B"/>
    <w:rsid w:val="00EA7EB1"/>
    <w:rsid w:val="00EA7F1C"/>
    <w:rsid w:val="00EB01BC"/>
    <w:rsid w:val="00EB0531"/>
    <w:rsid w:val="00EB0588"/>
    <w:rsid w:val="00EB0645"/>
    <w:rsid w:val="00EB0821"/>
    <w:rsid w:val="00EB0BF1"/>
    <w:rsid w:val="00EB0DDB"/>
    <w:rsid w:val="00EB0E75"/>
    <w:rsid w:val="00EB0F7D"/>
    <w:rsid w:val="00EB1376"/>
    <w:rsid w:val="00EB14E7"/>
    <w:rsid w:val="00EB15B6"/>
    <w:rsid w:val="00EB15F3"/>
    <w:rsid w:val="00EB1744"/>
    <w:rsid w:val="00EB193C"/>
    <w:rsid w:val="00EB2113"/>
    <w:rsid w:val="00EB23FB"/>
    <w:rsid w:val="00EB244E"/>
    <w:rsid w:val="00EB2473"/>
    <w:rsid w:val="00EB267A"/>
    <w:rsid w:val="00EB28E4"/>
    <w:rsid w:val="00EB2A57"/>
    <w:rsid w:val="00EB311D"/>
    <w:rsid w:val="00EB312D"/>
    <w:rsid w:val="00EB3212"/>
    <w:rsid w:val="00EB32D5"/>
    <w:rsid w:val="00EB3718"/>
    <w:rsid w:val="00EB3B19"/>
    <w:rsid w:val="00EB3CAD"/>
    <w:rsid w:val="00EB3CBD"/>
    <w:rsid w:val="00EB3D06"/>
    <w:rsid w:val="00EB3FD7"/>
    <w:rsid w:val="00EB4553"/>
    <w:rsid w:val="00EB4916"/>
    <w:rsid w:val="00EB49A6"/>
    <w:rsid w:val="00EB49B8"/>
    <w:rsid w:val="00EB4A68"/>
    <w:rsid w:val="00EB4A8C"/>
    <w:rsid w:val="00EB4AEC"/>
    <w:rsid w:val="00EB4C6C"/>
    <w:rsid w:val="00EB4D24"/>
    <w:rsid w:val="00EB4D55"/>
    <w:rsid w:val="00EB50C0"/>
    <w:rsid w:val="00EB514C"/>
    <w:rsid w:val="00EB553E"/>
    <w:rsid w:val="00EB5666"/>
    <w:rsid w:val="00EB5857"/>
    <w:rsid w:val="00EB5A4C"/>
    <w:rsid w:val="00EB5D1E"/>
    <w:rsid w:val="00EB5F0C"/>
    <w:rsid w:val="00EB5F28"/>
    <w:rsid w:val="00EB5F9B"/>
    <w:rsid w:val="00EB60A8"/>
    <w:rsid w:val="00EB624F"/>
    <w:rsid w:val="00EB62C9"/>
    <w:rsid w:val="00EB63AA"/>
    <w:rsid w:val="00EB6514"/>
    <w:rsid w:val="00EB6776"/>
    <w:rsid w:val="00EB67AD"/>
    <w:rsid w:val="00EB6952"/>
    <w:rsid w:val="00EB6976"/>
    <w:rsid w:val="00EB6C9F"/>
    <w:rsid w:val="00EB6DD7"/>
    <w:rsid w:val="00EB6F16"/>
    <w:rsid w:val="00EB708A"/>
    <w:rsid w:val="00EB7698"/>
    <w:rsid w:val="00EB785B"/>
    <w:rsid w:val="00EB7BFC"/>
    <w:rsid w:val="00EB7E95"/>
    <w:rsid w:val="00EB7F6B"/>
    <w:rsid w:val="00EC00C9"/>
    <w:rsid w:val="00EC02AA"/>
    <w:rsid w:val="00EC04BB"/>
    <w:rsid w:val="00EC0DD9"/>
    <w:rsid w:val="00EC0F32"/>
    <w:rsid w:val="00EC1534"/>
    <w:rsid w:val="00EC1A88"/>
    <w:rsid w:val="00EC1FC5"/>
    <w:rsid w:val="00EC2649"/>
    <w:rsid w:val="00EC2922"/>
    <w:rsid w:val="00EC295B"/>
    <w:rsid w:val="00EC2DEA"/>
    <w:rsid w:val="00EC30CA"/>
    <w:rsid w:val="00EC30E6"/>
    <w:rsid w:val="00EC31ED"/>
    <w:rsid w:val="00EC34A3"/>
    <w:rsid w:val="00EC379C"/>
    <w:rsid w:val="00EC3ADA"/>
    <w:rsid w:val="00EC3C3F"/>
    <w:rsid w:val="00EC41FE"/>
    <w:rsid w:val="00EC42B0"/>
    <w:rsid w:val="00EC4706"/>
    <w:rsid w:val="00EC4764"/>
    <w:rsid w:val="00EC481A"/>
    <w:rsid w:val="00EC4E1F"/>
    <w:rsid w:val="00EC4F40"/>
    <w:rsid w:val="00EC552A"/>
    <w:rsid w:val="00EC55C3"/>
    <w:rsid w:val="00EC5836"/>
    <w:rsid w:val="00EC637C"/>
    <w:rsid w:val="00EC65A8"/>
    <w:rsid w:val="00EC688C"/>
    <w:rsid w:val="00EC6C2F"/>
    <w:rsid w:val="00EC6DB5"/>
    <w:rsid w:val="00EC7128"/>
    <w:rsid w:val="00EC741E"/>
    <w:rsid w:val="00EC74BD"/>
    <w:rsid w:val="00EC77CB"/>
    <w:rsid w:val="00EC79EE"/>
    <w:rsid w:val="00EC7D53"/>
    <w:rsid w:val="00ED0D0A"/>
    <w:rsid w:val="00ED0D2A"/>
    <w:rsid w:val="00ED16A6"/>
    <w:rsid w:val="00ED1931"/>
    <w:rsid w:val="00ED1988"/>
    <w:rsid w:val="00ED19E7"/>
    <w:rsid w:val="00ED202D"/>
    <w:rsid w:val="00ED22FE"/>
    <w:rsid w:val="00ED3101"/>
    <w:rsid w:val="00ED325C"/>
    <w:rsid w:val="00ED3344"/>
    <w:rsid w:val="00ED3766"/>
    <w:rsid w:val="00ED3858"/>
    <w:rsid w:val="00ED385E"/>
    <w:rsid w:val="00ED3A59"/>
    <w:rsid w:val="00ED3C31"/>
    <w:rsid w:val="00ED3FEC"/>
    <w:rsid w:val="00ED4058"/>
    <w:rsid w:val="00ED4106"/>
    <w:rsid w:val="00ED43C3"/>
    <w:rsid w:val="00ED4657"/>
    <w:rsid w:val="00ED4AA4"/>
    <w:rsid w:val="00ED4FAA"/>
    <w:rsid w:val="00ED52A1"/>
    <w:rsid w:val="00ED539C"/>
    <w:rsid w:val="00ED5467"/>
    <w:rsid w:val="00ED56AE"/>
    <w:rsid w:val="00ED57EA"/>
    <w:rsid w:val="00ED5BD4"/>
    <w:rsid w:val="00ED5CB4"/>
    <w:rsid w:val="00ED5E45"/>
    <w:rsid w:val="00ED6348"/>
    <w:rsid w:val="00ED647F"/>
    <w:rsid w:val="00ED656D"/>
    <w:rsid w:val="00ED676C"/>
    <w:rsid w:val="00ED6807"/>
    <w:rsid w:val="00ED6A17"/>
    <w:rsid w:val="00ED6C48"/>
    <w:rsid w:val="00ED6C94"/>
    <w:rsid w:val="00ED6CE8"/>
    <w:rsid w:val="00ED762A"/>
    <w:rsid w:val="00ED7943"/>
    <w:rsid w:val="00ED7A64"/>
    <w:rsid w:val="00EE0288"/>
    <w:rsid w:val="00EE0362"/>
    <w:rsid w:val="00EE07D3"/>
    <w:rsid w:val="00EE0CC9"/>
    <w:rsid w:val="00EE0E91"/>
    <w:rsid w:val="00EE0EAD"/>
    <w:rsid w:val="00EE0EBA"/>
    <w:rsid w:val="00EE11D3"/>
    <w:rsid w:val="00EE194C"/>
    <w:rsid w:val="00EE1996"/>
    <w:rsid w:val="00EE1C01"/>
    <w:rsid w:val="00EE1DC9"/>
    <w:rsid w:val="00EE201C"/>
    <w:rsid w:val="00EE22AF"/>
    <w:rsid w:val="00EE24F3"/>
    <w:rsid w:val="00EE2521"/>
    <w:rsid w:val="00EE2719"/>
    <w:rsid w:val="00EE2EEE"/>
    <w:rsid w:val="00EE3790"/>
    <w:rsid w:val="00EE388A"/>
    <w:rsid w:val="00EE4116"/>
    <w:rsid w:val="00EE41DF"/>
    <w:rsid w:val="00EE4319"/>
    <w:rsid w:val="00EE484B"/>
    <w:rsid w:val="00EE5052"/>
    <w:rsid w:val="00EE5385"/>
    <w:rsid w:val="00EE5402"/>
    <w:rsid w:val="00EE546B"/>
    <w:rsid w:val="00EE5A51"/>
    <w:rsid w:val="00EE61BE"/>
    <w:rsid w:val="00EE6236"/>
    <w:rsid w:val="00EE67DC"/>
    <w:rsid w:val="00EE691A"/>
    <w:rsid w:val="00EE6954"/>
    <w:rsid w:val="00EE6D9E"/>
    <w:rsid w:val="00EE7061"/>
    <w:rsid w:val="00EE7566"/>
    <w:rsid w:val="00EE777C"/>
    <w:rsid w:val="00EE786B"/>
    <w:rsid w:val="00EE7BFC"/>
    <w:rsid w:val="00EE7CA2"/>
    <w:rsid w:val="00EE7E78"/>
    <w:rsid w:val="00EF0171"/>
    <w:rsid w:val="00EF039C"/>
    <w:rsid w:val="00EF0BFF"/>
    <w:rsid w:val="00EF11EC"/>
    <w:rsid w:val="00EF17E5"/>
    <w:rsid w:val="00EF1800"/>
    <w:rsid w:val="00EF1B25"/>
    <w:rsid w:val="00EF1DA0"/>
    <w:rsid w:val="00EF20C8"/>
    <w:rsid w:val="00EF236E"/>
    <w:rsid w:val="00EF2794"/>
    <w:rsid w:val="00EF293A"/>
    <w:rsid w:val="00EF2AF7"/>
    <w:rsid w:val="00EF2B4B"/>
    <w:rsid w:val="00EF2CFC"/>
    <w:rsid w:val="00EF31EE"/>
    <w:rsid w:val="00EF38B6"/>
    <w:rsid w:val="00EF3921"/>
    <w:rsid w:val="00EF3E58"/>
    <w:rsid w:val="00EF4008"/>
    <w:rsid w:val="00EF4071"/>
    <w:rsid w:val="00EF411C"/>
    <w:rsid w:val="00EF4179"/>
    <w:rsid w:val="00EF422C"/>
    <w:rsid w:val="00EF4326"/>
    <w:rsid w:val="00EF4747"/>
    <w:rsid w:val="00EF48B1"/>
    <w:rsid w:val="00EF4AB0"/>
    <w:rsid w:val="00EF4BF8"/>
    <w:rsid w:val="00EF4C0B"/>
    <w:rsid w:val="00EF5133"/>
    <w:rsid w:val="00EF51DA"/>
    <w:rsid w:val="00EF5334"/>
    <w:rsid w:val="00EF53CC"/>
    <w:rsid w:val="00EF541F"/>
    <w:rsid w:val="00EF5538"/>
    <w:rsid w:val="00EF5713"/>
    <w:rsid w:val="00EF5B94"/>
    <w:rsid w:val="00EF5CF1"/>
    <w:rsid w:val="00EF5E6E"/>
    <w:rsid w:val="00EF5F05"/>
    <w:rsid w:val="00EF603A"/>
    <w:rsid w:val="00EF6102"/>
    <w:rsid w:val="00EF612B"/>
    <w:rsid w:val="00EF64C8"/>
    <w:rsid w:val="00EF662C"/>
    <w:rsid w:val="00EF66B9"/>
    <w:rsid w:val="00EF6932"/>
    <w:rsid w:val="00EF69F5"/>
    <w:rsid w:val="00EF6B94"/>
    <w:rsid w:val="00EF6C4F"/>
    <w:rsid w:val="00EF6E9C"/>
    <w:rsid w:val="00EF71F7"/>
    <w:rsid w:val="00EF7514"/>
    <w:rsid w:val="00EF7700"/>
    <w:rsid w:val="00EF77B4"/>
    <w:rsid w:val="00EF7C71"/>
    <w:rsid w:val="00EF7D77"/>
    <w:rsid w:val="00EF7FC2"/>
    <w:rsid w:val="00F000D4"/>
    <w:rsid w:val="00F00342"/>
    <w:rsid w:val="00F00468"/>
    <w:rsid w:val="00F0072C"/>
    <w:rsid w:val="00F0072F"/>
    <w:rsid w:val="00F00771"/>
    <w:rsid w:val="00F00819"/>
    <w:rsid w:val="00F00A2B"/>
    <w:rsid w:val="00F00C6E"/>
    <w:rsid w:val="00F00F79"/>
    <w:rsid w:val="00F01183"/>
    <w:rsid w:val="00F01198"/>
    <w:rsid w:val="00F01420"/>
    <w:rsid w:val="00F015FE"/>
    <w:rsid w:val="00F01655"/>
    <w:rsid w:val="00F016AB"/>
    <w:rsid w:val="00F018F8"/>
    <w:rsid w:val="00F018FC"/>
    <w:rsid w:val="00F019E0"/>
    <w:rsid w:val="00F01AA9"/>
    <w:rsid w:val="00F01AFB"/>
    <w:rsid w:val="00F01C83"/>
    <w:rsid w:val="00F02087"/>
    <w:rsid w:val="00F02183"/>
    <w:rsid w:val="00F02245"/>
    <w:rsid w:val="00F02253"/>
    <w:rsid w:val="00F02294"/>
    <w:rsid w:val="00F02787"/>
    <w:rsid w:val="00F027B2"/>
    <w:rsid w:val="00F02AFB"/>
    <w:rsid w:val="00F02D21"/>
    <w:rsid w:val="00F02F66"/>
    <w:rsid w:val="00F0320E"/>
    <w:rsid w:val="00F03A3F"/>
    <w:rsid w:val="00F03B4A"/>
    <w:rsid w:val="00F03C2E"/>
    <w:rsid w:val="00F04108"/>
    <w:rsid w:val="00F04645"/>
    <w:rsid w:val="00F049F2"/>
    <w:rsid w:val="00F04A66"/>
    <w:rsid w:val="00F04B4B"/>
    <w:rsid w:val="00F04BBA"/>
    <w:rsid w:val="00F04C34"/>
    <w:rsid w:val="00F04DCA"/>
    <w:rsid w:val="00F0516C"/>
    <w:rsid w:val="00F0563C"/>
    <w:rsid w:val="00F05711"/>
    <w:rsid w:val="00F0578E"/>
    <w:rsid w:val="00F05998"/>
    <w:rsid w:val="00F05BCD"/>
    <w:rsid w:val="00F05D92"/>
    <w:rsid w:val="00F05F70"/>
    <w:rsid w:val="00F05F7D"/>
    <w:rsid w:val="00F05FAF"/>
    <w:rsid w:val="00F06570"/>
    <w:rsid w:val="00F066A8"/>
    <w:rsid w:val="00F067A2"/>
    <w:rsid w:val="00F06926"/>
    <w:rsid w:val="00F06DF9"/>
    <w:rsid w:val="00F07060"/>
    <w:rsid w:val="00F07371"/>
    <w:rsid w:val="00F073AE"/>
    <w:rsid w:val="00F073D2"/>
    <w:rsid w:val="00F0744F"/>
    <w:rsid w:val="00F0786F"/>
    <w:rsid w:val="00F07B9E"/>
    <w:rsid w:val="00F10419"/>
    <w:rsid w:val="00F10605"/>
    <w:rsid w:val="00F10659"/>
    <w:rsid w:val="00F10803"/>
    <w:rsid w:val="00F109A0"/>
    <w:rsid w:val="00F109D7"/>
    <w:rsid w:val="00F10B62"/>
    <w:rsid w:val="00F1107B"/>
    <w:rsid w:val="00F1116F"/>
    <w:rsid w:val="00F1120D"/>
    <w:rsid w:val="00F11276"/>
    <w:rsid w:val="00F112D2"/>
    <w:rsid w:val="00F11889"/>
    <w:rsid w:val="00F11A1E"/>
    <w:rsid w:val="00F1263A"/>
    <w:rsid w:val="00F127FC"/>
    <w:rsid w:val="00F129A5"/>
    <w:rsid w:val="00F13320"/>
    <w:rsid w:val="00F13396"/>
    <w:rsid w:val="00F13B22"/>
    <w:rsid w:val="00F13D45"/>
    <w:rsid w:val="00F13FE5"/>
    <w:rsid w:val="00F13FE8"/>
    <w:rsid w:val="00F14265"/>
    <w:rsid w:val="00F1446C"/>
    <w:rsid w:val="00F14753"/>
    <w:rsid w:val="00F149EC"/>
    <w:rsid w:val="00F14B60"/>
    <w:rsid w:val="00F14DE4"/>
    <w:rsid w:val="00F14DFF"/>
    <w:rsid w:val="00F14FD0"/>
    <w:rsid w:val="00F1506B"/>
    <w:rsid w:val="00F15081"/>
    <w:rsid w:val="00F150B6"/>
    <w:rsid w:val="00F15169"/>
    <w:rsid w:val="00F1523C"/>
    <w:rsid w:val="00F1532A"/>
    <w:rsid w:val="00F15557"/>
    <w:rsid w:val="00F1564F"/>
    <w:rsid w:val="00F156D9"/>
    <w:rsid w:val="00F15747"/>
    <w:rsid w:val="00F15A77"/>
    <w:rsid w:val="00F15B77"/>
    <w:rsid w:val="00F15C31"/>
    <w:rsid w:val="00F16145"/>
    <w:rsid w:val="00F166AC"/>
    <w:rsid w:val="00F16875"/>
    <w:rsid w:val="00F16B1C"/>
    <w:rsid w:val="00F16EC3"/>
    <w:rsid w:val="00F174C1"/>
    <w:rsid w:val="00F17888"/>
    <w:rsid w:val="00F179D5"/>
    <w:rsid w:val="00F17B3F"/>
    <w:rsid w:val="00F17CB0"/>
    <w:rsid w:val="00F17FA0"/>
    <w:rsid w:val="00F20630"/>
    <w:rsid w:val="00F20906"/>
    <w:rsid w:val="00F20B0A"/>
    <w:rsid w:val="00F20C65"/>
    <w:rsid w:val="00F20F53"/>
    <w:rsid w:val="00F21267"/>
    <w:rsid w:val="00F21472"/>
    <w:rsid w:val="00F2231C"/>
    <w:rsid w:val="00F223F2"/>
    <w:rsid w:val="00F225A2"/>
    <w:rsid w:val="00F22A42"/>
    <w:rsid w:val="00F22F29"/>
    <w:rsid w:val="00F22FE4"/>
    <w:rsid w:val="00F230A6"/>
    <w:rsid w:val="00F234B3"/>
    <w:rsid w:val="00F2354F"/>
    <w:rsid w:val="00F238A1"/>
    <w:rsid w:val="00F242F5"/>
    <w:rsid w:val="00F24450"/>
    <w:rsid w:val="00F24837"/>
    <w:rsid w:val="00F24960"/>
    <w:rsid w:val="00F24A49"/>
    <w:rsid w:val="00F24F3B"/>
    <w:rsid w:val="00F2525B"/>
    <w:rsid w:val="00F254DC"/>
    <w:rsid w:val="00F255AF"/>
    <w:rsid w:val="00F2575F"/>
    <w:rsid w:val="00F257B3"/>
    <w:rsid w:val="00F25A71"/>
    <w:rsid w:val="00F25CDD"/>
    <w:rsid w:val="00F2634C"/>
    <w:rsid w:val="00F2651D"/>
    <w:rsid w:val="00F2653C"/>
    <w:rsid w:val="00F2671C"/>
    <w:rsid w:val="00F2697E"/>
    <w:rsid w:val="00F26E31"/>
    <w:rsid w:val="00F26E75"/>
    <w:rsid w:val="00F27133"/>
    <w:rsid w:val="00F27228"/>
    <w:rsid w:val="00F2723F"/>
    <w:rsid w:val="00F2728E"/>
    <w:rsid w:val="00F27565"/>
    <w:rsid w:val="00F27845"/>
    <w:rsid w:val="00F27E10"/>
    <w:rsid w:val="00F3013C"/>
    <w:rsid w:val="00F301B4"/>
    <w:rsid w:val="00F304BD"/>
    <w:rsid w:val="00F30642"/>
    <w:rsid w:val="00F30C7B"/>
    <w:rsid w:val="00F30E09"/>
    <w:rsid w:val="00F31025"/>
    <w:rsid w:val="00F310D4"/>
    <w:rsid w:val="00F311FF"/>
    <w:rsid w:val="00F31313"/>
    <w:rsid w:val="00F31468"/>
    <w:rsid w:val="00F3165B"/>
    <w:rsid w:val="00F319C4"/>
    <w:rsid w:val="00F31CB2"/>
    <w:rsid w:val="00F31D5A"/>
    <w:rsid w:val="00F31F8B"/>
    <w:rsid w:val="00F326A7"/>
    <w:rsid w:val="00F32AB3"/>
    <w:rsid w:val="00F32C9A"/>
    <w:rsid w:val="00F32D48"/>
    <w:rsid w:val="00F32DC5"/>
    <w:rsid w:val="00F3311C"/>
    <w:rsid w:val="00F334ED"/>
    <w:rsid w:val="00F33975"/>
    <w:rsid w:val="00F33DE9"/>
    <w:rsid w:val="00F342D9"/>
    <w:rsid w:val="00F3466B"/>
    <w:rsid w:val="00F347A4"/>
    <w:rsid w:val="00F3549F"/>
    <w:rsid w:val="00F354E1"/>
    <w:rsid w:val="00F35515"/>
    <w:rsid w:val="00F355DA"/>
    <w:rsid w:val="00F35BE1"/>
    <w:rsid w:val="00F35DEE"/>
    <w:rsid w:val="00F35E6D"/>
    <w:rsid w:val="00F3619A"/>
    <w:rsid w:val="00F363F9"/>
    <w:rsid w:val="00F36C21"/>
    <w:rsid w:val="00F36C61"/>
    <w:rsid w:val="00F36C8C"/>
    <w:rsid w:val="00F36E74"/>
    <w:rsid w:val="00F370EF"/>
    <w:rsid w:val="00F373F7"/>
    <w:rsid w:val="00F37581"/>
    <w:rsid w:val="00F37CEF"/>
    <w:rsid w:val="00F37FD3"/>
    <w:rsid w:val="00F40004"/>
    <w:rsid w:val="00F40010"/>
    <w:rsid w:val="00F401AF"/>
    <w:rsid w:val="00F405C9"/>
    <w:rsid w:val="00F40AAA"/>
    <w:rsid w:val="00F40AB4"/>
    <w:rsid w:val="00F40B8A"/>
    <w:rsid w:val="00F40BA7"/>
    <w:rsid w:val="00F40F9D"/>
    <w:rsid w:val="00F41020"/>
    <w:rsid w:val="00F416B9"/>
    <w:rsid w:val="00F417C7"/>
    <w:rsid w:val="00F4186B"/>
    <w:rsid w:val="00F41917"/>
    <w:rsid w:val="00F41AA2"/>
    <w:rsid w:val="00F41ACD"/>
    <w:rsid w:val="00F41B2C"/>
    <w:rsid w:val="00F421E5"/>
    <w:rsid w:val="00F428E8"/>
    <w:rsid w:val="00F434E7"/>
    <w:rsid w:val="00F43C04"/>
    <w:rsid w:val="00F43D61"/>
    <w:rsid w:val="00F4406F"/>
    <w:rsid w:val="00F443EE"/>
    <w:rsid w:val="00F44641"/>
    <w:rsid w:val="00F4496C"/>
    <w:rsid w:val="00F44DC3"/>
    <w:rsid w:val="00F44E26"/>
    <w:rsid w:val="00F45034"/>
    <w:rsid w:val="00F450B3"/>
    <w:rsid w:val="00F45258"/>
    <w:rsid w:val="00F459CD"/>
    <w:rsid w:val="00F45A83"/>
    <w:rsid w:val="00F45B50"/>
    <w:rsid w:val="00F45BDD"/>
    <w:rsid w:val="00F45F08"/>
    <w:rsid w:val="00F45F9F"/>
    <w:rsid w:val="00F46390"/>
    <w:rsid w:val="00F46507"/>
    <w:rsid w:val="00F46CB6"/>
    <w:rsid w:val="00F46CE5"/>
    <w:rsid w:val="00F46E4F"/>
    <w:rsid w:val="00F46F6B"/>
    <w:rsid w:val="00F47084"/>
    <w:rsid w:val="00F47537"/>
    <w:rsid w:val="00F4756D"/>
    <w:rsid w:val="00F4781B"/>
    <w:rsid w:val="00F47C2C"/>
    <w:rsid w:val="00F47C5B"/>
    <w:rsid w:val="00F47DE8"/>
    <w:rsid w:val="00F47ECC"/>
    <w:rsid w:val="00F47F47"/>
    <w:rsid w:val="00F47F64"/>
    <w:rsid w:val="00F5054B"/>
    <w:rsid w:val="00F506E3"/>
    <w:rsid w:val="00F50714"/>
    <w:rsid w:val="00F50823"/>
    <w:rsid w:val="00F50852"/>
    <w:rsid w:val="00F50F07"/>
    <w:rsid w:val="00F5132E"/>
    <w:rsid w:val="00F517F5"/>
    <w:rsid w:val="00F51D57"/>
    <w:rsid w:val="00F51FBC"/>
    <w:rsid w:val="00F520D0"/>
    <w:rsid w:val="00F5225D"/>
    <w:rsid w:val="00F5247D"/>
    <w:rsid w:val="00F52A0E"/>
    <w:rsid w:val="00F52B15"/>
    <w:rsid w:val="00F52DD3"/>
    <w:rsid w:val="00F53031"/>
    <w:rsid w:val="00F536CB"/>
    <w:rsid w:val="00F53915"/>
    <w:rsid w:val="00F53BD2"/>
    <w:rsid w:val="00F53C1C"/>
    <w:rsid w:val="00F542C1"/>
    <w:rsid w:val="00F543C1"/>
    <w:rsid w:val="00F548F6"/>
    <w:rsid w:val="00F549A4"/>
    <w:rsid w:val="00F54C91"/>
    <w:rsid w:val="00F54E74"/>
    <w:rsid w:val="00F55396"/>
    <w:rsid w:val="00F5564E"/>
    <w:rsid w:val="00F55669"/>
    <w:rsid w:val="00F5580A"/>
    <w:rsid w:val="00F55DB3"/>
    <w:rsid w:val="00F55E73"/>
    <w:rsid w:val="00F55EDA"/>
    <w:rsid w:val="00F55F8A"/>
    <w:rsid w:val="00F5613E"/>
    <w:rsid w:val="00F562F5"/>
    <w:rsid w:val="00F56495"/>
    <w:rsid w:val="00F56669"/>
    <w:rsid w:val="00F56802"/>
    <w:rsid w:val="00F5698F"/>
    <w:rsid w:val="00F56C80"/>
    <w:rsid w:val="00F56D51"/>
    <w:rsid w:val="00F5706C"/>
    <w:rsid w:val="00F57213"/>
    <w:rsid w:val="00F57556"/>
    <w:rsid w:val="00F5781F"/>
    <w:rsid w:val="00F5785C"/>
    <w:rsid w:val="00F579E2"/>
    <w:rsid w:val="00F57CB5"/>
    <w:rsid w:val="00F57CF3"/>
    <w:rsid w:val="00F57DF1"/>
    <w:rsid w:val="00F57F36"/>
    <w:rsid w:val="00F6005D"/>
    <w:rsid w:val="00F60092"/>
    <w:rsid w:val="00F600E9"/>
    <w:rsid w:val="00F600F4"/>
    <w:rsid w:val="00F602E1"/>
    <w:rsid w:val="00F6046F"/>
    <w:rsid w:val="00F60635"/>
    <w:rsid w:val="00F60685"/>
    <w:rsid w:val="00F60821"/>
    <w:rsid w:val="00F60D6E"/>
    <w:rsid w:val="00F60E91"/>
    <w:rsid w:val="00F60F41"/>
    <w:rsid w:val="00F60FA2"/>
    <w:rsid w:val="00F60FE8"/>
    <w:rsid w:val="00F61135"/>
    <w:rsid w:val="00F611E7"/>
    <w:rsid w:val="00F61200"/>
    <w:rsid w:val="00F6144A"/>
    <w:rsid w:val="00F6159D"/>
    <w:rsid w:val="00F6169C"/>
    <w:rsid w:val="00F61ACE"/>
    <w:rsid w:val="00F61C18"/>
    <w:rsid w:val="00F61C8C"/>
    <w:rsid w:val="00F6204E"/>
    <w:rsid w:val="00F6208C"/>
    <w:rsid w:val="00F62133"/>
    <w:rsid w:val="00F62172"/>
    <w:rsid w:val="00F62173"/>
    <w:rsid w:val="00F626DB"/>
    <w:rsid w:val="00F6285F"/>
    <w:rsid w:val="00F62904"/>
    <w:rsid w:val="00F62C6C"/>
    <w:rsid w:val="00F62E06"/>
    <w:rsid w:val="00F62E7A"/>
    <w:rsid w:val="00F6326C"/>
    <w:rsid w:val="00F63395"/>
    <w:rsid w:val="00F633A5"/>
    <w:rsid w:val="00F63516"/>
    <w:rsid w:val="00F6367E"/>
    <w:rsid w:val="00F636F8"/>
    <w:rsid w:val="00F63875"/>
    <w:rsid w:val="00F63E06"/>
    <w:rsid w:val="00F63E62"/>
    <w:rsid w:val="00F63FC4"/>
    <w:rsid w:val="00F640E5"/>
    <w:rsid w:val="00F6483A"/>
    <w:rsid w:val="00F648BF"/>
    <w:rsid w:val="00F650D9"/>
    <w:rsid w:val="00F652C5"/>
    <w:rsid w:val="00F6563A"/>
    <w:rsid w:val="00F65693"/>
    <w:rsid w:val="00F65A21"/>
    <w:rsid w:val="00F65B38"/>
    <w:rsid w:val="00F65B40"/>
    <w:rsid w:val="00F65F4B"/>
    <w:rsid w:val="00F6605D"/>
    <w:rsid w:val="00F6627A"/>
    <w:rsid w:val="00F663ED"/>
    <w:rsid w:val="00F665F0"/>
    <w:rsid w:val="00F669E0"/>
    <w:rsid w:val="00F66BF2"/>
    <w:rsid w:val="00F66C36"/>
    <w:rsid w:val="00F66DA2"/>
    <w:rsid w:val="00F66E3C"/>
    <w:rsid w:val="00F66FDD"/>
    <w:rsid w:val="00F670AE"/>
    <w:rsid w:val="00F67321"/>
    <w:rsid w:val="00F676A4"/>
    <w:rsid w:val="00F6772B"/>
    <w:rsid w:val="00F677CB"/>
    <w:rsid w:val="00F67A69"/>
    <w:rsid w:val="00F67E8D"/>
    <w:rsid w:val="00F7010A"/>
    <w:rsid w:val="00F70235"/>
    <w:rsid w:val="00F7071B"/>
    <w:rsid w:val="00F709AC"/>
    <w:rsid w:val="00F70AE7"/>
    <w:rsid w:val="00F70B33"/>
    <w:rsid w:val="00F70BFF"/>
    <w:rsid w:val="00F70C9D"/>
    <w:rsid w:val="00F712E7"/>
    <w:rsid w:val="00F71E60"/>
    <w:rsid w:val="00F71F07"/>
    <w:rsid w:val="00F72033"/>
    <w:rsid w:val="00F7234C"/>
    <w:rsid w:val="00F72519"/>
    <w:rsid w:val="00F72BBC"/>
    <w:rsid w:val="00F73301"/>
    <w:rsid w:val="00F7362D"/>
    <w:rsid w:val="00F736E3"/>
    <w:rsid w:val="00F73925"/>
    <w:rsid w:val="00F73959"/>
    <w:rsid w:val="00F73B03"/>
    <w:rsid w:val="00F73BEA"/>
    <w:rsid w:val="00F73D6D"/>
    <w:rsid w:val="00F741AE"/>
    <w:rsid w:val="00F74267"/>
    <w:rsid w:val="00F74461"/>
    <w:rsid w:val="00F74C33"/>
    <w:rsid w:val="00F74CD9"/>
    <w:rsid w:val="00F7528A"/>
    <w:rsid w:val="00F7567D"/>
    <w:rsid w:val="00F75C7C"/>
    <w:rsid w:val="00F76175"/>
    <w:rsid w:val="00F761B6"/>
    <w:rsid w:val="00F76BB5"/>
    <w:rsid w:val="00F77411"/>
    <w:rsid w:val="00F77525"/>
    <w:rsid w:val="00F7755E"/>
    <w:rsid w:val="00F777D6"/>
    <w:rsid w:val="00F77EE9"/>
    <w:rsid w:val="00F80132"/>
    <w:rsid w:val="00F807AB"/>
    <w:rsid w:val="00F80A7B"/>
    <w:rsid w:val="00F80E5D"/>
    <w:rsid w:val="00F8181F"/>
    <w:rsid w:val="00F819BA"/>
    <w:rsid w:val="00F81B19"/>
    <w:rsid w:val="00F81E78"/>
    <w:rsid w:val="00F82092"/>
    <w:rsid w:val="00F820C4"/>
    <w:rsid w:val="00F8241E"/>
    <w:rsid w:val="00F8285F"/>
    <w:rsid w:val="00F8293F"/>
    <w:rsid w:val="00F82B67"/>
    <w:rsid w:val="00F82DEA"/>
    <w:rsid w:val="00F82E19"/>
    <w:rsid w:val="00F82FC9"/>
    <w:rsid w:val="00F83369"/>
    <w:rsid w:val="00F83633"/>
    <w:rsid w:val="00F83B26"/>
    <w:rsid w:val="00F841CB"/>
    <w:rsid w:val="00F846D8"/>
    <w:rsid w:val="00F84CD7"/>
    <w:rsid w:val="00F84FA0"/>
    <w:rsid w:val="00F851CE"/>
    <w:rsid w:val="00F851F7"/>
    <w:rsid w:val="00F852E1"/>
    <w:rsid w:val="00F85C10"/>
    <w:rsid w:val="00F85E85"/>
    <w:rsid w:val="00F85FFE"/>
    <w:rsid w:val="00F860A0"/>
    <w:rsid w:val="00F8616A"/>
    <w:rsid w:val="00F86492"/>
    <w:rsid w:val="00F86504"/>
    <w:rsid w:val="00F867C7"/>
    <w:rsid w:val="00F868CA"/>
    <w:rsid w:val="00F8690B"/>
    <w:rsid w:val="00F86ACA"/>
    <w:rsid w:val="00F86F00"/>
    <w:rsid w:val="00F86F83"/>
    <w:rsid w:val="00F87AAF"/>
    <w:rsid w:val="00F87C80"/>
    <w:rsid w:val="00F900DF"/>
    <w:rsid w:val="00F90225"/>
    <w:rsid w:val="00F90470"/>
    <w:rsid w:val="00F90BA4"/>
    <w:rsid w:val="00F90D2F"/>
    <w:rsid w:val="00F90F91"/>
    <w:rsid w:val="00F91219"/>
    <w:rsid w:val="00F915E7"/>
    <w:rsid w:val="00F9180F"/>
    <w:rsid w:val="00F91C43"/>
    <w:rsid w:val="00F91C56"/>
    <w:rsid w:val="00F91D6B"/>
    <w:rsid w:val="00F92143"/>
    <w:rsid w:val="00F9241D"/>
    <w:rsid w:val="00F92444"/>
    <w:rsid w:val="00F9262D"/>
    <w:rsid w:val="00F92A39"/>
    <w:rsid w:val="00F92AA4"/>
    <w:rsid w:val="00F92C22"/>
    <w:rsid w:val="00F930B4"/>
    <w:rsid w:val="00F93846"/>
    <w:rsid w:val="00F9393E"/>
    <w:rsid w:val="00F93E03"/>
    <w:rsid w:val="00F940A2"/>
    <w:rsid w:val="00F9416E"/>
    <w:rsid w:val="00F94475"/>
    <w:rsid w:val="00F946E7"/>
    <w:rsid w:val="00F94894"/>
    <w:rsid w:val="00F94BD3"/>
    <w:rsid w:val="00F950AF"/>
    <w:rsid w:val="00F95771"/>
    <w:rsid w:val="00F95F7E"/>
    <w:rsid w:val="00F962AB"/>
    <w:rsid w:val="00F96C57"/>
    <w:rsid w:val="00F96D6C"/>
    <w:rsid w:val="00F96DD3"/>
    <w:rsid w:val="00F96FD0"/>
    <w:rsid w:val="00F9748C"/>
    <w:rsid w:val="00F97579"/>
    <w:rsid w:val="00F97A78"/>
    <w:rsid w:val="00F97EF8"/>
    <w:rsid w:val="00F97F35"/>
    <w:rsid w:val="00FA00E9"/>
    <w:rsid w:val="00FA01F6"/>
    <w:rsid w:val="00FA08FF"/>
    <w:rsid w:val="00FA0B20"/>
    <w:rsid w:val="00FA0BC5"/>
    <w:rsid w:val="00FA0F60"/>
    <w:rsid w:val="00FA0F8B"/>
    <w:rsid w:val="00FA1191"/>
    <w:rsid w:val="00FA1247"/>
    <w:rsid w:val="00FA147B"/>
    <w:rsid w:val="00FA1664"/>
    <w:rsid w:val="00FA1893"/>
    <w:rsid w:val="00FA1AA2"/>
    <w:rsid w:val="00FA1B85"/>
    <w:rsid w:val="00FA1CD6"/>
    <w:rsid w:val="00FA1E81"/>
    <w:rsid w:val="00FA1FE4"/>
    <w:rsid w:val="00FA24E7"/>
    <w:rsid w:val="00FA2BA0"/>
    <w:rsid w:val="00FA2BE3"/>
    <w:rsid w:val="00FA33AE"/>
    <w:rsid w:val="00FA360B"/>
    <w:rsid w:val="00FA3666"/>
    <w:rsid w:val="00FA366A"/>
    <w:rsid w:val="00FA39FB"/>
    <w:rsid w:val="00FA3BA7"/>
    <w:rsid w:val="00FA3EE8"/>
    <w:rsid w:val="00FA3FC1"/>
    <w:rsid w:val="00FA405F"/>
    <w:rsid w:val="00FA4643"/>
    <w:rsid w:val="00FA464C"/>
    <w:rsid w:val="00FA4E2F"/>
    <w:rsid w:val="00FA4E65"/>
    <w:rsid w:val="00FA4F1A"/>
    <w:rsid w:val="00FA520A"/>
    <w:rsid w:val="00FA5386"/>
    <w:rsid w:val="00FA55DF"/>
    <w:rsid w:val="00FA56CB"/>
    <w:rsid w:val="00FA56FA"/>
    <w:rsid w:val="00FA5B06"/>
    <w:rsid w:val="00FA5BC4"/>
    <w:rsid w:val="00FA5E08"/>
    <w:rsid w:val="00FA5E7B"/>
    <w:rsid w:val="00FA5EE6"/>
    <w:rsid w:val="00FA6307"/>
    <w:rsid w:val="00FA6447"/>
    <w:rsid w:val="00FA66BF"/>
    <w:rsid w:val="00FA6778"/>
    <w:rsid w:val="00FA6908"/>
    <w:rsid w:val="00FA6C64"/>
    <w:rsid w:val="00FA6C95"/>
    <w:rsid w:val="00FA792E"/>
    <w:rsid w:val="00FA7956"/>
    <w:rsid w:val="00FA7BDB"/>
    <w:rsid w:val="00FA7CC1"/>
    <w:rsid w:val="00FA7E46"/>
    <w:rsid w:val="00FB0076"/>
    <w:rsid w:val="00FB053A"/>
    <w:rsid w:val="00FB0727"/>
    <w:rsid w:val="00FB0989"/>
    <w:rsid w:val="00FB0A5E"/>
    <w:rsid w:val="00FB0A8F"/>
    <w:rsid w:val="00FB0B67"/>
    <w:rsid w:val="00FB0C02"/>
    <w:rsid w:val="00FB0C9D"/>
    <w:rsid w:val="00FB0CFF"/>
    <w:rsid w:val="00FB115D"/>
    <w:rsid w:val="00FB1419"/>
    <w:rsid w:val="00FB1917"/>
    <w:rsid w:val="00FB1B12"/>
    <w:rsid w:val="00FB1B92"/>
    <w:rsid w:val="00FB2193"/>
    <w:rsid w:val="00FB2201"/>
    <w:rsid w:val="00FB23A9"/>
    <w:rsid w:val="00FB2504"/>
    <w:rsid w:val="00FB25C1"/>
    <w:rsid w:val="00FB269D"/>
    <w:rsid w:val="00FB27B3"/>
    <w:rsid w:val="00FB2867"/>
    <w:rsid w:val="00FB2CA8"/>
    <w:rsid w:val="00FB2F31"/>
    <w:rsid w:val="00FB2FCB"/>
    <w:rsid w:val="00FB322A"/>
    <w:rsid w:val="00FB3764"/>
    <w:rsid w:val="00FB3A24"/>
    <w:rsid w:val="00FB3B32"/>
    <w:rsid w:val="00FB3C5A"/>
    <w:rsid w:val="00FB3D66"/>
    <w:rsid w:val="00FB3E37"/>
    <w:rsid w:val="00FB3EA4"/>
    <w:rsid w:val="00FB3EB2"/>
    <w:rsid w:val="00FB4002"/>
    <w:rsid w:val="00FB4764"/>
    <w:rsid w:val="00FB54F5"/>
    <w:rsid w:val="00FB57D1"/>
    <w:rsid w:val="00FB58B0"/>
    <w:rsid w:val="00FB5BD3"/>
    <w:rsid w:val="00FB5C82"/>
    <w:rsid w:val="00FB5F82"/>
    <w:rsid w:val="00FB5F8A"/>
    <w:rsid w:val="00FB62B3"/>
    <w:rsid w:val="00FB6404"/>
    <w:rsid w:val="00FB654B"/>
    <w:rsid w:val="00FB6669"/>
    <w:rsid w:val="00FB67A0"/>
    <w:rsid w:val="00FB68DF"/>
    <w:rsid w:val="00FB6A20"/>
    <w:rsid w:val="00FB6F2C"/>
    <w:rsid w:val="00FB77E5"/>
    <w:rsid w:val="00FB79FA"/>
    <w:rsid w:val="00FB7A1C"/>
    <w:rsid w:val="00FB7C55"/>
    <w:rsid w:val="00FB7D47"/>
    <w:rsid w:val="00FB7F4E"/>
    <w:rsid w:val="00FB7FA1"/>
    <w:rsid w:val="00FC0018"/>
    <w:rsid w:val="00FC0103"/>
    <w:rsid w:val="00FC036C"/>
    <w:rsid w:val="00FC070B"/>
    <w:rsid w:val="00FC0736"/>
    <w:rsid w:val="00FC0828"/>
    <w:rsid w:val="00FC0C7B"/>
    <w:rsid w:val="00FC0DA1"/>
    <w:rsid w:val="00FC0E2D"/>
    <w:rsid w:val="00FC0F17"/>
    <w:rsid w:val="00FC1074"/>
    <w:rsid w:val="00FC1103"/>
    <w:rsid w:val="00FC1247"/>
    <w:rsid w:val="00FC1380"/>
    <w:rsid w:val="00FC16BD"/>
    <w:rsid w:val="00FC16DF"/>
    <w:rsid w:val="00FC1884"/>
    <w:rsid w:val="00FC1AC1"/>
    <w:rsid w:val="00FC1E7A"/>
    <w:rsid w:val="00FC1E7B"/>
    <w:rsid w:val="00FC20EC"/>
    <w:rsid w:val="00FC2242"/>
    <w:rsid w:val="00FC2371"/>
    <w:rsid w:val="00FC23CC"/>
    <w:rsid w:val="00FC2635"/>
    <w:rsid w:val="00FC2ADA"/>
    <w:rsid w:val="00FC2CB1"/>
    <w:rsid w:val="00FC2E8F"/>
    <w:rsid w:val="00FC2F68"/>
    <w:rsid w:val="00FC36FB"/>
    <w:rsid w:val="00FC371D"/>
    <w:rsid w:val="00FC39BE"/>
    <w:rsid w:val="00FC3C88"/>
    <w:rsid w:val="00FC3F65"/>
    <w:rsid w:val="00FC3FF0"/>
    <w:rsid w:val="00FC4619"/>
    <w:rsid w:val="00FC47DC"/>
    <w:rsid w:val="00FC49FA"/>
    <w:rsid w:val="00FC4A4D"/>
    <w:rsid w:val="00FC4F04"/>
    <w:rsid w:val="00FC4FB7"/>
    <w:rsid w:val="00FC5274"/>
    <w:rsid w:val="00FC55DC"/>
    <w:rsid w:val="00FC58FE"/>
    <w:rsid w:val="00FC5D2B"/>
    <w:rsid w:val="00FC5F0B"/>
    <w:rsid w:val="00FC64A4"/>
    <w:rsid w:val="00FC6731"/>
    <w:rsid w:val="00FC6A92"/>
    <w:rsid w:val="00FC6BFD"/>
    <w:rsid w:val="00FC7182"/>
    <w:rsid w:val="00FC726D"/>
    <w:rsid w:val="00FC753A"/>
    <w:rsid w:val="00FC7867"/>
    <w:rsid w:val="00FC78F1"/>
    <w:rsid w:val="00FC79F5"/>
    <w:rsid w:val="00FC7F50"/>
    <w:rsid w:val="00FD02C3"/>
    <w:rsid w:val="00FD03F7"/>
    <w:rsid w:val="00FD0E2E"/>
    <w:rsid w:val="00FD0F76"/>
    <w:rsid w:val="00FD0FDF"/>
    <w:rsid w:val="00FD107B"/>
    <w:rsid w:val="00FD1398"/>
    <w:rsid w:val="00FD13A0"/>
    <w:rsid w:val="00FD1465"/>
    <w:rsid w:val="00FD150A"/>
    <w:rsid w:val="00FD17E8"/>
    <w:rsid w:val="00FD181E"/>
    <w:rsid w:val="00FD1842"/>
    <w:rsid w:val="00FD1B81"/>
    <w:rsid w:val="00FD1CA7"/>
    <w:rsid w:val="00FD1F13"/>
    <w:rsid w:val="00FD1F60"/>
    <w:rsid w:val="00FD2100"/>
    <w:rsid w:val="00FD22C6"/>
    <w:rsid w:val="00FD28D9"/>
    <w:rsid w:val="00FD2998"/>
    <w:rsid w:val="00FD2D3E"/>
    <w:rsid w:val="00FD2F0A"/>
    <w:rsid w:val="00FD2FBC"/>
    <w:rsid w:val="00FD360F"/>
    <w:rsid w:val="00FD3E6A"/>
    <w:rsid w:val="00FD3EA3"/>
    <w:rsid w:val="00FD4066"/>
    <w:rsid w:val="00FD436C"/>
    <w:rsid w:val="00FD446D"/>
    <w:rsid w:val="00FD45A0"/>
    <w:rsid w:val="00FD4F2C"/>
    <w:rsid w:val="00FD4F39"/>
    <w:rsid w:val="00FD5110"/>
    <w:rsid w:val="00FD543F"/>
    <w:rsid w:val="00FD569F"/>
    <w:rsid w:val="00FD589E"/>
    <w:rsid w:val="00FD5921"/>
    <w:rsid w:val="00FD5F12"/>
    <w:rsid w:val="00FD6394"/>
    <w:rsid w:val="00FD65AF"/>
    <w:rsid w:val="00FD66E6"/>
    <w:rsid w:val="00FD67F7"/>
    <w:rsid w:val="00FD6A5B"/>
    <w:rsid w:val="00FD6CFE"/>
    <w:rsid w:val="00FD75E8"/>
    <w:rsid w:val="00FD78E9"/>
    <w:rsid w:val="00FD7B19"/>
    <w:rsid w:val="00FE0097"/>
    <w:rsid w:val="00FE02A6"/>
    <w:rsid w:val="00FE06CD"/>
    <w:rsid w:val="00FE0AA9"/>
    <w:rsid w:val="00FE0C82"/>
    <w:rsid w:val="00FE0E6C"/>
    <w:rsid w:val="00FE1157"/>
    <w:rsid w:val="00FE12C8"/>
    <w:rsid w:val="00FE15A5"/>
    <w:rsid w:val="00FE171D"/>
    <w:rsid w:val="00FE17DF"/>
    <w:rsid w:val="00FE1BE6"/>
    <w:rsid w:val="00FE1CAC"/>
    <w:rsid w:val="00FE1CDC"/>
    <w:rsid w:val="00FE1DDC"/>
    <w:rsid w:val="00FE1F53"/>
    <w:rsid w:val="00FE22D1"/>
    <w:rsid w:val="00FE2A89"/>
    <w:rsid w:val="00FE2ED1"/>
    <w:rsid w:val="00FE3514"/>
    <w:rsid w:val="00FE361B"/>
    <w:rsid w:val="00FE37EC"/>
    <w:rsid w:val="00FE3867"/>
    <w:rsid w:val="00FE3909"/>
    <w:rsid w:val="00FE3A09"/>
    <w:rsid w:val="00FE3BB4"/>
    <w:rsid w:val="00FE3DF0"/>
    <w:rsid w:val="00FE4047"/>
    <w:rsid w:val="00FE41CA"/>
    <w:rsid w:val="00FE42FA"/>
    <w:rsid w:val="00FE45B5"/>
    <w:rsid w:val="00FE497B"/>
    <w:rsid w:val="00FE5125"/>
    <w:rsid w:val="00FE51E5"/>
    <w:rsid w:val="00FE55D3"/>
    <w:rsid w:val="00FE5859"/>
    <w:rsid w:val="00FE5C7D"/>
    <w:rsid w:val="00FE5D46"/>
    <w:rsid w:val="00FE5EE6"/>
    <w:rsid w:val="00FE6001"/>
    <w:rsid w:val="00FE60E5"/>
    <w:rsid w:val="00FE63F8"/>
    <w:rsid w:val="00FE6670"/>
    <w:rsid w:val="00FE6BF1"/>
    <w:rsid w:val="00FE6CB8"/>
    <w:rsid w:val="00FE6E48"/>
    <w:rsid w:val="00FE70C3"/>
    <w:rsid w:val="00FE739A"/>
    <w:rsid w:val="00FE743E"/>
    <w:rsid w:val="00FE75FB"/>
    <w:rsid w:val="00FE7C08"/>
    <w:rsid w:val="00FF01A0"/>
    <w:rsid w:val="00FF034B"/>
    <w:rsid w:val="00FF03F2"/>
    <w:rsid w:val="00FF10D6"/>
    <w:rsid w:val="00FF1208"/>
    <w:rsid w:val="00FF164E"/>
    <w:rsid w:val="00FF1A94"/>
    <w:rsid w:val="00FF1D7B"/>
    <w:rsid w:val="00FF1E44"/>
    <w:rsid w:val="00FF1F5B"/>
    <w:rsid w:val="00FF1F9B"/>
    <w:rsid w:val="00FF2040"/>
    <w:rsid w:val="00FF20BA"/>
    <w:rsid w:val="00FF23A2"/>
    <w:rsid w:val="00FF246C"/>
    <w:rsid w:val="00FF2593"/>
    <w:rsid w:val="00FF270E"/>
    <w:rsid w:val="00FF2729"/>
    <w:rsid w:val="00FF27E1"/>
    <w:rsid w:val="00FF2A3D"/>
    <w:rsid w:val="00FF2AD9"/>
    <w:rsid w:val="00FF2B91"/>
    <w:rsid w:val="00FF334B"/>
    <w:rsid w:val="00FF334E"/>
    <w:rsid w:val="00FF359F"/>
    <w:rsid w:val="00FF369D"/>
    <w:rsid w:val="00FF37BD"/>
    <w:rsid w:val="00FF39C0"/>
    <w:rsid w:val="00FF3B15"/>
    <w:rsid w:val="00FF3C97"/>
    <w:rsid w:val="00FF3DCF"/>
    <w:rsid w:val="00FF3F33"/>
    <w:rsid w:val="00FF400F"/>
    <w:rsid w:val="00FF40C0"/>
    <w:rsid w:val="00FF4124"/>
    <w:rsid w:val="00FF43CA"/>
    <w:rsid w:val="00FF48A6"/>
    <w:rsid w:val="00FF492C"/>
    <w:rsid w:val="00FF4A21"/>
    <w:rsid w:val="00FF4B32"/>
    <w:rsid w:val="00FF50E4"/>
    <w:rsid w:val="00FF5124"/>
    <w:rsid w:val="00FF5271"/>
    <w:rsid w:val="00FF556A"/>
    <w:rsid w:val="00FF575D"/>
    <w:rsid w:val="00FF57DE"/>
    <w:rsid w:val="00FF5AA3"/>
    <w:rsid w:val="00FF5AD8"/>
    <w:rsid w:val="00FF6311"/>
    <w:rsid w:val="00FF6439"/>
    <w:rsid w:val="00FF6C59"/>
    <w:rsid w:val="00FF6CC6"/>
    <w:rsid w:val="00FF6E45"/>
    <w:rsid w:val="00FF7093"/>
    <w:rsid w:val="00FF7266"/>
    <w:rsid w:val="00FF75BF"/>
    <w:rsid w:val="00FF769B"/>
    <w:rsid w:val="00FF76F3"/>
    <w:rsid w:val="00FF7980"/>
    <w:rsid w:val="00FF7D1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3"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 Q"/>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Table Legend,Bullet1,Bullet 1,Bullet List,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Header Table,NICE instructions,Source table_,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TableHeading0">
    <w:name w:val="Table Heading"/>
    <w:basedOn w:val="Normal"/>
    <w:qFormat/>
    <w:rsid w:val="007065A5"/>
    <w:pPr>
      <w:keepNext/>
      <w:spacing w:after="60"/>
      <w:jc w:val="left"/>
    </w:pPr>
    <w:rPr>
      <w:rFonts w:ascii="Arial Narrow" w:eastAsiaTheme="minorHAnsi" w:hAnsi="Arial Narrow" w:cstheme="minorBidi"/>
      <w:b/>
      <w:sz w:val="20"/>
      <w:szCs w:val="22"/>
      <w:lang w:eastAsia="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ind w:left="72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DE0F97"/>
    <w:pPr>
      <w:keepNext/>
      <w:keepLines/>
      <w:spacing w:before="160" w:after="120"/>
    </w:pPr>
    <w:rPr>
      <w:rFonts w:asciiTheme="minorHAnsi" w:eastAsiaTheme="majorEastAsia" w:hAnsiTheme="minorHAnsi" w:cstheme="majorBidi"/>
      <w:color w:val="000000" w:themeColor="text1"/>
    </w:rPr>
  </w:style>
  <w:style w:type="character" w:customStyle="1" w:styleId="5-SubsectionSubheadingChar">
    <w:name w:val="5-Subsection Subheading Char"/>
    <w:basedOn w:val="DefaultParagraphFont"/>
    <w:link w:val="5-SubsectionSubheading"/>
    <w:rsid w:val="00DE0F97"/>
    <w:rPr>
      <w:rFonts w:asciiTheme="minorHAnsi" w:eastAsiaTheme="majorEastAsia" w:hAnsiTheme="minorHAnsi" w:cstheme="majorBidi"/>
      <w:color w:val="000000" w:themeColor="text1"/>
      <w:sz w:val="24"/>
      <w:szCs w:val="24"/>
      <w:u w:val="single"/>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customStyle="1" w:styleId="Default">
    <w:name w:val="Default"/>
    <w:rsid w:val="001F6EC2"/>
    <w:pPr>
      <w:autoSpaceDE w:val="0"/>
      <w:autoSpaceDN w:val="0"/>
      <w:adjustRightInd w:val="0"/>
    </w:pPr>
    <w:rPr>
      <w:color w:val="000000"/>
      <w:sz w:val="24"/>
      <w:szCs w:val="24"/>
      <w:lang w:val="en-US" w:eastAsia="en-US"/>
    </w:rPr>
  </w:style>
  <w:style w:type="character" w:customStyle="1" w:styleId="FontBold">
    <w:name w:val="Font Bold"/>
    <w:basedOn w:val="DefaultParagraphFont"/>
    <w:uiPriority w:val="1"/>
    <w:qFormat/>
    <w:rsid w:val="001F6EC2"/>
    <w:rPr>
      <w:rFonts w:ascii="Calibri" w:hAnsi="Calibri"/>
      <w:b/>
      <w:i w:val="0"/>
      <w:sz w:val="24"/>
    </w:rPr>
  </w:style>
  <w:style w:type="paragraph" w:styleId="FootnoteText">
    <w:name w:val="footnote text"/>
    <w:basedOn w:val="BodyText"/>
    <w:link w:val="FootnoteTextChar"/>
    <w:uiPriority w:val="99"/>
    <w:rsid w:val="004C1D80"/>
    <w:pPr>
      <w:spacing w:after="200" w:line="276" w:lineRule="auto"/>
    </w:pPr>
    <w:rPr>
      <w:rFonts w:asciiTheme="minorHAnsi" w:eastAsiaTheme="minorHAnsi" w:hAnsiTheme="minorHAnsi" w:cs="Tahoma"/>
      <w:color w:val="000000"/>
      <w:sz w:val="20"/>
      <w:szCs w:val="22"/>
    </w:rPr>
  </w:style>
  <w:style w:type="character" w:customStyle="1" w:styleId="FootnoteTextChar">
    <w:name w:val="Footnote Text Char"/>
    <w:basedOn w:val="DefaultParagraphFont"/>
    <w:link w:val="FootnoteText"/>
    <w:uiPriority w:val="99"/>
    <w:rsid w:val="004C1D80"/>
    <w:rPr>
      <w:rFonts w:asciiTheme="minorHAnsi" w:eastAsiaTheme="minorHAnsi" w:hAnsiTheme="minorHAnsi" w:cs="Tahoma"/>
      <w:color w:val="000000"/>
      <w:szCs w:val="22"/>
    </w:rPr>
  </w:style>
  <w:style w:type="character" w:styleId="FootnoteReference">
    <w:name w:val="footnote reference"/>
    <w:basedOn w:val="DefaultParagraphFont"/>
    <w:uiPriority w:val="99"/>
    <w:unhideWhenUsed/>
    <w:rsid w:val="004C1D80"/>
    <w:rPr>
      <w:vertAlign w:val="superscript"/>
    </w:rPr>
  </w:style>
  <w:style w:type="paragraph" w:customStyle="1" w:styleId="V50InstructionsBullets">
    <w:name w:val="V5.0 Instructions Bullets"/>
    <w:basedOn w:val="Normal"/>
    <w:qFormat/>
    <w:rsid w:val="008E6AFE"/>
    <w:pPr>
      <w:numPr>
        <w:numId w:val="5"/>
      </w:numPr>
      <w:ind w:left="714" w:hanging="357"/>
      <w:jc w:val="left"/>
    </w:pPr>
    <w:rPr>
      <w:rFonts w:asciiTheme="minorHAnsi" w:eastAsiaTheme="minorHAnsi" w:hAnsiTheme="minorHAnsi" w:cstheme="minorBidi"/>
      <w:color w:val="4BACC6" w:themeColor="accent5"/>
      <w:szCs w:val="22"/>
      <w:lang w:eastAsia="en-US"/>
    </w:rPr>
  </w:style>
  <w:style w:type="table" w:customStyle="1" w:styleId="HTATableshaded">
    <w:name w:val="HTA Table shaded"/>
    <w:basedOn w:val="TableNormal"/>
    <w:rsid w:val="00772F99"/>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TableHeadingChar">
    <w:name w:val="TableHeading Char"/>
    <w:link w:val="TableHeading"/>
    <w:uiPriority w:val="99"/>
    <w:rsid w:val="00F72519"/>
    <w:rPr>
      <w:rFonts w:ascii="Arial Narrow" w:hAnsi="Arial Narrow" w:cs="Arial Narrow"/>
      <w:b/>
      <w:bCs/>
      <w:snapToGrid w:val="0"/>
      <w:szCs w:val="24"/>
    </w:rPr>
  </w:style>
  <w:style w:type="paragraph" w:customStyle="1" w:styleId="TableText1">
    <w:name w:val="TableText"/>
    <w:basedOn w:val="Normal"/>
    <w:uiPriority w:val="99"/>
    <w:rsid w:val="00F72519"/>
    <w:pPr>
      <w:keepNext/>
      <w:spacing w:before="40" w:after="40"/>
      <w:jc w:val="left"/>
    </w:pPr>
    <w:rPr>
      <w:rFonts w:ascii="Arial Narrow" w:eastAsia="SimSun" w:hAnsi="Arial Narrow" w:cs="Arial Narrow"/>
      <w:sz w:val="20"/>
      <w:szCs w:val="20"/>
      <w:lang w:eastAsia="en-US"/>
    </w:rPr>
  </w:style>
  <w:style w:type="paragraph" w:customStyle="1" w:styleId="tabletextleftjustified">
    <w:name w:val="table text left justified"/>
    <w:link w:val="tabletextleftjustifiedChar"/>
    <w:rsid w:val="00F72519"/>
    <w:pPr>
      <w:spacing w:before="20" w:after="20"/>
    </w:pPr>
    <w:rPr>
      <w:lang w:val="en-US" w:eastAsia="en-US"/>
    </w:rPr>
  </w:style>
  <w:style w:type="character" w:customStyle="1" w:styleId="tabletextleftjustifiedChar">
    <w:name w:val="table text left justified Char"/>
    <w:link w:val="tabletextleftjustified"/>
    <w:locked/>
    <w:rsid w:val="00F72519"/>
    <w:rPr>
      <w:lang w:val="en-US" w:eastAsia="en-US"/>
    </w:rPr>
  </w:style>
  <w:style w:type="character" w:customStyle="1" w:styleId="Heading3Char">
    <w:name w:val="Heading 3 Char"/>
    <w:basedOn w:val="DefaultParagraphFont"/>
    <w:link w:val="Heading3"/>
    <w:rsid w:val="0051188A"/>
    <w:rPr>
      <w:rFonts w:ascii="Calibri" w:hAnsi="Calibri" w:cs="Arial"/>
      <w:sz w:val="24"/>
      <w:szCs w:val="24"/>
      <w:u w:val="single"/>
    </w:rPr>
  </w:style>
  <w:style w:type="table" w:customStyle="1" w:styleId="OPTUMTableNormal">
    <w:name w:val="OPTUM Table Normal"/>
    <w:basedOn w:val="TableNormal"/>
    <w:rsid w:val="00D122A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Times New Roman"/>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HTAsimple">
    <w:name w:val="Table HTA simple"/>
    <w:basedOn w:val="TableNormal"/>
    <w:uiPriority w:val="99"/>
    <w:rsid w:val="004C5C1F"/>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FootnotesAbbreviations">
    <w:name w:val="Table Footnotes/Abbreviations"/>
    <w:basedOn w:val="BodyText"/>
    <w:link w:val="TableFootnotesAbbreviationsChar"/>
    <w:qFormat/>
    <w:rsid w:val="004C5C1F"/>
    <w:pPr>
      <w:spacing w:before="60"/>
    </w:pPr>
    <w:rPr>
      <w:rFonts w:ascii="Calibri Light" w:hAnsi="Calibri Light"/>
      <w:sz w:val="18"/>
      <w:szCs w:val="20"/>
      <w:lang w:val="en-US" w:eastAsia="en-US"/>
    </w:rPr>
  </w:style>
  <w:style w:type="character" w:customStyle="1" w:styleId="TableFootnotesAbbreviationsChar">
    <w:name w:val="Table Footnotes/Abbreviations Char"/>
    <w:basedOn w:val="BodyTextChar"/>
    <w:link w:val="TableFootnotesAbbreviations"/>
    <w:rsid w:val="004C5C1F"/>
    <w:rPr>
      <w:rFonts w:ascii="Calibri Light" w:hAnsi="Calibri Light" w:cs="Arial"/>
      <w:snapToGrid/>
      <w:sz w:val="18"/>
      <w:lang w:val="en-US" w:eastAsia="en-US"/>
    </w:rPr>
  </w:style>
  <w:style w:type="paragraph" w:customStyle="1" w:styleId="Char1CharCharChar">
    <w:name w:val="Char1 Char Char Char"/>
    <w:basedOn w:val="Normal"/>
    <w:rsid w:val="007E520C"/>
    <w:pPr>
      <w:spacing w:after="160" w:line="240" w:lineRule="exact"/>
      <w:jc w:val="left"/>
    </w:pPr>
    <w:rPr>
      <w:rFonts w:ascii="Verdana" w:eastAsia="MS Mincho" w:hAnsi="Verdana" w:cs="Verdana"/>
      <w:snapToGrid w:val="0"/>
      <w:sz w:val="20"/>
      <w:lang w:val="en-US"/>
    </w:rPr>
  </w:style>
  <w:style w:type="table" w:customStyle="1" w:styleId="HTAtableplain1">
    <w:name w:val="HTAtableplain1"/>
    <w:basedOn w:val="TableNormal"/>
    <w:next w:val="TableGrid"/>
    <w:uiPriority w:val="39"/>
    <w:rsid w:val="00224E80"/>
    <w:pPr>
      <w:spacing w:before="20" w:after="20"/>
    </w:pPr>
    <w:rPr>
      <w:rFonts w:asciiTheme="minorHAnsi" w:hAnsiTheme="minorHAnsi"/>
      <w:sz w:val="18"/>
    </w:rPr>
    <w:tblPr>
      <w:tblBorders>
        <w:bottom w:val="single" w:sz="6" w:space="0" w:color="auto"/>
        <w:insideV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table" w:customStyle="1" w:styleId="Sourcetable1">
    <w:name w:val="Source table_1"/>
    <w:basedOn w:val="TableNormal"/>
    <w:next w:val="TableGrid"/>
    <w:uiPriority w:val="39"/>
    <w:rsid w:val="006C7A82"/>
    <w:pPr>
      <w:spacing w:before="20" w:after="20"/>
      <w:ind w:left="113" w:right="113"/>
      <w:jc w:val="center"/>
    </w:pPr>
    <w:rPr>
      <w:rFonts w:ascii="Calibri" w:eastAsia="Calibri" w:hAnsi="Calibri"/>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tcMar>
        <w:top w:w="0" w:type="dxa"/>
        <w:bottom w:w="0" w:type="dxa"/>
      </w:tcMar>
      <w:vAlign w:val="center"/>
    </w:tcPr>
    <w:tblStylePr w:type="firstRow">
      <w:pPr>
        <w:jc w:val="center"/>
      </w:pPr>
      <w:rPr>
        <w:b/>
      </w:rPr>
      <w:tblPr/>
      <w:tcPr>
        <w:shd w:val="clear" w:color="auto" w:fill="D9D9D9" w:themeFill="background1" w:themeFillShade="D9"/>
        <w:vAlign w:val="top"/>
      </w:tcPr>
    </w:tblStylePr>
    <w:tblStylePr w:type="firstCol">
      <w:pPr>
        <w:jc w:val="left"/>
      </w:pPr>
    </w:tblStylePr>
    <w:tblStylePr w:type="nwCell">
      <w:pPr>
        <w:jc w:val="left"/>
      </w:pPr>
      <w:tblPr/>
      <w:tcPr>
        <w:vAlign w:val="top"/>
      </w:tcPr>
    </w:tblStylePr>
  </w:style>
  <w:style w:type="paragraph" w:customStyle="1" w:styleId="null">
    <w:name w:val="null"/>
    <w:basedOn w:val="Normal"/>
    <w:rsid w:val="004A1122"/>
    <w:pPr>
      <w:spacing w:before="100" w:beforeAutospacing="1" w:after="100" w:afterAutospacing="1"/>
      <w:jc w:val="left"/>
    </w:pPr>
    <w:rPr>
      <w:rFonts w:eastAsiaTheme="minorHAnsi" w:cs="Calibri"/>
      <w:sz w:val="22"/>
      <w:szCs w:val="22"/>
    </w:rPr>
  </w:style>
  <w:style w:type="character" w:customStyle="1" w:styleId="null1">
    <w:name w:val="null1"/>
    <w:basedOn w:val="DefaultParagraphFont"/>
    <w:rsid w:val="004A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3244">
      <w:bodyDiv w:val="1"/>
      <w:marLeft w:val="0"/>
      <w:marRight w:val="0"/>
      <w:marTop w:val="0"/>
      <w:marBottom w:val="0"/>
      <w:divBdr>
        <w:top w:val="none" w:sz="0" w:space="0" w:color="auto"/>
        <w:left w:val="none" w:sz="0" w:space="0" w:color="auto"/>
        <w:bottom w:val="none" w:sz="0" w:space="0" w:color="auto"/>
        <w:right w:val="none" w:sz="0" w:space="0" w:color="auto"/>
      </w:divBdr>
    </w:div>
    <w:div w:id="10958644">
      <w:bodyDiv w:val="1"/>
      <w:marLeft w:val="0"/>
      <w:marRight w:val="0"/>
      <w:marTop w:val="0"/>
      <w:marBottom w:val="0"/>
      <w:divBdr>
        <w:top w:val="none" w:sz="0" w:space="0" w:color="auto"/>
        <w:left w:val="none" w:sz="0" w:space="0" w:color="auto"/>
        <w:bottom w:val="none" w:sz="0" w:space="0" w:color="auto"/>
        <w:right w:val="none" w:sz="0" w:space="0" w:color="auto"/>
      </w:divBdr>
    </w:div>
    <w:div w:id="27071865">
      <w:bodyDiv w:val="1"/>
      <w:marLeft w:val="0"/>
      <w:marRight w:val="0"/>
      <w:marTop w:val="0"/>
      <w:marBottom w:val="0"/>
      <w:divBdr>
        <w:top w:val="none" w:sz="0" w:space="0" w:color="auto"/>
        <w:left w:val="none" w:sz="0" w:space="0" w:color="auto"/>
        <w:bottom w:val="none" w:sz="0" w:space="0" w:color="auto"/>
        <w:right w:val="none" w:sz="0" w:space="0" w:color="auto"/>
      </w:divBdr>
    </w:div>
    <w:div w:id="52001197">
      <w:bodyDiv w:val="1"/>
      <w:marLeft w:val="0"/>
      <w:marRight w:val="0"/>
      <w:marTop w:val="0"/>
      <w:marBottom w:val="0"/>
      <w:divBdr>
        <w:top w:val="none" w:sz="0" w:space="0" w:color="auto"/>
        <w:left w:val="none" w:sz="0" w:space="0" w:color="auto"/>
        <w:bottom w:val="none" w:sz="0" w:space="0" w:color="auto"/>
        <w:right w:val="none" w:sz="0" w:space="0" w:color="auto"/>
      </w:divBdr>
    </w:div>
    <w:div w:id="59405838">
      <w:bodyDiv w:val="1"/>
      <w:marLeft w:val="0"/>
      <w:marRight w:val="0"/>
      <w:marTop w:val="0"/>
      <w:marBottom w:val="0"/>
      <w:divBdr>
        <w:top w:val="none" w:sz="0" w:space="0" w:color="auto"/>
        <w:left w:val="none" w:sz="0" w:space="0" w:color="auto"/>
        <w:bottom w:val="none" w:sz="0" w:space="0" w:color="auto"/>
        <w:right w:val="none" w:sz="0" w:space="0" w:color="auto"/>
      </w:divBdr>
    </w:div>
    <w:div w:id="7917933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5977755">
      <w:bodyDiv w:val="1"/>
      <w:marLeft w:val="0"/>
      <w:marRight w:val="0"/>
      <w:marTop w:val="0"/>
      <w:marBottom w:val="0"/>
      <w:divBdr>
        <w:top w:val="none" w:sz="0" w:space="0" w:color="auto"/>
        <w:left w:val="none" w:sz="0" w:space="0" w:color="auto"/>
        <w:bottom w:val="none" w:sz="0" w:space="0" w:color="auto"/>
        <w:right w:val="none" w:sz="0" w:space="0" w:color="auto"/>
      </w:divBdr>
    </w:div>
    <w:div w:id="468522422">
      <w:bodyDiv w:val="1"/>
      <w:marLeft w:val="0"/>
      <w:marRight w:val="0"/>
      <w:marTop w:val="0"/>
      <w:marBottom w:val="0"/>
      <w:divBdr>
        <w:top w:val="none" w:sz="0" w:space="0" w:color="auto"/>
        <w:left w:val="none" w:sz="0" w:space="0" w:color="auto"/>
        <w:bottom w:val="none" w:sz="0" w:space="0" w:color="auto"/>
        <w:right w:val="none" w:sz="0" w:space="0" w:color="auto"/>
      </w:divBdr>
    </w:div>
    <w:div w:id="534928797">
      <w:bodyDiv w:val="1"/>
      <w:marLeft w:val="0"/>
      <w:marRight w:val="0"/>
      <w:marTop w:val="0"/>
      <w:marBottom w:val="0"/>
      <w:divBdr>
        <w:top w:val="none" w:sz="0" w:space="0" w:color="auto"/>
        <w:left w:val="none" w:sz="0" w:space="0" w:color="auto"/>
        <w:bottom w:val="none" w:sz="0" w:space="0" w:color="auto"/>
        <w:right w:val="none" w:sz="0" w:space="0" w:color="auto"/>
      </w:divBdr>
    </w:div>
    <w:div w:id="586812496">
      <w:bodyDiv w:val="1"/>
      <w:marLeft w:val="0"/>
      <w:marRight w:val="0"/>
      <w:marTop w:val="0"/>
      <w:marBottom w:val="0"/>
      <w:divBdr>
        <w:top w:val="none" w:sz="0" w:space="0" w:color="auto"/>
        <w:left w:val="none" w:sz="0" w:space="0" w:color="auto"/>
        <w:bottom w:val="none" w:sz="0" w:space="0" w:color="auto"/>
        <w:right w:val="none" w:sz="0" w:space="0" w:color="auto"/>
      </w:divBdr>
    </w:div>
    <w:div w:id="612976001">
      <w:bodyDiv w:val="1"/>
      <w:marLeft w:val="0"/>
      <w:marRight w:val="0"/>
      <w:marTop w:val="0"/>
      <w:marBottom w:val="0"/>
      <w:divBdr>
        <w:top w:val="none" w:sz="0" w:space="0" w:color="auto"/>
        <w:left w:val="none" w:sz="0" w:space="0" w:color="auto"/>
        <w:bottom w:val="none" w:sz="0" w:space="0" w:color="auto"/>
        <w:right w:val="none" w:sz="0" w:space="0" w:color="auto"/>
      </w:divBdr>
    </w:div>
    <w:div w:id="661004980">
      <w:bodyDiv w:val="1"/>
      <w:marLeft w:val="0"/>
      <w:marRight w:val="0"/>
      <w:marTop w:val="0"/>
      <w:marBottom w:val="0"/>
      <w:divBdr>
        <w:top w:val="none" w:sz="0" w:space="0" w:color="auto"/>
        <w:left w:val="none" w:sz="0" w:space="0" w:color="auto"/>
        <w:bottom w:val="none" w:sz="0" w:space="0" w:color="auto"/>
        <w:right w:val="none" w:sz="0" w:space="0" w:color="auto"/>
      </w:divBdr>
    </w:div>
    <w:div w:id="718362206">
      <w:bodyDiv w:val="1"/>
      <w:marLeft w:val="0"/>
      <w:marRight w:val="0"/>
      <w:marTop w:val="0"/>
      <w:marBottom w:val="0"/>
      <w:divBdr>
        <w:top w:val="none" w:sz="0" w:space="0" w:color="auto"/>
        <w:left w:val="none" w:sz="0" w:space="0" w:color="auto"/>
        <w:bottom w:val="none" w:sz="0" w:space="0" w:color="auto"/>
        <w:right w:val="none" w:sz="0" w:space="0" w:color="auto"/>
      </w:divBdr>
    </w:div>
    <w:div w:id="749811182">
      <w:bodyDiv w:val="1"/>
      <w:marLeft w:val="0"/>
      <w:marRight w:val="0"/>
      <w:marTop w:val="0"/>
      <w:marBottom w:val="0"/>
      <w:divBdr>
        <w:top w:val="none" w:sz="0" w:space="0" w:color="auto"/>
        <w:left w:val="none" w:sz="0" w:space="0" w:color="auto"/>
        <w:bottom w:val="none" w:sz="0" w:space="0" w:color="auto"/>
        <w:right w:val="none" w:sz="0" w:space="0" w:color="auto"/>
      </w:divBdr>
    </w:div>
    <w:div w:id="831063666">
      <w:bodyDiv w:val="1"/>
      <w:marLeft w:val="0"/>
      <w:marRight w:val="0"/>
      <w:marTop w:val="0"/>
      <w:marBottom w:val="0"/>
      <w:divBdr>
        <w:top w:val="none" w:sz="0" w:space="0" w:color="auto"/>
        <w:left w:val="none" w:sz="0" w:space="0" w:color="auto"/>
        <w:bottom w:val="none" w:sz="0" w:space="0" w:color="auto"/>
        <w:right w:val="none" w:sz="0" w:space="0" w:color="auto"/>
      </w:divBdr>
    </w:div>
    <w:div w:id="1010136933">
      <w:bodyDiv w:val="1"/>
      <w:marLeft w:val="0"/>
      <w:marRight w:val="0"/>
      <w:marTop w:val="0"/>
      <w:marBottom w:val="0"/>
      <w:divBdr>
        <w:top w:val="none" w:sz="0" w:space="0" w:color="auto"/>
        <w:left w:val="none" w:sz="0" w:space="0" w:color="auto"/>
        <w:bottom w:val="none" w:sz="0" w:space="0" w:color="auto"/>
        <w:right w:val="none" w:sz="0" w:space="0" w:color="auto"/>
      </w:divBdr>
    </w:div>
    <w:div w:id="1025208315">
      <w:bodyDiv w:val="1"/>
      <w:marLeft w:val="0"/>
      <w:marRight w:val="0"/>
      <w:marTop w:val="0"/>
      <w:marBottom w:val="0"/>
      <w:divBdr>
        <w:top w:val="none" w:sz="0" w:space="0" w:color="auto"/>
        <w:left w:val="none" w:sz="0" w:space="0" w:color="auto"/>
        <w:bottom w:val="none" w:sz="0" w:space="0" w:color="auto"/>
        <w:right w:val="none" w:sz="0" w:space="0" w:color="auto"/>
      </w:divBdr>
    </w:div>
    <w:div w:id="106752915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5186">
      <w:bodyDiv w:val="1"/>
      <w:marLeft w:val="0"/>
      <w:marRight w:val="0"/>
      <w:marTop w:val="0"/>
      <w:marBottom w:val="0"/>
      <w:divBdr>
        <w:top w:val="none" w:sz="0" w:space="0" w:color="auto"/>
        <w:left w:val="none" w:sz="0" w:space="0" w:color="auto"/>
        <w:bottom w:val="none" w:sz="0" w:space="0" w:color="auto"/>
        <w:right w:val="none" w:sz="0" w:space="0" w:color="auto"/>
      </w:divBdr>
    </w:div>
    <w:div w:id="1538590379">
      <w:bodyDiv w:val="1"/>
      <w:marLeft w:val="0"/>
      <w:marRight w:val="0"/>
      <w:marTop w:val="0"/>
      <w:marBottom w:val="0"/>
      <w:divBdr>
        <w:top w:val="none" w:sz="0" w:space="0" w:color="auto"/>
        <w:left w:val="none" w:sz="0" w:space="0" w:color="auto"/>
        <w:bottom w:val="none" w:sz="0" w:space="0" w:color="auto"/>
        <w:right w:val="none" w:sz="0" w:space="0" w:color="auto"/>
      </w:divBdr>
    </w:div>
    <w:div w:id="1608778504">
      <w:bodyDiv w:val="1"/>
      <w:marLeft w:val="0"/>
      <w:marRight w:val="0"/>
      <w:marTop w:val="0"/>
      <w:marBottom w:val="0"/>
      <w:divBdr>
        <w:top w:val="none" w:sz="0" w:space="0" w:color="auto"/>
        <w:left w:val="none" w:sz="0" w:space="0" w:color="auto"/>
        <w:bottom w:val="none" w:sz="0" w:space="0" w:color="auto"/>
        <w:right w:val="none" w:sz="0" w:space="0" w:color="auto"/>
      </w:divBdr>
    </w:div>
    <w:div w:id="1615401722">
      <w:bodyDiv w:val="1"/>
      <w:marLeft w:val="0"/>
      <w:marRight w:val="0"/>
      <w:marTop w:val="0"/>
      <w:marBottom w:val="0"/>
      <w:divBdr>
        <w:top w:val="none" w:sz="0" w:space="0" w:color="auto"/>
        <w:left w:val="none" w:sz="0" w:space="0" w:color="auto"/>
        <w:bottom w:val="none" w:sz="0" w:space="0" w:color="auto"/>
        <w:right w:val="none" w:sz="0" w:space="0" w:color="auto"/>
      </w:divBdr>
    </w:div>
    <w:div w:id="1756902001">
      <w:bodyDiv w:val="1"/>
      <w:marLeft w:val="0"/>
      <w:marRight w:val="0"/>
      <w:marTop w:val="0"/>
      <w:marBottom w:val="0"/>
      <w:divBdr>
        <w:top w:val="none" w:sz="0" w:space="0" w:color="auto"/>
        <w:left w:val="none" w:sz="0" w:space="0" w:color="auto"/>
        <w:bottom w:val="none" w:sz="0" w:space="0" w:color="auto"/>
        <w:right w:val="none" w:sz="0" w:space="0" w:color="auto"/>
      </w:divBdr>
    </w:div>
    <w:div w:id="190232203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5967325">
      <w:bodyDiv w:val="1"/>
      <w:marLeft w:val="0"/>
      <w:marRight w:val="0"/>
      <w:marTop w:val="0"/>
      <w:marBottom w:val="0"/>
      <w:divBdr>
        <w:top w:val="none" w:sz="0" w:space="0" w:color="auto"/>
        <w:left w:val="none" w:sz="0" w:space="0" w:color="auto"/>
        <w:bottom w:val="none" w:sz="0" w:space="0" w:color="auto"/>
        <w:right w:val="none" w:sz="0" w:space="0" w:color="auto"/>
      </w:divBdr>
      <w:divsChild>
        <w:div w:id="977491360">
          <w:marLeft w:val="360"/>
          <w:marRight w:val="0"/>
          <w:marTop w:val="200"/>
          <w:marBottom w:val="0"/>
          <w:divBdr>
            <w:top w:val="none" w:sz="0" w:space="0" w:color="auto"/>
            <w:left w:val="none" w:sz="0" w:space="0" w:color="auto"/>
            <w:bottom w:val="none" w:sz="0" w:space="0" w:color="auto"/>
            <w:right w:val="none" w:sz="0" w:space="0" w:color="auto"/>
          </w:divBdr>
        </w:div>
      </w:divsChild>
    </w:div>
    <w:div w:id="2094889642">
      <w:bodyDiv w:val="1"/>
      <w:marLeft w:val="0"/>
      <w:marRight w:val="0"/>
      <w:marTop w:val="0"/>
      <w:marBottom w:val="0"/>
      <w:divBdr>
        <w:top w:val="none" w:sz="0" w:space="0" w:color="auto"/>
        <w:left w:val="none" w:sz="0" w:space="0" w:color="auto"/>
        <w:bottom w:val="none" w:sz="0" w:space="0" w:color="auto"/>
        <w:right w:val="none" w:sz="0" w:space="0" w:color="auto"/>
      </w:divBdr>
    </w:div>
    <w:div w:id="21052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0211-0169-4FCF-9378-521D5D36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10337</Words>
  <Characters>55701</Characters>
  <Application>Microsoft Office Word</Application>
  <DocSecurity>0</DocSecurity>
  <Lines>464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2021-10-28T01:14:00Z</dcterms:created>
  <dcterms:modified xsi:type="dcterms:W3CDTF">2021-11-07T23:40:00Z</dcterms:modified>
</cp:coreProperties>
</file>