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D5D0" w14:textId="77777777" w:rsidR="00566401" w:rsidRPr="00EA7B3F" w:rsidRDefault="005D6C76" w:rsidP="00566401">
      <w:pPr>
        <w:pStyle w:val="1-MainHeading"/>
      </w:pPr>
      <w:bookmarkStart w:id="0" w:name="_Toc72133169"/>
      <w:r w:rsidRPr="00EA7B3F">
        <w:t>7.02</w:t>
      </w:r>
      <w:r w:rsidR="00566401" w:rsidRPr="00EA7B3F">
        <w:tab/>
        <w:t>LANADELUMAB,</w:t>
      </w:r>
      <w:r w:rsidR="00566401" w:rsidRPr="00EA7B3F">
        <w:br/>
        <w:t xml:space="preserve">Solution for </w:t>
      </w:r>
      <w:r w:rsidR="00CA1ACB" w:rsidRPr="00EA7B3F">
        <w:t xml:space="preserve">subcutaneous </w:t>
      </w:r>
      <w:r w:rsidR="00566401" w:rsidRPr="00EA7B3F">
        <w:t>injection 300 mg in 2 mL,</w:t>
      </w:r>
      <w:r w:rsidR="00566401" w:rsidRPr="00EA7B3F">
        <w:br/>
        <w:t>Takhzyro®,</w:t>
      </w:r>
      <w:r w:rsidR="00566401" w:rsidRPr="00EA7B3F">
        <w:br/>
        <w:t>Takeda Pharmaceuticals Australia Pty Ltd</w:t>
      </w:r>
      <w:bookmarkEnd w:id="0"/>
    </w:p>
    <w:p w14:paraId="3C74571E" w14:textId="77777777" w:rsidR="009763F9" w:rsidRPr="002C1477" w:rsidRDefault="009763F9" w:rsidP="002C1477">
      <w:pPr>
        <w:pStyle w:val="2-SectionHeading"/>
        <w:ind w:left="720"/>
      </w:pPr>
      <w:bookmarkStart w:id="1" w:name="_Toc72133171"/>
      <w:r w:rsidRPr="002C1477">
        <w:t>Purpose of resubmission</w:t>
      </w:r>
      <w:bookmarkEnd w:id="1"/>
    </w:p>
    <w:p w14:paraId="563EE979" w14:textId="77777777" w:rsidR="009763F9" w:rsidRPr="00EA7B3F" w:rsidRDefault="009763F9" w:rsidP="009763F9">
      <w:pPr>
        <w:pStyle w:val="3-BodyText"/>
      </w:pPr>
      <w:r w:rsidRPr="00EA7B3F">
        <w:t xml:space="preserve">The </w:t>
      </w:r>
      <w:r w:rsidR="00623764">
        <w:t xml:space="preserve">standard re-entry </w:t>
      </w:r>
      <w:r w:rsidRPr="00EA7B3F">
        <w:t>submission requested a Section 85, Authority Required listing for lanadelumab as routine prophylaxis of recurrent attacks of hereditary angioedema (HAE).</w:t>
      </w:r>
    </w:p>
    <w:p w14:paraId="468F9D0D" w14:textId="77777777" w:rsidR="009763F9" w:rsidRPr="00EA7B3F" w:rsidRDefault="009763F9" w:rsidP="009763F9">
      <w:pPr>
        <w:pStyle w:val="3-BodyText"/>
      </w:pPr>
      <w:r w:rsidRPr="00EA7B3F">
        <w:t>Listing was requested on the basis of a cost-utility analysis of lanadelumab compared with standard of care (SOC) in patients with HAE. The key</w:t>
      </w:r>
      <w:r w:rsidRPr="00EA7B3F">
        <w:rPr>
          <w:color w:val="0066FF"/>
        </w:rPr>
        <w:t xml:space="preserve"> </w:t>
      </w:r>
      <w:r w:rsidRPr="00EA7B3F">
        <w:t>components of the overall clinical claim addressed by the resubmission are summarised below.</w:t>
      </w:r>
    </w:p>
    <w:p w14:paraId="0E88CA40" w14:textId="77777777" w:rsidR="009763F9" w:rsidRPr="00EA7B3F" w:rsidRDefault="009763F9" w:rsidP="009763F9">
      <w:pPr>
        <w:pStyle w:val="TableFigureHeading"/>
        <w:rPr>
          <w:rStyle w:val="CommentReference"/>
          <w:b/>
          <w:szCs w:val="24"/>
        </w:rPr>
      </w:pPr>
      <w:bookmarkStart w:id="2" w:name="_Ref68594590"/>
      <w:r w:rsidRPr="00EA7B3F">
        <w:t xml:space="preserve">Table </w:t>
      </w:r>
      <w:r w:rsidR="001972C4" w:rsidRPr="00EA7B3F">
        <w:t>1</w:t>
      </w:r>
      <w:bookmarkEnd w:id="2"/>
      <w:r w:rsidRPr="00EA7B3F">
        <w:t xml:space="preserve">: </w:t>
      </w:r>
      <w:r w:rsidRPr="00EA7B3F">
        <w:rPr>
          <w:rStyle w:val="CommentReference"/>
          <w:b/>
          <w:szCs w:val="24"/>
        </w:rPr>
        <w:t>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763F9" w:rsidRPr="00EA7B3F" w14:paraId="595E98CB" w14:textId="77777777" w:rsidTr="003D2164">
        <w:tc>
          <w:tcPr>
            <w:tcW w:w="1668" w:type="dxa"/>
            <w:vAlign w:val="center"/>
          </w:tcPr>
          <w:p w14:paraId="30C3BA84" w14:textId="77777777" w:rsidR="009763F9" w:rsidRPr="00EA7B3F" w:rsidRDefault="009763F9" w:rsidP="003D2164">
            <w:pPr>
              <w:pStyle w:val="In-tableHeading"/>
              <w:rPr>
                <w:lang w:val="en-AU"/>
              </w:rPr>
            </w:pPr>
            <w:r w:rsidRPr="00EA7B3F">
              <w:rPr>
                <w:lang w:val="en-AU"/>
              </w:rPr>
              <w:t>Component</w:t>
            </w:r>
          </w:p>
        </w:tc>
        <w:tc>
          <w:tcPr>
            <w:tcW w:w="7488" w:type="dxa"/>
            <w:vAlign w:val="center"/>
          </w:tcPr>
          <w:p w14:paraId="5FD71572" w14:textId="77777777" w:rsidR="009763F9" w:rsidRPr="00EA7B3F" w:rsidRDefault="009763F9" w:rsidP="003D2164">
            <w:pPr>
              <w:pStyle w:val="In-tableHeading"/>
              <w:rPr>
                <w:lang w:val="en-AU"/>
              </w:rPr>
            </w:pPr>
            <w:r w:rsidRPr="00EA7B3F">
              <w:rPr>
                <w:lang w:val="en-AU"/>
              </w:rPr>
              <w:t>Description</w:t>
            </w:r>
          </w:p>
        </w:tc>
      </w:tr>
      <w:tr w:rsidR="009763F9" w:rsidRPr="00EA7B3F" w14:paraId="5F478BFC" w14:textId="77777777" w:rsidTr="003D2164">
        <w:tc>
          <w:tcPr>
            <w:tcW w:w="1668" w:type="dxa"/>
            <w:vAlign w:val="center"/>
          </w:tcPr>
          <w:p w14:paraId="1D18908B" w14:textId="77777777" w:rsidR="009763F9" w:rsidRPr="00EA7B3F" w:rsidRDefault="009763F9" w:rsidP="003D2164">
            <w:pPr>
              <w:pStyle w:val="TableText0"/>
            </w:pPr>
            <w:r w:rsidRPr="00EA7B3F">
              <w:t>Population</w:t>
            </w:r>
          </w:p>
        </w:tc>
        <w:tc>
          <w:tcPr>
            <w:tcW w:w="7488" w:type="dxa"/>
            <w:vAlign w:val="center"/>
          </w:tcPr>
          <w:p w14:paraId="526DF472" w14:textId="77777777" w:rsidR="009763F9" w:rsidRPr="00EA7B3F" w:rsidRDefault="009763F9" w:rsidP="003D2164">
            <w:pPr>
              <w:pStyle w:val="TableText0"/>
              <w:rPr>
                <w:vertAlign w:val="superscript"/>
              </w:rPr>
            </w:pPr>
            <w:r w:rsidRPr="00EA7B3F">
              <w:t>Patients who experienced at least 12 tr</w:t>
            </w:r>
            <w:r w:rsidR="008E66AD" w:rsidRPr="00EA7B3F">
              <w:t>eated acute HAE attacks within</w:t>
            </w:r>
            <w:r w:rsidRPr="00EA7B3F">
              <w:t xml:space="preserve"> </w:t>
            </w:r>
            <w:r w:rsidR="008E66AD" w:rsidRPr="00EA7B3F">
              <w:t xml:space="preserve">a </w:t>
            </w:r>
            <w:r w:rsidRPr="00EA7B3F">
              <w:t>6-month</w:t>
            </w:r>
            <w:r w:rsidR="008E66AD" w:rsidRPr="00EA7B3F">
              <w:t xml:space="preserve"> period</w:t>
            </w:r>
            <w:r w:rsidRPr="00EA7B3F">
              <w:rPr>
                <w:vertAlign w:val="superscript"/>
              </w:rPr>
              <w:t>a</w:t>
            </w:r>
          </w:p>
        </w:tc>
      </w:tr>
      <w:tr w:rsidR="009763F9" w:rsidRPr="00EA7B3F" w14:paraId="48468033" w14:textId="77777777" w:rsidTr="003D2164">
        <w:tc>
          <w:tcPr>
            <w:tcW w:w="1668" w:type="dxa"/>
            <w:vAlign w:val="center"/>
          </w:tcPr>
          <w:p w14:paraId="56D222D4" w14:textId="77777777" w:rsidR="009763F9" w:rsidRPr="00EA7B3F" w:rsidRDefault="009763F9" w:rsidP="003D2164">
            <w:pPr>
              <w:pStyle w:val="TableText0"/>
            </w:pPr>
            <w:r w:rsidRPr="00EA7B3F">
              <w:t>Intervention</w:t>
            </w:r>
          </w:p>
        </w:tc>
        <w:tc>
          <w:tcPr>
            <w:tcW w:w="7488" w:type="dxa"/>
            <w:vAlign w:val="center"/>
          </w:tcPr>
          <w:p w14:paraId="568F0883" w14:textId="77777777" w:rsidR="009763F9" w:rsidRPr="00EA7B3F" w:rsidRDefault="009763F9" w:rsidP="003D2164">
            <w:pPr>
              <w:pStyle w:val="TableText0"/>
            </w:pPr>
            <w:r w:rsidRPr="00EA7B3F">
              <w:t>Lanadelumab subcutaneous injection</w:t>
            </w:r>
          </w:p>
        </w:tc>
      </w:tr>
      <w:tr w:rsidR="009763F9" w:rsidRPr="00EA7B3F" w14:paraId="4B5D6A9C" w14:textId="77777777" w:rsidTr="003D2164">
        <w:tc>
          <w:tcPr>
            <w:tcW w:w="1668" w:type="dxa"/>
            <w:vAlign w:val="center"/>
          </w:tcPr>
          <w:p w14:paraId="53B112F9" w14:textId="77777777" w:rsidR="009763F9" w:rsidRPr="00EA7B3F" w:rsidRDefault="009763F9" w:rsidP="003D2164">
            <w:pPr>
              <w:pStyle w:val="TableText0"/>
            </w:pPr>
            <w:r w:rsidRPr="00EA7B3F">
              <w:t>Comparator</w:t>
            </w:r>
          </w:p>
        </w:tc>
        <w:tc>
          <w:tcPr>
            <w:tcW w:w="7488" w:type="dxa"/>
          </w:tcPr>
          <w:p w14:paraId="4B31AA41" w14:textId="77777777" w:rsidR="009763F9" w:rsidRPr="00EA7B3F" w:rsidRDefault="009763F9" w:rsidP="003D2164">
            <w:pPr>
              <w:pStyle w:val="TableText0"/>
              <w:rPr>
                <w:vertAlign w:val="superscript"/>
              </w:rPr>
            </w:pPr>
            <w:r w:rsidRPr="00EA7B3F">
              <w:t xml:space="preserve">SOC for HAE, which comprises use of ODT (icatibant and/or </w:t>
            </w:r>
            <w:r w:rsidR="007C7902" w:rsidRPr="00EA7B3F">
              <w:t xml:space="preserve">IV </w:t>
            </w:r>
            <w:r w:rsidRPr="00EA7B3F">
              <w:t>C1-INH)</w:t>
            </w:r>
            <w:r w:rsidRPr="00EA7B3F">
              <w:rPr>
                <w:vertAlign w:val="superscript"/>
              </w:rPr>
              <w:t>b</w:t>
            </w:r>
          </w:p>
        </w:tc>
      </w:tr>
      <w:tr w:rsidR="009763F9" w:rsidRPr="00EA7B3F" w14:paraId="34CACEF9" w14:textId="77777777" w:rsidTr="003D2164">
        <w:tc>
          <w:tcPr>
            <w:tcW w:w="1668" w:type="dxa"/>
            <w:vAlign w:val="center"/>
          </w:tcPr>
          <w:p w14:paraId="59CFCB32" w14:textId="77777777" w:rsidR="009763F9" w:rsidRPr="00EA7B3F" w:rsidRDefault="009763F9" w:rsidP="003D2164">
            <w:pPr>
              <w:pStyle w:val="TableText0"/>
            </w:pPr>
            <w:r w:rsidRPr="00EA7B3F">
              <w:t>Outcomes</w:t>
            </w:r>
          </w:p>
        </w:tc>
        <w:tc>
          <w:tcPr>
            <w:tcW w:w="7488" w:type="dxa"/>
          </w:tcPr>
          <w:p w14:paraId="13B325EB" w14:textId="77777777" w:rsidR="009763F9" w:rsidRPr="00EA7B3F" w:rsidRDefault="009763F9" w:rsidP="003D2164">
            <w:pPr>
              <w:pStyle w:val="TableText0"/>
            </w:pPr>
            <w:r w:rsidRPr="00EA7B3F">
              <w:t>Outcomes used in the economic evaluation:</w:t>
            </w:r>
          </w:p>
          <w:p w14:paraId="5AC2594C" w14:textId="77777777" w:rsidR="009763F9" w:rsidRPr="00EA7B3F" w:rsidRDefault="009763F9" w:rsidP="003D2164">
            <w:pPr>
              <w:pStyle w:val="TableText0"/>
            </w:pPr>
            <w:r w:rsidRPr="00EA7B3F">
              <w:t>HAE attack rate</w:t>
            </w:r>
          </w:p>
          <w:p w14:paraId="6CE8A9E6" w14:textId="77777777" w:rsidR="009763F9" w:rsidRPr="00EA7B3F" w:rsidRDefault="009763F9" w:rsidP="003D2164">
            <w:pPr>
              <w:pStyle w:val="TableText0"/>
            </w:pPr>
            <w:r w:rsidRPr="00EA7B3F">
              <w:t>HAE attack rate requiring acute treatment</w:t>
            </w:r>
          </w:p>
        </w:tc>
      </w:tr>
      <w:tr w:rsidR="009763F9" w:rsidRPr="00EA7B3F" w14:paraId="75EDDFF8" w14:textId="77777777" w:rsidTr="003D2164">
        <w:tc>
          <w:tcPr>
            <w:tcW w:w="1668" w:type="dxa"/>
            <w:vAlign w:val="center"/>
          </w:tcPr>
          <w:p w14:paraId="6372E804" w14:textId="77777777" w:rsidR="009763F9" w:rsidRPr="00EA7B3F" w:rsidRDefault="009763F9" w:rsidP="003D2164">
            <w:pPr>
              <w:pStyle w:val="TableText0"/>
            </w:pPr>
            <w:r w:rsidRPr="00EA7B3F">
              <w:t>Clinical claim</w:t>
            </w:r>
          </w:p>
        </w:tc>
        <w:tc>
          <w:tcPr>
            <w:tcW w:w="7488" w:type="dxa"/>
          </w:tcPr>
          <w:p w14:paraId="4A3BDF2F" w14:textId="77777777" w:rsidR="009763F9" w:rsidRPr="00EA7B3F" w:rsidRDefault="009763F9" w:rsidP="003D2164">
            <w:pPr>
              <w:pStyle w:val="TableText0"/>
              <w:rPr>
                <w:vertAlign w:val="superscript"/>
              </w:rPr>
            </w:pPr>
            <w:r w:rsidRPr="00EA7B3F">
              <w:t>The PBAC previously considered that the claim of superior effectiveness and inferior safety versus SOC was reasonable, noting that, based on the evidence available, lanadelumab appears to be well tolerated</w:t>
            </w:r>
            <w:r w:rsidR="00F203CB" w:rsidRPr="00EA7B3F">
              <w:t xml:space="preserve"> (Para 6.27 and 7.10, July 2020 PSD)</w:t>
            </w:r>
            <w:r w:rsidRPr="00EA7B3F">
              <w:t>.</w:t>
            </w:r>
          </w:p>
        </w:tc>
      </w:tr>
    </w:tbl>
    <w:p w14:paraId="41B61B63" w14:textId="77777777" w:rsidR="009763F9" w:rsidRPr="00EA7B3F" w:rsidRDefault="009763F9" w:rsidP="009763F9">
      <w:pPr>
        <w:pStyle w:val="TableFigureFooter"/>
      </w:pPr>
      <w:r w:rsidRPr="00EA7B3F">
        <w:t>Source: Compiled during the evaluation based on information provided in Sections 1-3 of the resubmission.</w:t>
      </w:r>
    </w:p>
    <w:p w14:paraId="02458D32" w14:textId="77777777" w:rsidR="009763F9" w:rsidRPr="00EA7B3F" w:rsidRDefault="00E424AB" w:rsidP="009763F9">
      <w:pPr>
        <w:pStyle w:val="TableFigureFooter"/>
      </w:pPr>
      <w:r w:rsidRPr="00EA7B3F">
        <w:t xml:space="preserve">C1-INH = </w:t>
      </w:r>
      <w:r w:rsidR="00C43892" w:rsidRPr="00EA7B3F">
        <w:t>C1 esterase</w:t>
      </w:r>
      <w:r w:rsidR="009763F9" w:rsidRPr="00EA7B3F">
        <w:t xml:space="preserve"> inhibitor; HAE = hereditary angioedema; IV = intravenous; ODT = on-demand treatment;</w:t>
      </w:r>
      <w:r w:rsidR="00F203CB" w:rsidRPr="00EA7B3F">
        <w:t xml:space="preserve"> PSD = Pu</w:t>
      </w:r>
      <w:r w:rsidR="00AE7348" w:rsidRPr="00EA7B3F">
        <w:t>b</w:t>
      </w:r>
      <w:r w:rsidR="00F203CB" w:rsidRPr="00EA7B3F">
        <w:t>lic Summary Document;</w:t>
      </w:r>
      <w:r w:rsidR="009763F9" w:rsidRPr="00EA7B3F">
        <w:t xml:space="preserve"> SOC = standard of care.</w:t>
      </w:r>
    </w:p>
    <w:p w14:paraId="41465DAD" w14:textId="77777777" w:rsidR="009763F9" w:rsidRPr="00EA7B3F" w:rsidRDefault="009763F9" w:rsidP="009763F9">
      <w:pPr>
        <w:pStyle w:val="TableFigureFooter"/>
      </w:pPr>
      <w:r w:rsidRPr="00EA7B3F">
        <w:t>Note: Underlined text indicates changes compared with the resubmission considered in July 2020:</w:t>
      </w:r>
    </w:p>
    <w:p w14:paraId="43849DA0" w14:textId="77777777" w:rsidR="009763F9" w:rsidRPr="00EA7B3F" w:rsidRDefault="009763F9" w:rsidP="007C7902">
      <w:pPr>
        <w:pStyle w:val="TableFigureFooter"/>
        <w:ind w:left="142" w:hanging="142"/>
      </w:pPr>
      <w:r w:rsidRPr="00EA7B3F">
        <w:rPr>
          <w:vertAlign w:val="superscript"/>
        </w:rPr>
        <w:t>a</w:t>
      </w:r>
      <w:r w:rsidRPr="00EA7B3F">
        <w:t xml:space="preserve"> The population in the July 2020 resubmission was patients who experienced at least 12 treated acute HAE attacks within a 6-month period and are intolerant or insufficiently protected by oral routine prophylaxis.</w:t>
      </w:r>
    </w:p>
    <w:p w14:paraId="519FE38F" w14:textId="77777777" w:rsidR="009763F9" w:rsidRPr="00EA7B3F" w:rsidRDefault="009763F9" w:rsidP="009763F9">
      <w:pPr>
        <w:pStyle w:val="TableFigureFooter"/>
      </w:pPr>
      <w:r w:rsidRPr="00EA7B3F">
        <w:rPr>
          <w:vertAlign w:val="superscript"/>
        </w:rPr>
        <w:t>b</w:t>
      </w:r>
      <w:r w:rsidRPr="00EA7B3F">
        <w:t xml:space="preserve"> The comparator in the July 2020 resubmission was SOC for HAE, comprising of ODT (icatibant or IV C1-INH) with oral routine prophylaxis.</w:t>
      </w:r>
    </w:p>
    <w:p w14:paraId="7DE9B605" w14:textId="77777777" w:rsidR="009763F9" w:rsidRPr="00EA7B3F" w:rsidRDefault="009763F9" w:rsidP="00EA7B3F">
      <w:pPr>
        <w:pStyle w:val="2-SectionHeading"/>
        <w:numPr>
          <w:ilvl w:val="0"/>
          <w:numId w:val="1"/>
        </w:numPr>
        <w:ind w:left="426" w:hanging="425"/>
      </w:pPr>
      <w:bookmarkStart w:id="3" w:name="_Toc72133172"/>
      <w:r w:rsidRPr="00EA7B3F">
        <w:t>Background</w:t>
      </w:r>
      <w:bookmarkEnd w:id="3"/>
    </w:p>
    <w:p w14:paraId="09F8CC30" w14:textId="77777777" w:rsidR="009763F9" w:rsidRPr="00EA7B3F" w:rsidRDefault="009763F9" w:rsidP="009763F9">
      <w:pPr>
        <w:pStyle w:val="4-SubsectionHeading"/>
      </w:pPr>
      <w:bookmarkStart w:id="4" w:name="_Toc22897638"/>
      <w:bookmarkStart w:id="5" w:name="_Toc72133173"/>
      <w:r w:rsidRPr="00EA7B3F">
        <w:t>Registration status</w:t>
      </w:r>
      <w:bookmarkEnd w:id="4"/>
      <w:bookmarkEnd w:id="5"/>
    </w:p>
    <w:p w14:paraId="28BE1658" w14:textId="77777777" w:rsidR="009763F9" w:rsidRPr="00EA7B3F" w:rsidRDefault="009763F9" w:rsidP="009763F9">
      <w:pPr>
        <w:pStyle w:val="3-BodyText"/>
      </w:pPr>
      <w:r w:rsidRPr="00EA7B3F">
        <w:t>Lanadelumab was granted orphan drug designation by the TGA on 21 February 2018, and was listed on the Australian Register of</w:t>
      </w:r>
      <w:r w:rsidR="00F423D8" w:rsidRPr="00EA7B3F">
        <w:t xml:space="preserve"> Therapeutic Goods</w:t>
      </w:r>
      <w:r w:rsidRPr="00EA7B3F">
        <w:t xml:space="preserve"> on 30 January 2019 for routine prevention </w:t>
      </w:r>
      <w:r w:rsidR="009B3B0A" w:rsidRPr="00EA7B3F">
        <w:t>of recurrent attacks of HAE (</w:t>
      </w:r>
      <w:r w:rsidR="00C43892" w:rsidRPr="00EA7B3F">
        <w:t>C1 esterase</w:t>
      </w:r>
      <w:r w:rsidR="009B3B0A" w:rsidRPr="00EA7B3F">
        <w:t xml:space="preserve"> </w:t>
      </w:r>
      <w:r w:rsidRPr="00EA7B3F">
        <w:t xml:space="preserve">inhibitor </w:t>
      </w:r>
      <w:r w:rsidR="00F423D8" w:rsidRPr="00EA7B3F">
        <w:t xml:space="preserve">(C1-INH) </w:t>
      </w:r>
      <w:r w:rsidRPr="00EA7B3F">
        <w:t>deficiency or dysfunction) in patients aged 12 years and older.</w:t>
      </w:r>
    </w:p>
    <w:p w14:paraId="1F6BFDB2" w14:textId="77777777" w:rsidR="009763F9" w:rsidRPr="00EA7B3F" w:rsidRDefault="009763F9" w:rsidP="009763F9">
      <w:pPr>
        <w:pStyle w:val="4-SubsectionHeading"/>
      </w:pPr>
      <w:bookmarkStart w:id="6" w:name="_Toc22897639"/>
      <w:bookmarkStart w:id="7" w:name="_Toc72133174"/>
      <w:r w:rsidRPr="00EA7B3F">
        <w:t>Previous PBAC consideration</w:t>
      </w:r>
      <w:bookmarkEnd w:id="6"/>
      <w:bookmarkEnd w:id="7"/>
    </w:p>
    <w:p w14:paraId="0CF05355" w14:textId="77777777" w:rsidR="009763F9" w:rsidRPr="00EA7B3F" w:rsidRDefault="009763F9" w:rsidP="009763F9">
      <w:pPr>
        <w:pStyle w:val="3-BodyText"/>
      </w:pPr>
      <w:r w:rsidRPr="00EA7B3F">
        <w:rPr>
          <w:snapToGrid/>
        </w:rPr>
        <w:t>The key matters of concern raised by the previous PBAC consideration are summari</w:t>
      </w:r>
      <w:r w:rsidR="00AC2488" w:rsidRPr="00EA7B3F">
        <w:rPr>
          <w:snapToGrid/>
        </w:rPr>
        <w:t>s</w:t>
      </w:r>
      <w:r w:rsidRPr="00EA7B3F">
        <w:rPr>
          <w:snapToGrid/>
        </w:rPr>
        <w:t>ed below.</w:t>
      </w:r>
    </w:p>
    <w:p w14:paraId="7AB9AA29" w14:textId="77777777" w:rsidR="009763F9" w:rsidRPr="00EA7B3F" w:rsidRDefault="009763F9" w:rsidP="009763F9">
      <w:pPr>
        <w:pStyle w:val="TableFigureHeading"/>
      </w:pPr>
      <w:r w:rsidRPr="00EA7B3F">
        <w:lastRenderedPageBreak/>
        <w:t xml:space="preserve">Table </w:t>
      </w:r>
      <w:r w:rsidR="001972C4" w:rsidRPr="00EA7B3F">
        <w:t>2</w:t>
      </w:r>
      <w:r w:rsidRPr="00EA7B3F">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3919"/>
      </w:tblGrid>
      <w:tr w:rsidR="00A46A2E" w:rsidRPr="00EA7B3F" w14:paraId="0C981081" w14:textId="77777777" w:rsidTr="000A5B80">
        <w:trPr>
          <w:cantSplit/>
          <w:tblHeader/>
        </w:trPr>
        <w:tc>
          <w:tcPr>
            <w:tcW w:w="705" w:type="pct"/>
            <w:tcMar>
              <w:left w:w="28" w:type="dxa"/>
              <w:right w:w="28" w:type="dxa"/>
            </w:tcMar>
            <w:vAlign w:val="center"/>
          </w:tcPr>
          <w:p w14:paraId="3FC1CF45" w14:textId="77777777" w:rsidR="005C25FF" w:rsidRPr="00EA7B3F" w:rsidRDefault="005C25FF" w:rsidP="004E18E9">
            <w:pPr>
              <w:pStyle w:val="In-tableHeading"/>
              <w:rPr>
                <w:lang w:val="en-AU"/>
              </w:rPr>
            </w:pPr>
            <w:r w:rsidRPr="00EA7B3F">
              <w:rPr>
                <w:lang w:val="en-AU"/>
              </w:rPr>
              <w:t>Component</w:t>
            </w:r>
          </w:p>
        </w:tc>
        <w:tc>
          <w:tcPr>
            <w:tcW w:w="2122" w:type="pct"/>
            <w:tcMar>
              <w:left w:w="28" w:type="dxa"/>
              <w:right w:w="28" w:type="dxa"/>
            </w:tcMar>
            <w:vAlign w:val="center"/>
          </w:tcPr>
          <w:p w14:paraId="093964F5" w14:textId="77777777" w:rsidR="005C25FF" w:rsidRPr="00EA7B3F" w:rsidRDefault="005C25FF" w:rsidP="004E18E9">
            <w:pPr>
              <w:pStyle w:val="In-tableHeading"/>
              <w:rPr>
                <w:lang w:val="en-AU"/>
              </w:rPr>
            </w:pPr>
            <w:r w:rsidRPr="00EA7B3F">
              <w:rPr>
                <w:lang w:val="en-AU"/>
              </w:rPr>
              <w:t>Matter of concern</w:t>
            </w:r>
          </w:p>
        </w:tc>
        <w:tc>
          <w:tcPr>
            <w:tcW w:w="2173" w:type="pct"/>
            <w:tcMar>
              <w:left w:w="28" w:type="dxa"/>
              <w:right w:w="28" w:type="dxa"/>
            </w:tcMar>
            <w:vAlign w:val="center"/>
          </w:tcPr>
          <w:p w14:paraId="79E2CB24" w14:textId="77777777" w:rsidR="005C25FF" w:rsidRPr="00EA7B3F" w:rsidRDefault="005C25FF" w:rsidP="004E18E9">
            <w:pPr>
              <w:pStyle w:val="In-tableHeading"/>
              <w:rPr>
                <w:lang w:val="en-AU"/>
              </w:rPr>
            </w:pPr>
            <w:r w:rsidRPr="00EA7B3F">
              <w:rPr>
                <w:lang w:val="en-AU"/>
              </w:rPr>
              <w:t>How the resubmission addresses it</w:t>
            </w:r>
          </w:p>
        </w:tc>
      </w:tr>
      <w:tr w:rsidR="00A46A2E" w:rsidRPr="00EA7B3F" w14:paraId="2B228739" w14:textId="77777777" w:rsidTr="000A5B80">
        <w:trPr>
          <w:cantSplit/>
        </w:trPr>
        <w:tc>
          <w:tcPr>
            <w:tcW w:w="705" w:type="pct"/>
            <w:tcMar>
              <w:left w:w="28" w:type="dxa"/>
              <w:right w:w="28" w:type="dxa"/>
            </w:tcMar>
          </w:tcPr>
          <w:p w14:paraId="40BDD20C" w14:textId="77777777" w:rsidR="007A4868" w:rsidRPr="00EA7B3F" w:rsidRDefault="003F78DE" w:rsidP="009763F9">
            <w:pPr>
              <w:pStyle w:val="TableText0"/>
              <w:keepNext w:val="0"/>
            </w:pPr>
            <w:r w:rsidRPr="00EA7B3F">
              <w:t>Population</w:t>
            </w:r>
          </w:p>
        </w:tc>
        <w:tc>
          <w:tcPr>
            <w:tcW w:w="2122" w:type="pct"/>
            <w:tcMar>
              <w:left w:w="28" w:type="dxa"/>
              <w:right w:w="28" w:type="dxa"/>
            </w:tcMar>
          </w:tcPr>
          <w:p w14:paraId="4D2FDE24" w14:textId="77777777" w:rsidR="00A46A2E" w:rsidRPr="00EA7B3F" w:rsidRDefault="00970B1A" w:rsidP="009763F9">
            <w:pPr>
              <w:pStyle w:val="TableText0"/>
              <w:keepNext w:val="0"/>
              <w:rPr>
                <w:rFonts w:eastAsia="Times New Roman" w:cs="Arial"/>
                <w:bCs w:val="0"/>
                <w:snapToGrid w:val="0"/>
                <w:szCs w:val="20"/>
              </w:rPr>
            </w:pPr>
            <w:r w:rsidRPr="00EA7B3F">
              <w:rPr>
                <w:rFonts w:eastAsia="Times New Roman" w:cs="Arial"/>
                <w:bCs w:val="0"/>
                <w:snapToGrid w:val="0"/>
                <w:szCs w:val="20"/>
              </w:rPr>
              <w:t>The</w:t>
            </w:r>
            <w:r w:rsidR="00834FCF" w:rsidRPr="00EA7B3F">
              <w:rPr>
                <w:rFonts w:eastAsia="Times New Roman" w:cs="Arial"/>
                <w:bCs w:val="0"/>
                <w:snapToGrid w:val="0"/>
                <w:szCs w:val="20"/>
              </w:rPr>
              <w:t xml:space="preserve"> </w:t>
            </w:r>
            <w:r w:rsidR="00A46A2E" w:rsidRPr="00EA7B3F">
              <w:rPr>
                <w:rFonts w:eastAsia="Times New Roman" w:cs="Arial"/>
                <w:bCs w:val="0"/>
                <w:snapToGrid w:val="0"/>
                <w:szCs w:val="20"/>
              </w:rPr>
              <w:t xml:space="preserve">following need to be determined: </w:t>
            </w:r>
          </w:p>
          <w:p w14:paraId="4069E55E" w14:textId="77777777" w:rsidR="00A46A2E" w:rsidRPr="00EA7B3F" w:rsidRDefault="00A46A2E" w:rsidP="004928B9">
            <w:pPr>
              <w:pStyle w:val="TableText0"/>
              <w:keepNext w:val="0"/>
              <w:numPr>
                <w:ilvl w:val="0"/>
                <w:numId w:val="8"/>
              </w:numPr>
              <w:ind w:left="148" w:hanging="142"/>
              <w:rPr>
                <w:rFonts w:eastAsia="Times New Roman" w:cs="Arial"/>
                <w:bCs w:val="0"/>
                <w:snapToGrid w:val="0"/>
                <w:szCs w:val="20"/>
              </w:rPr>
            </w:pPr>
            <w:r w:rsidRPr="00EA7B3F">
              <w:rPr>
                <w:rFonts w:eastAsia="Times New Roman" w:cs="Arial"/>
                <w:bCs w:val="0"/>
                <w:snapToGrid w:val="0"/>
                <w:szCs w:val="20"/>
              </w:rPr>
              <w:t xml:space="preserve">the </w:t>
            </w:r>
            <w:r w:rsidR="00834FCF" w:rsidRPr="00EA7B3F">
              <w:rPr>
                <w:rFonts w:eastAsia="Times New Roman" w:cs="Arial"/>
                <w:bCs w:val="0"/>
                <w:snapToGrid w:val="0"/>
                <w:szCs w:val="20"/>
              </w:rPr>
              <w:t xml:space="preserve">appropriate baseline number and type of </w:t>
            </w:r>
            <w:r w:rsidR="00970B1A" w:rsidRPr="00EA7B3F">
              <w:rPr>
                <w:rFonts w:eastAsia="Times New Roman" w:cs="Arial"/>
                <w:bCs w:val="0"/>
                <w:snapToGrid w:val="0"/>
                <w:szCs w:val="20"/>
              </w:rPr>
              <w:t xml:space="preserve">HAE </w:t>
            </w:r>
            <w:r w:rsidR="00834FCF" w:rsidRPr="00EA7B3F">
              <w:rPr>
                <w:rFonts w:eastAsia="Times New Roman" w:cs="Arial"/>
                <w:bCs w:val="0"/>
                <w:snapToGrid w:val="0"/>
                <w:szCs w:val="20"/>
              </w:rPr>
              <w:t>attacks for lanadelumab eligibility to ensure use is targeted to a sufficiently high risk population</w:t>
            </w:r>
            <w:r w:rsidR="003F78DE" w:rsidRPr="00EA7B3F">
              <w:rPr>
                <w:rFonts w:eastAsia="Times New Roman" w:cs="Arial"/>
                <w:bCs w:val="0"/>
                <w:snapToGrid w:val="0"/>
                <w:szCs w:val="20"/>
              </w:rPr>
              <w:t>,</w:t>
            </w:r>
            <w:r w:rsidR="00834FCF" w:rsidRPr="00EA7B3F">
              <w:rPr>
                <w:rFonts w:eastAsia="Times New Roman" w:cs="Arial"/>
                <w:bCs w:val="0"/>
                <w:snapToGrid w:val="0"/>
                <w:szCs w:val="20"/>
              </w:rPr>
              <w:t xml:space="preserve"> and </w:t>
            </w:r>
          </w:p>
          <w:p w14:paraId="39911C45" w14:textId="77777777" w:rsidR="00A46A2E" w:rsidRPr="00EA7B3F" w:rsidRDefault="00970B1A" w:rsidP="004928B9">
            <w:pPr>
              <w:pStyle w:val="TableText0"/>
              <w:keepNext w:val="0"/>
              <w:numPr>
                <w:ilvl w:val="0"/>
                <w:numId w:val="8"/>
              </w:numPr>
              <w:ind w:left="148" w:hanging="142"/>
              <w:rPr>
                <w:rFonts w:eastAsia="Times New Roman" w:cs="Arial"/>
                <w:bCs w:val="0"/>
                <w:snapToGrid w:val="0"/>
                <w:szCs w:val="20"/>
              </w:rPr>
            </w:pPr>
            <w:r w:rsidRPr="00EA7B3F">
              <w:rPr>
                <w:rFonts w:eastAsia="Times New Roman" w:cs="Arial"/>
                <w:bCs w:val="0"/>
                <w:snapToGrid w:val="0"/>
                <w:szCs w:val="20"/>
              </w:rPr>
              <w:t>continuation criteria</w:t>
            </w:r>
            <w:r w:rsidR="00A46A2E" w:rsidRPr="00EA7B3F">
              <w:rPr>
                <w:rFonts w:eastAsia="Times New Roman" w:cs="Arial"/>
                <w:bCs w:val="0"/>
                <w:snapToGrid w:val="0"/>
                <w:szCs w:val="20"/>
              </w:rPr>
              <w:t xml:space="preserve"> that</w:t>
            </w:r>
            <w:r w:rsidR="00834FCF" w:rsidRPr="00EA7B3F">
              <w:rPr>
                <w:rFonts w:eastAsia="Times New Roman" w:cs="Arial"/>
                <w:bCs w:val="0"/>
                <w:snapToGrid w:val="0"/>
                <w:szCs w:val="20"/>
              </w:rPr>
              <w:t xml:space="preserve"> ensure that ongoing use is targeted to patients deriving appropriate clinical benefit</w:t>
            </w:r>
            <w:r w:rsidR="00AB4AFA" w:rsidRPr="00EA7B3F">
              <w:rPr>
                <w:rFonts w:eastAsia="Times New Roman" w:cs="Arial"/>
                <w:bCs w:val="0"/>
                <w:snapToGrid w:val="0"/>
                <w:szCs w:val="20"/>
              </w:rPr>
              <w:t>.</w:t>
            </w:r>
          </w:p>
          <w:p w14:paraId="0EF643BC" w14:textId="77777777" w:rsidR="00834FCF" w:rsidRPr="00EA7B3F" w:rsidRDefault="003F78DE" w:rsidP="009763F9">
            <w:pPr>
              <w:pStyle w:val="TableText0"/>
              <w:keepNext w:val="0"/>
              <w:ind w:left="6"/>
              <w:rPr>
                <w:rFonts w:eastAsia="Times New Roman" w:cs="Arial"/>
                <w:bCs w:val="0"/>
                <w:snapToGrid w:val="0"/>
                <w:szCs w:val="20"/>
              </w:rPr>
            </w:pPr>
            <w:r w:rsidRPr="00EA7B3F">
              <w:rPr>
                <w:rFonts w:eastAsia="Times New Roman" w:cs="Arial"/>
                <w:bCs w:val="0"/>
                <w:snapToGrid w:val="0"/>
                <w:szCs w:val="20"/>
              </w:rPr>
              <w:t xml:space="preserve">(Para </w:t>
            </w:r>
            <w:r w:rsidR="00A46A2E" w:rsidRPr="00EA7B3F">
              <w:rPr>
                <w:rFonts w:eastAsia="Times New Roman" w:cs="Arial"/>
                <w:bCs w:val="0"/>
                <w:snapToGrid w:val="0"/>
                <w:szCs w:val="20"/>
              </w:rPr>
              <w:t xml:space="preserve">7.3, </w:t>
            </w:r>
            <w:r w:rsidRPr="00EA7B3F">
              <w:rPr>
                <w:rFonts w:eastAsia="Times New Roman" w:cs="Arial"/>
                <w:bCs w:val="0"/>
                <w:snapToGrid w:val="0"/>
                <w:szCs w:val="20"/>
              </w:rPr>
              <w:t>7.4</w:t>
            </w:r>
            <w:r w:rsidR="00970B1A" w:rsidRPr="00EA7B3F">
              <w:rPr>
                <w:rFonts w:eastAsia="Times New Roman" w:cs="Arial"/>
                <w:bCs w:val="0"/>
                <w:snapToGrid w:val="0"/>
                <w:szCs w:val="20"/>
              </w:rPr>
              <w:t xml:space="preserve"> and 7.18</w:t>
            </w:r>
            <w:r w:rsidRPr="00EA7B3F">
              <w:rPr>
                <w:rFonts w:eastAsia="Times New Roman" w:cs="Arial"/>
                <w:bCs w:val="0"/>
                <w:snapToGrid w:val="0"/>
                <w:szCs w:val="20"/>
              </w:rPr>
              <w:t>, July 2020 PSD).</w:t>
            </w:r>
          </w:p>
        </w:tc>
        <w:tc>
          <w:tcPr>
            <w:tcW w:w="2173" w:type="pct"/>
            <w:tcMar>
              <w:left w:w="28" w:type="dxa"/>
              <w:right w:w="28" w:type="dxa"/>
            </w:tcMar>
            <w:vAlign w:val="center"/>
          </w:tcPr>
          <w:p w14:paraId="18912D69" w14:textId="77777777" w:rsidR="007A4868" w:rsidRPr="00EA7B3F" w:rsidRDefault="000D38FB" w:rsidP="009763F9">
            <w:pPr>
              <w:pStyle w:val="TableText0"/>
              <w:keepNext w:val="0"/>
            </w:pPr>
            <w:r w:rsidRPr="00EA7B3F">
              <w:t>Not adequately addressed.</w:t>
            </w:r>
          </w:p>
          <w:p w14:paraId="1487CBC5" w14:textId="77777777" w:rsidR="000D38FB" w:rsidRPr="00EA7B3F" w:rsidRDefault="000D38FB" w:rsidP="009763F9">
            <w:pPr>
              <w:pStyle w:val="TableText0"/>
              <w:keepNext w:val="0"/>
            </w:pPr>
            <w:r w:rsidRPr="00EA7B3F">
              <w:t xml:space="preserve">The number of baseline HAE attacks </w:t>
            </w:r>
            <w:r w:rsidR="00A6283F" w:rsidRPr="00EA7B3F">
              <w:t xml:space="preserve">for lanadelumab eligibility </w:t>
            </w:r>
            <w:r w:rsidR="00FE75A6" w:rsidRPr="00EA7B3F">
              <w:t>remained unchanged</w:t>
            </w:r>
            <w:r w:rsidR="00F22AFD" w:rsidRPr="00EA7B3F">
              <w:t>; n</w:t>
            </w:r>
            <w:r w:rsidR="00A6283F" w:rsidRPr="00EA7B3F">
              <w:t>o justification was provided for the proposed threshold number of attacks</w:t>
            </w:r>
            <w:r w:rsidR="00222916" w:rsidRPr="00EA7B3F">
              <w:t xml:space="preserve"> for </w:t>
            </w:r>
            <w:r w:rsidR="00FE75A6" w:rsidRPr="00EA7B3F">
              <w:t xml:space="preserve">lanadelumab </w:t>
            </w:r>
            <w:r w:rsidR="00222916" w:rsidRPr="00EA7B3F">
              <w:t>eligibility.</w:t>
            </w:r>
          </w:p>
          <w:p w14:paraId="38A10801" w14:textId="77777777" w:rsidR="00C54C1C" w:rsidRPr="00EA7B3F" w:rsidRDefault="00F22AFD" w:rsidP="009763F9">
            <w:pPr>
              <w:pStyle w:val="TableText0"/>
              <w:keepNext w:val="0"/>
            </w:pPr>
            <w:r w:rsidRPr="00EA7B3F">
              <w:t xml:space="preserve">Qualifying HAE attacks were defined as those of a severity necessitating medical intervention. </w:t>
            </w:r>
            <w:r w:rsidR="00E0148F" w:rsidRPr="00EA7B3F">
              <w:t>It was not clear whether the use of ODT, which is often self-administered, represented ‘medical intervention’.</w:t>
            </w:r>
          </w:p>
          <w:p w14:paraId="14BCD420" w14:textId="77777777" w:rsidR="00A6283F" w:rsidRPr="00EA7B3F" w:rsidRDefault="00A6283F" w:rsidP="00413167">
            <w:pPr>
              <w:pStyle w:val="TableText0"/>
              <w:keepNext w:val="0"/>
            </w:pPr>
            <w:r w:rsidRPr="00EA7B3F">
              <w:t>The continuation criter</w:t>
            </w:r>
            <w:r w:rsidR="00222916" w:rsidRPr="00EA7B3F">
              <w:t xml:space="preserve">ia </w:t>
            </w:r>
            <w:r w:rsidR="00B836E6" w:rsidRPr="00EA7B3F">
              <w:t>has</w:t>
            </w:r>
            <w:r w:rsidR="00222916" w:rsidRPr="00EA7B3F">
              <w:t xml:space="preserve"> not been </w:t>
            </w:r>
            <w:r w:rsidR="00F45098" w:rsidRPr="00EA7B3F">
              <w:t>refined</w:t>
            </w:r>
            <w:r w:rsidR="00F0535B" w:rsidRPr="00EA7B3F">
              <w:t>;</w:t>
            </w:r>
            <w:r w:rsidR="00222916" w:rsidRPr="00EA7B3F">
              <w:t xml:space="preserve"> t</w:t>
            </w:r>
            <w:r w:rsidRPr="00EA7B3F">
              <w:t xml:space="preserve">he definition of an adequate response </w:t>
            </w:r>
            <w:r w:rsidR="0044716A" w:rsidRPr="00EA7B3F">
              <w:t>has</w:t>
            </w:r>
            <w:r w:rsidRPr="00EA7B3F">
              <w:t xml:space="preserve"> been removed from the proposed restriction and replaced by “as judged by the treating clinician.”</w:t>
            </w:r>
          </w:p>
        </w:tc>
      </w:tr>
      <w:tr w:rsidR="000D38FB" w:rsidRPr="00EA7B3F" w14:paraId="32AE3E48" w14:textId="77777777" w:rsidTr="000A5B80">
        <w:trPr>
          <w:cantSplit/>
        </w:trPr>
        <w:tc>
          <w:tcPr>
            <w:tcW w:w="705" w:type="pct"/>
            <w:tcBorders>
              <w:bottom w:val="single" w:sz="4" w:space="0" w:color="auto"/>
            </w:tcBorders>
            <w:tcMar>
              <w:left w:w="28" w:type="dxa"/>
              <w:right w:w="28" w:type="dxa"/>
            </w:tcMar>
          </w:tcPr>
          <w:p w14:paraId="66AA6701" w14:textId="77777777" w:rsidR="003F78DE" w:rsidRPr="00EA7B3F" w:rsidRDefault="003F78DE" w:rsidP="009763F9">
            <w:pPr>
              <w:pStyle w:val="TableText0"/>
              <w:keepNext w:val="0"/>
            </w:pPr>
            <w:r w:rsidRPr="00EA7B3F">
              <w:t>Clinical evidence</w:t>
            </w:r>
          </w:p>
        </w:tc>
        <w:tc>
          <w:tcPr>
            <w:tcW w:w="2122" w:type="pct"/>
            <w:tcMar>
              <w:left w:w="28" w:type="dxa"/>
              <w:right w:w="28" w:type="dxa"/>
            </w:tcMar>
          </w:tcPr>
          <w:p w14:paraId="323E6E47" w14:textId="77777777" w:rsidR="003F78DE" w:rsidRPr="00EA7B3F" w:rsidRDefault="003F78DE" w:rsidP="009763F9">
            <w:pPr>
              <w:pStyle w:val="TableText0"/>
              <w:keepNext w:val="0"/>
              <w:rPr>
                <w:rFonts w:eastAsia="Times New Roman" w:cs="Arial"/>
                <w:bCs w:val="0"/>
                <w:snapToGrid w:val="0"/>
                <w:szCs w:val="20"/>
              </w:rPr>
            </w:pPr>
            <w:r w:rsidRPr="00EA7B3F">
              <w:rPr>
                <w:rFonts w:eastAsia="Times New Roman" w:cs="Arial"/>
                <w:bCs w:val="0"/>
                <w:snapToGrid w:val="0"/>
                <w:szCs w:val="20"/>
              </w:rPr>
              <w:t>As routine prophylaxis was not permitted in the HE</w:t>
            </w:r>
            <w:r w:rsidR="003056DD" w:rsidRPr="00EA7B3F">
              <w:rPr>
                <w:rFonts w:eastAsia="Times New Roman" w:cs="Arial"/>
                <w:bCs w:val="0"/>
                <w:snapToGrid w:val="0"/>
                <w:szCs w:val="20"/>
              </w:rPr>
              <w:t>L</w:t>
            </w:r>
            <w:r w:rsidRPr="00EA7B3F">
              <w:rPr>
                <w:rFonts w:eastAsia="Times New Roman" w:cs="Arial"/>
                <w:bCs w:val="0"/>
                <w:snapToGrid w:val="0"/>
                <w:szCs w:val="20"/>
              </w:rPr>
              <w:t>P trial, the treatment effect in Australian clinical practice may be lower than observed in the trial (Para 7.8, July 2020 PSD).</w:t>
            </w:r>
          </w:p>
        </w:tc>
        <w:tc>
          <w:tcPr>
            <w:tcW w:w="2173" w:type="pct"/>
            <w:tcMar>
              <w:left w:w="28" w:type="dxa"/>
              <w:right w:w="28" w:type="dxa"/>
            </w:tcMar>
            <w:vAlign w:val="center"/>
          </w:tcPr>
          <w:p w14:paraId="20195643" w14:textId="77777777" w:rsidR="003F78DE" w:rsidRPr="00EA7B3F" w:rsidRDefault="000D38FB" w:rsidP="009763F9">
            <w:pPr>
              <w:pStyle w:val="TableText0"/>
              <w:keepNext w:val="0"/>
            </w:pPr>
            <w:r w:rsidRPr="00EA7B3F">
              <w:t>Addressed.</w:t>
            </w:r>
          </w:p>
          <w:p w14:paraId="070F1239" w14:textId="77777777" w:rsidR="000D38FB" w:rsidRPr="00EA7B3F" w:rsidRDefault="000D38FB" w:rsidP="009763F9">
            <w:pPr>
              <w:pStyle w:val="TableText0"/>
              <w:keepNext w:val="0"/>
            </w:pPr>
            <w:r w:rsidRPr="00EA7B3F">
              <w:t>As danazol is no longer available on the PBS, the limited use of oral prophylaxis in the trial is consistent with current clinical practice.</w:t>
            </w:r>
          </w:p>
          <w:p w14:paraId="683ACBED" w14:textId="77777777" w:rsidR="000D38FB" w:rsidRPr="00EA7B3F" w:rsidRDefault="000D38FB" w:rsidP="009763F9">
            <w:pPr>
              <w:pStyle w:val="TableText0"/>
              <w:keepNext w:val="0"/>
            </w:pPr>
            <w:r w:rsidRPr="00EA7B3F">
              <w:t xml:space="preserve">The requirement </w:t>
            </w:r>
            <w:r w:rsidR="00FE75A6" w:rsidRPr="00EA7B3F">
              <w:t xml:space="preserve">for initiating patients </w:t>
            </w:r>
            <w:r w:rsidRPr="00EA7B3F">
              <w:t xml:space="preserve">to be intolerant of or insufficiently protected by oral routine prophylaxis </w:t>
            </w:r>
            <w:r w:rsidR="00FE75A6" w:rsidRPr="00EA7B3F">
              <w:t>was</w:t>
            </w:r>
            <w:r w:rsidRPr="00EA7B3F">
              <w:t xml:space="preserve"> removed from the restriction.</w:t>
            </w:r>
          </w:p>
        </w:tc>
      </w:tr>
      <w:tr w:rsidR="00F0535B" w:rsidRPr="00EA7B3F" w14:paraId="29B4DDD7" w14:textId="77777777" w:rsidTr="000A5B80">
        <w:trPr>
          <w:cantSplit/>
        </w:trPr>
        <w:tc>
          <w:tcPr>
            <w:tcW w:w="705" w:type="pct"/>
            <w:tcBorders>
              <w:bottom w:val="nil"/>
            </w:tcBorders>
            <w:tcMar>
              <w:left w:w="28" w:type="dxa"/>
              <w:right w:w="28" w:type="dxa"/>
            </w:tcMar>
          </w:tcPr>
          <w:p w14:paraId="61981B4F" w14:textId="77777777" w:rsidR="00F0535B" w:rsidRPr="00EA7B3F" w:rsidRDefault="009763F9" w:rsidP="009763F9">
            <w:pPr>
              <w:pStyle w:val="TableText0"/>
              <w:keepNext w:val="0"/>
            </w:pPr>
            <w:r w:rsidRPr="00EA7B3F">
              <w:t>Economic evaluation</w:t>
            </w:r>
          </w:p>
        </w:tc>
        <w:tc>
          <w:tcPr>
            <w:tcW w:w="2122" w:type="pct"/>
            <w:tcMar>
              <w:left w:w="28" w:type="dxa"/>
              <w:right w:w="28" w:type="dxa"/>
            </w:tcMar>
          </w:tcPr>
          <w:p w14:paraId="235C86A9" w14:textId="77777777" w:rsidR="00F0535B" w:rsidRPr="00EA7B3F" w:rsidRDefault="00F0535B" w:rsidP="009763F9">
            <w:pPr>
              <w:pStyle w:val="TableText0"/>
              <w:keepNext w:val="0"/>
              <w:rPr>
                <w:rFonts w:eastAsia="Times New Roman" w:cs="Arial"/>
                <w:bCs w:val="0"/>
                <w:snapToGrid w:val="0"/>
                <w:szCs w:val="20"/>
              </w:rPr>
            </w:pPr>
            <w:r w:rsidRPr="00EA7B3F">
              <w:rPr>
                <w:rFonts w:eastAsia="Times New Roman" w:cs="Arial"/>
                <w:bCs w:val="0"/>
                <w:snapToGrid w:val="0"/>
                <w:szCs w:val="20"/>
              </w:rPr>
              <w:t>The key issues were the baseline attack rate applied in the model, uncertainty around the dosage regimen that would be likely used in clinical practice, and the likely optimistic between-attack utilities that were applied (Para 7.13, July 2020 PSD).</w:t>
            </w:r>
          </w:p>
        </w:tc>
        <w:tc>
          <w:tcPr>
            <w:tcW w:w="2173" w:type="pct"/>
            <w:tcMar>
              <w:left w:w="28" w:type="dxa"/>
              <w:right w:w="28" w:type="dxa"/>
            </w:tcMar>
            <w:vAlign w:val="center"/>
          </w:tcPr>
          <w:p w14:paraId="2FA6B685" w14:textId="77777777" w:rsidR="00F0535B" w:rsidRPr="00EA7B3F" w:rsidRDefault="00F0535B" w:rsidP="009763F9">
            <w:pPr>
              <w:pStyle w:val="TableText0"/>
              <w:keepNext w:val="0"/>
            </w:pPr>
            <w:r w:rsidRPr="00EA7B3F">
              <w:t>See below</w:t>
            </w:r>
          </w:p>
        </w:tc>
      </w:tr>
      <w:tr w:rsidR="00A46A2E" w:rsidRPr="00EA7B3F" w14:paraId="05B3656D" w14:textId="77777777" w:rsidTr="0082228E">
        <w:trPr>
          <w:cantSplit/>
        </w:trPr>
        <w:tc>
          <w:tcPr>
            <w:tcW w:w="705" w:type="pct"/>
            <w:tcBorders>
              <w:top w:val="nil"/>
              <w:bottom w:val="nil"/>
            </w:tcBorders>
            <w:tcMar>
              <w:left w:w="28" w:type="dxa"/>
              <w:right w:w="28" w:type="dxa"/>
            </w:tcMar>
          </w:tcPr>
          <w:p w14:paraId="1AAF4C90" w14:textId="77777777" w:rsidR="00F0547F" w:rsidRPr="00EA7B3F" w:rsidRDefault="00F0547F" w:rsidP="009763F9">
            <w:pPr>
              <w:pStyle w:val="TableText0"/>
              <w:keepNext w:val="0"/>
            </w:pPr>
          </w:p>
        </w:tc>
        <w:tc>
          <w:tcPr>
            <w:tcW w:w="2122" w:type="pct"/>
            <w:tcMar>
              <w:left w:w="28" w:type="dxa"/>
              <w:right w:w="28" w:type="dxa"/>
            </w:tcMar>
          </w:tcPr>
          <w:p w14:paraId="5218E06A" w14:textId="77777777" w:rsidR="00F0547F" w:rsidRPr="00EA7B3F" w:rsidRDefault="00F0547F" w:rsidP="009763F9">
            <w:pPr>
              <w:pStyle w:val="TableText0"/>
              <w:keepNext w:val="0"/>
              <w:rPr>
                <w:rFonts w:eastAsia="Times New Roman" w:cs="Arial"/>
                <w:bCs w:val="0"/>
                <w:snapToGrid w:val="0"/>
                <w:szCs w:val="20"/>
              </w:rPr>
            </w:pPr>
            <w:r w:rsidRPr="00EA7B3F">
              <w:rPr>
                <w:rFonts w:eastAsia="Times New Roman" w:cs="Arial"/>
                <w:bCs w:val="0"/>
                <w:snapToGrid w:val="0"/>
                <w:szCs w:val="20"/>
              </w:rPr>
              <w:t xml:space="preserve">The ICER was highly sensitive to the baseline HAE attack rate. </w:t>
            </w:r>
            <w:r w:rsidR="00D4785F" w:rsidRPr="00EA7B3F">
              <w:rPr>
                <w:rFonts w:eastAsia="Times New Roman" w:cs="Arial"/>
                <w:bCs w:val="0"/>
                <w:snapToGrid w:val="0"/>
                <w:szCs w:val="20"/>
              </w:rPr>
              <w:t>The distribution of baseline frequency of HAE attacks applied in the economic model was highly uncertain given it was based on only 11 patients (Para 6.34 and 7.11, July 2020 PSD).</w:t>
            </w:r>
          </w:p>
        </w:tc>
        <w:tc>
          <w:tcPr>
            <w:tcW w:w="2173" w:type="pct"/>
            <w:tcMar>
              <w:left w:w="28" w:type="dxa"/>
              <w:right w:w="28" w:type="dxa"/>
            </w:tcMar>
            <w:vAlign w:val="center"/>
          </w:tcPr>
          <w:p w14:paraId="1F6633E0" w14:textId="77777777" w:rsidR="00F0547F" w:rsidRPr="00EA7B3F" w:rsidRDefault="00D4785F" w:rsidP="009763F9">
            <w:pPr>
              <w:pStyle w:val="TableText0"/>
              <w:keepNext w:val="0"/>
            </w:pPr>
            <w:r w:rsidRPr="00EA7B3F">
              <w:t xml:space="preserve">Addressed. </w:t>
            </w:r>
          </w:p>
          <w:p w14:paraId="2EE0EB66" w14:textId="77777777" w:rsidR="00D4785F" w:rsidRPr="00EA7B3F" w:rsidRDefault="00D4785F" w:rsidP="009763F9">
            <w:pPr>
              <w:pStyle w:val="TableText0"/>
              <w:keepNext w:val="0"/>
            </w:pPr>
            <w:r w:rsidRPr="00EA7B3F">
              <w:t xml:space="preserve">The </w:t>
            </w:r>
            <w:r w:rsidR="00465F95" w:rsidRPr="00EA7B3F">
              <w:t>distribution of baseline HAE attack rates was based on PBS data for icatibant from 2016 to 2019</w:t>
            </w:r>
            <w:r w:rsidR="00F641FA" w:rsidRPr="00EA7B3F">
              <w:t xml:space="preserve">. This included data for at least </w:t>
            </w:r>
            <w:r w:rsidR="00465F95" w:rsidRPr="00EA7B3F">
              <w:t>20-</w:t>
            </w:r>
            <w:r w:rsidR="00F641FA" w:rsidRPr="00EA7B3F">
              <w:t>30 patients each year.</w:t>
            </w:r>
          </w:p>
        </w:tc>
      </w:tr>
      <w:tr w:rsidR="00D4785F" w:rsidRPr="00EA7B3F" w14:paraId="5184CD70" w14:textId="77777777" w:rsidTr="0082228E">
        <w:trPr>
          <w:cantSplit/>
        </w:trPr>
        <w:tc>
          <w:tcPr>
            <w:tcW w:w="705" w:type="pct"/>
            <w:tcBorders>
              <w:top w:val="nil"/>
              <w:bottom w:val="single" w:sz="4" w:space="0" w:color="auto"/>
            </w:tcBorders>
            <w:tcMar>
              <w:left w:w="28" w:type="dxa"/>
              <w:right w:w="28" w:type="dxa"/>
            </w:tcMar>
          </w:tcPr>
          <w:p w14:paraId="4E46B102" w14:textId="77777777" w:rsidR="00D4785F" w:rsidRPr="00EA7B3F" w:rsidRDefault="00D4785F" w:rsidP="009763F9">
            <w:pPr>
              <w:pStyle w:val="TableText0"/>
              <w:keepNext w:val="0"/>
            </w:pPr>
          </w:p>
        </w:tc>
        <w:tc>
          <w:tcPr>
            <w:tcW w:w="2122" w:type="pct"/>
            <w:tcMar>
              <w:left w:w="28" w:type="dxa"/>
              <w:right w:w="28" w:type="dxa"/>
            </w:tcMar>
          </w:tcPr>
          <w:p w14:paraId="09016C3A" w14:textId="77777777" w:rsidR="00D4785F" w:rsidRPr="00EA7B3F" w:rsidRDefault="00D4785F" w:rsidP="009763F9">
            <w:pPr>
              <w:pStyle w:val="TableText0"/>
              <w:keepNext w:val="0"/>
              <w:rPr>
                <w:rFonts w:eastAsia="Times New Roman" w:cs="Arial"/>
                <w:bCs w:val="0"/>
                <w:snapToGrid w:val="0"/>
                <w:szCs w:val="20"/>
              </w:rPr>
            </w:pPr>
            <w:r w:rsidRPr="00EA7B3F">
              <w:rPr>
                <w:rFonts w:eastAsia="Times New Roman" w:cs="Arial"/>
                <w:bCs w:val="0"/>
                <w:snapToGrid w:val="0"/>
                <w:szCs w:val="20"/>
              </w:rPr>
              <w:t>There was a large difference between the number of attacks required for PBS eligibility and the point at which lanadelumab would likely become cost-effective (Para 7.11, July 2020 PSD)</w:t>
            </w:r>
          </w:p>
        </w:tc>
        <w:tc>
          <w:tcPr>
            <w:tcW w:w="2173" w:type="pct"/>
            <w:tcMar>
              <w:left w:w="28" w:type="dxa"/>
              <w:right w:w="28" w:type="dxa"/>
            </w:tcMar>
            <w:vAlign w:val="center"/>
          </w:tcPr>
          <w:p w14:paraId="16A1A006" w14:textId="77777777" w:rsidR="00D4785F" w:rsidRPr="00EA7B3F" w:rsidRDefault="00D4785F" w:rsidP="009763F9">
            <w:pPr>
              <w:pStyle w:val="TableText0"/>
              <w:keepNext w:val="0"/>
            </w:pPr>
            <w:r w:rsidRPr="00EA7B3F">
              <w:t>Not addressed</w:t>
            </w:r>
          </w:p>
        </w:tc>
      </w:tr>
      <w:tr w:rsidR="00A46A2E" w:rsidRPr="00EA7B3F" w14:paraId="3D7E9EBA" w14:textId="77777777" w:rsidTr="0082228E">
        <w:trPr>
          <w:cantSplit/>
        </w:trPr>
        <w:tc>
          <w:tcPr>
            <w:tcW w:w="705" w:type="pct"/>
            <w:tcBorders>
              <w:top w:val="single" w:sz="4" w:space="0" w:color="auto"/>
              <w:bottom w:val="nil"/>
            </w:tcBorders>
            <w:tcMar>
              <w:left w:w="28" w:type="dxa"/>
              <w:right w:w="28" w:type="dxa"/>
            </w:tcMar>
          </w:tcPr>
          <w:p w14:paraId="6ECA118F" w14:textId="77777777" w:rsidR="00BD54FE" w:rsidRPr="00EA7B3F" w:rsidRDefault="00BD54FE" w:rsidP="009763F9">
            <w:pPr>
              <w:pStyle w:val="TableText0"/>
              <w:keepNext w:val="0"/>
            </w:pPr>
          </w:p>
        </w:tc>
        <w:tc>
          <w:tcPr>
            <w:tcW w:w="2122" w:type="pct"/>
            <w:tcMar>
              <w:left w:w="28" w:type="dxa"/>
              <w:right w:w="28" w:type="dxa"/>
            </w:tcMar>
          </w:tcPr>
          <w:p w14:paraId="59108CEA" w14:textId="77777777" w:rsidR="00BD54FE" w:rsidRPr="00EA7B3F" w:rsidRDefault="00BD54FE" w:rsidP="009763F9">
            <w:pPr>
              <w:pStyle w:val="TableText0"/>
              <w:keepNext w:val="0"/>
              <w:rPr>
                <w:rFonts w:eastAsia="Times New Roman" w:cs="Arial"/>
                <w:bCs w:val="0"/>
                <w:snapToGrid w:val="0"/>
                <w:szCs w:val="20"/>
              </w:rPr>
            </w:pPr>
            <w:r w:rsidRPr="00EA7B3F">
              <w:rPr>
                <w:rFonts w:eastAsia="Times New Roman" w:cs="Arial"/>
                <w:bCs w:val="0"/>
                <w:snapToGrid w:val="0"/>
                <w:szCs w:val="20"/>
              </w:rPr>
              <w:t>As there was no demonstrated difference in efficacy between lanadelumab 300 mg Q2W and the 300 mg Q4W regimen, it may be appropriate to cap the cost per patien</w:t>
            </w:r>
            <w:r w:rsidR="008015BE" w:rsidRPr="00EA7B3F">
              <w:rPr>
                <w:rFonts w:eastAsia="Times New Roman" w:cs="Arial"/>
                <w:bCs w:val="0"/>
                <w:snapToGrid w:val="0"/>
                <w:szCs w:val="20"/>
              </w:rPr>
              <w:t>t at no more than that for the 3</w:t>
            </w:r>
            <w:r w:rsidRPr="00EA7B3F">
              <w:rPr>
                <w:rFonts w:eastAsia="Times New Roman" w:cs="Arial"/>
                <w:bCs w:val="0"/>
                <w:snapToGrid w:val="0"/>
                <w:szCs w:val="20"/>
              </w:rPr>
              <w:t>00 mg Q4W regimen (Para 7.9, July 2020 PSD)</w:t>
            </w:r>
          </w:p>
        </w:tc>
        <w:tc>
          <w:tcPr>
            <w:tcW w:w="2173" w:type="pct"/>
            <w:tcMar>
              <w:left w:w="28" w:type="dxa"/>
              <w:right w:w="28" w:type="dxa"/>
            </w:tcMar>
            <w:vAlign w:val="center"/>
          </w:tcPr>
          <w:p w14:paraId="6AFAD17C" w14:textId="77777777" w:rsidR="00BD54FE" w:rsidRPr="00EA7B3F" w:rsidRDefault="00F0535B" w:rsidP="009763F9">
            <w:pPr>
              <w:pStyle w:val="TableText0"/>
              <w:keepNext w:val="0"/>
            </w:pPr>
            <w:r w:rsidRPr="00EA7B3F">
              <w:t>Addressed.</w:t>
            </w:r>
          </w:p>
          <w:p w14:paraId="33437224" w14:textId="77777777" w:rsidR="00F0535B" w:rsidRPr="00EA7B3F" w:rsidRDefault="00F0535B" w:rsidP="009763F9">
            <w:pPr>
              <w:pStyle w:val="TableText0"/>
              <w:keepNext w:val="0"/>
            </w:pPr>
            <w:r w:rsidRPr="00EA7B3F">
              <w:t>The economic evaluation applied a fixed cost per patient, assuming 13 injections of lanadelumab per year (300 mg Q4W).</w:t>
            </w:r>
            <w:r w:rsidR="000468E3" w:rsidRPr="00EA7B3F">
              <w:t xml:space="preserve"> However, this was not entirely consistent with the RSA proposed in the resubmission, as it failed to apply </w:t>
            </w:r>
            <w:r w:rsidR="006F5B4F">
              <w:rPr>
                <w:noProof/>
                <w:color w:val="000000"/>
                <w:highlight w:val="black"/>
              </w:rPr>
              <w:t>'''''</w:t>
            </w:r>
            <w:r w:rsidR="000468E3" w:rsidRPr="00EA7B3F">
              <w:t>% of the cost for any usage above this dosage (see below).</w:t>
            </w:r>
          </w:p>
        </w:tc>
      </w:tr>
      <w:tr w:rsidR="006773D6" w:rsidRPr="00EA7B3F" w14:paraId="6020595E" w14:textId="77777777" w:rsidTr="000A5B80">
        <w:trPr>
          <w:cantSplit/>
        </w:trPr>
        <w:tc>
          <w:tcPr>
            <w:tcW w:w="705" w:type="pct"/>
            <w:tcBorders>
              <w:top w:val="nil"/>
            </w:tcBorders>
            <w:tcMar>
              <w:left w:w="28" w:type="dxa"/>
              <w:right w:w="28" w:type="dxa"/>
            </w:tcMar>
          </w:tcPr>
          <w:p w14:paraId="3D9C22A2" w14:textId="77777777" w:rsidR="006773D6" w:rsidRPr="00EA7B3F" w:rsidRDefault="006773D6" w:rsidP="009763F9">
            <w:pPr>
              <w:pStyle w:val="TableText0"/>
              <w:keepNext w:val="0"/>
            </w:pPr>
          </w:p>
        </w:tc>
        <w:tc>
          <w:tcPr>
            <w:tcW w:w="2122" w:type="pct"/>
            <w:tcMar>
              <w:left w:w="28" w:type="dxa"/>
              <w:right w:w="28" w:type="dxa"/>
            </w:tcMar>
          </w:tcPr>
          <w:p w14:paraId="29E96B42" w14:textId="77777777" w:rsidR="006773D6" w:rsidRPr="00EA7B3F" w:rsidRDefault="006773D6" w:rsidP="009763F9">
            <w:pPr>
              <w:pStyle w:val="TableText0"/>
              <w:keepNext w:val="0"/>
              <w:rPr>
                <w:rFonts w:eastAsia="Times New Roman" w:cs="Arial"/>
                <w:bCs w:val="0"/>
                <w:snapToGrid w:val="0"/>
                <w:szCs w:val="20"/>
              </w:rPr>
            </w:pPr>
            <w:r w:rsidRPr="00EA7B3F">
              <w:rPr>
                <w:rFonts w:eastAsia="Times New Roman" w:cs="Arial"/>
                <w:bCs w:val="0"/>
                <w:snapToGrid w:val="0"/>
                <w:szCs w:val="20"/>
              </w:rPr>
              <w:t>The approach to estimating between-attack utilities likely overestimated the utility decrement associated with each incremental increase in the number of treated attacks</w:t>
            </w:r>
            <w:r w:rsidR="00221862" w:rsidRPr="00EA7B3F">
              <w:rPr>
                <w:rFonts w:eastAsia="Times New Roman" w:cs="Arial"/>
                <w:bCs w:val="0"/>
                <w:snapToGrid w:val="0"/>
                <w:szCs w:val="20"/>
              </w:rPr>
              <w:t xml:space="preserve"> (Para 6.45, July 2020 PSD)</w:t>
            </w:r>
            <w:r w:rsidRPr="00EA7B3F">
              <w:rPr>
                <w:rFonts w:eastAsia="Times New Roman" w:cs="Arial"/>
                <w:bCs w:val="0"/>
                <w:snapToGrid w:val="0"/>
                <w:szCs w:val="20"/>
              </w:rPr>
              <w:t>.</w:t>
            </w:r>
          </w:p>
        </w:tc>
        <w:tc>
          <w:tcPr>
            <w:tcW w:w="2173" w:type="pct"/>
            <w:tcMar>
              <w:left w:w="28" w:type="dxa"/>
              <w:right w:w="28" w:type="dxa"/>
            </w:tcMar>
            <w:vAlign w:val="center"/>
          </w:tcPr>
          <w:p w14:paraId="7AC4849C" w14:textId="77777777" w:rsidR="006773D6" w:rsidRPr="00EA7B3F" w:rsidRDefault="00FE75A6" w:rsidP="009763F9">
            <w:pPr>
              <w:pStyle w:val="TableText0"/>
              <w:keepNext w:val="0"/>
            </w:pPr>
            <w:r w:rsidRPr="00EA7B3F">
              <w:t>Not addressed.</w:t>
            </w:r>
          </w:p>
        </w:tc>
      </w:tr>
      <w:tr w:rsidR="00A46A2E" w:rsidRPr="00EA7B3F" w14:paraId="28778E23" w14:textId="77777777" w:rsidTr="000A5B80">
        <w:trPr>
          <w:cantSplit/>
        </w:trPr>
        <w:tc>
          <w:tcPr>
            <w:tcW w:w="705" w:type="pct"/>
            <w:tcMar>
              <w:left w:w="28" w:type="dxa"/>
              <w:right w:w="28" w:type="dxa"/>
            </w:tcMar>
          </w:tcPr>
          <w:p w14:paraId="54115F5C" w14:textId="77777777" w:rsidR="00BD54FE" w:rsidRPr="00EA7B3F" w:rsidRDefault="00BD54FE" w:rsidP="009763F9">
            <w:pPr>
              <w:pStyle w:val="TableText0"/>
              <w:keepNext w:val="0"/>
            </w:pPr>
            <w:r w:rsidRPr="00EA7B3F">
              <w:t>Financial estimates</w:t>
            </w:r>
          </w:p>
        </w:tc>
        <w:tc>
          <w:tcPr>
            <w:tcW w:w="2122" w:type="pct"/>
            <w:tcMar>
              <w:left w:w="28" w:type="dxa"/>
              <w:right w:w="28" w:type="dxa"/>
            </w:tcMar>
          </w:tcPr>
          <w:p w14:paraId="3984420F" w14:textId="77777777" w:rsidR="00BD54FE" w:rsidRPr="00EA7B3F" w:rsidRDefault="00BD54FE" w:rsidP="009763F9">
            <w:pPr>
              <w:pStyle w:val="TableText0"/>
              <w:keepNext w:val="0"/>
              <w:rPr>
                <w:rFonts w:eastAsia="Times New Roman" w:cs="Arial"/>
                <w:bCs w:val="0"/>
                <w:snapToGrid w:val="0"/>
                <w:szCs w:val="20"/>
              </w:rPr>
            </w:pPr>
            <w:r w:rsidRPr="00EA7B3F">
              <w:t>The financial estimates may have been overestimated as the submission effectively applied prevalence estimates as incidence estimates</w:t>
            </w:r>
            <w:r w:rsidR="00221862" w:rsidRPr="00EA7B3F">
              <w:t xml:space="preserve"> (Para 7.14, July 2020 PSD)</w:t>
            </w:r>
            <w:r w:rsidR="00FE75A6" w:rsidRPr="00EA7B3F">
              <w:t>.</w:t>
            </w:r>
          </w:p>
        </w:tc>
        <w:tc>
          <w:tcPr>
            <w:tcW w:w="2173" w:type="pct"/>
            <w:tcMar>
              <w:left w:w="28" w:type="dxa"/>
              <w:right w:w="28" w:type="dxa"/>
            </w:tcMar>
            <w:vAlign w:val="center"/>
          </w:tcPr>
          <w:p w14:paraId="21E71A09" w14:textId="77777777" w:rsidR="00FE75A6" w:rsidRPr="00EA7B3F" w:rsidRDefault="00FE75A6" w:rsidP="009763F9">
            <w:pPr>
              <w:pStyle w:val="TableText0"/>
              <w:keepNext w:val="0"/>
            </w:pPr>
            <w:r w:rsidRPr="00EA7B3F">
              <w:t>Prevalence d</w:t>
            </w:r>
            <w:r w:rsidR="00E742F6" w:rsidRPr="00EA7B3F">
              <w:t>ata have been used appropri</w:t>
            </w:r>
            <w:r w:rsidRPr="00EA7B3F">
              <w:t>ately.</w:t>
            </w:r>
          </w:p>
          <w:p w14:paraId="39DE83EB" w14:textId="77777777" w:rsidR="0044716A" w:rsidRPr="00EA7B3F" w:rsidRDefault="0044716A" w:rsidP="0044716A">
            <w:pPr>
              <w:pStyle w:val="TableText0"/>
              <w:keepNext w:val="0"/>
            </w:pPr>
            <w:r w:rsidRPr="00EA7B3F">
              <w:t>The estimated cost to the PBS/RPBS remains highly uncertain.</w:t>
            </w:r>
          </w:p>
        </w:tc>
      </w:tr>
      <w:tr w:rsidR="00A46A2E" w:rsidRPr="00EA7B3F" w14:paraId="74071FEA" w14:textId="77777777" w:rsidTr="000A5B80">
        <w:trPr>
          <w:cantSplit/>
        </w:trPr>
        <w:tc>
          <w:tcPr>
            <w:tcW w:w="705" w:type="pct"/>
            <w:tcMar>
              <w:left w:w="28" w:type="dxa"/>
              <w:right w:w="28" w:type="dxa"/>
            </w:tcMar>
          </w:tcPr>
          <w:p w14:paraId="0D949E4C" w14:textId="77777777" w:rsidR="00BD54FE" w:rsidRPr="00EA7B3F" w:rsidRDefault="002D3F5D" w:rsidP="009763F9">
            <w:pPr>
              <w:pStyle w:val="TableText0"/>
              <w:keepNext w:val="0"/>
            </w:pPr>
            <w:r w:rsidRPr="00EA7B3F">
              <w:t>Risk share arrangement</w:t>
            </w:r>
          </w:p>
        </w:tc>
        <w:tc>
          <w:tcPr>
            <w:tcW w:w="2122" w:type="pct"/>
            <w:tcMar>
              <w:left w:w="28" w:type="dxa"/>
              <w:right w:w="28" w:type="dxa"/>
            </w:tcMar>
          </w:tcPr>
          <w:p w14:paraId="19898B53" w14:textId="77777777" w:rsidR="00BD54FE" w:rsidRPr="00EA7B3F" w:rsidRDefault="00BD54FE" w:rsidP="009763F9">
            <w:pPr>
              <w:pStyle w:val="TableText0"/>
              <w:keepNext w:val="0"/>
            </w:pPr>
            <w:r w:rsidRPr="00EA7B3F">
              <w:t>There is a substantial risk of use of lanadelumab outside the restriction in patients experiencing fewer HAE attacks than permitted under the restriction (</w:t>
            </w:r>
            <w:r w:rsidR="00221862" w:rsidRPr="00EA7B3F">
              <w:t xml:space="preserve">Para </w:t>
            </w:r>
            <w:r w:rsidRPr="00EA7B3F">
              <w:rPr>
                <w:rFonts w:eastAsia="Times New Roman" w:cs="Arial"/>
                <w:bCs w:val="0"/>
                <w:snapToGrid w:val="0"/>
                <w:szCs w:val="20"/>
              </w:rPr>
              <w:t>7.15, July 2020 PSD)</w:t>
            </w:r>
            <w:r w:rsidRPr="00EA7B3F">
              <w:t xml:space="preserve">. </w:t>
            </w:r>
          </w:p>
          <w:p w14:paraId="4CB2AE17" w14:textId="5DBFB4B1" w:rsidR="00BD54FE" w:rsidRPr="00EA7B3F" w:rsidRDefault="003056DD" w:rsidP="009763F9">
            <w:pPr>
              <w:pStyle w:val="TableText0"/>
              <w:keepNext w:val="0"/>
              <w:rPr>
                <w:rFonts w:eastAsia="Times New Roman" w:cs="Arial"/>
                <w:bCs w:val="0"/>
                <w:snapToGrid w:val="0"/>
                <w:szCs w:val="20"/>
              </w:rPr>
            </w:pPr>
            <w:r w:rsidRPr="00EA7B3F">
              <w:rPr>
                <w:rFonts w:eastAsia="Times New Roman" w:cs="Arial"/>
                <w:bCs w:val="0"/>
                <w:snapToGrid w:val="0"/>
                <w:szCs w:val="20"/>
              </w:rPr>
              <w:t xml:space="preserve">An updated </w:t>
            </w:r>
            <w:r w:rsidR="00BD54FE" w:rsidRPr="00EA7B3F">
              <w:rPr>
                <w:rFonts w:eastAsia="Times New Roman" w:cs="Arial"/>
                <w:bCs w:val="0"/>
                <w:snapToGrid w:val="0"/>
                <w:szCs w:val="20"/>
              </w:rPr>
              <w:t>RSA</w:t>
            </w:r>
            <w:r w:rsidRPr="00EA7B3F">
              <w:rPr>
                <w:rFonts w:eastAsia="Times New Roman" w:cs="Arial"/>
                <w:bCs w:val="0"/>
                <w:snapToGrid w:val="0"/>
                <w:szCs w:val="20"/>
              </w:rPr>
              <w:t xml:space="preserve"> proposal </w:t>
            </w:r>
            <w:r w:rsidR="00BD54FE" w:rsidRPr="00EA7B3F">
              <w:rPr>
                <w:rFonts w:eastAsia="Times New Roman" w:cs="Arial"/>
                <w:bCs w:val="0"/>
                <w:snapToGrid w:val="0"/>
                <w:szCs w:val="20"/>
              </w:rPr>
              <w:t>would be required</w:t>
            </w:r>
            <w:r w:rsidRPr="00EA7B3F">
              <w:rPr>
                <w:rFonts w:eastAsia="Times New Roman" w:cs="Arial"/>
                <w:bCs w:val="0"/>
                <w:snapToGrid w:val="0"/>
                <w:szCs w:val="20"/>
              </w:rPr>
              <w:t>,</w:t>
            </w:r>
            <w:r w:rsidR="00BD54FE" w:rsidRPr="00EA7B3F">
              <w:rPr>
                <w:rFonts w:eastAsia="Times New Roman" w:cs="Arial"/>
                <w:bCs w:val="0"/>
                <w:snapToGrid w:val="0"/>
                <w:szCs w:val="20"/>
              </w:rPr>
              <w:t xml:space="preserve"> to manage the risks of use in cost-ineffective populations, and the uncertainty in the dosage regimens. A </w:t>
            </w:r>
            <w:r w:rsidR="006F5B4F">
              <w:rPr>
                <w:rFonts w:eastAsia="Times New Roman" w:cs="Arial"/>
                <w:bCs w:val="0"/>
                <w:noProof/>
                <w:snapToGrid w:val="0"/>
                <w:color w:val="000000"/>
                <w:szCs w:val="20"/>
                <w:highlight w:val="black"/>
              </w:rPr>
              <w:t>''''''''''</w:t>
            </w:r>
            <w:r w:rsidR="00BD54FE" w:rsidRPr="00EA7B3F">
              <w:rPr>
                <w:rFonts w:eastAsia="Times New Roman" w:cs="Arial"/>
                <w:bCs w:val="0"/>
                <w:snapToGrid w:val="0"/>
                <w:szCs w:val="20"/>
              </w:rPr>
              <w:t>% rebate should apply for</w:t>
            </w:r>
            <w:r w:rsidR="00FE75A6" w:rsidRPr="00EA7B3F">
              <w:rPr>
                <w:rFonts w:eastAsia="Times New Roman" w:cs="Arial"/>
                <w:bCs w:val="0"/>
                <w:snapToGrid w:val="0"/>
                <w:szCs w:val="20"/>
              </w:rPr>
              <w:t xml:space="preserve"> any usage above the total cap </w:t>
            </w:r>
            <w:r w:rsidR="00BD54FE" w:rsidRPr="00EA7B3F">
              <w:rPr>
                <w:rFonts w:eastAsia="Times New Roman" w:cs="Arial"/>
                <w:bCs w:val="0"/>
                <w:snapToGrid w:val="0"/>
                <w:szCs w:val="20"/>
              </w:rPr>
              <w:t>(Para</w:t>
            </w:r>
            <w:r w:rsidRPr="00EA7B3F">
              <w:rPr>
                <w:rFonts w:eastAsia="Times New Roman" w:cs="Arial"/>
                <w:bCs w:val="0"/>
                <w:snapToGrid w:val="0"/>
                <w:szCs w:val="20"/>
              </w:rPr>
              <w:t xml:space="preserve"> 7.16-7.18</w:t>
            </w:r>
            <w:r w:rsidR="00BD54FE" w:rsidRPr="00EA7B3F">
              <w:rPr>
                <w:rFonts w:eastAsia="Times New Roman" w:cs="Arial"/>
                <w:bCs w:val="0"/>
                <w:snapToGrid w:val="0"/>
                <w:szCs w:val="20"/>
              </w:rPr>
              <w:t xml:space="preserve"> July 2020 </w:t>
            </w:r>
            <w:r w:rsidR="009B420F" w:rsidRPr="00EA7B3F">
              <w:rPr>
                <w:rFonts w:eastAsia="Times New Roman" w:cs="Arial"/>
                <w:bCs w:val="0"/>
                <w:snapToGrid w:val="0"/>
                <w:szCs w:val="20"/>
              </w:rPr>
              <w:t xml:space="preserve">PBAC </w:t>
            </w:r>
            <w:r w:rsidR="00E53B1C">
              <w:rPr>
                <w:rFonts w:eastAsia="Times New Roman" w:cs="Arial"/>
                <w:bCs w:val="0"/>
                <w:snapToGrid w:val="0"/>
                <w:szCs w:val="20"/>
              </w:rPr>
              <w:t>PSD</w:t>
            </w:r>
            <w:r w:rsidR="00BD54FE" w:rsidRPr="00EA7B3F">
              <w:rPr>
                <w:rFonts w:eastAsia="Times New Roman" w:cs="Arial"/>
                <w:bCs w:val="0"/>
                <w:snapToGrid w:val="0"/>
                <w:szCs w:val="20"/>
              </w:rPr>
              <w:t>)</w:t>
            </w:r>
          </w:p>
        </w:tc>
        <w:tc>
          <w:tcPr>
            <w:tcW w:w="2173" w:type="pct"/>
            <w:tcMar>
              <w:left w:w="28" w:type="dxa"/>
              <w:right w:w="28" w:type="dxa"/>
            </w:tcMar>
            <w:vAlign w:val="center"/>
          </w:tcPr>
          <w:p w14:paraId="7DCD985F" w14:textId="77777777" w:rsidR="00BD54FE" w:rsidRPr="00EA7B3F" w:rsidRDefault="00FE75A6" w:rsidP="009763F9">
            <w:pPr>
              <w:pStyle w:val="TableText0"/>
              <w:keepNext w:val="0"/>
            </w:pPr>
            <w:r w:rsidRPr="00EA7B3F">
              <w:t>Not adequately addressed.</w:t>
            </w:r>
          </w:p>
          <w:p w14:paraId="535B638E" w14:textId="77777777" w:rsidR="00FE75A6" w:rsidRPr="00EA7B3F" w:rsidRDefault="00FE75A6" w:rsidP="009763F9">
            <w:pPr>
              <w:pStyle w:val="TableText0"/>
              <w:keepNext w:val="0"/>
            </w:pPr>
            <w:r w:rsidRPr="00EA7B3F">
              <w:t xml:space="preserve">While an updated RSA was provided, it did not include a </w:t>
            </w:r>
            <w:r w:rsidR="006F5B4F">
              <w:rPr>
                <w:noProof/>
                <w:color w:val="000000"/>
                <w:highlight w:val="black"/>
              </w:rPr>
              <w:t>'''''''''</w:t>
            </w:r>
            <w:r w:rsidRPr="00EA7B3F">
              <w:t>% rebate above the total cap.</w:t>
            </w:r>
            <w:r w:rsidR="008D5898" w:rsidRPr="00EA7B3F">
              <w:t xml:space="preserve"> A </w:t>
            </w:r>
            <w:r w:rsidR="006F5B4F">
              <w:rPr>
                <w:noProof/>
                <w:color w:val="000000"/>
                <w:highlight w:val="black"/>
              </w:rPr>
              <w:t>'''''''</w:t>
            </w:r>
            <w:r w:rsidR="008D5898" w:rsidRPr="00EA7B3F">
              <w:t>% rebate was proposed.</w:t>
            </w:r>
          </w:p>
        </w:tc>
      </w:tr>
    </w:tbl>
    <w:p w14:paraId="50605256" w14:textId="75D37408" w:rsidR="007C19DE" w:rsidRPr="00EA7B3F" w:rsidRDefault="005C25FF" w:rsidP="00221862">
      <w:pPr>
        <w:pStyle w:val="TableFigureFooter"/>
      </w:pPr>
      <w:r w:rsidRPr="00EA7B3F">
        <w:t>Source</w:t>
      </w:r>
      <w:bookmarkStart w:id="8" w:name="_Toc22897646"/>
      <w:r w:rsidR="00221862" w:rsidRPr="00EA7B3F">
        <w:t xml:space="preserve">: Lanadelumab PSD, July 2020 PBAC meeting; Lanadelumab PBAC </w:t>
      </w:r>
      <w:r w:rsidR="00E53B1C">
        <w:t>PSD</w:t>
      </w:r>
      <w:r w:rsidR="00221862" w:rsidRPr="00EA7B3F">
        <w:t>, July 2020 PBAC meeting; Sections 1, 3 and 4 of the resubmission.</w:t>
      </w:r>
    </w:p>
    <w:p w14:paraId="1A4390AD" w14:textId="77777777" w:rsidR="00221862" w:rsidRPr="00EA7B3F" w:rsidRDefault="00221862" w:rsidP="00221862">
      <w:pPr>
        <w:pStyle w:val="TableFigureFooter"/>
      </w:pPr>
      <w:r w:rsidRPr="00EA7B3F">
        <w:t>HAE = hereditary angioedema; ICER = incremental cost-effectiveness ratio; ODT = on-demand treatment; PSD = Public Summary Document; Q2W = every 2 weeks; Q4W = every 4 weeks; RSA = risk sharing arrangement.</w:t>
      </w:r>
    </w:p>
    <w:p w14:paraId="2D11F1C0" w14:textId="77777777" w:rsidR="005E26F3" w:rsidRPr="00EA7B3F" w:rsidRDefault="005E26F3" w:rsidP="00221862">
      <w:pPr>
        <w:pStyle w:val="TableFigureFooter"/>
      </w:pPr>
    </w:p>
    <w:p w14:paraId="24740F5E" w14:textId="77777777" w:rsidR="005E26F3" w:rsidRPr="00EA7B3F" w:rsidRDefault="005E26F3" w:rsidP="005E26F3">
      <w:pPr>
        <w:ind w:left="720"/>
        <w:rPr>
          <w:i/>
        </w:rPr>
      </w:pPr>
      <w:r w:rsidRPr="00EA7B3F">
        <w:rPr>
          <w:i/>
        </w:rPr>
        <w:t>For more detail on PBAC’s view, see section 7 PBAC outcome.</w:t>
      </w:r>
    </w:p>
    <w:p w14:paraId="137E60F8" w14:textId="77777777" w:rsidR="009B3B0A" w:rsidRPr="00EA7B3F" w:rsidRDefault="009B3B0A" w:rsidP="00220069">
      <w:pPr>
        <w:pStyle w:val="2-SectionHeading"/>
        <w:numPr>
          <w:ilvl w:val="0"/>
          <w:numId w:val="1"/>
        </w:numPr>
        <w:ind w:left="426" w:hanging="425"/>
      </w:pPr>
      <w:bookmarkStart w:id="9" w:name="_Toc22898848"/>
      <w:bookmarkStart w:id="10" w:name="_Toc72133175"/>
      <w:r w:rsidRPr="00EA7B3F">
        <w:t>Requested listing</w:t>
      </w:r>
      <w:bookmarkEnd w:id="9"/>
      <w:bookmarkEnd w:id="10"/>
    </w:p>
    <w:p w14:paraId="725AB912" w14:textId="77777777" w:rsidR="009B3B0A" w:rsidRPr="00EA7B3F" w:rsidRDefault="009B3B0A" w:rsidP="007C19DE"/>
    <w:tbl>
      <w:tblPr>
        <w:tblW w:w="4977" w:type="pct"/>
        <w:tblInd w:w="28" w:type="dxa"/>
        <w:tblCellMar>
          <w:left w:w="28" w:type="dxa"/>
          <w:right w:w="28" w:type="dxa"/>
        </w:tblCellMar>
        <w:tblLook w:val="0000" w:firstRow="0" w:lastRow="0" w:firstColumn="0" w:lastColumn="0" w:noHBand="0" w:noVBand="0"/>
      </w:tblPr>
      <w:tblGrid>
        <w:gridCol w:w="3386"/>
        <w:gridCol w:w="1089"/>
        <w:gridCol w:w="846"/>
        <w:gridCol w:w="1518"/>
        <w:gridCol w:w="2146"/>
      </w:tblGrid>
      <w:tr w:rsidR="007C19DE" w:rsidRPr="00EA7B3F" w14:paraId="685D0249" w14:textId="77777777" w:rsidTr="003D2164">
        <w:trPr>
          <w:cantSplit/>
          <w:trHeight w:val="463"/>
        </w:trPr>
        <w:tc>
          <w:tcPr>
            <w:tcW w:w="1884" w:type="pct"/>
            <w:tcBorders>
              <w:top w:val="single" w:sz="4" w:space="0" w:color="auto"/>
              <w:bottom w:val="single" w:sz="4" w:space="0" w:color="auto"/>
            </w:tcBorders>
            <w:vAlign w:val="center"/>
          </w:tcPr>
          <w:p w14:paraId="1D7AE379" w14:textId="77777777" w:rsidR="007C19DE" w:rsidRPr="00EA7B3F" w:rsidRDefault="007C19DE" w:rsidP="003D2164">
            <w:pPr>
              <w:keepNext/>
              <w:jc w:val="left"/>
              <w:rPr>
                <w:rFonts w:ascii="Arial Narrow" w:hAnsi="Arial Narrow"/>
                <w:b/>
                <w:sz w:val="20"/>
              </w:rPr>
            </w:pPr>
            <w:r w:rsidRPr="00EA7B3F">
              <w:rPr>
                <w:rFonts w:ascii="Arial Narrow" w:hAnsi="Arial Narrow"/>
                <w:b/>
                <w:sz w:val="20"/>
              </w:rPr>
              <w:t>Name, Restriction,</w:t>
            </w:r>
          </w:p>
          <w:p w14:paraId="0E755D38" w14:textId="77777777" w:rsidR="007C19DE" w:rsidRPr="00EA7B3F" w:rsidRDefault="007C19DE" w:rsidP="003D2164">
            <w:pPr>
              <w:keepNext/>
              <w:jc w:val="left"/>
              <w:rPr>
                <w:rFonts w:ascii="Arial Narrow" w:hAnsi="Arial Narrow"/>
                <w:b/>
                <w:sz w:val="20"/>
              </w:rPr>
            </w:pPr>
            <w:r w:rsidRPr="00EA7B3F">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4785F307" w14:textId="77777777" w:rsidR="007C19DE" w:rsidRPr="00EA7B3F" w:rsidRDefault="007C19DE" w:rsidP="003D2164">
            <w:pPr>
              <w:keepNext/>
              <w:jc w:val="center"/>
              <w:rPr>
                <w:rFonts w:ascii="Arial Narrow" w:hAnsi="Arial Narrow"/>
                <w:b/>
                <w:sz w:val="20"/>
              </w:rPr>
            </w:pPr>
            <w:r w:rsidRPr="00EA7B3F">
              <w:rPr>
                <w:rFonts w:ascii="Arial Narrow" w:hAnsi="Arial Narrow"/>
                <w:b/>
                <w:sz w:val="20"/>
              </w:rPr>
              <w:t>Max.</w:t>
            </w:r>
          </w:p>
          <w:p w14:paraId="78C92A88" w14:textId="77777777" w:rsidR="007C19DE" w:rsidRPr="00EA7B3F" w:rsidRDefault="007C19DE" w:rsidP="003D2164">
            <w:pPr>
              <w:keepNext/>
              <w:jc w:val="center"/>
              <w:rPr>
                <w:rFonts w:ascii="Arial Narrow" w:hAnsi="Arial Narrow"/>
                <w:b/>
                <w:sz w:val="20"/>
              </w:rPr>
            </w:pPr>
            <w:r w:rsidRPr="00EA7B3F">
              <w:rPr>
                <w:rFonts w:ascii="Arial Narrow" w:hAnsi="Arial Narrow"/>
                <w:b/>
                <w:sz w:val="20"/>
              </w:rPr>
              <w:t xml:space="preserve">Qty </w:t>
            </w:r>
          </w:p>
        </w:tc>
        <w:tc>
          <w:tcPr>
            <w:tcW w:w="471" w:type="pct"/>
            <w:tcBorders>
              <w:top w:val="single" w:sz="4" w:space="0" w:color="auto"/>
              <w:bottom w:val="single" w:sz="4" w:space="0" w:color="auto"/>
            </w:tcBorders>
            <w:vAlign w:val="center"/>
          </w:tcPr>
          <w:p w14:paraId="58719F30" w14:textId="77777777" w:rsidR="007C19DE" w:rsidRPr="00EA7B3F" w:rsidRDefault="007C19DE" w:rsidP="003D2164">
            <w:pPr>
              <w:keepNext/>
              <w:jc w:val="center"/>
              <w:rPr>
                <w:rFonts w:ascii="Arial Narrow" w:hAnsi="Arial Narrow"/>
                <w:b/>
                <w:sz w:val="20"/>
              </w:rPr>
            </w:pPr>
            <w:r w:rsidRPr="00EA7B3F">
              <w:rPr>
                <w:rFonts w:ascii="Arial Narrow" w:hAnsi="Arial Narrow" w:cs="Times New Roman"/>
                <w:b/>
                <w:sz w:val="20"/>
              </w:rPr>
              <w:t>№</w:t>
            </w:r>
            <w:r w:rsidRPr="00EA7B3F">
              <w:rPr>
                <w:rFonts w:ascii="Arial Narrow" w:hAnsi="Arial Narrow"/>
                <w:b/>
                <w:sz w:val="20"/>
              </w:rPr>
              <w:t>.of</w:t>
            </w:r>
          </w:p>
          <w:p w14:paraId="19F4D0FA" w14:textId="77777777" w:rsidR="007C19DE" w:rsidRPr="00EA7B3F" w:rsidRDefault="007C19DE" w:rsidP="003D2164">
            <w:pPr>
              <w:keepNext/>
              <w:jc w:val="center"/>
              <w:rPr>
                <w:rFonts w:ascii="Arial Narrow" w:hAnsi="Arial Narrow"/>
                <w:b/>
                <w:sz w:val="20"/>
              </w:rPr>
            </w:pPr>
            <w:r w:rsidRPr="00EA7B3F">
              <w:rPr>
                <w:rFonts w:ascii="Arial Narrow" w:hAnsi="Arial Narrow"/>
                <w:b/>
                <w:sz w:val="20"/>
              </w:rPr>
              <w:t>Rpts</w:t>
            </w:r>
          </w:p>
        </w:tc>
        <w:tc>
          <w:tcPr>
            <w:tcW w:w="845" w:type="pct"/>
            <w:tcBorders>
              <w:top w:val="single" w:sz="4" w:space="0" w:color="auto"/>
              <w:bottom w:val="single" w:sz="4" w:space="0" w:color="auto"/>
            </w:tcBorders>
            <w:vAlign w:val="center"/>
          </w:tcPr>
          <w:p w14:paraId="6001C6CF" w14:textId="77777777" w:rsidR="007C19DE" w:rsidRPr="00EA7B3F" w:rsidRDefault="007C19DE" w:rsidP="003D2164">
            <w:pPr>
              <w:keepNext/>
              <w:jc w:val="center"/>
              <w:rPr>
                <w:rFonts w:ascii="Arial Narrow" w:hAnsi="Arial Narrow"/>
                <w:b/>
                <w:sz w:val="20"/>
                <w:vertAlign w:val="superscript"/>
              </w:rPr>
            </w:pPr>
            <w:r w:rsidRPr="00EA7B3F">
              <w:rPr>
                <w:rFonts w:ascii="Arial Narrow" w:hAnsi="Arial Narrow"/>
                <w:b/>
                <w:sz w:val="20"/>
              </w:rPr>
              <w:t xml:space="preserve">Dispensed Price for Max. Qty </w:t>
            </w:r>
            <w:r w:rsidR="00FF39EC" w:rsidRPr="00EA7B3F">
              <w:rPr>
                <w:rFonts w:ascii="Arial Narrow" w:hAnsi="Arial Narrow"/>
                <w:b/>
                <w:sz w:val="20"/>
                <w:vertAlign w:val="superscript"/>
              </w:rPr>
              <w:t>a</w:t>
            </w:r>
          </w:p>
        </w:tc>
        <w:tc>
          <w:tcPr>
            <w:tcW w:w="1194" w:type="pct"/>
            <w:tcBorders>
              <w:top w:val="single" w:sz="4" w:space="0" w:color="auto"/>
              <w:bottom w:val="single" w:sz="4" w:space="0" w:color="auto"/>
            </w:tcBorders>
            <w:vAlign w:val="center"/>
          </w:tcPr>
          <w:p w14:paraId="3F34D1AF" w14:textId="77777777" w:rsidR="007C19DE" w:rsidRPr="00EA7B3F" w:rsidRDefault="007C19DE" w:rsidP="003D2164">
            <w:pPr>
              <w:keepNext/>
              <w:jc w:val="center"/>
              <w:rPr>
                <w:rFonts w:ascii="Arial Narrow" w:hAnsi="Arial Narrow"/>
                <w:b/>
                <w:sz w:val="20"/>
              </w:rPr>
            </w:pPr>
            <w:r w:rsidRPr="00EA7B3F">
              <w:rPr>
                <w:rFonts w:ascii="Arial Narrow" w:hAnsi="Arial Narrow"/>
                <w:b/>
                <w:sz w:val="20"/>
              </w:rPr>
              <w:t>Proprietary Name and Manufacturer</w:t>
            </w:r>
          </w:p>
        </w:tc>
      </w:tr>
      <w:tr w:rsidR="007C19DE" w:rsidRPr="00EA7B3F" w14:paraId="4A4B7052" w14:textId="77777777" w:rsidTr="003D2164">
        <w:trPr>
          <w:cantSplit/>
          <w:trHeight w:val="567"/>
        </w:trPr>
        <w:tc>
          <w:tcPr>
            <w:tcW w:w="1884" w:type="pct"/>
            <w:vAlign w:val="center"/>
          </w:tcPr>
          <w:p w14:paraId="532D90F2" w14:textId="77777777" w:rsidR="007C19DE" w:rsidRPr="00EA7B3F" w:rsidRDefault="007C19DE" w:rsidP="003D2164">
            <w:pPr>
              <w:keepNext/>
              <w:jc w:val="left"/>
              <w:rPr>
                <w:rFonts w:ascii="Arial Narrow" w:hAnsi="Arial Narrow"/>
                <w:smallCaps/>
                <w:sz w:val="20"/>
              </w:rPr>
            </w:pPr>
            <w:r w:rsidRPr="00EA7B3F">
              <w:rPr>
                <w:rFonts w:ascii="Arial Narrow" w:hAnsi="Arial Narrow"/>
                <w:smallCaps/>
                <w:sz w:val="20"/>
              </w:rPr>
              <w:t>LANADELUMAB</w:t>
            </w:r>
          </w:p>
          <w:p w14:paraId="161E795F" w14:textId="77777777" w:rsidR="007C19DE" w:rsidRPr="00EA7B3F" w:rsidRDefault="001E0CA4" w:rsidP="003D2164">
            <w:pPr>
              <w:keepNext/>
              <w:jc w:val="left"/>
              <w:rPr>
                <w:rFonts w:ascii="Arial Narrow" w:hAnsi="Arial Narrow"/>
                <w:sz w:val="20"/>
              </w:rPr>
            </w:pPr>
            <w:r w:rsidRPr="00EA7B3F">
              <w:rPr>
                <w:rFonts w:ascii="Arial Narrow" w:hAnsi="Arial Narrow"/>
                <w:sz w:val="20"/>
              </w:rPr>
              <w:t>300 mg</w:t>
            </w:r>
            <w:r w:rsidR="007C19DE" w:rsidRPr="00EA7B3F">
              <w:rPr>
                <w:rFonts w:ascii="Arial Narrow" w:hAnsi="Arial Narrow"/>
                <w:sz w:val="20"/>
              </w:rPr>
              <w:t>/2 mL solution, pre-filled syringe</w:t>
            </w:r>
          </w:p>
        </w:tc>
        <w:tc>
          <w:tcPr>
            <w:tcW w:w="606" w:type="pct"/>
            <w:vAlign w:val="center"/>
          </w:tcPr>
          <w:p w14:paraId="2A22E2BE" w14:textId="77777777" w:rsidR="007C19DE" w:rsidRPr="00EA7B3F" w:rsidRDefault="007C19DE" w:rsidP="003D2164">
            <w:pPr>
              <w:keepNext/>
              <w:jc w:val="center"/>
              <w:rPr>
                <w:rFonts w:ascii="Arial Narrow" w:hAnsi="Arial Narrow"/>
                <w:sz w:val="20"/>
              </w:rPr>
            </w:pPr>
            <w:r w:rsidRPr="00EA7B3F">
              <w:rPr>
                <w:rFonts w:ascii="Arial Narrow" w:hAnsi="Arial Narrow"/>
                <w:sz w:val="20"/>
              </w:rPr>
              <w:t>2</w:t>
            </w:r>
          </w:p>
        </w:tc>
        <w:tc>
          <w:tcPr>
            <w:tcW w:w="471" w:type="pct"/>
            <w:vAlign w:val="center"/>
          </w:tcPr>
          <w:p w14:paraId="17615377" w14:textId="77777777" w:rsidR="007C19DE" w:rsidRPr="00EA7B3F" w:rsidRDefault="007C19DE" w:rsidP="003D2164">
            <w:pPr>
              <w:keepNext/>
              <w:jc w:val="center"/>
              <w:rPr>
                <w:rFonts w:ascii="Arial Narrow" w:hAnsi="Arial Narrow"/>
                <w:sz w:val="20"/>
              </w:rPr>
            </w:pPr>
            <w:r w:rsidRPr="00EA7B3F">
              <w:rPr>
                <w:rFonts w:ascii="Arial Narrow" w:hAnsi="Arial Narrow"/>
                <w:sz w:val="20"/>
              </w:rPr>
              <w:t>5</w:t>
            </w:r>
          </w:p>
        </w:tc>
        <w:tc>
          <w:tcPr>
            <w:tcW w:w="845" w:type="pct"/>
            <w:vAlign w:val="center"/>
          </w:tcPr>
          <w:p w14:paraId="0BCBB7CD" w14:textId="77777777" w:rsidR="007C19DE" w:rsidRPr="00EA7B3F" w:rsidRDefault="007C19DE" w:rsidP="003D2164">
            <w:pPr>
              <w:keepNext/>
              <w:jc w:val="center"/>
              <w:rPr>
                <w:rFonts w:ascii="Arial Narrow" w:hAnsi="Arial Narrow"/>
                <w:sz w:val="20"/>
              </w:rPr>
            </w:pPr>
            <w:r w:rsidRPr="00EA7B3F">
              <w:rPr>
                <w:rFonts w:ascii="Arial Narrow" w:hAnsi="Arial Narrow"/>
                <w:sz w:val="20"/>
              </w:rPr>
              <w:t>Published price $37,202.53</w:t>
            </w:r>
            <w:r w:rsidRPr="00EA7B3F">
              <w:rPr>
                <w:rFonts w:ascii="Arial Narrow" w:hAnsi="Arial Narrow"/>
                <w:sz w:val="20"/>
                <w:vertAlign w:val="superscript"/>
              </w:rPr>
              <w:t>b</w:t>
            </w:r>
            <w:r w:rsidRPr="00EA7B3F">
              <w:rPr>
                <w:rFonts w:ascii="Arial Narrow" w:hAnsi="Arial Narrow"/>
                <w:b/>
                <w:sz w:val="20"/>
              </w:rPr>
              <w:br/>
            </w:r>
            <w:r w:rsidRPr="00EA7B3F">
              <w:rPr>
                <w:rFonts w:ascii="Arial Narrow" w:hAnsi="Arial Narrow"/>
                <w:i/>
                <w:sz w:val="20"/>
              </w:rPr>
              <w:t>($37,041.36)</w:t>
            </w:r>
          </w:p>
          <w:p w14:paraId="2156F676" w14:textId="77777777" w:rsidR="007C19DE" w:rsidRPr="00EA7B3F" w:rsidRDefault="007C19DE" w:rsidP="003D2164">
            <w:pPr>
              <w:keepNext/>
              <w:jc w:val="center"/>
              <w:rPr>
                <w:rFonts w:ascii="Arial Narrow" w:hAnsi="Arial Narrow"/>
                <w:sz w:val="20"/>
              </w:rPr>
            </w:pPr>
            <w:r w:rsidRPr="00EA7B3F">
              <w:rPr>
                <w:rFonts w:ascii="Arial Narrow" w:hAnsi="Arial Narrow"/>
                <w:sz w:val="20"/>
              </w:rPr>
              <w:t>Effective price $</w:t>
            </w:r>
            <w:r w:rsidR="006F5B4F">
              <w:rPr>
                <w:rFonts w:ascii="Arial Narrow" w:hAnsi="Arial Narrow"/>
                <w:noProof/>
                <w:color w:val="000000"/>
                <w:sz w:val="20"/>
                <w:highlight w:val="black"/>
              </w:rPr>
              <w:t>''''''''''''''''''''''</w:t>
            </w:r>
            <w:r w:rsidRPr="00EA7B3F">
              <w:rPr>
                <w:rFonts w:ascii="Arial Narrow" w:hAnsi="Arial Narrow"/>
                <w:sz w:val="20"/>
                <w:vertAlign w:val="superscript"/>
              </w:rPr>
              <w:t>b</w:t>
            </w:r>
            <w:r w:rsidR="00914D53" w:rsidRPr="00EA7B3F">
              <w:rPr>
                <w:rFonts w:ascii="Arial Narrow" w:hAnsi="Arial Narrow"/>
                <w:sz w:val="20"/>
              </w:rPr>
              <w:br/>
            </w:r>
            <w:r w:rsidRPr="00EA7B3F">
              <w:rPr>
                <w:rFonts w:ascii="Arial Narrow" w:hAnsi="Arial Narrow"/>
                <w:i/>
                <w:sz w:val="20"/>
              </w:rPr>
              <w:t>($</w:t>
            </w:r>
            <w:r w:rsidR="006F5B4F">
              <w:rPr>
                <w:rFonts w:ascii="Arial Narrow" w:hAnsi="Arial Narrow"/>
                <w:i/>
                <w:noProof/>
                <w:color w:val="000000"/>
                <w:sz w:val="20"/>
                <w:highlight w:val="black"/>
              </w:rPr>
              <w:t>'''''''''''''''''''''''</w:t>
            </w:r>
            <w:r w:rsidRPr="00EA7B3F">
              <w:rPr>
                <w:rFonts w:ascii="Arial Narrow" w:hAnsi="Arial Narrow"/>
                <w:i/>
                <w:sz w:val="20"/>
              </w:rPr>
              <w:t>)</w:t>
            </w:r>
          </w:p>
        </w:tc>
        <w:tc>
          <w:tcPr>
            <w:tcW w:w="1194" w:type="pct"/>
            <w:vAlign w:val="center"/>
          </w:tcPr>
          <w:p w14:paraId="2039CF2E" w14:textId="77777777" w:rsidR="007C19DE" w:rsidRPr="00EA7B3F" w:rsidRDefault="007C19DE" w:rsidP="003D2164">
            <w:pPr>
              <w:keepNext/>
              <w:jc w:val="center"/>
              <w:rPr>
                <w:rFonts w:ascii="Arial Narrow" w:hAnsi="Arial Narrow"/>
                <w:sz w:val="20"/>
              </w:rPr>
            </w:pPr>
            <w:r w:rsidRPr="00EA7B3F">
              <w:rPr>
                <w:rFonts w:ascii="Arial Narrow" w:hAnsi="Arial Narrow"/>
                <w:sz w:val="20"/>
              </w:rPr>
              <w:t>Takhzyro</w:t>
            </w:r>
            <w:r w:rsidRPr="00EA7B3F">
              <w:rPr>
                <w:rFonts w:ascii="Arial Narrow" w:hAnsi="Arial Narrow"/>
                <w:sz w:val="20"/>
                <w:vertAlign w:val="superscript"/>
              </w:rPr>
              <w:t>®</w:t>
            </w:r>
            <w:r w:rsidRPr="00EA7B3F">
              <w:rPr>
                <w:rFonts w:ascii="Arial Narrow" w:hAnsi="Arial Narrow"/>
                <w:sz w:val="20"/>
              </w:rPr>
              <w:t>,</w:t>
            </w:r>
          </w:p>
          <w:p w14:paraId="64CDE808" w14:textId="77777777" w:rsidR="007C19DE" w:rsidRPr="00EA7B3F" w:rsidRDefault="007C19DE" w:rsidP="003D2164">
            <w:pPr>
              <w:keepNext/>
              <w:jc w:val="center"/>
              <w:rPr>
                <w:rFonts w:ascii="Arial Narrow" w:hAnsi="Arial Narrow"/>
                <w:sz w:val="20"/>
              </w:rPr>
            </w:pPr>
            <w:r w:rsidRPr="00EA7B3F">
              <w:rPr>
                <w:rFonts w:ascii="Arial Narrow" w:hAnsi="Arial Narrow"/>
                <w:sz w:val="20"/>
              </w:rPr>
              <w:t>Takeda Australia Pty Ltd</w:t>
            </w:r>
          </w:p>
        </w:tc>
      </w:tr>
    </w:tbl>
    <w:p w14:paraId="4B20C577" w14:textId="77777777" w:rsidR="00D82B00" w:rsidRPr="00EA7B3F" w:rsidRDefault="00D82B00" w:rsidP="007C19DE">
      <w:pPr>
        <w:pStyle w:val="TableFigureFooter"/>
      </w:pPr>
    </w:p>
    <w:p w14:paraId="4344519A" w14:textId="4C1749D9" w:rsidR="007C19DE" w:rsidRPr="00EA7B3F" w:rsidRDefault="007C19DE" w:rsidP="007C19DE">
      <w:pPr>
        <w:pStyle w:val="TableFigureFooter"/>
      </w:pPr>
      <w:r w:rsidRPr="00EA7B3F">
        <w:t>Source: Table 2</w:t>
      </w:r>
      <w:r w:rsidR="005460AC">
        <w:t xml:space="preserve"> </w:t>
      </w:r>
      <w:r w:rsidRPr="00EA7B3F">
        <w:t>of the resubmission.</w:t>
      </w:r>
    </w:p>
    <w:p w14:paraId="2EFB65F3" w14:textId="77777777" w:rsidR="007C19DE" w:rsidRPr="00EA7B3F" w:rsidRDefault="007C19DE" w:rsidP="007C19DE">
      <w:pPr>
        <w:pStyle w:val="TableFigureFooter"/>
      </w:pPr>
      <w:r w:rsidRPr="00EA7B3F">
        <w:rPr>
          <w:vertAlign w:val="superscript"/>
        </w:rPr>
        <w:t>a</w:t>
      </w:r>
      <w:r w:rsidRPr="00EA7B3F">
        <w:t xml:space="preserve"> Published </w:t>
      </w:r>
      <w:r w:rsidR="001A40C2" w:rsidRPr="00EA7B3F">
        <w:t>AEMP</w:t>
      </w:r>
      <w:r w:rsidRPr="00EA7B3F">
        <w:t xml:space="preserve">: $18,440.10 for 1 x 300 mg syringe; effective </w:t>
      </w:r>
      <w:r w:rsidR="001A40C2" w:rsidRPr="00EA7B3F">
        <w:t>A</w:t>
      </w:r>
      <w:r w:rsidRPr="00EA7B3F">
        <w:t>EMP: $</w:t>
      </w:r>
      <w:r w:rsidR="006F5B4F">
        <w:rPr>
          <w:noProof/>
          <w:color w:val="000000"/>
          <w:highlight w:val="black"/>
        </w:rPr>
        <w:t>''''''''''''''''''''''''''</w:t>
      </w:r>
      <w:r w:rsidRPr="00EA7B3F">
        <w:t xml:space="preserve"> for 1 x 300 mg syringe.</w:t>
      </w:r>
    </w:p>
    <w:p w14:paraId="7D82EF6B" w14:textId="77777777" w:rsidR="007C19DE" w:rsidRPr="00EA7B3F" w:rsidRDefault="007C19DE" w:rsidP="007C19DE">
      <w:pPr>
        <w:pStyle w:val="TableFigureFooter"/>
      </w:pPr>
      <w:r w:rsidRPr="00EA7B3F">
        <w:rPr>
          <w:vertAlign w:val="superscript"/>
        </w:rPr>
        <w:t>b</w:t>
      </w:r>
      <w:r w:rsidRPr="00EA7B3F">
        <w:t xml:space="preserve"> In calculating the dispensed price for maximum quantity (2 syringes), the resubmission appears to have doubled the dispensed price for one syringe, rather than adding the mark-ups and fees ($161.16) to the EMP for 2 syringes. The corrected dispensed price for maximum quantity is provided in italics.</w:t>
      </w:r>
    </w:p>
    <w:p w14:paraId="2327DB67" w14:textId="77777777" w:rsidR="00D82B00" w:rsidRPr="00EA7B3F" w:rsidRDefault="00D82B00" w:rsidP="007C19DE">
      <w:pPr>
        <w:pStyle w:val="TableFigureFooter"/>
        <w:rPr>
          <w:i/>
        </w:rPr>
      </w:pPr>
    </w:p>
    <w:tbl>
      <w:tblPr>
        <w:tblW w:w="5000" w:type="pct"/>
        <w:tblLook w:val="0000" w:firstRow="0" w:lastRow="0" w:firstColumn="0" w:lastColumn="0" w:noHBand="0" w:noVBand="0"/>
      </w:tblPr>
      <w:tblGrid>
        <w:gridCol w:w="1838"/>
        <w:gridCol w:w="7179"/>
      </w:tblGrid>
      <w:tr w:rsidR="007C19DE" w:rsidRPr="00EA7B3F" w14:paraId="306A61EE"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4B18B7E3" w14:textId="77777777" w:rsidR="007C19DE" w:rsidRPr="00EA7B3F" w:rsidRDefault="007C19DE" w:rsidP="0048201F">
            <w:pPr>
              <w:pStyle w:val="TableText0"/>
              <w:keepLines/>
              <w:rPr>
                <w:b/>
              </w:rPr>
            </w:pPr>
            <w:r w:rsidRPr="00EA7B3F">
              <w:rPr>
                <w:b/>
              </w:rPr>
              <w:t>Category / Program:</w:t>
            </w:r>
          </w:p>
        </w:tc>
        <w:tc>
          <w:tcPr>
            <w:tcW w:w="3981" w:type="pct"/>
            <w:tcBorders>
              <w:top w:val="single" w:sz="4" w:space="0" w:color="auto"/>
              <w:left w:val="single" w:sz="4" w:space="0" w:color="auto"/>
              <w:bottom w:val="single" w:sz="4" w:space="0" w:color="auto"/>
              <w:right w:val="single" w:sz="4" w:space="0" w:color="auto"/>
            </w:tcBorders>
          </w:tcPr>
          <w:p w14:paraId="0E536585" w14:textId="77777777" w:rsidR="007C19DE" w:rsidRPr="00EA7B3F" w:rsidRDefault="007C19DE" w:rsidP="0048201F">
            <w:pPr>
              <w:pStyle w:val="TableText0"/>
              <w:keepLines/>
            </w:pPr>
            <w:r w:rsidRPr="00EA7B3F">
              <w:t>GENERAL – General Schedule (S85) (Code GE)</w:t>
            </w:r>
          </w:p>
        </w:tc>
      </w:tr>
      <w:tr w:rsidR="007C19DE" w:rsidRPr="00EA7B3F" w14:paraId="3477BA9A"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7C3BAD4A" w14:textId="77777777" w:rsidR="007C19DE" w:rsidRPr="00EA7B3F" w:rsidRDefault="007C19DE" w:rsidP="0048201F">
            <w:pPr>
              <w:pStyle w:val="TableText0"/>
              <w:keepLines/>
              <w:rPr>
                <w:b/>
              </w:rPr>
            </w:pPr>
            <w:r w:rsidRPr="00EA7B3F">
              <w:rPr>
                <w:b/>
              </w:rPr>
              <w:t>PBS Indication:</w:t>
            </w:r>
          </w:p>
        </w:tc>
        <w:tc>
          <w:tcPr>
            <w:tcW w:w="3981" w:type="pct"/>
            <w:tcBorders>
              <w:top w:val="single" w:sz="4" w:space="0" w:color="auto"/>
              <w:left w:val="single" w:sz="4" w:space="0" w:color="auto"/>
              <w:bottom w:val="single" w:sz="4" w:space="0" w:color="auto"/>
              <w:right w:val="single" w:sz="4" w:space="0" w:color="auto"/>
            </w:tcBorders>
          </w:tcPr>
          <w:p w14:paraId="1873FB2D" w14:textId="77777777" w:rsidR="007C19DE" w:rsidRPr="00EA7B3F" w:rsidRDefault="007C19DE" w:rsidP="0048201F">
            <w:pPr>
              <w:pStyle w:val="TableText0"/>
              <w:keepLines/>
            </w:pPr>
            <w:r w:rsidRPr="00EA7B3F">
              <w:t>Hereditary angioedema Type 1 or 2</w:t>
            </w:r>
          </w:p>
        </w:tc>
      </w:tr>
      <w:tr w:rsidR="007C19DE" w:rsidRPr="00EA7B3F" w14:paraId="329CFD8D"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703E63D5" w14:textId="77777777" w:rsidR="007C19DE" w:rsidRPr="00EA7B3F" w:rsidRDefault="007C19DE" w:rsidP="003D2164">
            <w:pPr>
              <w:pStyle w:val="TableText0"/>
              <w:keepNext w:val="0"/>
              <w:rPr>
                <w:b/>
              </w:rPr>
            </w:pPr>
            <w:r w:rsidRPr="00EA7B3F">
              <w:rPr>
                <w:b/>
              </w:rPr>
              <w:t>Treatment phase:</w:t>
            </w:r>
          </w:p>
        </w:tc>
        <w:tc>
          <w:tcPr>
            <w:tcW w:w="3981" w:type="pct"/>
            <w:tcBorders>
              <w:top w:val="single" w:sz="4" w:space="0" w:color="auto"/>
              <w:left w:val="single" w:sz="4" w:space="0" w:color="auto"/>
              <w:bottom w:val="single" w:sz="4" w:space="0" w:color="auto"/>
              <w:right w:val="single" w:sz="4" w:space="0" w:color="auto"/>
            </w:tcBorders>
          </w:tcPr>
          <w:p w14:paraId="2488E3EF" w14:textId="77777777" w:rsidR="007C19DE" w:rsidRPr="00EA7B3F" w:rsidRDefault="007C19DE" w:rsidP="003D2164">
            <w:pPr>
              <w:pStyle w:val="TableText0"/>
              <w:keepNext w:val="0"/>
            </w:pPr>
            <w:r w:rsidRPr="00EA7B3F">
              <w:t>Initial 1: New patient (no prior use of National Blood Authority-funded C1-INH)</w:t>
            </w:r>
          </w:p>
        </w:tc>
      </w:tr>
      <w:tr w:rsidR="007C19DE" w:rsidRPr="00EA7B3F" w14:paraId="16FAB231"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4BB7C6C4" w14:textId="77777777" w:rsidR="007C19DE" w:rsidRPr="00EA7B3F" w:rsidRDefault="007C19DE" w:rsidP="003D2164">
            <w:pPr>
              <w:pStyle w:val="TableText0"/>
              <w:keepNext w:val="0"/>
              <w:rPr>
                <w:i/>
              </w:rPr>
            </w:pPr>
            <w:r w:rsidRPr="00EA7B3F">
              <w:rPr>
                <w:b/>
              </w:rPr>
              <w:t>Restriction:</w:t>
            </w:r>
          </w:p>
        </w:tc>
        <w:tc>
          <w:tcPr>
            <w:tcW w:w="3981" w:type="pct"/>
            <w:tcBorders>
              <w:top w:val="single" w:sz="4" w:space="0" w:color="auto"/>
              <w:left w:val="single" w:sz="4" w:space="0" w:color="auto"/>
              <w:bottom w:val="single" w:sz="4" w:space="0" w:color="auto"/>
              <w:right w:val="single" w:sz="4" w:space="0" w:color="auto"/>
            </w:tcBorders>
          </w:tcPr>
          <w:p w14:paraId="64511E0D" w14:textId="77777777" w:rsidR="007C19DE" w:rsidRPr="00EA7B3F" w:rsidRDefault="007C19DE" w:rsidP="002E43B0">
            <w:pPr>
              <w:pStyle w:val="TableText0"/>
              <w:keepNext w:val="0"/>
            </w:pPr>
            <w:r w:rsidRPr="00EA7B3F">
              <w:fldChar w:fldCharType="begin">
                <w:ffData>
                  <w:name w:val="Check3"/>
                  <w:enabled/>
                  <w:calcOnExit w:val="0"/>
                  <w:checkBox>
                    <w:sizeAuto/>
                    <w:default w:val="1"/>
                  </w:checkBox>
                </w:ffData>
              </w:fldChar>
            </w:r>
            <w:r w:rsidRPr="00EA7B3F">
              <w:instrText xml:space="preserve"> FORMCHECKBOX </w:instrText>
            </w:r>
            <w:r w:rsidR="00024A2B">
              <w:fldChar w:fldCharType="separate"/>
            </w:r>
            <w:r w:rsidRPr="00EA7B3F">
              <w:fldChar w:fldCharType="end"/>
            </w:r>
            <w:r w:rsidRPr="00EA7B3F">
              <w:t xml:space="preserve">Authority Required – immediate/real time assessment by Services Australia </w:t>
            </w:r>
            <w:r w:rsidR="002E43B0" w:rsidRPr="00EA7B3F">
              <w:t>(</w:t>
            </w:r>
            <w:r w:rsidRPr="00EA7B3F">
              <w:t>telephone/online)</w:t>
            </w:r>
          </w:p>
        </w:tc>
      </w:tr>
      <w:tr w:rsidR="007C19DE" w:rsidRPr="00EA7B3F" w14:paraId="00C5A767"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2A92B0A2" w14:textId="77777777" w:rsidR="007C19DE" w:rsidRPr="00EA7B3F" w:rsidRDefault="007C19DE" w:rsidP="003D2164">
            <w:pPr>
              <w:pStyle w:val="TableText0"/>
              <w:keepNext w:val="0"/>
              <w:rPr>
                <w:b/>
              </w:rPr>
            </w:pPr>
            <w:r w:rsidRPr="00EA7B3F">
              <w:rPr>
                <w:b/>
              </w:rPr>
              <w:t>Treatment criteria:</w:t>
            </w:r>
          </w:p>
        </w:tc>
        <w:tc>
          <w:tcPr>
            <w:tcW w:w="3981" w:type="pct"/>
            <w:tcBorders>
              <w:top w:val="single" w:sz="4" w:space="0" w:color="auto"/>
              <w:left w:val="single" w:sz="4" w:space="0" w:color="auto"/>
              <w:bottom w:val="single" w:sz="4" w:space="0" w:color="auto"/>
              <w:right w:val="single" w:sz="4" w:space="0" w:color="auto"/>
            </w:tcBorders>
          </w:tcPr>
          <w:p w14:paraId="588EFE7B" w14:textId="77777777" w:rsidR="007C19DE" w:rsidRPr="00EA7B3F" w:rsidRDefault="007C19DE" w:rsidP="003D2164">
            <w:pPr>
              <w:pStyle w:val="TableText0"/>
              <w:keepNext w:val="0"/>
            </w:pPr>
            <w:r w:rsidRPr="00EA7B3F">
              <w:t>Must be treated by at least one of a: clinical immunologist / specialist allergist.</w:t>
            </w:r>
          </w:p>
        </w:tc>
      </w:tr>
      <w:tr w:rsidR="007C19DE" w:rsidRPr="00EA7B3F" w14:paraId="7C04AED0"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39B3D16B" w14:textId="77777777" w:rsidR="007C19DE" w:rsidRPr="00EA7B3F" w:rsidRDefault="007C19DE" w:rsidP="003D2164">
            <w:pPr>
              <w:pStyle w:val="TableText0"/>
              <w:keepNext w:val="0"/>
              <w:rPr>
                <w:b/>
              </w:rPr>
            </w:pPr>
            <w:r w:rsidRPr="00EA7B3F">
              <w:rPr>
                <w:b/>
              </w:rPr>
              <w:t>Clinical criteria:</w:t>
            </w:r>
          </w:p>
        </w:tc>
        <w:tc>
          <w:tcPr>
            <w:tcW w:w="3981" w:type="pct"/>
            <w:tcBorders>
              <w:top w:val="single" w:sz="4" w:space="0" w:color="auto"/>
              <w:left w:val="single" w:sz="4" w:space="0" w:color="auto"/>
              <w:bottom w:val="single" w:sz="4" w:space="0" w:color="auto"/>
              <w:right w:val="single" w:sz="4" w:space="0" w:color="auto"/>
            </w:tcBorders>
          </w:tcPr>
          <w:p w14:paraId="4275B5C9" w14:textId="77777777" w:rsidR="007C19DE" w:rsidRPr="00EA7B3F" w:rsidRDefault="007C19DE" w:rsidP="003D2164">
            <w:pPr>
              <w:pStyle w:val="TableText0"/>
              <w:keepNext w:val="0"/>
              <w:rPr>
                <w:rFonts w:cs="Arial"/>
              </w:rPr>
            </w:pPr>
            <w:r w:rsidRPr="00EA7B3F">
              <w:rPr>
                <w:rFonts w:cs="Arial"/>
              </w:rPr>
              <w:t>Patient must have experienced at least 12 treated acute attacks of hereditary angioedema within the 6 months prior to commencing treatment with this drug, AND</w:t>
            </w:r>
          </w:p>
          <w:p w14:paraId="38CBC300" w14:textId="77777777" w:rsidR="007C19DE" w:rsidRPr="00EA7B3F" w:rsidRDefault="007C19DE" w:rsidP="003D2164">
            <w:pPr>
              <w:pStyle w:val="TableText0"/>
              <w:keepNext w:val="0"/>
              <w:rPr>
                <w:rFonts w:cs="Arial"/>
              </w:rPr>
            </w:pPr>
            <w:r w:rsidRPr="00EA7B3F">
              <w:rPr>
                <w:rFonts w:cs="Arial"/>
              </w:rPr>
              <w:t>The treatment must not be PBS-subsidised in combination with a C1-esterase inhibitor concentrate.</w:t>
            </w:r>
          </w:p>
        </w:tc>
      </w:tr>
      <w:tr w:rsidR="007C19DE" w:rsidRPr="00EA7B3F" w14:paraId="2CFEE228"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5AB35D45" w14:textId="77777777" w:rsidR="007C19DE" w:rsidRPr="00EA7B3F" w:rsidRDefault="007C19DE" w:rsidP="003D2164">
            <w:pPr>
              <w:pStyle w:val="TableText0"/>
              <w:keepNext w:val="0"/>
              <w:rPr>
                <w:b/>
              </w:rPr>
            </w:pPr>
            <w:r w:rsidRPr="00EA7B3F">
              <w:rPr>
                <w:b/>
              </w:rPr>
              <w:t>Prescriber Instructions:</w:t>
            </w:r>
          </w:p>
        </w:tc>
        <w:tc>
          <w:tcPr>
            <w:tcW w:w="3981" w:type="pct"/>
            <w:tcBorders>
              <w:top w:val="single" w:sz="4" w:space="0" w:color="auto"/>
              <w:left w:val="single" w:sz="4" w:space="0" w:color="auto"/>
              <w:bottom w:val="single" w:sz="4" w:space="0" w:color="auto"/>
              <w:right w:val="single" w:sz="4" w:space="0" w:color="auto"/>
            </w:tcBorders>
          </w:tcPr>
          <w:p w14:paraId="2E0DF5B6" w14:textId="77777777" w:rsidR="007C19DE" w:rsidRPr="00EA7B3F" w:rsidRDefault="007C19DE" w:rsidP="003D2164">
            <w:pPr>
              <w:pStyle w:val="TableText0"/>
              <w:keepNext w:val="0"/>
            </w:pPr>
            <w:r w:rsidRPr="00EA7B3F">
              <w:t>For the purposes of administering this restriction, acute attacks of hereditary angioedema are those of a severity necessitating immediate medical intervention.</w:t>
            </w:r>
          </w:p>
          <w:p w14:paraId="68981231" w14:textId="77777777" w:rsidR="007C19DE" w:rsidRPr="00EA7B3F" w:rsidRDefault="007C19DE" w:rsidP="003D2164">
            <w:pPr>
              <w:pStyle w:val="TableText0"/>
              <w:keepNext w:val="0"/>
            </w:pPr>
            <w:r w:rsidRPr="00EA7B3F">
              <w:t>The baseline number of treated attacks of hereditary angioedema within the 6 months prior to initiating treatment must be documented in the patient’s medical records for auditing purposes.</w:t>
            </w:r>
          </w:p>
        </w:tc>
      </w:tr>
    </w:tbl>
    <w:p w14:paraId="4936D1C7" w14:textId="77777777" w:rsidR="007C19DE" w:rsidRPr="00EA7B3F" w:rsidRDefault="007C19DE" w:rsidP="007C19DE"/>
    <w:tbl>
      <w:tblPr>
        <w:tblW w:w="5000" w:type="pct"/>
        <w:tblLook w:val="0000" w:firstRow="0" w:lastRow="0" w:firstColumn="0" w:lastColumn="0" w:noHBand="0" w:noVBand="0"/>
      </w:tblPr>
      <w:tblGrid>
        <w:gridCol w:w="1838"/>
        <w:gridCol w:w="7179"/>
      </w:tblGrid>
      <w:tr w:rsidR="007C19DE" w:rsidRPr="00EA7B3F" w14:paraId="4F3AE740"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571A9070" w14:textId="77777777" w:rsidR="007C19DE" w:rsidRPr="00EA7B3F" w:rsidRDefault="007C19DE" w:rsidP="003D2164">
            <w:pPr>
              <w:pStyle w:val="TableText0"/>
              <w:keepNext w:val="0"/>
              <w:rPr>
                <w:b/>
              </w:rPr>
            </w:pPr>
            <w:r w:rsidRPr="00EA7B3F">
              <w:rPr>
                <w:b/>
              </w:rPr>
              <w:t>Category / Program:</w:t>
            </w:r>
          </w:p>
        </w:tc>
        <w:tc>
          <w:tcPr>
            <w:tcW w:w="3981" w:type="pct"/>
            <w:tcBorders>
              <w:top w:val="single" w:sz="4" w:space="0" w:color="auto"/>
              <w:left w:val="single" w:sz="4" w:space="0" w:color="auto"/>
              <w:bottom w:val="single" w:sz="4" w:space="0" w:color="auto"/>
              <w:right w:val="single" w:sz="4" w:space="0" w:color="auto"/>
            </w:tcBorders>
          </w:tcPr>
          <w:p w14:paraId="31240E07" w14:textId="77777777" w:rsidR="007C19DE" w:rsidRPr="00EA7B3F" w:rsidRDefault="007C19DE" w:rsidP="003D2164">
            <w:pPr>
              <w:pStyle w:val="TableText0"/>
              <w:keepNext w:val="0"/>
            </w:pPr>
            <w:r w:rsidRPr="00EA7B3F">
              <w:t>GENERAL – General Schedule (S85) (Code GE)</w:t>
            </w:r>
          </w:p>
        </w:tc>
      </w:tr>
      <w:tr w:rsidR="007C19DE" w:rsidRPr="00EA7B3F" w14:paraId="72366055"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21C671BF" w14:textId="77777777" w:rsidR="007C19DE" w:rsidRPr="00EA7B3F" w:rsidRDefault="007C19DE" w:rsidP="003D2164">
            <w:pPr>
              <w:pStyle w:val="TableText0"/>
              <w:keepNext w:val="0"/>
              <w:rPr>
                <w:b/>
              </w:rPr>
            </w:pPr>
            <w:r w:rsidRPr="00EA7B3F">
              <w:rPr>
                <w:b/>
              </w:rPr>
              <w:t>PBS Indication:</w:t>
            </w:r>
          </w:p>
        </w:tc>
        <w:tc>
          <w:tcPr>
            <w:tcW w:w="3981" w:type="pct"/>
            <w:tcBorders>
              <w:top w:val="single" w:sz="4" w:space="0" w:color="auto"/>
              <w:left w:val="single" w:sz="4" w:space="0" w:color="auto"/>
              <w:bottom w:val="single" w:sz="4" w:space="0" w:color="auto"/>
              <w:right w:val="single" w:sz="4" w:space="0" w:color="auto"/>
            </w:tcBorders>
          </w:tcPr>
          <w:p w14:paraId="55066AA7" w14:textId="77777777" w:rsidR="007C19DE" w:rsidRPr="00EA7B3F" w:rsidRDefault="007C19DE" w:rsidP="003D2164">
            <w:pPr>
              <w:pStyle w:val="TableText0"/>
              <w:keepNext w:val="0"/>
            </w:pPr>
            <w:r w:rsidRPr="00EA7B3F">
              <w:t>Hereditary angioedema Type 1 or 2</w:t>
            </w:r>
          </w:p>
        </w:tc>
      </w:tr>
      <w:tr w:rsidR="007C19DE" w:rsidRPr="00EA7B3F" w14:paraId="77B68220"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2B1A8AA7" w14:textId="77777777" w:rsidR="007C19DE" w:rsidRPr="00EA7B3F" w:rsidRDefault="007C19DE" w:rsidP="003D2164">
            <w:pPr>
              <w:pStyle w:val="TableText0"/>
              <w:keepNext w:val="0"/>
              <w:rPr>
                <w:b/>
              </w:rPr>
            </w:pPr>
            <w:r w:rsidRPr="00EA7B3F">
              <w:rPr>
                <w:b/>
              </w:rPr>
              <w:t>Treatment phase:</w:t>
            </w:r>
          </w:p>
        </w:tc>
        <w:tc>
          <w:tcPr>
            <w:tcW w:w="3981" w:type="pct"/>
            <w:tcBorders>
              <w:top w:val="single" w:sz="4" w:space="0" w:color="auto"/>
              <w:left w:val="single" w:sz="4" w:space="0" w:color="auto"/>
              <w:bottom w:val="single" w:sz="4" w:space="0" w:color="auto"/>
              <w:right w:val="single" w:sz="4" w:space="0" w:color="auto"/>
            </w:tcBorders>
          </w:tcPr>
          <w:p w14:paraId="3445E031" w14:textId="77777777" w:rsidR="007C19DE" w:rsidRPr="00EA7B3F" w:rsidRDefault="007C19DE" w:rsidP="003D2164">
            <w:pPr>
              <w:pStyle w:val="TableText0"/>
              <w:keepNext w:val="0"/>
            </w:pPr>
            <w:r w:rsidRPr="00EA7B3F">
              <w:t>Initial 2: New patient (prior use of National Blood Authority-funded C1-INH)</w:t>
            </w:r>
          </w:p>
        </w:tc>
      </w:tr>
      <w:tr w:rsidR="007C19DE" w:rsidRPr="00EA7B3F" w14:paraId="5E0039B3"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2FAB0D06" w14:textId="77777777" w:rsidR="007C19DE" w:rsidRPr="00EA7B3F" w:rsidRDefault="007C19DE" w:rsidP="003D2164">
            <w:pPr>
              <w:pStyle w:val="TableText0"/>
              <w:keepNext w:val="0"/>
              <w:rPr>
                <w:i/>
              </w:rPr>
            </w:pPr>
            <w:r w:rsidRPr="00EA7B3F">
              <w:rPr>
                <w:b/>
              </w:rPr>
              <w:t>Restriction:</w:t>
            </w:r>
          </w:p>
        </w:tc>
        <w:tc>
          <w:tcPr>
            <w:tcW w:w="3981" w:type="pct"/>
            <w:tcBorders>
              <w:top w:val="single" w:sz="4" w:space="0" w:color="auto"/>
              <w:left w:val="single" w:sz="4" w:space="0" w:color="auto"/>
              <w:bottom w:val="single" w:sz="4" w:space="0" w:color="auto"/>
              <w:right w:val="single" w:sz="4" w:space="0" w:color="auto"/>
            </w:tcBorders>
          </w:tcPr>
          <w:p w14:paraId="501F5B59" w14:textId="77777777" w:rsidR="007C19DE" w:rsidRPr="00EA7B3F" w:rsidRDefault="007C19DE" w:rsidP="003D2164">
            <w:pPr>
              <w:pStyle w:val="TableText0"/>
              <w:keepNext w:val="0"/>
            </w:pPr>
            <w:r w:rsidRPr="00EA7B3F">
              <w:fldChar w:fldCharType="begin">
                <w:ffData>
                  <w:name w:val="Check3"/>
                  <w:enabled/>
                  <w:calcOnExit w:val="0"/>
                  <w:checkBox>
                    <w:sizeAuto/>
                    <w:default w:val="1"/>
                  </w:checkBox>
                </w:ffData>
              </w:fldChar>
            </w:r>
            <w:r w:rsidRPr="00EA7B3F">
              <w:instrText xml:space="preserve"> FORMCHECKBOX </w:instrText>
            </w:r>
            <w:r w:rsidR="00024A2B">
              <w:fldChar w:fldCharType="separate"/>
            </w:r>
            <w:r w:rsidRPr="00EA7B3F">
              <w:fldChar w:fldCharType="end"/>
            </w:r>
            <w:r w:rsidRPr="00EA7B3F">
              <w:t>Authority Required – immediate/real time assessment by Services Australia (telephone/online)</w:t>
            </w:r>
          </w:p>
        </w:tc>
      </w:tr>
      <w:tr w:rsidR="007C19DE" w:rsidRPr="00EA7B3F" w14:paraId="0E09F8A9"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49B27619" w14:textId="77777777" w:rsidR="007C19DE" w:rsidRPr="00EA7B3F" w:rsidRDefault="007C19DE" w:rsidP="003D2164">
            <w:pPr>
              <w:pStyle w:val="TableText0"/>
              <w:keepNext w:val="0"/>
              <w:rPr>
                <w:b/>
              </w:rPr>
            </w:pPr>
            <w:r w:rsidRPr="00EA7B3F">
              <w:rPr>
                <w:b/>
              </w:rPr>
              <w:t>Treatment criteria:</w:t>
            </w:r>
          </w:p>
        </w:tc>
        <w:tc>
          <w:tcPr>
            <w:tcW w:w="3981" w:type="pct"/>
            <w:tcBorders>
              <w:top w:val="single" w:sz="4" w:space="0" w:color="auto"/>
              <w:left w:val="single" w:sz="4" w:space="0" w:color="auto"/>
              <w:bottom w:val="single" w:sz="4" w:space="0" w:color="auto"/>
              <w:right w:val="single" w:sz="4" w:space="0" w:color="auto"/>
            </w:tcBorders>
          </w:tcPr>
          <w:p w14:paraId="5E697067" w14:textId="77777777" w:rsidR="007C19DE" w:rsidRPr="00EA7B3F" w:rsidRDefault="007C19DE" w:rsidP="003D2164">
            <w:pPr>
              <w:pStyle w:val="TableText0"/>
              <w:keepNext w:val="0"/>
            </w:pPr>
            <w:r w:rsidRPr="00EA7B3F">
              <w:t>Must be treated by a specialist allergist or clinical immunologist, or in consultation with a specialist allergist or clinical immunologist.</w:t>
            </w:r>
          </w:p>
        </w:tc>
      </w:tr>
      <w:tr w:rsidR="007C19DE" w:rsidRPr="00EA7B3F" w14:paraId="5DFBA0A1"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2F952BAF" w14:textId="77777777" w:rsidR="007C19DE" w:rsidRPr="00EA7B3F" w:rsidRDefault="007C19DE" w:rsidP="003D2164">
            <w:pPr>
              <w:pStyle w:val="TableText0"/>
              <w:keepNext w:val="0"/>
              <w:rPr>
                <w:b/>
              </w:rPr>
            </w:pPr>
            <w:r w:rsidRPr="00EA7B3F">
              <w:rPr>
                <w:b/>
              </w:rPr>
              <w:t>Clinical criteria:</w:t>
            </w:r>
          </w:p>
        </w:tc>
        <w:tc>
          <w:tcPr>
            <w:tcW w:w="3981" w:type="pct"/>
            <w:tcBorders>
              <w:top w:val="single" w:sz="4" w:space="0" w:color="auto"/>
              <w:left w:val="single" w:sz="4" w:space="0" w:color="auto"/>
              <w:bottom w:val="single" w:sz="4" w:space="0" w:color="auto"/>
              <w:right w:val="single" w:sz="4" w:space="0" w:color="auto"/>
            </w:tcBorders>
          </w:tcPr>
          <w:p w14:paraId="08B9AC93" w14:textId="77777777" w:rsidR="007C19DE" w:rsidRPr="00EA7B3F" w:rsidRDefault="007C19DE" w:rsidP="003D2164">
            <w:pPr>
              <w:pStyle w:val="TableText0"/>
              <w:keepNext w:val="0"/>
              <w:rPr>
                <w:rFonts w:cs="Arial"/>
              </w:rPr>
            </w:pPr>
            <w:r w:rsidRPr="00EA7B3F">
              <w:rPr>
                <w:rFonts w:cs="Arial"/>
              </w:rPr>
              <w:t>Patient must be currently receiving C1-esterase inhibitor through the National Blood Authority as routine prophylaxis for HAE, AND</w:t>
            </w:r>
          </w:p>
          <w:p w14:paraId="561E2844" w14:textId="77777777" w:rsidR="007C19DE" w:rsidRPr="00EA7B3F" w:rsidRDefault="007C19DE" w:rsidP="003D2164">
            <w:pPr>
              <w:pStyle w:val="TableText0"/>
              <w:keepNext w:val="0"/>
              <w:rPr>
                <w:rFonts w:cs="Arial"/>
              </w:rPr>
            </w:pPr>
            <w:r w:rsidRPr="00EA7B3F">
              <w:rPr>
                <w:rFonts w:cs="Arial"/>
              </w:rPr>
              <w:t>The treatment must not be PBS-subsidised in combination with a C1-esterase inhibitor concentrate.</w:t>
            </w:r>
          </w:p>
        </w:tc>
      </w:tr>
      <w:tr w:rsidR="007C19DE" w:rsidRPr="00EA7B3F" w14:paraId="0FAB088E"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194E17DB" w14:textId="77777777" w:rsidR="007C19DE" w:rsidRPr="00EA7B3F" w:rsidRDefault="007C19DE" w:rsidP="003D2164">
            <w:pPr>
              <w:pStyle w:val="TableText0"/>
              <w:keepNext w:val="0"/>
              <w:rPr>
                <w:b/>
              </w:rPr>
            </w:pPr>
            <w:r w:rsidRPr="00EA7B3F">
              <w:rPr>
                <w:b/>
              </w:rPr>
              <w:t>Prescriber Instructions:</w:t>
            </w:r>
          </w:p>
        </w:tc>
        <w:tc>
          <w:tcPr>
            <w:tcW w:w="3981" w:type="pct"/>
            <w:tcBorders>
              <w:top w:val="single" w:sz="4" w:space="0" w:color="auto"/>
              <w:left w:val="single" w:sz="4" w:space="0" w:color="auto"/>
              <w:bottom w:val="single" w:sz="4" w:space="0" w:color="auto"/>
              <w:right w:val="single" w:sz="4" w:space="0" w:color="auto"/>
            </w:tcBorders>
          </w:tcPr>
          <w:p w14:paraId="63F5FE74" w14:textId="77777777" w:rsidR="007C19DE" w:rsidRPr="00EA7B3F" w:rsidRDefault="007C19DE" w:rsidP="003D2164">
            <w:pPr>
              <w:pStyle w:val="TableText0"/>
              <w:keepNext w:val="0"/>
            </w:pPr>
            <w:r w:rsidRPr="00EA7B3F">
              <w:t>For the purposes of administering this restriction, acute attacks of hereditary angioedema are those of a severity necessitating immediate medical intervention.</w:t>
            </w:r>
          </w:p>
          <w:p w14:paraId="6F2F966F" w14:textId="77777777" w:rsidR="007C19DE" w:rsidRPr="00EA7B3F" w:rsidRDefault="007C19DE" w:rsidP="003D2164">
            <w:pPr>
              <w:pStyle w:val="TableText0"/>
              <w:keepNext w:val="0"/>
            </w:pPr>
            <w:r w:rsidRPr="00EA7B3F">
              <w:t>The baseline number of treated attacks of hereditary angioedema within the 6 months prior to initiating treatment must be documented in the patient’s medical records for auditing purposes.</w:t>
            </w:r>
          </w:p>
        </w:tc>
      </w:tr>
    </w:tbl>
    <w:p w14:paraId="2F73D62D" w14:textId="77777777" w:rsidR="007C19DE" w:rsidRPr="00EA7B3F" w:rsidRDefault="007C19DE" w:rsidP="007C19DE"/>
    <w:tbl>
      <w:tblPr>
        <w:tblW w:w="5000" w:type="pct"/>
        <w:tblLook w:val="0000" w:firstRow="0" w:lastRow="0" w:firstColumn="0" w:lastColumn="0" w:noHBand="0" w:noVBand="0"/>
      </w:tblPr>
      <w:tblGrid>
        <w:gridCol w:w="1838"/>
        <w:gridCol w:w="7179"/>
      </w:tblGrid>
      <w:tr w:rsidR="007C19DE" w:rsidRPr="00EA7B3F" w14:paraId="7BBF4809"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09EC44BB" w14:textId="77777777" w:rsidR="007C19DE" w:rsidRPr="00EA7B3F" w:rsidRDefault="007C19DE" w:rsidP="00C1643C">
            <w:pPr>
              <w:pStyle w:val="TableText0"/>
              <w:rPr>
                <w:b/>
              </w:rPr>
            </w:pPr>
            <w:r w:rsidRPr="00EA7B3F">
              <w:rPr>
                <w:b/>
              </w:rPr>
              <w:t>Category / Program:</w:t>
            </w:r>
          </w:p>
        </w:tc>
        <w:tc>
          <w:tcPr>
            <w:tcW w:w="3981" w:type="pct"/>
            <w:tcBorders>
              <w:top w:val="single" w:sz="4" w:space="0" w:color="auto"/>
              <w:left w:val="single" w:sz="4" w:space="0" w:color="auto"/>
              <w:bottom w:val="single" w:sz="4" w:space="0" w:color="auto"/>
              <w:right w:val="single" w:sz="4" w:space="0" w:color="auto"/>
            </w:tcBorders>
          </w:tcPr>
          <w:p w14:paraId="48157F3E" w14:textId="77777777" w:rsidR="007C19DE" w:rsidRPr="00EA7B3F" w:rsidRDefault="007C19DE" w:rsidP="00C1643C">
            <w:pPr>
              <w:pStyle w:val="TableText0"/>
            </w:pPr>
            <w:r w:rsidRPr="00EA7B3F">
              <w:t>GENERAL – General Schedule (S85) (Code GE)</w:t>
            </w:r>
          </w:p>
        </w:tc>
      </w:tr>
      <w:tr w:rsidR="007C19DE" w:rsidRPr="00EA7B3F" w14:paraId="7C02FA2F"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743B6B4A" w14:textId="77777777" w:rsidR="007C19DE" w:rsidRPr="00EA7B3F" w:rsidRDefault="007C19DE" w:rsidP="003D2164">
            <w:pPr>
              <w:pStyle w:val="TableText0"/>
              <w:keepNext w:val="0"/>
              <w:rPr>
                <w:b/>
              </w:rPr>
            </w:pPr>
            <w:r w:rsidRPr="00EA7B3F">
              <w:rPr>
                <w:b/>
              </w:rPr>
              <w:t>PBS Indication:</w:t>
            </w:r>
          </w:p>
        </w:tc>
        <w:tc>
          <w:tcPr>
            <w:tcW w:w="3981" w:type="pct"/>
            <w:tcBorders>
              <w:top w:val="single" w:sz="4" w:space="0" w:color="auto"/>
              <w:left w:val="single" w:sz="4" w:space="0" w:color="auto"/>
              <w:bottom w:val="single" w:sz="4" w:space="0" w:color="auto"/>
              <w:right w:val="single" w:sz="4" w:space="0" w:color="auto"/>
            </w:tcBorders>
          </w:tcPr>
          <w:p w14:paraId="268FF6FC" w14:textId="77777777" w:rsidR="007C19DE" w:rsidRPr="00EA7B3F" w:rsidRDefault="007C19DE" w:rsidP="003D2164">
            <w:pPr>
              <w:pStyle w:val="TableText0"/>
              <w:keepNext w:val="0"/>
            </w:pPr>
            <w:r w:rsidRPr="00EA7B3F">
              <w:t>Hereditary angioedema Type 1 or 2</w:t>
            </w:r>
          </w:p>
        </w:tc>
      </w:tr>
      <w:tr w:rsidR="007C19DE" w:rsidRPr="00EA7B3F" w14:paraId="387B3908"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1944D8B5" w14:textId="77777777" w:rsidR="007C19DE" w:rsidRPr="00EA7B3F" w:rsidRDefault="007C19DE" w:rsidP="003D2164">
            <w:pPr>
              <w:pStyle w:val="TableText0"/>
              <w:keepNext w:val="0"/>
              <w:rPr>
                <w:b/>
              </w:rPr>
            </w:pPr>
            <w:r w:rsidRPr="00EA7B3F">
              <w:rPr>
                <w:b/>
              </w:rPr>
              <w:t>Treatment phase:</w:t>
            </w:r>
          </w:p>
        </w:tc>
        <w:tc>
          <w:tcPr>
            <w:tcW w:w="3981" w:type="pct"/>
            <w:tcBorders>
              <w:top w:val="single" w:sz="4" w:space="0" w:color="auto"/>
              <w:left w:val="single" w:sz="4" w:space="0" w:color="auto"/>
              <w:bottom w:val="single" w:sz="4" w:space="0" w:color="auto"/>
              <w:right w:val="single" w:sz="4" w:space="0" w:color="auto"/>
            </w:tcBorders>
          </w:tcPr>
          <w:p w14:paraId="013A6682" w14:textId="77777777" w:rsidR="007C19DE" w:rsidRPr="00EA7B3F" w:rsidRDefault="007C19DE" w:rsidP="003D2164">
            <w:pPr>
              <w:pStyle w:val="TableText0"/>
              <w:keepNext w:val="0"/>
            </w:pPr>
            <w:r w:rsidRPr="00EA7B3F">
              <w:t>Initial 3: New patient (patient initiated on non-PBS subsidised treatment)</w:t>
            </w:r>
          </w:p>
        </w:tc>
      </w:tr>
      <w:tr w:rsidR="007C19DE" w:rsidRPr="00EA7B3F" w14:paraId="107A7D66"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6A47BD66" w14:textId="77777777" w:rsidR="007C19DE" w:rsidRPr="00EA7B3F" w:rsidRDefault="007C19DE" w:rsidP="003D2164">
            <w:pPr>
              <w:pStyle w:val="TableText0"/>
              <w:keepNext w:val="0"/>
              <w:rPr>
                <w:i/>
              </w:rPr>
            </w:pPr>
            <w:r w:rsidRPr="00EA7B3F">
              <w:rPr>
                <w:b/>
              </w:rPr>
              <w:t>Restriction:</w:t>
            </w:r>
          </w:p>
        </w:tc>
        <w:tc>
          <w:tcPr>
            <w:tcW w:w="3981" w:type="pct"/>
            <w:tcBorders>
              <w:top w:val="single" w:sz="4" w:space="0" w:color="auto"/>
              <w:left w:val="single" w:sz="4" w:space="0" w:color="auto"/>
              <w:bottom w:val="single" w:sz="4" w:space="0" w:color="auto"/>
              <w:right w:val="single" w:sz="4" w:space="0" w:color="auto"/>
            </w:tcBorders>
          </w:tcPr>
          <w:p w14:paraId="5D39E106" w14:textId="77777777" w:rsidR="007C19DE" w:rsidRPr="00EA7B3F" w:rsidRDefault="007C19DE" w:rsidP="003D2164">
            <w:pPr>
              <w:pStyle w:val="TableText0"/>
              <w:keepNext w:val="0"/>
            </w:pPr>
            <w:r w:rsidRPr="00EA7B3F">
              <w:fldChar w:fldCharType="begin">
                <w:ffData>
                  <w:name w:val="Check3"/>
                  <w:enabled/>
                  <w:calcOnExit w:val="0"/>
                  <w:checkBox>
                    <w:sizeAuto/>
                    <w:default w:val="1"/>
                  </w:checkBox>
                </w:ffData>
              </w:fldChar>
            </w:r>
            <w:r w:rsidRPr="00EA7B3F">
              <w:instrText xml:space="preserve"> FORMCHECKBOX </w:instrText>
            </w:r>
            <w:r w:rsidR="00024A2B">
              <w:fldChar w:fldCharType="separate"/>
            </w:r>
            <w:r w:rsidRPr="00EA7B3F">
              <w:fldChar w:fldCharType="end"/>
            </w:r>
            <w:r w:rsidRPr="00EA7B3F">
              <w:t>Authority Required – immediate/real time assessment by Services Australia (telephone/online)</w:t>
            </w:r>
          </w:p>
        </w:tc>
      </w:tr>
      <w:tr w:rsidR="007C19DE" w:rsidRPr="00EA7B3F" w14:paraId="31DA25B6"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462959D7" w14:textId="77777777" w:rsidR="007C19DE" w:rsidRPr="00EA7B3F" w:rsidRDefault="007C19DE" w:rsidP="003D2164">
            <w:pPr>
              <w:pStyle w:val="TableText0"/>
              <w:keepNext w:val="0"/>
              <w:rPr>
                <w:b/>
              </w:rPr>
            </w:pPr>
            <w:r w:rsidRPr="00EA7B3F">
              <w:rPr>
                <w:b/>
              </w:rPr>
              <w:t>Treatment criteria:</w:t>
            </w:r>
          </w:p>
        </w:tc>
        <w:tc>
          <w:tcPr>
            <w:tcW w:w="3981" w:type="pct"/>
            <w:tcBorders>
              <w:top w:val="single" w:sz="4" w:space="0" w:color="auto"/>
              <w:left w:val="single" w:sz="4" w:space="0" w:color="auto"/>
              <w:bottom w:val="single" w:sz="4" w:space="0" w:color="auto"/>
              <w:right w:val="single" w:sz="4" w:space="0" w:color="auto"/>
            </w:tcBorders>
          </w:tcPr>
          <w:p w14:paraId="3B687841" w14:textId="77777777" w:rsidR="007C19DE" w:rsidRPr="00EA7B3F" w:rsidRDefault="007C19DE" w:rsidP="003D2164">
            <w:pPr>
              <w:pStyle w:val="TableText0"/>
              <w:keepNext w:val="0"/>
            </w:pPr>
            <w:r w:rsidRPr="00EA7B3F">
              <w:t xml:space="preserve">Must be treated by at least one of a: clinical immunologist / specialist allergist. </w:t>
            </w:r>
          </w:p>
        </w:tc>
      </w:tr>
      <w:tr w:rsidR="007C19DE" w:rsidRPr="00EA7B3F" w14:paraId="301D198F"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18E597A1" w14:textId="77777777" w:rsidR="007C19DE" w:rsidRPr="00EA7B3F" w:rsidRDefault="007C19DE" w:rsidP="003D2164">
            <w:pPr>
              <w:pStyle w:val="TableText0"/>
              <w:keepNext w:val="0"/>
              <w:rPr>
                <w:b/>
              </w:rPr>
            </w:pPr>
            <w:r w:rsidRPr="00EA7B3F">
              <w:rPr>
                <w:b/>
              </w:rPr>
              <w:t>Clinical criteria:</w:t>
            </w:r>
          </w:p>
        </w:tc>
        <w:tc>
          <w:tcPr>
            <w:tcW w:w="3981" w:type="pct"/>
            <w:tcBorders>
              <w:top w:val="single" w:sz="4" w:space="0" w:color="auto"/>
              <w:left w:val="single" w:sz="4" w:space="0" w:color="auto"/>
              <w:bottom w:val="single" w:sz="4" w:space="0" w:color="auto"/>
              <w:right w:val="single" w:sz="4" w:space="0" w:color="auto"/>
            </w:tcBorders>
          </w:tcPr>
          <w:p w14:paraId="3AF6AD2B" w14:textId="77777777" w:rsidR="007C19DE" w:rsidRPr="00EA7B3F" w:rsidRDefault="007C19DE" w:rsidP="003D2164">
            <w:pPr>
              <w:pStyle w:val="TableText0"/>
              <w:keepNext w:val="0"/>
              <w:rPr>
                <w:rFonts w:cs="Arial"/>
              </w:rPr>
            </w:pPr>
            <w:r w:rsidRPr="00EA7B3F">
              <w:rPr>
                <w:rFonts w:cs="Arial"/>
              </w:rPr>
              <w:t>Patient must have previously received non-PBS subsidised treatment with this drug as routine prophylaxis for HAE prior to [date to be determined], AND</w:t>
            </w:r>
          </w:p>
          <w:p w14:paraId="245E0E82" w14:textId="77777777" w:rsidR="007C19DE" w:rsidRPr="00EA7B3F" w:rsidRDefault="007C19DE" w:rsidP="003D2164">
            <w:pPr>
              <w:pStyle w:val="TableText0"/>
              <w:keepNext w:val="0"/>
              <w:rPr>
                <w:rFonts w:cs="Arial"/>
              </w:rPr>
            </w:pPr>
            <w:r w:rsidRPr="00EA7B3F">
              <w:rPr>
                <w:rFonts w:cs="Arial"/>
              </w:rPr>
              <w:t>Patient must have experienced at least 12 treated acute attacks of HAE within the 6 months prior to commencement of treatment, AND</w:t>
            </w:r>
          </w:p>
          <w:p w14:paraId="475F5A6E" w14:textId="77777777" w:rsidR="007C19DE" w:rsidRPr="00EA7B3F" w:rsidRDefault="007C19DE" w:rsidP="003D2164">
            <w:pPr>
              <w:pStyle w:val="TableText0"/>
              <w:keepNext w:val="0"/>
              <w:rPr>
                <w:rFonts w:cs="Arial"/>
              </w:rPr>
            </w:pPr>
            <w:r w:rsidRPr="00EA7B3F">
              <w:rPr>
                <w:rFonts w:cs="Arial"/>
              </w:rPr>
              <w:t>The treatment must not be PBS-subsidised in combination with a C1-esterase inhibitor concentrate.</w:t>
            </w:r>
          </w:p>
        </w:tc>
      </w:tr>
      <w:tr w:rsidR="007C19DE" w:rsidRPr="00EA7B3F" w14:paraId="51328A96"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676A567E" w14:textId="77777777" w:rsidR="007C19DE" w:rsidRPr="00EA7B3F" w:rsidRDefault="007C19DE" w:rsidP="003D2164">
            <w:pPr>
              <w:pStyle w:val="TableText0"/>
              <w:keepNext w:val="0"/>
              <w:rPr>
                <w:b/>
              </w:rPr>
            </w:pPr>
            <w:r w:rsidRPr="00EA7B3F">
              <w:rPr>
                <w:b/>
              </w:rPr>
              <w:t>Prescriber Instructions:</w:t>
            </w:r>
          </w:p>
        </w:tc>
        <w:tc>
          <w:tcPr>
            <w:tcW w:w="3981" w:type="pct"/>
            <w:tcBorders>
              <w:top w:val="single" w:sz="4" w:space="0" w:color="auto"/>
              <w:left w:val="single" w:sz="4" w:space="0" w:color="auto"/>
              <w:bottom w:val="single" w:sz="4" w:space="0" w:color="auto"/>
              <w:right w:val="single" w:sz="4" w:space="0" w:color="auto"/>
            </w:tcBorders>
          </w:tcPr>
          <w:p w14:paraId="75850DEA" w14:textId="77777777" w:rsidR="007C19DE" w:rsidRPr="00EA7B3F" w:rsidRDefault="007C19DE" w:rsidP="003D2164">
            <w:pPr>
              <w:pStyle w:val="TableText0"/>
              <w:keepNext w:val="0"/>
            </w:pPr>
            <w:r w:rsidRPr="00EA7B3F">
              <w:t>For the purposes of administering this restriction, acute attacks of hereditary angioedema are those of a severity necessitating immediate medical intervention.</w:t>
            </w:r>
          </w:p>
          <w:p w14:paraId="0C73CAAA" w14:textId="77777777" w:rsidR="007C19DE" w:rsidRPr="00EA7B3F" w:rsidRDefault="007C19DE" w:rsidP="003D2164">
            <w:pPr>
              <w:pStyle w:val="TableText0"/>
              <w:keepNext w:val="0"/>
            </w:pPr>
            <w:r w:rsidRPr="00EA7B3F">
              <w:t>The baseline number of treated attacks of hereditary angioedema within the 6 months prior to initiating treatment must be documented in the patient’s medical records for auditing purposes.</w:t>
            </w:r>
          </w:p>
        </w:tc>
      </w:tr>
    </w:tbl>
    <w:p w14:paraId="1AFB8A7D" w14:textId="77777777" w:rsidR="007C19DE" w:rsidRPr="00EA7B3F" w:rsidRDefault="007C19DE" w:rsidP="007C19DE"/>
    <w:tbl>
      <w:tblPr>
        <w:tblW w:w="5000" w:type="pct"/>
        <w:tblLook w:val="0000" w:firstRow="0" w:lastRow="0" w:firstColumn="0" w:lastColumn="0" w:noHBand="0" w:noVBand="0"/>
      </w:tblPr>
      <w:tblGrid>
        <w:gridCol w:w="1838"/>
        <w:gridCol w:w="7179"/>
      </w:tblGrid>
      <w:tr w:rsidR="007C19DE" w:rsidRPr="00EA7B3F" w14:paraId="4CC839CE"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3EFCA9C3" w14:textId="77777777" w:rsidR="007C19DE" w:rsidRPr="00EA7B3F" w:rsidRDefault="007C19DE" w:rsidP="003D2164">
            <w:pPr>
              <w:pStyle w:val="TableText0"/>
              <w:keepNext w:val="0"/>
              <w:rPr>
                <w:b/>
              </w:rPr>
            </w:pPr>
            <w:r w:rsidRPr="00EA7B3F">
              <w:rPr>
                <w:b/>
              </w:rPr>
              <w:t>Category / Program:</w:t>
            </w:r>
          </w:p>
        </w:tc>
        <w:tc>
          <w:tcPr>
            <w:tcW w:w="3981" w:type="pct"/>
            <w:tcBorders>
              <w:top w:val="single" w:sz="4" w:space="0" w:color="auto"/>
              <w:left w:val="single" w:sz="4" w:space="0" w:color="auto"/>
              <w:bottom w:val="single" w:sz="4" w:space="0" w:color="auto"/>
              <w:right w:val="single" w:sz="4" w:space="0" w:color="auto"/>
            </w:tcBorders>
          </w:tcPr>
          <w:p w14:paraId="7E097B32" w14:textId="77777777" w:rsidR="007C19DE" w:rsidRPr="00EA7B3F" w:rsidRDefault="007C19DE" w:rsidP="003D2164">
            <w:pPr>
              <w:pStyle w:val="TableText0"/>
              <w:keepNext w:val="0"/>
            </w:pPr>
            <w:r w:rsidRPr="00EA7B3F">
              <w:t>GENERAL – General Schedule (S85) (Code GE)</w:t>
            </w:r>
          </w:p>
        </w:tc>
      </w:tr>
      <w:tr w:rsidR="007C19DE" w:rsidRPr="00EA7B3F" w14:paraId="17C3F9FD"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385E6B6E" w14:textId="77777777" w:rsidR="007C19DE" w:rsidRPr="00EA7B3F" w:rsidRDefault="007C19DE" w:rsidP="003D2164">
            <w:pPr>
              <w:pStyle w:val="TableText0"/>
              <w:keepNext w:val="0"/>
              <w:rPr>
                <w:b/>
              </w:rPr>
            </w:pPr>
            <w:r w:rsidRPr="00EA7B3F">
              <w:rPr>
                <w:b/>
              </w:rPr>
              <w:t>PBS Indication:</w:t>
            </w:r>
          </w:p>
        </w:tc>
        <w:tc>
          <w:tcPr>
            <w:tcW w:w="3981" w:type="pct"/>
            <w:tcBorders>
              <w:top w:val="single" w:sz="4" w:space="0" w:color="auto"/>
              <w:left w:val="single" w:sz="4" w:space="0" w:color="auto"/>
              <w:bottom w:val="single" w:sz="4" w:space="0" w:color="auto"/>
              <w:right w:val="single" w:sz="4" w:space="0" w:color="auto"/>
            </w:tcBorders>
          </w:tcPr>
          <w:p w14:paraId="194C1B67" w14:textId="77777777" w:rsidR="007C19DE" w:rsidRPr="00EA7B3F" w:rsidRDefault="007C19DE" w:rsidP="003D2164">
            <w:pPr>
              <w:pStyle w:val="TableText0"/>
              <w:keepNext w:val="0"/>
            </w:pPr>
            <w:r w:rsidRPr="00EA7B3F">
              <w:t>Hereditary angioedema Type 1 or 2</w:t>
            </w:r>
          </w:p>
        </w:tc>
      </w:tr>
      <w:tr w:rsidR="007C19DE" w:rsidRPr="00EA7B3F" w14:paraId="61ECB2F8"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545A21E5" w14:textId="77777777" w:rsidR="007C19DE" w:rsidRPr="00EA7B3F" w:rsidRDefault="007C19DE" w:rsidP="003D2164">
            <w:pPr>
              <w:pStyle w:val="TableText0"/>
              <w:keepNext w:val="0"/>
              <w:rPr>
                <w:b/>
              </w:rPr>
            </w:pPr>
            <w:r w:rsidRPr="00EA7B3F">
              <w:rPr>
                <w:b/>
              </w:rPr>
              <w:t>Treatment phase:</w:t>
            </w:r>
          </w:p>
        </w:tc>
        <w:tc>
          <w:tcPr>
            <w:tcW w:w="3981" w:type="pct"/>
            <w:tcBorders>
              <w:top w:val="single" w:sz="4" w:space="0" w:color="auto"/>
              <w:left w:val="single" w:sz="4" w:space="0" w:color="auto"/>
              <w:bottom w:val="single" w:sz="4" w:space="0" w:color="auto"/>
              <w:right w:val="single" w:sz="4" w:space="0" w:color="auto"/>
            </w:tcBorders>
          </w:tcPr>
          <w:p w14:paraId="20D336DE" w14:textId="77777777" w:rsidR="007C19DE" w:rsidRPr="00EA7B3F" w:rsidRDefault="007C19DE" w:rsidP="003D2164">
            <w:pPr>
              <w:pStyle w:val="TableText0"/>
              <w:keepNext w:val="0"/>
            </w:pPr>
            <w:r w:rsidRPr="00EA7B3F">
              <w:t>Continuing preventative treatment</w:t>
            </w:r>
          </w:p>
        </w:tc>
      </w:tr>
      <w:tr w:rsidR="007C19DE" w:rsidRPr="00EA7B3F" w14:paraId="4739C84A"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509AC981" w14:textId="77777777" w:rsidR="007C19DE" w:rsidRPr="00EA7B3F" w:rsidRDefault="007C19DE" w:rsidP="003D2164">
            <w:pPr>
              <w:pStyle w:val="TableText0"/>
              <w:keepNext w:val="0"/>
              <w:rPr>
                <w:i/>
              </w:rPr>
            </w:pPr>
            <w:r w:rsidRPr="00EA7B3F">
              <w:rPr>
                <w:b/>
              </w:rPr>
              <w:t>Restriction:</w:t>
            </w:r>
          </w:p>
        </w:tc>
        <w:tc>
          <w:tcPr>
            <w:tcW w:w="3981" w:type="pct"/>
            <w:tcBorders>
              <w:top w:val="single" w:sz="4" w:space="0" w:color="auto"/>
              <w:left w:val="single" w:sz="4" w:space="0" w:color="auto"/>
              <w:bottom w:val="single" w:sz="4" w:space="0" w:color="auto"/>
              <w:right w:val="single" w:sz="4" w:space="0" w:color="auto"/>
            </w:tcBorders>
          </w:tcPr>
          <w:p w14:paraId="5D314BE7" w14:textId="77777777" w:rsidR="007C19DE" w:rsidRPr="00EA7B3F" w:rsidRDefault="007C19DE" w:rsidP="003D2164">
            <w:pPr>
              <w:pStyle w:val="TableText0"/>
              <w:keepNext w:val="0"/>
            </w:pPr>
            <w:r w:rsidRPr="00EA7B3F">
              <w:fldChar w:fldCharType="begin">
                <w:ffData>
                  <w:name w:val="Check3"/>
                  <w:enabled/>
                  <w:calcOnExit w:val="0"/>
                  <w:checkBox>
                    <w:sizeAuto/>
                    <w:default w:val="1"/>
                  </w:checkBox>
                </w:ffData>
              </w:fldChar>
            </w:r>
            <w:r w:rsidRPr="00EA7B3F">
              <w:instrText xml:space="preserve"> FORMCHECKBOX </w:instrText>
            </w:r>
            <w:r w:rsidR="00024A2B">
              <w:fldChar w:fldCharType="separate"/>
            </w:r>
            <w:r w:rsidRPr="00EA7B3F">
              <w:fldChar w:fldCharType="end"/>
            </w:r>
            <w:r w:rsidRPr="00EA7B3F">
              <w:t>Authority Required – immediate/real time assessment by Services Australia (telephone/online)</w:t>
            </w:r>
          </w:p>
        </w:tc>
      </w:tr>
      <w:tr w:rsidR="007C19DE" w:rsidRPr="00EA7B3F" w14:paraId="0EBCACD7"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0EC5A3E4" w14:textId="77777777" w:rsidR="007C19DE" w:rsidRPr="00EA7B3F" w:rsidRDefault="007C19DE" w:rsidP="003D2164">
            <w:pPr>
              <w:pStyle w:val="TableText0"/>
              <w:keepNext w:val="0"/>
              <w:rPr>
                <w:b/>
              </w:rPr>
            </w:pPr>
            <w:r w:rsidRPr="00EA7B3F">
              <w:rPr>
                <w:b/>
              </w:rPr>
              <w:t>Treatment criteria:</w:t>
            </w:r>
          </w:p>
        </w:tc>
        <w:tc>
          <w:tcPr>
            <w:tcW w:w="3981" w:type="pct"/>
            <w:tcBorders>
              <w:top w:val="single" w:sz="4" w:space="0" w:color="auto"/>
              <w:left w:val="single" w:sz="4" w:space="0" w:color="auto"/>
              <w:bottom w:val="single" w:sz="4" w:space="0" w:color="auto"/>
              <w:right w:val="single" w:sz="4" w:space="0" w:color="auto"/>
            </w:tcBorders>
          </w:tcPr>
          <w:p w14:paraId="4F2D0F9C" w14:textId="77777777" w:rsidR="007C19DE" w:rsidRPr="00EA7B3F" w:rsidRDefault="007C19DE" w:rsidP="003D2164">
            <w:pPr>
              <w:pStyle w:val="TableText0"/>
              <w:keepNext w:val="0"/>
            </w:pPr>
            <w:r w:rsidRPr="00EA7B3F">
              <w:t>Must be treated by a specialist allergist or clinical immunologist, or in consultation with a specialist allergist or clinical immunologist.</w:t>
            </w:r>
          </w:p>
        </w:tc>
      </w:tr>
      <w:tr w:rsidR="007C19DE" w:rsidRPr="00EA7B3F" w14:paraId="37E67120" w14:textId="77777777" w:rsidTr="00FA033E">
        <w:trPr>
          <w:cantSplit/>
        </w:trPr>
        <w:tc>
          <w:tcPr>
            <w:tcW w:w="1019" w:type="pct"/>
            <w:tcBorders>
              <w:top w:val="single" w:sz="4" w:space="0" w:color="auto"/>
              <w:left w:val="single" w:sz="4" w:space="0" w:color="auto"/>
              <w:bottom w:val="single" w:sz="4" w:space="0" w:color="auto"/>
              <w:right w:val="single" w:sz="4" w:space="0" w:color="auto"/>
            </w:tcBorders>
          </w:tcPr>
          <w:p w14:paraId="773F6D6C" w14:textId="77777777" w:rsidR="007C19DE" w:rsidRPr="00EA7B3F" w:rsidRDefault="007C19DE" w:rsidP="003D2164">
            <w:pPr>
              <w:pStyle w:val="TableText0"/>
              <w:keepNext w:val="0"/>
              <w:rPr>
                <w:b/>
              </w:rPr>
            </w:pPr>
            <w:r w:rsidRPr="00EA7B3F">
              <w:rPr>
                <w:b/>
              </w:rPr>
              <w:t>Clinical criteria:</w:t>
            </w:r>
          </w:p>
        </w:tc>
        <w:tc>
          <w:tcPr>
            <w:tcW w:w="3981" w:type="pct"/>
            <w:tcBorders>
              <w:top w:val="single" w:sz="4" w:space="0" w:color="auto"/>
              <w:left w:val="single" w:sz="4" w:space="0" w:color="auto"/>
              <w:bottom w:val="single" w:sz="4" w:space="0" w:color="auto"/>
              <w:right w:val="single" w:sz="4" w:space="0" w:color="auto"/>
            </w:tcBorders>
          </w:tcPr>
          <w:p w14:paraId="5755C6B6" w14:textId="77777777" w:rsidR="007C19DE" w:rsidRPr="00EA7B3F" w:rsidRDefault="007C19DE" w:rsidP="003D2164">
            <w:pPr>
              <w:pStyle w:val="TableText0"/>
              <w:keepNext w:val="0"/>
              <w:rPr>
                <w:rFonts w:cs="Arial"/>
              </w:rPr>
            </w:pPr>
            <w:r w:rsidRPr="00EA7B3F">
              <w:rPr>
                <w:rFonts w:cs="Arial"/>
              </w:rPr>
              <w:t>Patient must have previously received PBS-subsidised treatment for this condition, AND</w:t>
            </w:r>
          </w:p>
          <w:p w14:paraId="10B52556" w14:textId="77777777" w:rsidR="007C19DE" w:rsidRPr="00EA7B3F" w:rsidRDefault="007C19DE" w:rsidP="003D2164">
            <w:pPr>
              <w:pStyle w:val="TableText0"/>
              <w:keepNext w:val="0"/>
              <w:rPr>
                <w:rFonts w:cs="Arial"/>
              </w:rPr>
            </w:pPr>
            <w:r w:rsidRPr="00EA7B3F">
              <w:rPr>
                <w:rFonts w:cs="Arial"/>
              </w:rPr>
              <w:t>Patient must have demonstrated or sustained an adequate response to PBS-subsidised treatment with this drug for this condition, as judged by the treating clinician, AND</w:t>
            </w:r>
          </w:p>
          <w:p w14:paraId="10661954" w14:textId="77777777" w:rsidR="007C19DE" w:rsidRPr="00EA7B3F" w:rsidRDefault="007C19DE" w:rsidP="003D2164">
            <w:pPr>
              <w:pStyle w:val="TableText0"/>
              <w:keepNext w:val="0"/>
              <w:rPr>
                <w:rFonts w:cs="Arial"/>
              </w:rPr>
            </w:pPr>
            <w:r w:rsidRPr="00EA7B3F">
              <w:rPr>
                <w:rFonts w:cs="Arial"/>
              </w:rPr>
              <w:t>This medicine is not PBS-subsidised for use in combination with C1-esterase inhibitor concentrate.</w:t>
            </w:r>
          </w:p>
        </w:tc>
      </w:tr>
    </w:tbl>
    <w:p w14:paraId="1E8EA8A7" w14:textId="77777777" w:rsidR="007C19DE" w:rsidRPr="00EA7B3F" w:rsidRDefault="007C19DE" w:rsidP="007C19DE"/>
    <w:p w14:paraId="61E8C1D8" w14:textId="77777777" w:rsidR="00C227ED" w:rsidRPr="00EA7B3F" w:rsidRDefault="00C227ED" w:rsidP="007C19DE">
      <w:pPr>
        <w:pStyle w:val="3-BodyText"/>
      </w:pPr>
      <w:r w:rsidRPr="00EA7B3F">
        <w:t xml:space="preserve">The pre-PBAC response requested that, if listed, the Initial treatment restrictions </w:t>
      </w:r>
      <w:r w:rsidR="004F6C9D" w:rsidRPr="00EA7B3F">
        <w:t>be</w:t>
      </w:r>
      <w:r w:rsidRPr="00EA7B3F">
        <w:t xml:space="preserve"> Authority Required – non-immediate assessment (i.e. written) rather than immediate/real time assessment. The pre-PBAC response state</w:t>
      </w:r>
      <w:r w:rsidR="004F6C9D" w:rsidRPr="00EA7B3F">
        <w:t>d</w:t>
      </w:r>
      <w:r w:rsidRPr="00EA7B3F">
        <w:t xml:space="preserve"> that this w</w:t>
      </w:r>
      <w:r w:rsidR="004F6C9D" w:rsidRPr="00EA7B3F">
        <w:t>ould</w:t>
      </w:r>
      <w:r w:rsidRPr="00EA7B3F">
        <w:t xml:space="preserve"> help record initiation information and could be helpful to inform future DUSC reviews. The PBAC considered that Authority Required – non-immediate assessment listings were appropriate for the Initial treatment restrictions.</w:t>
      </w:r>
    </w:p>
    <w:p w14:paraId="396157A2" w14:textId="77777777" w:rsidR="00C227ED" w:rsidRPr="00EA7B3F" w:rsidRDefault="00C227ED" w:rsidP="007C19DE">
      <w:pPr>
        <w:pStyle w:val="3-BodyText"/>
      </w:pPr>
      <w:r w:rsidRPr="00EA7B3F">
        <w:t xml:space="preserve">The pre-PBAC response also requested that the restrictions include a population criteria requiring patients to be 12 years of age or older, as the TGA approved Product Information states that treatment in children aged less than 12 years is not recommended. </w:t>
      </w:r>
      <w:r w:rsidR="00CB44D1" w:rsidRPr="00EA7B3F">
        <w:t>The PBAC considered that this addition was appropriate.</w:t>
      </w:r>
    </w:p>
    <w:p w14:paraId="666BA55C" w14:textId="77777777" w:rsidR="001A40C2" w:rsidRPr="00EA7B3F" w:rsidRDefault="001A40C2" w:rsidP="007C19DE">
      <w:pPr>
        <w:pStyle w:val="3-BodyText"/>
      </w:pPr>
      <w:r w:rsidRPr="00EA7B3F">
        <w:t>Further, the pre-PBAC response suggested reducing the maximum quantity per prescription to one syringe per month (effective approved ex-manufacturer price (AEMP) = $</w:t>
      </w:r>
      <w:r w:rsidR="006F5B4F">
        <w:rPr>
          <w:noProof/>
          <w:color w:val="000000"/>
          <w:highlight w:val="black"/>
        </w:rPr>
        <w:t>'''''''''''''''''</w:t>
      </w:r>
      <w:r w:rsidRPr="00EA7B3F">
        <w:t>; effective dispensed price for maximum quantity (DPMQ) = $</w:t>
      </w:r>
      <w:r w:rsidR="006F5B4F">
        <w:rPr>
          <w:noProof/>
          <w:color w:val="000000"/>
          <w:highlight w:val="black"/>
        </w:rPr>
        <w:t>''''''''''''''''''''</w:t>
      </w:r>
      <w:r w:rsidRPr="00EA7B3F">
        <w:t>). The PBAC considered this was appropriate.</w:t>
      </w:r>
    </w:p>
    <w:p w14:paraId="4AB3AD83" w14:textId="77777777" w:rsidR="007C19DE" w:rsidRPr="00EA7B3F" w:rsidRDefault="007C19DE" w:rsidP="007C19DE">
      <w:pPr>
        <w:pStyle w:val="3-BodyText"/>
      </w:pPr>
      <w:r w:rsidRPr="00EA7B3F">
        <w:t>A comparison between the eligibility (Initial treatment 1 restriction) and continuation criteria presented above and that proposed in the July 2020 resubmission is summarised below.</w:t>
      </w:r>
      <w:r w:rsidR="00D81655" w:rsidRPr="00EA7B3F">
        <w:t xml:space="preserve"> The Initial 2 restricti</w:t>
      </w:r>
      <w:r w:rsidR="000F47AA" w:rsidRPr="00EA7B3F">
        <w:t>on</w:t>
      </w:r>
      <w:r w:rsidR="00D81655" w:rsidRPr="00EA7B3F">
        <w:t xml:space="preserve"> </w:t>
      </w:r>
      <w:r w:rsidR="00D82B00" w:rsidRPr="00EA7B3F">
        <w:t>wa</w:t>
      </w:r>
      <w:r w:rsidR="000F47AA" w:rsidRPr="00EA7B3F">
        <w:t>s</w:t>
      </w:r>
      <w:r w:rsidR="00D81655" w:rsidRPr="00EA7B3F">
        <w:t xml:space="preserve"> essentially unchanged from the previous resubmission</w:t>
      </w:r>
      <w:r w:rsidR="000F47AA" w:rsidRPr="00EA7B3F">
        <w:t>, while the Initial 3 restriction was similar to the Initial 1 restriction, other than the requirement that the patient must have previously received non-PBS subsidised treatment with lanadelumab as routine prophylaxis for HAE.</w:t>
      </w:r>
    </w:p>
    <w:p w14:paraId="6A14546D" w14:textId="77777777" w:rsidR="007C19DE" w:rsidRPr="00EA7B3F" w:rsidRDefault="007C19DE" w:rsidP="007C19DE">
      <w:pPr>
        <w:pStyle w:val="TableFigureHeading"/>
      </w:pPr>
      <w:r w:rsidRPr="00EA7B3F">
        <w:t xml:space="preserve">Table </w:t>
      </w:r>
      <w:r w:rsidR="001972C4" w:rsidRPr="00EA7B3F">
        <w:t>3</w:t>
      </w:r>
      <w:r w:rsidRPr="00EA7B3F">
        <w:t>: Comparison of eligibility and continuation criteria across the resubmissions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60"/>
        <w:gridCol w:w="3661"/>
      </w:tblGrid>
      <w:tr w:rsidR="007C19DE" w:rsidRPr="00EA7B3F" w14:paraId="7DA57E80" w14:textId="77777777" w:rsidTr="00C1643C">
        <w:trPr>
          <w:cantSplit/>
          <w:tblHeader/>
        </w:trPr>
        <w:tc>
          <w:tcPr>
            <w:tcW w:w="1696" w:type="dxa"/>
            <w:vAlign w:val="center"/>
          </w:tcPr>
          <w:p w14:paraId="28F7D1A2" w14:textId="77777777" w:rsidR="007C19DE" w:rsidRPr="00EA7B3F" w:rsidRDefault="007C19DE" w:rsidP="003D2164">
            <w:pPr>
              <w:pStyle w:val="In-tableHeading"/>
              <w:rPr>
                <w:lang w:val="en-AU"/>
              </w:rPr>
            </w:pPr>
            <w:r w:rsidRPr="00EA7B3F">
              <w:rPr>
                <w:lang w:val="en-AU"/>
              </w:rPr>
              <w:t>Criteria</w:t>
            </w:r>
          </w:p>
        </w:tc>
        <w:tc>
          <w:tcPr>
            <w:tcW w:w="3660" w:type="dxa"/>
            <w:vAlign w:val="center"/>
          </w:tcPr>
          <w:p w14:paraId="46320D3E" w14:textId="77777777" w:rsidR="007C19DE" w:rsidRPr="00EA7B3F" w:rsidRDefault="007C19DE" w:rsidP="003D2164">
            <w:pPr>
              <w:pStyle w:val="In-tableHeading"/>
              <w:rPr>
                <w:lang w:val="en-AU"/>
              </w:rPr>
            </w:pPr>
            <w:r w:rsidRPr="00EA7B3F">
              <w:rPr>
                <w:lang w:val="en-AU"/>
              </w:rPr>
              <w:t>Resubmission considered in July</w:t>
            </w:r>
            <w:r w:rsidR="009A6399" w:rsidRPr="00EA7B3F">
              <w:rPr>
                <w:lang w:val="en-AU"/>
              </w:rPr>
              <w:t xml:space="preserve"> </w:t>
            </w:r>
            <w:r w:rsidRPr="00EA7B3F">
              <w:rPr>
                <w:lang w:val="en-AU"/>
              </w:rPr>
              <w:t>2020</w:t>
            </w:r>
          </w:p>
        </w:tc>
        <w:tc>
          <w:tcPr>
            <w:tcW w:w="3661" w:type="dxa"/>
            <w:vAlign w:val="center"/>
          </w:tcPr>
          <w:p w14:paraId="0932D1C1" w14:textId="77777777" w:rsidR="007C19DE" w:rsidRPr="00EA7B3F" w:rsidRDefault="007C19DE" w:rsidP="003D2164">
            <w:pPr>
              <w:pStyle w:val="In-tableHeading"/>
              <w:rPr>
                <w:lang w:val="en-AU"/>
              </w:rPr>
            </w:pPr>
            <w:r w:rsidRPr="00EA7B3F">
              <w:rPr>
                <w:lang w:val="en-AU"/>
              </w:rPr>
              <w:t>Current resubmission</w:t>
            </w:r>
          </w:p>
        </w:tc>
      </w:tr>
      <w:tr w:rsidR="007C19DE" w:rsidRPr="00EA7B3F" w14:paraId="7BB004B0" w14:textId="77777777" w:rsidTr="00C1643C">
        <w:trPr>
          <w:cantSplit/>
        </w:trPr>
        <w:tc>
          <w:tcPr>
            <w:tcW w:w="1696" w:type="dxa"/>
          </w:tcPr>
          <w:p w14:paraId="50F2E6D7" w14:textId="77777777" w:rsidR="007C19DE" w:rsidRPr="00EA7B3F" w:rsidRDefault="007C19DE" w:rsidP="003D2164">
            <w:pPr>
              <w:pStyle w:val="TableText0"/>
            </w:pPr>
            <w:r w:rsidRPr="00EA7B3F">
              <w:t>Eligibility – Initial 1</w:t>
            </w:r>
          </w:p>
        </w:tc>
        <w:tc>
          <w:tcPr>
            <w:tcW w:w="3660" w:type="dxa"/>
          </w:tcPr>
          <w:p w14:paraId="118EA724"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Patient must have experienced at least 12 treated acute attacks of HAE within a period of 6 months prior to commencement of treatment, and</w:t>
            </w:r>
          </w:p>
          <w:p w14:paraId="28AECC2C"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Patient must be intolerant or insufficiently protected by oral routine prophylaxis</w:t>
            </w:r>
          </w:p>
        </w:tc>
        <w:tc>
          <w:tcPr>
            <w:tcW w:w="3661" w:type="dxa"/>
          </w:tcPr>
          <w:p w14:paraId="54DB8162" w14:textId="77777777" w:rsidR="007C19DE" w:rsidRPr="00EA7B3F" w:rsidRDefault="007C19DE" w:rsidP="003D2164">
            <w:pPr>
              <w:pStyle w:val="TableText0"/>
              <w:spacing w:after="60"/>
              <w:rPr>
                <w:rFonts w:eastAsia="Times New Roman" w:cs="Arial"/>
                <w:bCs w:val="0"/>
                <w:snapToGrid w:val="0"/>
                <w:szCs w:val="20"/>
              </w:rPr>
            </w:pPr>
            <w:r w:rsidRPr="00EA7B3F">
              <w:rPr>
                <w:rFonts w:eastAsia="Times New Roman" w:cs="Arial"/>
                <w:bCs w:val="0"/>
                <w:snapToGrid w:val="0"/>
                <w:szCs w:val="20"/>
              </w:rPr>
              <w:t>Patient must have experienced at least 12 treated acute attacks of HAE within a period of 6 months prior to commencement of treatment.</w:t>
            </w:r>
          </w:p>
          <w:p w14:paraId="03FF7ECC" w14:textId="77777777" w:rsidR="007C19DE" w:rsidRPr="00EA7B3F" w:rsidRDefault="007C19DE" w:rsidP="003D2164">
            <w:pPr>
              <w:pStyle w:val="TableText0"/>
            </w:pPr>
            <w:r w:rsidRPr="00EA7B3F">
              <w:t>For the purposes of administering this r</w:t>
            </w:r>
            <w:r w:rsidR="00E50C44" w:rsidRPr="00EA7B3F">
              <w:t>estriction, acute attacks of HAE</w:t>
            </w:r>
            <w:r w:rsidRPr="00EA7B3F">
              <w:t xml:space="preserve"> are those of a severity necessitating medical intervention. </w:t>
            </w:r>
          </w:p>
        </w:tc>
      </w:tr>
      <w:tr w:rsidR="007C19DE" w:rsidRPr="00EA7B3F" w14:paraId="1FA56BE3" w14:textId="77777777" w:rsidTr="00C1643C">
        <w:trPr>
          <w:cantSplit/>
        </w:trPr>
        <w:tc>
          <w:tcPr>
            <w:tcW w:w="1696" w:type="dxa"/>
          </w:tcPr>
          <w:p w14:paraId="2AB0D710" w14:textId="77777777" w:rsidR="007C19DE" w:rsidRPr="00EA7B3F" w:rsidRDefault="007C19DE" w:rsidP="003D2164">
            <w:pPr>
              <w:pStyle w:val="TableText0"/>
            </w:pPr>
            <w:r w:rsidRPr="00EA7B3F">
              <w:t>Continuation</w:t>
            </w:r>
          </w:p>
        </w:tc>
        <w:tc>
          <w:tcPr>
            <w:tcW w:w="3660" w:type="dxa"/>
          </w:tcPr>
          <w:p w14:paraId="5D3755DB" w14:textId="77777777" w:rsidR="007C19DE" w:rsidRPr="00EA7B3F" w:rsidRDefault="007C19DE" w:rsidP="003D2164">
            <w:pPr>
              <w:pStyle w:val="TableText0"/>
              <w:spacing w:after="60"/>
            </w:pPr>
            <w:r w:rsidRPr="00EA7B3F">
              <w:t>Patient must have demonstrated or maintained a treatment response to treatment with this drug.</w:t>
            </w:r>
          </w:p>
          <w:p w14:paraId="2EE5929E" w14:textId="77777777" w:rsidR="007C19DE" w:rsidRPr="00EA7B3F" w:rsidRDefault="007C19DE" w:rsidP="003D2164">
            <w:pPr>
              <w:pStyle w:val="TableText0"/>
              <w:ind w:left="6"/>
              <w:rPr>
                <w:rFonts w:eastAsia="Times New Roman" w:cs="Arial"/>
                <w:bCs w:val="0"/>
                <w:snapToGrid w:val="0"/>
                <w:szCs w:val="20"/>
              </w:rPr>
            </w:pPr>
            <w:r w:rsidRPr="00EA7B3F">
              <w:t>For patients initiating under the Initial – 1 restriction, treatment response is defined as a reduction of 50% from baseline in the number of treated acute attacks of HAE per month compared to baseline.</w:t>
            </w:r>
          </w:p>
        </w:tc>
        <w:tc>
          <w:tcPr>
            <w:tcW w:w="3661" w:type="dxa"/>
          </w:tcPr>
          <w:p w14:paraId="38368BFE" w14:textId="77777777" w:rsidR="007C19DE" w:rsidRPr="00EA7B3F" w:rsidRDefault="007C19DE" w:rsidP="00D82B00">
            <w:pPr>
              <w:pStyle w:val="TableText0"/>
              <w:spacing w:after="60"/>
              <w:rPr>
                <w:rFonts w:eastAsia="Times New Roman" w:cs="Arial"/>
                <w:bCs w:val="0"/>
                <w:snapToGrid w:val="0"/>
                <w:szCs w:val="20"/>
              </w:rPr>
            </w:pPr>
            <w:r w:rsidRPr="00EA7B3F">
              <w:rPr>
                <w:rFonts w:cs="Arial"/>
              </w:rPr>
              <w:t>Patient must have demonstrated or sustained an adequate response to PBS-subsidised treatment with this drug for this condition, as judged by the treating clinician.</w:t>
            </w:r>
            <w:r w:rsidR="00D82B00" w:rsidRPr="00EA7B3F">
              <w:rPr>
                <w:rFonts w:cs="Arial"/>
              </w:rPr>
              <w:t xml:space="preserve"> No definition of an adequate response was proposed in the restriction.</w:t>
            </w:r>
          </w:p>
        </w:tc>
      </w:tr>
    </w:tbl>
    <w:p w14:paraId="2828AA6C" w14:textId="77777777" w:rsidR="007C19DE" w:rsidRPr="00EA7B3F" w:rsidRDefault="007C19DE" w:rsidP="007C19DE">
      <w:pPr>
        <w:pStyle w:val="TableFigureFooter"/>
      </w:pPr>
      <w:r w:rsidRPr="00EA7B3F">
        <w:t>Source: Table 3, p10 of the resubmission; Lanadelumab PSD, July 2020 PBAC meeting.</w:t>
      </w:r>
    </w:p>
    <w:p w14:paraId="3B1ECB99" w14:textId="77777777" w:rsidR="007C19DE" w:rsidRPr="00EA7B3F" w:rsidRDefault="007C19DE" w:rsidP="007C19DE">
      <w:pPr>
        <w:pStyle w:val="TableFigureFooter"/>
      </w:pPr>
      <w:r w:rsidRPr="00EA7B3F">
        <w:t>HAE = hereditary angioedema.</w:t>
      </w:r>
    </w:p>
    <w:p w14:paraId="277588AC" w14:textId="77777777" w:rsidR="007C19DE" w:rsidRPr="00EA7B3F" w:rsidRDefault="007C19DE" w:rsidP="007C19DE">
      <w:pPr>
        <w:pStyle w:val="3-BodyText"/>
      </w:pPr>
      <w:r w:rsidRPr="00EA7B3F">
        <w:t>The PBAC previously had the following concerns regarding the eligibility and continuation criteria proposed in the July 2020 resubmission:</w:t>
      </w:r>
    </w:p>
    <w:p w14:paraId="6308EB06" w14:textId="77777777" w:rsidR="007C19DE" w:rsidRPr="00EA7B3F" w:rsidRDefault="007C19DE" w:rsidP="004928B9">
      <w:pPr>
        <w:pStyle w:val="ListParagraph"/>
        <w:numPr>
          <w:ilvl w:val="0"/>
          <w:numId w:val="9"/>
        </w:numPr>
        <w:ind w:left="1080"/>
      </w:pPr>
      <w:r w:rsidRPr="00EA7B3F">
        <w:t>The PBAC considered that consultation with clinicians who are experienced at managing HAE would be required to determine the appropriate baseline number and type of attacks for lanadelumab eligibility to ensure use is targeted to a sufficiently high risk population in light of the high cost per patient of the drug (</w:t>
      </w:r>
      <w:r w:rsidR="00595992" w:rsidRPr="00EA7B3F">
        <w:t>p</w:t>
      </w:r>
      <w:r w:rsidRPr="00EA7B3F">
        <w:t>aragraph 7.3, lanadelumab, Public Summary Document (PSD), July 2020).</w:t>
      </w:r>
    </w:p>
    <w:p w14:paraId="682D3C63" w14:textId="77777777" w:rsidR="007C19DE" w:rsidRPr="00EA7B3F" w:rsidRDefault="007C19DE" w:rsidP="004928B9">
      <w:pPr>
        <w:pStyle w:val="ListParagraph"/>
        <w:numPr>
          <w:ilvl w:val="0"/>
          <w:numId w:val="9"/>
        </w:numPr>
        <w:ind w:left="1080"/>
      </w:pPr>
      <w:r w:rsidRPr="00EA7B3F">
        <w:t>The PBAC considered there were several issues with the proposed continuation criteria including that it does not account for attack severity and may be difficult to reliably assess. The PBAC considered that the rationale for the proposed continuation criteria was unclear and that further consultation with clinicians who are experienced at managing HAE would be required to ensure ongoing use is targeted to patients deriving appropriate clinical benefit from lanadelumab (</w:t>
      </w:r>
      <w:r w:rsidR="00595992" w:rsidRPr="00EA7B3F">
        <w:t>p</w:t>
      </w:r>
      <w:r w:rsidRPr="00EA7B3F">
        <w:t>aragraph 7.4, lanadelumab PSD, July 2020).</w:t>
      </w:r>
    </w:p>
    <w:p w14:paraId="2A72A1CB" w14:textId="77777777" w:rsidR="00897EDC" w:rsidRPr="00EA7B3F" w:rsidRDefault="00897EDC" w:rsidP="00897EDC">
      <w:pPr>
        <w:pStyle w:val="3-BodyText"/>
      </w:pPr>
      <w:r w:rsidRPr="00EA7B3F">
        <w:t xml:space="preserve">In October 2020, a stakeholder meeting was held to receive </w:t>
      </w:r>
      <w:r w:rsidR="003A3EB6" w:rsidRPr="00EA7B3F">
        <w:t xml:space="preserve">clinical and patient perspectives </w:t>
      </w:r>
      <w:r w:rsidR="00A326CE" w:rsidRPr="00EA7B3F">
        <w:t>on</w:t>
      </w:r>
      <w:r w:rsidRPr="00EA7B3F">
        <w:t xml:space="preserve"> the </w:t>
      </w:r>
      <w:r w:rsidR="003A3EB6" w:rsidRPr="00EA7B3F">
        <w:t>issues outlined above. The participants advised that basing eligibility for subsidised access to lanadelumab on attack frequency alone would not adequately capture the group of patients most likely to benefit. The participants expressed a preference for the restriction to take into account a range of factors, such as access to medical care, burden of attacks, number of attacks, quality of life, mental health impacts, and work or productivity impairment. The clinical experts also emphasised the need for the restriction to be practical for use in clinical practice. In terms of the continuation criteria or a stopping rule, participants discussed that it would be difficult to cease lanadelumab once it has been initiated (except in patients deriving limited clinical benefit), reiterating the value of prophylaxis on quality of life (Lanadelumab stakeholder meeting summary, October 2020).</w:t>
      </w:r>
    </w:p>
    <w:p w14:paraId="0AB5BDF1" w14:textId="77777777" w:rsidR="00F53596" w:rsidRPr="00EA7B3F" w:rsidRDefault="00F53596" w:rsidP="00897EDC">
      <w:pPr>
        <w:pStyle w:val="3-BodyText"/>
      </w:pPr>
      <w:r w:rsidRPr="00EA7B3F">
        <w:t>The resubmission stated that the participants at the stakeholder meeting raised a concern that the restriction as written did not account for patients who experienced fewer attacks but had a high burden of disease. A consistent method for determining this burden was not identified; however, the angioedema quality of life questionnaire (AE-QoL) was suggested as a potential solution. The resubmission presented an alternative restriction for consideration but stated that the sponsor was not proposing to introduce these criteria at this time, but that it would monitor any ongoing requests for access for people who do not qualify under the proposed restriction in order to determine the key characteristics and benefits of treatment for those patients.</w:t>
      </w:r>
    </w:p>
    <w:p w14:paraId="79448E2E" w14:textId="77777777" w:rsidR="007C19DE" w:rsidRPr="00EA7B3F" w:rsidRDefault="007C19DE" w:rsidP="007C19DE">
      <w:pPr>
        <w:pStyle w:val="3-BodyText"/>
      </w:pPr>
      <w:r w:rsidRPr="00EA7B3F">
        <w:t>As danazol is no longer listed on the PBS, the exclusion of the criterion that the patient must be intolerant of</w:t>
      </w:r>
      <w:r w:rsidR="00E50C44" w:rsidRPr="00EA7B3F">
        <w:t>,</w:t>
      </w:r>
      <w:r w:rsidRPr="00EA7B3F">
        <w:t xml:space="preserve"> or insufficiently protected by</w:t>
      </w:r>
      <w:r w:rsidR="00E50C44" w:rsidRPr="00EA7B3F">
        <w:t>,</w:t>
      </w:r>
      <w:r w:rsidRPr="00EA7B3F">
        <w:t xml:space="preserve"> oral routine prophylaxis was reasonable. This was also consistent with the key clinical evidence presented in the previous resubmission (HELP trial), in which only 5.6% of patients were receiving oral prophylaxis with danazol.</w:t>
      </w:r>
    </w:p>
    <w:p w14:paraId="560F6D6D" w14:textId="77777777" w:rsidR="007C19DE" w:rsidRPr="00EA7B3F" w:rsidRDefault="0023444A" w:rsidP="007C19DE">
      <w:pPr>
        <w:pStyle w:val="3-BodyText"/>
        <w:rPr>
          <w:color w:val="0066FF"/>
        </w:rPr>
      </w:pPr>
      <w:r w:rsidRPr="00EA7B3F">
        <w:t xml:space="preserve">In July 2020, </w:t>
      </w:r>
      <w:r w:rsidR="007C19DE" w:rsidRPr="00EA7B3F">
        <w:t>the PBAC</w:t>
      </w:r>
      <w:r w:rsidRPr="00EA7B3F">
        <w:t xml:space="preserve"> raised</w:t>
      </w:r>
      <w:r w:rsidR="007C19DE" w:rsidRPr="00EA7B3F">
        <w:t xml:space="preserve"> concerns regarding the appropriate baseline number and type of attacks for lanadelumab eligibility</w:t>
      </w:r>
      <w:r w:rsidR="00D82B00" w:rsidRPr="00EA7B3F">
        <w:t>. However</w:t>
      </w:r>
      <w:r w:rsidR="00595992" w:rsidRPr="00EA7B3F">
        <w:t>, the</w:t>
      </w:r>
      <w:r w:rsidR="007C19DE" w:rsidRPr="00EA7B3F">
        <w:t>:</w:t>
      </w:r>
    </w:p>
    <w:p w14:paraId="28E5CC09" w14:textId="77777777" w:rsidR="007C19DE" w:rsidRPr="00EA7B3F" w:rsidRDefault="007C19DE" w:rsidP="004928B9">
      <w:pPr>
        <w:pStyle w:val="ListParagraph"/>
        <w:numPr>
          <w:ilvl w:val="0"/>
          <w:numId w:val="9"/>
        </w:numPr>
        <w:ind w:left="1080"/>
      </w:pPr>
      <w:r w:rsidRPr="00EA7B3F">
        <w:t>number of baseline HAE attacks for lanadelumab eligibility remained unchanged</w:t>
      </w:r>
      <w:r w:rsidR="00D82B00" w:rsidRPr="00EA7B3F">
        <w:t xml:space="preserve"> in the July 2021 resubmission</w:t>
      </w:r>
      <w:r w:rsidRPr="00EA7B3F">
        <w:t xml:space="preserve">; no justification was provided for the proposed threshold number of attacks. </w:t>
      </w:r>
      <w:r w:rsidR="00E50C44" w:rsidRPr="00EA7B3F">
        <w:t>In contrast</w:t>
      </w:r>
      <w:r w:rsidRPr="00EA7B3F">
        <w:t xml:space="preserve"> to </w:t>
      </w:r>
      <w:r w:rsidR="00A326CE">
        <w:t>’</w:t>
      </w:r>
      <w:r w:rsidR="00A326CE" w:rsidRPr="00EA7B3F">
        <w:rPr>
          <w:rFonts w:cstheme="minorHAnsi"/>
        </w:rPr>
        <w:t>≥</w:t>
      </w:r>
      <w:r w:rsidRPr="00EA7B3F">
        <w:t>12 treated acute attacks of HAE within a period of 6 months</w:t>
      </w:r>
      <w:r w:rsidR="00A326CE">
        <w:t>‘</w:t>
      </w:r>
      <w:r w:rsidR="00A326CE" w:rsidRPr="00EA7B3F">
        <w:t xml:space="preserve"> </w:t>
      </w:r>
      <w:r w:rsidRPr="00EA7B3F">
        <w:t>(an average of two attacks per month), the inclusion criteria for the HELP tria</w:t>
      </w:r>
      <w:r w:rsidR="00E50C44" w:rsidRPr="00EA7B3F">
        <w:t>l specified a baseline rate of greater than or equal to</w:t>
      </w:r>
      <w:r w:rsidRPr="00EA7B3F">
        <w:t xml:space="preserve"> one HAE attack </w:t>
      </w:r>
      <w:r w:rsidR="00E50C44" w:rsidRPr="00EA7B3F">
        <w:t>every</w:t>
      </w:r>
      <w:r w:rsidRPr="00EA7B3F">
        <w:t xml:space="preserve"> 4 weeks. </w:t>
      </w:r>
      <w:r w:rsidR="008C36FD" w:rsidRPr="00EA7B3F">
        <w:t>The mean number of attacks requiring acute treatment in the placebo arm of HELP was 1.64 per 4 weeks (approximately 21 per year)</w:t>
      </w:r>
      <w:r w:rsidRPr="00EA7B3F">
        <w:t>;</w:t>
      </w:r>
    </w:p>
    <w:p w14:paraId="12D13C28" w14:textId="77777777" w:rsidR="007C19DE" w:rsidRPr="00EA7B3F" w:rsidRDefault="007C19DE" w:rsidP="004928B9">
      <w:pPr>
        <w:pStyle w:val="ListParagraph"/>
        <w:numPr>
          <w:ilvl w:val="0"/>
          <w:numId w:val="9"/>
        </w:numPr>
        <w:ind w:left="1080"/>
      </w:pPr>
      <w:r w:rsidRPr="00EA7B3F">
        <w:t>resubmission defined ‘acute attacks’ as those of a severity necessitating medical intervention. The resubmission did not state whether the use of on-demand t</w:t>
      </w:r>
      <w:r w:rsidR="00771F52" w:rsidRPr="00EA7B3F">
        <w:t>reatment</w:t>
      </w:r>
      <w:r w:rsidRPr="00EA7B3F">
        <w:t xml:space="preserve"> (ODT) (icatibant or </w:t>
      </w:r>
      <w:r w:rsidR="00704001" w:rsidRPr="00EA7B3F">
        <w:t xml:space="preserve">intravenous (IV) </w:t>
      </w:r>
      <w:r w:rsidRPr="00EA7B3F">
        <w:t>C1-INH</w:t>
      </w:r>
      <w:r w:rsidR="00CA3CE0" w:rsidRPr="00EA7B3F">
        <w:rPr>
          <w:rStyle w:val="FootnoteReference"/>
        </w:rPr>
        <w:footnoteReference w:id="1"/>
      </w:r>
      <w:r w:rsidRPr="00EA7B3F">
        <w:t xml:space="preserve">), which is often self-administered, represented ‘medical intervention’. If so, it is not clear how this definition differs from ‘treated acute HAE attacks’, and how this addresses the PBAC’s concerns. </w:t>
      </w:r>
      <w:r w:rsidR="00292D3F" w:rsidRPr="00EA7B3F">
        <w:t>The ESC considered that an ‘acute attack necessitating medical intervention’ would be an attack of a severity that required targeted on-demand therapy (i.e. icatibant or C1-INH).</w:t>
      </w:r>
    </w:p>
    <w:p w14:paraId="7FFD778F" w14:textId="77777777" w:rsidR="0023444A" w:rsidRPr="00EA7B3F" w:rsidRDefault="0023444A" w:rsidP="0023444A">
      <w:pPr>
        <w:pStyle w:val="ListBullet"/>
        <w:numPr>
          <w:ilvl w:val="0"/>
          <w:numId w:val="0"/>
        </w:numPr>
        <w:spacing w:after="120"/>
        <w:ind w:left="720"/>
      </w:pPr>
      <w:r w:rsidRPr="00EA7B3F">
        <w:t>As noted above, the participants of the stakeholder meetings advised that lanadelumab eligibility should not be based on attack frequency alone, and preferred to consider a range of factors and to be practical for use in clinical practice.</w:t>
      </w:r>
      <w:r w:rsidR="00314918" w:rsidRPr="00EA7B3F">
        <w:t xml:space="preserve"> </w:t>
      </w:r>
      <w:r w:rsidR="009B4F9E" w:rsidRPr="00EA7B3F">
        <w:t xml:space="preserve">The </w:t>
      </w:r>
      <w:r w:rsidR="00E53B1C">
        <w:t>Pre-Sub-Committee Response (</w:t>
      </w:r>
      <w:r w:rsidR="009B4F9E" w:rsidRPr="00EA7B3F">
        <w:t>PSCR</w:t>
      </w:r>
      <w:r w:rsidR="00E53B1C">
        <w:t>)</w:t>
      </w:r>
      <w:r w:rsidR="009B4F9E" w:rsidRPr="00EA7B3F">
        <w:t xml:space="preserve"> noted that the stakeholder meeting suggested broadening the initial restriction to include non-attack related criteria, but stated that the proposed restriction was intended to capture the majority of patients likely to benefit most from lanadelumab whilst demonstrating reasonable cost-effectiveness. </w:t>
      </w:r>
      <w:r w:rsidR="00314918" w:rsidRPr="00EA7B3F">
        <w:t xml:space="preserve">The ESC noted that although a holistic approach to eligibility would be ideal, providing evidence to support this approach would be difficult. The ESC considered that the incorporation of quality of life scores into the </w:t>
      </w:r>
      <w:r w:rsidR="00D81123" w:rsidRPr="00EA7B3F">
        <w:t xml:space="preserve">initial </w:t>
      </w:r>
      <w:r w:rsidR="00314918" w:rsidRPr="00EA7B3F">
        <w:t>restriction</w:t>
      </w:r>
      <w:r w:rsidR="00D81123" w:rsidRPr="00EA7B3F">
        <w:t>s</w:t>
      </w:r>
      <w:r w:rsidR="00314918" w:rsidRPr="00EA7B3F">
        <w:t xml:space="preserve"> would not </w:t>
      </w:r>
      <w:r w:rsidR="00D81123" w:rsidRPr="00EA7B3F">
        <w:t>resolve all the issues raised in the stakeholder meeting</w:t>
      </w:r>
      <w:r w:rsidR="009B4F9E" w:rsidRPr="00EA7B3F">
        <w:t xml:space="preserve"> and might not necessarily assist with ensuring that patients who would derive the greatest benefit from therapy were t</w:t>
      </w:r>
      <w:r w:rsidR="00416295" w:rsidRPr="00EA7B3F">
        <w:t>argeted</w:t>
      </w:r>
      <w:r w:rsidR="00D81123" w:rsidRPr="00EA7B3F">
        <w:t>.</w:t>
      </w:r>
    </w:p>
    <w:p w14:paraId="39E0AF85" w14:textId="77777777" w:rsidR="007C19DE" w:rsidRPr="00EA7B3F" w:rsidRDefault="00292D3F" w:rsidP="007C19DE">
      <w:pPr>
        <w:pStyle w:val="3-BodyText"/>
      </w:pPr>
      <w:r w:rsidRPr="00EA7B3F">
        <w:t>T</w:t>
      </w:r>
      <w:r w:rsidR="00314918" w:rsidRPr="00EA7B3F">
        <w:t xml:space="preserve">he </w:t>
      </w:r>
      <w:r w:rsidR="007C19DE" w:rsidRPr="00EA7B3F">
        <w:t xml:space="preserve">exclusion of the definition of treatment response, and the amended requirement that a patient demonstrate a sustained or adequate response, as judged by the treating clinician, also </w:t>
      </w:r>
      <w:r w:rsidR="00635CD6" w:rsidRPr="00EA7B3F">
        <w:t>did</w:t>
      </w:r>
      <w:r w:rsidR="007C19DE" w:rsidRPr="00EA7B3F">
        <w:t xml:space="preserve"> not adequately address the PBAC’s concern that ongoing use be targeted to patients deriving appropriate clinical benefit from lanadelumab. The resubmission stated that the three clinicians and the patient advocate who attended the stakeholder meeting outlined the intra-patient unpredictability of HAE and the debilitating effect t</w:t>
      </w:r>
      <w:r w:rsidR="00F423D8" w:rsidRPr="00EA7B3F">
        <w:t>his has on quality of life</w:t>
      </w:r>
      <w:r w:rsidR="007C19DE" w:rsidRPr="00EA7B3F">
        <w:t>; the participants discussed that it would be difficult to cease lanadelumab once it has been initiated (except in patients deriving limited clinical benefit).</w:t>
      </w:r>
      <w:r w:rsidR="00D81123" w:rsidRPr="00EA7B3F">
        <w:t xml:space="preserve"> The ESC considered that the inclusion of quality of life scores into the continuing restrictions may not offer additional value to specialist clinician assessment.</w:t>
      </w:r>
      <w:r w:rsidRPr="00EA7B3F">
        <w:t xml:space="preserve"> In addition, the ESC</w:t>
      </w:r>
      <w:r w:rsidR="0090498A" w:rsidRPr="00EA7B3F">
        <w:t>, noting</w:t>
      </w:r>
      <w:r w:rsidRPr="00EA7B3F">
        <w:t xml:space="preserve"> that the proposed continuation criteria was not dissimilar to that for omalizumab for severe chronic spontaneous urticaria, which states “Patient must have demonstrated a response to the most recent PBS-subsidised treatment with this drug for this condition”</w:t>
      </w:r>
      <w:r w:rsidR="0090498A" w:rsidRPr="00EA7B3F">
        <w:t>, considered that, with a suitable risk sharing arrangement (RSA) the continuation criteria for this rare genetic disorder, which would be managed by a small group of specialists, was reasonable.</w:t>
      </w:r>
    </w:p>
    <w:p w14:paraId="7BBA63D8" w14:textId="77777777" w:rsidR="007C19DE" w:rsidRPr="00EA7B3F" w:rsidRDefault="007C19DE" w:rsidP="007C19DE">
      <w:pPr>
        <w:pStyle w:val="3-BodyText"/>
      </w:pPr>
      <w:r w:rsidRPr="00EA7B3F">
        <w:t>The resubmission proposed a special pricing arrangement (SPA), with the proposed effective ex-manufacturer price in the current resubmission being the same as that prop</w:t>
      </w:r>
      <w:r w:rsidR="006C06A7" w:rsidRPr="00EA7B3F">
        <w:t>osed in the July 2020 resubmissi</w:t>
      </w:r>
      <w:r w:rsidRPr="00EA7B3F">
        <w:t xml:space="preserve">on. </w:t>
      </w:r>
      <w:r w:rsidR="004F6C9D" w:rsidRPr="00EA7B3F">
        <w:t xml:space="preserve">The pre-PBAC response proposed a revised effective price based on the price of one syringe (see </w:t>
      </w:r>
      <w:r w:rsidR="004F6C9D" w:rsidRPr="00433ADF">
        <w:t>paragraph 3.</w:t>
      </w:r>
      <w:r w:rsidR="00433ADF">
        <w:t>3</w:t>
      </w:r>
      <w:r w:rsidR="004F6C9D" w:rsidRPr="00EA7B3F">
        <w:t>).</w:t>
      </w:r>
    </w:p>
    <w:p w14:paraId="38955034" w14:textId="77777777" w:rsidR="007C19DE" w:rsidRPr="00EA7B3F" w:rsidRDefault="007C19DE" w:rsidP="007C19DE">
      <w:pPr>
        <w:pStyle w:val="3-BodyText"/>
      </w:pPr>
      <w:r w:rsidRPr="00EA7B3F">
        <w:t xml:space="preserve">The resubmission also proposed a risk sharing arrangement (RSA) to manage the risk of use of lanadelumab in the potentially cost-ineffective population (see below for detail). </w:t>
      </w:r>
      <w:r w:rsidR="004F6C9D" w:rsidRPr="00EA7B3F">
        <w:t>This was updated in the pre-PBAC response.</w:t>
      </w:r>
    </w:p>
    <w:p w14:paraId="5332A2BF" w14:textId="77777777" w:rsidR="007C19DE" w:rsidRPr="00EA7B3F" w:rsidRDefault="007C19DE" w:rsidP="007C19DE">
      <w:pPr>
        <w:pStyle w:val="3-BodyText"/>
      </w:pPr>
      <w:r w:rsidRPr="00EA7B3F">
        <w:t>The resubmission requested a grandfather provision to allow patients receiving lanadelumab via an access program to transition to PBS-subsidised treatment. It stated that there are currently 12 patients on the access program.</w:t>
      </w:r>
    </w:p>
    <w:p w14:paraId="589A5AA4" w14:textId="77777777" w:rsidR="005E26F3" w:rsidRPr="00EA7B3F" w:rsidRDefault="005E26F3" w:rsidP="005E26F3">
      <w:pPr>
        <w:pStyle w:val="3-BodyText"/>
        <w:numPr>
          <w:ilvl w:val="0"/>
          <w:numId w:val="0"/>
        </w:numPr>
        <w:ind w:left="720"/>
      </w:pPr>
      <w:r w:rsidRPr="00EA7B3F">
        <w:rPr>
          <w:i/>
        </w:rPr>
        <w:t>For more detail on PBAC’s view, see section 7 PBAC outcome.</w:t>
      </w:r>
    </w:p>
    <w:p w14:paraId="34943CF1" w14:textId="77777777" w:rsidR="007C19DE" w:rsidRPr="00EA7B3F" w:rsidRDefault="007C19DE" w:rsidP="00220069">
      <w:pPr>
        <w:pStyle w:val="2-SectionHeading"/>
        <w:numPr>
          <w:ilvl w:val="0"/>
          <w:numId w:val="1"/>
        </w:numPr>
        <w:ind w:left="709"/>
      </w:pPr>
      <w:bookmarkStart w:id="11" w:name="_Toc72133176"/>
      <w:r w:rsidRPr="00EA7B3F">
        <w:t>Population and disease</w:t>
      </w:r>
      <w:bookmarkEnd w:id="11"/>
    </w:p>
    <w:p w14:paraId="35F2AA97" w14:textId="77777777" w:rsidR="007C19DE" w:rsidRPr="00EA7B3F" w:rsidRDefault="007C19DE" w:rsidP="007C19DE">
      <w:pPr>
        <w:pStyle w:val="3-BodyText"/>
      </w:pPr>
      <w:r w:rsidRPr="00EA7B3F">
        <w:t>HAE is a rare, autosomal dominant, potentially severely debilitating, and life-threatening condition that manifests as painful, unpredictable, intermittent attacks of subcutaneous or submucosal oedema of the face, upper airways, gastrointestinal tract, limbs and/or genitalia. Attacks recur with unpredictable frequency, intensity and duration, placing a burden on the daily life of patients.</w:t>
      </w:r>
    </w:p>
    <w:p w14:paraId="39872FCF" w14:textId="77777777" w:rsidR="007C19DE" w:rsidRPr="00EA7B3F" w:rsidRDefault="007C19DE" w:rsidP="007C19DE">
      <w:pPr>
        <w:pStyle w:val="3-BodyText"/>
      </w:pPr>
      <w:r w:rsidRPr="00EA7B3F">
        <w:t xml:space="preserve">HAE Types 1 and 2 are caused by mutations in the C1-INH gene. Type 1 is due to deficiency of C1-INH, and Type 2 is due to dysfunction of C1-INH. </w:t>
      </w:r>
    </w:p>
    <w:p w14:paraId="1241E095" w14:textId="77777777" w:rsidR="007C19DE" w:rsidRPr="00EA7B3F" w:rsidRDefault="007C19DE" w:rsidP="007C19DE">
      <w:pPr>
        <w:pStyle w:val="3-BodyText"/>
      </w:pPr>
      <w:r w:rsidRPr="00EA7B3F">
        <w:t>Lanadelumab is a human, monoclonal antibody (IgG1/k-light chain) that inhibits plasma kallikrein with a half-life of 14 days.</w:t>
      </w:r>
    </w:p>
    <w:p w14:paraId="04517971" w14:textId="77777777" w:rsidR="007C19DE" w:rsidRPr="00EA7B3F" w:rsidRDefault="007C19DE" w:rsidP="007C19DE">
      <w:pPr>
        <w:pStyle w:val="3-BodyText"/>
      </w:pPr>
      <w:r w:rsidRPr="00EA7B3F">
        <w:t xml:space="preserve">Attack frequency and severity among patients is variable, with most patients experiencing few attacks, which can be managed with ODT. Other patients have multiple attacks per month or per week, necessitating prophylactic treatment. Patients who experience at least 12 treated acute attacks of HAE within a period of 6 months are proposed to be eligible for lanadelumab. </w:t>
      </w:r>
    </w:p>
    <w:p w14:paraId="44AC9833" w14:textId="77777777" w:rsidR="007C19DE" w:rsidRPr="00EA7B3F" w:rsidRDefault="007C19DE" w:rsidP="007C19DE">
      <w:pPr>
        <w:pStyle w:val="3-BodyText"/>
      </w:pPr>
      <w:r w:rsidRPr="00EA7B3F">
        <w:t>Currently, patients with the equivalent of eight or more attacks per month can access IV or subcutaneous (SC) C1-INH (Berinert®) as routine prophylaxis, funded through the National Blood Authority (NBA)’s National Product List (NPL)</w:t>
      </w:r>
      <w:r w:rsidRPr="00EA7B3F">
        <w:rPr>
          <w:vertAlign w:val="superscript"/>
        </w:rPr>
        <w:footnoteReference w:id="2"/>
      </w:r>
      <w:r w:rsidRPr="00EA7B3F">
        <w:rPr>
          <w:vertAlign w:val="superscript"/>
        </w:rPr>
        <w:t>.</w:t>
      </w:r>
    </w:p>
    <w:p w14:paraId="2C57C68D" w14:textId="77777777" w:rsidR="005E26F3" w:rsidRPr="00EA7B3F" w:rsidRDefault="005E26F3" w:rsidP="005E26F3">
      <w:pPr>
        <w:pStyle w:val="3-BodyText"/>
        <w:numPr>
          <w:ilvl w:val="0"/>
          <w:numId w:val="0"/>
        </w:numPr>
        <w:ind w:left="720"/>
      </w:pPr>
      <w:r w:rsidRPr="00EA7B3F">
        <w:rPr>
          <w:i/>
        </w:rPr>
        <w:t>For more detail on PBAC’s view, see section 7 PBAC outcome.</w:t>
      </w:r>
    </w:p>
    <w:p w14:paraId="3E68E9E3" w14:textId="77777777" w:rsidR="007C19DE" w:rsidRPr="00EA7B3F" w:rsidRDefault="007C19DE" w:rsidP="00220069">
      <w:pPr>
        <w:pStyle w:val="2-SectionHeading"/>
        <w:numPr>
          <w:ilvl w:val="0"/>
          <w:numId w:val="1"/>
        </w:numPr>
        <w:ind w:left="709"/>
      </w:pPr>
      <w:bookmarkStart w:id="12" w:name="_Toc72133177"/>
      <w:r w:rsidRPr="00EA7B3F">
        <w:t>Comparator</w:t>
      </w:r>
      <w:bookmarkEnd w:id="12"/>
    </w:p>
    <w:p w14:paraId="59E17B0F" w14:textId="77777777" w:rsidR="007C19DE" w:rsidRPr="00EA7B3F" w:rsidRDefault="007C19DE" w:rsidP="007C19DE">
      <w:pPr>
        <w:pStyle w:val="3-BodyText"/>
        <w:rPr>
          <w:snapToGrid/>
        </w:rPr>
      </w:pPr>
      <w:r w:rsidRPr="00EA7B3F">
        <w:t xml:space="preserve">The resubmission nominated </w:t>
      </w:r>
      <w:r w:rsidR="0096054F" w:rsidRPr="00EA7B3F">
        <w:t>SOC</w:t>
      </w:r>
      <w:r w:rsidRPr="00EA7B3F">
        <w:t xml:space="preserve">, consisting of use of ODT with icatibant or </w:t>
      </w:r>
      <w:r w:rsidR="0096054F" w:rsidRPr="00EA7B3F">
        <w:t xml:space="preserve">IV </w:t>
      </w:r>
      <w:r w:rsidR="005255BC" w:rsidRPr="00EA7B3F">
        <w:t>C1</w:t>
      </w:r>
      <w:r w:rsidR="005255BC" w:rsidRPr="00EA7B3F">
        <w:noBreakHyphen/>
      </w:r>
      <w:r w:rsidRPr="00EA7B3F">
        <w:t>INH, as the main comparator. As danazol is no longer listed on the PBS, in contrast to the July 2020 resubmission, routine oral prophylaxis was no longer considered a component of SOC.</w:t>
      </w:r>
      <w:r w:rsidR="00635CD6" w:rsidRPr="00EA7B3F">
        <w:t xml:space="preserve"> </w:t>
      </w:r>
    </w:p>
    <w:p w14:paraId="3A3AE73C" w14:textId="77777777" w:rsidR="00635CD6" w:rsidRPr="00EA7B3F" w:rsidRDefault="007C19DE" w:rsidP="00635CD6">
      <w:pPr>
        <w:pStyle w:val="3-BodyText"/>
        <w:rPr>
          <w:snapToGrid/>
        </w:rPr>
      </w:pPr>
      <w:r w:rsidRPr="00EA7B3F">
        <w:t xml:space="preserve">At the July 2020 PBAC meeting, the PBAC considered that the comparator nominated by the submission, on-demand treatment (with icatibant or </w:t>
      </w:r>
      <w:r w:rsidR="006C06A7" w:rsidRPr="00EA7B3F">
        <w:t>IV</w:t>
      </w:r>
      <w:r w:rsidRPr="00EA7B3F">
        <w:t xml:space="preserve"> C1-INH) plus oral routine prophylaxis, was appropriate, particularly in patients who experience fewer than eight HAE attacks per month</w:t>
      </w:r>
      <w:r w:rsidR="00635CD6" w:rsidRPr="00EA7B3F">
        <w:t xml:space="preserve"> (</w:t>
      </w:r>
      <w:r w:rsidR="00595992" w:rsidRPr="00EA7B3F">
        <w:t>p</w:t>
      </w:r>
      <w:r w:rsidR="00635CD6" w:rsidRPr="00EA7B3F">
        <w:t>ara</w:t>
      </w:r>
      <w:r w:rsidR="00595992" w:rsidRPr="00EA7B3F">
        <w:t>graph</w:t>
      </w:r>
      <w:r w:rsidR="00635CD6" w:rsidRPr="00EA7B3F">
        <w:t xml:space="preserve"> 7.6, lanadelumab PSD, July 2020)</w:t>
      </w:r>
      <w:r w:rsidRPr="00EA7B3F">
        <w:t xml:space="preserve">. </w:t>
      </w:r>
      <w:r w:rsidR="00635CD6" w:rsidRPr="00EA7B3F">
        <w:t>As danazol is no longer available, the only oral prophylactic available on the PBS is tranexamic acid. The Australasian Society of Clinical Immunology and Allergy (ASCIA) 2020 HAE Position Paper states that use of tranexamic acid for long term prophylaxis is limited due to its relative lack of efficacy</w:t>
      </w:r>
      <w:r w:rsidR="00635CD6" w:rsidRPr="00EA7B3F">
        <w:rPr>
          <w:rStyle w:val="FootnoteReference"/>
        </w:rPr>
        <w:footnoteReference w:id="3"/>
      </w:r>
      <w:r w:rsidR="00635CD6" w:rsidRPr="00EA7B3F">
        <w:t>. Therefore, the exclusion of routine oral prophylaxis as a component of SOC in the nominated comparator was reasonable. Furthermore, in the key trial presented in the previous resubmission (HELP), only 5.6% of patients were receiving oral prophylaxis with danazol. The limited use of oral prophylaxis in the SOC arm of the trial is consistent with nominated comparator.</w:t>
      </w:r>
    </w:p>
    <w:p w14:paraId="00C5BB26" w14:textId="77777777" w:rsidR="007C19DE" w:rsidRPr="00EA7B3F" w:rsidRDefault="004F6C9D" w:rsidP="006325E3">
      <w:pPr>
        <w:pStyle w:val="3-BodyText"/>
        <w:rPr>
          <w:snapToGrid/>
        </w:rPr>
      </w:pPr>
      <w:r w:rsidRPr="00EA7B3F">
        <w:t xml:space="preserve">In July 2020, the </w:t>
      </w:r>
      <w:r w:rsidR="00635CD6" w:rsidRPr="00EA7B3F">
        <w:t xml:space="preserve">PBAC </w:t>
      </w:r>
      <w:r w:rsidR="005B5D41" w:rsidRPr="00EA7B3F">
        <w:t>further</w:t>
      </w:r>
      <w:r w:rsidR="00635CD6" w:rsidRPr="00EA7B3F">
        <w:t xml:space="preserve"> considered that, w</w:t>
      </w:r>
      <w:r w:rsidR="007C19DE" w:rsidRPr="00EA7B3F">
        <w:t>hile routine prophylaxis with C1-INH may be an appropriate comparator for patients who experience eight or more attacks per month, this is expected to represent only a small proportion of patients (</w:t>
      </w:r>
      <w:r w:rsidR="00595992" w:rsidRPr="00EA7B3F">
        <w:t>p</w:t>
      </w:r>
      <w:r w:rsidR="007C19DE" w:rsidRPr="00EA7B3F">
        <w:t>ara</w:t>
      </w:r>
      <w:r w:rsidR="00595992" w:rsidRPr="00EA7B3F">
        <w:t>graph</w:t>
      </w:r>
      <w:r w:rsidR="007C19DE" w:rsidRPr="00EA7B3F">
        <w:t xml:space="preserve"> 7.6, lanadelumab </w:t>
      </w:r>
      <w:r w:rsidR="006C06A7" w:rsidRPr="00EA7B3F">
        <w:t>PSD</w:t>
      </w:r>
      <w:r w:rsidR="007C19DE" w:rsidRPr="00EA7B3F">
        <w:t>, July 2020).</w:t>
      </w:r>
      <w:r w:rsidR="00635CD6" w:rsidRPr="00EA7B3F">
        <w:t xml:space="preserve"> </w:t>
      </w:r>
      <w:r w:rsidR="005B5D41" w:rsidRPr="00EA7B3F">
        <w:t xml:space="preserve">Routine prophylaxis with either IV or SC C1-INH </w:t>
      </w:r>
      <w:r w:rsidR="00B00CD5" w:rsidRPr="00EA7B3F">
        <w:t>was</w:t>
      </w:r>
      <w:r w:rsidR="005B5D41" w:rsidRPr="00EA7B3F">
        <w:t xml:space="preserve"> still considered an appropriate comparator for this patient population. </w:t>
      </w:r>
      <w:r w:rsidR="007C19DE" w:rsidRPr="00EA7B3F">
        <w:t>The resubmission did not present a comparison of lanadelumab and routine prophylaxis with C1-INH in patients who experience eight or more HAE attacks per month.</w:t>
      </w:r>
    </w:p>
    <w:p w14:paraId="3CA945D2" w14:textId="77777777" w:rsidR="005E26F3" w:rsidRPr="00EA7B3F" w:rsidRDefault="005E26F3" w:rsidP="005E26F3">
      <w:pPr>
        <w:pStyle w:val="3-BodyText"/>
        <w:numPr>
          <w:ilvl w:val="0"/>
          <w:numId w:val="0"/>
        </w:numPr>
        <w:ind w:left="720"/>
        <w:rPr>
          <w:snapToGrid/>
        </w:rPr>
      </w:pPr>
      <w:r w:rsidRPr="00EA7B3F">
        <w:rPr>
          <w:i/>
        </w:rPr>
        <w:t>For more detail on PBAC’s view, see section 7 PBAC outcome.</w:t>
      </w:r>
    </w:p>
    <w:p w14:paraId="44E858CA" w14:textId="77777777" w:rsidR="007C19DE" w:rsidRPr="00EA7B3F" w:rsidRDefault="007C19DE" w:rsidP="00A8361E">
      <w:pPr>
        <w:pStyle w:val="2-SectionHeading"/>
        <w:numPr>
          <w:ilvl w:val="0"/>
          <w:numId w:val="1"/>
        </w:numPr>
        <w:ind w:left="709"/>
      </w:pPr>
      <w:bookmarkStart w:id="13" w:name="_Toc72133178"/>
      <w:bookmarkStart w:id="14" w:name="_Toc22897640"/>
      <w:r w:rsidRPr="00EA7B3F">
        <w:t>Consideration of the evidence</w:t>
      </w:r>
      <w:bookmarkEnd w:id="13"/>
    </w:p>
    <w:p w14:paraId="20A317F9" w14:textId="77777777" w:rsidR="005E26F3" w:rsidRPr="00EA7B3F" w:rsidRDefault="005E26F3" w:rsidP="005E26F3">
      <w:pPr>
        <w:pStyle w:val="4-SubsectionHeading"/>
        <w:rPr>
          <w:snapToGrid w:val="0"/>
        </w:rPr>
      </w:pPr>
      <w:r w:rsidRPr="00EA7B3F">
        <w:rPr>
          <w:snapToGrid w:val="0"/>
        </w:rPr>
        <w:t>Sponsor hearing</w:t>
      </w:r>
    </w:p>
    <w:p w14:paraId="2BDB7616" w14:textId="77777777" w:rsidR="005E26F3" w:rsidRPr="00EA7B3F" w:rsidRDefault="005E26F3" w:rsidP="005E26F3">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There was no hearing for this item.</w:t>
      </w:r>
    </w:p>
    <w:p w14:paraId="1D4E0089" w14:textId="77777777" w:rsidR="005E26F3" w:rsidRPr="00EA7B3F" w:rsidRDefault="005E26F3" w:rsidP="005E26F3">
      <w:pPr>
        <w:pStyle w:val="4-SubsectionHeading"/>
        <w:rPr>
          <w:snapToGrid w:val="0"/>
        </w:rPr>
      </w:pPr>
      <w:r w:rsidRPr="00EA7B3F">
        <w:rPr>
          <w:snapToGrid w:val="0"/>
        </w:rPr>
        <w:t>Consumer comments</w:t>
      </w:r>
    </w:p>
    <w:p w14:paraId="547759BD" w14:textId="77777777" w:rsidR="005E26F3" w:rsidRPr="00EA7B3F" w:rsidRDefault="00CA5893" w:rsidP="005E26F3">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w:t>
      </w:r>
      <w:r w:rsidR="005E26F3" w:rsidRPr="00EA7B3F">
        <w:rPr>
          <w:rFonts w:asciiTheme="minorHAnsi" w:hAnsiTheme="minorHAnsi"/>
          <w:bCs/>
          <w:snapToGrid w:val="0"/>
        </w:rPr>
        <w:t>he PBAC noted and welcomed the input from individuals (</w:t>
      </w:r>
      <w:r w:rsidRPr="00EA7B3F">
        <w:rPr>
          <w:rFonts w:asciiTheme="minorHAnsi" w:hAnsiTheme="minorHAnsi"/>
          <w:bCs/>
          <w:snapToGrid w:val="0"/>
        </w:rPr>
        <w:t>26</w:t>
      </w:r>
      <w:r w:rsidR="005E26F3" w:rsidRPr="00EA7B3F">
        <w:rPr>
          <w:rFonts w:asciiTheme="minorHAnsi" w:hAnsiTheme="minorHAnsi"/>
          <w:bCs/>
          <w:snapToGrid w:val="0"/>
        </w:rPr>
        <w:t>), and organisations (1) via the Consumer Comments facility on the PBS website</w:t>
      </w:r>
      <w:r w:rsidR="00EA7B3F">
        <w:rPr>
          <w:rFonts w:asciiTheme="minorHAnsi" w:hAnsiTheme="minorHAnsi"/>
          <w:bCs/>
          <w:snapToGrid w:val="0"/>
        </w:rPr>
        <w:t xml:space="preserve">. </w:t>
      </w:r>
      <w:r w:rsidR="005E26F3" w:rsidRPr="00EA7B3F">
        <w:rPr>
          <w:rFonts w:asciiTheme="minorHAnsi" w:hAnsiTheme="minorHAnsi"/>
          <w:bCs/>
          <w:snapToGrid w:val="0"/>
        </w:rPr>
        <w:t xml:space="preserve">The comments </w:t>
      </w:r>
      <w:r w:rsidRPr="00EA7B3F">
        <w:rPr>
          <w:rFonts w:asciiTheme="minorHAnsi" w:hAnsiTheme="minorHAnsi"/>
          <w:bCs/>
          <w:snapToGrid w:val="0"/>
        </w:rPr>
        <w:t xml:space="preserve">from individuals were supported by HAE Australia and </w:t>
      </w:r>
      <w:r w:rsidR="005E26F3" w:rsidRPr="00EA7B3F">
        <w:rPr>
          <w:rFonts w:asciiTheme="minorHAnsi" w:hAnsiTheme="minorHAnsi"/>
          <w:bCs/>
          <w:snapToGrid w:val="0"/>
        </w:rPr>
        <w:t xml:space="preserve">described </w:t>
      </w:r>
      <w:r w:rsidRPr="00EA7B3F">
        <w:rPr>
          <w:rFonts w:asciiTheme="minorHAnsi" w:hAnsiTheme="minorHAnsi"/>
          <w:bCs/>
          <w:snapToGrid w:val="0"/>
        </w:rPr>
        <w:t xml:space="preserve">the debilitating and unpredictable nature of HAE attacks and the significant impact HAE has on quality of life. The comments highlighted the </w:t>
      </w:r>
      <w:r w:rsidR="005E26F3" w:rsidRPr="00EA7B3F">
        <w:rPr>
          <w:rFonts w:asciiTheme="minorHAnsi" w:hAnsiTheme="minorHAnsi"/>
          <w:bCs/>
          <w:snapToGrid w:val="0"/>
        </w:rPr>
        <w:t xml:space="preserve">benefits </w:t>
      </w:r>
      <w:r w:rsidRPr="00EA7B3F">
        <w:rPr>
          <w:rFonts w:asciiTheme="minorHAnsi" w:hAnsiTheme="minorHAnsi"/>
          <w:bCs/>
          <w:snapToGrid w:val="0"/>
        </w:rPr>
        <w:t xml:space="preserve">associated with lanadelumab </w:t>
      </w:r>
      <w:r w:rsidR="005E26F3" w:rsidRPr="00EA7B3F">
        <w:rPr>
          <w:rFonts w:asciiTheme="minorHAnsi" w:hAnsiTheme="minorHAnsi"/>
          <w:bCs/>
          <w:snapToGrid w:val="0"/>
        </w:rPr>
        <w:t xml:space="preserve">treatment including the </w:t>
      </w:r>
      <w:r w:rsidRPr="00EA7B3F">
        <w:rPr>
          <w:rFonts w:asciiTheme="minorHAnsi" w:hAnsiTheme="minorHAnsi"/>
          <w:bCs/>
          <w:snapToGrid w:val="0"/>
        </w:rPr>
        <w:t>ease of administration, efficacy in reducing attacks and the resulting improvements to quality of life</w:t>
      </w:r>
      <w:r w:rsidR="00EA7B3F">
        <w:rPr>
          <w:rFonts w:asciiTheme="minorHAnsi" w:hAnsiTheme="minorHAnsi"/>
          <w:bCs/>
          <w:snapToGrid w:val="0"/>
        </w:rPr>
        <w:t xml:space="preserve">. </w:t>
      </w:r>
    </w:p>
    <w:p w14:paraId="01BA9CED" w14:textId="77777777" w:rsidR="005E26F3" w:rsidRPr="00EA7B3F" w:rsidRDefault="005E26F3" w:rsidP="005E26F3">
      <w:pPr>
        <w:pStyle w:val="4-SubsectionHeading"/>
      </w:pPr>
      <w:r w:rsidRPr="00EA7B3F">
        <w:t>Clinical trials</w:t>
      </w:r>
    </w:p>
    <w:bookmarkEnd w:id="14"/>
    <w:p w14:paraId="6F22EDD6" w14:textId="77777777" w:rsidR="000252BE" w:rsidRPr="00EA7B3F" w:rsidRDefault="007C19DE" w:rsidP="000252BE">
      <w:pPr>
        <w:pStyle w:val="3-BodyText"/>
      </w:pPr>
      <w:r w:rsidRPr="00EA7B3F">
        <w:t>The resubmission did not present any clinical evidence</w:t>
      </w:r>
      <w:r w:rsidR="005D6C76" w:rsidRPr="00EA7B3F">
        <w:t>.</w:t>
      </w:r>
    </w:p>
    <w:p w14:paraId="2A0B1E5C" w14:textId="77777777" w:rsidR="000252BE" w:rsidRPr="00EA7B3F" w:rsidRDefault="000252BE" w:rsidP="000252BE">
      <w:pPr>
        <w:pStyle w:val="3-BodyText"/>
      </w:pPr>
      <w:r w:rsidRPr="00EA7B3F">
        <w:t xml:space="preserve">The PBAC previously considered that the claim of superior comparative effectiveness was </w:t>
      </w:r>
      <w:r w:rsidR="00A326CE" w:rsidRPr="00EA7B3F">
        <w:t>reasonable but</w:t>
      </w:r>
      <w:r w:rsidRPr="00EA7B3F">
        <w:t xml:space="preserve"> considered there was residual uncertainty in the magnitude of benefit due to the small patient numbers in the trial and potential applicability issues. It further considered that the claim of inferior comparative safety was reasonable, and that, based on the evidence available, lanadelumab appears to be well tolerated (</w:t>
      </w:r>
      <w:r w:rsidR="00595992" w:rsidRPr="00EA7B3F">
        <w:t>p</w:t>
      </w:r>
      <w:r w:rsidRPr="00EA7B3F">
        <w:t>aragraphs 6.27 and 6.28, lanadelumab PSD, July 2020).</w:t>
      </w:r>
    </w:p>
    <w:p w14:paraId="07988452" w14:textId="77777777" w:rsidR="007C19DE" w:rsidRPr="00EA7B3F" w:rsidRDefault="007C19DE" w:rsidP="007C19DE">
      <w:pPr>
        <w:pStyle w:val="4-SubsectionHeading"/>
      </w:pPr>
      <w:bookmarkStart w:id="15" w:name="_Toc22897645"/>
      <w:bookmarkStart w:id="16" w:name="_Toc72133179"/>
      <w:r w:rsidRPr="00EA7B3F">
        <w:t>Economic analysis</w:t>
      </w:r>
      <w:bookmarkEnd w:id="15"/>
      <w:bookmarkEnd w:id="16"/>
      <w:r w:rsidRPr="00EA7B3F">
        <w:t xml:space="preserve"> </w:t>
      </w:r>
    </w:p>
    <w:p w14:paraId="0118E98D" w14:textId="77777777" w:rsidR="007C19DE" w:rsidRPr="00EA7B3F" w:rsidRDefault="007C19DE" w:rsidP="007C19DE">
      <w:pPr>
        <w:pStyle w:val="3-BodyText"/>
        <w:rPr>
          <w:bCs/>
        </w:rPr>
      </w:pPr>
      <w:r w:rsidRPr="00EA7B3F">
        <w:rPr>
          <w:bCs/>
        </w:rPr>
        <w:t xml:space="preserve">The resubmission presented an updated economic evaluation based on the direct randomised trial HELP </w:t>
      </w:r>
      <w:r w:rsidR="006325E3" w:rsidRPr="00EA7B3F">
        <w:rPr>
          <w:bCs/>
        </w:rPr>
        <w:t>and implemented</w:t>
      </w:r>
      <w:r w:rsidRPr="00EA7B3F">
        <w:rPr>
          <w:bCs/>
        </w:rPr>
        <w:t xml:space="preserve"> a modelled evaluation. The type of economic evaluation presented was a cost-utility analysis. The type of analysis and the structure of the model was unchanged from the resubmission </w:t>
      </w:r>
      <w:r w:rsidRPr="00EA7B3F">
        <w:rPr>
          <w:bCs/>
          <w:iCs/>
        </w:rPr>
        <w:t>considered in July 2020.</w:t>
      </w:r>
    </w:p>
    <w:p w14:paraId="33C47CB2" w14:textId="77777777" w:rsidR="007C19DE" w:rsidRPr="00EA7B3F" w:rsidRDefault="007C19DE" w:rsidP="007C19DE">
      <w:pPr>
        <w:pStyle w:val="3-BodyText"/>
        <w:rPr>
          <w:bCs/>
        </w:rPr>
      </w:pPr>
      <w:r w:rsidRPr="00EA7B3F">
        <w:rPr>
          <w:iCs/>
        </w:rPr>
        <w:t xml:space="preserve">The economic evaluation only assessed the cost-effectiveness of lanadelumab compared with SOC; it did not present a comparison with </w:t>
      </w:r>
      <w:r w:rsidR="00FA347E" w:rsidRPr="00EA7B3F">
        <w:rPr>
          <w:iCs/>
        </w:rPr>
        <w:t xml:space="preserve">the use of </w:t>
      </w:r>
      <w:r w:rsidRPr="00EA7B3F">
        <w:rPr>
          <w:iCs/>
        </w:rPr>
        <w:t>C1-INH as routine prophylaxis in patients experiencing eight or more attacks per month.</w:t>
      </w:r>
      <w:r w:rsidR="00414CD6" w:rsidRPr="00EA7B3F">
        <w:rPr>
          <w:iCs/>
        </w:rPr>
        <w:t xml:space="preserve"> The PSCR stated that this comparison was presented in the original July 2019 submission and was limited due to the interchangeability issues between the trial evidence that exists</w:t>
      </w:r>
      <w:r w:rsidR="001F7988" w:rsidRPr="00EA7B3F">
        <w:rPr>
          <w:iCs/>
        </w:rPr>
        <w:t xml:space="preserve">. </w:t>
      </w:r>
      <w:r w:rsidR="00F55F69" w:rsidRPr="00EA7B3F">
        <w:rPr>
          <w:iCs/>
        </w:rPr>
        <w:t>A</w:t>
      </w:r>
      <w:r w:rsidR="001F7988" w:rsidRPr="00EA7B3F">
        <w:rPr>
          <w:iCs/>
        </w:rPr>
        <w:t xml:space="preserve"> comparison of the estimated average treatment costs per year of lanadelumab and C1-INH predicted that treatment with lanadelumab would be less than half that of C1-INH.</w:t>
      </w:r>
    </w:p>
    <w:p w14:paraId="13F09488" w14:textId="77777777" w:rsidR="007C19DE" w:rsidRPr="00EA7B3F" w:rsidRDefault="007C19DE" w:rsidP="007C19DE">
      <w:pPr>
        <w:pStyle w:val="3-BodyText"/>
        <w:rPr>
          <w:bCs/>
        </w:rPr>
      </w:pPr>
      <w:r w:rsidRPr="00EA7B3F">
        <w:rPr>
          <w:bCs/>
        </w:rPr>
        <w:t>At its July 2020 meeting, the PBAC noted the following regarding the economic model presented in the previous resubmission:</w:t>
      </w:r>
    </w:p>
    <w:p w14:paraId="0F7ED88C" w14:textId="265268A7" w:rsidR="007C19DE" w:rsidRPr="00EA7B3F" w:rsidRDefault="007C19DE" w:rsidP="004928B9">
      <w:pPr>
        <w:pStyle w:val="ListParagraph"/>
        <w:numPr>
          <w:ilvl w:val="0"/>
          <w:numId w:val="9"/>
        </w:numPr>
        <w:ind w:left="1080"/>
      </w:pPr>
      <w:r w:rsidRPr="00EA7B3F">
        <w:t xml:space="preserve">The base case of the economic evaluation, which resulted in an </w:t>
      </w:r>
      <w:r w:rsidR="006C06A7" w:rsidRPr="00EA7B3F">
        <w:t>incremental cost-effectiveness (</w:t>
      </w:r>
      <w:r w:rsidRPr="00EA7B3F">
        <w:t>ICER</w:t>
      </w:r>
      <w:r w:rsidR="006C06A7" w:rsidRPr="00EA7B3F">
        <w:t>)</w:t>
      </w:r>
      <w:r w:rsidRPr="00EA7B3F">
        <w:t xml:space="preserve"> of </w:t>
      </w:r>
      <w:r w:rsidR="00E05F80" w:rsidRPr="00EA7B3F">
        <w:t>$</w:t>
      </w:r>
      <w:r w:rsidR="003D4CEF">
        <w:t>45,000 to &lt; $55,000</w:t>
      </w:r>
      <w:r w:rsidRPr="00EA7B3F">
        <w:t>/quality-adjusted life year (QALY), was uncertain and optimistic and that the ICER could plausibly be higher than $</w:t>
      </w:r>
      <w:r w:rsidR="00261C68">
        <w:t>955,000 to &lt; $1,055,000</w:t>
      </w:r>
      <w:r w:rsidRPr="00EA7B3F">
        <w:t>/QALY. The PBAC considered that the key issues were the baseline attack rate applied in the model, uncertainty around the dosage regimen that would be likely used in clinical practice, and the likely optimistic between-attack utilities that were applied (</w:t>
      </w:r>
      <w:r w:rsidR="00595992" w:rsidRPr="00EA7B3F">
        <w:t>p</w:t>
      </w:r>
      <w:r w:rsidRPr="00EA7B3F">
        <w:t>aragraph 7.13, lanadelumab</w:t>
      </w:r>
      <w:r w:rsidR="00E05F80" w:rsidRPr="00EA7B3F">
        <w:t xml:space="preserve"> </w:t>
      </w:r>
      <w:r w:rsidR="00D25ED7">
        <w:t>PSD</w:t>
      </w:r>
      <w:r w:rsidRPr="00EA7B3F">
        <w:t xml:space="preserve">, July 2020). </w:t>
      </w:r>
    </w:p>
    <w:p w14:paraId="1046385C" w14:textId="77777777" w:rsidR="007C19DE" w:rsidRPr="00EA7B3F" w:rsidRDefault="007C19DE" w:rsidP="004928B9">
      <w:pPr>
        <w:pStyle w:val="ListParagraph"/>
        <w:numPr>
          <w:ilvl w:val="0"/>
          <w:numId w:val="9"/>
        </w:numPr>
        <w:ind w:left="1080"/>
      </w:pPr>
      <w:r w:rsidRPr="00EA7B3F">
        <w:t xml:space="preserve">The ICER was highly sensitive to the baseline HAE attack rate. The PBAC noted there was a large difference between the number of attacks required for PBS eligibility and the point at which lanadelumab would likely become cost-effective. </w:t>
      </w:r>
      <w:r w:rsidR="0017162A" w:rsidRPr="00EA7B3F">
        <w:t>(</w:t>
      </w:r>
      <w:r w:rsidR="009C7E7A" w:rsidRPr="00EA7B3F">
        <w:t>p</w:t>
      </w:r>
      <w:r w:rsidR="0017162A" w:rsidRPr="00EA7B3F">
        <w:t>aragraph 7.11</w:t>
      </w:r>
      <w:r w:rsidRPr="00EA7B3F">
        <w:t xml:space="preserve">, lanadelumab PSD, July 2020). </w:t>
      </w:r>
    </w:p>
    <w:p w14:paraId="70ECD3CF" w14:textId="19E0F475" w:rsidR="007C19DE" w:rsidRPr="00EA7B3F" w:rsidRDefault="007C19DE" w:rsidP="004928B9">
      <w:pPr>
        <w:pStyle w:val="ListParagraph"/>
        <w:numPr>
          <w:ilvl w:val="0"/>
          <w:numId w:val="9"/>
        </w:numPr>
        <w:ind w:left="1080"/>
      </w:pPr>
      <w:r w:rsidRPr="00EA7B3F">
        <w:t>The</w:t>
      </w:r>
      <w:r w:rsidR="004F6C9D" w:rsidRPr="00EA7B3F">
        <w:t>re was a</w:t>
      </w:r>
      <w:r w:rsidRPr="00EA7B3F">
        <w:t xml:space="preserve"> substantial difference in the cost per patient between the 300 mg every four weeks (Q4W) and every two weeks (Q2W) dose ($</w:t>
      </w:r>
      <w:r w:rsidR="006F5B4F">
        <w:rPr>
          <w:noProof/>
          <w:color w:val="000000"/>
          <w:highlight w:val="black"/>
        </w:rPr>
        <w:t>''''''''''''''</w:t>
      </w:r>
      <w:r w:rsidRPr="00EA7B3F">
        <w:t xml:space="preserve"> versus $</w:t>
      </w:r>
      <w:r w:rsidR="006F5B4F">
        <w:rPr>
          <w:noProof/>
          <w:color w:val="000000"/>
          <w:highlight w:val="black"/>
        </w:rPr>
        <w:t>''''''''''''''''</w:t>
      </w:r>
      <w:r w:rsidRPr="00EA7B3F">
        <w:t xml:space="preserve"> per patient per year). The PBAC further considered that, given the difference in cost for the two regimens was not supported by a demonstrated difference in efficacy, it may be appropriate to cap the cost per patient at no more than that for the 300</w:t>
      </w:r>
      <w:r w:rsidR="00A326CE">
        <w:t xml:space="preserve"> </w:t>
      </w:r>
      <w:r w:rsidRPr="00EA7B3F">
        <w:t>mg Q4W regimen (</w:t>
      </w:r>
      <w:r w:rsidR="009C7E7A" w:rsidRPr="00EA7B3F">
        <w:t>p</w:t>
      </w:r>
      <w:r w:rsidRPr="00EA7B3F">
        <w:t xml:space="preserve">aragraph 7.9, lanadelumab </w:t>
      </w:r>
      <w:r w:rsidR="00D25ED7">
        <w:t>PSD</w:t>
      </w:r>
      <w:r w:rsidRPr="00EA7B3F">
        <w:t xml:space="preserve">, July 2020). </w:t>
      </w:r>
    </w:p>
    <w:p w14:paraId="48869F1A" w14:textId="77777777" w:rsidR="007C19DE" w:rsidRPr="00EA7B3F" w:rsidRDefault="007C19DE" w:rsidP="004928B9">
      <w:pPr>
        <w:pStyle w:val="ListParagraph"/>
        <w:numPr>
          <w:ilvl w:val="0"/>
          <w:numId w:val="9"/>
        </w:numPr>
        <w:ind w:left="1080"/>
        <w:rPr>
          <w:bCs/>
        </w:rPr>
      </w:pPr>
      <w:r w:rsidRPr="00EA7B3F">
        <w:t>The model was sensitive to the efficacy estimates and</w:t>
      </w:r>
      <w:r w:rsidR="001C56C3" w:rsidRPr="00EA7B3F">
        <w:t xml:space="preserve"> </w:t>
      </w:r>
      <w:r w:rsidRPr="00EA7B3F">
        <w:t>applying the estimate for the Q4W treatment arm (which was assumed to be used in 77% of patients) rather than the Q2W arm had a moderate impact on the ICER (</w:t>
      </w:r>
      <w:r w:rsidR="009C7E7A" w:rsidRPr="00EA7B3F">
        <w:t>p</w:t>
      </w:r>
      <w:r w:rsidRPr="00EA7B3F">
        <w:t>aragraph 7.13, lanadelumab PSD, July 2020).</w:t>
      </w:r>
    </w:p>
    <w:p w14:paraId="6F928414" w14:textId="77777777" w:rsidR="007C19DE" w:rsidRPr="00EA7B3F" w:rsidRDefault="007C19DE" w:rsidP="007C19DE">
      <w:pPr>
        <w:pStyle w:val="3-BodyText"/>
        <w:rPr>
          <w:bCs/>
        </w:rPr>
      </w:pPr>
      <w:r w:rsidRPr="00EA7B3F">
        <w:t>The key changes in the economic model, compared with the model in the previous resubmission, are summarised below.</w:t>
      </w:r>
    </w:p>
    <w:p w14:paraId="62E1F916" w14:textId="77777777" w:rsidR="007C19DE" w:rsidRPr="00EA7B3F" w:rsidRDefault="007C19DE" w:rsidP="007C19DE">
      <w:pPr>
        <w:pStyle w:val="TableFigureHeading"/>
      </w:pPr>
      <w:bookmarkStart w:id="17" w:name="_Ref68594602"/>
      <w:bookmarkStart w:id="18" w:name="_Ref68594567"/>
      <w:r w:rsidRPr="00EA7B3F">
        <w:t xml:space="preserve">Table </w:t>
      </w:r>
      <w:r w:rsidR="001972C4" w:rsidRPr="00EA7B3F">
        <w:t>4</w:t>
      </w:r>
      <w:bookmarkEnd w:id="17"/>
      <w:r w:rsidRPr="00EA7B3F">
        <w:t>: Key differences between the economic models presented in the current resubmission and the July 2020 resubmission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811"/>
        <w:gridCol w:w="3811"/>
      </w:tblGrid>
      <w:tr w:rsidR="007C19DE" w:rsidRPr="00EA7B3F" w14:paraId="267914C0" w14:textId="77777777" w:rsidTr="003D2164">
        <w:trPr>
          <w:cantSplit/>
          <w:tblHeader/>
        </w:trPr>
        <w:tc>
          <w:tcPr>
            <w:tcW w:w="774" w:type="pct"/>
            <w:vAlign w:val="center"/>
          </w:tcPr>
          <w:p w14:paraId="121DAAB8" w14:textId="77777777" w:rsidR="007C19DE" w:rsidRPr="00EA7B3F" w:rsidRDefault="007C19DE" w:rsidP="003D2164">
            <w:pPr>
              <w:pStyle w:val="In-tableHeading"/>
              <w:rPr>
                <w:lang w:val="en-AU"/>
              </w:rPr>
            </w:pPr>
            <w:r w:rsidRPr="00EA7B3F">
              <w:rPr>
                <w:lang w:val="en-AU"/>
              </w:rPr>
              <w:t>Component</w:t>
            </w:r>
          </w:p>
        </w:tc>
        <w:tc>
          <w:tcPr>
            <w:tcW w:w="2113" w:type="pct"/>
            <w:vAlign w:val="center"/>
          </w:tcPr>
          <w:p w14:paraId="172B13A3" w14:textId="77777777" w:rsidR="007C19DE" w:rsidRPr="00EA7B3F" w:rsidRDefault="007C19DE" w:rsidP="003D2164">
            <w:pPr>
              <w:pStyle w:val="In-tableHeading"/>
              <w:rPr>
                <w:lang w:val="en-AU"/>
              </w:rPr>
            </w:pPr>
            <w:r w:rsidRPr="00EA7B3F">
              <w:rPr>
                <w:lang w:val="en-AU"/>
              </w:rPr>
              <w:t>Resubmission considered in July</w:t>
            </w:r>
            <w:r w:rsidR="00A326CE">
              <w:rPr>
                <w:lang w:val="en-AU"/>
              </w:rPr>
              <w:t xml:space="preserve"> </w:t>
            </w:r>
            <w:r w:rsidRPr="00EA7B3F">
              <w:rPr>
                <w:lang w:val="en-AU"/>
              </w:rPr>
              <w:t>2020</w:t>
            </w:r>
          </w:p>
        </w:tc>
        <w:tc>
          <w:tcPr>
            <w:tcW w:w="2113" w:type="pct"/>
            <w:vAlign w:val="center"/>
          </w:tcPr>
          <w:p w14:paraId="6A9D0FEE" w14:textId="77777777" w:rsidR="007C19DE" w:rsidRPr="00EA7B3F" w:rsidRDefault="007C19DE" w:rsidP="003D2164">
            <w:pPr>
              <w:pStyle w:val="In-tableHeading"/>
              <w:rPr>
                <w:lang w:val="en-AU"/>
              </w:rPr>
            </w:pPr>
            <w:r w:rsidRPr="00EA7B3F">
              <w:rPr>
                <w:lang w:val="en-AU"/>
              </w:rPr>
              <w:t>Current resubmission</w:t>
            </w:r>
          </w:p>
        </w:tc>
      </w:tr>
      <w:tr w:rsidR="007C19DE" w:rsidRPr="00EA7B3F" w14:paraId="1580BF9D" w14:textId="77777777" w:rsidTr="003D2164">
        <w:trPr>
          <w:cantSplit/>
        </w:trPr>
        <w:tc>
          <w:tcPr>
            <w:tcW w:w="774" w:type="pct"/>
          </w:tcPr>
          <w:p w14:paraId="0E1DC3D3" w14:textId="77777777" w:rsidR="007C19DE" w:rsidRPr="00EA7B3F" w:rsidRDefault="007C19DE" w:rsidP="003D2164">
            <w:pPr>
              <w:pStyle w:val="TableText0"/>
            </w:pPr>
            <w:r w:rsidRPr="00EA7B3F">
              <w:t>Baseline HAE attack frequency</w:t>
            </w:r>
          </w:p>
        </w:tc>
        <w:tc>
          <w:tcPr>
            <w:tcW w:w="2113" w:type="pct"/>
          </w:tcPr>
          <w:p w14:paraId="26EE205D" w14:textId="77777777" w:rsidR="007C19DE" w:rsidRPr="00EA7B3F" w:rsidRDefault="007C19DE" w:rsidP="003D2164">
            <w:pPr>
              <w:pStyle w:val="TableText0"/>
              <w:ind w:left="6"/>
            </w:pPr>
            <w:r w:rsidRPr="00EA7B3F">
              <w:t>Used a 100% PBS data sample to derive the number of icatibant injections dispensed to initiating patients over 12-months, for patients initiating on icatibant between 1 August 2012 and 31 October 2015.</w:t>
            </w:r>
          </w:p>
          <w:p w14:paraId="185C57CB" w14:textId="77777777" w:rsidR="007C19DE" w:rsidRPr="00EA7B3F" w:rsidRDefault="007C19DE" w:rsidP="003D2164">
            <w:pPr>
              <w:pStyle w:val="TableText0"/>
              <w:ind w:left="6"/>
            </w:pPr>
            <w:r w:rsidRPr="00EA7B3F">
              <w:t xml:space="preserve">Distribution of HAE attacks in the SOC arm was based on 11 patients who had been dispensed ≥ 24 injections over a 12-month period (4.6% of patients). </w:t>
            </w:r>
          </w:p>
          <w:p w14:paraId="29A0CF94" w14:textId="77777777" w:rsidR="007C19DE" w:rsidRPr="00EA7B3F" w:rsidRDefault="007C19DE" w:rsidP="003D2164">
            <w:pPr>
              <w:pStyle w:val="TableText0"/>
              <w:ind w:left="6"/>
              <w:rPr>
                <w:rFonts w:eastAsia="Times New Roman" w:cs="Arial"/>
                <w:bCs w:val="0"/>
                <w:snapToGrid w:val="0"/>
                <w:szCs w:val="20"/>
              </w:rPr>
            </w:pPr>
            <w:r w:rsidRPr="00EA7B3F">
              <w:t>Mean number of attacks in SOC arm: 55.0 per year.</w:t>
            </w:r>
          </w:p>
        </w:tc>
        <w:tc>
          <w:tcPr>
            <w:tcW w:w="2113" w:type="pct"/>
          </w:tcPr>
          <w:p w14:paraId="19482986"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 xml:space="preserve">PBS data for </w:t>
            </w:r>
            <w:r w:rsidR="00EB283D" w:rsidRPr="00EA7B3F">
              <w:rPr>
                <w:rFonts w:eastAsia="Times New Roman" w:cs="Arial"/>
                <w:bCs w:val="0"/>
                <w:snapToGrid w:val="0"/>
                <w:szCs w:val="20"/>
              </w:rPr>
              <w:t>patients</w:t>
            </w:r>
            <w:r w:rsidRPr="00EA7B3F">
              <w:rPr>
                <w:rFonts w:eastAsia="Times New Roman" w:cs="Arial"/>
                <w:bCs w:val="0"/>
                <w:snapToGrid w:val="0"/>
                <w:szCs w:val="20"/>
              </w:rPr>
              <w:t xml:space="preserve"> dispensed icatibant from 2016 to 2019, presented as the number of patients who were dispensed a given number of icatibant injections in each calendar year.</w:t>
            </w:r>
          </w:p>
          <w:p w14:paraId="006DBB79"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 xml:space="preserve">For privacy reasons, where the number of patients dispensed a given number of injections </w:t>
            </w:r>
            <w:r w:rsidR="00FC1EE3" w:rsidRPr="00EA7B3F">
              <w:rPr>
                <w:rFonts w:eastAsia="Times New Roman" w:cs="Arial"/>
                <w:bCs w:val="0"/>
                <w:snapToGrid w:val="0"/>
                <w:szCs w:val="20"/>
              </w:rPr>
              <w:t xml:space="preserve">within a given calendar year </w:t>
            </w:r>
            <w:r w:rsidRPr="00EA7B3F">
              <w:rPr>
                <w:rFonts w:eastAsia="Times New Roman" w:cs="Arial"/>
                <w:bCs w:val="0"/>
                <w:snapToGrid w:val="0"/>
                <w:szCs w:val="20"/>
              </w:rPr>
              <w:t xml:space="preserve">was </w:t>
            </w:r>
            <w:r w:rsidR="004D4CC9" w:rsidRPr="00EA7B3F">
              <w:rPr>
                <w:rFonts w:eastAsia="Times New Roman" w:cs="Arial"/>
                <w:bCs w:val="0"/>
                <w:snapToGrid w:val="0"/>
                <w:szCs w:val="20"/>
              </w:rPr>
              <w:t xml:space="preserve">not </w:t>
            </w:r>
            <w:r w:rsidRPr="00EA7B3F">
              <w:rPr>
                <w:rFonts w:eastAsia="Times New Roman" w:cs="Arial"/>
                <w:bCs w:val="0"/>
                <w:snapToGrid w:val="0"/>
                <w:szCs w:val="20"/>
              </w:rPr>
              <w:t>zero but less than 5, it was reported as &lt;5 patients. For the analysis, it was assumed that ‘&lt;5’ was exactly one patient.</w:t>
            </w:r>
          </w:p>
          <w:p w14:paraId="0CBDB081" w14:textId="77777777" w:rsidR="007C19DE" w:rsidRPr="00EA7B3F" w:rsidRDefault="007C19DE" w:rsidP="003D2164">
            <w:pPr>
              <w:pStyle w:val="TableText0"/>
              <w:ind w:left="6"/>
            </w:pPr>
            <w:r w:rsidRPr="00EA7B3F">
              <w:rPr>
                <w:rFonts w:eastAsia="Times New Roman" w:cs="Arial"/>
                <w:bCs w:val="0"/>
                <w:snapToGrid w:val="0"/>
                <w:szCs w:val="20"/>
              </w:rPr>
              <w:t xml:space="preserve">Between 20 and 31 patients were identified as having been dispensed </w:t>
            </w:r>
            <w:r w:rsidRPr="00EA7B3F">
              <w:t>≥ 24 injections of icatibant over each calendar year from 2016-2019 (total of 107 patient years).</w:t>
            </w:r>
          </w:p>
          <w:p w14:paraId="64290A65" w14:textId="77777777" w:rsidR="007C19DE" w:rsidRPr="00EA7B3F" w:rsidRDefault="007C19DE" w:rsidP="003D2164">
            <w:pPr>
              <w:pStyle w:val="TableText0"/>
              <w:ind w:left="6"/>
              <w:rPr>
                <w:rFonts w:eastAsia="Times New Roman" w:cs="Arial"/>
                <w:bCs w:val="0"/>
                <w:snapToGrid w:val="0"/>
                <w:szCs w:val="20"/>
              </w:rPr>
            </w:pPr>
            <w:r w:rsidRPr="00EA7B3F">
              <w:t>Mean number of attacks in SOC arm: 54.8 per patient year.</w:t>
            </w:r>
          </w:p>
        </w:tc>
      </w:tr>
      <w:tr w:rsidR="007C19DE" w:rsidRPr="00EA7B3F" w14:paraId="362F3D20" w14:textId="77777777" w:rsidTr="003D2164">
        <w:trPr>
          <w:cantSplit/>
        </w:trPr>
        <w:tc>
          <w:tcPr>
            <w:tcW w:w="774" w:type="pct"/>
          </w:tcPr>
          <w:p w14:paraId="0743B006" w14:textId="77777777" w:rsidR="007C19DE" w:rsidRPr="00EA7B3F" w:rsidRDefault="007C19DE" w:rsidP="003D2164">
            <w:pPr>
              <w:pStyle w:val="TableText0"/>
            </w:pPr>
            <w:r w:rsidRPr="00EA7B3F">
              <w:t>Dosage regimen</w:t>
            </w:r>
          </w:p>
        </w:tc>
        <w:tc>
          <w:tcPr>
            <w:tcW w:w="2113" w:type="pct"/>
          </w:tcPr>
          <w:p w14:paraId="4AC47C51"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Distribution of doses:</w:t>
            </w:r>
          </w:p>
          <w:p w14:paraId="6EE21AB8"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77.1% lanadelumab 300 mg Q4W</w:t>
            </w:r>
          </w:p>
          <w:p w14:paraId="7328093D"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22.9% lanadelumab 300 mg Q2W</w:t>
            </w:r>
          </w:p>
          <w:p w14:paraId="61F767DD"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 xml:space="preserve">Weighted average of </w:t>
            </w:r>
            <w:r w:rsidRPr="008D5AA5">
              <w:rPr>
                <w:rFonts w:eastAsia="Times New Roman" w:cs="Arial"/>
                <w:bCs w:val="0"/>
                <w:snapToGrid w:val="0"/>
                <w:szCs w:val="20"/>
              </w:rPr>
              <w:t>15.98</w:t>
            </w:r>
            <w:r w:rsidRPr="00EA7B3F">
              <w:rPr>
                <w:rFonts w:eastAsia="Times New Roman" w:cs="Arial"/>
                <w:bCs w:val="0"/>
                <w:snapToGrid w:val="0"/>
                <w:szCs w:val="20"/>
              </w:rPr>
              <w:t xml:space="preserve"> doses per year</w:t>
            </w:r>
          </w:p>
          <w:p w14:paraId="6B58691E"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Average cost of $</w:t>
            </w:r>
            <w:r w:rsidR="006F5B4F">
              <w:rPr>
                <w:rFonts w:eastAsia="Times New Roman" w:cs="Arial"/>
                <w:bCs w:val="0"/>
                <w:noProof/>
                <w:snapToGrid w:val="0"/>
                <w:color w:val="000000"/>
                <w:szCs w:val="20"/>
                <w:highlight w:val="black"/>
              </w:rPr>
              <w:t>''''''''''''''''''''</w:t>
            </w:r>
            <w:r w:rsidRPr="00EA7B3F">
              <w:rPr>
                <w:rFonts w:eastAsia="Times New Roman" w:cs="Arial"/>
                <w:bCs w:val="0"/>
                <w:snapToGrid w:val="0"/>
                <w:szCs w:val="20"/>
              </w:rPr>
              <w:t>/patient/year</w:t>
            </w:r>
          </w:p>
        </w:tc>
        <w:tc>
          <w:tcPr>
            <w:tcW w:w="2113" w:type="pct"/>
          </w:tcPr>
          <w:p w14:paraId="39C589F4"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 xml:space="preserve">The resubmission applied the cost for the lanadelumab 300 mg Q4W treatment regimen to all patients, i.e. </w:t>
            </w:r>
            <w:r w:rsidRPr="008D5AA5">
              <w:rPr>
                <w:rFonts w:eastAsia="Times New Roman" w:cs="Arial"/>
                <w:bCs w:val="0"/>
                <w:snapToGrid w:val="0"/>
                <w:szCs w:val="20"/>
              </w:rPr>
              <w:t>13</w:t>
            </w:r>
            <w:r w:rsidRPr="00EA7B3F">
              <w:rPr>
                <w:rFonts w:eastAsia="Times New Roman" w:cs="Arial"/>
                <w:bCs w:val="0"/>
                <w:snapToGrid w:val="0"/>
                <w:szCs w:val="20"/>
              </w:rPr>
              <w:t xml:space="preserve"> doses per year</w:t>
            </w:r>
          </w:p>
          <w:p w14:paraId="6A4A1866" w14:textId="77777777" w:rsidR="007C19DE" w:rsidRPr="00EA7B3F" w:rsidRDefault="007C19DE" w:rsidP="003D2164">
            <w:pPr>
              <w:pStyle w:val="TableText0"/>
              <w:ind w:left="6"/>
              <w:rPr>
                <w:rFonts w:eastAsia="Times New Roman" w:cs="Arial"/>
                <w:bCs w:val="0"/>
                <w:snapToGrid w:val="0"/>
                <w:szCs w:val="20"/>
              </w:rPr>
            </w:pPr>
            <w:r w:rsidRPr="00EA7B3F">
              <w:rPr>
                <w:rFonts w:eastAsia="Times New Roman" w:cs="Arial"/>
                <w:bCs w:val="0"/>
                <w:snapToGrid w:val="0"/>
                <w:szCs w:val="20"/>
              </w:rPr>
              <w:t>Average cost of $</w:t>
            </w:r>
            <w:r w:rsidR="006F5B4F">
              <w:rPr>
                <w:rFonts w:eastAsia="Times New Roman" w:cs="Arial"/>
                <w:bCs w:val="0"/>
                <w:noProof/>
                <w:snapToGrid w:val="0"/>
                <w:color w:val="000000"/>
                <w:szCs w:val="20"/>
                <w:highlight w:val="black"/>
              </w:rPr>
              <w:t>'''''''''''''''''''''</w:t>
            </w:r>
            <w:r w:rsidRPr="00EA7B3F">
              <w:rPr>
                <w:rFonts w:eastAsia="Times New Roman" w:cs="Arial"/>
                <w:bCs w:val="0"/>
                <w:snapToGrid w:val="0"/>
                <w:szCs w:val="20"/>
              </w:rPr>
              <w:t>/patient /year</w:t>
            </w:r>
          </w:p>
          <w:p w14:paraId="3796FB30" w14:textId="77777777" w:rsidR="007C19DE" w:rsidRPr="00EA7B3F" w:rsidRDefault="007C19DE" w:rsidP="003D2164">
            <w:pPr>
              <w:pStyle w:val="TableText0"/>
              <w:rPr>
                <w:rFonts w:eastAsia="Times New Roman" w:cs="Arial"/>
                <w:bCs w:val="0"/>
                <w:snapToGrid w:val="0"/>
                <w:szCs w:val="20"/>
              </w:rPr>
            </w:pPr>
            <w:r w:rsidRPr="00EA7B3F">
              <w:rPr>
                <w:rFonts w:eastAsia="Times New Roman" w:cs="Arial"/>
                <w:bCs w:val="0"/>
                <w:snapToGrid w:val="0"/>
                <w:szCs w:val="20"/>
              </w:rPr>
              <w:t xml:space="preserve">This was intended to reflect the RSA proposed in the resubmission (see below for detail). </w:t>
            </w:r>
          </w:p>
        </w:tc>
      </w:tr>
      <w:tr w:rsidR="007C19DE" w:rsidRPr="00EA7B3F" w14:paraId="6D956BD5" w14:textId="77777777" w:rsidTr="003D2164">
        <w:trPr>
          <w:cantSplit/>
        </w:trPr>
        <w:tc>
          <w:tcPr>
            <w:tcW w:w="774" w:type="pct"/>
          </w:tcPr>
          <w:p w14:paraId="4D48C28D" w14:textId="77777777" w:rsidR="007C19DE" w:rsidRPr="00EA7B3F" w:rsidRDefault="007C19DE" w:rsidP="003D2164">
            <w:pPr>
              <w:pStyle w:val="TableText0"/>
            </w:pPr>
            <w:r w:rsidRPr="00EA7B3F">
              <w:t>Cost of icatibant</w:t>
            </w:r>
          </w:p>
        </w:tc>
        <w:tc>
          <w:tcPr>
            <w:tcW w:w="2113" w:type="pct"/>
          </w:tcPr>
          <w:p w14:paraId="7B5C7176" w14:textId="77777777" w:rsidR="007C19DE" w:rsidRPr="00EA7B3F" w:rsidRDefault="007C19DE" w:rsidP="003D2164">
            <w:pPr>
              <w:pStyle w:val="TableText0"/>
              <w:keepNext w:val="0"/>
            </w:pPr>
            <w:r w:rsidRPr="00EA7B3F">
              <w:t>DPMQ $2,455.87 for 1 syringe</w:t>
            </w:r>
          </w:p>
        </w:tc>
        <w:tc>
          <w:tcPr>
            <w:tcW w:w="2113" w:type="pct"/>
          </w:tcPr>
          <w:p w14:paraId="2479BEB2" w14:textId="77777777" w:rsidR="007C19DE" w:rsidRPr="00EA7B3F" w:rsidRDefault="007C19DE" w:rsidP="003D2164">
            <w:pPr>
              <w:pStyle w:val="TableText0"/>
              <w:ind w:left="6"/>
              <w:rPr>
                <w:rFonts w:eastAsia="Times New Roman" w:cs="Arial"/>
                <w:bCs w:val="0"/>
                <w:snapToGrid w:val="0"/>
                <w:szCs w:val="20"/>
                <w:vertAlign w:val="superscript"/>
              </w:rPr>
            </w:pPr>
            <w:r w:rsidRPr="00EA7B3F">
              <w:rPr>
                <w:rFonts w:eastAsia="Times New Roman" w:cs="Arial"/>
                <w:bCs w:val="0"/>
                <w:snapToGrid w:val="0"/>
                <w:szCs w:val="20"/>
              </w:rPr>
              <w:t xml:space="preserve">DPMQ $850.66 for 1 syringe </w:t>
            </w:r>
            <w:r w:rsidRPr="00EA7B3F">
              <w:rPr>
                <w:rFonts w:eastAsia="Times New Roman" w:cs="Arial"/>
                <w:bCs w:val="0"/>
                <w:snapToGrid w:val="0"/>
                <w:szCs w:val="20"/>
                <w:vertAlign w:val="superscript"/>
              </w:rPr>
              <w:t>a</w:t>
            </w:r>
          </w:p>
        </w:tc>
      </w:tr>
    </w:tbl>
    <w:p w14:paraId="1856BAED" w14:textId="77777777" w:rsidR="007C19DE" w:rsidRPr="00EA7B3F" w:rsidRDefault="007C19DE" w:rsidP="007C19DE">
      <w:pPr>
        <w:pStyle w:val="TableFigureFooter"/>
      </w:pPr>
      <w:r w:rsidRPr="00EA7B3F">
        <w:t>Source: Table 12, p25, and Sections 3.2.1, 3.2.2 and 3.2.3 of the resubmission.</w:t>
      </w:r>
    </w:p>
    <w:p w14:paraId="524DC2FB" w14:textId="77777777" w:rsidR="007C19DE" w:rsidRPr="00EA7B3F" w:rsidRDefault="007C19DE" w:rsidP="007C19DE">
      <w:pPr>
        <w:pStyle w:val="TableFigureFooter"/>
      </w:pPr>
      <w:r w:rsidRPr="00EA7B3F">
        <w:t>DPMQ = dispensed price for maximum quantity; HAE = hereditary angioedema; Q2W = every 2 weeks; Q4W = every 4 weeks; RSA = risk sharing arrangement; SOC = standard of care.</w:t>
      </w:r>
    </w:p>
    <w:p w14:paraId="0C3DE975" w14:textId="77777777" w:rsidR="007C19DE" w:rsidRPr="00EA7B3F" w:rsidRDefault="007C19DE" w:rsidP="007C19DE">
      <w:pPr>
        <w:pStyle w:val="TableFigureFooter"/>
      </w:pPr>
      <w:r w:rsidRPr="00EA7B3F">
        <w:rPr>
          <w:vertAlign w:val="superscript"/>
        </w:rPr>
        <w:t>a</w:t>
      </w:r>
      <w:r w:rsidRPr="00EA7B3F">
        <w:t xml:space="preserve"> A generic version of icatibant was listed on the PBS in October 2020.</w:t>
      </w:r>
    </w:p>
    <w:p w14:paraId="3E31F1EA" w14:textId="77777777" w:rsidR="007C19DE" w:rsidRPr="00EA7B3F" w:rsidRDefault="007C19DE" w:rsidP="007C19DE">
      <w:pPr>
        <w:pStyle w:val="3-BodyText"/>
        <w:rPr>
          <w:bCs/>
        </w:rPr>
      </w:pPr>
      <w:r w:rsidRPr="00EA7B3F">
        <w:t>The model structure, key inputs and rationale for the current resubmission are summarised below.</w:t>
      </w:r>
    </w:p>
    <w:p w14:paraId="1D1A71A1" w14:textId="77777777" w:rsidR="007C19DE" w:rsidRPr="00EA7B3F" w:rsidRDefault="007C19DE" w:rsidP="007C19DE">
      <w:pPr>
        <w:pStyle w:val="TableFigureHeading"/>
        <w:rPr>
          <w:rStyle w:val="CommentReference"/>
          <w:b/>
          <w:szCs w:val="24"/>
        </w:rPr>
      </w:pPr>
      <w:r w:rsidRPr="00EA7B3F">
        <w:t xml:space="preserve">Table </w:t>
      </w:r>
      <w:r w:rsidR="001972C4" w:rsidRPr="00EA7B3F">
        <w:t>5</w:t>
      </w:r>
      <w:r w:rsidRPr="00EA7B3F">
        <w:t xml:space="preserve">: </w:t>
      </w:r>
      <w:r w:rsidRPr="00EA7B3F">
        <w:rPr>
          <w:rStyle w:val="CommentReference"/>
          <w:b/>
          <w:szCs w:val="24"/>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6"/>
        <w:gridCol w:w="6471"/>
      </w:tblGrid>
      <w:tr w:rsidR="007C19DE" w:rsidRPr="00EA7B3F" w14:paraId="77701A01" w14:textId="77777777" w:rsidTr="00FB6877">
        <w:tc>
          <w:tcPr>
            <w:tcW w:w="1412" w:type="pct"/>
            <w:vAlign w:val="center"/>
          </w:tcPr>
          <w:p w14:paraId="1A85FC3E" w14:textId="77777777" w:rsidR="007C19DE" w:rsidRPr="00EA7B3F" w:rsidRDefault="007C19DE" w:rsidP="003D2164">
            <w:pPr>
              <w:pStyle w:val="In-tableHeading"/>
              <w:rPr>
                <w:lang w:val="en-AU"/>
              </w:rPr>
            </w:pPr>
            <w:r w:rsidRPr="00EA7B3F">
              <w:rPr>
                <w:lang w:val="en-AU"/>
              </w:rPr>
              <w:t>Component</w:t>
            </w:r>
          </w:p>
        </w:tc>
        <w:tc>
          <w:tcPr>
            <w:tcW w:w="3588" w:type="pct"/>
          </w:tcPr>
          <w:p w14:paraId="212A8654" w14:textId="77777777" w:rsidR="007C19DE" w:rsidRPr="00EA7B3F" w:rsidRDefault="007C19DE" w:rsidP="003D2164">
            <w:pPr>
              <w:pStyle w:val="In-tableHeading"/>
              <w:jc w:val="center"/>
              <w:rPr>
                <w:lang w:val="en-AU"/>
              </w:rPr>
            </w:pPr>
            <w:r w:rsidRPr="00EA7B3F">
              <w:rPr>
                <w:lang w:val="en-AU"/>
              </w:rPr>
              <w:t>Description</w:t>
            </w:r>
          </w:p>
        </w:tc>
      </w:tr>
      <w:tr w:rsidR="007C19DE" w:rsidRPr="00EA7B3F" w14:paraId="4CCBBF9E" w14:textId="77777777" w:rsidTr="00FB6877">
        <w:tc>
          <w:tcPr>
            <w:tcW w:w="1412" w:type="pct"/>
            <w:vAlign w:val="center"/>
          </w:tcPr>
          <w:p w14:paraId="22A2A23C" w14:textId="77777777" w:rsidR="007C19DE" w:rsidRPr="00EA7B3F" w:rsidRDefault="007C19DE" w:rsidP="003D2164">
            <w:pPr>
              <w:pStyle w:val="TableText0"/>
            </w:pPr>
            <w:r w:rsidRPr="00EA7B3F">
              <w:t>Treatment</w:t>
            </w:r>
          </w:p>
        </w:tc>
        <w:tc>
          <w:tcPr>
            <w:tcW w:w="3588" w:type="pct"/>
          </w:tcPr>
          <w:p w14:paraId="543693AA" w14:textId="77777777" w:rsidR="007C19DE" w:rsidRPr="00EA7B3F" w:rsidRDefault="007C19DE" w:rsidP="003D2164">
            <w:pPr>
              <w:pStyle w:val="TableText0"/>
              <w:rPr>
                <w:iCs/>
              </w:rPr>
            </w:pPr>
            <w:r w:rsidRPr="00EA7B3F">
              <w:rPr>
                <w:iCs/>
              </w:rPr>
              <w:t xml:space="preserve">Lanadelumab versus SOC. Dosage was updated compared with the previous resubmission (see </w:t>
            </w:r>
            <w:r w:rsidR="001972C4" w:rsidRPr="00EA7B3F">
              <w:t>Table 4</w:t>
            </w:r>
            <w:r w:rsidRPr="00EA7B3F">
              <w:rPr>
                <w:iCs/>
              </w:rPr>
              <w:t xml:space="preserve"> above)</w:t>
            </w:r>
          </w:p>
        </w:tc>
      </w:tr>
      <w:tr w:rsidR="007C19DE" w:rsidRPr="00EA7B3F" w14:paraId="5503662C" w14:textId="77777777" w:rsidTr="00FB6877">
        <w:tc>
          <w:tcPr>
            <w:tcW w:w="1412" w:type="pct"/>
            <w:vAlign w:val="center"/>
          </w:tcPr>
          <w:p w14:paraId="3F82E897" w14:textId="77777777" w:rsidR="007C19DE" w:rsidRPr="00EA7B3F" w:rsidRDefault="007C19DE" w:rsidP="003D2164">
            <w:pPr>
              <w:pStyle w:val="TableText0"/>
            </w:pPr>
            <w:r w:rsidRPr="00EA7B3F">
              <w:t>Population</w:t>
            </w:r>
          </w:p>
        </w:tc>
        <w:tc>
          <w:tcPr>
            <w:tcW w:w="3588" w:type="pct"/>
          </w:tcPr>
          <w:p w14:paraId="1C21BAAE" w14:textId="77777777" w:rsidR="007C19DE" w:rsidRPr="00EA7B3F" w:rsidRDefault="007C19DE" w:rsidP="003D2164">
            <w:pPr>
              <w:pStyle w:val="TableText0"/>
              <w:rPr>
                <w:iCs/>
              </w:rPr>
            </w:pPr>
            <w:r w:rsidRPr="00EA7B3F">
              <w:rPr>
                <w:iCs/>
              </w:rPr>
              <w:t>Patients experiencing ≥ 24 treated attacks over 12 months</w:t>
            </w:r>
            <w:r w:rsidR="00217B64" w:rsidRPr="00EA7B3F">
              <w:rPr>
                <w:iCs/>
              </w:rPr>
              <w:t xml:space="preserve"> (i.e. ≥ 12 attacks per 6 months, as per the proposed PBS restriction)</w:t>
            </w:r>
            <w:r w:rsidRPr="00EA7B3F">
              <w:rPr>
                <w:iCs/>
              </w:rPr>
              <w:t xml:space="preserve">. Baseline HAE attack frequency was updated compared with the previous resubmission (see </w:t>
            </w:r>
            <w:r w:rsidR="001972C4" w:rsidRPr="00EA7B3F">
              <w:t>Table 4</w:t>
            </w:r>
            <w:r w:rsidRPr="00EA7B3F">
              <w:rPr>
                <w:iCs/>
              </w:rPr>
              <w:t xml:space="preserve"> above)</w:t>
            </w:r>
          </w:p>
        </w:tc>
      </w:tr>
      <w:tr w:rsidR="007C19DE" w:rsidRPr="00EA7B3F" w14:paraId="473FDB9C" w14:textId="77777777" w:rsidTr="00FB6877">
        <w:tc>
          <w:tcPr>
            <w:tcW w:w="1412" w:type="pct"/>
            <w:vAlign w:val="center"/>
          </w:tcPr>
          <w:p w14:paraId="7E739254" w14:textId="77777777" w:rsidR="007C19DE" w:rsidRPr="00EA7B3F" w:rsidRDefault="007C19DE" w:rsidP="003D2164">
            <w:pPr>
              <w:pStyle w:val="TableText0"/>
            </w:pPr>
            <w:r w:rsidRPr="00EA7B3F">
              <w:t>Type of analysis</w:t>
            </w:r>
          </w:p>
        </w:tc>
        <w:tc>
          <w:tcPr>
            <w:tcW w:w="3588" w:type="pct"/>
          </w:tcPr>
          <w:p w14:paraId="32C19362" w14:textId="77777777" w:rsidR="007C19DE" w:rsidRPr="00EA7B3F" w:rsidRDefault="007C19DE" w:rsidP="003D2164">
            <w:pPr>
              <w:pStyle w:val="TableText0"/>
            </w:pPr>
            <w:r w:rsidRPr="00EA7B3F">
              <w:t>Cost-utility analysis. Unchanged from previous resubmission</w:t>
            </w:r>
          </w:p>
        </w:tc>
      </w:tr>
      <w:tr w:rsidR="007C19DE" w:rsidRPr="00EA7B3F" w14:paraId="12891D84" w14:textId="77777777" w:rsidTr="00FB6877">
        <w:tc>
          <w:tcPr>
            <w:tcW w:w="1412" w:type="pct"/>
            <w:vAlign w:val="center"/>
          </w:tcPr>
          <w:p w14:paraId="77D8D4AC" w14:textId="77777777" w:rsidR="007C19DE" w:rsidRPr="00EA7B3F" w:rsidRDefault="007C19DE" w:rsidP="003D2164">
            <w:pPr>
              <w:pStyle w:val="TableText0"/>
            </w:pPr>
            <w:r w:rsidRPr="00EA7B3F">
              <w:t>Time horizon</w:t>
            </w:r>
          </w:p>
        </w:tc>
        <w:tc>
          <w:tcPr>
            <w:tcW w:w="3588" w:type="pct"/>
            <w:vAlign w:val="center"/>
          </w:tcPr>
          <w:p w14:paraId="5463C4FE" w14:textId="77777777" w:rsidR="007C19DE" w:rsidRPr="00EA7B3F" w:rsidRDefault="007C19DE" w:rsidP="003D2164">
            <w:pPr>
              <w:pStyle w:val="TableText0"/>
            </w:pPr>
            <w:r w:rsidRPr="00EA7B3F">
              <w:t>1 year. Unchanged from previous resubmission.</w:t>
            </w:r>
          </w:p>
        </w:tc>
      </w:tr>
      <w:tr w:rsidR="007C19DE" w:rsidRPr="00EA7B3F" w14:paraId="65E5F88B" w14:textId="77777777" w:rsidTr="00FB6877">
        <w:tc>
          <w:tcPr>
            <w:tcW w:w="1412" w:type="pct"/>
            <w:vAlign w:val="center"/>
          </w:tcPr>
          <w:p w14:paraId="313E113E" w14:textId="77777777" w:rsidR="007C19DE" w:rsidRPr="00EA7B3F" w:rsidRDefault="007C19DE" w:rsidP="003D2164">
            <w:pPr>
              <w:pStyle w:val="TableText0"/>
            </w:pPr>
            <w:r w:rsidRPr="00EA7B3F">
              <w:t>Outcomes</w:t>
            </w:r>
          </w:p>
        </w:tc>
        <w:tc>
          <w:tcPr>
            <w:tcW w:w="3588" w:type="pct"/>
            <w:vAlign w:val="center"/>
          </w:tcPr>
          <w:p w14:paraId="35284B85" w14:textId="77777777" w:rsidR="007C19DE" w:rsidRPr="00EA7B3F" w:rsidRDefault="007C19DE" w:rsidP="003D2164">
            <w:pPr>
              <w:pStyle w:val="TableText0"/>
            </w:pPr>
            <w:r w:rsidRPr="00EA7B3F">
              <w:t>HAE attacks, quality-adjusted life years. Unchanged from previous resubmission</w:t>
            </w:r>
          </w:p>
        </w:tc>
      </w:tr>
      <w:tr w:rsidR="007C19DE" w:rsidRPr="00EA7B3F" w14:paraId="011363D6" w14:textId="77777777" w:rsidTr="00FB6877">
        <w:tc>
          <w:tcPr>
            <w:tcW w:w="1412" w:type="pct"/>
            <w:vAlign w:val="center"/>
          </w:tcPr>
          <w:p w14:paraId="427CD46C" w14:textId="77777777" w:rsidR="007C19DE" w:rsidRPr="00EA7B3F" w:rsidRDefault="007C19DE" w:rsidP="003D2164">
            <w:pPr>
              <w:pStyle w:val="TableText0"/>
            </w:pPr>
            <w:r w:rsidRPr="00EA7B3F">
              <w:t>Health-related quality of life</w:t>
            </w:r>
          </w:p>
        </w:tc>
        <w:tc>
          <w:tcPr>
            <w:tcW w:w="3588" w:type="pct"/>
            <w:vAlign w:val="center"/>
          </w:tcPr>
          <w:p w14:paraId="49EE0A9A" w14:textId="77777777" w:rsidR="007C19DE" w:rsidRPr="00EA7B3F" w:rsidRDefault="007C19DE" w:rsidP="003D2164">
            <w:pPr>
              <w:pStyle w:val="TableText0"/>
            </w:pPr>
            <w:r w:rsidRPr="00EA7B3F">
              <w:t xml:space="preserve">‘Between-attack’ utility: </w:t>
            </w:r>
          </w:p>
          <w:p w14:paraId="4C1987D7" w14:textId="77777777" w:rsidR="007C19DE" w:rsidRPr="00EA7B3F" w:rsidRDefault="007C19DE" w:rsidP="003D2164">
            <w:pPr>
              <w:pStyle w:val="TableText0"/>
            </w:pPr>
            <w:r w:rsidRPr="00EA7B3F">
              <w:t>&lt;1 attack/28 days 0.88, 1 to &lt;2 attacks/28 days 0.80, ≥2 attacks/28 days 0.64</w:t>
            </w:r>
          </w:p>
          <w:p w14:paraId="0A7D3167" w14:textId="77777777" w:rsidR="007C19DE" w:rsidRPr="00EA7B3F" w:rsidRDefault="007C19DE" w:rsidP="003D2164">
            <w:pPr>
              <w:pStyle w:val="TableText0"/>
            </w:pPr>
            <w:r w:rsidRPr="00EA7B3F">
              <w:t>‘In-attack’ disutility:</w:t>
            </w:r>
          </w:p>
          <w:p w14:paraId="7FDCFE47" w14:textId="77777777" w:rsidR="007C19DE" w:rsidRPr="00EA7B3F" w:rsidRDefault="007C19DE" w:rsidP="003D2164">
            <w:pPr>
              <w:pStyle w:val="TableText0"/>
            </w:pPr>
            <w:r w:rsidRPr="00EA7B3F">
              <w:t>Mild attack 0.070, moderate attack 0.369, severe attack 0.486</w:t>
            </w:r>
          </w:p>
          <w:p w14:paraId="5C13DD08" w14:textId="77777777" w:rsidR="007C19DE" w:rsidRPr="00EA7B3F" w:rsidRDefault="007C19DE" w:rsidP="003D2164">
            <w:pPr>
              <w:pStyle w:val="TableText0"/>
            </w:pPr>
            <w:r w:rsidRPr="00EA7B3F">
              <w:t>Unchanged from previous resubmission.</w:t>
            </w:r>
          </w:p>
        </w:tc>
      </w:tr>
      <w:tr w:rsidR="007C19DE" w:rsidRPr="00EA7B3F" w14:paraId="030311EB" w14:textId="77777777" w:rsidTr="00FB6877">
        <w:tc>
          <w:tcPr>
            <w:tcW w:w="1412" w:type="pct"/>
            <w:vAlign w:val="center"/>
          </w:tcPr>
          <w:p w14:paraId="5FE9B9BE" w14:textId="77777777" w:rsidR="007C19DE" w:rsidRPr="00EA7B3F" w:rsidRDefault="007C19DE" w:rsidP="003D2164">
            <w:pPr>
              <w:pStyle w:val="TableText0"/>
            </w:pPr>
            <w:r w:rsidRPr="00EA7B3F">
              <w:t>Treatment effect</w:t>
            </w:r>
          </w:p>
        </w:tc>
        <w:tc>
          <w:tcPr>
            <w:tcW w:w="3588" w:type="pct"/>
            <w:vAlign w:val="center"/>
          </w:tcPr>
          <w:p w14:paraId="2487A649" w14:textId="77777777" w:rsidR="007C19DE" w:rsidRPr="00EA7B3F" w:rsidRDefault="007C19DE" w:rsidP="006325E3">
            <w:pPr>
              <w:pStyle w:val="TableText0"/>
            </w:pPr>
            <w:r w:rsidRPr="00EA7B3F">
              <w:t xml:space="preserve">Lanadelumab 300 mg Q2W arm of HELP. Unchanged from the previous resubmission, despite the cost of treatment </w:t>
            </w:r>
            <w:r w:rsidR="006325E3" w:rsidRPr="00EA7B3F">
              <w:t>being</w:t>
            </w:r>
            <w:r w:rsidRPr="00EA7B3F">
              <w:t xml:space="preserve"> based on lanadelumab 300</w:t>
            </w:r>
            <w:r w:rsidR="008E66AD" w:rsidRPr="00EA7B3F">
              <w:t> </w:t>
            </w:r>
            <w:r w:rsidRPr="00EA7B3F">
              <w:t>mg Q</w:t>
            </w:r>
            <w:r w:rsidR="006325E3" w:rsidRPr="00EA7B3F">
              <w:t>4W and the PBAC previously noting</w:t>
            </w:r>
            <w:r w:rsidRPr="00EA7B3F">
              <w:t xml:space="preserve"> that the model was moderately sensitive to the small difference in efficacy between lanadelumab 300</w:t>
            </w:r>
            <w:r w:rsidR="008E66AD" w:rsidRPr="00EA7B3F">
              <w:t> </w:t>
            </w:r>
            <w:r w:rsidRPr="00EA7B3F">
              <w:t>mg Q4W and Q2W.</w:t>
            </w:r>
          </w:p>
        </w:tc>
      </w:tr>
      <w:tr w:rsidR="007C19DE" w:rsidRPr="00EA7B3F" w14:paraId="1875BAF7" w14:textId="77777777" w:rsidTr="00FB6877">
        <w:tc>
          <w:tcPr>
            <w:tcW w:w="1412" w:type="pct"/>
            <w:vAlign w:val="center"/>
          </w:tcPr>
          <w:p w14:paraId="27D31E38" w14:textId="77777777" w:rsidR="007C19DE" w:rsidRPr="00EA7B3F" w:rsidRDefault="007C19DE" w:rsidP="003D2164">
            <w:pPr>
              <w:pStyle w:val="TableText0"/>
            </w:pPr>
            <w:r w:rsidRPr="00EA7B3F">
              <w:t>Methods used to generate results</w:t>
            </w:r>
          </w:p>
        </w:tc>
        <w:tc>
          <w:tcPr>
            <w:tcW w:w="3588" w:type="pct"/>
            <w:vAlign w:val="center"/>
          </w:tcPr>
          <w:p w14:paraId="693B0683" w14:textId="77777777" w:rsidR="007C19DE" w:rsidRPr="00EA7B3F" w:rsidRDefault="007C19DE" w:rsidP="003D2164">
            <w:pPr>
              <w:pStyle w:val="TableText0"/>
            </w:pPr>
            <w:r w:rsidRPr="00EA7B3F">
              <w:t>Cohort expected value. Unchanged from previous resubmission.</w:t>
            </w:r>
          </w:p>
        </w:tc>
      </w:tr>
    </w:tbl>
    <w:p w14:paraId="7792545E" w14:textId="77777777" w:rsidR="007C19DE" w:rsidRPr="00EA7B3F" w:rsidRDefault="007C19DE" w:rsidP="007C19DE">
      <w:pPr>
        <w:pStyle w:val="TableFigureFooter"/>
      </w:pPr>
      <w:r w:rsidRPr="00EA7B3F">
        <w:t>Source: Compiled during the evaluation from information provide in Section 3 of the resubmission and the Excel workbook ‘LANA_Resubmission_Minor_HAE_Sec3_CUA’.</w:t>
      </w:r>
    </w:p>
    <w:p w14:paraId="43BB94A8" w14:textId="77777777" w:rsidR="007C19DE" w:rsidRPr="00EA7B3F" w:rsidRDefault="007C19DE" w:rsidP="007C19DE">
      <w:pPr>
        <w:pStyle w:val="TableFigureFooter"/>
      </w:pPr>
      <w:r w:rsidRPr="00EA7B3F">
        <w:t>HAE = hereditary angioedema; Q2W = every 2 weeks; Q4W = every 4 weeks;</w:t>
      </w:r>
      <w:r w:rsidR="008E66AD" w:rsidRPr="00EA7B3F">
        <w:t xml:space="preserve"> SOC = standard of care.</w:t>
      </w:r>
    </w:p>
    <w:p w14:paraId="0E42CA46" w14:textId="77777777" w:rsidR="007C19DE" w:rsidRPr="00EA7B3F" w:rsidRDefault="007C19DE" w:rsidP="007C19DE"/>
    <w:p w14:paraId="33569FB8" w14:textId="77777777" w:rsidR="007C19DE" w:rsidRPr="00EA7B3F" w:rsidRDefault="007C19DE" w:rsidP="007C19DE">
      <w:pPr>
        <w:pStyle w:val="3-BodyText"/>
        <w:rPr>
          <w:bCs/>
        </w:rPr>
      </w:pPr>
      <w:r w:rsidRPr="00EA7B3F">
        <w:rPr>
          <w:bCs/>
        </w:rPr>
        <w:t>As in the July 2020 resubmission, the resubmission used the number of icatibant injections dispensed to each patient in each calendar year as a proxy for the number of treated HAE attacks per year. The PBAC previously noted that the number of injections of icatibant dispensed may not be a reliable proxy for the number of treated HAE attacks, as patients may require more than one injection of icatibant per attack, and some patients may have multiple injections on hand in anticipation of attacks (</w:t>
      </w:r>
      <w:r w:rsidR="004B1C3C" w:rsidRPr="00EA7B3F">
        <w:rPr>
          <w:bCs/>
        </w:rPr>
        <w:t>p</w:t>
      </w:r>
      <w:r w:rsidRPr="00EA7B3F">
        <w:rPr>
          <w:bCs/>
        </w:rPr>
        <w:t>aragraphs 6.34 and 7.12, lanadelumab PSD, July 2020). The resubmission argued that, given the intended patient population is a high attack frequency population, it is unlikely that a unit of icatibant dispensed will not be used to treat an attack. This remains a source of uncertainty.</w:t>
      </w:r>
    </w:p>
    <w:p w14:paraId="1D3A29D7" w14:textId="77777777" w:rsidR="007C19DE" w:rsidRPr="00EA7B3F" w:rsidRDefault="007C19DE" w:rsidP="007C19DE">
      <w:pPr>
        <w:pStyle w:val="3-BodyText"/>
        <w:rPr>
          <w:bCs/>
        </w:rPr>
      </w:pPr>
      <w:r w:rsidRPr="00EA7B3F">
        <w:rPr>
          <w:bCs/>
        </w:rPr>
        <w:t xml:space="preserve">The baseline frequency of treated attacks in the proposed PBS population was estimated from a DUSC analysis of PBS data for patients dispensed icatibant from 2012 to 2019. The base case of the economic model used the data from 2016 to 2019. The resubmission noted that C1-INH prophylaxis became available in 2016, and argued that it was appropriate for the underlying data source to reflect a population that has already accounted for the underlying efficacy/effectiveness of C1-INH. </w:t>
      </w:r>
      <w:r w:rsidR="006325E3" w:rsidRPr="00EA7B3F">
        <w:rPr>
          <w:bCs/>
        </w:rPr>
        <w:t>Ideally, patients receiving routine prophylaxis with C1-INH should not have been included in this analysis, as they would be eligible for lanadelumab through a separate restriction, regardless of their current HAE attack frequency; however, it was not possible to identify these patients.</w:t>
      </w:r>
    </w:p>
    <w:p w14:paraId="5B63E855" w14:textId="77777777" w:rsidR="007C19DE" w:rsidRPr="00EA7B3F" w:rsidRDefault="007C19DE" w:rsidP="007C19DE">
      <w:pPr>
        <w:pStyle w:val="3-BodyText"/>
        <w:rPr>
          <w:bCs/>
        </w:rPr>
      </w:pPr>
      <w:r w:rsidRPr="00EA7B3F">
        <w:t xml:space="preserve">In comparison to the previous resubmission, in which the distribution of baseline HAE attack frequencies in the eligible population was based on 12 months of PBS data for 11 patients, in the current resubmission </w:t>
      </w:r>
      <w:r w:rsidR="00E0148F" w:rsidRPr="00EA7B3F">
        <w:t xml:space="preserve">the distribution </w:t>
      </w:r>
      <w:r w:rsidRPr="00EA7B3F">
        <w:t xml:space="preserve">was based on 107 patient years of data, with a </w:t>
      </w:r>
      <w:r w:rsidRPr="00EA7B3F">
        <w:rPr>
          <w:iCs/>
        </w:rPr>
        <w:t>mean number of attacks in the eligible population being 54.8 per patient year. This was similar to a mean of 55 attacks per patient per year in the previous resubmission.</w:t>
      </w:r>
      <w:r w:rsidR="00B4753C" w:rsidRPr="00EA7B3F">
        <w:rPr>
          <w:iCs/>
        </w:rPr>
        <w:t xml:space="preserve"> The ESC noted that, whilst these estimates were reasonable, there was a risk of regression to the mean as the number of attacks in one year does not necessarily predict the number of attacks that would have occurred in the subsequent year, and was likely to overestimate it. Given the strong relationship between the attack rate and the ICER, the ESC considered that this, in combination with the issues outlined paragraph </w:t>
      </w:r>
      <w:r w:rsidR="00B4753C" w:rsidRPr="00433ADF">
        <w:rPr>
          <w:iCs/>
        </w:rPr>
        <w:t>6.2</w:t>
      </w:r>
      <w:r w:rsidR="00433ADF" w:rsidRPr="00433ADF">
        <w:rPr>
          <w:iCs/>
        </w:rPr>
        <w:t>8</w:t>
      </w:r>
      <w:r w:rsidR="00B4753C" w:rsidRPr="00EA7B3F">
        <w:rPr>
          <w:iCs/>
        </w:rPr>
        <w:t xml:space="preserve">, resulted in an ICER which was likely underestimated. </w:t>
      </w:r>
    </w:p>
    <w:p w14:paraId="22D4ECCE" w14:textId="77777777" w:rsidR="007C19DE" w:rsidRPr="00EA7B3F" w:rsidRDefault="007C19DE" w:rsidP="007C19DE">
      <w:pPr>
        <w:pStyle w:val="3-BodyText"/>
        <w:rPr>
          <w:bCs/>
        </w:rPr>
      </w:pPr>
      <w:r w:rsidRPr="00EA7B3F">
        <w:rPr>
          <w:bCs/>
        </w:rPr>
        <w:t xml:space="preserve">The </w:t>
      </w:r>
      <w:r w:rsidR="004B1C3C" w:rsidRPr="00EA7B3F">
        <w:rPr>
          <w:bCs/>
        </w:rPr>
        <w:t xml:space="preserve">ESC noted that the </w:t>
      </w:r>
      <w:r w:rsidRPr="00EA7B3F">
        <w:rPr>
          <w:bCs/>
        </w:rPr>
        <w:t xml:space="preserve">use of the number of icatibant injections dispensed per patient within each calendar year, 2016-2019 inclusive, to derive the distribution of the baseline number of attacks per patient per year for the purposes of the economic evaluation, </w:t>
      </w:r>
      <w:r w:rsidR="004B1C3C" w:rsidRPr="00EA7B3F">
        <w:rPr>
          <w:bCs/>
        </w:rPr>
        <w:t>wa</w:t>
      </w:r>
      <w:r w:rsidRPr="00EA7B3F">
        <w:rPr>
          <w:bCs/>
        </w:rPr>
        <w:t>s subject to the following limitations:</w:t>
      </w:r>
    </w:p>
    <w:p w14:paraId="5D8D7233" w14:textId="77777777" w:rsidR="007C19DE" w:rsidRPr="00EA7B3F" w:rsidRDefault="007C19DE" w:rsidP="004928B9">
      <w:pPr>
        <w:pStyle w:val="ListParagraph"/>
        <w:numPr>
          <w:ilvl w:val="0"/>
          <w:numId w:val="9"/>
        </w:numPr>
        <w:ind w:left="1080"/>
      </w:pPr>
      <w:r w:rsidRPr="00EA7B3F">
        <w:t>Patients may require more than one injection of icatibant per attack, and some patients may have multiple injections on hand in anticipation of attacks;</w:t>
      </w:r>
    </w:p>
    <w:p w14:paraId="166306CA" w14:textId="77777777" w:rsidR="007C19DE" w:rsidRPr="00EA7B3F" w:rsidRDefault="007C19DE" w:rsidP="004928B9">
      <w:pPr>
        <w:pStyle w:val="ListParagraph"/>
        <w:numPr>
          <w:ilvl w:val="0"/>
          <w:numId w:val="9"/>
        </w:numPr>
        <w:ind w:left="1080"/>
      </w:pPr>
      <w:r w:rsidRPr="00EA7B3F">
        <w:t>It was not possible to identify patients who were receiving routine prophylaxis with C1-INH;</w:t>
      </w:r>
    </w:p>
    <w:p w14:paraId="70083B50" w14:textId="77777777" w:rsidR="007C19DE" w:rsidRPr="00EA7B3F" w:rsidRDefault="007C19DE" w:rsidP="004928B9">
      <w:pPr>
        <w:pStyle w:val="ListParagraph"/>
        <w:numPr>
          <w:ilvl w:val="0"/>
          <w:numId w:val="9"/>
        </w:numPr>
        <w:ind w:left="1080"/>
      </w:pPr>
      <w:r w:rsidRPr="00EA7B3F">
        <w:t xml:space="preserve">In the current clinical setting, where danazol is no longer available, the mean number of attacks per patient per year may be higher than during the period over which the data were collected, where a proportion of patients were likely to have been receiving danazol for routine oral prophylaxis of attacks; </w:t>
      </w:r>
    </w:p>
    <w:p w14:paraId="06D8544B" w14:textId="77777777" w:rsidR="001C56C3" w:rsidRPr="00EA7B3F" w:rsidRDefault="00560DC2" w:rsidP="004928B9">
      <w:pPr>
        <w:pStyle w:val="ListParagraph"/>
        <w:numPr>
          <w:ilvl w:val="0"/>
          <w:numId w:val="9"/>
        </w:numPr>
        <w:ind w:left="1080"/>
        <w:rPr>
          <w:bCs/>
        </w:rPr>
      </w:pPr>
      <w:r w:rsidRPr="00EA7B3F">
        <w:t xml:space="preserve">For privacy reasons, if 1-5 patients were dispensed a specific </w:t>
      </w:r>
      <w:r w:rsidR="001C56C3" w:rsidRPr="00EA7B3F">
        <w:t>number of injection</w:t>
      </w:r>
      <w:r w:rsidR="00C825AC" w:rsidRPr="00EA7B3F">
        <w:t>s</w:t>
      </w:r>
      <w:r w:rsidR="001C56C3" w:rsidRPr="00EA7B3F">
        <w:t xml:space="preserve"> </w:t>
      </w:r>
      <w:r w:rsidR="00FC1EE3" w:rsidRPr="00EA7B3F">
        <w:t>within a</w:t>
      </w:r>
      <w:r w:rsidRPr="00EA7B3F">
        <w:t>ny</w:t>
      </w:r>
      <w:r w:rsidR="00FC1EE3" w:rsidRPr="00EA7B3F">
        <w:t xml:space="preserve"> calendar year</w:t>
      </w:r>
      <w:r w:rsidRPr="00EA7B3F">
        <w:t xml:space="preserve">, this </w:t>
      </w:r>
      <w:r w:rsidR="001C56C3" w:rsidRPr="00EA7B3F">
        <w:t>was reported as &lt; 5</w:t>
      </w:r>
      <w:r w:rsidR="00AF4A0D" w:rsidRPr="00EA7B3F">
        <w:t xml:space="preserve"> patients</w:t>
      </w:r>
      <w:r w:rsidRPr="00EA7B3F">
        <w:t>. In addition</w:t>
      </w:r>
      <w:r w:rsidR="001C56C3" w:rsidRPr="00EA7B3F">
        <w:t>, the precise number of injection</w:t>
      </w:r>
      <w:r w:rsidRPr="00EA7B3F">
        <w:t>s</w:t>
      </w:r>
      <w:r w:rsidR="001C56C3" w:rsidRPr="00EA7B3F">
        <w:t xml:space="preserve"> for patients receiving ≥ 100 injections over the year was not reported</w:t>
      </w:r>
      <w:r w:rsidRPr="00EA7B3F">
        <w:t>. Therefore</w:t>
      </w:r>
      <w:r w:rsidR="001C56C3" w:rsidRPr="00EA7B3F">
        <w:t>, the exact distribution of the number of icatibant injections dispensed per patient was not known</w:t>
      </w:r>
      <w:r w:rsidR="00FC1EE3" w:rsidRPr="00EA7B3F">
        <w:t xml:space="preserve">. </w:t>
      </w:r>
      <w:r w:rsidR="00FC1EE3" w:rsidRPr="00EA7B3F">
        <w:rPr>
          <w:bCs/>
          <w:szCs w:val="20"/>
        </w:rPr>
        <w:t>Over the calendar years 2016-2019, 74% of inputs were reported as &lt;5 and were imputed as one patient</w:t>
      </w:r>
      <w:r w:rsidR="001C56C3" w:rsidRPr="00EA7B3F">
        <w:t xml:space="preserve">; </w:t>
      </w:r>
      <w:r w:rsidR="00AC2499" w:rsidRPr="00EA7B3F">
        <w:t>and</w:t>
      </w:r>
    </w:p>
    <w:p w14:paraId="342667D6" w14:textId="77777777" w:rsidR="007C19DE" w:rsidRPr="00EA7B3F" w:rsidRDefault="007C19DE" w:rsidP="004928B9">
      <w:pPr>
        <w:pStyle w:val="ListParagraph"/>
        <w:numPr>
          <w:ilvl w:val="0"/>
          <w:numId w:val="9"/>
        </w:numPr>
        <w:ind w:left="1080"/>
        <w:rPr>
          <w:bCs/>
        </w:rPr>
      </w:pPr>
      <w:r w:rsidRPr="00EA7B3F">
        <w:t xml:space="preserve">Some patients may use on-demand </w:t>
      </w:r>
      <w:r w:rsidR="0000755E" w:rsidRPr="00EA7B3F">
        <w:t>IV</w:t>
      </w:r>
      <w:r w:rsidRPr="00EA7B3F">
        <w:t xml:space="preserve"> C1-INH to treat acute attacks, rather than icatibant (the model assumed that only 65% of acute attacks were treated with icatibant).</w:t>
      </w:r>
    </w:p>
    <w:p w14:paraId="406A4520" w14:textId="77777777" w:rsidR="007C19DE" w:rsidRPr="00EA7B3F" w:rsidRDefault="007C19DE" w:rsidP="007C19DE">
      <w:pPr>
        <w:pStyle w:val="3-BodyText"/>
        <w:rPr>
          <w:bCs/>
        </w:rPr>
      </w:pPr>
      <w:r w:rsidRPr="00EA7B3F">
        <w:t xml:space="preserve">Patients experiencing at least </w:t>
      </w:r>
      <w:r w:rsidR="00AE7348" w:rsidRPr="00EA7B3F">
        <w:t>eight</w:t>
      </w:r>
      <w:r w:rsidRPr="00EA7B3F">
        <w:t xml:space="preserve"> acute HAE attacks per month (the equivalent of 96 attacks per year) would be eligible for routine prophylaxis with </w:t>
      </w:r>
      <w:r w:rsidR="00E0148F" w:rsidRPr="00EA7B3F">
        <w:t xml:space="preserve">either IV or SC </w:t>
      </w:r>
      <w:r w:rsidRPr="00EA7B3F">
        <w:t>C1-INH. These patients represented 15% (16/107) of the patient</w:t>
      </w:r>
      <w:r w:rsidR="0031445F" w:rsidRPr="00EA7B3F">
        <w:t xml:space="preserve"> years for patients</w:t>
      </w:r>
      <w:r w:rsidRPr="00EA7B3F">
        <w:t xml:space="preserve"> eligible for lanadelumab (</w:t>
      </w:r>
      <w:r w:rsidR="0031445F" w:rsidRPr="00EA7B3F">
        <w:t>those</w:t>
      </w:r>
      <w:r w:rsidRPr="00EA7B3F">
        <w:t xml:space="preserve"> experiencing ≥</w:t>
      </w:r>
      <w:r w:rsidR="006C06A7" w:rsidRPr="00EA7B3F">
        <w:t> </w:t>
      </w:r>
      <w:r w:rsidRPr="00EA7B3F">
        <w:t xml:space="preserve">24 attacks per year), and accounted for 27% (1,596/7,855) of the total number of treated HAE attacks in the eligible population. As discussed above, C1-INH may be a more appropriate comparator than SOC </w:t>
      </w:r>
      <w:r w:rsidR="00E15E29" w:rsidRPr="00EA7B3F">
        <w:t>for</w:t>
      </w:r>
      <w:r w:rsidRPr="00EA7B3F">
        <w:t xml:space="preserve"> these patients.</w:t>
      </w:r>
    </w:p>
    <w:p w14:paraId="47EAA1EF" w14:textId="77777777" w:rsidR="007C19DE" w:rsidRPr="00EA7B3F" w:rsidRDefault="007C19DE" w:rsidP="007C19DE">
      <w:pPr>
        <w:pStyle w:val="3-BodyText"/>
        <w:rPr>
          <w:bCs/>
        </w:rPr>
      </w:pPr>
      <w:r w:rsidRPr="00EA7B3F">
        <w:t xml:space="preserve">The lanadelumab Product Information (PI) recommends that patients commence on 300 mg Q2W but that, in patients who are stably attack free on treatment, a dose reduction to 300 mg Q4W may be considered. </w:t>
      </w:r>
      <w:r w:rsidRPr="00EA7B3F">
        <w:rPr>
          <w:iCs/>
        </w:rPr>
        <w:t xml:space="preserve">In both the original submission and the July 2020 resubmission, in the economic evaluation, the cost of lanadelumab was based on the assumption that 22.9% of patients would receive lanadelumab 300 mg Q2W and 77.1% would receive the lower dose of 300 mg Q4W. </w:t>
      </w:r>
      <w:r w:rsidRPr="00EA7B3F">
        <w:t>The PBAC previously considered that, given the difference in cost for the two regimens was not supported by a demonstrated difference in efficacy, it may be appropriate to cap the cost per patient at no more than that for the 300</w:t>
      </w:r>
      <w:r w:rsidR="00965DA9">
        <w:t xml:space="preserve"> </w:t>
      </w:r>
      <w:r w:rsidRPr="00EA7B3F">
        <w:t>mg Q4W regimen (</w:t>
      </w:r>
      <w:r w:rsidR="002337F1" w:rsidRPr="00EA7B3F">
        <w:t>p</w:t>
      </w:r>
      <w:r w:rsidRPr="00EA7B3F">
        <w:t>aragraph 7.9, lanadelumab, PSD, July 2020 PBAC meeting).</w:t>
      </w:r>
    </w:p>
    <w:p w14:paraId="0F532857" w14:textId="77777777" w:rsidR="007C19DE" w:rsidRPr="00EA7B3F" w:rsidRDefault="007C19DE" w:rsidP="007C19DE">
      <w:pPr>
        <w:pStyle w:val="3-BodyText"/>
        <w:rPr>
          <w:bCs/>
        </w:rPr>
      </w:pPr>
      <w:r w:rsidRPr="00EA7B3F">
        <w:t xml:space="preserve">The resubmission stated that, based the PBAC advice, for the purposes of calculating annual treatment costs, the model assumes that all patients will be treated with the lanadelumab 300 mg Q4W regimen (i.e. </w:t>
      </w:r>
      <w:r w:rsidRPr="008D5AA5">
        <w:t>13</w:t>
      </w:r>
      <w:r w:rsidRPr="00EA7B3F">
        <w:t xml:space="preserve"> syringes per annum), at an effective dispensed price of $</w:t>
      </w:r>
      <w:r w:rsidR="006F5B4F">
        <w:rPr>
          <w:noProof/>
          <w:color w:val="000000"/>
          <w:highlight w:val="black"/>
        </w:rPr>
        <w:t>'''''''''''''''</w:t>
      </w:r>
      <w:r w:rsidRPr="00EA7B3F">
        <w:t xml:space="preserve"> per patient per year. The resubmission acknowledged that this approach did not alter the uncertainty around the dosage regimen that would be used in clinical practice, but that the resubmission was proposing a cap on expenditure aligned with this annual cost per patient, meaning that any utilisation above the level upon which the cost-effectiveness of lanadelumab was assessed would be heavily discounted.</w:t>
      </w:r>
      <w:r w:rsidRPr="00EA7B3F">
        <w:rPr>
          <w:rStyle w:val="TableFooterChar"/>
          <w:sz w:val="20"/>
          <w:szCs w:val="20"/>
        </w:rPr>
        <w:t xml:space="preserve"> </w:t>
      </w:r>
      <w:r w:rsidRPr="00EA7B3F">
        <w:t xml:space="preserve">Whether the total cost of lanadelumab reaches the annual subsidisation cap would depend on the accuracy of the resubmission’s estimation of the number of patients likely to be treated each year. If the number of patients per year is overestimated, the annual cost per patient for lanadelumab in clinical practice may exceed the annual cost per patient applied in the model. Furthermore, the RSA only proposed a rebate of </w:t>
      </w:r>
      <w:r w:rsidR="006F5B4F">
        <w:rPr>
          <w:noProof/>
          <w:color w:val="000000"/>
          <w:highlight w:val="black"/>
        </w:rPr>
        <w:t>''''''</w:t>
      </w:r>
      <w:r w:rsidRPr="00EA7B3F">
        <w:t xml:space="preserve">% for utilisation of lanadelumab above the proposed caps. Therefore, any utilisation above </w:t>
      </w:r>
      <w:r w:rsidRPr="008D5AA5">
        <w:t>13</w:t>
      </w:r>
      <w:r w:rsidRPr="00EA7B3F">
        <w:t xml:space="preserve"> injections per patient </w:t>
      </w:r>
      <w:r w:rsidR="00516689" w:rsidRPr="00EA7B3F">
        <w:t>would need to be</w:t>
      </w:r>
      <w:r w:rsidRPr="00EA7B3F">
        <w:t xml:space="preserve"> costed at </w:t>
      </w:r>
      <w:r w:rsidR="006F5B4F">
        <w:rPr>
          <w:noProof/>
          <w:color w:val="000000"/>
          <w:highlight w:val="black"/>
        </w:rPr>
        <w:t>''''''</w:t>
      </w:r>
      <w:r w:rsidRPr="00EA7B3F">
        <w:t xml:space="preserve">% of the proposed price. </w:t>
      </w:r>
      <w:r w:rsidR="002E2F3E" w:rsidRPr="00EA7B3F">
        <w:t xml:space="preserve">The revised RSA in the pre-PBAC response proposed a rebate of </w:t>
      </w:r>
      <w:r w:rsidR="006F5B4F">
        <w:rPr>
          <w:noProof/>
          <w:color w:val="000000"/>
          <w:highlight w:val="black"/>
        </w:rPr>
        <w:t>'''''''</w:t>
      </w:r>
      <w:r w:rsidR="002E2F3E" w:rsidRPr="00EA7B3F">
        <w:t xml:space="preserve">% for any utilisation above </w:t>
      </w:r>
      <w:r w:rsidR="002E2F3E" w:rsidRPr="008D5AA5">
        <w:t>13</w:t>
      </w:r>
      <w:r w:rsidR="002E2F3E" w:rsidRPr="00EA7B3F">
        <w:t xml:space="preserve"> injections per patient per year.</w:t>
      </w:r>
    </w:p>
    <w:p w14:paraId="043F5545" w14:textId="660EE79F" w:rsidR="007C19DE" w:rsidRPr="00EA7B3F" w:rsidRDefault="007C19DE" w:rsidP="007C19DE">
      <w:pPr>
        <w:pStyle w:val="3-BodyText"/>
        <w:rPr>
          <w:bCs/>
        </w:rPr>
      </w:pPr>
      <w:r w:rsidRPr="00EA7B3F">
        <w:t xml:space="preserve">The treatment effect </w:t>
      </w:r>
      <w:r w:rsidR="00516689" w:rsidRPr="00EA7B3F">
        <w:t xml:space="preserve">relative to SOC (relative risk reduction (RRR) 0.873) </w:t>
      </w:r>
      <w:r w:rsidRPr="00EA7B3F">
        <w:t xml:space="preserve">from the lanadelumab 300 mg Q2W arm was applied to the baseline number of attacks to estimate the number of attacks in the lanadelumab arm of the model. Given the uncertainty around the dosage regimen that would be likely used in clinical practice, </w:t>
      </w:r>
      <w:r w:rsidR="00854BBE" w:rsidRPr="00EA7B3F">
        <w:t>it would have been more conservative to use the outcome for the lanadelumab 300 mg Q4W arm of the trial (RRR 0.742).</w:t>
      </w:r>
      <w:r w:rsidR="00845A59" w:rsidRPr="00EA7B3F">
        <w:rPr>
          <w:iCs/>
        </w:rPr>
        <w:t xml:space="preserve"> Applying the RRR from the lanadelumab 300 mg Q4W arm of HELP increased the ICER to $</w:t>
      </w:r>
      <w:r w:rsidR="005465A4">
        <w:rPr>
          <w:iCs/>
        </w:rPr>
        <w:t>155,000 to &lt; $255,000</w:t>
      </w:r>
      <w:r w:rsidR="00845A59" w:rsidRPr="00EA7B3F">
        <w:rPr>
          <w:iCs/>
        </w:rPr>
        <w:t>/QALY.</w:t>
      </w:r>
      <w:r w:rsidR="00414CD6" w:rsidRPr="00EA7B3F">
        <w:rPr>
          <w:iCs/>
        </w:rPr>
        <w:t xml:space="preserve"> The PSCR acknowledged that applying the efficacy from the Q4W arm of the HELP study would be more </w:t>
      </w:r>
      <w:r w:rsidR="00965DA9" w:rsidRPr="00EA7B3F">
        <w:rPr>
          <w:iCs/>
        </w:rPr>
        <w:t>conservative but</w:t>
      </w:r>
      <w:r w:rsidR="00414CD6" w:rsidRPr="00EA7B3F">
        <w:rPr>
          <w:iCs/>
        </w:rPr>
        <w:t xml:space="preserve"> stated that this did not represent what would happen in clinical practice. </w:t>
      </w:r>
      <w:r w:rsidR="004B1C3C" w:rsidRPr="00EA7B3F">
        <w:rPr>
          <w:iCs/>
        </w:rPr>
        <w:t>The ESC considered that applying the effectiveness of the Q2W arm of the HELP study to 100% of the modelled patients was not justified. The ESC suggested that it would have been more appropriate to apply a weighted treatment effect, based on the likely distribution of the dosage regimens.</w:t>
      </w:r>
      <w:r w:rsidR="0090535A" w:rsidRPr="00EA7B3F">
        <w:rPr>
          <w:iCs/>
        </w:rPr>
        <w:t xml:space="preserve"> A weighted efficacy (RRR = 0.77176) was applied in a revised economic model presented in the pre-PBAC response (see paragraph 6.</w:t>
      </w:r>
      <w:r w:rsidR="004F6C9D" w:rsidRPr="00433ADF">
        <w:rPr>
          <w:iCs/>
        </w:rPr>
        <w:t>29</w:t>
      </w:r>
      <w:r w:rsidR="0090535A" w:rsidRPr="00EA7B3F">
        <w:rPr>
          <w:iCs/>
        </w:rPr>
        <w:t>)</w:t>
      </w:r>
      <w:r w:rsidR="004F6C9D" w:rsidRPr="00EA7B3F">
        <w:rPr>
          <w:iCs/>
        </w:rPr>
        <w:t>.</w:t>
      </w:r>
    </w:p>
    <w:p w14:paraId="0CB6EC5F" w14:textId="77777777" w:rsidR="007C19DE" w:rsidRPr="00EA7B3F" w:rsidRDefault="003B4E94" w:rsidP="007C19DE">
      <w:pPr>
        <w:pStyle w:val="3-BodyText"/>
        <w:rPr>
          <w:bCs/>
        </w:rPr>
      </w:pPr>
      <w:r w:rsidRPr="00EA7B3F">
        <w:t>The ESC noted that b</w:t>
      </w:r>
      <w:r w:rsidR="007C19DE" w:rsidRPr="00EA7B3F">
        <w:t>oth the between-attack utilities and the in-attack disutilities applied in the economic model remained unchanged from the previous resubmission. The PBAC previ</w:t>
      </w:r>
      <w:r w:rsidR="00404D80" w:rsidRPr="00EA7B3F">
        <w:t xml:space="preserve">ously considered the likely </w:t>
      </w:r>
      <w:r w:rsidR="007C19DE" w:rsidRPr="00EA7B3F">
        <w:t>optimistic between-attack utilities that were applied to be a key issue in the in the economic evaluation (</w:t>
      </w:r>
      <w:r w:rsidRPr="00EA7B3F">
        <w:t>p</w:t>
      </w:r>
      <w:r w:rsidR="007C19DE" w:rsidRPr="00EA7B3F">
        <w:t>aragraph 7.13, lanadelumab PSD, July 2020).</w:t>
      </w:r>
      <w:r w:rsidR="0094776D" w:rsidRPr="00EA7B3F">
        <w:t xml:space="preserve"> </w:t>
      </w:r>
      <w:r w:rsidR="0094776D" w:rsidRPr="00EA7B3F">
        <w:rPr>
          <w:bCs/>
          <w:iCs/>
        </w:rPr>
        <w:t>The ESC acknowledged that the QALY framework can be challenging, particularly when determining the benefits associated with treatments which prevent acute attacks, but noted that the resubmission had not addressed the concerns raised in the July 2020 consideration.</w:t>
      </w:r>
    </w:p>
    <w:p w14:paraId="6096A3BE" w14:textId="77777777" w:rsidR="007C19DE" w:rsidRPr="00EA7B3F" w:rsidRDefault="007C19DE" w:rsidP="007C19DE">
      <w:pPr>
        <w:pStyle w:val="3-BodyText"/>
        <w:rPr>
          <w:bCs/>
        </w:rPr>
      </w:pPr>
      <w:r w:rsidRPr="00EA7B3F">
        <w:t>The utilities applied in the base case (Nordenfelt 2017)</w:t>
      </w:r>
      <w:r w:rsidR="00425FBE" w:rsidRPr="00EA7B3F">
        <w:rPr>
          <w:rStyle w:val="FootnoteReference"/>
        </w:rPr>
        <w:footnoteReference w:id="4"/>
      </w:r>
      <w:r w:rsidRPr="00EA7B3F">
        <w:t xml:space="preserve"> were based on a small sample size. In the base case, the utility value for a ‘moderate’ level of Angioedema Activity Score for 28 consecutive days (AAS28) (0.64, based on 9 patients) was applied to 83.2% of patients in the SOC arm, with a utility of 0.80 </w:t>
      </w:r>
      <w:r w:rsidR="00915997" w:rsidRPr="00EA7B3F">
        <w:t xml:space="preserve">for a ‘low’ level of AAS28 </w:t>
      </w:r>
      <w:r w:rsidRPr="00EA7B3F">
        <w:t xml:space="preserve">(based on 14 patients) applied to the remaining 16.8%. In contrast, the utility value for ‘zero’ level of AAS28 (0.88, based on 24 patients) was applied to all patients in the lanadelumab arm. </w:t>
      </w:r>
      <w:r w:rsidR="00AC3709" w:rsidRPr="00EA7B3F">
        <w:rPr>
          <w:bCs/>
          <w:iCs/>
        </w:rPr>
        <w:t>The ESC noted that both the Institute for Clinical and Economic Review (USA) and the Canadian Agency for Drugs and Technologies in Health (CADTH) used a model that predicted utility based on age and number of attacks.</w:t>
      </w:r>
    </w:p>
    <w:p w14:paraId="0E14A8D0" w14:textId="77777777" w:rsidR="007C19DE" w:rsidRPr="00EA7B3F" w:rsidRDefault="007C19DE" w:rsidP="007C19DE">
      <w:pPr>
        <w:pStyle w:val="3-BodyText"/>
        <w:rPr>
          <w:bCs/>
        </w:rPr>
      </w:pPr>
      <w:r w:rsidRPr="00EA7B3F">
        <w:rPr>
          <w:bCs/>
          <w:iCs/>
        </w:rPr>
        <w:t xml:space="preserve">As in the previous resubmission, </w:t>
      </w:r>
      <w:r w:rsidR="00410945" w:rsidRPr="00EA7B3F">
        <w:rPr>
          <w:bCs/>
          <w:iCs/>
        </w:rPr>
        <w:t>t</w:t>
      </w:r>
      <w:r w:rsidR="003120F5" w:rsidRPr="00EA7B3F">
        <w:rPr>
          <w:bCs/>
          <w:iCs/>
        </w:rPr>
        <w:t xml:space="preserve">he number of attacks per 28 days was rounded down to a whole number (i.e. 0 decimal places). </w:t>
      </w:r>
      <w:r w:rsidR="00435027" w:rsidRPr="00EA7B3F">
        <w:rPr>
          <w:bCs/>
          <w:iCs/>
        </w:rPr>
        <w:t xml:space="preserve">Patients with no attacks per 28 days were assigned a ‘between-attack’ utility of 0.88, while patients with one attack per 28 days and those experiencing two or more attacks per 28 days were assigned </w:t>
      </w:r>
      <w:r w:rsidR="00306DF7" w:rsidRPr="00EA7B3F">
        <w:rPr>
          <w:bCs/>
          <w:iCs/>
        </w:rPr>
        <w:t xml:space="preserve">‘between-attack’ </w:t>
      </w:r>
      <w:r w:rsidR="00435027" w:rsidRPr="00EA7B3F">
        <w:rPr>
          <w:bCs/>
          <w:iCs/>
        </w:rPr>
        <w:t xml:space="preserve">utilities of 0.80 and 0.64, respectively. </w:t>
      </w:r>
      <w:r w:rsidR="003120F5" w:rsidRPr="00EA7B3F">
        <w:rPr>
          <w:bCs/>
          <w:iCs/>
        </w:rPr>
        <w:t>As a result</w:t>
      </w:r>
      <w:r w:rsidR="00435027" w:rsidRPr="00EA7B3F">
        <w:rPr>
          <w:bCs/>
          <w:iCs/>
        </w:rPr>
        <w:t xml:space="preserve"> of rounding down the number of attacks</w:t>
      </w:r>
      <w:r w:rsidR="003120F5" w:rsidRPr="00EA7B3F">
        <w:rPr>
          <w:bCs/>
          <w:iCs/>
        </w:rPr>
        <w:t>, in the base case analysis, all patients in the lanadelumab arm were assumed to be attack free over the entire 12-month time horizon. This amplified the magnitude of the treatment effect, favouring lanadelumab.</w:t>
      </w:r>
      <w:r w:rsidR="003B4E94" w:rsidRPr="00EA7B3F">
        <w:rPr>
          <w:bCs/>
          <w:iCs/>
        </w:rPr>
        <w:t xml:space="preserve"> </w:t>
      </w:r>
      <w:r w:rsidR="0094776D" w:rsidRPr="00EA7B3F">
        <w:rPr>
          <w:bCs/>
          <w:iCs/>
        </w:rPr>
        <w:t>The ESC considered that the rounding down of attacks was inappropriate</w:t>
      </w:r>
      <w:r w:rsidR="00AC3709" w:rsidRPr="00EA7B3F">
        <w:rPr>
          <w:bCs/>
          <w:iCs/>
        </w:rPr>
        <w:t>.</w:t>
      </w:r>
      <w:r w:rsidR="003B4E94" w:rsidRPr="00EA7B3F">
        <w:rPr>
          <w:bCs/>
          <w:iCs/>
        </w:rPr>
        <w:t xml:space="preserve"> </w:t>
      </w:r>
      <w:r w:rsidR="0090535A" w:rsidRPr="00EA7B3F">
        <w:rPr>
          <w:bCs/>
          <w:iCs/>
        </w:rPr>
        <w:t>The revised economic model presented in the pre-PBAC response removed rounding from the number of attacks per 28 days (see paragraph 6.</w:t>
      </w:r>
      <w:r w:rsidR="004F6C9D" w:rsidRPr="00433ADF">
        <w:rPr>
          <w:bCs/>
          <w:iCs/>
        </w:rPr>
        <w:t>29</w:t>
      </w:r>
      <w:r w:rsidR="0090535A" w:rsidRPr="00EA7B3F">
        <w:rPr>
          <w:bCs/>
          <w:iCs/>
        </w:rPr>
        <w:t>)</w:t>
      </w:r>
      <w:r w:rsidR="004F6C9D" w:rsidRPr="00EA7B3F">
        <w:rPr>
          <w:bCs/>
          <w:iCs/>
        </w:rPr>
        <w:t>.</w:t>
      </w:r>
    </w:p>
    <w:p w14:paraId="499CDF8C" w14:textId="77777777" w:rsidR="007C19DE" w:rsidRPr="00EA7B3F" w:rsidRDefault="007C19DE" w:rsidP="007C19DE">
      <w:pPr>
        <w:pStyle w:val="3-BodyText"/>
      </w:pPr>
      <w:r w:rsidRPr="00EA7B3F">
        <w:rPr>
          <w:snapToGrid/>
        </w:rPr>
        <w:t>The key drivers of the model are summarised below.</w:t>
      </w:r>
    </w:p>
    <w:p w14:paraId="2238C93D" w14:textId="77777777" w:rsidR="007C19DE" w:rsidRPr="00EA7B3F" w:rsidRDefault="007C19DE" w:rsidP="007C19DE">
      <w:pPr>
        <w:pStyle w:val="TableFigureHeading"/>
        <w:rPr>
          <w:rStyle w:val="CommentReference"/>
          <w:b/>
          <w:szCs w:val="24"/>
        </w:rPr>
      </w:pPr>
      <w:r w:rsidRPr="00EA7B3F">
        <w:t xml:space="preserve">Table </w:t>
      </w:r>
      <w:r w:rsidR="001972C4" w:rsidRPr="00EA7B3F">
        <w:t>6</w:t>
      </w:r>
      <w:r w:rsidRPr="00EA7B3F">
        <w:t>:</w:t>
      </w:r>
      <w:r w:rsidRPr="00EA7B3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3"/>
        <w:gridCol w:w="4676"/>
        <w:gridCol w:w="2218"/>
      </w:tblGrid>
      <w:tr w:rsidR="007C19DE" w:rsidRPr="00EA7B3F" w14:paraId="08230EB2" w14:textId="77777777" w:rsidTr="003D2164">
        <w:trPr>
          <w:tblHeader/>
        </w:trPr>
        <w:tc>
          <w:tcPr>
            <w:tcW w:w="1177" w:type="pct"/>
            <w:shd w:val="clear" w:color="auto" w:fill="auto"/>
            <w:vAlign w:val="center"/>
          </w:tcPr>
          <w:p w14:paraId="778CF8A8" w14:textId="77777777" w:rsidR="007C19DE" w:rsidRPr="00EA7B3F" w:rsidRDefault="007C19DE" w:rsidP="003D2164">
            <w:pPr>
              <w:pStyle w:val="In-tableHeading"/>
              <w:rPr>
                <w:lang w:val="en-AU"/>
              </w:rPr>
            </w:pPr>
            <w:r w:rsidRPr="00EA7B3F">
              <w:rPr>
                <w:lang w:val="en-AU"/>
              </w:rPr>
              <w:t>Description</w:t>
            </w:r>
          </w:p>
        </w:tc>
        <w:tc>
          <w:tcPr>
            <w:tcW w:w="2593" w:type="pct"/>
            <w:shd w:val="clear" w:color="auto" w:fill="auto"/>
            <w:vAlign w:val="center"/>
          </w:tcPr>
          <w:p w14:paraId="762C3A84" w14:textId="77777777" w:rsidR="007C19DE" w:rsidRPr="00EA7B3F" w:rsidRDefault="007C19DE" w:rsidP="003D2164">
            <w:pPr>
              <w:pStyle w:val="In-tableHeading"/>
              <w:jc w:val="center"/>
              <w:rPr>
                <w:lang w:val="en-AU"/>
              </w:rPr>
            </w:pPr>
            <w:r w:rsidRPr="00EA7B3F">
              <w:rPr>
                <w:lang w:val="en-AU"/>
              </w:rPr>
              <w:t>Method/Value</w:t>
            </w:r>
          </w:p>
        </w:tc>
        <w:tc>
          <w:tcPr>
            <w:tcW w:w="1230" w:type="pct"/>
            <w:shd w:val="clear" w:color="auto" w:fill="auto"/>
            <w:vAlign w:val="center"/>
          </w:tcPr>
          <w:p w14:paraId="19CDD2F7" w14:textId="77777777" w:rsidR="007C19DE" w:rsidRPr="00EA7B3F" w:rsidRDefault="007C19DE" w:rsidP="003D2164">
            <w:pPr>
              <w:pStyle w:val="In-tableHeading"/>
              <w:jc w:val="center"/>
              <w:rPr>
                <w:lang w:val="en-AU"/>
              </w:rPr>
            </w:pPr>
            <w:r w:rsidRPr="00EA7B3F">
              <w:rPr>
                <w:lang w:val="en-AU"/>
              </w:rPr>
              <w:t>Impact</w:t>
            </w:r>
          </w:p>
        </w:tc>
      </w:tr>
      <w:tr w:rsidR="007C19DE" w:rsidRPr="00EA7B3F" w14:paraId="3C9C0C63" w14:textId="77777777" w:rsidTr="003D2164">
        <w:tc>
          <w:tcPr>
            <w:tcW w:w="1177" w:type="pct"/>
            <w:shd w:val="clear" w:color="auto" w:fill="auto"/>
            <w:vAlign w:val="center"/>
          </w:tcPr>
          <w:p w14:paraId="43F788A6" w14:textId="77777777" w:rsidR="007C19DE" w:rsidRPr="00EA7B3F" w:rsidRDefault="007C19DE" w:rsidP="003D2164">
            <w:pPr>
              <w:pStyle w:val="TableText0"/>
            </w:pPr>
            <w:r w:rsidRPr="00EA7B3F">
              <w:rPr>
                <w:iCs/>
              </w:rPr>
              <w:t>The mean cost/patient/year for lanadelumab</w:t>
            </w:r>
          </w:p>
        </w:tc>
        <w:tc>
          <w:tcPr>
            <w:tcW w:w="2593" w:type="pct"/>
            <w:shd w:val="clear" w:color="auto" w:fill="auto"/>
            <w:vAlign w:val="center"/>
          </w:tcPr>
          <w:p w14:paraId="0A4214CF" w14:textId="77777777" w:rsidR="007C19DE" w:rsidRPr="00EA7B3F" w:rsidRDefault="007C19DE" w:rsidP="003D2164">
            <w:pPr>
              <w:pStyle w:val="TableText0"/>
            </w:pPr>
            <w:r w:rsidRPr="00EA7B3F">
              <w:t>Assuming that 100% of patients receive the reduced dose of 300 mg Q4W, with a mean number of 13 doses per patient</w:t>
            </w:r>
          </w:p>
        </w:tc>
        <w:tc>
          <w:tcPr>
            <w:tcW w:w="1230" w:type="pct"/>
            <w:shd w:val="clear" w:color="auto" w:fill="auto"/>
            <w:vAlign w:val="center"/>
          </w:tcPr>
          <w:p w14:paraId="24250E23" w14:textId="77777777" w:rsidR="007C19DE" w:rsidRPr="00EA7B3F" w:rsidRDefault="007C19DE" w:rsidP="003D2164">
            <w:pPr>
              <w:pStyle w:val="TableText0"/>
            </w:pPr>
            <w:r w:rsidRPr="00EA7B3F">
              <w:t>High, favours lanadelumab</w:t>
            </w:r>
          </w:p>
        </w:tc>
      </w:tr>
      <w:tr w:rsidR="007C19DE" w:rsidRPr="00EA7B3F" w14:paraId="0CD1D25E" w14:textId="77777777" w:rsidTr="003D2164">
        <w:tc>
          <w:tcPr>
            <w:tcW w:w="1177" w:type="pct"/>
            <w:shd w:val="clear" w:color="auto" w:fill="auto"/>
            <w:vAlign w:val="center"/>
          </w:tcPr>
          <w:p w14:paraId="49940A3B" w14:textId="77777777" w:rsidR="007C19DE" w:rsidRPr="00EA7B3F" w:rsidRDefault="007C19DE" w:rsidP="003D2164">
            <w:pPr>
              <w:pStyle w:val="TableText0"/>
            </w:pPr>
            <w:r w:rsidRPr="00EA7B3F">
              <w:rPr>
                <w:iCs/>
              </w:rPr>
              <w:t>The distribution of baseline attack frequency</w:t>
            </w:r>
          </w:p>
        </w:tc>
        <w:tc>
          <w:tcPr>
            <w:tcW w:w="2593" w:type="pct"/>
            <w:shd w:val="clear" w:color="auto" w:fill="auto"/>
            <w:vAlign w:val="center"/>
          </w:tcPr>
          <w:p w14:paraId="4F595239" w14:textId="77777777" w:rsidR="007C19DE" w:rsidRPr="00EA7B3F" w:rsidRDefault="007C19DE" w:rsidP="003D2164">
            <w:pPr>
              <w:pStyle w:val="TableText0"/>
            </w:pPr>
            <w:r w:rsidRPr="00EA7B3F">
              <w:t>Baseline attack frequencies of 107 patient-years that had been dispensed ≥ 24 injections of icatibant over a 12-month period, as reported in PBS data.</w:t>
            </w:r>
          </w:p>
        </w:tc>
        <w:tc>
          <w:tcPr>
            <w:tcW w:w="1230" w:type="pct"/>
            <w:shd w:val="clear" w:color="auto" w:fill="auto"/>
            <w:vAlign w:val="center"/>
          </w:tcPr>
          <w:p w14:paraId="30B437EA" w14:textId="77777777" w:rsidR="007C19DE" w:rsidRPr="00EA7B3F" w:rsidRDefault="007C19DE" w:rsidP="003D2164">
            <w:pPr>
              <w:pStyle w:val="TableText0"/>
            </w:pPr>
            <w:r w:rsidRPr="00EA7B3F">
              <w:t>High</w:t>
            </w:r>
            <w:r w:rsidR="003120F5" w:rsidRPr="00EA7B3F">
              <w:t>, higher frequency favours lanadelumab</w:t>
            </w:r>
            <w:r w:rsidRPr="00EA7B3F">
              <w:t xml:space="preserve"> </w:t>
            </w:r>
          </w:p>
        </w:tc>
      </w:tr>
      <w:tr w:rsidR="007C19DE" w:rsidRPr="00EA7B3F" w14:paraId="4F7087EB" w14:textId="77777777" w:rsidTr="003D2164">
        <w:tc>
          <w:tcPr>
            <w:tcW w:w="1177" w:type="pct"/>
            <w:shd w:val="clear" w:color="auto" w:fill="auto"/>
            <w:vAlign w:val="center"/>
          </w:tcPr>
          <w:p w14:paraId="68802920" w14:textId="77777777" w:rsidR="007C19DE" w:rsidRPr="00EA7B3F" w:rsidRDefault="007C19DE" w:rsidP="003D2164">
            <w:pPr>
              <w:pStyle w:val="TableText0"/>
            </w:pPr>
            <w:r w:rsidRPr="00EA7B3F">
              <w:rPr>
                <w:iCs/>
              </w:rPr>
              <w:t>The ‘between-attack’ (background) utility values</w:t>
            </w:r>
          </w:p>
        </w:tc>
        <w:tc>
          <w:tcPr>
            <w:tcW w:w="2593" w:type="pct"/>
            <w:shd w:val="clear" w:color="auto" w:fill="auto"/>
            <w:vAlign w:val="center"/>
          </w:tcPr>
          <w:p w14:paraId="17B6ADAF" w14:textId="77777777" w:rsidR="005833CE" w:rsidRPr="00EA7B3F" w:rsidRDefault="007C19DE" w:rsidP="003D2164">
            <w:pPr>
              <w:pStyle w:val="TableText0"/>
            </w:pPr>
            <w:r w:rsidRPr="00EA7B3F">
              <w:t>Assigned to each member of the cohort on the basis of the estimated number of attacks per 28 days</w:t>
            </w:r>
          </w:p>
        </w:tc>
        <w:tc>
          <w:tcPr>
            <w:tcW w:w="1230" w:type="pct"/>
            <w:shd w:val="clear" w:color="auto" w:fill="auto"/>
            <w:vAlign w:val="center"/>
          </w:tcPr>
          <w:p w14:paraId="5631CC1E" w14:textId="77777777" w:rsidR="007C19DE" w:rsidRPr="00EA7B3F" w:rsidRDefault="007C19DE" w:rsidP="003D2164">
            <w:pPr>
              <w:pStyle w:val="TableText0"/>
            </w:pPr>
            <w:r w:rsidRPr="00EA7B3F">
              <w:t xml:space="preserve">High, </w:t>
            </w:r>
            <w:r w:rsidR="00854BBE" w:rsidRPr="00EA7B3F">
              <w:t xml:space="preserve">approach </w:t>
            </w:r>
            <w:r w:rsidRPr="00EA7B3F">
              <w:t>favours lanadelumab</w:t>
            </w:r>
          </w:p>
        </w:tc>
      </w:tr>
      <w:tr w:rsidR="007C19DE" w:rsidRPr="00EA7B3F" w14:paraId="09130677" w14:textId="77777777" w:rsidTr="003D2164">
        <w:tc>
          <w:tcPr>
            <w:tcW w:w="1177" w:type="pct"/>
            <w:shd w:val="clear" w:color="auto" w:fill="auto"/>
            <w:vAlign w:val="center"/>
          </w:tcPr>
          <w:p w14:paraId="2B1B273A" w14:textId="77777777" w:rsidR="007C19DE" w:rsidRPr="00EA7B3F" w:rsidRDefault="007C19DE" w:rsidP="003D2164">
            <w:pPr>
              <w:pStyle w:val="TableText0"/>
              <w:rPr>
                <w:iCs/>
              </w:rPr>
            </w:pPr>
            <w:r w:rsidRPr="00EA7B3F">
              <w:rPr>
                <w:iCs/>
              </w:rPr>
              <w:t>Efficacy of lanadelumab versus SOC</w:t>
            </w:r>
          </w:p>
        </w:tc>
        <w:tc>
          <w:tcPr>
            <w:tcW w:w="2593" w:type="pct"/>
            <w:shd w:val="clear" w:color="auto" w:fill="auto"/>
            <w:vAlign w:val="center"/>
          </w:tcPr>
          <w:p w14:paraId="4BBCA247" w14:textId="77777777" w:rsidR="007C19DE" w:rsidRPr="00EA7B3F" w:rsidRDefault="007C19DE" w:rsidP="003D2164">
            <w:pPr>
              <w:pStyle w:val="TableText0"/>
            </w:pPr>
            <w:r w:rsidRPr="00EA7B3F">
              <w:t>Based on the RRR for HAE attacks requiring acute treatment in the lanadelumab 300 mg Q2W arm of HELP, rather than using the RRR for the Q4W arm, consistent with the costings for lanadelumab.</w:t>
            </w:r>
          </w:p>
        </w:tc>
        <w:tc>
          <w:tcPr>
            <w:tcW w:w="1230" w:type="pct"/>
            <w:shd w:val="clear" w:color="auto" w:fill="auto"/>
            <w:vAlign w:val="center"/>
          </w:tcPr>
          <w:p w14:paraId="1EAA5F34" w14:textId="77777777" w:rsidR="007C19DE" w:rsidRPr="00EA7B3F" w:rsidRDefault="007C19DE" w:rsidP="003D2164">
            <w:pPr>
              <w:pStyle w:val="TableText0"/>
            </w:pPr>
            <w:r w:rsidRPr="00EA7B3F">
              <w:t>High, favours lanadelumab</w:t>
            </w:r>
          </w:p>
        </w:tc>
      </w:tr>
    </w:tbl>
    <w:p w14:paraId="39EBBC07" w14:textId="77777777" w:rsidR="007C19DE" w:rsidRPr="00EA7B3F" w:rsidRDefault="007C19DE" w:rsidP="007C19DE">
      <w:pPr>
        <w:pStyle w:val="TableFigureFooter"/>
      </w:pPr>
      <w:r w:rsidRPr="00EA7B3F">
        <w:t>Source: Spreadsheet ‘Inputs’ Excel workbook ‘LANA_Resubmission_Minor_HAE_Sec3_CUA’</w:t>
      </w:r>
    </w:p>
    <w:p w14:paraId="2399263F" w14:textId="77777777" w:rsidR="007C19DE" w:rsidRPr="00EA7B3F" w:rsidRDefault="007C19DE" w:rsidP="007C19DE">
      <w:pPr>
        <w:pStyle w:val="TableFigureFooter"/>
      </w:pPr>
      <w:r w:rsidRPr="00EA7B3F">
        <w:t xml:space="preserve">HAE = hereditary angioedema; </w:t>
      </w:r>
      <w:r w:rsidR="008E66AD" w:rsidRPr="00EA7B3F">
        <w:t xml:space="preserve">Q2W = every 2 weeks; </w:t>
      </w:r>
      <w:r w:rsidRPr="00EA7B3F">
        <w:t>Q4W = every 4 weeks; RRR = relative risk reduction; SOC = standard of care.</w:t>
      </w:r>
    </w:p>
    <w:p w14:paraId="455D0039" w14:textId="77777777" w:rsidR="007C19DE" w:rsidRPr="00EA7B3F" w:rsidRDefault="007C19DE" w:rsidP="007C19DE">
      <w:pPr>
        <w:pStyle w:val="3-BodyText"/>
        <w:rPr>
          <w:bCs/>
        </w:rPr>
      </w:pPr>
      <w:r w:rsidRPr="00EA7B3F">
        <w:rPr>
          <w:bCs/>
        </w:rPr>
        <w:t xml:space="preserve">The results of </w:t>
      </w:r>
      <w:r w:rsidRPr="00EA7B3F">
        <w:t xml:space="preserve">the economic analysis, in terms of both the cost per treated attack avoided and the cost per </w:t>
      </w:r>
      <w:r w:rsidR="00133E5C" w:rsidRPr="00EA7B3F">
        <w:t>QALY</w:t>
      </w:r>
      <w:r w:rsidRPr="00EA7B3F">
        <w:t xml:space="preserve"> gained, are presented below. The results of the analysis presented in the July 2020 resubmission have been provided for comparison. </w:t>
      </w:r>
    </w:p>
    <w:p w14:paraId="1BDE7389" w14:textId="77777777" w:rsidR="007C19DE" w:rsidRPr="00EA7B3F" w:rsidRDefault="007C19DE" w:rsidP="007C19DE">
      <w:pPr>
        <w:pStyle w:val="TableFigureHeading"/>
      </w:pPr>
      <w:r w:rsidRPr="00EA7B3F">
        <w:t xml:space="preserve">Table </w:t>
      </w:r>
      <w:r w:rsidR="001972C4" w:rsidRPr="00EA7B3F">
        <w:t>7</w:t>
      </w:r>
      <w:r w:rsidRPr="00EA7B3F">
        <w:t>: Results of the economic evaluation</w:t>
      </w:r>
      <w:r w:rsidR="005F1616" w:rsidRPr="00EA7B3F">
        <w:t xml:space="preserve"> (effective price lanadelumab)</w:t>
      </w:r>
    </w:p>
    <w:tbl>
      <w:tblPr>
        <w:tblStyle w:val="TableGrid"/>
        <w:tblW w:w="5000" w:type="pct"/>
        <w:tblLook w:val="04A0" w:firstRow="1" w:lastRow="0" w:firstColumn="1" w:lastColumn="0" w:noHBand="0" w:noVBand="1"/>
        <w:tblCaption w:val="Table 7: Results of the economic evaluation (effective price lanadelumab)"/>
      </w:tblPr>
      <w:tblGrid>
        <w:gridCol w:w="2245"/>
        <w:gridCol w:w="990"/>
        <w:gridCol w:w="901"/>
        <w:gridCol w:w="898"/>
        <w:gridCol w:w="747"/>
        <w:gridCol w:w="747"/>
        <w:gridCol w:w="756"/>
        <w:gridCol w:w="1733"/>
      </w:tblGrid>
      <w:tr w:rsidR="007C19DE" w:rsidRPr="00EA7B3F" w14:paraId="6F221FE6" w14:textId="77777777" w:rsidTr="00024A2B">
        <w:trPr>
          <w:tblHeader/>
        </w:trPr>
        <w:tc>
          <w:tcPr>
            <w:tcW w:w="1248" w:type="pct"/>
            <w:vMerge w:val="restart"/>
          </w:tcPr>
          <w:p w14:paraId="400306AB" w14:textId="77777777" w:rsidR="007C19DE" w:rsidRPr="00EA7B3F" w:rsidRDefault="004E40D0" w:rsidP="003D2164">
            <w:pPr>
              <w:pStyle w:val="In-tableHeading"/>
              <w:rPr>
                <w:lang w:val="en-AU"/>
              </w:rPr>
            </w:pPr>
            <w:r w:rsidRPr="00EA7B3F">
              <w:rPr>
                <w:lang w:val="en-AU"/>
              </w:rPr>
              <w:t>Outcome for ICER</w:t>
            </w:r>
          </w:p>
        </w:tc>
        <w:tc>
          <w:tcPr>
            <w:tcW w:w="1532" w:type="pct"/>
            <w:gridSpan w:val="3"/>
            <w:tcBorders>
              <w:right w:val="single" w:sz="4" w:space="0" w:color="auto"/>
            </w:tcBorders>
          </w:tcPr>
          <w:p w14:paraId="4F2394ED" w14:textId="77777777" w:rsidR="007C19DE" w:rsidRPr="00EA7B3F" w:rsidRDefault="007C19DE" w:rsidP="003D2164">
            <w:pPr>
              <w:pStyle w:val="In-tableHeading"/>
              <w:jc w:val="center"/>
              <w:rPr>
                <w:lang w:val="en-AU"/>
              </w:rPr>
            </w:pPr>
            <w:r w:rsidRPr="00EA7B3F">
              <w:rPr>
                <w:lang w:val="en-AU"/>
              </w:rPr>
              <w:t>Costs</w:t>
            </w:r>
          </w:p>
        </w:tc>
        <w:tc>
          <w:tcPr>
            <w:tcW w:w="1256" w:type="pct"/>
            <w:gridSpan w:val="3"/>
            <w:tcBorders>
              <w:right w:val="single" w:sz="4" w:space="0" w:color="auto"/>
            </w:tcBorders>
          </w:tcPr>
          <w:p w14:paraId="23153AE4" w14:textId="77777777" w:rsidR="007C19DE" w:rsidRPr="00EA7B3F" w:rsidRDefault="007C19DE" w:rsidP="003D2164">
            <w:pPr>
              <w:pStyle w:val="In-tableHeading"/>
              <w:jc w:val="center"/>
              <w:rPr>
                <w:lang w:val="en-AU"/>
              </w:rPr>
            </w:pPr>
            <w:r w:rsidRPr="00EA7B3F">
              <w:rPr>
                <w:lang w:val="en-AU"/>
              </w:rPr>
              <w:t>Outcomes</w:t>
            </w:r>
          </w:p>
        </w:tc>
        <w:tc>
          <w:tcPr>
            <w:tcW w:w="965" w:type="pct"/>
            <w:vMerge w:val="restart"/>
            <w:tcBorders>
              <w:right w:val="single" w:sz="4" w:space="0" w:color="auto"/>
            </w:tcBorders>
          </w:tcPr>
          <w:p w14:paraId="0080FACC" w14:textId="77777777" w:rsidR="007C19DE" w:rsidRPr="00EA7B3F" w:rsidRDefault="007C19DE" w:rsidP="003D2164">
            <w:pPr>
              <w:pStyle w:val="In-tableHeading"/>
              <w:jc w:val="center"/>
              <w:rPr>
                <w:lang w:val="en-AU"/>
              </w:rPr>
            </w:pPr>
            <w:r w:rsidRPr="00EA7B3F">
              <w:rPr>
                <w:lang w:val="en-AU"/>
              </w:rPr>
              <w:t>ICER</w:t>
            </w:r>
          </w:p>
        </w:tc>
      </w:tr>
      <w:tr w:rsidR="007C19DE" w:rsidRPr="00EA7B3F" w14:paraId="488244C5" w14:textId="77777777" w:rsidTr="00024A2B">
        <w:trPr>
          <w:tblHeader/>
        </w:trPr>
        <w:tc>
          <w:tcPr>
            <w:tcW w:w="1248" w:type="pct"/>
            <w:vMerge/>
            <w:tcBorders>
              <w:bottom w:val="single" w:sz="4" w:space="0" w:color="auto"/>
            </w:tcBorders>
          </w:tcPr>
          <w:p w14:paraId="0B2EB8D0" w14:textId="77777777" w:rsidR="007C19DE" w:rsidRPr="00EA7B3F" w:rsidRDefault="007C19DE" w:rsidP="003D2164">
            <w:pPr>
              <w:pStyle w:val="TableText0"/>
            </w:pPr>
          </w:p>
        </w:tc>
        <w:tc>
          <w:tcPr>
            <w:tcW w:w="528" w:type="pct"/>
            <w:tcBorders>
              <w:bottom w:val="single" w:sz="4" w:space="0" w:color="auto"/>
              <w:right w:val="single" w:sz="4" w:space="0" w:color="auto"/>
            </w:tcBorders>
          </w:tcPr>
          <w:p w14:paraId="1A74C521" w14:textId="77777777" w:rsidR="007C19DE" w:rsidRPr="00EA7B3F" w:rsidRDefault="007C19DE" w:rsidP="003D2164">
            <w:pPr>
              <w:pStyle w:val="In-tableHeading"/>
              <w:jc w:val="center"/>
              <w:rPr>
                <w:lang w:val="en-AU"/>
              </w:rPr>
            </w:pPr>
            <w:r w:rsidRPr="00EA7B3F">
              <w:rPr>
                <w:lang w:val="en-AU"/>
              </w:rPr>
              <w:t>LANA</w:t>
            </w:r>
          </w:p>
        </w:tc>
        <w:tc>
          <w:tcPr>
            <w:tcW w:w="500" w:type="pct"/>
            <w:tcBorders>
              <w:bottom w:val="single" w:sz="4" w:space="0" w:color="auto"/>
              <w:right w:val="single" w:sz="4" w:space="0" w:color="auto"/>
            </w:tcBorders>
          </w:tcPr>
          <w:p w14:paraId="0CBB33FF" w14:textId="77777777" w:rsidR="007C19DE" w:rsidRPr="00EA7B3F" w:rsidRDefault="007C19DE" w:rsidP="003D2164">
            <w:pPr>
              <w:pStyle w:val="In-tableHeading"/>
              <w:jc w:val="center"/>
              <w:rPr>
                <w:lang w:val="en-AU"/>
              </w:rPr>
            </w:pPr>
            <w:r w:rsidRPr="00EA7B3F">
              <w:rPr>
                <w:lang w:val="en-AU"/>
              </w:rPr>
              <w:t>SOC</w:t>
            </w:r>
          </w:p>
        </w:tc>
        <w:tc>
          <w:tcPr>
            <w:tcW w:w="503" w:type="pct"/>
            <w:tcBorders>
              <w:bottom w:val="single" w:sz="4" w:space="0" w:color="auto"/>
              <w:right w:val="single" w:sz="4" w:space="0" w:color="auto"/>
            </w:tcBorders>
          </w:tcPr>
          <w:p w14:paraId="04C6692D" w14:textId="77777777" w:rsidR="007C19DE" w:rsidRPr="00EA7B3F" w:rsidRDefault="007C19DE" w:rsidP="003D2164">
            <w:pPr>
              <w:pStyle w:val="In-tableHeading"/>
              <w:jc w:val="center"/>
              <w:rPr>
                <w:lang w:val="en-AU"/>
              </w:rPr>
            </w:pPr>
            <w:r w:rsidRPr="00EA7B3F">
              <w:rPr>
                <w:lang w:val="en-AU"/>
              </w:rPr>
              <w:t>Inc</w:t>
            </w:r>
          </w:p>
        </w:tc>
        <w:tc>
          <w:tcPr>
            <w:tcW w:w="417" w:type="pct"/>
            <w:tcBorders>
              <w:bottom w:val="single" w:sz="4" w:space="0" w:color="auto"/>
              <w:right w:val="single" w:sz="4" w:space="0" w:color="auto"/>
            </w:tcBorders>
          </w:tcPr>
          <w:p w14:paraId="4ABD84EA" w14:textId="77777777" w:rsidR="007C19DE" w:rsidRPr="00EA7B3F" w:rsidRDefault="007C19DE" w:rsidP="003D2164">
            <w:pPr>
              <w:pStyle w:val="In-tableHeading"/>
              <w:jc w:val="center"/>
              <w:rPr>
                <w:lang w:val="en-AU"/>
              </w:rPr>
            </w:pPr>
            <w:r w:rsidRPr="00EA7B3F">
              <w:rPr>
                <w:lang w:val="en-AU"/>
              </w:rPr>
              <w:t>LANA</w:t>
            </w:r>
          </w:p>
        </w:tc>
        <w:tc>
          <w:tcPr>
            <w:tcW w:w="417" w:type="pct"/>
            <w:tcBorders>
              <w:bottom w:val="single" w:sz="4" w:space="0" w:color="auto"/>
            </w:tcBorders>
          </w:tcPr>
          <w:p w14:paraId="63A0ED3B" w14:textId="77777777" w:rsidR="007C19DE" w:rsidRPr="00EA7B3F" w:rsidRDefault="007C19DE" w:rsidP="003D2164">
            <w:pPr>
              <w:pStyle w:val="In-tableHeading"/>
              <w:jc w:val="center"/>
              <w:rPr>
                <w:lang w:val="en-AU"/>
              </w:rPr>
            </w:pPr>
            <w:r w:rsidRPr="00EA7B3F">
              <w:rPr>
                <w:lang w:val="en-AU"/>
              </w:rPr>
              <w:t>SOC</w:t>
            </w:r>
          </w:p>
        </w:tc>
        <w:tc>
          <w:tcPr>
            <w:tcW w:w="422" w:type="pct"/>
            <w:tcBorders>
              <w:bottom w:val="single" w:sz="4" w:space="0" w:color="auto"/>
              <w:right w:val="single" w:sz="4" w:space="0" w:color="auto"/>
            </w:tcBorders>
          </w:tcPr>
          <w:p w14:paraId="2FB9E3AD" w14:textId="77777777" w:rsidR="007C19DE" w:rsidRPr="00EA7B3F" w:rsidRDefault="007C19DE" w:rsidP="003D2164">
            <w:pPr>
              <w:pStyle w:val="In-tableHeading"/>
              <w:jc w:val="center"/>
              <w:rPr>
                <w:lang w:val="en-AU"/>
              </w:rPr>
            </w:pPr>
            <w:r w:rsidRPr="00EA7B3F">
              <w:rPr>
                <w:lang w:val="en-AU"/>
              </w:rPr>
              <w:t>Inc</w:t>
            </w:r>
          </w:p>
        </w:tc>
        <w:tc>
          <w:tcPr>
            <w:tcW w:w="965" w:type="pct"/>
            <w:vMerge/>
            <w:tcBorders>
              <w:bottom w:val="single" w:sz="4" w:space="0" w:color="auto"/>
              <w:right w:val="single" w:sz="4" w:space="0" w:color="auto"/>
            </w:tcBorders>
          </w:tcPr>
          <w:p w14:paraId="09602544" w14:textId="77777777" w:rsidR="007C19DE" w:rsidRPr="00EA7B3F" w:rsidRDefault="007C19DE" w:rsidP="003D2164">
            <w:pPr>
              <w:pStyle w:val="TableText0"/>
              <w:jc w:val="center"/>
            </w:pPr>
          </w:p>
        </w:tc>
      </w:tr>
      <w:tr w:rsidR="007C19DE" w:rsidRPr="00EA7B3F" w14:paraId="14C75006" w14:textId="77777777" w:rsidTr="00410945">
        <w:tc>
          <w:tcPr>
            <w:tcW w:w="1248" w:type="pct"/>
            <w:tcBorders>
              <w:right w:val="nil"/>
            </w:tcBorders>
          </w:tcPr>
          <w:p w14:paraId="489513B4" w14:textId="77777777" w:rsidR="007C19DE" w:rsidRPr="00EA7B3F" w:rsidRDefault="007C19DE" w:rsidP="003D2164">
            <w:pPr>
              <w:pStyle w:val="TableText0"/>
              <w:rPr>
                <w:b/>
              </w:rPr>
            </w:pPr>
            <w:r w:rsidRPr="00EA7B3F">
              <w:rPr>
                <w:b/>
              </w:rPr>
              <w:t>Current resubmission</w:t>
            </w:r>
          </w:p>
        </w:tc>
        <w:tc>
          <w:tcPr>
            <w:tcW w:w="528" w:type="pct"/>
            <w:tcBorders>
              <w:left w:val="nil"/>
              <w:right w:val="nil"/>
            </w:tcBorders>
            <w:vAlign w:val="center"/>
          </w:tcPr>
          <w:p w14:paraId="1A21CDF0" w14:textId="77777777" w:rsidR="007C19DE" w:rsidRPr="00EA7B3F" w:rsidRDefault="007C19DE" w:rsidP="003D2164">
            <w:pPr>
              <w:pStyle w:val="TableText0"/>
              <w:jc w:val="right"/>
            </w:pPr>
          </w:p>
        </w:tc>
        <w:tc>
          <w:tcPr>
            <w:tcW w:w="500" w:type="pct"/>
            <w:tcBorders>
              <w:left w:val="nil"/>
              <w:right w:val="nil"/>
            </w:tcBorders>
            <w:vAlign w:val="center"/>
          </w:tcPr>
          <w:p w14:paraId="1DE63918" w14:textId="77777777" w:rsidR="007C19DE" w:rsidRPr="00EA7B3F" w:rsidRDefault="007C19DE" w:rsidP="003D2164">
            <w:pPr>
              <w:pStyle w:val="TableText0"/>
              <w:jc w:val="right"/>
            </w:pPr>
          </w:p>
        </w:tc>
        <w:tc>
          <w:tcPr>
            <w:tcW w:w="503" w:type="pct"/>
            <w:tcBorders>
              <w:left w:val="nil"/>
              <w:right w:val="nil"/>
            </w:tcBorders>
            <w:vAlign w:val="center"/>
          </w:tcPr>
          <w:p w14:paraId="24291D72" w14:textId="77777777" w:rsidR="007C19DE" w:rsidRPr="00EA7B3F" w:rsidRDefault="007C19DE" w:rsidP="003D2164">
            <w:pPr>
              <w:pStyle w:val="TableText0"/>
              <w:jc w:val="right"/>
            </w:pPr>
          </w:p>
        </w:tc>
        <w:tc>
          <w:tcPr>
            <w:tcW w:w="417" w:type="pct"/>
            <w:tcBorders>
              <w:left w:val="nil"/>
              <w:right w:val="nil"/>
            </w:tcBorders>
            <w:vAlign w:val="center"/>
          </w:tcPr>
          <w:p w14:paraId="585B5C14" w14:textId="77777777" w:rsidR="007C19DE" w:rsidRPr="00EA7B3F" w:rsidRDefault="007C19DE" w:rsidP="003D2164">
            <w:pPr>
              <w:pStyle w:val="TableText0"/>
              <w:jc w:val="center"/>
            </w:pPr>
          </w:p>
        </w:tc>
        <w:tc>
          <w:tcPr>
            <w:tcW w:w="417" w:type="pct"/>
            <w:tcBorders>
              <w:left w:val="nil"/>
              <w:right w:val="nil"/>
            </w:tcBorders>
            <w:vAlign w:val="center"/>
          </w:tcPr>
          <w:p w14:paraId="43E857E9" w14:textId="77777777" w:rsidR="007C19DE" w:rsidRPr="00EA7B3F" w:rsidRDefault="007C19DE" w:rsidP="003D2164">
            <w:pPr>
              <w:pStyle w:val="TableText0"/>
              <w:jc w:val="center"/>
            </w:pPr>
          </w:p>
        </w:tc>
        <w:tc>
          <w:tcPr>
            <w:tcW w:w="422" w:type="pct"/>
            <w:tcBorders>
              <w:left w:val="nil"/>
              <w:right w:val="nil"/>
            </w:tcBorders>
            <w:vAlign w:val="center"/>
          </w:tcPr>
          <w:p w14:paraId="43816E05" w14:textId="77777777" w:rsidR="007C19DE" w:rsidRPr="00EA7B3F" w:rsidRDefault="007C19DE" w:rsidP="003D2164">
            <w:pPr>
              <w:pStyle w:val="TableText0"/>
              <w:jc w:val="center"/>
            </w:pPr>
          </w:p>
        </w:tc>
        <w:tc>
          <w:tcPr>
            <w:tcW w:w="965" w:type="pct"/>
            <w:tcBorders>
              <w:left w:val="nil"/>
              <w:right w:val="single" w:sz="4" w:space="0" w:color="auto"/>
            </w:tcBorders>
            <w:vAlign w:val="center"/>
          </w:tcPr>
          <w:p w14:paraId="576690A1" w14:textId="77777777" w:rsidR="007C19DE" w:rsidRPr="00EA7B3F" w:rsidRDefault="007C19DE" w:rsidP="003D2164">
            <w:pPr>
              <w:pStyle w:val="TableText0"/>
              <w:jc w:val="center"/>
              <w:rPr>
                <w:i/>
              </w:rPr>
            </w:pPr>
          </w:p>
        </w:tc>
      </w:tr>
      <w:tr w:rsidR="007C19DE" w:rsidRPr="00EA7B3F" w14:paraId="716C33E5" w14:textId="77777777" w:rsidTr="00410945">
        <w:tc>
          <w:tcPr>
            <w:tcW w:w="1248" w:type="pct"/>
            <w:vAlign w:val="center"/>
          </w:tcPr>
          <w:p w14:paraId="3D55C05C" w14:textId="77777777" w:rsidR="007C19DE" w:rsidRPr="00EA7B3F" w:rsidRDefault="007C19DE" w:rsidP="003D2164">
            <w:pPr>
              <w:pStyle w:val="TableText0"/>
            </w:pPr>
            <w:r w:rsidRPr="00EA7B3F">
              <w:t>HAE attack</w:t>
            </w:r>
            <w:r w:rsidR="003120F5" w:rsidRPr="00EA7B3F">
              <w:t>s</w:t>
            </w:r>
            <w:r w:rsidRPr="00EA7B3F">
              <w:t xml:space="preserve"> requiring acute treatment</w:t>
            </w:r>
          </w:p>
        </w:tc>
        <w:tc>
          <w:tcPr>
            <w:tcW w:w="528" w:type="pct"/>
            <w:tcBorders>
              <w:right w:val="single" w:sz="4" w:space="0" w:color="auto"/>
            </w:tcBorders>
            <w:vAlign w:val="center"/>
          </w:tcPr>
          <w:p w14:paraId="1DC15C85" w14:textId="77777777" w:rsidR="007C19DE" w:rsidRPr="00EA7B3F" w:rsidRDefault="007C19DE" w:rsidP="003D2164">
            <w:pPr>
              <w:pStyle w:val="TableText0"/>
              <w:jc w:val="right"/>
            </w:pPr>
            <w:r w:rsidRPr="00EA7B3F">
              <w:t>$</w:t>
            </w:r>
            <w:r w:rsidR="006F5B4F">
              <w:rPr>
                <w:noProof/>
                <w:color w:val="000000"/>
                <w:highlight w:val="black"/>
              </w:rPr>
              <w:t>''''''''''''''''''</w:t>
            </w:r>
          </w:p>
        </w:tc>
        <w:tc>
          <w:tcPr>
            <w:tcW w:w="500" w:type="pct"/>
            <w:tcBorders>
              <w:right w:val="single" w:sz="4" w:space="0" w:color="auto"/>
            </w:tcBorders>
            <w:vAlign w:val="center"/>
          </w:tcPr>
          <w:p w14:paraId="1E071EA7" w14:textId="77777777" w:rsidR="007C19DE" w:rsidRPr="00EA7B3F" w:rsidRDefault="007C19DE" w:rsidP="003D2164">
            <w:pPr>
              <w:pStyle w:val="TableText0"/>
              <w:jc w:val="right"/>
            </w:pPr>
            <w:r w:rsidRPr="00EA7B3F">
              <w:t>$130,428</w:t>
            </w:r>
          </w:p>
        </w:tc>
        <w:tc>
          <w:tcPr>
            <w:tcW w:w="503" w:type="pct"/>
            <w:tcBorders>
              <w:right w:val="single" w:sz="4" w:space="0" w:color="auto"/>
            </w:tcBorders>
            <w:vAlign w:val="center"/>
          </w:tcPr>
          <w:p w14:paraId="122FB953" w14:textId="77777777" w:rsidR="007C19DE" w:rsidRPr="00EA7B3F" w:rsidRDefault="007C19DE" w:rsidP="003D2164">
            <w:pPr>
              <w:pStyle w:val="TableText0"/>
              <w:jc w:val="right"/>
            </w:pPr>
            <w:r w:rsidRPr="00EA7B3F">
              <w:t>$</w:t>
            </w:r>
            <w:r w:rsidR="006F5B4F">
              <w:rPr>
                <w:noProof/>
                <w:color w:val="000000"/>
                <w:highlight w:val="black"/>
              </w:rPr>
              <w:t>'''''''''''''''</w:t>
            </w:r>
          </w:p>
        </w:tc>
        <w:tc>
          <w:tcPr>
            <w:tcW w:w="417" w:type="pct"/>
            <w:tcBorders>
              <w:right w:val="single" w:sz="4" w:space="0" w:color="auto"/>
            </w:tcBorders>
            <w:vAlign w:val="center"/>
          </w:tcPr>
          <w:p w14:paraId="4BE551A9" w14:textId="77777777" w:rsidR="007C19DE" w:rsidRPr="00EA7B3F" w:rsidRDefault="007C19DE" w:rsidP="003D2164">
            <w:pPr>
              <w:pStyle w:val="TableText0"/>
              <w:jc w:val="center"/>
            </w:pPr>
            <w:r w:rsidRPr="00EA7B3F">
              <w:t>7.0</w:t>
            </w:r>
          </w:p>
        </w:tc>
        <w:tc>
          <w:tcPr>
            <w:tcW w:w="417" w:type="pct"/>
            <w:vAlign w:val="center"/>
          </w:tcPr>
          <w:p w14:paraId="377A9630" w14:textId="77777777" w:rsidR="007C19DE" w:rsidRPr="00EA7B3F" w:rsidRDefault="007C19DE" w:rsidP="003D2164">
            <w:pPr>
              <w:pStyle w:val="TableText0"/>
              <w:jc w:val="center"/>
            </w:pPr>
            <w:r w:rsidRPr="00EA7B3F">
              <w:t>54.8</w:t>
            </w:r>
          </w:p>
        </w:tc>
        <w:tc>
          <w:tcPr>
            <w:tcW w:w="422" w:type="pct"/>
            <w:tcBorders>
              <w:right w:val="single" w:sz="4" w:space="0" w:color="auto"/>
            </w:tcBorders>
            <w:vAlign w:val="center"/>
          </w:tcPr>
          <w:p w14:paraId="74E08873" w14:textId="77777777" w:rsidR="007C19DE" w:rsidRPr="00EA7B3F" w:rsidRDefault="007C19DE" w:rsidP="003D2164">
            <w:pPr>
              <w:pStyle w:val="TableText0"/>
              <w:jc w:val="center"/>
            </w:pPr>
            <w:r w:rsidRPr="00EA7B3F">
              <w:t>-47.8</w:t>
            </w:r>
          </w:p>
        </w:tc>
        <w:tc>
          <w:tcPr>
            <w:tcW w:w="965" w:type="pct"/>
            <w:tcBorders>
              <w:right w:val="single" w:sz="4" w:space="0" w:color="auto"/>
            </w:tcBorders>
            <w:vAlign w:val="center"/>
          </w:tcPr>
          <w:p w14:paraId="64DF9BE3" w14:textId="77777777" w:rsidR="007C19DE" w:rsidRPr="00EA7B3F" w:rsidRDefault="007C19DE" w:rsidP="003D2164">
            <w:pPr>
              <w:pStyle w:val="TableText0"/>
              <w:jc w:val="center"/>
            </w:pPr>
            <w:r w:rsidRPr="00EA7B3F">
              <w:t>$</w:t>
            </w:r>
            <w:r w:rsidR="006F5B4F">
              <w:rPr>
                <w:noProof/>
                <w:color w:val="000000"/>
                <w:highlight w:val="black"/>
              </w:rPr>
              <w:t>'''''''''</w:t>
            </w:r>
            <w:r w:rsidR="00396552" w:rsidRPr="00396552">
              <w:rPr>
                <w:vertAlign w:val="superscript"/>
              </w:rPr>
              <w:t>6</w:t>
            </w:r>
            <w:r w:rsidRPr="00EA7B3F">
              <w:t xml:space="preserve"> per treated HAE attack avoided</w:t>
            </w:r>
          </w:p>
        </w:tc>
      </w:tr>
      <w:tr w:rsidR="007C19DE" w:rsidRPr="00EA7B3F" w14:paraId="102AED43" w14:textId="77777777" w:rsidTr="00410945">
        <w:tc>
          <w:tcPr>
            <w:tcW w:w="1248" w:type="pct"/>
            <w:tcBorders>
              <w:bottom w:val="single" w:sz="4" w:space="0" w:color="auto"/>
            </w:tcBorders>
          </w:tcPr>
          <w:p w14:paraId="5F0FCFA0" w14:textId="77777777" w:rsidR="007C19DE" w:rsidRPr="00EA7B3F" w:rsidRDefault="007C19DE" w:rsidP="00024783">
            <w:pPr>
              <w:pStyle w:val="TableText0"/>
              <w:ind w:left="165" w:hanging="165"/>
              <w:rPr>
                <w:b/>
              </w:rPr>
            </w:pPr>
            <w:r w:rsidRPr="00EA7B3F">
              <w:rPr>
                <w:b/>
              </w:rPr>
              <w:t>QALY</w:t>
            </w:r>
            <w:r w:rsidR="00024783" w:rsidRPr="00EA7B3F">
              <w:rPr>
                <w:b/>
              </w:rPr>
              <w:t>s</w:t>
            </w:r>
            <w:r w:rsidRPr="00EA7B3F">
              <w:rPr>
                <w:b/>
              </w:rPr>
              <w:t xml:space="preserve"> gained</w:t>
            </w:r>
          </w:p>
        </w:tc>
        <w:tc>
          <w:tcPr>
            <w:tcW w:w="528" w:type="pct"/>
            <w:tcBorders>
              <w:bottom w:val="single" w:sz="4" w:space="0" w:color="auto"/>
              <w:right w:val="single" w:sz="4" w:space="0" w:color="auto"/>
            </w:tcBorders>
            <w:vAlign w:val="center"/>
          </w:tcPr>
          <w:p w14:paraId="7C9D1BA4" w14:textId="77777777" w:rsidR="007C19DE" w:rsidRPr="005465A4" w:rsidRDefault="007C19DE" w:rsidP="003D2164">
            <w:pPr>
              <w:pStyle w:val="TableText0"/>
              <w:jc w:val="right"/>
              <w:rPr>
                <w:b/>
              </w:rPr>
            </w:pPr>
            <w:r w:rsidRPr="00EA7B3F">
              <w:rPr>
                <w:b/>
              </w:rPr>
              <w:t>$</w:t>
            </w:r>
            <w:r w:rsidR="006F5B4F">
              <w:rPr>
                <w:b/>
                <w:noProof/>
                <w:color w:val="000000"/>
                <w:highlight w:val="black"/>
              </w:rPr>
              <w:t>''''''''''''''''</w:t>
            </w:r>
            <w:r w:rsidR="005465A4" w:rsidRPr="005465A4">
              <w:rPr>
                <w:b/>
                <w:vertAlign w:val="superscript"/>
              </w:rPr>
              <w:t>1</w:t>
            </w:r>
          </w:p>
        </w:tc>
        <w:tc>
          <w:tcPr>
            <w:tcW w:w="500" w:type="pct"/>
            <w:tcBorders>
              <w:bottom w:val="single" w:sz="4" w:space="0" w:color="auto"/>
              <w:right w:val="single" w:sz="4" w:space="0" w:color="auto"/>
            </w:tcBorders>
            <w:vAlign w:val="center"/>
          </w:tcPr>
          <w:p w14:paraId="323A5FB6" w14:textId="77777777" w:rsidR="007C19DE" w:rsidRPr="00EA7B3F" w:rsidRDefault="007C19DE" w:rsidP="003D2164">
            <w:pPr>
              <w:pStyle w:val="TableText0"/>
              <w:jc w:val="right"/>
              <w:rPr>
                <w:b/>
              </w:rPr>
            </w:pPr>
            <w:r w:rsidRPr="00EA7B3F">
              <w:rPr>
                <w:b/>
              </w:rPr>
              <w:t>$130,428</w:t>
            </w:r>
          </w:p>
        </w:tc>
        <w:tc>
          <w:tcPr>
            <w:tcW w:w="503" w:type="pct"/>
            <w:tcBorders>
              <w:bottom w:val="single" w:sz="4" w:space="0" w:color="auto"/>
              <w:right w:val="single" w:sz="4" w:space="0" w:color="auto"/>
            </w:tcBorders>
            <w:vAlign w:val="center"/>
          </w:tcPr>
          <w:p w14:paraId="047689C9" w14:textId="77777777" w:rsidR="007C19DE" w:rsidRPr="005465A4" w:rsidRDefault="007C19DE" w:rsidP="003D2164">
            <w:pPr>
              <w:pStyle w:val="TableText0"/>
              <w:jc w:val="right"/>
              <w:rPr>
                <w:b/>
                <w:vertAlign w:val="superscript"/>
              </w:rPr>
            </w:pPr>
            <w:r w:rsidRPr="00EA7B3F">
              <w:rPr>
                <w:b/>
              </w:rPr>
              <w:t>$</w:t>
            </w:r>
            <w:r w:rsidR="006F5B4F">
              <w:rPr>
                <w:b/>
                <w:noProof/>
                <w:color w:val="000000"/>
                <w:highlight w:val="black"/>
              </w:rPr>
              <w:t>'''''''''''''</w:t>
            </w:r>
            <w:r w:rsidR="005465A4" w:rsidRPr="005465A4">
              <w:rPr>
                <w:b/>
                <w:vertAlign w:val="superscript"/>
              </w:rPr>
              <w:t>2</w:t>
            </w:r>
          </w:p>
        </w:tc>
        <w:tc>
          <w:tcPr>
            <w:tcW w:w="417" w:type="pct"/>
            <w:tcBorders>
              <w:bottom w:val="single" w:sz="4" w:space="0" w:color="auto"/>
              <w:right w:val="single" w:sz="4" w:space="0" w:color="auto"/>
            </w:tcBorders>
            <w:vAlign w:val="center"/>
          </w:tcPr>
          <w:p w14:paraId="52908E21" w14:textId="77777777" w:rsidR="007C19DE" w:rsidRPr="00EA7B3F" w:rsidRDefault="007C19DE" w:rsidP="003D2164">
            <w:pPr>
              <w:pStyle w:val="TableText0"/>
              <w:jc w:val="center"/>
              <w:rPr>
                <w:b/>
              </w:rPr>
            </w:pPr>
            <w:r w:rsidRPr="00EA7B3F">
              <w:rPr>
                <w:b/>
              </w:rPr>
              <w:t>0.8731</w:t>
            </w:r>
          </w:p>
        </w:tc>
        <w:tc>
          <w:tcPr>
            <w:tcW w:w="417" w:type="pct"/>
            <w:tcBorders>
              <w:bottom w:val="single" w:sz="4" w:space="0" w:color="auto"/>
            </w:tcBorders>
            <w:vAlign w:val="center"/>
          </w:tcPr>
          <w:p w14:paraId="0EA964FA" w14:textId="77777777" w:rsidR="007C19DE" w:rsidRPr="00EA7B3F" w:rsidRDefault="007C19DE" w:rsidP="003D2164">
            <w:pPr>
              <w:pStyle w:val="TableText0"/>
              <w:jc w:val="center"/>
              <w:rPr>
                <w:b/>
              </w:rPr>
            </w:pPr>
            <w:r w:rsidRPr="00EA7B3F">
              <w:rPr>
                <w:b/>
              </w:rPr>
              <w:t>0.5826</w:t>
            </w:r>
          </w:p>
        </w:tc>
        <w:tc>
          <w:tcPr>
            <w:tcW w:w="422" w:type="pct"/>
            <w:tcBorders>
              <w:bottom w:val="single" w:sz="4" w:space="0" w:color="auto"/>
              <w:right w:val="single" w:sz="4" w:space="0" w:color="auto"/>
            </w:tcBorders>
            <w:vAlign w:val="center"/>
          </w:tcPr>
          <w:p w14:paraId="13938E42" w14:textId="77777777" w:rsidR="007C19DE" w:rsidRPr="00EA7B3F" w:rsidRDefault="007C19DE" w:rsidP="003D2164">
            <w:pPr>
              <w:pStyle w:val="TableText0"/>
              <w:jc w:val="center"/>
              <w:rPr>
                <w:b/>
              </w:rPr>
            </w:pPr>
            <w:r w:rsidRPr="00EA7B3F">
              <w:rPr>
                <w:b/>
              </w:rPr>
              <w:t>0.2906</w:t>
            </w:r>
          </w:p>
        </w:tc>
        <w:tc>
          <w:tcPr>
            <w:tcW w:w="965" w:type="pct"/>
            <w:tcBorders>
              <w:bottom w:val="single" w:sz="4" w:space="0" w:color="auto"/>
              <w:right w:val="single" w:sz="4" w:space="0" w:color="auto"/>
            </w:tcBorders>
            <w:vAlign w:val="center"/>
          </w:tcPr>
          <w:p w14:paraId="1EC53FBD" w14:textId="77777777" w:rsidR="007C19DE" w:rsidRPr="00EA7B3F" w:rsidRDefault="007C19DE" w:rsidP="003D2164">
            <w:pPr>
              <w:pStyle w:val="TableText0"/>
              <w:jc w:val="center"/>
              <w:rPr>
                <w:b/>
              </w:rPr>
            </w:pPr>
            <w:r w:rsidRPr="00EA7B3F">
              <w:rPr>
                <w:b/>
              </w:rPr>
              <w:t>$</w:t>
            </w:r>
            <w:r w:rsidR="006F5B4F">
              <w:rPr>
                <w:b/>
                <w:noProof/>
                <w:color w:val="000000"/>
                <w:highlight w:val="black"/>
              </w:rPr>
              <w:t>''''''''''''''''</w:t>
            </w:r>
            <w:r w:rsidR="005465A4" w:rsidRPr="005465A4">
              <w:rPr>
                <w:b/>
                <w:vertAlign w:val="superscript"/>
              </w:rPr>
              <w:t>4</w:t>
            </w:r>
            <w:r w:rsidR="003120F5" w:rsidRPr="00EA7B3F">
              <w:rPr>
                <w:b/>
              </w:rPr>
              <w:t>/QALY</w:t>
            </w:r>
          </w:p>
        </w:tc>
      </w:tr>
      <w:tr w:rsidR="007C19DE" w:rsidRPr="00EA7B3F" w14:paraId="538E2A2F" w14:textId="77777777" w:rsidTr="00410945">
        <w:tc>
          <w:tcPr>
            <w:tcW w:w="1248" w:type="pct"/>
            <w:tcBorders>
              <w:right w:val="nil"/>
            </w:tcBorders>
            <w:shd w:val="clear" w:color="auto" w:fill="DBE5F1" w:themeFill="accent1" w:themeFillTint="33"/>
          </w:tcPr>
          <w:p w14:paraId="59DCCE46" w14:textId="77777777" w:rsidR="007C19DE" w:rsidRPr="00EA7B3F" w:rsidRDefault="007C19DE" w:rsidP="003D2164">
            <w:pPr>
              <w:pStyle w:val="TableText0"/>
              <w:rPr>
                <w:b/>
              </w:rPr>
            </w:pPr>
            <w:r w:rsidRPr="00EA7B3F">
              <w:rPr>
                <w:b/>
              </w:rPr>
              <w:t>July 2020 resubmission</w:t>
            </w:r>
          </w:p>
        </w:tc>
        <w:tc>
          <w:tcPr>
            <w:tcW w:w="528" w:type="pct"/>
            <w:tcBorders>
              <w:left w:val="nil"/>
              <w:right w:val="nil"/>
            </w:tcBorders>
            <w:shd w:val="clear" w:color="auto" w:fill="DBE5F1" w:themeFill="accent1" w:themeFillTint="33"/>
            <w:vAlign w:val="center"/>
          </w:tcPr>
          <w:p w14:paraId="06E23058" w14:textId="77777777" w:rsidR="007C19DE" w:rsidRPr="00EA7B3F" w:rsidRDefault="007C19DE" w:rsidP="003D2164">
            <w:pPr>
              <w:pStyle w:val="TableText0"/>
              <w:jc w:val="right"/>
            </w:pPr>
          </w:p>
        </w:tc>
        <w:tc>
          <w:tcPr>
            <w:tcW w:w="500" w:type="pct"/>
            <w:tcBorders>
              <w:left w:val="nil"/>
              <w:right w:val="nil"/>
            </w:tcBorders>
            <w:shd w:val="clear" w:color="auto" w:fill="DBE5F1" w:themeFill="accent1" w:themeFillTint="33"/>
            <w:vAlign w:val="center"/>
          </w:tcPr>
          <w:p w14:paraId="2E655C70" w14:textId="77777777" w:rsidR="007C19DE" w:rsidRPr="00EA7B3F" w:rsidRDefault="007C19DE" w:rsidP="003D2164">
            <w:pPr>
              <w:pStyle w:val="TableText0"/>
              <w:jc w:val="right"/>
            </w:pPr>
          </w:p>
        </w:tc>
        <w:tc>
          <w:tcPr>
            <w:tcW w:w="503" w:type="pct"/>
            <w:tcBorders>
              <w:left w:val="nil"/>
              <w:right w:val="nil"/>
            </w:tcBorders>
            <w:shd w:val="clear" w:color="auto" w:fill="DBE5F1" w:themeFill="accent1" w:themeFillTint="33"/>
            <w:vAlign w:val="center"/>
          </w:tcPr>
          <w:p w14:paraId="0197FE92" w14:textId="77777777" w:rsidR="007C19DE" w:rsidRPr="00EA7B3F" w:rsidRDefault="007C19DE" w:rsidP="003D2164">
            <w:pPr>
              <w:pStyle w:val="TableText0"/>
              <w:jc w:val="right"/>
            </w:pPr>
          </w:p>
        </w:tc>
        <w:tc>
          <w:tcPr>
            <w:tcW w:w="417" w:type="pct"/>
            <w:tcBorders>
              <w:left w:val="nil"/>
              <w:right w:val="nil"/>
            </w:tcBorders>
            <w:shd w:val="clear" w:color="auto" w:fill="DBE5F1" w:themeFill="accent1" w:themeFillTint="33"/>
            <w:vAlign w:val="center"/>
          </w:tcPr>
          <w:p w14:paraId="3F0DDE43" w14:textId="77777777" w:rsidR="007C19DE" w:rsidRPr="00EA7B3F" w:rsidRDefault="007C19DE" w:rsidP="003D2164">
            <w:pPr>
              <w:pStyle w:val="TableText0"/>
              <w:jc w:val="center"/>
            </w:pPr>
          </w:p>
        </w:tc>
        <w:tc>
          <w:tcPr>
            <w:tcW w:w="417" w:type="pct"/>
            <w:tcBorders>
              <w:left w:val="nil"/>
              <w:right w:val="nil"/>
            </w:tcBorders>
            <w:shd w:val="clear" w:color="auto" w:fill="DBE5F1" w:themeFill="accent1" w:themeFillTint="33"/>
            <w:vAlign w:val="center"/>
          </w:tcPr>
          <w:p w14:paraId="1214852A" w14:textId="77777777" w:rsidR="007C19DE" w:rsidRPr="00EA7B3F" w:rsidRDefault="007C19DE" w:rsidP="003D2164">
            <w:pPr>
              <w:pStyle w:val="TableText0"/>
              <w:jc w:val="center"/>
            </w:pPr>
          </w:p>
        </w:tc>
        <w:tc>
          <w:tcPr>
            <w:tcW w:w="422" w:type="pct"/>
            <w:tcBorders>
              <w:left w:val="nil"/>
              <w:right w:val="nil"/>
            </w:tcBorders>
            <w:shd w:val="clear" w:color="auto" w:fill="DBE5F1" w:themeFill="accent1" w:themeFillTint="33"/>
            <w:vAlign w:val="center"/>
          </w:tcPr>
          <w:p w14:paraId="38454C83" w14:textId="77777777" w:rsidR="007C19DE" w:rsidRPr="00EA7B3F" w:rsidRDefault="007C19DE" w:rsidP="003D2164">
            <w:pPr>
              <w:pStyle w:val="TableText0"/>
              <w:jc w:val="center"/>
            </w:pPr>
          </w:p>
        </w:tc>
        <w:tc>
          <w:tcPr>
            <w:tcW w:w="965" w:type="pct"/>
            <w:tcBorders>
              <w:left w:val="nil"/>
              <w:right w:val="single" w:sz="4" w:space="0" w:color="auto"/>
            </w:tcBorders>
            <w:shd w:val="clear" w:color="auto" w:fill="DBE5F1" w:themeFill="accent1" w:themeFillTint="33"/>
            <w:vAlign w:val="center"/>
          </w:tcPr>
          <w:p w14:paraId="55951687" w14:textId="77777777" w:rsidR="007C19DE" w:rsidRPr="00EA7B3F" w:rsidRDefault="007C19DE" w:rsidP="003D2164">
            <w:pPr>
              <w:pStyle w:val="TableText0"/>
              <w:jc w:val="center"/>
            </w:pPr>
          </w:p>
        </w:tc>
      </w:tr>
      <w:tr w:rsidR="007C19DE" w:rsidRPr="00EA7B3F" w14:paraId="30EF24E2" w14:textId="77777777" w:rsidTr="00410945">
        <w:tc>
          <w:tcPr>
            <w:tcW w:w="1248" w:type="pct"/>
            <w:shd w:val="clear" w:color="auto" w:fill="DBE5F1" w:themeFill="accent1" w:themeFillTint="33"/>
            <w:vAlign w:val="center"/>
          </w:tcPr>
          <w:p w14:paraId="0FF5318E" w14:textId="77777777" w:rsidR="007C19DE" w:rsidRPr="00EA7B3F" w:rsidRDefault="007C19DE" w:rsidP="003D2164">
            <w:pPr>
              <w:pStyle w:val="TableText0"/>
            </w:pPr>
            <w:r w:rsidRPr="00EA7B3F">
              <w:t>HAE attack</w:t>
            </w:r>
            <w:r w:rsidR="00024783" w:rsidRPr="00EA7B3F">
              <w:t>s</w:t>
            </w:r>
            <w:r w:rsidRPr="00EA7B3F">
              <w:t xml:space="preserve"> requiring acute treatment</w:t>
            </w:r>
          </w:p>
        </w:tc>
        <w:tc>
          <w:tcPr>
            <w:tcW w:w="528" w:type="pct"/>
            <w:tcBorders>
              <w:right w:val="single" w:sz="4" w:space="0" w:color="auto"/>
            </w:tcBorders>
            <w:shd w:val="clear" w:color="auto" w:fill="DBE5F1" w:themeFill="accent1" w:themeFillTint="33"/>
            <w:vAlign w:val="center"/>
          </w:tcPr>
          <w:p w14:paraId="4C7ADE51" w14:textId="77777777" w:rsidR="007C19DE" w:rsidRPr="00EA7B3F" w:rsidRDefault="007C19DE" w:rsidP="003D2164">
            <w:pPr>
              <w:pStyle w:val="TableText0"/>
              <w:jc w:val="right"/>
            </w:pPr>
            <w:r w:rsidRPr="00EA7B3F">
              <w:t>$</w:t>
            </w:r>
            <w:r w:rsidR="006F5B4F">
              <w:rPr>
                <w:noProof/>
                <w:color w:val="000000"/>
                <w:highlight w:val="black"/>
              </w:rPr>
              <w:t>'''''''''''''''''''''</w:t>
            </w:r>
          </w:p>
        </w:tc>
        <w:tc>
          <w:tcPr>
            <w:tcW w:w="500" w:type="pct"/>
            <w:tcBorders>
              <w:right w:val="single" w:sz="4" w:space="0" w:color="auto"/>
            </w:tcBorders>
            <w:shd w:val="clear" w:color="auto" w:fill="DBE5F1" w:themeFill="accent1" w:themeFillTint="33"/>
            <w:vAlign w:val="center"/>
          </w:tcPr>
          <w:p w14:paraId="20AF9914" w14:textId="77777777" w:rsidR="007C19DE" w:rsidRPr="00EA7B3F" w:rsidRDefault="007C19DE" w:rsidP="003D2164">
            <w:pPr>
              <w:pStyle w:val="TableText0"/>
              <w:jc w:val="right"/>
            </w:pPr>
            <w:r w:rsidRPr="00EA7B3F">
              <w:t>$185,205</w:t>
            </w:r>
          </w:p>
        </w:tc>
        <w:tc>
          <w:tcPr>
            <w:tcW w:w="503" w:type="pct"/>
            <w:tcBorders>
              <w:right w:val="single" w:sz="4" w:space="0" w:color="auto"/>
            </w:tcBorders>
            <w:shd w:val="clear" w:color="auto" w:fill="DBE5F1" w:themeFill="accent1" w:themeFillTint="33"/>
            <w:vAlign w:val="center"/>
          </w:tcPr>
          <w:p w14:paraId="0B904AF8" w14:textId="77777777" w:rsidR="007C19DE" w:rsidRPr="00EA7B3F" w:rsidRDefault="007C19DE" w:rsidP="003D2164">
            <w:pPr>
              <w:pStyle w:val="TableText0"/>
              <w:jc w:val="right"/>
            </w:pPr>
            <w:r w:rsidRPr="00EA7B3F">
              <w:t>$</w:t>
            </w:r>
            <w:r w:rsidR="006F5B4F">
              <w:rPr>
                <w:noProof/>
                <w:color w:val="000000"/>
                <w:highlight w:val="black"/>
              </w:rPr>
              <w:t>''''''''''''''''</w:t>
            </w:r>
          </w:p>
        </w:tc>
        <w:tc>
          <w:tcPr>
            <w:tcW w:w="417" w:type="pct"/>
            <w:tcBorders>
              <w:right w:val="single" w:sz="4" w:space="0" w:color="auto"/>
            </w:tcBorders>
            <w:shd w:val="clear" w:color="auto" w:fill="DBE5F1" w:themeFill="accent1" w:themeFillTint="33"/>
            <w:vAlign w:val="center"/>
          </w:tcPr>
          <w:p w14:paraId="3998B023" w14:textId="77777777" w:rsidR="007C19DE" w:rsidRPr="00EA7B3F" w:rsidRDefault="007C19DE" w:rsidP="003D2164">
            <w:pPr>
              <w:pStyle w:val="TableText0"/>
              <w:jc w:val="center"/>
            </w:pPr>
            <w:r w:rsidRPr="00EA7B3F">
              <w:t>7.0</w:t>
            </w:r>
          </w:p>
        </w:tc>
        <w:tc>
          <w:tcPr>
            <w:tcW w:w="417" w:type="pct"/>
            <w:shd w:val="clear" w:color="auto" w:fill="DBE5F1" w:themeFill="accent1" w:themeFillTint="33"/>
            <w:vAlign w:val="center"/>
          </w:tcPr>
          <w:p w14:paraId="31A9F05A" w14:textId="77777777" w:rsidR="007C19DE" w:rsidRPr="00EA7B3F" w:rsidRDefault="007C19DE" w:rsidP="003D2164">
            <w:pPr>
              <w:pStyle w:val="TableText0"/>
              <w:jc w:val="center"/>
            </w:pPr>
            <w:r w:rsidRPr="00EA7B3F">
              <w:t>55.0</w:t>
            </w:r>
          </w:p>
        </w:tc>
        <w:tc>
          <w:tcPr>
            <w:tcW w:w="422" w:type="pct"/>
            <w:tcBorders>
              <w:right w:val="single" w:sz="4" w:space="0" w:color="auto"/>
            </w:tcBorders>
            <w:shd w:val="clear" w:color="auto" w:fill="DBE5F1" w:themeFill="accent1" w:themeFillTint="33"/>
            <w:vAlign w:val="center"/>
          </w:tcPr>
          <w:p w14:paraId="5F768B07" w14:textId="77777777" w:rsidR="007C19DE" w:rsidRPr="00EA7B3F" w:rsidRDefault="007C19DE" w:rsidP="003D2164">
            <w:pPr>
              <w:pStyle w:val="TableText0"/>
              <w:jc w:val="center"/>
            </w:pPr>
            <w:r w:rsidRPr="00EA7B3F">
              <w:t>-48.0</w:t>
            </w:r>
          </w:p>
        </w:tc>
        <w:tc>
          <w:tcPr>
            <w:tcW w:w="965" w:type="pct"/>
            <w:tcBorders>
              <w:right w:val="single" w:sz="4" w:space="0" w:color="auto"/>
            </w:tcBorders>
            <w:shd w:val="clear" w:color="auto" w:fill="DBE5F1" w:themeFill="accent1" w:themeFillTint="33"/>
            <w:vAlign w:val="center"/>
          </w:tcPr>
          <w:p w14:paraId="61C07FAE" w14:textId="77777777" w:rsidR="007C19DE" w:rsidRPr="00EA7B3F" w:rsidRDefault="007C19DE" w:rsidP="003D2164">
            <w:pPr>
              <w:pStyle w:val="TableText0"/>
              <w:jc w:val="center"/>
            </w:pPr>
            <w:r w:rsidRPr="00EA7B3F">
              <w:t>$</w:t>
            </w:r>
            <w:r w:rsidR="006F5B4F">
              <w:rPr>
                <w:noProof/>
                <w:color w:val="000000"/>
                <w:highlight w:val="black"/>
              </w:rPr>
              <w:t>''''''''''</w:t>
            </w:r>
            <w:r w:rsidR="00396552" w:rsidRPr="00396552">
              <w:rPr>
                <w:vertAlign w:val="superscript"/>
              </w:rPr>
              <w:t>6</w:t>
            </w:r>
            <w:r w:rsidRPr="00EA7B3F">
              <w:t xml:space="preserve"> per treated HAE attack avoided</w:t>
            </w:r>
          </w:p>
        </w:tc>
      </w:tr>
      <w:tr w:rsidR="007C19DE" w:rsidRPr="00EA7B3F" w14:paraId="1B00C68F" w14:textId="77777777" w:rsidTr="00410945">
        <w:tc>
          <w:tcPr>
            <w:tcW w:w="1248" w:type="pct"/>
            <w:shd w:val="clear" w:color="auto" w:fill="DBE5F1" w:themeFill="accent1" w:themeFillTint="33"/>
          </w:tcPr>
          <w:p w14:paraId="6166B071" w14:textId="77777777" w:rsidR="007C19DE" w:rsidRPr="00EA7B3F" w:rsidRDefault="007C19DE" w:rsidP="003D2164">
            <w:pPr>
              <w:pStyle w:val="TableText0"/>
              <w:ind w:left="165" w:hanging="165"/>
            </w:pPr>
            <w:r w:rsidRPr="00EA7B3F">
              <w:t>QALY</w:t>
            </w:r>
            <w:r w:rsidR="00024783" w:rsidRPr="00EA7B3F">
              <w:t>s</w:t>
            </w:r>
            <w:r w:rsidRPr="00EA7B3F">
              <w:t xml:space="preserve"> gained</w:t>
            </w:r>
          </w:p>
        </w:tc>
        <w:tc>
          <w:tcPr>
            <w:tcW w:w="528" w:type="pct"/>
            <w:tcBorders>
              <w:right w:val="single" w:sz="4" w:space="0" w:color="auto"/>
            </w:tcBorders>
            <w:shd w:val="clear" w:color="auto" w:fill="DBE5F1" w:themeFill="accent1" w:themeFillTint="33"/>
            <w:vAlign w:val="center"/>
          </w:tcPr>
          <w:p w14:paraId="3B8BBDB0" w14:textId="77777777" w:rsidR="007C19DE" w:rsidRPr="005465A4" w:rsidRDefault="007C19DE" w:rsidP="003D2164">
            <w:pPr>
              <w:pStyle w:val="TableText0"/>
              <w:jc w:val="right"/>
            </w:pPr>
            <w:r w:rsidRPr="00EA7B3F">
              <w:t>$</w:t>
            </w:r>
            <w:r w:rsidR="006F5B4F">
              <w:rPr>
                <w:noProof/>
                <w:color w:val="000000"/>
                <w:highlight w:val="black"/>
              </w:rPr>
              <w:t>''''''''''''''''''</w:t>
            </w:r>
            <w:r w:rsidR="005465A4" w:rsidRPr="005465A4">
              <w:rPr>
                <w:vertAlign w:val="superscript"/>
              </w:rPr>
              <w:t>1</w:t>
            </w:r>
          </w:p>
        </w:tc>
        <w:tc>
          <w:tcPr>
            <w:tcW w:w="500" w:type="pct"/>
            <w:tcBorders>
              <w:right w:val="single" w:sz="4" w:space="0" w:color="auto"/>
            </w:tcBorders>
            <w:shd w:val="clear" w:color="auto" w:fill="DBE5F1" w:themeFill="accent1" w:themeFillTint="33"/>
            <w:vAlign w:val="center"/>
          </w:tcPr>
          <w:p w14:paraId="7AF8CC38" w14:textId="77777777" w:rsidR="007C19DE" w:rsidRPr="00EA7B3F" w:rsidRDefault="007C19DE" w:rsidP="003D2164">
            <w:pPr>
              <w:pStyle w:val="TableText0"/>
              <w:jc w:val="right"/>
            </w:pPr>
            <w:r w:rsidRPr="00EA7B3F">
              <w:t>$185,205</w:t>
            </w:r>
          </w:p>
        </w:tc>
        <w:tc>
          <w:tcPr>
            <w:tcW w:w="503" w:type="pct"/>
            <w:tcBorders>
              <w:right w:val="single" w:sz="4" w:space="0" w:color="auto"/>
            </w:tcBorders>
            <w:shd w:val="clear" w:color="auto" w:fill="DBE5F1" w:themeFill="accent1" w:themeFillTint="33"/>
            <w:vAlign w:val="center"/>
          </w:tcPr>
          <w:p w14:paraId="35BF84E5" w14:textId="77777777" w:rsidR="007C19DE" w:rsidRPr="005465A4" w:rsidRDefault="007C19DE" w:rsidP="003D2164">
            <w:pPr>
              <w:pStyle w:val="TableText0"/>
              <w:jc w:val="right"/>
            </w:pPr>
            <w:r w:rsidRPr="00EA7B3F">
              <w:t>$</w:t>
            </w:r>
            <w:r w:rsidR="006F5B4F">
              <w:rPr>
                <w:noProof/>
                <w:color w:val="000000"/>
                <w:highlight w:val="black"/>
              </w:rPr>
              <w:t>'''''''''''''''</w:t>
            </w:r>
            <w:r w:rsidR="005465A4" w:rsidRPr="005465A4">
              <w:rPr>
                <w:vertAlign w:val="superscript"/>
              </w:rPr>
              <w:t>3</w:t>
            </w:r>
          </w:p>
        </w:tc>
        <w:tc>
          <w:tcPr>
            <w:tcW w:w="417" w:type="pct"/>
            <w:tcBorders>
              <w:right w:val="single" w:sz="4" w:space="0" w:color="auto"/>
            </w:tcBorders>
            <w:shd w:val="clear" w:color="auto" w:fill="DBE5F1" w:themeFill="accent1" w:themeFillTint="33"/>
            <w:vAlign w:val="center"/>
          </w:tcPr>
          <w:p w14:paraId="0F5A051C" w14:textId="77777777" w:rsidR="007C19DE" w:rsidRPr="00EA7B3F" w:rsidRDefault="007C19DE" w:rsidP="003D2164">
            <w:pPr>
              <w:pStyle w:val="TableText0"/>
              <w:jc w:val="center"/>
            </w:pPr>
            <w:r w:rsidRPr="00EA7B3F">
              <w:t>0.8658</w:t>
            </w:r>
          </w:p>
        </w:tc>
        <w:tc>
          <w:tcPr>
            <w:tcW w:w="417" w:type="pct"/>
            <w:shd w:val="clear" w:color="auto" w:fill="DBE5F1" w:themeFill="accent1" w:themeFillTint="33"/>
            <w:vAlign w:val="center"/>
          </w:tcPr>
          <w:p w14:paraId="0B82B454" w14:textId="77777777" w:rsidR="007C19DE" w:rsidRPr="00EA7B3F" w:rsidRDefault="007C19DE" w:rsidP="003D2164">
            <w:pPr>
              <w:pStyle w:val="TableText0"/>
              <w:jc w:val="center"/>
            </w:pPr>
            <w:r w:rsidRPr="00EA7B3F">
              <w:t>0.0599</w:t>
            </w:r>
          </w:p>
        </w:tc>
        <w:tc>
          <w:tcPr>
            <w:tcW w:w="422" w:type="pct"/>
            <w:tcBorders>
              <w:right w:val="single" w:sz="4" w:space="0" w:color="auto"/>
            </w:tcBorders>
            <w:shd w:val="clear" w:color="auto" w:fill="DBE5F1" w:themeFill="accent1" w:themeFillTint="33"/>
            <w:vAlign w:val="center"/>
          </w:tcPr>
          <w:p w14:paraId="304CB3FD" w14:textId="77777777" w:rsidR="007C19DE" w:rsidRPr="00EA7B3F" w:rsidRDefault="007C19DE" w:rsidP="003D2164">
            <w:pPr>
              <w:pStyle w:val="TableText0"/>
              <w:jc w:val="center"/>
            </w:pPr>
            <w:r w:rsidRPr="00EA7B3F">
              <w:t>0.2959</w:t>
            </w:r>
          </w:p>
        </w:tc>
        <w:tc>
          <w:tcPr>
            <w:tcW w:w="965" w:type="pct"/>
            <w:tcBorders>
              <w:right w:val="single" w:sz="4" w:space="0" w:color="auto"/>
            </w:tcBorders>
            <w:shd w:val="clear" w:color="auto" w:fill="DBE5F1" w:themeFill="accent1" w:themeFillTint="33"/>
            <w:vAlign w:val="center"/>
          </w:tcPr>
          <w:p w14:paraId="09A1B09A" w14:textId="77777777" w:rsidR="007C19DE" w:rsidRPr="00EA7B3F" w:rsidRDefault="007C19DE" w:rsidP="003D2164">
            <w:pPr>
              <w:pStyle w:val="TableText0"/>
              <w:jc w:val="center"/>
            </w:pPr>
            <w:r w:rsidRPr="00EA7B3F">
              <w:t>$</w:t>
            </w:r>
            <w:r w:rsidR="006F5B4F">
              <w:rPr>
                <w:noProof/>
                <w:color w:val="000000"/>
                <w:highlight w:val="black"/>
              </w:rPr>
              <w:t>'''''''''''''''''</w:t>
            </w:r>
            <w:r w:rsidR="005465A4" w:rsidRPr="005465A4">
              <w:rPr>
                <w:vertAlign w:val="superscript"/>
              </w:rPr>
              <w:t>5</w:t>
            </w:r>
            <w:r w:rsidR="003120F5" w:rsidRPr="00EA7B3F">
              <w:t>/QALY</w:t>
            </w:r>
          </w:p>
        </w:tc>
      </w:tr>
    </w:tbl>
    <w:p w14:paraId="07CE21C9" w14:textId="6631E8CB" w:rsidR="007C19DE" w:rsidRPr="00EA7B3F" w:rsidRDefault="007C19DE" w:rsidP="007C19DE">
      <w:pPr>
        <w:pStyle w:val="TableFigureFooter"/>
      </w:pPr>
      <w:r w:rsidRPr="00EA7B3F">
        <w:t>Source: Table 13 and Table 14</w:t>
      </w:r>
      <w:r w:rsidR="005465A4">
        <w:t xml:space="preserve"> </w:t>
      </w:r>
      <w:r w:rsidRPr="00EA7B3F">
        <w:t xml:space="preserve"> of the resubmission</w:t>
      </w:r>
    </w:p>
    <w:p w14:paraId="09F2DA97" w14:textId="77777777" w:rsidR="007C19DE" w:rsidRPr="00EA7B3F" w:rsidRDefault="007C19DE" w:rsidP="007C19DE">
      <w:pPr>
        <w:pStyle w:val="TableFigureFooter"/>
        <w:rPr>
          <w:i/>
          <w:iCs/>
        </w:rPr>
      </w:pPr>
      <w:r w:rsidRPr="00EA7B3F">
        <w:t>HAE = hereditary angioedema; ICER = incremental cost-effectiveness ratio; Inc = increment; LANA = lanadelumab; QALY = quality-adjusted life-year; SOC = standard of care.</w:t>
      </w:r>
      <w:r w:rsidRPr="00EA7B3F">
        <w:rPr>
          <w:i/>
          <w:iCs/>
        </w:rPr>
        <w:t xml:space="preserve"> </w:t>
      </w:r>
    </w:p>
    <w:p w14:paraId="44B879AB" w14:textId="77777777" w:rsidR="007C19DE" w:rsidRDefault="007C19DE" w:rsidP="007C19DE">
      <w:pPr>
        <w:pStyle w:val="TableFigureFooter"/>
        <w:rPr>
          <w:iCs/>
        </w:rPr>
      </w:pPr>
      <w:r w:rsidRPr="00EA7B3F">
        <w:rPr>
          <w:iCs/>
        </w:rPr>
        <w:t>Blue shading indicates data previously seen by the PBAC.</w:t>
      </w:r>
    </w:p>
    <w:p w14:paraId="74207267" w14:textId="77777777" w:rsidR="005465A4" w:rsidRPr="00E97139" w:rsidRDefault="005465A4" w:rsidP="007C19DE">
      <w:pPr>
        <w:pStyle w:val="TableFigureFooter"/>
        <w:rPr>
          <w:i/>
          <w:iCs/>
        </w:rPr>
      </w:pPr>
      <w:r w:rsidRPr="00E97139">
        <w:rPr>
          <w:i/>
          <w:iCs/>
        </w:rPr>
        <w:t>The redacted values correspond to the following ranges:</w:t>
      </w:r>
    </w:p>
    <w:p w14:paraId="1BD1DF18" w14:textId="77777777" w:rsidR="005465A4" w:rsidRPr="00E97139" w:rsidRDefault="005465A4" w:rsidP="007C19DE">
      <w:pPr>
        <w:pStyle w:val="TableFigureFooter"/>
        <w:rPr>
          <w:i/>
          <w:iCs/>
        </w:rPr>
      </w:pPr>
      <w:r w:rsidRPr="00E97139">
        <w:rPr>
          <w:i/>
          <w:iCs/>
          <w:vertAlign w:val="superscript"/>
        </w:rPr>
        <w:t>1</w:t>
      </w:r>
      <w:r w:rsidRPr="00E97139">
        <w:rPr>
          <w:i/>
          <w:iCs/>
        </w:rPr>
        <w:t xml:space="preserve"> $155,000 to &lt; $255,000/QALY gained</w:t>
      </w:r>
    </w:p>
    <w:p w14:paraId="5D6850FE" w14:textId="77777777" w:rsidR="005465A4" w:rsidRPr="00E97139" w:rsidRDefault="005465A4" w:rsidP="007C19DE">
      <w:pPr>
        <w:pStyle w:val="TableFigureFooter"/>
        <w:rPr>
          <w:i/>
          <w:iCs/>
        </w:rPr>
      </w:pPr>
      <w:r w:rsidRPr="00E97139">
        <w:rPr>
          <w:i/>
          <w:iCs/>
          <w:vertAlign w:val="superscript"/>
        </w:rPr>
        <w:t>2</w:t>
      </w:r>
      <w:r w:rsidRPr="00E97139">
        <w:rPr>
          <w:i/>
          <w:iCs/>
        </w:rPr>
        <w:t xml:space="preserve"> $25,000 to &lt; $35,000/QALY gained</w:t>
      </w:r>
    </w:p>
    <w:p w14:paraId="05F7FFBC" w14:textId="77777777" w:rsidR="005465A4" w:rsidRPr="00E97139" w:rsidRDefault="005465A4" w:rsidP="007C19DE">
      <w:pPr>
        <w:pStyle w:val="TableFigureFooter"/>
        <w:rPr>
          <w:i/>
          <w:iCs/>
        </w:rPr>
      </w:pPr>
      <w:r w:rsidRPr="00E97139">
        <w:rPr>
          <w:i/>
          <w:iCs/>
          <w:vertAlign w:val="superscript"/>
        </w:rPr>
        <w:t>3</w:t>
      </w:r>
      <w:r w:rsidRPr="00E97139">
        <w:rPr>
          <w:i/>
          <w:iCs/>
        </w:rPr>
        <w:t xml:space="preserve"> $15,000 to &lt; $25,000/QALY gained</w:t>
      </w:r>
    </w:p>
    <w:p w14:paraId="161A9283" w14:textId="77777777" w:rsidR="005465A4" w:rsidRPr="00E97139" w:rsidRDefault="005465A4" w:rsidP="007C19DE">
      <w:pPr>
        <w:pStyle w:val="TableFigureFooter"/>
        <w:rPr>
          <w:i/>
          <w:iCs/>
        </w:rPr>
      </w:pPr>
      <w:r w:rsidRPr="00E97139">
        <w:rPr>
          <w:i/>
          <w:iCs/>
          <w:vertAlign w:val="superscript"/>
        </w:rPr>
        <w:t>4</w:t>
      </w:r>
      <w:r w:rsidRPr="00E97139">
        <w:rPr>
          <w:i/>
          <w:iCs/>
        </w:rPr>
        <w:t xml:space="preserve"> $95,000 to &lt; $115,000/QALY gained </w:t>
      </w:r>
    </w:p>
    <w:p w14:paraId="14735C72" w14:textId="77777777" w:rsidR="005465A4" w:rsidRDefault="005465A4" w:rsidP="007C19DE">
      <w:pPr>
        <w:pStyle w:val="TableFigureFooter"/>
        <w:rPr>
          <w:i/>
          <w:iCs/>
        </w:rPr>
      </w:pPr>
      <w:r w:rsidRPr="00E97139">
        <w:rPr>
          <w:i/>
          <w:iCs/>
          <w:vertAlign w:val="superscript"/>
        </w:rPr>
        <w:t>5</w:t>
      </w:r>
      <w:r w:rsidRPr="00E97139">
        <w:rPr>
          <w:i/>
          <w:iCs/>
        </w:rPr>
        <w:t xml:space="preserve"> $45,000 to &lt; $55,000/QALY gained</w:t>
      </w:r>
    </w:p>
    <w:p w14:paraId="28AE4560" w14:textId="77777777" w:rsidR="00396552" w:rsidRPr="00396552" w:rsidRDefault="00396552" w:rsidP="007C19DE">
      <w:pPr>
        <w:pStyle w:val="TableFigureFooter"/>
        <w:rPr>
          <w:i/>
        </w:rPr>
      </w:pPr>
      <w:r>
        <w:rPr>
          <w:i/>
          <w:vertAlign w:val="superscript"/>
        </w:rPr>
        <w:t xml:space="preserve">6 </w:t>
      </w:r>
      <w:r>
        <w:rPr>
          <w:i/>
        </w:rPr>
        <w:t>$0 to &lt; $5,000/treated HAE attack avoided</w:t>
      </w:r>
    </w:p>
    <w:p w14:paraId="40A8440C" w14:textId="15F64CD6" w:rsidR="007C19DE" w:rsidRPr="00EA7B3F" w:rsidRDefault="007C19DE" w:rsidP="007C19DE">
      <w:pPr>
        <w:pStyle w:val="3-BodyText"/>
      </w:pPr>
      <w:r w:rsidRPr="00EA7B3F">
        <w:t>The resubmission noted that the ICER in the base case of the model increased to $</w:t>
      </w:r>
      <w:r w:rsidR="00186437">
        <w:t>95,000 to &lt; $115,000</w:t>
      </w:r>
      <w:r w:rsidRPr="00EA7B3F">
        <w:t>/QALY in the revised economic model, compared with $</w:t>
      </w:r>
      <w:r w:rsidR="005E5D8F">
        <w:t>45,000 to &lt; $55,000</w:t>
      </w:r>
      <w:r w:rsidRPr="00EA7B3F">
        <w:t xml:space="preserve">/QALY in the July 2020 resubmission, despite a reduction in the </w:t>
      </w:r>
      <w:r w:rsidR="00217B64" w:rsidRPr="00EA7B3F">
        <w:t xml:space="preserve">lanadelumab </w:t>
      </w:r>
      <w:r w:rsidRPr="00EA7B3F">
        <w:t xml:space="preserve">cost per patient </w:t>
      </w:r>
      <w:r w:rsidR="00217B64" w:rsidRPr="00EA7B3F">
        <w:t xml:space="preserve">(due to the proposed RSA) </w:t>
      </w:r>
      <w:r w:rsidRPr="00EA7B3F">
        <w:t xml:space="preserve">and a similar number of attacks avoided. This was almost entirely due to a 65% </w:t>
      </w:r>
      <w:r w:rsidR="004E40D0" w:rsidRPr="00EA7B3F">
        <w:t xml:space="preserve">reduction </w:t>
      </w:r>
      <w:r w:rsidRPr="00EA7B3F">
        <w:t xml:space="preserve">in the price of icatibant on the PBS since the previous resubmission, resulting in a 31% decrease in the cost savings associated with the cost of treating acute HAE attacks. </w:t>
      </w:r>
    </w:p>
    <w:p w14:paraId="124767D7" w14:textId="77777777" w:rsidR="007C19DE" w:rsidRPr="00EA7B3F" w:rsidRDefault="007C19DE" w:rsidP="007C19DE">
      <w:pPr>
        <w:pStyle w:val="3-BodyText"/>
      </w:pPr>
      <w:r w:rsidRPr="00EA7B3F">
        <w:t>The results of sensitivity analyses are summarised below.</w:t>
      </w:r>
    </w:p>
    <w:p w14:paraId="586750A9" w14:textId="77777777" w:rsidR="007C19DE" w:rsidRPr="00EA7B3F" w:rsidRDefault="007C19DE" w:rsidP="00FB6877">
      <w:pPr>
        <w:pStyle w:val="TableFigureHeading"/>
        <w:rPr>
          <w:snapToGrid w:val="0"/>
        </w:rPr>
      </w:pPr>
      <w:bookmarkStart w:id="19" w:name="_Ref69130442"/>
      <w:r w:rsidRPr="00EA7B3F">
        <w:t xml:space="preserve">Table </w:t>
      </w:r>
      <w:r w:rsidR="001972C4" w:rsidRPr="00EA7B3F">
        <w:t>8</w:t>
      </w:r>
      <w:bookmarkEnd w:id="19"/>
      <w:r w:rsidRPr="00EA7B3F">
        <w:t>: Results of the sensitivity analyses</w:t>
      </w:r>
      <w:r w:rsidR="005F1616" w:rsidRPr="00EA7B3F">
        <w:t xml:space="preserve"> (effective price lanadelumab)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163"/>
        <w:gridCol w:w="992"/>
        <w:gridCol w:w="992"/>
        <w:gridCol w:w="1226"/>
      </w:tblGrid>
      <w:tr w:rsidR="007C19DE" w:rsidRPr="00EA7B3F" w14:paraId="00454099" w14:textId="77777777" w:rsidTr="00913D17">
        <w:trPr>
          <w:tblHeader/>
        </w:trPr>
        <w:tc>
          <w:tcPr>
            <w:tcW w:w="3220" w:type="pct"/>
            <w:gridSpan w:val="2"/>
            <w:tcMar>
              <w:left w:w="28" w:type="dxa"/>
              <w:right w:w="28" w:type="dxa"/>
            </w:tcMar>
            <w:vAlign w:val="center"/>
          </w:tcPr>
          <w:p w14:paraId="0E8E4E05" w14:textId="77777777" w:rsidR="007C19DE" w:rsidRPr="00EA7B3F" w:rsidRDefault="007C19DE" w:rsidP="00FB6877">
            <w:pPr>
              <w:pStyle w:val="In-tableHeading"/>
              <w:rPr>
                <w:lang w:val="en-AU"/>
              </w:rPr>
            </w:pPr>
            <w:r w:rsidRPr="00EA7B3F">
              <w:rPr>
                <w:lang w:val="en-AU"/>
              </w:rPr>
              <w:t>Analyses</w:t>
            </w:r>
          </w:p>
        </w:tc>
        <w:tc>
          <w:tcPr>
            <w:tcW w:w="550" w:type="pct"/>
            <w:tcMar>
              <w:left w:w="28" w:type="dxa"/>
              <w:right w:w="28" w:type="dxa"/>
            </w:tcMar>
            <w:vAlign w:val="center"/>
          </w:tcPr>
          <w:p w14:paraId="0453DB81" w14:textId="77777777" w:rsidR="007C19DE" w:rsidRPr="00EA7B3F" w:rsidRDefault="007C19DE" w:rsidP="00FB6877">
            <w:pPr>
              <w:pStyle w:val="In-tableHeading"/>
              <w:jc w:val="center"/>
              <w:rPr>
                <w:lang w:val="en-AU"/>
              </w:rPr>
            </w:pPr>
            <w:r w:rsidRPr="00EA7B3F">
              <w:rPr>
                <w:lang w:val="en-AU"/>
              </w:rPr>
              <w:t>Incremental cost</w:t>
            </w:r>
          </w:p>
        </w:tc>
        <w:tc>
          <w:tcPr>
            <w:tcW w:w="550" w:type="pct"/>
            <w:tcMar>
              <w:left w:w="28" w:type="dxa"/>
              <w:right w:w="28" w:type="dxa"/>
            </w:tcMar>
            <w:vAlign w:val="center"/>
          </w:tcPr>
          <w:p w14:paraId="2018947E" w14:textId="77777777" w:rsidR="007C19DE" w:rsidRPr="00EA7B3F" w:rsidRDefault="007C19DE" w:rsidP="00FB6877">
            <w:pPr>
              <w:pStyle w:val="In-tableHeading"/>
              <w:jc w:val="center"/>
              <w:rPr>
                <w:lang w:val="en-AU"/>
              </w:rPr>
            </w:pPr>
            <w:r w:rsidRPr="00EA7B3F">
              <w:rPr>
                <w:lang w:val="en-AU"/>
              </w:rPr>
              <w:t>Incremental QALY</w:t>
            </w:r>
          </w:p>
        </w:tc>
        <w:tc>
          <w:tcPr>
            <w:tcW w:w="680" w:type="pct"/>
            <w:tcMar>
              <w:left w:w="28" w:type="dxa"/>
              <w:right w:w="28" w:type="dxa"/>
            </w:tcMar>
            <w:vAlign w:val="center"/>
          </w:tcPr>
          <w:p w14:paraId="6A057B30" w14:textId="77777777" w:rsidR="007C19DE" w:rsidRPr="00EA7B3F" w:rsidRDefault="007C19DE" w:rsidP="00FB6877">
            <w:pPr>
              <w:pStyle w:val="In-tableHeading"/>
              <w:jc w:val="center"/>
              <w:rPr>
                <w:lang w:val="en-AU"/>
              </w:rPr>
            </w:pPr>
            <w:r w:rsidRPr="00EA7B3F">
              <w:rPr>
                <w:lang w:val="en-AU"/>
              </w:rPr>
              <w:t>ICER</w:t>
            </w:r>
          </w:p>
          <w:p w14:paraId="6F53E356" w14:textId="77777777" w:rsidR="007C19DE" w:rsidRPr="00EA7B3F" w:rsidRDefault="007C19DE" w:rsidP="00FB6877">
            <w:pPr>
              <w:pStyle w:val="In-tableHeading"/>
              <w:jc w:val="center"/>
              <w:rPr>
                <w:lang w:val="en-AU"/>
              </w:rPr>
            </w:pPr>
            <w:r w:rsidRPr="00EA7B3F">
              <w:rPr>
                <w:lang w:val="en-AU"/>
              </w:rPr>
              <w:t>$/QALY gained</w:t>
            </w:r>
          </w:p>
        </w:tc>
      </w:tr>
      <w:tr w:rsidR="007C19DE" w:rsidRPr="00EA7B3F" w14:paraId="27B95792" w14:textId="77777777" w:rsidTr="00913D17">
        <w:tc>
          <w:tcPr>
            <w:tcW w:w="3220" w:type="pct"/>
            <w:gridSpan w:val="2"/>
            <w:tcBorders>
              <w:bottom w:val="single" w:sz="4" w:space="0" w:color="auto"/>
            </w:tcBorders>
            <w:tcMar>
              <w:left w:w="28" w:type="dxa"/>
              <w:right w:w="28" w:type="dxa"/>
            </w:tcMar>
          </w:tcPr>
          <w:p w14:paraId="7BCBE5DA" w14:textId="77777777" w:rsidR="007C19DE" w:rsidRPr="00EA7B3F" w:rsidRDefault="007C19DE" w:rsidP="00FB6877">
            <w:pPr>
              <w:pStyle w:val="TableText0"/>
              <w:rPr>
                <w:b/>
              </w:rPr>
            </w:pPr>
            <w:r w:rsidRPr="00EA7B3F">
              <w:rPr>
                <w:b/>
              </w:rPr>
              <w:t>Base case</w:t>
            </w:r>
          </w:p>
        </w:tc>
        <w:tc>
          <w:tcPr>
            <w:tcW w:w="550" w:type="pct"/>
            <w:tcBorders>
              <w:bottom w:val="single" w:sz="4" w:space="0" w:color="auto"/>
            </w:tcBorders>
            <w:tcMar>
              <w:left w:w="28" w:type="dxa"/>
              <w:right w:w="28" w:type="dxa"/>
            </w:tcMar>
          </w:tcPr>
          <w:p w14:paraId="583DC5D8" w14:textId="77777777" w:rsidR="007C19DE" w:rsidRPr="00EA7B3F" w:rsidRDefault="007C19DE" w:rsidP="00FB6877">
            <w:pPr>
              <w:pStyle w:val="TableText0"/>
              <w:jc w:val="center"/>
              <w:rPr>
                <w:b/>
              </w:rPr>
            </w:pPr>
            <w:r w:rsidRPr="00EA7B3F">
              <w:rPr>
                <w:b/>
              </w:rPr>
              <w:t>$</w:t>
            </w:r>
            <w:r w:rsidR="006F5B4F">
              <w:rPr>
                <w:b/>
                <w:noProof/>
                <w:color w:val="000000"/>
                <w:highlight w:val="black"/>
              </w:rPr>
              <w:t>'''''''''''''</w:t>
            </w:r>
          </w:p>
        </w:tc>
        <w:tc>
          <w:tcPr>
            <w:tcW w:w="550" w:type="pct"/>
            <w:tcBorders>
              <w:bottom w:val="single" w:sz="4" w:space="0" w:color="auto"/>
            </w:tcBorders>
            <w:tcMar>
              <w:left w:w="28" w:type="dxa"/>
              <w:right w:w="28" w:type="dxa"/>
            </w:tcMar>
          </w:tcPr>
          <w:p w14:paraId="54DBDC0A" w14:textId="77777777" w:rsidR="007C19DE" w:rsidRPr="00EA7B3F" w:rsidRDefault="007C19DE" w:rsidP="00FB6877">
            <w:pPr>
              <w:pStyle w:val="TableText0"/>
              <w:jc w:val="center"/>
              <w:rPr>
                <w:b/>
              </w:rPr>
            </w:pPr>
            <w:r w:rsidRPr="00EA7B3F">
              <w:rPr>
                <w:b/>
              </w:rPr>
              <w:t>0.2906</w:t>
            </w:r>
          </w:p>
        </w:tc>
        <w:tc>
          <w:tcPr>
            <w:tcW w:w="680" w:type="pct"/>
            <w:tcBorders>
              <w:bottom w:val="single" w:sz="4" w:space="0" w:color="auto"/>
            </w:tcBorders>
            <w:tcMar>
              <w:left w:w="28" w:type="dxa"/>
              <w:right w:w="28" w:type="dxa"/>
            </w:tcMar>
          </w:tcPr>
          <w:p w14:paraId="11954D0B" w14:textId="77777777" w:rsidR="007C19DE" w:rsidRPr="00351591" w:rsidRDefault="007C19DE" w:rsidP="00FB6877">
            <w:pPr>
              <w:pStyle w:val="TableText0"/>
              <w:jc w:val="center"/>
              <w:rPr>
                <w:b/>
              </w:rPr>
            </w:pPr>
            <w:r w:rsidRPr="00EA7B3F">
              <w:rPr>
                <w:b/>
              </w:rPr>
              <w:t>$</w:t>
            </w:r>
            <w:r w:rsidR="006F5B4F">
              <w:rPr>
                <w:b/>
                <w:noProof/>
                <w:color w:val="000000"/>
                <w:highlight w:val="black"/>
              </w:rPr>
              <w:t>'''''''''''''''''</w:t>
            </w:r>
            <w:r w:rsidR="00351591" w:rsidRPr="00351591">
              <w:rPr>
                <w:b/>
                <w:vertAlign w:val="superscript"/>
              </w:rPr>
              <w:t>1</w:t>
            </w:r>
          </w:p>
        </w:tc>
      </w:tr>
      <w:tr w:rsidR="007C19DE" w:rsidRPr="00EA7B3F" w14:paraId="3EE5F0BD" w14:textId="77777777" w:rsidTr="00913D17">
        <w:tc>
          <w:tcPr>
            <w:tcW w:w="3220" w:type="pct"/>
            <w:gridSpan w:val="2"/>
            <w:tcBorders>
              <w:bottom w:val="single" w:sz="4" w:space="0" w:color="auto"/>
              <w:right w:val="nil"/>
            </w:tcBorders>
            <w:tcMar>
              <w:left w:w="28" w:type="dxa"/>
              <w:right w:w="28" w:type="dxa"/>
            </w:tcMar>
          </w:tcPr>
          <w:p w14:paraId="0C6134D7" w14:textId="77777777" w:rsidR="007C19DE" w:rsidRPr="00EA7B3F" w:rsidRDefault="007C19DE" w:rsidP="00FB6877">
            <w:pPr>
              <w:pStyle w:val="TableText0"/>
            </w:pPr>
            <w:r w:rsidRPr="00EA7B3F">
              <w:rPr>
                <w:b/>
              </w:rPr>
              <w:t>Analyses presented in the resubmission for purposes of RSA</w:t>
            </w:r>
          </w:p>
        </w:tc>
        <w:tc>
          <w:tcPr>
            <w:tcW w:w="550" w:type="pct"/>
            <w:tcBorders>
              <w:left w:val="nil"/>
              <w:bottom w:val="single" w:sz="4" w:space="0" w:color="auto"/>
              <w:right w:val="nil"/>
            </w:tcBorders>
            <w:tcMar>
              <w:left w:w="28" w:type="dxa"/>
              <w:right w:w="28" w:type="dxa"/>
            </w:tcMar>
          </w:tcPr>
          <w:p w14:paraId="0834C372" w14:textId="77777777" w:rsidR="007C19DE" w:rsidRPr="00EA7B3F" w:rsidRDefault="007C19DE" w:rsidP="00FB6877">
            <w:pPr>
              <w:pStyle w:val="TableText0"/>
              <w:spacing w:after="20"/>
              <w:jc w:val="center"/>
              <w:rPr>
                <w:iCs/>
              </w:rPr>
            </w:pPr>
          </w:p>
        </w:tc>
        <w:tc>
          <w:tcPr>
            <w:tcW w:w="550" w:type="pct"/>
            <w:tcBorders>
              <w:left w:val="nil"/>
              <w:bottom w:val="single" w:sz="4" w:space="0" w:color="auto"/>
              <w:right w:val="nil"/>
            </w:tcBorders>
            <w:tcMar>
              <w:left w:w="28" w:type="dxa"/>
              <w:right w:w="28" w:type="dxa"/>
            </w:tcMar>
          </w:tcPr>
          <w:p w14:paraId="6B3AADC0" w14:textId="77777777" w:rsidR="007C19DE" w:rsidRPr="00EA7B3F" w:rsidRDefault="007C19DE" w:rsidP="00FB6877">
            <w:pPr>
              <w:pStyle w:val="TableText0"/>
              <w:spacing w:after="20"/>
              <w:jc w:val="center"/>
              <w:rPr>
                <w:iCs/>
              </w:rPr>
            </w:pPr>
          </w:p>
        </w:tc>
        <w:tc>
          <w:tcPr>
            <w:tcW w:w="680" w:type="pct"/>
            <w:tcBorders>
              <w:left w:val="nil"/>
              <w:bottom w:val="single" w:sz="4" w:space="0" w:color="auto"/>
            </w:tcBorders>
            <w:tcMar>
              <w:left w:w="28" w:type="dxa"/>
              <w:right w:w="28" w:type="dxa"/>
            </w:tcMar>
          </w:tcPr>
          <w:p w14:paraId="45288793" w14:textId="77777777" w:rsidR="007C19DE" w:rsidRPr="00EA7B3F" w:rsidRDefault="007C19DE" w:rsidP="00FB6877">
            <w:pPr>
              <w:pStyle w:val="TableText0"/>
              <w:spacing w:after="20"/>
              <w:jc w:val="center"/>
              <w:rPr>
                <w:iCs/>
              </w:rPr>
            </w:pPr>
          </w:p>
        </w:tc>
      </w:tr>
      <w:tr w:rsidR="007C19DE" w:rsidRPr="00EA7B3F" w14:paraId="27A4D5A9" w14:textId="77777777" w:rsidTr="00913D17">
        <w:tc>
          <w:tcPr>
            <w:tcW w:w="357" w:type="pct"/>
            <w:tcBorders>
              <w:bottom w:val="single" w:sz="4" w:space="0" w:color="auto"/>
            </w:tcBorders>
            <w:tcMar>
              <w:left w:w="28" w:type="dxa"/>
              <w:right w:w="28" w:type="dxa"/>
            </w:tcMar>
          </w:tcPr>
          <w:p w14:paraId="16515070" w14:textId="77777777" w:rsidR="007C19DE" w:rsidRPr="00EA7B3F" w:rsidRDefault="007C19DE" w:rsidP="00FB6877">
            <w:pPr>
              <w:pStyle w:val="TableText0"/>
            </w:pPr>
            <w:r w:rsidRPr="00EA7B3F">
              <w:t>1</w:t>
            </w:r>
          </w:p>
        </w:tc>
        <w:tc>
          <w:tcPr>
            <w:tcW w:w="2863" w:type="pct"/>
            <w:tcBorders>
              <w:bottom w:val="single" w:sz="4" w:space="0" w:color="auto"/>
            </w:tcBorders>
            <w:tcMar>
              <w:left w:w="28" w:type="dxa"/>
              <w:right w:w="28" w:type="dxa"/>
            </w:tcMar>
          </w:tcPr>
          <w:p w14:paraId="4887A0FE" w14:textId="77777777" w:rsidR="007C19DE" w:rsidRPr="00EA7B3F" w:rsidRDefault="007C19DE" w:rsidP="00FB6877">
            <w:pPr>
              <w:pStyle w:val="TableText0"/>
            </w:pPr>
            <w:r w:rsidRPr="00EA7B3F">
              <w:t xml:space="preserve">Dose of lanadelumab (Base case 100% Q4W, </w:t>
            </w:r>
            <w:r w:rsidRPr="000A6798">
              <w:t>13</w:t>
            </w:r>
            <w:r w:rsidRPr="00EA7B3F">
              <w:t xml:space="preserve"> doses/year)</w:t>
            </w:r>
          </w:p>
          <w:p w14:paraId="163814FB" w14:textId="77777777" w:rsidR="007C19DE" w:rsidRPr="00EA7B3F" w:rsidRDefault="007C19DE" w:rsidP="00FB6877">
            <w:pPr>
              <w:pStyle w:val="TableText0"/>
            </w:pPr>
            <w:r w:rsidRPr="00EA7B3F">
              <w:t>100% Q2W (</w:t>
            </w:r>
            <w:r w:rsidRPr="000A6798">
              <w:t>26</w:t>
            </w:r>
            <w:r w:rsidRPr="00EA7B3F">
              <w:t xml:space="preserve"> doses/year)</w:t>
            </w:r>
          </w:p>
        </w:tc>
        <w:tc>
          <w:tcPr>
            <w:tcW w:w="550" w:type="pct"/>
            <w:tcBorders>
              <w:bottom w:val="single" w:sz="4" w:space="0" w:color="auto"/>
            </w:tcBorders>
            <w:tcMar>
              <w:left w:w="28" w:type="dxa"/>
              <w:right w:w="28" w:type="dxa"/>
            </w:tcMar>
          </w:tcPr>
          <w:p w14:paraId="00899975" w14:textId="77777777" w:rsidR="007C19DE" w:rsidRPr="00EA7B3F" w:rsidRDefault="007C19DE" w:rsidP="00FB6877">
            <w:pPr>
              <w:pStyle w:val="TableText0"/>
              <w:spacing w:after="20"/>
              <w:jc w:val="center"/>
              <w:rPr>
                <w:iCs/>
              </w:rPr>
            </w:pPr>
          </w:p>
          <w:p w14:paraId="39D0E0CA" w14:textId="77777777" w:rsidR="007C19DE" w:rsidRPr="00EA7B3F" w:rsidRDefault="007C19DE" w:rsidP="00FB6877">
            <w:pPr>
              <w:pStyle w:val="TableText0"/>
              <w:spacing w:after="20"/>
              <w:jc w:val="center"/>
              <w:rPr>
                <w:iCs/>
              </w:rPr>
            </w:pPr>
            <w:r w:rsidRPr="00EA7B3F">
              <w:rPr>
                <w:iCs/>
              </w:rPr>
              <w:t>$</w:t>
            </w:r>
            <w:r w:rsidR="006F5B4F">
              <w:rPr>
                <w:iCs/>
                <w:noProof/>
                <w:color w:val="000000"/>
                <w:highlight w:val="black"/>
              </w:rPr>
              <w:t>'''''''''''''''''''</w:t>
            </w:r>
          </w:p>
        </w:tc>
        <w:tc>
          <w:tcPr>
            <w:tcW w:w="550" w:type="pct"/>
            <w:tcBorders>
              <w:bottom w:val="single" w:sz="4" w:space="0" w:color="auto"/>
            </w:tcBorders>
            <w:tcMar>
              <w:left w:w="28" w:type="dxa"/>
              <w:right w:w="28" w:type="dxa"/>
            </w:tcMar>
          </w:tcPr>
          <w:p w14:paraId="1D4C8392" w14:textId="77777777" w:rsidR="007C19DE" w:rsidRPr="00EA7B3F" w:rsidRDefault="007C19DE" w:rsidP="00FB6877">
            <w:pPr>
              <w:pStyle w:val="TableText0"/>
              <w:spacing w:after="20"/>
              <w:jc w:val="center"/>
              <w:rPr>
                <w:iCs/>
              </w:rPr>
            </w:pPr>
          </w:p>
          <w:p w14:paraId="1B604358" w14:textId="77777777" w:rsidR="007C19DE" w:rsidRPr="00EA7B3F" w:rsidRDefault="007C19DE" w:rsidP="00FB6877">
            <w:pPr>
              <w:pStyle w:val="TableText0"/>
              <w:spacing w:after="20"/>
              <w:jc w:val="center"/>
              <w:rPr>
                <w:b/>
              </w:rPr>
            </w:pPr>
            <w:r w:rsidRPr="00EA7B3F">
              <w:rPr>
                <w:iCs/>
              </w:rPr>
              <w:t>0.2906</w:t>
            </w:r>
          </w:p>
        </w:tc>
        <w:tc>
          <w:tcPr>
            <w:tcW w:w="680" w:type="pct"/>
            <w:tcBorders>
              <w:bottom w:val="single" w:sz="4" w:space="0" w:color="auto"/>
            </w:tcBorders>
            <w:tcMar>
              <w:left w:w="28" w:type="dxa"/>
              <w:right w:w="28" w:type="dxa"/>
            </w:tcMar>
          </w:tcPr>
          <w:p w14:paraId="57044F80" w14:textId="77777777" w:rsidR="007C19DE" w:rsidRPr="00EA7B3F" w:rsidRDefault="007C19DE" w:rsidP="00FB6877">
            <w:pPr>
              <w:pStyle w:val="TableText0"/>
              <w:spacing w:after="20"/>
              <w:jc w:val="center"/>
              <w:rPr>
                <w:iCs/>
              </w:rPr>
            </w:pPr>
          </w:p>
          <w:p w14:paraId="5B6AB4BE" w14:textId="77777777" w:rsidR="007C19DE" w:rsidRPr="009A2409" w:rsidRDefault="007C19DE" w:rsidP="00FB6877">
            <w:pPr>
              <w:pStyle w:val="TableText0"/>
              <w:spacing w:after="20"/>
              <w:jc w:val="center"/>
              <w:rPr>
                <w:iCs/>
              </w:rPr>
            </w:pPr>
            <w:r w:rsidRPr="00EA7B3F">
              <w:rPr>
                <w:iCs/>
              </w:rPr>
              <w:t>$</w:t>
            </w:r>
            <w:r w:rsidR="006F5B4F">
              <w:rPr>
                <w:iCs/>
                <w:noProof/>
                <w:color w:val="000000"/>
                <w:highlight w:val="black"/>
              </w:rPr>
              <w:t>'''''''''''''''''</w:t>
            </w:r>
            <w:r w:rsidR="009A2409" w:rsidRPr="009A2409">
              <w:rPr>
                <w:iCs/>
                <w:vertAlign w:val="superscript"/>
              </w:rPr>
              <w:t>2</w:t>
            </w:r>
          </w:p>
        </w:tc>
      </w:tr>
      <w:tr w:rsidR="007C19DE" w:rsidRPr="00EA7B3F" w14:paraId="766DF801" w14:textId="77777777" w:rsidTr="00913D17">
        <w:tc>
          <w:tcPr>
            <w:tcW w:w="357" w:type="pct"/>
            <w:tcBorders>
              <w:top w:val="nil"/>
              <w:bottom w:val="single" w:sz="4" w:space="0" w:color="auto"/>
            </w:tcBorders>
            <w:tcMar>
              <w:left w:w="28" w:type="dxa"/>
              <w:right w:w="28" w:type="dxa"/>
            </w:tcMar>
          </w:tcPr>
          <w:p w14:paraId="79A578CD" w14:textId="77777777" w:rsidR="007C19DE" w:rsidRPr="00EA7B3F" w:rsidRDefault="007C19DE" w:rsidP="00FB6877">
            <w:pPr>
              <w:pStyle w:val="TableText0"/>
            </w:pPr>
            <w:r w:rsidRPr="00EA7B3F">
              <w:t>2</w:t>
            </w:r>
          </w:p>
        </w:tc>
        <w:tc>
          <w:tcPr>
            <w:tcW w:w="2863" w:type="pct"/>
            <w:tcBorders>
              <w:top w:val="nil"/>
              <w:bottom w:val="single" w:sz="4" w:space="0" w:color="auto"/>
            </w:tcBorders>
            <w:tcMar>
              <w:left w:w="28" w:type="dxa"/>
              <w:right w:w="28" w:type="dxa"/>
            </w:tcMar>
          </w:tcPr>
          <w:p w14:paraId="5C184A74" w14:textId="77777777" w:rsidR="007C19DE" w:rsidRPr="00EA7B3F" w:rsidRDefault="007C19DE" w:rsidP="00FB6877">
            <w:pPr>
              <w:pStyle w:val="TableText0"/>
            </w:pPr>
            <w:r w:rsidRPr="00EA7B3F">
              <w:t>Baseline attack rate (base case ≥24 per annum)</w:t>
            </w:r>
          </w:p>
          <w:p w14:paraId="2AED3941" w14:textId="77777777" w:rsidR="007C19DE" w:rsidRPr="00EA7B3F" w:rsidRDefault="007C19DE" w:rsidP="00FB6877">
            <w:pPr>
              <w:pStyle w:val="TableText0"/>
            </w:pPr>
            <w:r w:rsidRPr="00EA7B3F">
              <w:t xml:space="preserve">Patients with baseline attack rate ≥12 to &lt;24 per annum, </w:t>
            </w:r>
          </w:p>
        </w:tc>
        <w:tc>
          <w:tcPr>
            <w:tcW w:w="550" w:type="pct"/>
            <w:tcBorders>
              <w:top w:val="nil"/>
              <w:bottom w:val="single" w:sz="4" w:space="0" w:color="auto"/>
            </w:tcBorders>
            <w:tcMar>
              <w:left w:w="28" w:type="dxa"/>
              <w:right w:w="28" w:type="dxa"/>
            </w:tcMar>
          </w:tcPr>
          <w:p w14:paraId="69BA48C7" w14:textId="77777777" w:rsidR="007C19DE" w:rsidRPr="00EA7B3F" w:rsidRDefault="007C19DE" w:rsidP="00FB6877">
            <w:pPr>
              <w:pStyle w:val="TableText0"/>
              <w:jc w:val="center"/>
            </w:pPr>
          </w:p>
          <w:p w14:paraId="2A86F627"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single" w:sz="4" w:space="0" w:color="auto"/>
            </w:tcBorders>
            <w:tcMar>
              <w:left w:w="28" w:type="dxa"/>
              <w:right w:w="28" w:type="dxa"/>
            </w:tcMar>
          </w:tcPr>
          <w:p w14:paraId="169DF350" w14:textId="77777777" w:rsidR="007C19DE" w:rsidRPr="00EA7B3F" w:rsidRDefault="007C19DE" w:rsidP="00FB6877">
            <w:pPr>
              <w:pStyle w:val="TableText0"/>
              <w:jc w:val="center"/>
            </w:pPr>
          </w:p>
          <w:p w14:paraId="448BFFEE" w14:textId="77777777" w:rsidR="007C19DE" w:rsidRPr="00EA7B3F" w:rsidRDefault="007C19DE" w:rsidP="00FB6877">
            <w:pPr>
              <w:pStyle w:val="TableText0"/>
              <w:jc w:val="center"/>
              <w:rPr>
                <w:iCs/>
              </w:rPr>
            </w:pPr>
            <w:r w:rsidRPr="00EA7B3F">
              <w:rPr>
                <w:iCs/>
              </w:rPr>
              <w:t>0.0841</w:t>
            </w:r>
          </w:p>
        </w:tc>
        <w:tc>
          <w:tcPr>
            <w:tcW w:w="680" w:type="pct"/>
            <w:tcBorders>
              <w:top w:val="nil"/>
              <w:bottom w:val="single" w:sz="4" w:space="0" w:color="auto"/>
            </w:tcBorders>
            <w:tcMar>
              <w:left w:w="28" w:type="dxa"/>
              <w:right w:w="28" w:type="dxa"/>
            </w:tcMar>
          </w:tcPr>
          <w:p w14:paraId="49E62C52" w14:textId="77777777" w:rsidR="007C19DE" w:rsidRPr="00EA7B3F" w:rsidRDefault="007C19DE" w:rsidP="00FB6877">
            <w:pPr>
              <w:pStyle w:val="TableText0"/>
              <w:jc w:val="center"/>
            </w:pPr>
          </w:p>
          <w:p w14:paraId="1E3F1DFB" w14:textId="77777777" w:rsidR="007C19DE" w:rsidRPr="009A2409" w:rsidRDefault="007C19DE" w:rsidP="00FB6877">
            <w:pPr>
              <w:pStyle w:val="TableText0"/>
              <w:jc w:val="center"/>
              <w:rPr>
                <w:iCs/>
              </w:rPr>
            </w:pPr>
            <w:r w:rsidRPr="00EA7B3F">
              <w:rPr>
                <w:iCs/>
              </w:rPr>
              <w:t>$</w:t>
            </w:r>
            <w:r w:rsidR="006F5B4F">
              <w:rPr>
                <w:iCs/>
                <w:noProof/>
                <w:color w:val="000000"/>
                <w:highlight w:val="black"/>
              </w:rPr>
              <w:t>'''''''''''''''''''''''</w:t>
            </w:r>
            <w:r w:rsidR="009A2409" w:rsidRPr="009A2409">
              <w:rPr>
                <w:iCs/>
                <w:vertAlign w:val="superscript"/>
              </w:rPr>
              <w:t>3</w:t>
            </w:r>
          </w:p>
        </w:tc>
      </w:tr>
      <w:tr w:rsidR="007C19DE" w:rsidRPr="00EA7B3F" w14:paraId="6DD9644E" w14:textId="77777777" w:rsidTr="00913D17">
        <w:tc>
          <w:tcPr>
            <w:tcW w:w="357" w:type="pct"/>
            <w:tcBorders>
              <w:top w:val="nil"/>
              <w:bottom w:val="single" w:sz="4" w:space="0" w:color="auto"/>
            </w:tcBorders>
            <w:tcMar>
              <w:left w:w="28" w:type="dxa"/>
              <w:right w:w="28" w:type="dxa"/>
            </w:tcMar>
          </w:tcPr>
          <w:p w14:paraId="73D025B0" w14:textId="77777777" w:rsidR="007C19DE" w:rsidRPr="00EA7B3F" w:rsidRDefault="007C19DE" w:rsidP="00FB6877">
            <w:pPr>
              <w:pStyle w:val="TableText0"/>
            </w:pPr>
            <w:r w:rsidRPr="00EA7B3F">
              <w:t>1 + 2</w:t>
            </w:r>
          </w:p>
        </w:tc>
        <w:tc>
          <w:tcPr>
            <w:tcW w:w="2863" w:type="pct"/>
            <w:tcBorders>
              <w:top w:val="nil"/>
              <w:bottom w:val="single" w:sz="4" w:space="0" w:color="auto"/>
            </w:tcBorders>
            <w:tcMar>
              <w:left w:w="28" w:type="dxa"/>
              <w:right w:w="28" w:type="dxa"/>
            </w:tcMar>
          </w:tcPr>
          <w:p w14:paraId="1342BD5D" w14:textId="77777777" w:rsidR="007C19DE" w:rsidRPr="00EA7B3F" w:rsidRDefault="007C19DE" w:rsidP="00FB6877">
            <w:pPr>
              <w:pStyle w:val="TableText0"/>
            </w:pPr>
            <w:r w:rsidRPr="00EA7B3F">
              <w:t>Baseline attack rate ≥12 to &lt;24 per annum and 100% lanadelumab Q2W</w:t>
            </w:r>
          </w:p>
        </w:tc>
        <w:tc>
          <w:tcPr>
            <w:tcW w:w="550" w:type="pct"/>
            <w:tcBorders>
              <w:top w:val="nil"/>
              <w:bottom w:val="single" w:sz="4" w:space="0" w:color="auto"/>
            </w:tcBorders>
            <w:tcMar>
              <w:left w:w="28" w:type="dxa"/>
              <w:right w:w="28" w:type="dxa"/>
            </w:tcMar>
          </w:tcPr>
          <w:p w14:paraId="026745F9" w14:textId="77777777" w:rsidR="007C19DE" w:rsidRPr="00EA7B3F" w:rsidRDefault="007C19DE" w:rsidP="00FB6877">
            <w:pPr>
              <w:pStyle w:val="TableText0"/>
              <w:jc w:val="center"/>
            </w:pPr>
          </w:p>
          <w:p w14:paraId="4EF402E0"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single" w:sz="4" w:space="0" w:color="auto"/>
            </w:tcBorders>
            <w:tcMar>
              <w:left w:w="28" w:type="dxa"/>
              <w:right w:w="28" w:type="dxa"/>
            </w:tcMar>
          </w:tcPr>
          <w:p w14:paraId="021F25AC" w14:textId="77777777" w:rsidR="007C19DE" w:rsidRPr="00EA7B3F" w:rsidRDefault="007C19DE" w:rsidP="00FB6877">
            <w:pPr>
              <w:pStyle w:val="TableText0"/>
              <w:jc w:val="center"/>
            </w:pPr>
          </w:p>
          <w:p w14:paraId="7FF4D6E0" w14:textId="77777777" w:rsidR="007C19DE" w:rsidRPr="00EA7B3F" w:rsidRDefault="007C19DE" w:rsidP="00FB6877">
            <w:pPr>
              <w:pStyle w:val="TableText0"/>
              <w:jc w:val="center"/>
            </w:pPr>
            <w:r w:rsidRPr="00EA7B3F">
              <w:t>0.0841</w:t>
            </w:r>
          </w:p>
        </w:tc>
        <w:tc>
          <w:tcPr>
            <w:tcW w:w="680" w:type="pct"/>
            <w:tcBorders>
              <w:top w:val="nil"/>
              <w:bottom w:val="single" w:sz="4" w:space="0" w:color="auto"/>
            </w:tcBorders>
            <w:tcMar>
              <w:left w:w="28" w:type="dxa"/>
              <w:right w:w="28" w:type="dxa"/>
            </w:tcMar>
          </w:tcPr>
          <w:p w14:paraId="6EE453B3" w14:textId="77777777" w:rsidR="007C19DE" w:rsidRPr="00EA7B3F" w:rsidRDefault="007C19DE" w:rsidP="00FB6877">
            <w:pPr>
              <w:pStyle w:val="TableText0"/>
              <w:jc w:val="center"/>
              <w:rPr>
                <w:iCs/>
              </w:rPr>
            </w:pPr>
          </w:p>
          <w:p w14:paraId="486BE267" w14:textId="77777777" w:rsidR="007C19DE" w:rsidRPr="00EA7B3F" w:rsidRDefault="007C19DE" w:rsidP="00FB6877">
            <w:pPr>
              <w:pStyle w:val="TableText0"/>
              <w:jc w:val="center"/>
            </w:pPr>
            <w:r w:rsidRPr="00EA7B3F">
              <w:rPr>
                <w:iCs/>
              </w:rPr>
              <w:t>$</w:t>
            </w:r>
            <w:r w:rsidR="006F5B4F">
              <w:rPr>
                <w:iCs/>
                <w:noProof/>
                <w:color w:val="000000"/>
                <w:highlight w:val="black"/>
              </w:rPr>
              <w:t>''''''''''''''''''''''</w:t>
            </w:r>
            <w:r w:rsidR="00151AAB" w:rsidRPr="009A2409">
              <w:rPr>
                <w:iCs/>
                <w:vertAlign w:val="superscript"/>
              </w:rPr>
              <w:t>3</w:t>
            </w:r>
          </w:p>
        </w:tc>
      </w:tr>
      <w:tr w:rsidR="007C19DE" w:rsidRPr="00EA7B3F" w14:paraId="73E30029" w14:textId="77777777" w:rsidTr="00913D17">
        <w:tc>
          <w:tcPr>
            <w:tcW w:w="5000" w:type="pct"/>
            <w:gridSpan w:val="5"/>
            <w:tcBorders>
              <w:bottom w:val="single" w:sz="4" w:space="0" w:color="auto"/>
            </w:tcBorders>
            <w:tcMar>
              <w:left w:w="28" w:type="dxa"/>
              <w:right w:w="28" w:type="dxa"/>
            </w:tcMar>
          </w:tcPr>
          <w:p w14:paraId="47E9EAD6" w14:textId="77777777" w:rsidR="007C19DE" w:rsidRPr="00EA7B3F" w:rsidRDefault="007C19DE" w:rsidP="00FB6877">
            <w:pPr>
              <w:pStyle w:val="TableText0"/>
              <w:rPr>
                <w:b/>
              </w:rPr>
            </w:pPr>
            <w:r w:rsidRPr="00EA7B3F">
              <w:rPr>
                <w:b/>
              </w:rPr>
              <w:t>Univariate sensitivity analyses performed during the evaluation</w:t>
            </w:r>
          </w:p>
        </w:tc>
      </w:tr>
      <w:tr w:rsidR="007C19DE" w:rsidRPr="00EA7B3F" w14:paraId="194945A3" w14:textId="77777777" w:rsidTr="00913D17">
        <w:tc>
          <w:tcPr>
            <w:tcW w:w="357" w:type="pct"/>
            <w:tcBorders>
              <w:top w:val="nil"/>
              <w:bottom w:val="single" w:sz="4" w:space="0" w:color="auto"/>
            </w:tcBorders>
            <w:tcMar>
              <w:left w:w="28" w:type="dxa"/>
              <w:right w:w="28" w:type="dxa"/>
            </w:tcMar>
          </w:tcPr>
          <w:p w14:paraId="668A1EBA" w14:textId="77777777" w:rsidR="007C19DE" w:rsidRPr="00EA7B3F" w:rsidRDefault="007C19DE" w:rsidP="00FB6877">
            <w:pPr>
              <w:pStyle w:val="TableText0"/>
            </w:pPr>
            <w:r w:rsidRPr="00EA7B3F">
              <w:t>3</w:t>
            </w:r>
          </w:p>
        </w:tc>
        <w:tc>
          <w:tcPr>
            <w:tcW w:w="2863" w:type="pct"/>
            <w:tcBorders>
              <w:top w:val="nil"/>
              <w:bottom w:val="single" w:sz="4" w:space="0" w:color="auto"/>
            </w:tcBorders>
            <w:tcMar>
              <w:left w:w="28" w:type="dxa"/>
              <w:right w:w="28" w:type="dxa"/>
            </w:tcMar>
          </w:tcPr>
          <w:p w14:paraId="5BC9ACE5" w14:textId="77777777" w:rsidR="007C19DE" w:rsidRPr="00EA7B3F" w:rsidRDefault="007C19DE" w:rsidP="00FB6877">
            <w:pPr>
              <w:pStyle w:val="TableText0"/>
            </w:pPr>
            <w:r w:rsidRPr="00EA7B3F">
              <w:t>PBS data used to determine distribution of baseline attacks (Base case data for 2016-2019, 107 patient years)</w:t>
            </w:r>
          </w:p>
          <w:p w14:paraId="62FAB989" w14:textId="77777777" w:rsidR="007C19DE" w:rsidRPr="00EA7B3F" w:rsidRDefault="007C19DE" w:rsidP="004928B9">
            <w:pPr>
              <w:pStyle w:val="TableText0"/>
              <w:numPr>
                <w:ilvl w:val="0"/>
                <w:numId w:val="11"/>
              </w:numPr>
              <w:ind w:left="540"/>
            </w:pPr>
            <w:r w:rsidRPr="00EA7B3F">
              <w:t>Data from 2012 to 2019, 141 patient years</w:t>
            </w:r>
          </w:p>
        </w:tc>
        <w:tc>
          <w:tcPr>
            <w:tcW w:w="550" w:type="pct"/>
            <w:tcBorders>
              <w:top w:val="nil"/>
              <w:bottom w:val="single" w:sz="4" w:space="0" w:color="auto"/>
            </w:tcBorders>
            <w:tcMar>
              <w:left w:w="28" w:type="dxa"/>
              <w:right w:w="28" w:type="dxa"/>
            </w:tcMar>
          </w:tcPr>
          <w:p w14:paraId="47ACAFA2" w14:textId="77777777" w:rsidR="007C19DE" w:rsidRPr="00EA7B3F" w:rsidRDefault="007C19DE" w:rsidP="00FB6877">
            <w:pPr>
              <w:pStyle w:val="TableText0"/>
              <w:jc w:val="center"/>
              <w:rPr>
                <w:iCs/>
              </w:rPr>
            </w:pPr>
          </w:p>
          <w:p w14:paraId="46DAC526" w14:textId="77777777" w:rsidR="007C19DE" w:rsidRPr="00EA7B3F" w:rsidRDefault="007C19DE" w:rsidP="00FB6877">
            <w:pPr>
              <w:pStyle w:val="TableText0"/>
              <w:jc w:val="center"/>
              <w:rPr>
                <w:iCs/>
              </w:rPr>
            </w:pPr>
          </w:p>
          <w:p w14:paraId="51CA20D7" w14:textId="77777777" w:rsidR="007C19DE" w:rsidRPr="00EA7B3F" w:rsidRDefault="007C19DE" w:rsidP="00FB6877">
            <w:pPr>
              <w:pStyle w:val="TableText0"/>
              <w:jc w:val="center"/>
              <w:rPr>
                <w:iCs/>
              </w:rPr>
            </w:pPr>
            <w:r w:rsidRPr="00EA7B3F">
              <w:rPr>
                <w:iCs/>
              </w:rPr>
              <w:t>$</w:t>
            </w:r>
            <w:r w:rsidR="006F5B4F">
              <w:rPr>
                <w:iCs/>
                <w:noProof/>
                <w:color w:val="000000"/>
                <w:highlight w:val="black"/>
              </w:rPr>
              <w:t>'''''''''''''''</w:t>
            </w:r>
          </w:p>
        </w:tc>
        <w:tc>
          <w:tcPr>
            <w:tcW w:w="550" w:type="pct"/>
            <w:tcBorders>
              <w:top w:val="nil"/>
              <w:bottom w:val="single" w:sz="4" w:space="0" w:color="auto"/>
            </w:tcBorders>
            <w:tcMar>
              <w:left w:w="28" w:type="dxa"/>
              <w:right w:w="28" w:type="dxa"/>
            </w:tcMar>
          </w:tcPr>
          <w:p w14:paraId="525AB05F" w14:textId="77777777" w:rsidR="007C19DE" w:rsidRPr="00EA7B3F" w:rsidRDefault="007C19DE" w:rsidP="00FB6877">
            <w:pPr>
              <w:pStyle w:val="TableText0"/>
              <w:jc w:val="center"/>
              <w:rPr>
                <w:iCs/>
              </w:rPr>
            </w:pPr>
          </w:p>
          <w:p w14:paraId="7C2D054C" w14:textId="77777777" w:rsidR="007C19DE" w:rsidRPr="00EA7B3F" w:rsidRDefault="007C19DE" w:rsidP="00FB6877">
            <w:pPr>
              <w:pStyle w:val="TableText0"/>
              <w:jc w:val="center"/>
              <w:rPr>
                <w:iCs/>
              </w:rPr>
            </w:pPr>
          </w:p>
          <w:p w14:paraId="66313E2D" w14:textId="77777777" w:rsidR="007C19DE" w:rsidRPr="00EA7B3F" w:rsidRDefault="007C19DE" w:rsidP="00FB6877">
            <w:pPr>
              <w:pStyle w:val="TableText0"/>
              <w:jc w:val="center"/>
              <w:rPr>
                <w:iCs/>
              </w:rPr>
            </w:pPr>
            <w:r w:rsidRPr="00EA7B3F">
              <w:rPr>
                <w:iCs/>
              </w:rPr>
              <w:t>0.2910</w:t>
            </w:r>
          </w:p>
        </w:tc>
        <w:tc>
          <w:tcPr>
            <w:tcW w:w="680" w:type="pct"/>
            <w:tcBorders>
              <w:top w:val="nil"/>
              <w:bottom w:val="single" w:sz="4" w:space="0" w:color="auto"/>
            </w:tcBorders>
            <w:tcMar>
              <w:left w:w="28" w:type="dxa"/>
              <w:right w:w="28" w:type="dxa"/>
            </w:tcMar>
          </w:tcPr>
          <w:p w14:paraId="0A2B3112" w14:textId="77777777" w:rsidR="007C19DE" w:rsidRPr="00EA7B3F" w:rsidRDefault="007C19DE" w:rsidP="00FB6877">
            <w:pPr>
              <w:pStyle w:val="TableText0"/>
              <w:jc w:val="center"/>
              <w:rPr>
                <w:iCs/>
              </w:rPr>
            </w:pPr>
          </w:p>
          <w:p w14:paraId="36064885" w14:textId="77777777" w:rsidR="007C19DE" w:rsidRPr="00EA7B3F" w:rsidRDefault="007C19DE" w:rsidP="00FB6877">
            <w:pPr>
              <w:pStyle w:val="TableText0"/>
              <w:jc w:val="center"/>
              <w:rPr>
                <w:iCs/>
              </w:rPr>
            </w:pPr>
          </w:p>
          <w:p w14:paraId="2A18ED03" w14:textId="77777777" w:rsidR="007C19DE" w:rsidRPr="00EA7B3F" w:rsidRDefault="007C19DE" w:rsidP="00FB6877">
            <w:pPr>
              <w:pStyle w:val="TableText0"/>
              <w:jc w:val="center"/>
              <w:rPr>
                <w:iCs/>
              </w:rPr>
            </w:pPr>
            <w:r w:rsidRPr="00EA7B3F">
              <w:rPr>
                <w:iCs/>
              </w:rPr>
              <w:t>$</w:t>
            </w:r>
            <w:r w:rsidR="006F5B4F">
              <w:rPr>
                <w:iCs/>
                <w:noProof/>
                <w:color w:val="000000"/>
                <w:highlight w:val="black"/>
              </w:rPr>
              <w:t>'''''''''''''''''</w:t>
            </w:r>
            <w:r w:rsidR="00151AAB">
              <w:rPr>
                <w:iCs/>
                <w:vertAlign w:val="superscript"/>
              </w:rPr>
              <w:t>1</w:t>
            </w:r>
          </w:p>
        </w:tc>
      </w:tr>
      <w:tr w:rsidR="007C19DE" w:rsidRPr="00EA7B3F" w14:paraId="2B85D9EB" w14:textId="77777777" w:rsidTr="00913D17">
        <w:tc>
          <w:tcPr>
            <w:tcW w:w="357" w:type="pct"/>
            <w:tcBorders>
              <w:bottom w:val="nil"/>
            </w:tcBorders>
            <w:tcMar>
              <w:left w:w="28" w:type="dxa"/>
              <w:right w:w="28" w:type="dxa"/>
            </w:tcMar>
          </w:tcPr>
          <w:p w14:paraId="2B0144E0" w14:textId="77777777" w:rsidR="007C19DE" w:rsidRPr="00EA7B3F" w:rsidRDefault="007C19DE" w:rsidP="00FB6877">
            <w:pPr>
              <w:pStyle w:val="TableText0"/>
            </w:pPr>
            <w:r w:rsidRPr="00EA7B3F">
              <w:t>4</w:t>
            </w:r>
          </w:p>
        </w:tc>
        <w:tc>
          <w:tcPr>
            <w:tcW w:w="2863" w:type="pct"/>
            <w:tcBorders>
              <w:bottom w:val="nil"/>
            </w:tcBorders>
            <w:tcMar>
              <w:left w:w="28" w:type="dxa"/>
              <w:right w:w="28" w:type="dxa"/>
            </w:tcMar>
          </w:tcPr>
          <w:p w14:paraId="6ABC03DD" w14:textId="77777777" w:rsidR="007C19DE" w:rsidRPr="00EA7B3F" w:rsidRDefault="007C19DE" w:rsidP="00FB6877">
            <w:pPr>
              <w:pStyle w:val="TableText0"/>
              <w:rPr>
                <w:vertAlign w:val="superscript"/>
              </w:rPr>
            </w:pPr>
            <w:r w:rsidRPr="00EA7B3F">
              <w:t xml:space="preserve">Baseline attack rate, per year </w:t>
            </w:r>
            <w:r w:rsidR="006E0633" w:rsidRPr="00EA7B3F">
              <w:t>(base case 54.8 per year)</w:t>
            </w:r>
          </w:p>
        </w:tc>
        <w:tc>
          <w:tcPr>
            <w:tcW w:w="550" w:type="pct"/>
            <w:tcBorders>
              <w:bottom w:val="nil"/>
            </w:tcBorders>
            <w:tcMar>
              <w:left w:w="28" w:type="dxa"/>
              <w:right w:w="28" w:type="dxa"/>
            </w:tcMar>
          </w:tcPr>
          <w:p w14:paraId="49ED21DB" w14:textId="77777777" w:rsidR="007C19DE" w:rsidRPr="00EA7B3F" w:rsidRDefault="007C19DE" w:rsidP="00FB6877">
            <w:pPr>
              <w:pStyle w:val="TableText0"/>
              <w:jc w:val="center"/>
            </w:pPr>
          </w:p>
        </w:tc>
        <w:tc>
          <w:tcPr>
            <w:tcW w:w="550" w:type="pct"/>
            <w:tcBorders>
              <w:bottom w:val="nil"/>
            </w:tcBorders>
            <w:tcMar>
              <w:left w:w="28" w:type="dxa"/>
              <w:right w:w="28" w:type="dxa"/>
            </w:tcMar>
          </w:tcPr>
          <w:p w14:paraId="2938AFF8" w14:textId="77777777" w:rsidR="007C19DE" w:rsidRPr="00EA7B3F" w:rsidRDefault="007C19DE" w:rsidP="00FB6877">
            <w:pPr>
              <w:pStyle w:val="TableText0"/>
              <w:jc w:val="center"/>
            </w:pPr>
          </w:p>
        </w:tc>
        <w:tc>
          <w:tcPr>
            <w:tcW w:w="680" w:type="pct"/>
            <w:tcBorders>
              <w:bottom w:val="nil"/>
            </w:tcBorders>
            <w:tcMar>
              <w:left w:w="28" w:type="dxa"/>
              <w:right w:w="28" w:type="dxa"/>
            </w:tcMar>
          </w:tcPr>
          <w:p w14:paraId="7EC375A9" w14:textId="77777777" w:rsidR="007C19DE" w:rsidRPr="00EA7B3F" w:rsidRDefault="007C19DE" w:rsidP="00FB6877">
            <w:pPr>
              <w:pStyle w:val="TableText0"/>
              <w:jc w:val="center"/>
            </w:pPr>
          </w:p>
        </w:tc>
      </w:tr>
      <w:tr w:rsidR="007C19DE" w:rsidRPr="00EA7B3F" w14:paraId="3D63B82E" w14:textId="77777777" w:rsidTr="00913D17">
        <w:trPr>
          <w:trHeight w:val="20"/>
        </w:trPr>
        <w:tc>
          <w:tcPr>
            <w:tcW w:w="357" w:type="pct"/>
            <w:tcBorders>
              <w:top w:val="nil"/>
              <w:bottom w:val="nil"/>
            </w:tcBorders>
            <w:tcMar>
              <w:left w:w="28" w:type="dxa"/>
              <w:right w:w="28" w:type="dxa"/>
            </w:tcMar>
          </w:tcPr>
          <w:p w14:paraId="4905DA39"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00918BFC" w14:textId="77777777" w:rsidR="007C19DE" w:rsidRPr="00EA7B3F" w:rsidRDefault="007C19DE" w:rsidP="004928B9">
            <w:pPr>
              <w:pStyle w:val="TableText0"/>
              <w:numPr>
                <w:ilvl w:val="0"/>
                <w:numId w:val="12"/>
              </w:numPr>
              <w:ind w:left="540"/>
            </w:pPr>
            <w:r w:rsidRPr="00EA7B3F">
              <w:t>24 (threshold for eligibility)</w:t>
            </w:r>
          </w:p>
        </w:tc>
        <w:tc>
          <w:tcPr>
            <w:tcW w:w="550" w:type="pct"/>
            <w:tcBorders>
              <w:top w:val="nil"/>
              <w:bottom w:val="nil"/>
            </w:tcBorders>
            <w:tcMar>
              <w:left w:w="28" w:type="dxa"/>
              <w:right w:w="28" w:type="dxa"/>
            </w:tcMar>
          </w:tcPr>
          <w:p w14:paraId="6AB3FCC4"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15F4CA37" w14:textId="77777777" w:rsidR="007C19DE" w:rsidRPr="00EA7B3F" w:rsidRDefault="007C19DE" w:rsidP="00FB6877">
            <w:pPr>
              <w:pStyle w:val="TableText0"/>
              <w:jc w:val="center"/>
            </w:pPr>
            <w:r w:rsidRPr="00EA7B3F">
              <w:t>0.1139</w:t>
            </w:r>
          </w:p>
        </w:tc>
        <w:tc>
          <w:tcPr>
            <w:tcW w:w="680" w:type="pct"/>
            <w:tcBorders>
              <w:top w:val="nil"/>
              <w:bottom w:val="nil"/>
            </w:tcBorders>
            <w:tcMar>
              <w:left w:w="28" w:type="dxa"/>
              <w:right w:w="28" w:type="dxa"/>
            </w:tcMar>
          </w:tcPr>
          <w:p w14:paraId="6AFE6B35"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4</w:t>
            </w:r>
          </w:p>
        </w:tc>
      </w:tr>
      <w:tr w:rsidR="007C19DE" w:rsidRPr="00EA7B3F" w14:paraId="3D23EE6D" w14:textId="77777777" w:rsidTr="00913D17">
        <w:trPr>
          <w:trHeight w:val="20"/>
        </w:trPr>
        <w:tc>
          <w:tcPr>
            <w:tcW w:w="357" w:type="pct"/>
            <w:tcBorders>
              <w:top w:val="nil"/>
              <w:bottom w:val="nil"/>
            </w:tcBorders>
            <w:tcMar>
              <w:left w:w="28" w:type="dxa"/>
              <w:right w:w="28" w:type="dxa"/>
            </w:tcMar>
          </w:tcPr>
          <w:p w14:paraId="359D9427"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79497508" w14:textId="77777777" w:rsidR="007C19DE" w:rsidRPr="00EA7B3F" w:rsidRDefault="007C19DE" w:rsidP="004928B9">
            <w:pPr>
              <w:pStyle w:val="TableText0"/>
              <w:numPr>
                <w:ilvl w:val="0"/>
                <w:numId w:val="12"/>
              </w:numPr>
              <w:ind w:left="540"/>
            </w:pPr>
            <w:r w:rsidRPr="00EA7B3F">
              <w:t>30</w:t>
            </w:r>
          </w:p>
        </w:tc>
        <w:tc>
          <w:tcPr>
            <w:tcW w:w="550" w:type="pct"/>
            <w:tcBorders>
              <w:top w:val="nil"/>
              <w:bottom w:val="nil"/>
            </w:tcBorders>
            <w:tcMar>
              <w:left w:w="28" w:type="dxa"/>
              <w:right w:w="28" w:type="dxa"/>
            </w:tcMar>
          </w:tcPr>
          <w:p w14:paraId="121B9E15"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488C4DF1" w14:textId="77777777" w:rsidR="007C19DE" w:rsidRPr="00EA7B3F" w:rsidRDefault="007C19DE" w:rsidP="00FB6877">
            <w:pPr>
              <w:pStyle w:val="TableText0"/>
              <w:jc w:val="center"/>
            </w:pPr>
            <w:r w:rsidRPr="00EA7B3F">
              <w:t>0.2824</w:t>
            </w:r>
          </w:p>
        </w:tc>
        <w:tc>
          <w:tcPr>
            <w:tcW w:w="680" w:type="pct"/>
            <w:tcBorders>
              <w:top w:val="nil"/>
              <w:bottom w:val="nil"/>
            </w:tcBorders>
            <w:tcMar>
              <w:left w:w="28" w:type="dxa"/>
              <w:right w:w="28" w:type="dxa"/>
            </w:tcMar>
          </w:tcPr>
          <w:p w14:paraId="4996E6E0"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5</w:t>
            </w:r>
          </w:p>
        </w:tc>
      </w:tr>
      <w:tr w:rsidR="007C19DE" w:rsidRPr="00EA7B3F" w14:paraId="70B9F85F" w14:textId="77777777" w:rsidTr="00913D17">
        <w:trPr>
          <w:trHeight w:val="20"/>
        </w:trPr>
        <w:tc>
          <w:tcPr>
            <w:tcW w:w="357" w:type="pct"/>
            <w:tcBorders>
              <w:top w:val="nil"/>
              <w:bottom w:val="nil"/>
            </w:tcBorders>
            <w:tcMar>
              <w:left w:w="28" w:type="dxa"/>
              <w:right w:w="28" w:type="dxa"/>
            </w:tcMar>
          </w:tcPr>
          <w:p w14:paraId="267E9747"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617E43CD" w14:textId="77777777" w:rsidR="007C19DE" w:rsidRPr="00EA7B3F" w:rsidRDefault="007C19DE" w:rsidP="004928B9">
            <w:pPr>
              <w:pStyle w:val="TableText0"/>
              <w:numPr>
                <w:ilvl w:val="0"/>
                <w:numId w:val="12"/>
              </w:numPr>
              <w:ind w:left="540"/>
            </w:pPr>
            <w:r w:rsidRPr="00EA7B3F">
              <w:t>40</w:t>
            </w:r>
          </w:p>
        </w:tc>
        <w:tc>
          <w:tcPr>
            <w:tcW w:w="550" w:type="pct"/>
            <w:tcBorders>
              <w:top w:val="nil"/>
              <w:bottom w:val="nil"/>
            </w:tcBorders>
            <w:tcMar>
              <w:left w:w="28" w:type="dxa"/>
              <w:right w:w="28" w:type="dxa"/>
            </w:tcMar>
          </w:tcPr>
          <w:p w14:paraId="43FBF47A"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33DEC077" w14:textId="77777777" w:rsidR="007C19DE" w:rsidRPr="00EA7B3F" w:rsidRDefault="007C19DE" w:rsidP="00FB6877">
            <w:pPr>
              <w:pStyle w:val="TableText0"/>
              <w:jc w:val="center"/>
            </w:pPr>
            <w:r w:rsidRPr="00EA7B3F">
              <w:t>0.2966</w:t>
            </w:r>
          </w:p>
        </w:tc>
        <w:tc>
          <w:tcPr>
            <w:tcW w:w="680" w:type="pct"/>
            <w:tcBorders>
              <w:top w:val="nil"/>
              <w:bottom w:val="nil"/>
            </w:tcBorders>
            <w:tcMar>
              <w:left w:w="28" w:type="dxa"/>
              <w:right w:w="28" w:type="dxa"/>
            </w:tcMar>
          </w:tcPr>
          <w:p w14:paraId="038A6E66"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6</w:t>
            </w:r>
          </w:p>
        </w:tc>
      </w:tr>
      <w:tr w:rsidR="007C19DE" w:rsidRPr="00EA7B3F" w14:paraId="2404C394" w14:textId="77777777" w:rsidTr="00913D17">
        <w:trPr>
          <w:trHeight w:val="20"/>
        </w:trPr>
        <w:tc>
          <w:tcPr>
            <w:tcW w:w="357" w:type="pct"/>
            <w:tcBorders>
              <w:top w:val="nil"/>
              <w:bottom w:val="nil"/>
            </w:tcBorders>
            <w:tcMar>
              <w:left w:w="28" w:type="dxa"/>
              <w:right w:w="28" w:type="dxa"/>
            </w:tcMar>
          </w:tcPr>
          <w:p w14:paraId="297A52FE"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54CEA520" w14:textId="77777777" w:rsidR="007C19DE" w:rsidRPr="00EA7B3F" w:rsidRDefault="007C19DE" w:rsidP="004928B9">
            <w:pPr>
              <w:pStyle w:val="TableText0"/>
              <w:numPr>
                <w:ilvl w:val="0"/>
                <w:numId w:val="12"/>
              </w:numPr>
              <w:ind w:left="540"/>
            </w:pPr>
            <w:r w:rsidRPr="00EA7B3F">
              <w:t>50</w:t>
            </w:r>
          </w:p>
        </w:tc>
        <w:tc>
          <w:tcPr>
            <w:tcW w:w="550" w:type="pct"/>
            <w:tcBorders>
              <w:top w:val="nil"/>
              <w:bottom w:val="nil"/>
            </w:tcBorders>
            <w:tcMar>
              <w:left w:w="28" w:type="dxa"/>
              <w:right w:w="28" w:type="dxa"/>
            </w:tcMar>
          </w:tcPr>
          <w:p w14:paraId="16A1A813"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52B9A683" w14:textId="77777777" w:rsidR="007C19DE" w:rsidRPr="00EA7B3F" w:rsidRDefault="007C19DE" w:rsidP="00FB6877">
            <w:pPr>
              <w:pStyle w:val="TableText0"/>
              <w:jc w:val="center"/>
            </w:pPr>
            <w:r w:rsidRPr="00EA7B3F">
              <w:t>0.3107</w:t>
            </w:r>
          </w:p>
        </w:tc>
        <w:tc>
          <w:tcPr>
            <w:tcW w:w="680" w:type="pct"/>
            <w:tcBorders>
              <w:top w:val="nil"/>
              <w:bottom w:val="nil"/>
            </w:tcBorders>
            <w:tcMar>
              <w:left w:w="28" w:type="dxa"/>
              <w:right w:w="28" w:type="dxa"/>
            </w:tcMar>
          </w:tcPr>
          <w:p w14:paraId="3735BF9D"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6</w:t>
            </w:r>
          </w:p>
        </w:tc>
      </w:tr>
      <w:tr w:rsidR="007C19DE" w:rsidRPr="00EA7B3F" w14:paraId="667D2880" w14:textId="77777777" w:rsidTr="00913D17">
        <w:trPr>
          <w:trHeight w:val="20"/>
        </w:trPr>
        <w:tc>
          <w:tcPr>
            <w:tcW w:w="357" w:type="pct"/>
            <w:tcBorders>
              <w:top w:val="nil"/>
              <w:bottom w:val="nil"/>
            </w:tcBorders>
            <w:tcMar>
              <w:left w:w="28" w:type="dxa"/>
              <w:right w:w="28" w:type="dxa"/>
            </w:tcMar>
          </w:tcPr>
          <w:p w14:paraId="65CFBA90"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6D35102F" w14:textId="77777777" w:rsidR="007C19DE" w:rsidRPr="00EA7B3F" w:rsidRDefault="007C19DE" w:rsidP="004928B9">
            <w:pPr>
              <w:pStyle w:val="TableText0"/>
              <w:numPr>
                <w:ilvl w:val="0"/>
                <w:numId w:val="12"/>
              </w:numPr>
              <w:ind w:left="540"/>
            </w:pPr>
            <w:r w:rsidRPr="00EA7B3F">
              <w:t>60</w:t>
            </w:r>
          </w:p>
        </w:tc>
        <w:tc>
          <w:tcPr>
            <w:tcW w:w="550" w:type="pct"/>
            <w:tcBorders>
              <w:top w:val="nil"/>
              <w:bottom w:val="nil"/>
            </w:tcBorders>
            <w:tcMar>
              <w:left w:w="28" w:type="dxa"/>
              <w:right w:w="28" w:type="dxa"/>
            </w:tcMar>
          </w:tcPr>
          <w:p w14:paraId="27BACE2A"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4483FB19" w14:textId="77777777" w:rsidR="007C19DE" w:rsidRPr="00EA7B3F" w:rsidRDefault="007C19DE" w:rsidP="00FB6877">
            <w:pPr>
              <w:pStyle w:val="TableText0"/>
              <w:jc w:val="center"/>
            </w:pPr>
            <w:r w:rsidRPr="00EA7B3F">
              <w:t>0.3248</w:t>
            </w:r>
          </w:p>
        </w:tc>
        <w:tc>
          <w:tcPr>
            <w:tcW w:w="680" w:type="pct"/>
            <w:tcBorders>
              <w:top w:val="nil"/>
              <w:bottom w:val="nil"/>
            </w:tcBorders>
            <w:tcMar>
              <w:left w:w="28" w:type="dxa"/>
              <w:right w:w="28" w:type="dxa"/>
            </w:tcMar>
          </w:tcPr>
          <w:p w14:paraId="1644BFC2"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7</w:t>
            </w:r>
          </w:p>
        </w:tc>
      </w:tr>
      <w:tr w:rsidR="007C19DE" w:rsidRPr="00EA7B3F" w14:paraId="10269B15" w14:textId="77777777" w:rsidTr="00913D17">
        <w:trPr>
          <w:trHeight w:val="20"/>
        </w:trPr>
        <w:tc>
          <w:tcPr>
            <w:tcW w:w="357" w:type="pct"/>
            <w:tcBorders>
              <w:top w:val="nil"/>
              <w:bottom w:val="nil"/>
            </w:tcBorders>
            <w:tcMar>
              <w:left w:w="28" w:type="dxa"/>
              <w:right w:w="28" w:type="dxa"/>
            </w:tcMar>
          </w:tcPr>
          <w:p w14:paraId="6A87AB16" w14:textId="77777777" w:rsidR="007C19DE" w:rsidRPr="00EA7B3F" w:rsidRDefault="007C19DE" w:rsidP="00FB6877">
            <w:pPr>
              <w:pStyle w:val="TableText0"/>
            </w:pPr>
          </w:p>
        </w:tc>
        <w:tc>
          <w:tcPr>
            <w:tcW w:w="2863" w:type="pct"/>
            <w:tcBorders>
              <w:top w:val="nil"/>
              <w:bottom w:val="nil"/>
            </w:tcBorders>
            <w:tcMar>
              <w:left w:w="28" w:type="dxa"/>
              <w:right w:w="28" w:type="dxa"/>
            </w:tcMar>
          </w:tcPr>
          <w:p w14:paraId="71BB5D1B" w14:textId="77777777" w:rsidR="007C19DE" w:rsidRPr="00EA7B3F" w:rsidRDefault="007C19DE" w:rsidP="004928B9">
            <w:pPr>
              <w:pStyle w:val="TableText0"/>
              <w:numPr>
                <w:ilvl w:val="0"/>
                <w:numId w:val="12"/>
              </w:numPr>
              <w:ind w:left="540"/>
            </w:pPr>
            <w:r w:rsidRPr="00EA7B3F">
              <w:t>70</w:t>
            </w:r>
          </w:p>
        </w:tc>
        <w:tc>
          <w:tcPr>
            <w:tcW w:w="550" w:type="pct"/>
            <w:tcBorders>
              <w:top w:val="nil"/>
              <w:bottom w:val="nil"/>
            </w:tcBorders>
            <w:tcMar>
              <w:left w:w="28" w:type="dxa"/>
              <w:right w:w="28" w:type="dxa"/>
            </w:tcMar>
          </w:tcPr>
          <w:p w14:paraId="3BEFC726"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78B7DDD5" w14:textId="77777777" w:rsidR="007C19DE" w:rsidRPr="00EA7B3F" w:rsidRDefault="007C19DE" w:rsidP="00FB6877">
            <w:pPr>
              <w:pStyle w:val="TableText0"/>
              <w:jc w:val="center"/>
            </w:pPr>
            <w:r w:rsidRPr="00EA7B3F">
              <w:t>0.3390</w:t>
            </w:r>
          </w:p>
        </w:tc>
        <w:tc>
          <w:tcPr>
            <w:tcW w:w="680" w:type="pct"/>
            <w:tcBorders>
              <w:top w:val="nil"/>
              <w:bottom w:val="nil"/>
            </w:tcBorders>
            <w:tcMar>
              <w:left w:w="28" w:type="dxa"/>
              <w:right w:w="28" w:type="dxa"/>
            </w:tcMar>
          </w:tcPr>
          <w:p w14:paraId="40C63D33" w14:textId="77777777" w:rsidR="007C19DE" w:rsidRPr="00EA7B3F" w:rsidRDefault="007C19DE" w:rsidP="00FB6877">
            <w:pPr>
              <w:pStyle w:val="TableText0"/>
              <w:jc w:val="center"/>
            </w:pPr>
            <w:r w:rsidRPr="00EA7B3F">
              <w:t>-$</w:t>
            </w:r>
            <w:r w:rsidR="006F5B4F">
              <w:rPr>
                <w:noProof/>
                <w:color w:val="000000"/>
                <w:highlight w:val="black"/>
              </w:rPr>
              <w:t>'''''''''''''</w:t>
            </w:r>
            <w:r w:rsidR="00151AAB">
              <w:rPr>
                <w:iCs/>
                <w:vertAlign w:val="superscript"/>
              </w:rPr>
              <w:t>8</w:t>
            </w:r>
          </w:p>
        </w:tc>
      </w:tr>
      <w:tr w:rsidR="007C19DE" w:rsidRPr="00EA7B3F" w14:paraId="2A20A719" w14:textId="77777777" w:rsidTr="00913D17">
        <w:tc>
          <w:tcPr>
            <w:tcW w:w="357" w:type="pct"/>
            <w:tcBorders>
              <w:top w:val="nil"/>
              <w:bottom w:val="single" w:sz="4" w:space="0" w:color="auto"/>
            </w:tcBorders>
            <w:tcMar>
              <w:left w:w="28" w:type="dxa"/>
              <w:right w:w="28" w:type="dxa"/>
            </w:tcMar>
          </w:tcPr>
          <w:p w14:paraId="34182808" w14:textId="77777777" w:rsidR="007C19DE" w:rsidRPr="00EA7B3F" w:rsidRDefault="007C19DE" w:rsidP="00FB6877">
            <w:pPr>
              <w:pStyle w:val="TableText0"/>
            </w:pPr>
          </w:p>
        </w:tc>
        <w:tc>
          <w:tcPr>
            <w:tcW w:w="2863" w:type="pct"/>
            <w:tcBorders>
              <w:top w:val="nil"/>
              <w:bottom w:val="single" w:sz="4" w:space="0" w:color="auto"/>
            </w:tcBorders>
            <w:tcMar>
              <w:left w:w="28" w:type="dxa"/>
              <w:right w:w="28" w:type="dxa"/>
            </w:tcMar>
          </w:tcPr>
          <w:p w14:paraId="1DC4859D" w14:textId="77777777" w:rsidR="007C19DE" w:rsidRPr="00EA7B3F" w:rsidRDefault="007C19DE" w:rsidP="004928B9">
            <w:pPr>
              <w:pStyle w:val="TableText0"/>
              <w:numPr>
                <w:ilvl w:val="0"/>
                <w:numId w:val="12"/>
              </w:numPr>
              <w:ind w:left="540"/>
              <w:rPr>
                <w:iCs/>
              </w:rPr>
            </w:pPr>
            <w:r w:rsidRPr="00EA7B3F">
              <w:t>Excluding patients with ≥96 attacks per year</w:t>
            </w:r>
            <w:r w:rsidRPr="00EA7B3F">
              <w:rPr>
                <w:vertAlign w:val="superscript"/>
              </w:rPr>
              <w:t>a</w:t>
            </w:r>
          </w:p>
        </w:tc>
        <w:tc>
          <w:tcPr>
            <w:tcW w:w="550" w:type="pct"/>
            <w:tcBorders>
              <w:top w:val="nil"/>
              <w:bottom w:val="single" w:sz="4" w:space="0" w:color="auto"/>
            </w:tcBorders>
            <w:tcMar>
              <w:left w:w="28" w:type="dxa"/>
              <w:right w:w="28" w:type="dxa"/>
            </w:tcMar>
          </w:tcPr>
          <w:p w14:paraId="17468F2F" w14:textId="77777777" w:rsidR="007C19DE" w:rsidRPr="00EA7B3F" w:rsidRDefault="007C19DE" w:rsidP="00FB6877">
            <w:pPr>
              <w:pStyle w:val="TableText0"/>
              <w:jc w:val="center"/>
              <w:rPr>
                <w:iCs/>
              </w:rPr>
            </w:pPr>
            <w:r w:rsidRPr="00EA7B3F">
              <w:rPr>
                <w:iCs/>
              </w:rPr>
              <w:t>$</w:t>
            </w:r>
            <w:r w:rsidR="006F5B4F">
              <w:rPr>
                <w:iCs/>
                <w:noProof/>
                <w:color w:val="000000"/>
                <w:highlight w:val="black"/>
              </w:rPr>
              <w:t>'''''''''''''''''</w:t>
            </w:r>
          </w:p>
        </w:tc>
        <w:tc>
          <w:tcPr>
            <w:tcW w:w="550" w:type="pct"/>
            <w:tcBorders>
              <w:top w:val="nil"/>
              <w:bottom w:val="single" w:sz="4" w:space="0" w:color="auto"/>
            </w:tcBorders>
            <w:tcMar>
              <w:left w:w="28" w:type="dxa"/>
              <w:right w:w="28" w:type="dxa"/>
            </w:tcMar>
          </w:tcPr>
          <w:p w14:paraId="08EFCBEE" w14:textId="77777777" w:rsidR="007C19DE" w:rsidRPr="00EA7B3F" w:rsidRDefault="007C19DE" w:rsidP="00FB6877">
            <w:pPr>
              <w:pStyle w:val="TableText0"/>
              <w:jc w:val="center"/>
              <w:rPr>
                <w:iCs/>
              </w:rPr>
            </w:pPr>
            <w:r w:rsidRPr="00EA7B3F">
              <w:rPr>
                <w:iCs/>
              </w:rPr>
              <w:t>0.2746</w:t>
            </w:r>
          </w:p>
        </w:tc>
        <w:tc>
          <w:tcPr>
            <w:tcW w:w="680" w:type="pct"/>
            <w:tcBorders>
              <w:top w:val="nil"/>
              <w:bottom w:val="single" w:sz="4" w:space="0" w:color="auto"/>
            </w:tcBorders>
            <w:tcMar>
              <w:left w:w="28" w:type="dxa"/>
              <w:right w:w="28" w:type="dxa"/>
            </w:tcMar>
          </w:tcPr>
          <w:p w14:paraId="726F125E" w14:textId="77777777" w:rsidR="007C19DE" w:rsidRPr="00EA7B3F" w:rsidRDefault="007C19DE" w:rsidP="00FB6877">
            <w:pPr>
              <w:pStyle w:val="TableText0"/>
              <w:jc w:val="center"/>
              <w:rPr>
                <w:iCs/>
              </w:rPr>
            </w:pPr>
            <w:r w:rsidRPr="00EA7B3F">
              <w:rPr>
                <w:iCs/>
              </w:rPr>
              <w:t>$</w:t>
            </w:r>
            <w:r w:rsidR="006F5B4F">
              <w:rPr>
                <w:iCs/>
                <w:noProof/>
                <w:color w:val="000000"/>
                <w:highlight w:val="black"/>
              </w:rPr>
              <w:t>''''''''''''''''''''</w:t>
            </w:r>
            <w:r w:rsidR="00151AAB">
              <w:rPr>
                <w:iCs/>
                <w:vertAlign w:val="superscript"/>
              </w:rPr>
              <w:t>6</w:t>
            </w:r>
          </w:p>
        </w:tc>
      </w:tr>
      <w:tr w:rsidR="009E7F66" w:rsidRPr="00EA7B3F" w14:paraId="5FBFA1D7" w14:textId="77777777" w:rsidTr="00913D17">
        <w:tc>
          <w:tcPr>
            <w:tcW w:w="357" w:type="pct"/>
            <w:tcBorders>
              <w:bottom w:val="nil"/>
            </w:tcBorders>
            <w:tcMar>
              <w:left w:w="28" w:type="dxa"/>
              <w:right w:w="28" w:type="dxa"/>
            </w:tcMar>
          </w:tcPr>
          <w:p w14:paraId="41B722CE" w14:textId="77777777" w:rsidR="009E7F66" w:rsidRPr="00EA7B3F" w:rsidRDefault="009E7F66" w:rsidP="00FB6877">
            <w:pPr>
              <w:pStyle w:val="TableText0"/>
            </w:pPr>
            <w:r w:rsidRPr="00EA7B3F">
              <w:t>5</w:t>
            </w:r>
          </w:p>
        </w:tc>
        <w:tc>
          <w:tcPr>
            <w:tcW w:w="2863" w:type="pct"/>
            <w:tcBorders>
              <w:bottom w:val="nil"/>
            </w:tcBorders>
            <w:tcMar>
              <w:left w:w="28" w:type="dxa"/>
              <w:right w:w="28" w:type="dxa"/>
            </w:tcMar>
          </w:tcPr>
          <w:p w14:paraId="29BEFF92" w14:textId="77777777" w:rsidR="009E7F66" w:rsidRPr="00EA7B3F" w:rsidRDefault="009E7F66" w:rsidP="00FB6877">
            <w:pPr>
              <w:pStyle w:val="TableText0"/>
            </w:pPr>
            <w:r w:rsidRPr="00EA7B3F">
              <w:t xml:space="preserve">Cost of lanadelumab (Base case 13 doses/patient/year) </w:t>
            </w:r>
          </w:p>
        </w:tc>
        <w:tc>
          <w:tcPr>
            <w:tcW w:w="550" w:type="pct"/>
            <w:tcBorders>
              <w:bottom w:val="nil"/>
            </w:tcBorders>
            <w:tcMar>
              <w:left w:w="28" w:type="dxa"/>
              <w:right w:w="28" w:type="dxa"/>
            </w:tcMar>
          </w:tcPr>
          <w:p w14:paraId="1F5F4980" w14:textId="77777777" w:rsidR="009E7F66" w:rsidRPr="00EA7B3F" w:rsidRDefault="009E7F66" w:rsidP="00FB6877">
            <w:pPr>
              <w:pStyle w:val="TableText0"/>
              <w:spacing w:after="20"/>
              <w:jc w:val="center"/>
              <w:rPr>
                <w:iCs/>
              </w:rPr>
            </w:pPr>
          </w:p>
        </w:tc>
        <w:tc>
          <w:tcPr>
            <w:tcW w:w="550" w:type="pct"/>
            <w:tcBorders>
              <w:bottom w:val="nil"/>
            </w:tcBorders>
            <w:tcMar>
              <w:left w:w="28" w:type="dxa"/>
              <w:right w:w="28" w:type="dxa"/>
            </w:tcMar>
          </w:tcPr>
          <w:p w14:paraId="25937597" w14:textId="77777777" w:rsidR="009E7F66" w:rsidRPr="00EA7B3F" w:rsidRDefault="009E7F66" w:rsidP="00FB6877">
            <w:pPr>
              <w:pStyle w:val="TableText0"/>
              <w:spacing w:after="20"/>
              <w:jc w:val="center"/>
            </w:pPr>
          </w:p>
        </w:tc>
        <w:tc>
          <w:tcPr>
            <w:tcW w:w="680" w:type="pct"/>
            <w:tcBorders>
              <w:bottom w:val="nil"/>
            </w:tcBorders>
            <w:tcMar>
              <w:left w:w="28" w:type="dxa"/>
              <w:right w:w="28" w:type="dxa"/>
            </w:tcMar>
          </w:tcPr>
          <w:p w14:paraId="2512DD47" w14:textId="77777777" w:rsidR="009E7F66" w:rsidRPr="00EA7B3F" w:rsidRDefault="009E7F66" w:rsidP="00FB6877">
            <w:pPr>
              <w:pStyle w:val="TableText0"/>
              <w:spacing w:after="20"/>
              <w:jc w:val="center"/>
              <w:rPr>
                <w:iCs/>
              </w:rPr>
            </w:pPr>
          </w:p>
        </w:tc>
      </w:tr>
      <w:tr w:rsidR="009E7F66" w:rsidRPr="00EA7B3F" w14:paraId="7E94EC1D" w14:textId="77777777" w:rsidTr="00913D17">
        <w:tc>
          <w:tcPr>
            <w:tcW w:w="357" w:type="pct"/>
            <w:tcBorders>
              <w:top w:val="nil"/>
              <w:bottom w:val="nil"/>
            </w:tcBorders>
            <w:tcMar>
              <w:left w:w="28" w:type="dxa"/>
              <w:right w:w="28" w:type="dxa"/>
            </w:tcMar>
          </w:tcPr>
          <w:p w14:paraId="55B0A605"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74DE03C0" w14:textId="77777777" w:rsidR="009E7F66" w:rsidRPr="00EA7B3F" w:rsidRDefault="009E7F66" w:rsidP="00FB6877">
            <w:pPr>
              <w:pStyle w:val="TableText0"/>
            </w:pPr>
            <w:r w:rsidRPr="00EA7B3F">
              <w:t>Disregarding RSA</w:t>
            </w:r>
            <w:r w:rsidRPr="00EA7B3F">
              <w:rPr>
                <w:vertAlign w:val="superscript"/>
              </w:rPr>
              <w:t>b</w:t>
            </w:r>
            <w:r w:rsidRPr="00EA7B3F">
              <w:t xml:space="preserve"> </w:t>
            </w:r>
          </w:p>
        </w:tc>
        <w:tc>
          <w:tcPr>
            <w:tcW w:w="550" w:type="pct"/>
            <w:tcBorders>
              <w:top w:val="nil"/>
              <w:bottom w:val="nil"/>
            </w:tcBorders>
            <w:tcMar>
              <w:left w:w="28" w:type="dxa"/>
              <w:right w:w="28" w:type="dxa"/>
            </w:tcMar>
          </w:tcPr>
          <w:p w14:paraId="0442D936" w14:textId="77777777" w:rsidR="009E7F66" w:rsidRPr="00EA7B3F" w:rsidRDefault="009E7F66" w:rsidP="00FB6877">
            <w:pPr>
              <w:pStyle w:val="TableText0"/>
              <w:spacing w:after="20"/>
              <w:jc w:val="center"/>
              <w:rPr>
                <w:iCs/>
              </w:rPr>
            </w:pPr>
          </w:p>
        </w:tc>
        <w:tc>
          <w:tcPr>
            <w:tcW w:w="550" w:type="pct"/>
            <w:tcBorders>
              <w:top w:val="nil"/>
              <w:bottom w:val="nil"/>
            </w:tcBorders>
            <w:tcMar>
              <w:left w:w="28" w:type="dxa"/>
              <w:right w:w="28" w:type="dxa"/>
            </w:tcMar>
          </w:tcPr>
          <w:p w14:paraId="139394DB" w14:textId="77777777" w:rsidR="009E7F66" w:rsidRPr="00EA7B3F" w:rsidRDefault="009E7F66" w:rsidP="00FB6877">
            <w:pPr>
              <w:pStyle w:val="TableText0"/>
              <w:spacing w:after="20"/>
              <w:jc w:val="center"/>
            </w:pPr>
          </w:p>
        </w:tc>
        <w:tc>
          <w:tcPr>
            <w:tcW w:w="680" w:type="pct"/>
            <w:tcBorders>
              <w:top w:val="nil"/>
              <w:bottom w:val="nil"/>
            </w:tcBorders>
            <w:tcMar>
              <w:left w:w="28" w:type="dxa"/>
              <w:right w:w="28" w:type="dxa"/>
            </w:tcMar>
          </w:tcPr>
          <w:p w14:paraId="1FC25DCB" w14:textId="77777777" w:rsidR="009E7F66" w:rsidRPr="00EA7B3F" w:rsidRDefault="009E7F66" w:rsidP="00FB6877">
            <w:pPr>
              <w:pStyle w:val="TableText0"/>
              <w:spacing w:after="20"/>
              <w:jc w:val="center"/>
              <w:rPr>
                <w:iCs/>
              </w:rPr>
            </w:pPr>
          </w:p>
        </w:tc>
      </w:tr>
      <w:tr w:rsidR="009E7F66" w:rsidRPr="00EA7B3F" w14:paraId="00AE905E" w14:textId="77777777" w:rsidTr="00913D17">
        <w:tc>
          <w:tcPr>
            <w:tcW w:w="357" w:type="pct"/>
            <w:tcBorders>
              <w:top w:val="nil"/>
              <w:bottom w:val="nil"/>
            </w:tcBorders>
            <w:tcMar>
              <w:left w:w="28" w:type="dxa"/>
              <w:right w:w="28" w:type="dxa"/>
            </w:tcMar>
          </w:tcPr>
          <w:p w14:paraId="32331DA8"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6E057917" w14:textId="77777777" w:rsidR="009E7F66" w:rsidRPr="00EA7B3F" w:rsidRDefault="009E7F66" w:rsidP="004928B9">
            <w:pPr>
              <w:pStyle w:val="TableText0"/>
              <w:numPr>
                <w:ilvl w:val="0"/>
                <w:numId w:val="13"/>
              </w:numPr>
              <w:ind w:left="540"/>
              <w:rPr>
                <w:iCs/>
              </w:rPr>
            </w:pPr>
            <w:r w:rsidRPr="00EA7B3F">
              <w:rPr>
                <w:iCs/>
              </w:rPr>
              <w:t>23% Q2W, 77% Q4W (mean 15.98 doses/year)</w:t>
            </w:r>
            <w:r w:rsidR="00392C6F" w:rsidRPr="00EA7B3F">
              <w:rPr>
                <w:iCs/>
                <w:vertAlign w:val="superscript"/>
              </w:rPr>
              <w:t>c</w:t>
            </w:r>
          </w:p>
        </w:tc>
        <w:tc>
          <w:tcPr>
            <w:tcW w:w="550" w:type="pct"/>
            <w:tcBorders>
              <w:top w:val="nil"/>
              <w:bottom w:val="nil"/>
            </w:tcBorders>
            <w:tcMar>
              <w:left w:w="28" w:type="dxa"/>
              <w:right w:w="28" w:type="dxa"/>
            </w:tcMar>
          </w:tcPr>
          <w:p w14:paraId="630356FF"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122D675B" w14:textId="77777777" w:rsidR="009E7F66" w:rsidRPr="00EA7B3F" w:rsidRDefault="009E7F66" w:rsidP="00FB6877">
            <w:pPr>
              <w:pStyle w:val="TableText0"/>
              <w:spacing w:after="20"/>
              <w:jc w:val="center"/>
            </w:pPr>
            <w:r w:rsidRPr="00EA7B3F">
              <w:t>0.2906</w:t>
            </w:r>
          </w:p>
        </w:tc>
        <w:tc>
          <w:tcPr>
            <w:tcW w:w="680" w:type="pct"/>
            <w:tcBorders>
              <w:top w:val="nil"/>
              <w:bottom w:val="nil"/>
            </w:tcBorders>
            <w:tcMar>
              <w:left w:w="28" w:type="dxa"/>
              <w:right w:w="28" w:type="dxa"/>
            </w:tcMar>
          </w:tcPr>
          <w:p w14:paraId="72E2C50E"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51AAB">
              <w:rPr>
                <w:iCs/>
                <w:vertAlign w:val="superscript"/>
              </w:rPr>
              <w:t>6</w:t>
            </w:r>
          </w:p>
        </w:tc>
      </w:tr>
      <w:tr w:rsidR="009E7F66" w:rsidRPr="00EA7B3F" w14:paraId="7EA645F5" w14:textId="77777777" w:rsidTr="00913D17">
        <w:tc>
          <w:tcPr>
            <w:tcW w:w="357" w:type="pct"/>
            <w:tcBorders>
              <w:top w:val="nil"/>
              <w:bottom w:val="nil"/>
            </w:tcBorders>
            <w:tcMar>
              <w:left w:w="28" w:type="dxa"/>
              <w:right w:w="28" w:type="dxa"/>
            </w:tcMar>
          </w:tcPr>
          <w:p w14:paraId="43E51760"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46BEA4AD" w14:textId="77777777" w:rsidR="009E7F66" w:rsidRPr="00EA7B3F" w:rsidRDefault="009E7F66" w:rsidP="004928B9">
            <w:pPr>
              <w:pStyle w:val="TableText0"/>
              <w:numPr>
                <w:ilvl w:val="0"/>
                <w:numId w:val="13"/>
              </w:numPr>
              <w:ind w:left="540"/>
              <w:rPr>
                <w:iCs/>
              </w:rPr>
            </w:pPr>
            <w:r w:rsidRPr="00EA7B3F">
              <w:rPr>
                <w:iCs/>
              </w:rPr>
              <w:t>50% Q2W, 50% Q4W (mean 19.5 doses/year)</w:t>
            </w:r>
          </w:p>
        </w:tc>
        <w:tc>
          <w:tcPr>
            <w:tcW w:w="550" w:type="pct"/>
            <w:tcBorders>
              <w:top w:val="nil"/>
              <w:bottom w:val="nil"/>
            </w:tcBorders>
            <w:tcMar>
              <w:left w:w="28" w:type="dxa"/>
              <w:right w:w="28" w:type="dxa"/>
            </w:tcMar>
          </w:tcPr>
          <w:p w14:paraId="1AC06E3F"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635221DA" w14:textId="77777777" w:rsidR="009E7F66" w:rsidRPr="00EA7B3F" w:rsidRDefault="009E7F66" w:rsidP="00FB6877">
            <w:pPr>
              <w:pStyle w:val="TableText0"/>
              <w:spacing w:after="20"/>
              <w:jc w:val="center"/>
              <w:rPr>
                <w:iCs/>
              </w:rPr>
            </w:pPr>
            <w:r w:rsidRPr="00EA7B3F">
              <w:t>0.2906</w:t>
            </w:r>
          </w:p>
        </w:tc>
        <w:tc>
          <w:tcPr>
            <w:tcW w:w="680" w:type="pct"/>
            <w:tcBorders>
              <w:top w:val="nil"/>
              <w:bottom w:val="nil"/>
            </w:tcBorders>
            <w:tcMar>
              <w:left w:w="28" w:type="dxa"/>
              <w:right w:w="28" w:type="dxa"/>
            </w:tcMar>
          </w:tcPr>
          <w:p w14:paraId="60E9A686"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51AAB">
              <w:rPr>
                <w:iCs/>
                <w:vertAlign w:val="superscript"/>
              </w:rPr>
              <w:t>5</w:t>
            </w:r>
          </w:p>
        </w:tc>
      </w:tr>
      <w:tr w:rsidR="009E7F66" w:rsidRPr="00EA7B3F" w14:paraId="1C8D74A5" w14:textId="77777777" w:rsidTr="00913D17">
        <w:tc>
          <w:tcPr>
            <w:tcW w:w="357" w:type="pct"/>
            <w:tcBorders>
              <w:top w:val="nil"/>
              <w:bottom w:val="nil"/>
            </w:tcBorders>
            <w:tcMar>
              <w:left w:w="28" w:type="dxa"/>
              <w:right w:w="28" w:type="dxa"/>
            </w:tcMar>
          </w:tcPr>
          <w:p w14:paraId="4BD6BBB1"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07EB6087" w14:textId="77777777" w:rsidR="009E7F66" w:rsidRPr="00EA7B3F" w:rsidRDefault="009E7F66" w:rsidP="004928B9">
            <w:pPr>
              <w:pStyle w:val="TableText0"/>
              <w:numPr>
                <w:ilvl w:val="0"/>
                <w:numId w:val="13"/>
              </w:numPr>
              <w:ind w:left="540"/>
              <w:rPr>
                <w:iCs/>
              </w:rPr>
            </w:pPr>
            <w:r w:rsidRPr="00EA7B3F">
              <w:rPr>
                <w:iCs/>
              </w:rPr>
              <w:t>75% Q2W, 25% Q4W (mean 22.75 doses/year)</w:t>
            </w:r>
          </w:p>
        </w:tc>
        <w:tc>
          <w:tcPr>
            <w:tcW w:w="550" w:type="pct"/>
            <w:tcBorders>
              <w:top w:val="nil"/>
              <w:bottom w:val="nil"/>
            </w:tcBorders>
            <w:tcMar>
              <w:left w:w="28" w:type="dxa"/>
              <w:right w:w="28" w:type="dxa"/>
            </w:tcMar>
          </w:tcPr>
          <w:p w14:paraId="6BE2CBBE"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76AF3AC5" w14:textId="77777777" w:rsidR="009E7F66" w:rsidRPr="00EA7B3F" w:rsidRDefault="009E7F66" w:rsidP="00FB6877">
            <w:pPr>
              <w:pStyle w:val="TableText0"/>
              <w:spacing w:after="20"/>
              <w:jc w:val="center"/>
              <w:rPr>
                <w:iCs/>
              </w:rPr>
            </w:pPr>
            <w:r w:rsidRPr="00EA7B3F">
              <w:t>0.2906</w:t>
            </w:r>
          </w:p>
        </w:tc>
        <w:tc>
          <w:tcPr>
            <w:tcW w:w="680" w:type="pct"/>
            <w:tcBorders>
              <w:top w:val="nil"/>
              <w:bottom w:val="nil"/>
            </w:tcBorders>
            <w:tcMar>
              <w:left w:w="28" w:type="dxa"/>
              <w:right w:w="28" w:type="dxa"/>
            </w:tcMar>
          </w:tcPr>
          <w:p w14:paraId="3B6E966C"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51AAB">
              <w:rPr>
                <w:iCs/>
                <w:vertAlign w:val="superscript"/>
              </w:rPr>
              <w:t>9</w:t>
            </w:r>
          </w:p>
        </w:tc>
      </w:tr>
      <w:tr w:rsidR="009E7F66" w:rsidRPr="00EA7B3F" w14:paraId="6FE5BD32" w14:textId="77777777" w:rsidTr="00913D17">
        <w:tc>
          <w:tcPr>
            <w:tcW w:w="357" w:type="pct"/>
            <w:tcBorders>
              <w:top w:val="nil"/>
              <w:bottom w:val="nil"/>
            </w:tcBorders>
            <w:tcMar>
              <w:left w:w="28" w:type="dxa"/>
              <w:right w:w="28" w:type="dxa"/>
            </w:tcMar>
          </w:tcPr>
          <w:p w14:paraId="79C09563"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6C2FE0B0" w14:textId="77777777" w:rsidR="009E7F66" w:rsidRPr="00EA7B3F" w:rsidRDefault="009E7F66" w:rsidP="004928B9">
            <w:pPr>
              <w:pStyle w:val="TableText0"/>
              <w:numPr>
                <w:ilvl w:val="0"/>
                <w:numId w:val="13"/>
              </w:numPr>
              <w:ind w:left="540"/>
              <w:rPr>
                <w:iCs/>
              </w:rPr>
            </w:pPr>
            <w:r w:rsidRPr="00EA7B3F">
              <w:rPr>
                <w:iCs/>
              </w:rPr>
              <w:t>100% Q2W (mean 26 doses/year)</w:t>
            </w:r>
          </w:p>
        </w:tc>
        <w:tc>
          <w:tcPr>
            <w:tcW w:w="550" w:type="pct"/>
            <w:tcBorders>
              <w:top w:val="nil"/>
              <w:bottom w:val="nil"/>
            </w:tcBorders>
            <w:tcMar>
              <w:left w:w="28" w:type="dxa"/>
              <w:right w:w="28" w:type="dxa"/>
            </w:tcMar>
          </w:tcPr>
          <w:p w14:paraId="03CBA52B"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368C2562" w14:textId="77777777" w:rsidR="009E7F66" w:rsidRPr="00EA7B3F" w:rsidRDefault="007F0F75" w:rsidP="00FB6877">
            <w:pPr>
              <w:pStyle w:val="TableText0"/>
              <w:spacing w:after="20"/>
              <w:jc w:val="center"/>
            </w:pPr>
            <w:r w:rsidRPr="00EA7B3F">
              <w:t>0.2906</w:t>
            </w:r>
          </w:p>
        </w:tc>
        <w:tc>
          <w:tcPr>
            <w:tcW w:w="680" w:type="pct"/>
            <w:tcBorders>
              <w:top w:val="nil"/>
              <w:bottom w:val="nil"/>
            </w:tcBorders>
            <w:tcMar>
              <w:left w:w="28" w:type="dxa"/>
              <w:right w:w="28" w:type="dxa"/>
            </w:tcMar>
          </w:tcPr>
          <w:p w14:paraId="3982F45F"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51AAB">
              <w:rPr>
                <w:iCs/>
                <w:vertAlign w:val="superscript"/>
              </w:rPr>
              <w:t>2</w:t>
            </w:r>
          </w:p>
        </w:tc>
      </w:tr>
      <w:tr w:rsidR="009E7F66" w:rsidRPr="00EA7B3F" w14:paraId="6B0EB4AF" w14:textId="77777777" w:rsidTr="00913D17">
        <w:tc>
          <w:tcPr>
            <w:tcW w:w="357" w:type="pct"/>
            <w:tcBorders>
              <w:top w:val="nil"/>
              <w:bottom w:val="nil"/>
            </w:tcBorders>
            <w:tcMar>
              <w:left w:w="28" w:type="dxa"/>
              <w:right w:w="28" w:type="dxa"/>
            </w:tcMar>
          </w:tcPr>
          <w:p w14:paraId="5B981B74"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75620761" w14:textId="77777777" w:rsidR="009E7F66" w:rsidRPr="00EA7B3F" w:rsidRDefault="009E7F66" w:rsidP="00FB6877">
            <w:pPr>
              <w:pStyle w:val="TableText0"/>
              <w:rPr>
                <w:vertAlign w:val="superscript"/>
              </w:rPr>
            </w:pPr>
            <w:r w:rsidRPr="00EA7B3F">
              <w:t xml:space="preserve">Applying RSA (use above 13 doses rebated at </w:t>
            </w:r>
            <w:r w:rsidR="006F5B4F">
              <w:rPr>
                <w:noProof/>
                <w:color w:val="000000"/>
                <w:highlight w:val="black"/>
              </w:rPr>
              <w:t>''''''</w:t>
            </w:r>
            <w:r w:rsidRPr="00EA7B3F">
              <w:t>%)</w:t>
            </w:r>
            <w:r w:rsidR="00392C6F" w:rsidRPr="00EA7B3F">
              <w:rPr>
                <w:vertAlign w:val="superscript"/>
              </w:rPr>
              <w:t>d</w:t>
            </w:r>
          </w:p>
        </w:tc>
        <w:tc>
          <w:tcPr>
            <w:tcW w:w="550" w:type="pct"/>
            <w:tcBorders>
              <w:top w:val="nil"/>
              <w:bottom w:val="nil"/>
            </w:tcBorders>
            <w:tcMar>
              <w:left w:w="28" w:type="dxa"/>
              <w:right w:w="28" w:type="dxa"/>
            </w:tcMar>
          </w:tcPr>
          <w:p w14:paraId="4CC21710" w14:textId="77777777" w:rsidR="009E7F66" w:rsidRPr="00EA7B3F" w:rsidRDefault="009E7F66" w:rsidP="00FB6877">
            <w:pPr>
              <w:pStyle w:val="TableText0"/>
              <w:spacing w:after="20"/>
              <w:jc w:val="center"/>
              <w:rPr>
                <w:iCs/>
              </w:rPr>
            </w:pPr>
          </w:p>
        </w:tc>
        <w:tc>
          <w:tcPr>
            <w:tcW w:w="550" w:type="pct"/>
            <w:tcBorders>
              <w:top w:val="nil"/>
              <w:bottom w:val="nil"/>
            </w:tcBorders>
            <w:tcMar>
              <w:left w:w="28" w:type="dxa"/>
              <w:right w:w="28" w:type="dxa"/>
            </w:tcMar>
          </w:tcPr>
          <w:p w14:paraId="4CFBA058" w14:textId="77777777" w:rsidR="009E7F66" w:rsidRPr="00EA7B3F" w:rsidRDefault="009E7F66" w:rsidP="00FB6877">
            <w:pPr>
              <w:pStyle w:val="TableText0"/>
              <w:spacing w:after="20"/>
              <w:jc w:val="center"/>
            </w:pPr>
          </w:p>
        </w:tc>
        <w:tc>
          <w:tcPr>
            <w:tcW w:w="680" w:type="pct"/>
            <w:tcBorders>
              <w:top w:val="nil"/>
              <w:bottom w:val="nil"/>
            </w:tcBorders>
            <w:tcMar>
              <w:left w:w="28" w:type="dxa"/>
              <w:right w:w="28" w:type="dxa"/>
            </w:tcMar>
          </w:tcPr>
          <w:p w14:paraId="6C434082" w14:textId="77777777" w:rsidR="009E7F66" w:rsidRPr="00EA7B3F" w:rsidRDefault="009E7F66" w:rsidP="00FB6877">
            <w:pPr>
              <w:pStyle w:val="TableText0"/>
              <w:spacing w:after="20"/>
              <w:jc w:val="center"/>
              <w:rPr>
                <w:iCs/>
              </w:rPr>
            </w:pPr>
          </w:p>
        </w:tc>
      </w:tr>
      <w:tr w:rsidR="009E7F66" w:rsidRPr="00EA7B3F" w14:paraId="2A6E425D" w14:textId="77777777" w:rsidTr="00913D17">
        <w:tc>
          <w:tcPr>
            <w:tcW w:w="357" w:type="pct"/>
            <w:tcBorders>
              <w:top w:val="nil"/>
              <w:bottom w:val="nil"/>
            </w:tcBorders>
            <w:tcMar>
              <w:left w:w="28" w:type="dxa"/>
              <w:right w:w="28" w:type="dxa"/>
            </w:tcMar>
          </w:tcPr>
          <w:p w14:paraId="2E368859"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7D199206" w14:textId="77777777" w:rsidR="009E7F66" w:rsidRPr="00EA7B3F" w:rsidRDefault="009E7F66" w:rsidP="004928B9">
            <w:pPr>
              <w:pStyle w:val="TableText0"/>
              <w:numPr>
                <w:ilvl w:val="0"/>
                <w:numId w:val="13"/>
              </w:numPr>
              <w:ind w:left="540"/>
              <w:rPr>
                <w:iCs/>
              </w:rPr>
            </w:pPr>
            <w:r w:rsidRPr="00EA7B3F">
              <w:rPr>
                <w:iCs/>
              </w:rPr>
              <w:t>23% Q2W, 77% Q4W ($152,779/patient/year)</w:t>
            </w:r>
          </w:p>
        </w:tc>
        <w:tc>
          <w:tcPr>
            <w:tcW w:w="550" w:type="pct"/>
            <w:tcBorders>
              <w:top w:val="nil"/>
              <w:bottom w:val="nil"/>
            </w:tcBorders>
            <w:tcMar>
              <w:left w:w="28" w:type="dxa"/>
              <w:right w:w="28" w:type="dxa"/>
            </w:tcMar>
          </w:tcPr>
          <w:p w14:paraId="5903EC42"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068B9864" w14:textId="77777777" w:rsidR="009E7F66" w:rsidRPr="00EA7B3F" w:rsidRDefault="009E7F66" w:rsidP="00FB6877">
            <w:pPr>
              <w:pStyle w:val="TableText0"/>
              <w:spacing w:after="20"/>
              <w:jc w:val="center"/>
            </w:pPr>
            <w:r w:rsidRPr="00EA7B3F">
              <w:t>0.2906</w:t>
            </w:r>
          </w:p>
        </w:tc>
        <w:tc>
          <w:tcPr>
            <w:tcW w:w="680" w:type="pct"/>
            <w:tcBorders>
              <w:top w:val="nil"/>
              <w:bottom w:val="nil"/>
            </w:tcBorders>
            <w:tcMar>
              <w:left w:w="28" w:type="dxa"/>
              <w:right w:w="28" w:type="dxa"/>
            </w:tcMar>
          </w:tcPr>
          <w:p w14:paraId="3461E3D5"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10</w:t>
            </w:r>
          </w:p>
        </w:tc>
      </w:tr>
      <w:tr w:rsidR="009E7F66" w:rsidRPr="00EA7B3F" w14:paraId="3741F661" w14:textId="77777777" w:rsidTr="00913D17">
        <w:tc>
          <w:tcPr>
            <w:tcW w:w="357" w:type="pct"/>
            <w:tcBorders>
              <w:top w:val="nil"/>
              <w:bottom w:val="nil"/>
            </w:tcBorders>
            <w:tcMar>
              <w:left w:w="28" w:type="dxa"/>
              <w:right w:w="28" w:type="dxa"/>
            </w:tcMar>
          </w:tcPr>
          <w:p w14:paraId="62F4B769"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612D17E0" w14:textId="77777777" w:rsidR="009E7F66" w:rsidRPr="00EA7B3F" w:rsidRDefault="009E7F66" w:rsidP="004928B9">
            <w:pPr>
              <w:pStyle w:val="TableText0"/>
              <w:numPr>
                <w:ilvl w:val="0"/>
                <w:numId w:val="13"/>
              </w:numPr>
              <w:ind w:left="540"/>
              <w:rPr>
                <w:iCs/>
              </w:rPr>
            </w:pPr>
            <w:r w:rsidRPr="00EA7B3F">
              <w:rPr>
                <w:iCs/>
              </w:rPr>
              <w:t>50% Q2W, 50% Q4W ($164,227/patient/year)</w:t>
            </w:r>
          </w:p>
        </w:tc>
        <w:tc>
          <w:tcPr>
            <w:tcW w:w="550" w:type="pct"/>
            <w:tcBorders>
              <w:top w:val="nil"/>
              <w:bottom w:val="nil"/>
            </w:tcBorders>
            <w:tcMar>
              <w:left w:w="28" w:type="dxa"/>
              <w:right w:w="28" w:type="dxa"/>
            </w:tcMar>
          </w:tcPr>
          <w:p w14:paraId="19F9D953"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2112FCAD" w14:textId="77777777" w:rsidR="009E7F66" w:rsidRPr="00EA7B3F" w:rsidRDefault="009E7F66" w:rsidP="00FB6877">
            <w:pPr>
              <w:pStyle w:val="TableText0"/>
              <w:spacing w:after="20"/>
              <w:jc w:val="center"/>
              <w:rPr>
                <w:iCs/>
              </w:rPr>
            </w:pPr>
            <w:r w:rsidRPr="00EA7B3F">
              <w:t>0.2906</w:t>
            </w:r>
          </w:p>
        </w:tc>
        <w:tc>
          <w:tcPr>
            <w:tcW w:w="680" w:type="pct"/>
            <w:tcBorders>
              <w:top w:val="nil"/>
              <w:bottom w:val="nil"/>
            </w:tcBorders>
            <w:tcMar>
              <w:left w:w="28" w:type="dxa"/>
              <w:right w:w="28" w:type="dxa"/>
            </w:tcMar>
          </w:tcPr>
          <w:p w14:paraId="7074432D"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6</w:t>
            </w:r>
          </w:p>
        </w:tc>
      </w:tr>
      <w:tr w:rsidR="009E7F66" w:rsidRPr="00EA7B3F" w14:paraId="1E5715D1" w14:textId="77777777" w:rsidTr="00913D17">
        <w:tc>
          <w:tcPr>
            <w:tcW w:w="357" w:type="pct"/>
            <w:tcBorders>
              <w:top w:val="nil"/>
              <w:bottom w:val="nil"/>
            </w:tcBorders>
            <w:tcMar>
              <w:left w:w="28" w:type="dxa"/>
              <w:right w:w="28" w:type="dxa"/>
            </w:tcMar>
          </w:tcPr>
          <w:p w14:paraId="7895C9C4"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256A5EF0" w14:textId="77777777" w:rsidR="009E7F66" w:rsidRPr="00EA7B3F" w:rsidRDefault="009E7F66" w:rsidP="004928B9">
            <w:pPr>
              <w:pStyle w:val="TableText0"/>
              <w:numPr>
                <w:ilvl w:val="0"/>
                <w:numId w:val="13"/>
              </w:numPr>
              <w:ind w:left="540"/>
              <w:rPr>
                <w:iCs/>
              </w:rPr>
            </w:pPr>
            <w:r w:rsidRPr="00EA7B3F">
              <w:rPr>
                <w:iCs/>
              </w:rPr>
              <w:t>75% Q2W, 25% Q4W ($174,788/patient/year)</w:t>
            </w:r>
          </w:p>
        </w:tc>
        <w:tc>
          <w:tcPr>
            <w:tcW w:w="550" w:type="pct"/>
            <w:tcBorders>
              <w:top w:val="nil"/>
              <w:bottom w:val="nil"/>
            </w:tcBorders>
            <w:tcMar>
              <w:left w:w="28" w:type="dxa"/>
              <w:right w:w="28" w:type="dxa"/>
            </w:tcMar>
          </w:tcPr>
          <w:p w14:paraId="7CC8E50A"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4207B841" w14:textId="77777777" w:rsidR="009E7F66" w:rsidRPr="00EA7B3F" w:rsidRDefault="009E7F66" w:rsidP="00FB6877">
            <w:pPr>
              <w:pStyle w:val="TableText0"/>
              <w:spacing w:after="20"/>
              <w:jc w:val="center"/>
              <w:rPr>
                <w:iCs/>
              </w:rPr>
            </w:pPr>
            <w:r w:rsidRPr="00EA7B3F">
              <w:t>0.2906</w:t>
            </w:r>
          </w:p>
        </w:tc>
        <w:tc>
          <w:tcPr>
            <w:tcW w:w="680" w:type="pct"/>
            <w:tcBorders>
              <w:top w:val="nil"/>
              <w:bottom w:val="nil"/>
            </w:tcBorders>
            <w:tcMar>
              <w:left w:w="28" w:type="dxa"/>
              <w:right w:w="28" w:type="dxa"/>
            </w:tcMar>
          </w:tcPr>
          <w:p w14:paraId="3D3466C3"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6</w:t>
            </w:r>
          </w:p>
        </w:tc>
      </w:tr>
      <w:tr w:rsidR="009E7F66" w:rsidRPr="00EA7B3F" w14:paraId="5887C2EA" w14:textId="77777777" w:rsidTr="00913D17">
        <w:tc>
          <w:tcPr>
            <w:tcW w:w="357" w:type="pct"/>
            <w:tcBorders>
              <w:top w:val="nil"/>
              <w:bottom w:val="nil"/>
            </w:tcBorders>
            <w:tcMar>
              <w:left w:w="28" w:type="dxa"/>
              <w:right w:w="28" w:type="dxa"/>
            </w:tcMar>
          </w:tcPr>
          <w:p w14:paraId="0DECB7A3" w14:textId="77777777" w:rsidR="009E7F66" w:rsidRPr="00EA7B3F" w:rsidRDefault="009E7F66" w:rsidP="00FB6877">
            <w:pPr>
              <w:pStyle w:val="TableText0"/>
            </w:pPr>
          </w:p>
        </w:tc>
        <w:tc>
          <w:tcPr>
            <w:tcW w:w="2863" w:type="pct"/>
            <w:tcBorders>
              <w:top w:val="nil"/>
              <w:bottom w:val="nil"/>
            </w:tcBorders>
            <w:tcMar>
              <w:left w:w="28" w:type="dxa"/>
              <w:right w:w="28" w:type="dxa"/>
            </w:tcMar>
          </w:tcPr>
          <w:p w14:paraId="4D4DB158" w14:textId="77777777" w:rsidR="009E7F66" w:rsidRPr="00EA7B3F" w:rsidRDefault="009E7F66" w:rsidP="004928B9">
            <w:pPr>
              <w:pStyle w:val="TableText0"/>
              <w:numPr>
                <w:ilvl w:val="0"/>
                <w:numId w:val="13"/>
              </w:numPr>
              <w:ind w:left="540"/>
              <w:rPr>
                <w:iCs/>
              </w:rPr>
            </w:pPr>
            <w:r w:rsidRPr="00EA7B3F">
              <w:rPr>
                <w:iCs/>
              </w:rPr>
              <w:t>100% Q2W ($</w:t>
            </w:r>
            <w:r w:rsidR="006F5B4F">
              <w:rPr>
                <w:iCs/>
                <w:noProof/>
                <w:color w:val="000000"/>
                <w:highlight w:val="black"/>
              </w:rPr>
              <w:t>'''''''''''''''''''''</w:t>
            </w:r>
            <w:r w:rsidRPr="00EA7B3F">
              <w:rPr>
                <w:iCs/>
              </w:rPr>
              <w:t>/patient/year)</w:t>
            </w:r>
          </w:p>
        </w:tc>
        <w:tc>
          <w:tcPr>
            <w:tcW w:w="550" w:type="pct"/>
            <w:tcBorders>
              <w:top w:val="nil"/>
              <w:bottom w:val="nil"/>
            </w:tcBorders>
            <w:tcMar>
              <w:left w:w="28" w:type="dxa"/>
              <w:right w:w="28" w:type="dxa"/>
            </w:tcMar>
          </w:tcPr>
          <w:p w14:paraId="38996199"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p>
        </w:tc>
        <w:tc>
          <w:tcPr>
            <w:tcW w:w="550" w:type="pct"/>
            <w:tcBorders>
              <w:top w:val="nil"/>
              <w:bottom w:val="nil"/>
            </w:tcBorders>
            <w:tcMar>
              <w:left w:w="28" w:type="dxa"/>
              <w:right w:w="28" w:type="dxa"/>
            </w:tcMar>
          </w:tcPr>
          <w:p w14:paraId="6F42023F" w14:textId="77777777" w:rsidR="009E7F66" w:rsidRPr="00EA7B3F" w:rsidRDefault="009E7F66" w:rsidP="00FB6877">
            <w:pPr>
              <w:pStyle w:val="TableText0"/>
              <w:spacing w:after="20"/>
              <w:jc w:val="center"/>
            </w:pPr>
            <w:r w:rsidRPr="00EA7B3F">
              <w:t>0.2906</w:t>
            </w:r>
          </w:p>
        </w:tc>
        <w:tc>
          <w:tcPr>
            <w:tcW w:w="680" w:type="pct"/>
            <w:tcBorders>
              <w:top w:val="nil"/>
              <w:bottom w:val="nil"/>
            </w:tcBorders>
            <w:tcMar>
              <w:left w:w="28" w:type="dxa"/>
              <w:right w:w="28" w:type="dxa"/>
            </w:tcMar>
          </w:tcPr>
          <w:p w14:paraId="525D18A8" w14:textId="77777777" w:rsidR="009E7F66" w:rsidRPr="00EA7B3F" w:rsidRDefault="009E7F66"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6</w:t>
            </w:r>
          </w:p>
        </w:tc>
      </w:tr>
      <w:tr w:rsidR="007C19DE" w:rsidRPr="00EA7B3F" w14:paraId="1C1653BE" w14:textId="77777777" w:rsidTr="00913D17">
        <w:tc>
          <w:tcPr>
            <w:tcW w:w="357" w:type="pct"/>
            <w:tcMar>
              <w:left w:w="28" w:type="dxa"/>
              <w:right w:w="28" w:type="dxa"/>
            </w:tcMar>
          </w:tcPr>
          <w:p w14:paraId="6B4D7BB3" w14:textId="77777777" w:rsidR="007C19DE" w:rsidRPr="00EA7B3F" w:rsidRDefault="007C19DE" w:rsidP="00FB6877">
            <w:pPr>
              <w:pStyle w:val="TableText0"/>
            </w:pPr>
            <w:r w:rsidRPr="00EA7B3F">
              <w:t>6</w:t>
            </w:r>
          </w:p>
        </w:tc>
        <w:tc>
          <w:tcPr>
            <w:tcW w:w="2863" w:type="pct"/>
            <w:tcMar>
              <w:left w:w="28" w:type="dxa"/>
              <w:right w:w="28" w:type="dxa"/>
            </w:tcMar>
          </w:tcPr>
          <w:p w14:paraId="168F6310" w14:textId="77777777" w:rsidR="007C19DE" w:rsidRPr="00EA7B3F" w:rsidRDefault="007C19DE" w:rsidP="00FB6877">
            <w:pPr>
              <w:pStyle w:val="TableText0"/>
            </w:pPr>
            <w:r w:rsidRPr="00EA7B3F">
              <w:t>LANA efficacy (Base case: 300 mg Q2W RRR 0.87299)</w:t>
            </w:r>
          </w:p>
          <w:p w14:paraId="15D818FC" w14:textId="77777777" w:rsidR="007C19DE" w:rsidRPr="00EA7B3F" w:rsidRDefault="007C19DE" w:rsidP="004928B9">
            <w:pPr>
              <w:pStyle w:val="TableText0"/>
              <w:numPr>
                <w:ilvl w:val="0"/>
                <w:numId w:val="14"/>
              </w:numPr>
              <w:ind w:left="518"/>
              <w:rPr>
                <w:iCs/>
              </w:rPr>
            </w:pPr>
            <w:r w:rsidRPr="00EA7B3F">
              <w:rPr>
                <w:iCs/>
              </w:rPr>
              <w:t>300 mg Q4W</w:t>
            </w:r>
            <w:r w:rsidR="006303A6" w:rsidRPr="00EA7B3F">
              <w:rPr>
                <w:iCs/>
              </w:rPr>
              <w:t xml:space="preserve"> </w:t>
            </w:r>
            <w:r w:rsidR="00405410" w:rsidRPr="00EA7B3F">
              <w:rPr>
                <w:iCs/>
              </w:rPr>
              <w:t xml:space="preserve">arm </w:t>
            </w:r>
            <w:r w:rsidR="006303A6" w:rsidRPr="00EA7B3F">
              <w:rPr>
                <w:iCs/>
              </w:rPr>
              <w:t>HELP trial</w:t>
            </w:r>
            <w:r w:rsidRPr="00EA7B3F">
              <w:rPr>
                <w:iCs/>
              </w:rPr>
              <w:t>: RRR 0.74169</w:t>
            </w:r>
          </w:p>
          <w:p w14:paraId="1E43298E" w14:textId="77777777" w:rsidR="007C19DE" w:rsidRPr="00EA7B3F" w:rsidRDefault="007C19DE" w:rsidP="004928B9">
            <w:pPr>
              <w:pStyle w:val="TableText0"/>
              <w:numPr>
                <w:ilvl w:val="0"/>
                <w:numId w:val="14"/>
              </w:numPr>
              <w:ind w:left="518"/>
              <w:rPr>
                <w:iCs/>
              </w:rPr>
            </w:pPr>
            <w:r w:rsidRPr="00EA7B3F">
              <w:rPr>
                <w:iCs/>
              </w:rPr>
              <w:t>Weighted 77%:23% Q4W:Q2W (RRR 0.77176)</w:t>
            </w:r>
            <w:r w:rsidR="00392C6F" w:rsidRPr="00EA7B3F">
              <w:rPr>
                <w:iCs/>
                <w:vertAlign w:val="superscript"/>
              </w:rPr>
              <w:t>c</w:t>
            </w:r>
          </w:p>
        </w:tc>
        <w:tc>
          <w:tcPr>
            <w:tcW w:w="550" w:type="pct"/>
            <w:tcMar>
              <w:left w:w="28" w:type="dxa"/>
              <w:right w:w="28" w:type="dxa"/>
            </w:tcMar>
          </w:tcPr>
          <w:p w14:paraId="119DF44C" w14:textId="77777777" w:rsidR="007C19DE" w:rsidRPr="00EA7B3F" w:rsidRDefault="007C19DE" w:rsidP="00FB6877">
            <w:pPr>
              <w:pStyle w:val="TableText0"/>
              <w:jc w:val="center"/>
            </w:pPr>
          </w:p>
          <w:p w14:paraId="73B1B490" w14:textId="77777777" w:rsidR="007C19DE" w:rsidRPr="00EA7B3F" w:rsidRDefault="007C19DE" w:rsidP="00FB6877">
            <w:pPr>
              <w:pStyle w:val="TableText0"/>
              <w:spacing w:after="20"/>
              <w:jc w:val="center"/>
              <w:rPr>
                <w:iCs/>
              </w:rPr>
            </w:pPr>
            <w:r w:rsidRPr="00EA7B3F">
              <w:rPr>
                <w:iCs/>
              </w:rPr>
              <w:t>$</w:t>
            </w:r>
            <w:r w:rsidR="006F5B4F">
              <w:rPr>
                <w:iCs/>
                <w:noProof/>
                <w:color w:val="000000"/>
                <w:highlight w:val="black"/>
              </w:rPr>
              <w:t>''''''''''''''''</w:t>
            </w:r>
          </w:p>
          <w:p w14:paraId="0368F7EB" w14:textId="77777777" w:rsidR="007C19DE" w:rsidRPr="00EA7B3F" w:rsidRDefault="007C19DE" w:rsidP="00FB6877">
            <w:pPr>
              <w:pStyle w:val="TableText0"/>
              <w:spacing w:after="20"/>
              <w:jc w:val="center"/>
              <w:rPr>
                <w:iCs/>
              </w:rPr>
            </w:pPr>
            <w:r w:rsidRPr="00EA7B3F">
              <w:rPr>
                <w:iCs/>
              </w:rPr>
              <w:t>$</w:t>
            </w:r>
            <w:r w:rsidR="006F5B4F">
              <w:rPr>
                <w:iCs/>
                <w:noProof/>
                <w:color w:val="000000"/>
                <w:highlight w:val="black"/>
              </w:rPr>
              <w:t>''''''''''''''''''</w:t>
            </w:r>
          </w:p>
        </w:tc>
        <w:tc>
          <w:tcPr>
            <w:tcW w:w="550" w:type="pct"/>
            <w:tcMar>
              <w:left w:w="28" w:type="dxa"/>
              <w:right w:w="28" w:type="dxa"/>
            </w:tcMar>
          </w:tcPr>
          <w:p w14:paraId="6CFBB2BB" w14:textId="77777777" w:rsidR="007C19DE" w:rsidRPr="00EA7B3F" w:rsidRDefault="007C19DE" w:rsidP="00FB6877">
            <w:pPr>
              <w:pStyle w:val="TableText0"/>
              <w:jc w:val="center"/>
            </w:pPr>
          </w:p>
          <w:p w14:paraId="0F04B143" w14:textId="77777777" w:rsidR="007C19DE" w:rsidRPr="00EA7B3F" w:rsidRDefault="007C19DE" w:rsidP="00FB6877">
            <w:pPr>
              <w:pStyle w:val="TableText0"/>
              <w:spacing w:after="20"/>
              <w:jc w:val="center"/>
              <w:rPr>
                <w:iCs/>
              </w:rPr>
            </w:pPr>
            <w:r w:rsidRPr="00EA7B3F">
              <w:rPr>
                <w:iCs/>
              </w:rPr>
              <w:t>0.2461</w:t>
            </w:r>
          </w:p>
          <w:p w14:paraId="42111E99" w14:textId="77777777" w:rsidR="007C19DE" w:rsidRPr="00EA7B3F" w:rsidRDefault="007C19DE" w:rsidP="00FB6877">
            <w:pPr>
              <w:pStyle w:val="TableText0"/>
              <w:spacing w:after="20"/>
              <w:jc w:val="center"/>
            </w:pPr>
            <w:r w:rsidRPr="00EA7B3F">
              <w:rPr>
                <w:iCs/>
              </w:rPr>
              <w:t>0.2514</w:t>
            </w:r>
          </w:p>
        </w:tc>
        <w:tc>
          <w:tcPr>
            <w:tcW w:w="680" w:type="pct"/>
            <w:tcMar>
              <w:left w:w="28" w:type="dxa"/>
              <w:right w:w="28" w:type="dxa"/>
            </w:tcMar>
          </w:tcPr>
          <w:p w14:paraId="25CFA375" w14:textId="77777777" w:rsidR="007C19DE" w:rsidRPr="00EA7B3F" w:rsidRDefault="007C19DE" w:rsidP="00FB6877">
            <w:pPr>
              <w:pStyle w:val="TableText0"/>
              <w:jc w:val="center"/>
            </w:pPr>
          </w:p>
          <w:p w14:paraId="29BE8B1C" w14:textId="77777777" w:rsidR="007C19DE" w:rsidRPr="00EA7B3F" w:rsidRDefault="007C19DE"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6</w:t>
            </w:r>
          </w:p>
          <w:p w14:paraId="0DEB6F37" w14:textId="77777777" w:rsidR="007C19DE" w:rsidRPr="00EA7B3F" w:rsidRDefault="007C19DE" w:rsidP="00FB6877">
            <w:pPr>
              <w:pStyle w:val="TableText0"/>
              <w:spacing w:after="20"/>
              <w:jc w:val="center"/>
              <w:rPr>
                <w:iCs/>
              </w:rPr>
            </w:pPr>
            <w:r w:rsidRPr="00EA7B3F">
              <w:rPr>
                <w:iCs/>
              </w:rPr>
              <w:t>$</w:t>
            </w:r>
            <w:r w:rsidR="006F5B4F">
              <w:rPr>
                <w:iCs/>
                <w:noProof/>
                <w:color w:val="000000"/>
                <w:highlight w:val="black"/>
              </w:rPr>
              <w:t>'''''''''''''''''</w:t>
            </w:r>
            <w:r w:rsidR="001B74AC">
              <w:rPr>
                <w:iCs/>
                <w:vertAlign w:val="superscript"/>
              </w:rPr>
              <w:t>6</w:t>
            </w:r>
          </w:p>
        </w:tc>
      </w:tr>
      <w:tr w:rsidR="007C19DE" w:rsidRPr="00EA7B3F" w14:paraId="62F0E72E" w14:textId="77777777" w:rsidTr="00913D17">
        <w:tc>
          <w:tcPr>
            <w:tcW w:w="357" w:type="pct"/>
            <w:tcBorders>
              <w:bottom w:val="nil"/>
            </w:tcBorders>
            <w:tcMar>
              <w:left w:w="28" w:type="dxa"/>
              <w:right w:w="28" w:type="dxa"/>
            </w:tcMar>
          </w:tcPr>
          <w:p w14:paraId="1F9773CC" w14:textId="77777777" w:rsidR="007C19DE" w:rsidRPr="00EA7B3F" w:rsidRDefault="007C19DE" w:rsidP="00FB6877">
            <w:pPr>
              <w:pStyle w:val="TableText0"/>
            </w:pPr>
            <w:r w:rsidRPr="00EA7B3F">
              <w:t>7</w:t>
            </w:r>
          </w:p>
        </w:tc>
        <w:tc>
          <w:tcPr>
            <w:tcW w:w="2863" w:type="pct"/>
            <w:tcBorders>
              <w:bottom w:val="nil"/>
            </w:tcBorders>
            <w:tcMar>
              <w:left w:w="28" w:type="dxa"/>
              <w:right w:w="28" w:type="dxa"/>
            </w:tcMar>
          </w:tcPr>
          <w:p w14:paraId="10420F70" w14:textId="77777777" w:rsidR="007C19DE" w:rsidRPr="00EA7B3F" w:rsidRDefault="007C19DE" w:rsidP="00FB6877">
            <w:pPr>
              <w:pStyle w:val="TableText0"/>
            </w:pPr>
            <w:r w:rsidRPr="00EA7B3F">
              <w:t>‘Between-attack’ utility values (Base case: no attacks 0.88; 1 attack/28 days 0.80; ≥2 attacks/28 days 0.64)</w:t>
            </w:r>
          </w:p>
        </w:tc>
        <w:tc>
          <w:tcPr>
            <w:tcW w:w="550" w:type="pct"/>
            <w:tcBorders>
              <w:bottom w:val="nil"/>
            </w:tcBorders>
            <w:tcMar>
              <w:left w:w="28" w:type="dxa"/>
              <w:right w:w="28" w:type="dxa"/>
            </w:tcMar>
          </w:tcPr>
          <w:p w14:paraId="5156E340" w14:textId="77777777" w:rsidR="007C19DE" w:rsidRPr="00EA7B3F" w:rsidRDefault="007C19DE" w:rsidP="00FB6877">
            <w:pPr>
              <w:pStyle w:val="TableText0"/>
              <w:jc w:val="center"/>
            </w:pPr>
          </w:p>
        </w:tc>
        <w:tc>
          <w:tcPr>
            <w:tcW w:w="550" w:type="pct"/>
            <w:tcBorders>
              <w:bottom w:val="nil"/>
            </w:tcBorders>
            <w:tcMar>
              <w:left w:w="28" w:type="dxa"/>
              <w:right w:w="28" w:type="dxa"/>
            </w:tcMar>
          </w:tcPr>
          <w:p w14:paraId="0D58E47F" w14:textId="77777777" w:rsidR="007C19DE" w:rsidRPr="00EA7B3F" w:rsidRDefault="007C19DE" w:rsidP="00FB6877">
            <w:pPr>
              <w:pStyle w:val="TableText0"/>
              <w:jc w:val="center"/>
            </w:pPr>
          </w:p>
        </w:tc>
        <w:tc>
          <w:tcPr>
            <w:tcW w:w="680" w:type="pct"/>
            <w:tcBorders>
              <w:bottom w:val="nil"/>
            </w:tcBorders>
            <w:tcMar>
              <w:left w:w="28" w:type="dxa"/>
              <w:right w:w="28" w:type="dxa"/>
            </w:tcMar>
          </w:tcPr>
          <w:p w14:paraId="2642923D" w14:textId="77777777" w:rsidR="007C19DE" w:rsidRPr="00EA7B3F" w:rsidRDefault="007C19DE" w:rsidP="00FB6877">
            <w:pPr>
              <w:pStyle w:val="TableText0"/>
              <w:jc w:val="center"/>
            </w:pPr>
          </w:p>
        </w:tc>
      </w:tr>
      <w:tr w:rsidR="007C19DE" w:rsidRPr="00EA7B3F" w14:paraId="3E5C0C98" w14:textId="77777777" w:rsidTr="00913D17">
        <w:tc>
          <w:tcPr>
            <w:tcW w:w="357" w:type="pct"/>
            <w:tcBorders>
              <w:top w:val="nil"/>
              <w:bottom w:val="single" w:sz="4" w:space="0" w:color="auto"/>
            </w:tcBorders>
            <w:tcMar>
              <w:left w:w="28" w:type="dxa"/>
              <w:right w:w="28" w:type="dxa"/>
            </w:tcMar>
          </w:tcPr>
          <w:p w14:paraId="4EE1B251" w14:textId="77777777" w:rsidR="007C19DE" w:rsidRPr="00EA7B3F" w:rsidRDefault="007C19DE" w:rsidP="00FB6877">
            <w:pPr>
              <w:pStyle w:val="TableText0"/>
            </w:pPr>
          </w:p>
        </w:tc>
        <w:tc>
          <w:tcPr>
            <w:tcW w:w="2863" w:type="pct"/>
            <w:tcBorders>
              <w:top w:val="nil"/>
              <w:bottom w:val="single" w:sz="4" w:space="0" w:color="auto"/>
            </w:tcBorders>
            <w:tcMar>
              <w:left w:w="28" w:type="dxa"/>
              <w:right w:w="28" w:type="dxa"/>
            </w:tcMar>
          </w:tcPr>
          <w:p w14:paraId="4382A8C3" w14:textId="77777777" w:rsidR="007C19DE" w:rsidRPr="00EA7B3F" w:rsidRDefault="007C19DE" w:rsidP="004928B9">
            <w:pPr>
              <w:pStyle w:val="TableText0"/>
              <w:numPr>
                <w:ilvl w:val="0"/>
                <w:numId w:val="10"/>
              </w:numPr>
              <w:ind w:left="540"/>
              <w:rPr>
                <w:iCs/>
              </w:rPr>
            </w:pPr>
            <w:r w:rsidRPr="00EA7B3F">
              <w:rPr>
                <w:iCs/>
              </w:rPr>
              <w:t>0.825 for 0 attacks, decreasing by 0.0043 for each additional attack per 28 days (Nordenfelt 2014)</w:t>
            </w:r>
            <w:r w:rsidR="00193383" w:rsidRPr="00EA7B3F">
              <w:rPr>
                <w:iCs/>
                <w:vertAlign w:val="superscript"/>
              </w:rPr>
              <w:t>e</w:t>
            </w:r>
          </w:p>
        </w:tc>
        <w:tc>
          <w:tcPr>
            <w:tcW w:w="550" w:type="pct"/>
            <w:tcBorders>
              <w:top w:val="nil"/>
              <w:bottom w:val="single" w:sz="4" w:space="0" w:color="auto"/>
            </w:tcBorders>
            <w:tcMar>
              <w:left w:w="28" w:type="dxa"/>
              <w:right w:w="28" w:type="dxa"/>
            </w:tcMar>
            <w:vAlign w:val="bottom"/>
          </w:tcPr>
          <w:p w14:paraId="06912ACB" w14:textId="77777777" w:rsidR="007C19DE" w:rsidRPr="00EA7B3F" w:rsidRDefault="007C19DE" w:rsidP="00913D17">
            <w:pPr>
              <w:pStyle w:val="TableText0"/>
              <w:jc w:val="center"/>
            </w:pPr>
            <w:r w:rsidRPr="00EA7B3F">
              <w:t>$</w:t>
            </w:r>
            <w:r w:rsidR="006F5B4F">
              <w:rPr>
                <w:noProof/>
                <w:color w:val="000000"/>
                <w:highlight w:val="black"/>
              </w:rPr>
              <w:t>'''''''''''''''</w:t>
            </w:r>
          </w:p>
        </w:tc>
        <w:tc>
          <w:tcPr>
            <w:tcW w:w="550" w:type="pct"/>
            <w:tcBorders>
              <w:top w:val="nil"/>
              <w:bottom w:val="single" w:sz="4" w:space="0" w:color="auto"/>
            </w:tcBorders>
            <w:tcMar>
              <w:left w:w="28" w:type="dxa"/>
              <w:right w:w="28" w:type="dxa"/>
            </w:tcMar>
            <w:vAlign w:val="bottom"/>
          </w:tcPr>
          <w:p w14:paraId="0A235B15" w14:textId="77777777" w:rsidR="007C19DE" w:rsidRPr="00EA7B3F" w:rsidRDefault="007C19DE" w:rsidP="00913D17">
            <w:pPr>
              <w:pStyle w:val="TableText0"/>
              <w:jc w:val="center"/>
              <w:rPr>
                <w:iCs/>
              </w:rPr>
            </w:pPr>
            <w:r w:rsidRPr="00EA7B3F">
              <w:rPr>
                <w:iCs/>
              </w:rPr>
              <w:t>0.0930</w:t>
            </w:r>
          </w:p>
        </w:tc>
        <w:tc>
          <w:tcPr>
            <w:tcW w:w="680" w:type="pct"/>
            <w:tcBorders>
              <w:top w:val="nil"/>
              <w:bottom w:val="single" w:sz="4" w:space="0" w:color="auto"/>
            </w:tcBorders>
            <w:tcMar>
              <w:left w:w="28" w:type="dxa"/>
              <w:right w:w="28" w:type="dxa"/>
            </w:tcMar>
            <w:vAlign w:val="bottom"/>
          </w:tcPr>
          <w:p w14:paraId="0969E3FD" w14:textId="77777777" w:rsidR="007C19DE" w:rsidRPr="00EA7B3F" w:rsidRDefault="007C19DE" w:rsidP="00913D17">
            <w:pPr>
              <w:pStyle w:val="TableText0"/>
              <w:jc w:val="center"/>
              <w:rPr>
                <w:iCs/>
              </w:rPr>
            </w:pPr>
            <w:r w:rsidRPr="00EA7B3F">
              <w:rPr>
                <w:iCs/>
              </w:rPr>
              <w:t>$</w:t>
            </w:r>
            <w:r w:rsidR="006F5B4F">
              <w:rPr>
                <w:iCs/>
                <w:noProof/>
                <w:color w:val="000000"/>
                <w:highlight w:val="black"/>
              </w:rPr>
              <w:t>''''''''''''''''''''</w:t>
            </w:r>
            <w:r w:rsidR="001B74AC">
              <w:rPr>
                <w:iCs/>
                <w:vertAlign w:val="superscript"/>
              </w:rPr>
              <w:t>5</w:t>
            </w:r>
          </w:p>
        </w:tc>
      </w:tr>
      <w:tr w:rsidR="007C19DE" w:rsidRPr="00EA7B3F" w14:paraId="15BD24BB" w14:textId="77777777" w:rsidTr="00913D17">
        <w:tc>
          <w:tcPr>
            <w:tcW w:w="357" w:type="pct"/>
            <w:tcBorders>
              <w:top w:val="single" w:sz="4" w:space="0" w:color="auto"/>
              <w:bottom w:val="single" w:sz="4" w:space="0" w:color="auto"/>
            </w:tcBorders>
            <w:tcMar>
              <w:left w:w="28" w:type="dxa"/>
              <w:right w:w="28" w:type="dxa"/>
            </w:tcMar>
          </w:tcPr>
          <w:p w14:paraId="6C5BF916" w14:textId="77777777" w:rsidR="007C19DE" w:rsidRPr="00EA7B3F" w:rsidRDefault="007C19DE" w:rsidP="00FB6877">
            <w:pPr>
              <w:pStyle w:val="TableText0"/>
            </w:pPr>
            <w:r w:rsidRPr="00EA7B3F">
              <w:t>8</w:t>
            </w:r>
          </w:p>
        </w:tc>
        <w:tc>
          <w:tcPr>
            <w:tcW w:w="2863" w:type="pct"/>
            <w:tcBorders>
              <w:top w:val="single" w:sz="4" w:space="0" w:color="auto"/>
              <w:bottom w:val="single" w:sz="4" w:space="0" w:color="auto"/>
            </w:tcBorders>
            <w:tcMar>
              <w:left w:w="28" w:type="dxa"/>
              <w:right w:w="28" w:type="dxa"/>
            </w:tcMar>
          </w:tcPr>
          <w:p w14:paraId="1F6FA0FA" w14:textId="77777777" w:rsidR="007C19DE" w:rsidRPr="00EA7B3F" w:rsidRDefault="007C19DE" w:rsidP="00FB6877">
            <w:pPr>
              <w:pStyle w:val="TableText0"/>
              <w:rPr>
                <w:vertAlign w:val="superscript"/>
              </w:rPr>
            </w:pPr>
            <w:r w:rsidRPr="00EA7B3F">
              <w:t>Calculation of attacks/28 days (Base case rounded down)</w:t>
            </w:r>
            <w:r w:rsidR="00392C6F" w:rsidRPr="00EA7B3F">
              <w:rPr>
                <w:vertAlign w:val="superscript"/>
              </w:rPr>
              <w:t>f</w:t>
            </w:r>
          </w:p>
          <w:p w14:paraId="187F6486" w14:textId="77777777" w:rsidR="007C19DE" w:rsidRPr="00EA7B3F" w:rsidRDefault="007C19DE" w:rsidP="004928B9">
            <w:pPr>
              <w:pStyle w:val="TableText0"/>
              <w:numPr>
                <w:ilvl w:val="0"/>
                <w:numId w:val="10"/>
              </w:numPr>
              <w:ind w:left="540"/>
              <w:rPr>
                <w:iCs/>
              </w:rPr>
            </w:pPr>
            <w:r w:rsidRPr="00EA7B3F">
              <w:rPr>
                <w:iCs/>
              </w:rPr>
              <w:t>No rounding</w:t>
            </w:r>
          </w:p>
        </w:tc>
        <w:tc>
          <w:tcPr>
            <w:tcW w:w="550" w:type="pct"/>
            <w:tcBorders>
              <w:top w:val="single" w:sz="4" w:space="0" w:color="auto"/>
              <w:bottom w:val="single" w:sz="4" w:space="0" w:color="auto"/>
            </w:tcBorders>
            <w:tcMar>
              <w:left w:w="28" w:type="dxa"/>
              <w:right w:w="28" w:type="dxa"/>
            </w:tcMar>
          </w:tcPr>
          <w:p w14:paraId="6A402A04" w14:textId="77777777" w:rsidR="007C19DE" w:rsidRPr="00EA7B3F" w:rsidRDefault="007C19DE" w:rsidP="00FB6877">
            <w:pPr>
              <w:pStyle w:val="TableText0"/>
              <w:jc w:val="center"/>
            </w:pPr>
          </w:p>
          <w:p w14:paraId="3A98C447" w14:textId="77777777" w:rsidR="007C19DE" w:rsidRPr="00EA7B3F" w:rsidRDefault="007C19DE" w:rsidP="00FB6877">
            <w:pPr>
              <w:pStyle w:val="TableText0"/>
              <w:jc w:val="center"/>
            </w:pPr>
            <w:r w:rsidRPr="00EA7B3F">
              <w:t>$</w:t>
            </w:r>
            <w:r w:rsidR="006F5B4F">
              <w:rPr>
                <w:noProof/>
                <w:color w:val="000000"/>
                <w:highlight w:val="black"/>
              </w:rPr>
              <w:t>'''''''''''''''</w:t>
            </w:r>
          </w:p>
        </w:tc>
        <w:tc>
          <w:tcPr>
            <w:tcW w:w="550" w:type="pct"/>
            <w:tcBorders>
              <w:top w:val="single" w:sz="4" w:space="0" w:color="auto"/>
              <w:bottom w:val="single" w:sz="4" w:space="0" w:color="auto"/>
            </w:tcBorders>
            <w:tcMar>
              <w:left w:w="28" w:type="dxa"/>
              <w:right w:w="28" w:type="dxa"/>
            </w:tcMar>
          </w:tcPr>
          <w:p w14:paraId="11AEB60E" w14:textId="77777777" w:rsidR="007C19DE" w:rsidRPr="00EA7B3F" w:rsidRDefault="007C19DE" w:rsidP="00FB6877">
            <w:pPr>
              <w:pStyle w:val="TableText0"/>
              <w:jc w:val="center"/>
            </w:pPr>
          </w:p>
          <w:p w14:paraId="768AFDE4" w14:textId="77777777" w:rsidR="007C19DE" w:rsidRPr="00EA7B3F" w:rsidRDefault="007C19DE" w:rsidP="00FB6877">
            <w:pPr>
              <w:pStyle w:val="TableText0"/>
              <w:jc w:val="center"/>
              <w:rPr>
                <w:iCs/>
              </w:rPr>
            </w:pPr>
            <w:r w:rsidRPr="00EA7B3F">
              <w:rPr>
                <w:iCs/>
              </w:rPr>
              <w:t>0.2375</w:t>
            </w:r>
          </w:p>
        </w:tc>
        <w:tc>
          <w:tcPr>
            <w:tcW w:w="680" w:type="pct"/>
            <w:tcBorders>
              <w:top w:val="single" w:sz="4" w:space="0" w:color="auto"/>
              <w:bottom w:val="single" w:sz="4" w:space="0" w:color="auto"/>
            </w:tcBorders>
            <w:tcMar>
              <w:left w:w="28" w:type="dxa"/>
              <w:right w:w="28" w:type="dxa"/>
            </w:tcMar>
          </w:tcPr>
          <w:p w14:paraId="4D3B069E" w14:textId="77777777" w:rsidR="007C19DE" w:rsidRPr="00EA7B3F" w:rsidRDefault="007C19DE" w:rsidP="00FB6877">
            <w:pPr>
              <w:pStyle w:val="TableText0"/>
              <w:jc w:val="center"/>
            </w:pPr>
          </w:p>
          <w:p w14:paraId="6C79BFBA" w14:textId="77777777" w:rsidR="007C19DE" w:rsidRPr="00EA7B3F" w:rsidRDefault="007C19DE" w:rsidP="00FB6877">
            <w:pPr>
              <w:pStyle w:val="TableText0"/>
              <w:jc w:val="center"/>
              <w:rPr>
                <w:iCs/>
              </w:rPr>
            </w:pPr>
            <w:r w:rsidRPr="00EA7B3F">
              <w:rPr>
                <w:iCs/>
              </w:rPr>
              <w:t>$</w:t>
            </w:r>
            <w:r w:rsidR="006F5B4F">
              <w:rPr>
                <w:iCs/>
                <w:noProof/>
                <w:color w:val="000000"/>
                <w:highlight w:val="black"/>
              </w:rPr>
              <w:t>''''''''''''''''''</w:t>
            </w:r>
            <w:r w:rsidR="001B74AC">
              <w:rPr>
                <w:iCs/>
                <w:vertAlign w:val="superscript"/>
              </w:rPr>
              <w:t>10</w:t>
            </w:r>
          </w:p>
        </w:tc>
      </w:tr>
      <w:tr w:rsidR="007C19DE" w:rsidRPr="00EA7B3F" w14:paraId="4FB8F588" w14:textId="77777777" w:rsidTr="00913D17">
        <w:tc>
          <w:tcPr>
            <w:tcW w:w="357" w:type="pct"/>
            <w:tcBorders>
              <w:bottom w:val="nil"/>
            </w:tcBorders>
            <w:tcMar>
              <w:left w:w="28" w:type="dxa"/>
              <w:right w:w="28" w:type="dxa"/>
            </w:tcMar>
          </w:tcPr>
          <w:p w14:paraId="1436CB9D" w14:textId="77777777" w:rsidR="007C19DE" w:rsidRPr="00EA7B3F" w:rsidRDefault="007C19DE" w:rsidP="003D2164">
            <w:pPr>
              <w:pStyle w:val="TableText0"/>
              <w:keepNext w:val="0"/>
            </w:pPr>
            <w:r w:rsidRPr="00EA7B3F">
              <w:t>9</w:t>
            </w:r>
          </w:p>
        </w:tc>
        <w:tc>
          <w:tcPr>
            <w:tcW w:w="2863" w:type="pct"/>
            <w:tcBorders>
              <w:bottom w:val="nil"/>
            </w:tcBorders>
            <w:tcMar>
              <w:left w:w="28" w:type="dxa"/>
              <w:right w:w="28" w:type="dxa"/>
            </w:tcMar>
          </w:tcPr>
          <w:p w14:paraId="152E09EC" w14:textId="77777777" w:rsidR="007C19DE" w:rsidRPr="00EA7B3F" w:rsidRDefault="007C19DE" w:rsidP="003D2164">
            <w:pPr>
              <w:pStyle w:val="TableText0"/>
              <w:keepNext w:val="0"/>
            </w:pPr>
            <w:r w:rsidRPr="00EA7B3F">
              <w:t>QALY loss for HAE attack (base case: LANA 0.00099, SOC 0.00154)</w:t>
            </w:r>
          </w:p>
        </w:tc>
        <w:tc>
          <w:tcPr>
            <w:tcW w:w="550" w:type="pct"/>
            <w:tcBorders>
              <w:bottom w:val="nil"/>
            </w:tcBorders>
            <w:tcMar>
              <w:left w:w="28" w:type="dxa"/>
              <w:right w:w="28" w:type="dxa"/>
            </w:tcMar>
          </w:tcPr>
          <w:p w14:paraId="223F6BF1" w14:textId="77777777" w:rsidR="007C19DE" w:rsidRPr="00EA7B3F" w:rsidRDefault="007C19DE" w:rsidP="003D2164">
            <w:pPr>
              <w:pStyle w:val="TableText0"/>
              <w:keepNext w:val="0"/>
              <w:jc w:val="center"/>
            </w:pPr>
          </w:p>
        </w:tc>
        <w:tc>
          <w:tcPr>
            <w:tcW w:w="550" w:type="pct"/>
            <w:tcBorders>
              <w:bottom w:val="nil"/>
            </w:tcBorders>
            <w:tcMar>
              <w:left w:w="28" w:type="dxa"/>
              <w:right w:w="28" w:type="dxa"/>
            </w:tcMar>
          </w:tcPr>
          <w:p w14:paraId="761CC1C8" w14:textId="77777777" w:rsidR="007C19DE" w:rsidRPr="00EA7B3F" w:rsidRDefault="007C19DE" w:rsidP="003D2164">
            <w:pPr>
              <w:pStyle w:val="TableText0"/>
              <w:keepNext w:val="0"/>
              <w:jc w:val="center"/>
            </w:pPr>
          </w:p>
        </w:tc>
        <w:tc>
          <w:tcPr>
            <w:tcW w:w="680" w:type="pct"/>
            <w:tcBorders>
              <w:bottom w:val="nil"/>
            </w:tcBorders>
            <w:tcMar>
              <w:left w:w="28" w:type="dxa"/>
              <w:right w:w="28" w:type="dxa"/>
            </w:tcMar>
          </w:tcPr>
          <w:p w14:paraId="48430F90" w14:textId="77777777" w:rsidR="007C19DE" w:rsidRPr="00EA7B3F" w:rsidRDefault="007C19DE" w:rsidP="003D2164">
            <w:pPr>
              <w:pStyle w:val="TableText0"/>
              <w:keepNext w:val="0"/>
              <w:jc w:val="center"/>
            </w:pPr>
          </w:p>
        </w:tc>
      </w:tr>
      <w:tr w:rsidR="007C19DE" w:rsidRPr="00EA7B3F" w14:paraId="7F1FDF10" w14:textId="77777777" w:rsidTr="00913D17">
        <w:tc>
          <w:tcPr>
            <w:tcW w:w="357" w:type="pct"/>
            <w:tcBorders>
              <w:top w:val="nil"/>
              <w:bottom w:val="single" w:sz="4" w:space="0" w:color="auto"/>
            </w:tcBorders>
            <w:tcMar>
              <w:left w:w="28" w:type="dxa"/>
              <w:right w:w="28" w:type="dxa"/>
            </w:tcMar>
          </w:tcPr>
          <w:p w14:paraId="05B043AB" w14:textId="77777777" w:rsidR="007C19DE" w:rsidRPr="00EA7B3F" w:rsidRDefault="007C19DE" w:rsidP="003D2164">
            <w:pPr>
              <w:pStyle w:val="TableText0"/>
              <w:keepNext w:val="0"/>
            </w:pPr>
          </w:p>
        </w:tc>
        <w:tc>
          <w:tcPr>
            <w:tcW w:w="2863" w:type="pct"/>
            <w:tcBorders>
              <w:top w:val="nil"/>
              <w:bottom w:val="single" w:sz="4" w:space="0" w:color="auto"/>
            </w:tcBorders>
            <w:tcMar>
              <w:left w:w="28" w:type="dxa"/>
              <w:right w:w="28" w:type="dxa"/>
            </w:tcMar>
          </w:tcPr>
          <w:p w14:paraId="5620A1C1" w14:textId="77777777" w:rsidR="007C19DE" w:rsidRPr="00EA7B3F" w:rsidRDefault="007C19DE" w:rsidP="004928B9">
            <w:pPr>
              <w:pStyle w:val="TableText0"/>
              <w:keepNext w:val="0"/>
              <w:numPr>
                <w:ilvl w:val="0"/>
                <w:numId w:val="11"/>
              </w:numPr>
              <w:ind w:left="540"/>
            </w:pPr>
            <w:r w:rsidRPr="00EA7B3F">
              <w:t>No disutilities applied</w:t>
            </w:r>
          </w:p>
        </w:tc>
        <w:tc>
          <w:tcPr>
            <w:tcW w:w="550" w:type="pct"/>
            <w:tcBorders>
              <w:top w:val="nil"/>
              <w:bottom w:val="single" w:sz="4" w:space="0" w:color="auto"/>
            </w:tcBorders>
            <w:tcMar>
              <w:left w:w="28" w:type="dxa"/>
              <w:right w:w="28" w:type="dxa"/>
            </w:tcMar>
          </w:tcPr>
          <w:p w14:paraId="3CEA5084" w14:textId="77777777" w:rsidR="007C19DE" w:rsidRPr="00EA7B3F" w:rsidRDefault="007C19DE" w:rsidP="003D2164">
            <w:pPr>
              <w:pStyle w:val="TableText0"/>
              <w:keepNext w:val="0"/>
              <w:jc w:val="center"/>
            </w:pPr>
            <w:r w:rsidRPr="00EA7B3F">
              <w:t>$</w:t>
            </w:r>
            <w:r w:rsidR="006F5B4F">
              <w:rPr>
                <w:noProof/>
                <w:color w:val="000000"/>
                <w:highlight w:val="black"/>
              </w:rPr>
              <w:t>''''''''''''''''</w:t>
            </w:r>
          </w:p>
        </w:tc>
        <w:tc>
          <w:tcPr>
            <w:tcW w:w="550" w:type="pct"/>
            <w:tcBorders>
              <w:top w:val="nil"/>
              <w:bottom w:val="single" w:sz="4" w:space="0" w:color="auto"/>
            </w:tcBorders>
            <w:tcMar>
              <w:left w:w="28" w:type="dxa"/>
              <w:right w:w="28" w:type="dxa"/>
            </w:tcMar>
          </w:tcPr>
          <w:p w14:paraId="041FA4E9" w14:textId="77777777" w:rsidR="007C19DE" w:rsidRPr="00EA7B3F" w:rsidRDefault="004F029A" w:rsidP="003D2164">
            <w:pPr>
              <w:pStyle w:val="TableText0"/>
              <w:keepNext w:val="0"/>
              <w:jc w:val="center"/>
            </w:pPr>
            <w:r w:rsidRPr="00EA7B3F">
              <w:t>0.2131</w:t>
            </w:r>
          </w:p>
        </w:tc>
        <w:tc>
          <w:tcPr>
            <w:tcW w:w="680" w:type="pct"/>
            <w:tcBorders>
              <w:top w:val="nil"/>
              <w:bottom w:val="single" w:sz="4" w:space="0" w:color="auto"/>
            </w:tcBorders>
            <w:tcMar>
              <w:left w:w="28" w:type="dxa"/>
              <w:right w:w="28" w:type="dxa"/>
            </w:tcMar>
          </w:tcPr>
          <w:p w14:paraId="4D0620A9" w14:textId="77777777" w:rsidR="007C19DE" w:rsidRPr="00EA7B3F" w:rsidRDefault="007C19DE" w:rsidP="003D2164">
            <w:pPr>
              <w:pStyle w:val="TableText0"/>
              <w:keepNext w:val="0"/>
              <w:jc w:val="center"/>
            </w:pPr>
            <w:r w:rsidRPr="00EA7B3F">
              <w:t>$</w:t>
            </w:r>
            <w:r w:rsidR="006F5B4F">
              <w:rPr>
                <w:noProof/>
                <w:color w:val="000000"/>
                <w:highlight w:val="black"/>
              </w:rPr>
              <w:t>'''''''''''''''''''</w:t>
            </w:r>
            <w:r w:rsidR="001B74AC">
              <w:rPr>
                <w:iCs/>
                <w:vertAlign w:val="superscript"/>
              </w:rPr>
              <w:t>11</w:t>
            </w:r>
          </w:p>
        </w:tc>
      </w:tr>
      <w:tr w:rsidR="00C66087" w:rsidRPr="00EA7B3F" w14:paraId="26B24BA6" w14:textId="77777777" w:rsidTr="00913D17">
        <w:tc>
          <w:tcPr>
            <w:tcW w:w="357" w:type="pct"/>
            <w:tcBorders>
              <w:top w:val="single" w:sz="4" w:space="0" w:color="auto"/>
              <w:bottom w:val="nil"/>
            </w:tcBorders>
            <w:tcMar>
              <w:left w:w="28" w:type="dxa"/>
              <w:right w:w="28" w:type="dxa"/>
            </w:tcMar>
          </w:tcPr>
          <w:p w14:paraId="04BD69B1" w14:textId="77777777" w:rsidR="00C66087" w:rsidRPr="00EA7B3F" w:rsidRDefault="00C66087" w:rsidP="001B04C2">
            <w:pPr>
              <w:pStyle w:val="TableText0"/>
              <w:keepNext w:val="0"/>
            </w:pPr>
            <w:r w:rsidRPr="00EA7B3F">
              <w:t>10</w:t>
            </w:r>
          </w:p>
        </w:tc>
        <w:tc>
          <w:tcPr>
            <w:tcW w:w="2863" w:type="pct"/>
            <w:tcBorders>
              <w:top w:val="single" w:sz="4" w:space="0" w:color="auto"/>
              <w:bottom w:val="nil"/>
            </w:tcBorders>
            <w:tcMar>
              <w:left w:w="28" w:type="dxa"/>
              <w:right w:w="28" w:type="dxa"/>
            </w:tcMar>
          </w:tcPr>
          <w:p w14:paraId="718C6EF5" w14:textId="77777777" w:rsidR="00C66087" w:rsidRPr="00EA7B3F" w:rsidRDefault="00C66087" w:rsidP="006303A6">
            <w:pPr>
              <w:pStyle w:val="TableText0"/>
              <w:keepNext w:val="0"/>
            </w:pPr>
            <w:r w:rsidRPr="00EA7B3F">
              <w:t>Imputation of PBS icatibant data reported as &lt;5 syringes (base case imputed with 1 syringe)</w:t>
            </w:r>
          </w:p>
        </w:tc>
        <w:tc>
          <w:tcPr>
            <w:tcW w:w="550" w:type="pct"/>
            <w:tcBorders>
              <w:top w:val="single" w:sz="4" w:space="0" w:color="auto"/>
              <w:bottom w:val="nil"/>
            </w:tcBorders>
            <w:tcMar>
              <w:left w:w="28" w:type="dxa"/>
              <w:right w:w="28" w:type="dxa"/>
            </w:tcMar>
          </w:tcPr>
          <w:p w14:paraId="3389AE08" w14:textId="77777777" w:rsidR="00C66087" w:rsidRPr="00EA7B3F" w:rsidRDefault="00C66087" w:rsidP="001B04C2">
            <w:pPr>
              <w:pStyle w:val="TableText0"/>
              <w:keepNext w:val="0"/>
              <w:jc w:val="center"/>
            </w:pPr>
          </w:p>
        </w:tc>
        <w:tc>
          <w:tcPr>
            <w:tcW w:w="550" w:type="pct"/>
            <w:tcBorders>
              <w:top w:val="single" w:sz="4" w:space="0" w:color="auto"/>
              <w:bottom w:val="nil"/>
            </w:tcBorders>
            <w:tcMar>
              <w:left w:w="28" w:type="dxa"/>
              <w:right w:w="28" w:type="dxa"/>
            </w:tcMar>
          </w:tcPr>
          <w:p w14:paraId="43E63AA7" w14:textId="77777777" w:rsidR="00C66087" w:rsidRPr="00EA7B3F" w:rsidRDefault="00C66087" w:rsidP="001B04C2">
            <w:pPr>
              <w:pStyle w:val="TableText0"/>
              <w:keepNext w:val="0"/>
              <w:jc w:val="center"/>
            </w:pPr>
          </w:p>
        </w:tc>
        <w:tc>
          <w:tcPr>
            <w:tcW w:w="680" w:type="pct"/>
            <w:tcBorders>
              <w:top w:val="single" w:sz="4" w:space="0" w:color="auto"/>
              <w:bottom w:val="nil"/>
            </w:tcBorders>
            <w:tcMar>
              <w:left w:w="28" w:type="dxa"/>
              <w:right w:w="28" w:type="dxa"/>
            </w:tcMar>
          </w:tcPr>
          <w:p w14:paraId="7264F906" w14:textId="77777777" w:rsidR="00C66087" w:rsidRPr="00EA7B3F" w:rsidRDefault="00C66087" w:rsidP="001B04C2">
            <w:pPr>
              <w:pStyle w:val="TableText0"/>
              <w:keepNext w:val="0"/>
              <w:jc w:val="center"/>
            </w:pPr>
          </w:p>
        </w:tc>
      </w:tr>
      <w:tr w:rsidR="00C66087" w:rsidRPr="00EA7B3F" w14:paraId="40C83749" w14:textId="77777777" w:rsidTr="00913D17">
        <w:tc>
          <w:tcPr>
            <w:tcW w:w="357" w:type="pct"/>
            <w:tcBorders>
              <w:top w:val="nil"/>
              <w:bottom w:val="nil"/>
            </w:tcBorders>
            <w:tcMar>
              <w:left w:w="28" w:type="dxa"/>
              <w:right w:w="28" w:type="dxa"/>
            </w:tcMar>
            <w:vAlign w:val="center"/>
          </w:tcPr>
          <w:p w14:paraId="210CEB82" w14:textId="77777777" w:rsidR="00C66087" w:rsidRPr="00EA7B3F" w:rsidRDefault="00C66087" w:rsidP="001B04C2">
            <w:pPr>
              <w:pStyle w:val="TableText0"/>
              <w:keepNext w:val="0"/>
              <w:ind w:left="180"/>
            </w:pPr>
          </w:p>
        </w:tc>
        <w:tc>
          <w:tcPr>
            <w:tcW w:w="2863" w:type="pct"/>
            <w:tcBorders>
              <w:top w:val="nil"/>
              <w:bottom w:val="nil"/>
            </w:tcBorders>
            <w:tcMar>
              <w:left w:w="28" w:type="dxa"/>
              <w:right w:w="28" w:type="dxa"/>
            </w:tcMar>
          </w:tcPr>
          <w:p w14:paraId="07B3A9A8" w14:textId="77777777" w:rsidR="00C66087" w:rsidRPr="00EA7B3F" w:rsidRDefault="00C66087" w:rsidP="004928B9">
            <w:pPr>
              <w:pStyle w:val="TableText0"/>
              <w:keepNext w:val="0"/>
              <w:numPr>
                <w:ilvl w:val="0"/>
                <w:numId w:val="11"/>
              </w:numPr>
              <w:ind w:left="540"/>
            </w:pPr>
            <w:r w:rsidRPr="00EA7B3F">
              <w:t>&gt; 5 replaced with 2</w:t>
            </w:r>
          </w:p>
        </w:tc>
        <w:tc>
          <w:tcPr>
            <w:tcW w:w="550" w:type="pct"/>
            <w:tcBorders>
              <w:top w:val="nil"/>
              <w:bottom w:val="nil"/>
            </w:tcBorders>
            <w:tcMar>
              <w:left w:w="28" w:type="dxa"/>
              <w:right w:w="28" w:type="dxa"/>
            </w:tcMar>
          </w:tcPr>
          <w:p w14:paraId="128033D4" w14:textId="77777777" w:rsidR="00C66087" w:rsidRPr="00EA7B3F" w:rsidRDefault="00C66087" w:rsidP="001B04C2">
            <w:pPr>
              <w:pStyle w:val="TableText0"/>
              <w:keepNext w:val="0"/>
              <w:jc w:val="center"/>
            </w:pPr>
            <w:r w:rsidRPr="00EA7B3F">
              <w:t>$</w:t>
            </w:r>
            <w:r w:rsidR="006F5B4F">
              <w:rPr>
                <w:noProof/>
                <w:color w:val="000000"/>
                <w:highlight w:val="black"/>
              </w:rPr>
              <w:t>'''''''''''''''''</w:t>
            </w:r>
          </w:p>
        </w:tc>
        <w:tc>
          <w:tcPr>
            <w:tcW w:w="550" w:type="pct"/>
            <w:tcBorders>
              <w:top w:val="nil"/>
              <w:bottom w:val="nil"/>
            </w:tcBorders>
            <w:tcMar>
              <w:left w:w="28" w:type="dxa"/>
              <w:right w:w="28" w:type="dxa"/>
            </w:tcMar>
          </w:tcPr>
          <w:p w14:paraId="5B50FC6B" w14:textId="77777777" w:rsidR="00C66087" w:rsidRPr="00EA7B3F" w:rsidRDefault="00C66087" w:rsidP="001B04C2">
            <w:pPr>
              <w:pStyle w:val="TableText0"/>
              <w:keepNext w:val="0"/>
              <w:jc w:val="center"/>
            </w:pPr>
            <w:r w:rsidRPr="00EA7B3F">
              <w:t>0.2965</w:t>
            </w:r>
          </w:p>
        </w:tc>
        <w:tc>
          <w:tcPr>
            <w:tcW w:w="680" w:type="pct"/>
            <w:tcBorders>
              <w:top w:val="nil"/>
              <w:bottom w:val="nil"/>
            </w:tcBorders>
            <w:tcMar>
              <w:left w:w="28" w:type="dxa"/>
              <w:right w:w="28" w:type="dxa"/>
            </w:tcMar>
          </w:tcPr>
          <w:p w14:paraId="4CF07BBF" w14:textId="77777777" w:rsidR="00C66087" w:rsidRPr="00EA7B3F" w:rsidRDefault="00C66087" w:rsidP="001B04C2">
            <w:pPr>
              <w:pStyle w:val="TableText0"/>
              <w:keepNext w:val="0"/>
              <w:jc w:val="center"/>
            </w:pPr>
            <w:r w:rsidRPr="00EA7B3F">
              <w:t>$</w:t>
            </w:r>
            <w:r w:rsidR="006F5B4F">
              <w:rPr>
                <w:noProof/>
                <w:color w:val="000000"/>
                <w:highlight w:val="black"/>
              </w:rPr>
              <w:t>'''''''''''''''''''</w:t>
            </w:r>
            <w:r w:rsidR="001B74AC">
              <w:rPr>
                <w:iCs/>
                <w:vertAlign w:val="superscript"/>
              </w:rPr>
              <w:t>1</w:t>
            </w:r>
          </w:p>
        </w:tc>
      </w:tr>
      <w:tr w:rsidR="00C66087" w:rsidRPr="00EA7B3F" w14:paraId="617AF4F4" w14:textId="77777777" w:rsidTr="00913D17">
        <w:tc>
          <w:tcPr>
            <w:tcW w:w="357" w:type="pct"/>
            <w:tcBorders>
              <w:top w:val="nil"/>
              <w:bottom w:val="single" w:sz="4" w:space="0" w:color="auto"/>
            </w:tcBorders>
            <w:tcMar>
              <w:left w:w="28" w:type="dxa"/>
              <w:right w:w="28" w:type="dxa"/>
            </w:tcMar>
          </w:tcPr>
          <w:p w14:paraId="5BFDD0BF" w14:textId="77777777" w:rsidR="00C66087" w:rsidRPr="00EA7B3F" w:rsidRDefault="00C66087" w:rsidP="001B04C2">
            <w:pPr>
              <w:pStyle w:val="TableText0"/>
              <w:keepNext w:val="0"/>
            </w:pPr>
          </w:p>
        </w:tc>
        <w:tc>
          <w:tcPr>
            <w:tcW w:w="2863" w:type="pct"/>
            <w:tcBorders>
              <w:top w:val="nil"/>
              <w:bottom w:val="single" w:sz="4" w:space="0" w:color="auto"/>
            </w:tcBorders>
            <w:tcMar>
              <w:left w:w="28" w:type="dxa"/>
              <w:right w:w="28" w:type="dxa"/>
            </w:tcMar>
          </w:tcPr>
          <w:p w14:paraId="333E1870" w14:textId="77777777" w:rsidR="00C66087" w:rsidRPr="00EA7B3F" w:rsidRDefault="00C66087" w:rsidP="004928B9">
            <w:pPr>
              <w:pStyle w:val="TableText0"/>
              <w:keepNext w:val="0"/>
              <w:numPr>
                <w:ilvl w:val="0"/>
                <w:numId w:val="11"/>
              </w:numPr>
              <w:ind w:left="540"/>
            </w:pPr>
            <w:r w:rsidRPr="00EA7B3F">
              <w:t>&gt; 5 replaced with 4</w:t>
            </w:r>
          </w:p>
        </w:tc>
        <w:tc>
          <w:tcPr>
            <w:tcW w:w="550" w:type="pct"/>
            <w:tcBorders>
              <w:top w:val="nil"/>
              <w:bottom w:val="single" w:sz="4" w:space="0" w:color="auto"/>
            </w:tcBorders>
            <w:tcMar>
              <w:left w:w="28" w:type="dxa"/>
              <w:right w:w="28" w:type="dxa"/>
            </w:tcMar>
          </w:tcPr>
          <w:p w14:paraId="703C4D7D" w14:textId="77777777" w:rsidR="00C66087" w:rsidRPr="00EA7B3F" w:rsidRDefault="00C66087" w:rsidP="001B04C2">
            <w:pPr>
              <w:pStyle w:val="TableText0"/>
              <w:keepNext w:val="0"/>
              <w:jc w:val="center"/>
            </w:pPr>
            <w:r w:rsidRPr="00EA7B3F">
              <w:t>$</w:t>
            </w:r>
            <w:r w:rsidR="006F5B4F">
              <w:rPr>
                <w:noProof/>
                <w:color w:val="000000"/>
                <w:highlight w:val="black"/>
              </w:rPr>
              <w:t>'''''''''''''''</w:t>
            </w:r>
          </w:p>
        </w:tc>
        <w:tc>
          <w:tcPr>
            <w:tcW w:w="550" w:type="pct"/>
            <w:tcBorders>
              <w:top w:val="nil"/>
              <w:bottom w:val="single" w:sz="4" w:space="0" w:color="auto"/>
            </w:tcBorders>
            <w:tcMar>
              <w:left w:w="28" w:type="dxa"/>
              <w:right w:w="28" w:type="dxa"/>
            </w:tcMar>
          </w:tcPr>
          <w:p w14:paraId="54759537" w14:textId="77777777" w:rsidR="00C66087" w:rsidRPr="00EA7B3F" w:rsidRDefault="00C66087" w:rsidP="001B04C2">
            <w:pPr>
              <w:pStyle w:val="TableText0"/>
              <w:keepNext w:val="0"/>
              <w:jc w:val="center"/>
            </w:pPr>
            <w:r w:rsidRPr="00EA7B3F">
              <w:t>0.3001</w:t>
            </w:r>
          </w:p>
        </w:tc>
        <w:tc>
          <w:tcPr>
            <w:tcW w:w="680" w:type="pct"/>
            <w:tcBorders>
              <w:top w:val="nil"/>
              <w:bottom w:val="single" w:sz="4" w:space="0" w:color="auto"/>
            </w:tcBorders>
            <w:tcMar>
              <w:left w:w="28" w:type="dxa"/>
              <w:right w:w="28" w:type="dxa"/>
            </w:tcMar>
          </w:tcPr>
          <w:p w14:paraId="3DEA52E5" w14:textId="77777777" w:rsidR="00C66087" w:rsidRPr="00EA7B3F" w:rsidRDefault="00C66087" w:rsidP="001B04C2">
            <w:pPr>
              <w:pStyle w:val="TableText0"/>
              <w:keepNext w:val="0"/>
              <w:jc w:val="center"/>
            </w:pPr>
            <w:r w:rsidRPr="00EA7B3F">
              <w:t>$</w:t>
            </w:r>
            <w:r w:rsidR="006F5B4F">
              <w:rPr>
                <w:noProof/>
                <w:color w:val="000000"/>
                <w:highlight w:val="black"/>
              </w:rPr>
              <w:t>'''''''''''''''''</w:t>
            </w:r>
            <w:r w:rsidR="001B74AC">
              <w:rPr>
                <w:iCs/>
                <w:vertAlign w:val="superscript"/>
              </w:rPr>
              <w:t>1</w:t>
            </w:r>
          </w:p>
        </w:tc>
      </w:tr>
    </w:tbl>
    <w:p w14:paraId="451425B5" w14:textId="24EE6784" w:rsidR="007C19DE" w:rsidRPr="00EA7B3F" w:rsidRDefault="007C19DE" w:rsidP="007C19DE">
      <w:pPr>
        <w:pStyle w:val="TableFigureFooter"/>
      </w:pPr>
      <w:r w:rsidRPr="00EA7B3F">
        <w:t>Source:</w:t>
      </w:r>
      <w:r w:rsidR="00C94C76" w:rsidRPr="00EA7B3F">
        <w:t xml:space="preserve"> Table 16</w:t>
      </w:r>
      <w:r w:rsidR="00351591">
        <w:t xml:space="preserve"> </w:t>
      </w:r>
      <w:r w:rsidR="00C94C76" w:rsidRPr="00EA7B3F">
        <w:t>of the resubmission; Excel</w:t>
      </w:r>
      <w:r w:rsidRPr="00EA7B3F">
        <w:t xml:space="preserve"> workbook “LANA_REsubmisison_HAE_Sec3_CUA”</w:t>
      </w:r>
    </w:p>
    <w:p w14:paraId="30F76E44" w14:textId="77777777" w:rsidR="007C19DE" w:rsidRPr="00EA7B3F" w:rsidRDefault="007C19DE" w:rsidP="007C19DE">
      <w:pPr>
        <w:pStyle w:val="TableFigureFooter"/>
      </w:pPr>
      <w:r w:rsidRPr="00EA7B3F">
        <w:t xml:space="preserve">AAS = Angioedema Activity Score; CI = confidence interval; </w:t>
      </w:r>
      <w:r w:rsidR="007F58CF" w:rsidRPr="00EA7B3F">
        <w:t xml:space="preserve">HAE = hereditary angioedema; </w:t>
      </w:r>
      <w:r w:rsidRPr="00EA7B3F">
        <w:t>ICER = incremental cost-effectiveness ratio; LANA = lanadelumab; Q2W = every 2 weeks; Q4W = every 4 weeks; QALY = quality-adjusted life-years; RRR = relative risk reduction; RSA = risk sharing arrangement; SOC = standard of care.</w:t>
      </w:r>
    </w:p>
    <w:p w14:paraId="1F4DF48E" w14:textId="77777777" w:rsidR="007C19DE" w:rsidRPr="00EA7B3F" w:rsidRDefault="007C19DE" w:rsidP="00193383">
      <w:pPr>
        <w:pStyle w:val="TableFigureFooter"/>
        <w:ind w:left="142" w:hanging="142"/>
        <w:rPr>
          <w:iCs/>
        </w:rPr>
      </w:pPr>
      <w:r w:rsidRPr="00EA7B3F">
        <w:rPr>
          <w:iCs/>
          <w:vertAlign w:val="superscript"/>
        </w:rPr>
        <w:t>a</w:t>
      </w:r>
      <w:r w:rsidRPr="00EA7B3F">
        <w:rPr>
          <w:iCs/>
        </w:rPr>
        <w:t xml:space="preserve"> As these patients experienced, on average, more than 8 attacks per month, routine prophylaxis with C1-INH may be a more appropriate comp</w:t>
      </w:r>
      <w:r w:rsidR="006303A6" w:rsidRPr="00EA7B3F">
        <w:rPr>
          <w:iCs/>
        </w:rPr>
        <w:t>arator than SOC.</w:t>
      </w:r>
    </w:p>
    <w:p w14:paraId="0CABBADD" w14:textId="77777777" w:rsidR="00392C6F" w:rsidRPr="00EA7B3F" w:rsidRDefault="00392C6F" w:rsidP="00193383">
      <w:pPr>
        <w:pStyle w:val="TableFigureFooter"/>
        <w:ind w:left="142" w:hanging="142"/>
        <w:rPr>
          <w:iCs/>
        </w:rPr>
      </w:pPr>
      <w:r w:rsidRPr="00EA7B3F">
        <w:rPr>
          <w:iCs/>
          <w:vertAlign w:val="superscript"/>
        </w:rPr>
        <w:t>b</w:t>
      </w:r>
      <w:r w:rsidRPr="00EA7B3F">
        <w:rPr>
          <w:iCs/>
        </w:rPr>
        <w:t xml:space="preserve"> Calculated by applying the cost of lanadelumab per patient per year in Cell C38 of the ‘Inputs’ spreadsheet in the Excel workbook for Section 3, assuming a DPMQ of $</w:t>
      </w:r>
      <w:r w:rsidR="006F5B4F">
        <w:rPr>
          <w:iCs/>
          <w:noProof/>
          <w:color w:val="000000"/>
          <w:highlight w:val="black"/>
        </w:rPr>
        <w:t>''''''''''''''''''''''</w:t>
      </w:r>
      <w:r w:rsidRPr="00EA7B3F">
        <w:rPr>
          <w:iCs/>
        </w:rPr>
        <w:t xml:space="preserve"> for 2 syringes ($</w:t>
      </w:r>
      <w:r w:rsidR="006F5B4F">
        <w:rPr>
          <w:iCs/>
          <w:noProof/>
          <w:color w:val="000000"/>
          <w:highlight w:val="black"/>
        </w:rPr>
        <w:t>'''''''''''''''''''''''</w:t>
      </w:r>
      <w:r w:rsidRPr="00EA7B3F">
        <w:rPr>
          <w:iCs/>
        </w:rPr>
        <w:t xml:space="preserve">*2 + $161.16) </w:t>
      </w:r>
    </w:p>
    <w:p w14:paraId="332C6A81" w14:textId="77777777" w:rsidR="00392C6F" w:rsidRPr="00EA7B3F" w:rsidRDefault="00392C6F" w:rsidP="00392C6F">
      <w:pPr>
        <w:pStyle w:val="TableFigureFooter"/>
        <w:ind w:left="142" w:hanging="142"/>
        <w:rPr>
          <w:iCs/>
        </w:rPr>
      </w:pPr>
      <w:r w:rsidRPr="00EA7B3F">
        <w:rPr>
          <w:iCs/>
          <w:vertAlign w:val="superscript"/>
        </w:rPr>
        <w:t xml:space="preserve">c  </w:t>
      </w:r>
      <w:r w:rsidRPr="00EA7B3F">
        <w:rPr>
          <w:iCs/>
        </w:rPr>
        <w:t>Distribution of doses assumed in the July 2020 resubmission.</w:t>
      </w:r>
    </w:p>
    <w:p w14:paraId="49FEB5DF" w14:textId="77777777" w:rsidR="00193383" w:rsidRPr="00EA7B3F" w:rsidRDefault="00392C6F" w:rsidP="00392C6F">
      <w:pPr>
        <w:pStyle w:val="TableFigureFooter"/>
        <w:ind w:left="142" w:hanging="142"/>
        <w:rPr>
          <w:iCs/>
        </w:rPr>
      </w:pPr>
      <w:r w:rsidRPr="00EA7B3F">
        <w:rPr>
          <w:iCs/>
          <w:vertAlign w:val="superscript"/>
        </w:rPr>
        <w:t>d</w:t>
      </w:r>
      <w:r w:rsidR="00193383" w:rsidRPr="00EA7B3F">
        <w:rPr>
          <w:iCs/>
        </w:rPr>
        <w:t xml:space="preserve"> Cost of lanadelumab per patient per year</w:t>
      </w:r>
      <w:r w:rsidR="009E7F66" w:rsidRPr="00EA7B3F">
        <w:rPr>
          <w:iCs/>
        </w:rPr>
        <w:t>:</w:t>
      </w:r>
      <w:r w:rsidR="00193383" w:rsidRPr="00EA7B3F">
        <w:rPr>
          <w:iCs/>
        </w:rPr>
        <w:t xml:space="preserve"> </w:t>
      </w:r>
      <w:r w:rsidR="009E7F66" w:rsidRPr="00EA7B3F">
        <w:rPr>
          <w:iCs/>
        </w:rPr>
        <w:t>first 6.5 scripts (13 syringes) = (</w:t>
      </w:r>
      <w:r w:rsidR="00193383" w:rsidRPr="00EA7B3F">
        <w:rPr>
          <w:iCs/>
        </w:rPr>
        <w:t>$</w:t>
      </w:r>
      <w:r w:rsidR="006F5B4F">
        <w:rPr>
          <w:iCs/>
          <w:noProof/>
          <w:color w:val="000000"/>
          <w:highlight w:val="black"/>
        </w:rPr>
        <w:t>''''''''''''''''''''''''''</w:t>
      </w:r>
      <w:r w:rsidR="009E7F66" w:rsidRPr="00EA7B3F">
        <w:rPr>
          <w:iCs/>
        </w:rPr>
        <w:t xml:space="preserve">*2 </w:t>
      </w:r>
      <w:r w:rsidR="00193383" w:rsidRPr="00EA7B3F">
        <w:rPr>
          <w:iCs/>
        </w:rPr>
        <w:t>+</w:t>
      </w:r>
      <w:r w:rsidR="009E7F66" w:rsidRPr="00EA7B3F">
        <w:rPr>
          <w:iCs/>
        </w:rPr>
        <w:t xml:space="preserve"> </w:t>
      </w:r>
      <w:r w:rsidR="00193383" w:rsidRPr="00EA7B3F">
        <w:rPr>
          <w:iCs/>
        </w:rPr>
        <w:t>$161.16)</w:t>
      </w:r>
      <w:r w:rsidR="009E7F66" w:rsidRPr="00EA7B3F">
        <w:rPr>
          <w:iCs/>
        </w:rPr>
        <w:t>*6.5 = $143.105, all subsequent scripts (2 syringes per script) = ($</w:t>
      </w:r>
      <w:r w:rsidR="006F5B4F">
        <w:rPr>
          <w:iCs/>
          <w:noProof/>
          <w:color w:val="000000"/>
          <w:highlight w:val="black"/>
        </w:rPr>
        <w:t>''''''''''''''''''''''''''</w:t>
      </w:r>
      <w:r w:rsidR="009E7F66" w:rsidRPr="00EA7B3F">
        <w:rPr>
          <w:iCs/>
        </w:rPr>
        <w:t>*2*0.29 + $161.16)*x%*6.5 = $</w:t>
      </w:r>
      <w:r w:rsidR="006F5B4F">
        <w:rPr>
          <w:iCs/>
          <w:noProof/>
          <w:color w:val="000000"/>
          <w:highlight w:val="black"/>
        </w:rPr>
        <w:t>''''''''''''''''''''''</w:t>
      </w:r>
      <w:r w:rsidRPr="00EA7B3F">
        <w:rPr>
          <w:iCs/>
        </w:rPr>
        <w:t xml:space="preserve">*x%*6.5, where </w:t>
      </w:r>
      <w:r w:rsidR="00193383" w:rsidRPr="00EA7B3F">
        <w:rPr>
          <w:iCs/>
        </w:rPr>
        <w:t>x% = propor</w:t>
      </w:r>
      <w:r w:rsidRPr="00EA7B3F">
        <w:rPr>
          <w:iCs/>
        </w:rPr>
        <w:t>tion of patient</w:t>
      </w:r>
      <w:r w:rsidR="006303A6" w:rsidRPr="00EA7B3F">
        <w:rPr>
          <w:iCs/>
        </w:rPr>
        <w:t>s</w:t>
      </w:r>
      <w:r w:rsidRPr="00EA7B3F">
        <w:rPr>
          <w:iCs/>
        </w:rPr>
        <w:t xml:space="preserve"> receiving the Q2</w:t>
      </w:r>
      <w:r w:rsidR="00193383" w:rsidRPr="00EA7B3F">
        <w:rPr>
          <w:iCs/>
        </w:rPr>
        <w:t>W dose regimen, $</w:t>
      </w:r>
      <w:r w:rsidR="006F5B4F">
        <w:rPr>
          <w:iCs/>
          <w:noProof/>
          <w:color w:val="000000"/>
          <w:highlight w:val="black"/>
        </w:rPr>
        <w:t>''''''''''''''''''''''''</w:t>
      </w:r>
      <w:r w:rsidR="00193383" w:rsidRPr="00EA7B3F">
        <w:rPr>
          <w:iCs/>
        </w:rPr>
        <w:t xml:space="preserve"> is the proposed effective EMP for lanadelumab, and $161.1</w:t>
      </w:r>
      <w:r w:rsidRPr="00EA7B3F">
        <w:rPr>
          <w:iCs/>
        </w:rPr>
        <w:t>6 is the mark-ups and fees. The total</w:t>
      </w:r>
      <w:r w:rsidR="00193383" w:rsidRPr="00EA7B3F">
        <w:rPr>
          <w:iCs/>
        </w:rPr>
        <w:t xml:space="preserve"> cost was applied in Cell C38 of the ‘Inputs’ spreadsheet in the Excel workbook for Section 3.</w:t>
      </w:r>
    </w:p>
    <w:p w14:paraId="4B941223" w14:textId="77777777" w:rsidR="007C19DE" w:rsidRPr="00EA7B3F" w:rsidRDefault="00392C6F" w:rsidP="00193383">
      <w:pPr>
        <w:pStyle w:val="TableFigureFooter"/>
        <w:ind w:left="142" w:hanging="142"/>
        <w:rPr>
          <w:iCs/>
        </w:rPr>
      </w:pPr>
      <w:r w:rsidRPr="00EA7B3F">
        <w:rPr>
          <w:iCs/>
          <w:vertAlign w:val="superscript"/>
        </w:rPr>
        <w:t>e</w:t>
      </w:r>
      <w:r w:rsidR="007C19DE" w:rsidRPr="00EA7B3F">
        <w:rPr>
          <w:iCs/>
          <w:vertAlign w:val="superscript"/>
        </w:rPr>
        <w:t xml:space="preserve"> </w:t>
      </w:r>
      <w:r w:rsidR="007C19DE" w:rsidRPr="00EA7B3F">
        <w:rPr>
          <w:iCs/>
        </w:rPr>
        <w:t>Both the Institute of Clinical and Economic Review and CADTH applied the formula:  Utility = 0.825 – 0.043*#attacks – 0.2205* age, where #attacks was the mean number of attacks per month, and age was measured in increments of 10 years. This formula was based on the results reported in Nordenfelt 2014.</w:t>
      </w:r>
    </w:p>
    <w:p w14:paraId="0A88B8A9" w14:textId="77777777" w:rsidR="007C19DE" w:rsidRPr="00EA7B3F" w:rsidRDefault="00392C6F" w:rsidP="00193383">
      <w:pPr>
        <w:pStyle w:val="TableFigureFooter"/>
        <w:ind w:left="142" w:hanging="142"/>
      </w:pPr>
      <w:r w:rsidRPr="00EA7B3F">
        <w:rPr>
          <w:vertAlign w:val="superscript"/>
        </w:rPr>
        <w:t>f</w:t>
      </w:r>
      <w:r w:rsidR="00193383" w:rsidRPr="00EA7B3F">
        <w:rPr>
          <w:vertAlign w:val="superscript"/>
        </w:rPr>
        <w:t xml:space="preserve"> </w:t>
      </w:r>
      <w:r w:rsidR="007C19DE" w:rsidRPr="00EA7B3F">
        <w:t>In the base case, the number of attacks per 28 days was calculated from the number of attacks per year and rounded down to 0 decimal places (i.e. a whole number). The ‘between-attack’ utility was based on the number of treated attacks per 28 days, while the ‘in-attack’ disutility and the costs associated with treating acute attacks were based on the number of attacks per 12 months.</w:t>
      </w:r>
    </w:p>
    <w:p w14:paraId="3A20ED1B" w14:textId="77777777" w:rsidR="007C19DE" w:rsidRDefault="007C19DE" w:rsidP="007C19DE">
      <w:pPr>
        <w:pStyle w:val="TableFigureFooter"/>
        <w:rPr>
          <w:iCs/>
        </w:rPr>
      </w:pPr>
      <w:r w:rsidRPr="00EA7B3F">
        <w:rPr>
          <w:iCs/>
        </w:rPr>
        <w:t>Figures in italics were calculated during the evaluation using the Excel workbook “LANA_REsubmisison_HAE_Sec3_CUA”</w:t>
      </w:r>
    </w:p>
    <w:p w14:paraId="1C350A1D" w14:textId="77777777" w:rsidR="00351591" w:rsidRPr="001B74AC" w:rsidRDefault="00351591" w:rsidP="007C19DE">
      <w:pPr>
        <w:pStyle w:val="TableFigureFooter"/>
        <w:rPr>
          <w:i/>
          <w:iCs/>
        </w:rPr>
      </w:pPr>
      <w:r w:rsidRPr="001B74AC">
        <w:rPr>
          <w:i/>
          <w:iCs/>
        </w:rPr>
        <w:t>The redacted values correspond to the following ranges:</w:t>
      </w:r>
    </w:p>
    <w:p w14:paraId="39D1C431" w14:textId="77777777" w:rsidR="00351591" w:rsidRPr="001B74AC" w:rsidRDefault="00351591" w:rsidP="007C19DE">
      <w:pPr>
        <w:pStyle w:val="TableFigureFooter"/>
        <w:rPr>
          <w:i/>
          <w:iCs/>
        </w:rPr>
      </w:pPr>
      <w:r w:rsidRPr="001B74AC">
        <w:rPr>
          <w:i/>
          <w:iCs/>
          <w:vertAlign w:val="superscript"/>
        </w:rPr>
        <w:t>1</w:t>
      </w:r>
      <w:r w:rsidRPr="001B74AC">
        <w:rPr>
          <w:i/>
          <w:iCs/>
        </w:rPr>
        <w:t xml:space="preserve"> $95,000 to &lt; $115,000/QALY gained</w:t>
      </w:r>
    </w:p>
    <w:p w14:paraId="3F60547B" w14:textId="77777777" w:rsidR="00351591" w:rsidRPr="001B74AC" w:rsidRDefault="00351591" w:rsidP="007C19DE">
      <w:pPr>
        <w:pStyle w:val="TableFigureFooter"/>
        <w:rPr>
          <w:i/>
          <w:iCs/>
        </w:rPr>
      </w:pPr>
      <w:r w:rsidRPr="001B74AC">
        <w:rPr>
          <w:i/>
          <w:iCs/>
          <w:vertAlign w:val="superscript"/>
        </w:rPr>
        <w:t>2</w:t>
      </w:r>
      <w:r w:rsidRPr="001B74AC">
        <w:rPr>
          <w:i/>
          <w:iCs/>
        </w:rPr>
        <w:t xml:space="preserve"> $555,000 to &lt; $655,000/QALY gained</w:t>
      </w:r>
    </w:p>
    <w:p w14:paraId="6D95D3DD" w14:textId="77777777" w:rsidR="00351591" w:rsidRPr="001B74AC" w:rsidRDefault="00351591" w:rsidP="007C19DE">
      <w:pPr>
        <w:pStyle w:val="TableFigureFooter"/>
        <w:rPr>
          <w:i/>
          <w:iCs/>
        </w:rPr>
      </w:pPr>
      <w:r w:rsidRPr="001B74AC">
        <w:rPr>
          <w:i/>
          <w:iCs/>
          <w:vertAlign w:val="superscript"/>
        </w:rPr>
        <w:t>3</w:t>
      </w:r>
      <w:r w:rsidRPr="001B74AC">
        <w:rPr>
          <w:i/>
          <w:iCs/>
        </w:rPr>
        <w:t xml:space="preserve"> &gt; $1,055,000/QALY gained</w:t>
      </w:r>
    </w:p>
    <w:p w14:paraId="27EDB5AE" w14:textId="77777777" w:rsidR="00151AAB" w:rsidRPr="001B74AC" w:rsidRDefault="00151AAB" w:rsidP="007C19DE">
      <w:pPr>
        <w:pStyle w:val="TableFigureFooter"/>
        <w:rPr>
          <w:i/>
          <w:iCs/>
        </w:rPr>
      </w:pPr>
      <w:r w:rsidRPr="001B74AC">
        <w:rPr>
          <w:i/>
          <w:iCs/>
          <w:vertAlign w:val="superscript"/>
        </w:rPr>
        <w:t>4</w:t>
      </w:r>
      <w:r w:rsidRPr="001B74AC">
        <w:rPr>
          <w:i/>
          <w:iCs/>
        </w:rPr>
        <w:t xml:space="preserve"> $755,000 to &lt; $855,000/QALY gained</w:t>
      </w:r>
    </w:p>
    <w:p w14:paraId="655F995E" w14:textId="77777777" w:rsidR="00151AAB" w:rsidRPr="001B74AC" w:rsidRDefault="00151AAB" w:rsidP="007C19DE">
      <w:pPr>
        <w:pStyle w:val="TableFigureFooter"/>
        <w:rPr>
          <w:i/>
          <w:iCs/>
        </w:rPr>
      </w:pPr>
      <w:r w:rsidRPr="001B74AC">
        <w:rPr>
          <w:i/>
          <w:iCs/>
          <w:vertAlign w:val="superscript"/>
        </w:rPr>
        <w:t>5</w:t>
      </w:r>
      <w:r w:rsidRPr="001B74AC">
        <w:rPr>
          <w:i/>
          <w:iCs/>
        </w:rPr>
        <w:t xml:space="preserve"> $255,000 to &lt; $355,000/QALY gained </w:t>
      </w:r>
    </w:p>
    <w:p w14:paraId="1F8B9E17" w14:textId="77777777" w:rsidR="00151AAB" w:rsidRPr="001B74AC" w:rsidRDefault="00151AAB" w:rsidP="007C19DE">
      <w:pPr>
        <w:pStyle w:val="TableFigureFooter"/>
        <w:rPr>
          <w:i/>
          <w:iCs/>
        </w:rPr>
      </w:pPr>
      <w:r w:rsidRPr="001B74AC">
        <w:rPr>
          <w:i/>
          <w:iCs/>
          <w:vertAlign w:val="superscript"/>
        </w:rPr>
        <w:t>6</w:t>
      </w:r>
      <w:r w:rsidRPr="001B74AC">
        <w:rPr>
          <w:i/>
          <w:iCs/>
        </w:rPr>
        <w:t xml:space="preserve"> $155,000 to &lt; $255,000/QALY gained</w:t>
      </w:r>
    </w:p>
    <w:p w14:paraId="4A3CA442" w14:textId="77777777" w:rsidR="00151AAB" w:rsidRPr="001B74AC" w:rsidRDefault="00151AAB" w:rsidP="007C19DE">
      <w:pPr>
        <w:pStyle w:val="TableFigureFooter"/>
        <w:rPr>
          <w:i/>
          <w:iCs/>
        </w:rPr>
      </w:pPr>
      <w:r w:rsidRPr="001B74AC">
        <w:rPr>
          <w:i/>
          <w:iCs/>
          <w:vertAlign w:val="superscript"/>
        </w:rPr>
        <w:t>7</w:t>
      </w:r>
      <w:r w:rsidRPr="001B74AC">
        <w:rPr>
          <w:i/>
          <w:iCs/>
        </w:rPr>
        <w:t xml:space="preserve"> $55,000 to &lt; $75,000/QALY gained</w:t>
      </w:r>
    </w:p>
    <w:p w14:paraId="137651E5" w14:textId="77777777" w:rsidR="00151AAB" w:rsidRPr="001B74AC" w:rsidRDefault="00151AAB" w:rsidP="007C19DE">
      <w:pPr>
        <w:pStyle w:val="TableFigureFooter"/>
        <w:rPr>
          <w:i/>
          <w:iCs/>
        </w:rPr>
      </w:pPr>
      <w:r w:rsidRPr="001B74AC">
        <w:rPr>
          <w:i/>
          <w:iCs/>
          <w:vertAlign w:val="superscript"/>
        </w:rPr>
        <w:t>8</w:t>
      </w:r>
      <w:r w:rsidRPr="001B74AC">
        <w:rPr>
          <w:i/>
          <w:iCs/>
        </w:rPr>
        <w:t xml:space="preserve"> $0 to &lt; $5,000/QALY gained</w:t>
      </w:r>
    </w:p>
    <w:p w14:paraId="3D307078" w14:textId="77777777" w:rsidR="00151AAB" w:rsidRPr="001B74AC" w:rsidRDefault="00151AAB" w:rsidP="007C19DE">
      <w:pPr>
        <w:pStyle w:val="TableFigureFooter"/>
        <w:rPr>
          <w:i/>
          <w:iCs/>
        </w:rPr>
      </w:pPr>
      <w:r w:rsidRPr="001B74AC">
        <w:rPr>
          <w:i/>
          <w:iCs/>
          <w:vertAlign w:val="superscript"/>
        </w:rPr>
        <w:t>9</w:t>
      </w:r>
      <w:r w:rsidRPr="001B74AC">
        <w:rPr>
          <w:i/>
          <w:iCs/>
        </w:rPr>
        <w:t xml:space="preserve"> $455,000 to &lt; $555,000/QALY gained </w:t>
      </w:r>
    </w:p>
    <w:p w14:paraId="065780DE" w14:textId="77777777" w:rsidR="001B74AC" w:rsidRPr="001B74AC" w:rsidRDefault="001B74AC" w:rsidP="007C19DE">
      <w:pPr>
        <w:pStyle w:val="TableFigureFooter"/>
        <w:rPr>
          <w:i/>
          <w:iCs/>
        </w:rPr>
      </w:pPr>
      <w:r w:rsidRPr="001B74AC">
        <w:rPr>
          <w:i/>
          <w:iCs/>
          <w:vertAlign w:val="superscript"/>
        </w:rPr>
        <w:t>10</w:t>
      </w:r>
      <w:r w:rsidRPr="001B74AC">
        <w:rPr>
          <w:i/>
          <w:iCs/>
        </w:rPr>
        <w:t xml:space="preserve"> $115,000 to &lt; $135,000/QALY gained</w:t>
      </w:r>
    </w:p>
    <w:p w14:paraId="65F76CE2" w14:textId="77777777" w:rsidR="001B74AC" w:rsidRPr="001B74AC" w:rsidRDefault="001B74AC" w:rsidP="007C19DE">
      <w:pPr>
        <w:pStyle w:val="TableFigureFooter"/>
        <w:rPr>
          <w:i/>
          <w:iCs/>
        </w:rPr>
      </w:pPr>
      <w:r w:rsidRPr="001B74AC">
        <w:rPr>
          <w:i/>
          <w:iCs/>
          <w:vertAlign w:val="superscript"/>
        </w:rPr>
        <w:t>11</w:t>
      </w:r>
      <w:r w:rsidRPr="001B74AC">
        <w:rPr>
          <w:i/>
          <w:iCs/>
        </w:rPr>
        <w:t xml:space="preserve"> $135,000 to &lt; $155,000/QALY gained</w:t>
      </w:r>
    </w:p>
    <w:p w14:paraId="601908B2" w14:textId="22A7F8A9" w:rsidR="007C19DE" w:rsidRPr="00EA7B3F" w:rsidRDefault="007C19DE" w:rsidP="007C19DE">
      <w:pPr>
        <w:pStyle w:val="3-BodyText"/>
      </w:pPr>
      <w:r w:rsidRPr="00EA7B3F">
        <w:t xml:space="preserve">As in the previous resubmission, </w:t>
      </w:r>
      <w:r w:rsidRPr="00EA7B3F">
        <w:rPr>
          <w:iCs/>
        </w:rPr>
        <w:t xml:space="preserve">the sensitivity analyses demonstrate the considerable uncertainty in the estimated cost-effectiveness of lanadelumab for prophylaxis of HAE attacks. In particular, the results of the model were highly sensitive to the baseline rate of treated attacks, the proportion of patients who would receive the lower dose of lanadelumab, and the ‘between-attack’ utilities. </w:t>
      </w:r>
      <w:r w:rsidR="00106BDE" w:rsidRPr="00EA7B3F">
        <w:rPr>
          <w:iCs/>
        </w:rPr>
        <w:t>With the proposed</w:t>
      </w:r>
      <w:r w:rsidRPr="00EA7B3F">
        <w:rPr>
          <w:iCs/>
        </w:rPr>
        <w:t xml:space="preserve"> rebate of </w:t>
      </w:r>
      <w:r w:rsidR="006F5B4F">
        <w:rPr>
          <w:iCs/>
          <w:noProof/>
          <w:color w:val="000000"/>
          <w:highlight w:val="black"/>
        </w:rPr>
        <w:t>''''''</w:t>
      </w:r>
      <w:r w:rsidRPr="00EA7B3F">
        <w:rPr>
          <w:iCs/>
        </w:rPr>
        <w:t>% applied to use of lanadelumab above 13 syringes/patient/year, the ICER increased to $</w:t>
      </w:r>
      <w:r w:rsidR="00A711B3">
        <w:rPr>
          <w:iCs/>
        </w:rPr>
        <w:t>115,000 to &lt; $135,000</w:t>
      </w:r>
      <w:r w:rsidRPr="00EA7B3F">
        <w:rPr>
          <w:iCs/>
        </w:rPr>
        <w:t>/QALY when 23% of patients were assumed to receive the more frequent dose regimen of 300 mg Q2W.</w:t>
      </w:r>
    </w:p>
    <w:p w14:paraId="3B6F7266" w14:textId="77777777" w:rsidR="007C19DE" w:rsidRPr="00EA7B3F" w:rsidRDefault="007C19DE" w:rsidP="007C19DE">
      <w:pPr>
        <w:pStyle w:val="3-BodyText"/>
      </w:pPr>
      <w:r w:rsidRPr="00EA7B3F">
        <w:rPr>
          <w:iCs/>
        </w:rPr>
        <w:t>The impact of the baseline frequency of treated HAE attacks on the cost-effectiveness of lanadelumab for the prophylaxis of HAE attacks</w:t>
      </w:r>
      <w:r w:rsidR="00692EF8" w:rsidRPr="00EA7B3F">
        <w:rPr>
          <w:iCs/>
        </w:rPr>
        <w:t>, without rounding of the number of attacks per 28 days,</w:t>
      </w:r>
      <w:r w:rsidRPr="00EA7B3F">
        <w:rPr>
          <w:iCs/>
        </w:rPr>
        <w:t xml:space="preserve"> is illustrated below</w:t>
      </w:r>
      <w:r w:rsidR="00F53596" w:rsidRPr="00EA7B3F">
        <w:rPr>
          <w:iCs/>
        </w:rPr>
        <w:t xml:space="preserve"> (Figure 1)</w:t>
      </w:r>
      <w:r w:rsidRPr="00EA7B3F">
        <w:rPr>
          <w:iCs/>
        </w:rPr>
        <w:t>.</w:t>
      </w:r>
    </w:p>
    <w:p w14:paraId="3D8495D0" w14:textId="77777777" w:rsidR="00692EF8" w:rsidRPr="00EA7B3F" w:rsidRDefault="00692EF8" w:rsidP="00692EF8">
      <w:pPr>
        <w:pStyle w:val="TableFigureHeading"/>
      </w:pPr>
      <w:r w:rsidRPr="00EA7B3F">
        <w:t xml:space="preserve">Figure </w:t>
      </w:r>
      <w:r w:rsidR="00F53596" w:rsidRPr="00EA7B3F">
        <w:t>1</w:t>
      </w:r>
      <w:r w:rsidRPr="00EA7B3F">
        <w:t xml:space="preserve">: Impact of the baseline frequency of treated HAE attacks on the outcome of the economic model (without rounding of the number of attacks per 28 days) (effective price lanadelumab) </w:t>
      </w:r>
    </w:p>
    <w:p w14:paraId="22740F7A" w14:textId="77777777" w:rsidR="00692EF8" w:rsidRPr="00EA7B3F" w:rsidRDefault="00692EF8" w:rsidP="00692EF8">
      <w:pPr>
        <w:pStyle w:val="TableFigureFooter"/>
        <w:rPr>
          <w:i/>
        </w:rPr>
      </w:pPr>
      <w:r w:rsidRPr="00EA7B3F">
        <w:rPr>
          <w:i/>
          <w:noProof/>
        </w:rPr>
        <w:drawing>
          <wp:inline distT="0" distB="0" distL="0" distR="0" wp14:anchorId="45C21826" wp14:editId="157B57ED">
            <wp:extent cx="5314950" cy="3124200"/>
            <wp:effectExtent l="0" t="0" r="0" b="0"/>
            <wp:docPr id="7" name="Picture 7" title="Figure 1: Impact of the baseline frequency of treated HAE attacks on the outcome of the economic model (without rounding of the number of attacks per 28 days) (effective price lanadel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829" cy="3130007"/>
                    </a:xfrm>
                    <a:prstGeom prst="rect">
                      <a:avLst/>
                    </a:prstGeom>
                  </pic:spPr>
                </pic:pic>
              </a:graphicData>
            </a:graphic>
          </wp:inline>
        </w:drawing>
      </w:r>
    </w:p>
    <w:p w14:paraId="598276AA" w14:textId="77777777" w:rsidR="00692EF8" w:rsidRPr="00EA7B3F" w:rsidRDefault="00692EF8" w:rsidP="00692EF8">
      <w:pPr>
        <w:pStyle w:val="TableFigureFooter"/>
      </w:pPr>
      <w:r w:rsidRPr="00EA7B3F">
        <w:t xml:space="preserve">Source: Constructed during </w:t>
      </w:r>
      <w:r w:rsidR="00E5270C" w:rsidRPr="00EA7B3F">
        <w:t>preparation of the ESC advice</w:t>
      </w:r>
      <w:r w:rsidRPr="00EA7B3F">
        <w:t xml:space="preserve"> from data in the Excel workbook ‘LANA_Resubmission_Minor_HAE_Sec3_CUA’”</w:t>
      </w:r>
    </w:p>
    <w:p w14:paraId="7D0F2C33" w14:textId="77777777" w:rsidR="00692EF8" w:rsidRPr="00EA7B3F" w:rsidRDefault="00692EF8" w:rsidP="00692EF8">
      <w:pPr>
        <w:pStyle w:val="TableFigureFooter"/>
      </w:pPr>
      <w:r w:rsidRPr="00EA7B3F">
        <w:t>ICER = incremental cost-effectiveness ratio; HAE = hereditary angioedema; QALY = quality-adjusted life-year</w:t>
      </w:r>
    </w:p>
    <w:p w14:paraId="4A1F9591" w14:textId="77777777" w:rsidR="00692EF8" w:rsidRPr="00EA7B3F" w:rsidRDefault="00692EF8" w:rsidP="00692EF8">
      <w:pPr>
        <w:pStyle w:val="TableFigureFooter"/>
      </w:pPr>
      <w:r w:rsidRPr="00EA7B3F">
        <w:t>Note: the mean number of attacks requiring acute treatment in the model was 54.8 attacks per year; the mean number of attacks requiring acute treatment in the placebo arm of HELP was 1.64 per 4 weeks (approximately 21 per year).</w:t>
      </w:r>
    </w:p>
    <w:p w14:paraId="38B9AB07" w14:textId="77777777" w:rsidR="00B77246" w:rsidRPr="00EA7B3F" w:rsidRDefault="00B77246" w:rsidP="00B77246"/>
    <w:p w14:paraId="45E2ECBB" w14:textId="5FD5E069" w:rsidR="007C19DE" w:rsidRPr="00EA7B3F" w:rsidRDefault="00692EF8" w:rsidP="007C19DE">
      <w:pPr>
        <w:pStyle w:val="3-BodyText"/>
      </w:pPr>
      <w:r w:rsidRPr="00EA7B3F">
        <w:rPr>
          <w:iCs/>
        </w:rPr>
        <w:t>Without rounding</w:t>
      </w:r>
      <w:r w:rsidR="00934C12" w:rsidRPr="00EA7B3F">
        <w:rPr>
          <w:iCs/>
        </w:rPr>
        <w:t>,</w:t>
      </w:r>
      <w:r w:rsidRPr="00EA7B3F">
        <w:rPr>
          <w:iCs/>
        </w:rPr>
        <w:t xml:space="preserve"> the ICER in patients experiencing a baseline of 24 treated attacks per year was </w:t>
      </w:r>
      <w:r w:rsidR="00934C12" w:rsidRPr="00EA7B3F">
        <w:rPr>
          <w:iCs/>
        </w:rPr>
        <w:t>$</w:t>
      </w:r>
      <w:r w:rsidR="002360ED">
        <w:rPr>
          <w:iCs/>
        </w:rPr>
        <w:t>355,000 to &lt; $455,000</w:t>
      </w:r>
      <w:r w:rsidR="00934C12" w:rsidRPr="00EA7B3F">
        <w:rPr>
          <w:iCs/>
        </w:rPr>
        <w:t>/QALY gained. The ICER fell below $</w:t>
      </w:r>
      <w:r w:rsidR="002360ED">
        <w:rPr>
          <w:iCs/>
        </w:rPr>
        <w:t>95,000 to &lt; $115,000/QALY gained</w:t>
      </w:r>
      <w:r w:rsidR="00934C12" w:rsidRPr="00EA7B3F">
        <w:rPr>
          <w:iCs/>
        </w:rPr>
        <w:t xml:space="preserve"> at a baseline attack frequency of 58 treated attacks per year, with lanadelumab continuing to be dominant at baseline rates of &gt; 69 attacks per year.</w:t>
      </w:r>
    </w:p>
    <w:p w14:paraId="2DA09CD3" w14:textId="26A32C8B" w:rsidR="00422E4A" w:rsidRPr="00EA7B3F" w:rsidRDefault="00422E4A" w:rsidP="007C19DE">
      <w:pPr>
        <w:pStyle w:val="3-BodyText"/>
      </w:pPr>
      <w:r w:rsidRPr="00EA7B3F">
        <w:t xml:space="preserve">The ESC </w:t>
      </w:r>
      <w:r w:rsidR="0090776B" w:rsidRPr="00EA7B3F">
        <w:t xml:space="preserve">advised that there were some outstanding issues of uncertainty with the model. The ESC </w:t>
      </w:r>
      <w:r w:rsidRPr="00EA7B3F">
        <w:t>considered that a respecified base case should include no rounding in the calculation of the number of attacks per 28 days</w:t>
      </w:r>
      <w:r w:rsidR="002337F1" w:rsidRPr="00EA7B3F">
        <w:t>,</w:t>
      </w:r>
      <w:r w:rsidR="00F93DA9" w:rsidRPr="00EA7B3F">
        <w:t xml:space="preserve"> apply the weighted lanadelumab efficacy (0.77176)</w:t>
      </w:r>
      <w:r w:rsidR="002337F1" w:rsidRPr="00EA7B3F">
        <w:t>, and apply that 23% of patients received Q2W dosing</w:t>
      </w:r>
      <w:r w:rsidRPr="00EA7B3F">
        <w:t xml:space="preserve">. </w:t>
      </w:r>
      <w:r w:rsidR="00F55F69" w:rsidRPr="00EA7B3F">
        <w:t>The ICER for this scenario was $</w:t>
      </w:r>
      <w:r w:rsidR="002360ED">
        <w:t>155,000 to &lt; $255,000</w:t>
      </w:r>
      <w:r w:rsidR="00F55F69" w:rsidRPr="00EA7B3F">
        <w:t xml:space="preserve">/QALY. </w:t>
      </w:r>
      <w:r w:rsidRPr="00EA7B3F">
        <w:t>The ESC</w:t>
      </w:r>
      <w:r w:rsidR="00F93DA9" w:rsidRPr="00EA7B3F">
        <w:t xml:space="preserve"> further</w:t>
      </w:r>
      <w:r w:rsidRPr="00EA7B3F">
        <w:t xml:space="preserve"> considered </w:t>
      </w:r>
      <w:r w:rsidR="004A1A7C" w:rsidRPr="00EA7B3F">
        <w:t xml:space="preserve">that </w:t>
      </w:r>
      <w:r w:rsidR="00F93DA9" w:rsidRPr="00EA7B3F">
        <w:t xml:space="preserve">if the rebate for use </w:t>
      </w:r>
      <w:r w:rsidR="001B523C" w:rsidRPr="00EA7B3F">
        <w:t>in excess of</w:t>
      </w:r>
      <w:r w:rsidR="00F93DA9" w:rsidRPr="00EA7B3F">
        <w:t xml:space="preserve"> 13 injections per year was less </w:t>
      </w:r>
      <w:r w:rsidR="002337F1" w:rsidRPr="00EA7B3F">
        <w:t xml:space="preserve">than </w:t>
      </w:r>
      <w:r w:rsidR="006F5B4F">
        <w:rPr>
          <w:noProof/>
          <w:color w:val="000000"/>
          <w:highlight w:val="black"/>
        </w:rPr>
        <w:t>''''''''</w:t>
      </w:r>
      <w:r w:rsidR="00F93DA9" w:rsidRPr="00EA7B3F">
        <w:t>%</w:t>
      </w:r>
      <w:r w:rsidR="002337F1" w:rsidRPr="00EA7B3F">
        <w:t xml:space="preserve">, then </w:t>
      </w:r>
      <w:r w:rsidR="00F93DA9" w:rsidRPr="00EA7B3F">
        <w:t xml:space="preserve">the cost of the additional injections should be included in the model. If the rebate was </w:t>
      </w:r>
      <w:r w:rsidR="006F5B4F">
        <w:rPr>
          <w:noProof/>
          <w:color w:val="000000"/>
          <w:highlight w:val="black"/>
        </w:rPr>
        <w:t>'''''</w:t>
      </w:r>
      <w:r w:rsidR="00F93DA9" w:rsidRPr="00EA7B3F">
        <w:t>%</w:t>
      </w:r>
      <w:r w:rsidR="001B523C" w:rsidRPr="00EA7B3F">
        <w:t xml:space="preserve"> as proposed in the </w:t>
      </w:r>
      <w:r w:rsidR="00C6361E" w:rsidRPr="00EA7B3F">
        <w:t>re</w:t>
      </w:r>
      <w:r w:rsidR="001B523C" w:rsidRPr="00EA7B3F">
        <w:t>submission</w:t>
      </w:r>
      <w:r w:rsidR="00F93DA9" w:rsidRPr="00EA7B3F">
        <w:t xml:space="preserve">, the ICER would increase to </w:t>
      </w:r>
      <w:r w:rsidR="001B523C" w:rsidRPr="00EA7B3F">
        <w:t>$</w:t>
      </w:r>
      <w:r w:rsidR="002360ED">
        <w:t>255,000 to &lt; $355,000</w:t>
      </w:r>
      <w:r w:rsidR="001B523C" w:rsidRPr="00EA7B3F">
        <w:t xml:space="preserve">/QALY. </w:t>
      </w:r>
      <w:r w:rsidR="007A3DCE" w:rsidRPr="00EA7B3F">
        <w:t>The ESC further noted the optimistic between-attack utilities continued to be applied</w:t>
      </w:r>
      <w:r w:rsidR="007B4108" w:rsidRPr="00EA7B3F">
        <w:t xml:space="preserve"> as per the previous submission</w:t>
      </w:r>
      <w:r w:rsidR="00AC3709" w:rsidRPr="00EA7B3F">
        <w:t>.</w:t>
      </w:r>
      <w:r w:rsidR="00934C12" w:rsidRPr="00EA7B3F">
        <w:t xml:space="preserve"> The ESC considered that a price reduction would likely be required to </w:t>
      </w:r>
      <w:r w:rsidR="001A1ED4" w:rsidRPr="00EA7B3F">
        <w:t>obtain an ICER which was acceptable.</w:t>
      </w:r>
    </w:p>
    <w:p w14:paraId="05AD0ACB" w14:textId="66CA8752" w:rsidR="00612323" w:rsidRPr="00EA7B3F" w:rsidRDefault="00612323" w:rsidP="007C19DE">
      <w:pPr>
        <w:pStyle w:val="3-BodyText"/>
      </w:pPr>
      <w:r w:rsidRPr="00EA7B3F">
        <w:t>The pre-PBAC response provided an updated economic model which incorporated the two changes suggested by ESC, (i) removal of rounding in calculation of the number of attacks for 28 days; and (ii) application of the weighted lanadelumab efficacy. As noted above, these changes resulted in an ICER of $</w:t>
      </w:r>
      <w:r w:rsidR="002360ED">
        <w:t>155,000 to &lt; $255,000</w:t>
      </w:r>
      <w:r w:rsidRPr="00EA7B3F">
        <w:t xml:space="preserve"> per QALY. The pre-PBAC response then applied a price reduction of 17% to the effective DPMQ of lanadelumab, resulting in an ICER of $</w:t>
      </w:r>
      <w:r w:rsidR="002360ED">
        <w:t>95,000 to &lt; $115,000</w:t>
      </w:r>
      <w:r w:rsidRPr="00EA7B3F">
        <w:t xml:space="preserve"> per QALY.</w:t>
      </w:r>
    </w:p>
    <w:p w14:paraId="5A83D3CE" w14:textId="77777777" w:rsidR="007C19DE" w:rsidRPr="00EA7B3F" w:rsidRDefault="007C19DE" w:rsidP="007C19DE">
      <w:pPr>
        <w:pStyle w:val="4-SubsectionHeading"/>
      </w:pPr>
      <w:bookmarkStart w:id="20" w:name="_Toc72133180"/>
      <w:r w:rsidRPr="00EA7B3F">
        <w:t>Drug cost/patient/year</w:t>
      </w:r>
      <w:bookmarkEnd w:id="20"/>
    </w:p>
    <w:p w14:paraId="0E61594F" w14:textId="77777777" w:rsidR="00F25565" w:rsidRPr="00EA7B3F" w:rsidRDefault="007C19DE" w:rsidP="00CB44D1">
      <w:pPr>
        <w:pStyle w:val="3-BodyText"/>
        <w:rPr>
          <w:snapToGrid/>
        </w:rPr>
      </w:pPr>
      <w:r w:rsidRPr="00EA7B3F">
        <w:t xml:space="preserve">The </w:t>
      </w:r>
      <w:r w:rsidR="00965DA9">
        <w:t xml:space="preserve">resubmission estimated the </w:t>
      </w:r>
      <w:r w:rsidRPr="00EA7B3F">
        <w:t>expected cost of lanad</w:t>
      </w:r>
      <w:r w:rsidR="004701A4">
        <w:t xml:space="preserve">elumab per patient per year, </w:t>
      </w:r>
      <w:r w:rsidRPr="00EA7B3F">
        <w:t xml:space="preserve">estimated </w:t>
      </w:r>
      <w:r w:rsidR="004701A4">
        <w:t>as</w:t>
      </w:r>
      <w:r w:rsidRPr="00EA7B3F">
        <w:t xml:space="preserve"> $</w:t>
      </w:r>
      <w:r w:rsidR="006F5B4F">
        <w:rPr>
          <w:noProof/>
          <w:color w:val="000000"/>
          <w:highlight w:val="black"/>
        </w:rPr>
        <w:t>'''''''''''''''''''''</w:t>
      </w:r>
      <w:r w:rsidRPr="00EA7B3F">
        <w:t>. This was based on a proposed effective dispensed price of $</w:t>
      </w:r>
      <w:r w:rsidR="006F5B4F">
        <w:rPr>
          <w:noProof/>
          <w:color w:val="000000"/>
          <w:highlight w:val="black"/>
        </w:rPr>
        <w:t>'''''''''''''''''''''</w:t>
      </w:r>
      <w:r w:rsidRPr="00EA7B3F">
        <w:t xml:space="preserve"> (</w:t>
      </w:r>
      <w:r w:rsidR="002E2F3E" w:rsidRPr="00EA7B3F">
        <w:t>A</w:t>
      </w:r>
      <w:r w:rsidRPr="00EA7B3F">
        <w:t>EMP</w:t>
      </w:r>
      <w:r w:rsidR="002E2F3E" w:rsidRPr="00EA7B3F">
        <w:t xml:space="preserve"> =</w:t>
      </w:r>
      <w:r w:rsidRPr="00EA7B3F">
        <w:t xml:space="preserve"> $</w:t>
      </w:r>
      <w:r w:rsidR="006F5B4F">
        <w:rPr>
          <w:noProof/>
          <w:color w:val="000000"/>
          <w:highlight w:val="black"/>
        </w:rPr>
        <w:t>''''''''''''''''''''</w:t>
      </w:r>
      <w:r w:rsidRPr="00EA7B3F">
        <w:t xml:space="preserve">) for a 300 mg syringe, assuming the cost per patient is capped at the cost of </w:t>
      </w:r>
      <w:r w:rsidRPr="001D00AC">
        <w:t>13</w:t>
      </w:r>
      <w:r w:rsidRPr="00EA7B3F">
        <w:t xml:space="preserve"> syringes per year. This compared to an estimated cost/patient per year of $</w:t>
      </w:r>
      <w:r w:rsidR="006F5B4F">
        <w:rPr>
          <w:noProof/>
          <w:color w:val="000000"/>
          <w:highlight w:val="black"/>
        </w:rPr>
        <w:t>''''''''''''''''</w:t>
      </w:r>
      <w:r w:rsidRPr="00EA7B3F">
        <w:t xml:space="preserve"> in the previous submission, based on a proposed dispensed price of $</w:t>
      </w:r>
      <w:r w:rsidR="006F5B4F">
        <w:rPr>
          <w:noProof/>
          <w:color w:val="000000"/>
          <w:highlight w:val="black"/>
        </w:rPr>
        <w:t>'''''''''''''''''</w:t>
      </w:r>
      <w:r w:rsidRPr="00EA7B3F">
        <w:t xml:space="preserve"> (</w:t>
      </w:r>
      <w:r w:rsidR="00965DA9">
        <w:t>A</w:t>
      </w:r>
      <w:r w:rsidRPr="00EA7B3F">
        <w:t>EMP $</w:t>
      </w:r>
      <w:r w:rsidR="006F5B4F">
        <w:rPr>
          <w:noProof/>
          <w:color w:val="000000"/>
          <w:highlight w:val="black"/>
        </w:rPr>
        <w:t>'''''''''''''''''</w:t>
      </w:r>
      <w:r w:rsidRPr="00EA7B3F">
        <w:t xml:space="preserve">) for one 300 mg vial of lanadelumab, and a weighted mean of </w:t>
      </w:r>
      <w:r w:rsidR="006F5B4F">
        <w:rPr>
          <w:noProof/>
          <w:color w:val="000000"/>
          <w:highlight w:val="black"/>
        </w:rPr>
        <w:t>''''''''''</w:t>
      </w:r>
      <w:r w:rsidRPr="00EA7B3F">
        <w:t xml:space="preserve"> vials per patient per year.</w:t>
      </w:r>
    </w:p>
    <w:p w14:paraId="47ABEC83" w14:textId="77777777" w:rsidR="007C19DE" w:rsidRPr="00EA7B3F" w:rsidRDefault="007C19DE" w:rsidP="007C19DE">
      <w:pPr>
        <w:pStyle w:val="4-SubsectionHeading"/>
      </w:pPr>
      <w:bookmarkStart w:id="21" w:name="_Toc72133181"/>
      <w:r w:rsidRPr="00EA7B3F">
        <w:t>Estimated PBS usage &amp; financial implications</w:t>
      </w:r>
      <w:bookmarkEnd w:id="21"/>
    </w:p>
    <w:p w14:paraId="299D3C00" w14:textId="77777777" w:rsidR="007C19DE" w:rsidRPr="00EA7B3F" w:rsidRDefault="00965DA9" w:rsidP="007C19DE">
      <w:pPr>
        <w:pStyle w:val="3-BodyText"/>
      </w:pPr>
      <w:r>
        <w:t>DUSC did not consider t</w:t>
      </w:r>
      <w:r w:rsidRPr="00EA7B3F">
        <w:t xml:space="preserve">his </w:t>
      </w:r>
      <w:r w:rsidR="007A7EEB" w:rsidRPr="00EA7B3F">
        <w:t>re</w:t>
      </w:r>
      <w:r w:rsidR="007C19DE" w:rsidRPr="00EA7B3F">
        <w:t>submission.</w:t>
      </w:r>
    </w:p>
    <w:p w14:paraId="1013A0BF" w14:textId="77777777" w:rsidR="007C19DE" w:rsidRPr="00EA7B3F" w:rsidRDefault="007C19DE" w:rsidP="007C19DE">
      <w:pPr>
        <w:pStyle w:val="3-BodyText"/>
      </w:pPr>
      <w:r w:rsidRPr="00EA7B3F">
        <w:t>The resubmission estimated the use of lanadelumab in two patient populations, consistent with the two initial treatment restrictions proposed:</w:t>
      </w:r>
    </w:p>
    <w:p w14:paraId="5C0A8392" w14:textId="77777777" w:rsidR="007C19DE" w:rsidRPr="00EA7B3F" w:rsidRDefault="007C19DE" w:rsidP="004928B9">
      <w:pPr>
        <w:pStyle w:val="ListParagraph"/>
        <w:numPr>
          <w:ilvl w:val="0"/>
          <w:numId w:val="9"/>
        </w:numPr>
        <w:ind w:left="1080"/>
      </w:pPr>
      <w:r w:rsidRPr="00EA7B3F">
        <w:t>Patients who are currently treated with ODT (i.e. are not receiving routine prophylaxis with C1-INH) who qualify for lanadelumab under the proposed restriction requiring patients to have experienced at least 12 treated acute attacks of HAE within a period of 6 months (referred to as the SOC population in the resubmission). This would include patients eligible under the initial treatment 1 restriction and the grandfather provision (initial treatment 3); and</w:t>
      </w:r>
    </w:p>
    <w:p w14:paraId="1A665D1F" w14:textId="77777777" w:rsidR="007C19DE" w:rsidRPr="00EA7B3F" w:rsidRDefault="007C19DE" w:rsidP="004928B9">
      <w:pPr>
        <w:pStyle w:val="ListParagraph"/>
        <w:numPr>
          <w:ilvl w:val="0"/>
          <w:numId w:val="9"/>
        </w:numPr>
        <w:ind w:left="1080"/>
      </w:pPr>
      <w:r w:rsidRPr="00EA7B3F">
        <w:t>Patients receiving C1-INH as routine prophylaxis of HAE when lanadelumab is listed, who choose to switch to lanadelumab (referred to as the C1-INH population in the resubmission).</w:t>
      </w:r>
    </w:p>
    <w:p w14:paraId="640F2302" w14:textId="77777777" w:rsidR="007C19DE" w:rsidRPr="00EA7B3F" w:rsidRDefault="007C19DE" w:rsidP="007C19DE">
      <w:pPr>
        <w:pStyle w:val="3-BodyText"/>
        <w:rPr>
          <w:color w:val="000000" w:themeColor="text1"/>
        </w:rPr>
      </w:pPr>
      <w:r w:rsidRPr="00EA7B3F">
        <w:t>The key changes in the inputs between the current resubmission and the resubmission considered by the PBAC in July 2020 are summarised in the table below. The July 2020 resubmission effectively applied prevalence estimates as incidence estimates; this has been corrected in the current resubmission.</w:t>
      </w:r>
    </w:p>
    <w:p w14:paraId="33BEFF22" w14:textId="77777777" w:rsidR="007C19DE" w:rsidRPr="00EA7B3F" w:rsidRDefault="007C19DE" w:rsidP="007C19DE">
      <w:pPr>
        <w:pStyle w:val="TableFigureHeading"/>
      </w:pPr>
      <w:r w:rsidRPr="00EA7B3F">
        <w:t xml:space="preserve">Table </w:t>
      </w:r>
      <w:r w:rsidR="001972C4" w:rsidRPr="00EA7B3F">
        <w:t>9</w:t>
      </w:r>
      <w:r w:rsidRPr="00EA7B3F">
        <w:t>: Key differences in the inputs for the financial estimates between the resubmissions</w:t>
      </w:r>
    </w:p>
    <w:tbl>
      <w:tblPr>
        <w:tblStyle w:val="TableGrid"/>
        <w:tblW w:w="0" w:type="auto"/>
        <w:tblLook w:val="04A0" w:firstRow="1" w:lastRow="0" w:firstColumn="1" w:lastColumn="0" w:noHBand="0" w:noVBand="1"/>
        <w:tblCaption w:val="Table 9: Key differences in the inputs for the financial estimates between the resubmissions"/>
      </w:tblPr>
      <w:tblGrid>
        <w:gridCol w:w="2254"/>
        <w:gridCol w:w="2254"/>
        <w:gridCol w:w="2150"/>
        <w:gridCol w:w="2359"/>
      </w:tblGrid>
      <w:tr w:rsidR="007C19DE" w:rsidRPr="00EA7B3F" w14:paraId="0C48A655" w14:textId="77777777" w:rsidTr="00024A2B">
        <w:trPr>
          <w:tblHeader/>
        </w:trPr>
        <w:tc>
          <w:tcPr>
            <w:tcW w:w="2254" w:type="dxa"/>
            <w:tcMar>
              <w:left w:w="28" w:type="dxa"/>
              <w:right w:w="28" w:type="dxa"/>
            </w:tcMar>
          </w:tcPr>
          <w:p w14:paraId="414E9B69" w14:textId="77777777" w:rsidR="007C19DE" w:rsidRPr="00EA7B3F" w:rsidRDefault="007C19DE" w:rsidP="003D2164">
            <w:pPr>
              <w:pStyle w:val="In-tableHeading"/>
              <w:rPr>
                <w:lang w:val="en-AU"/>
              </w:rPr>
            </w:pPr>
            <w:r w:rsidRPr="00EA7B3F">
              <w:rPr>
                <w:lang w:val="en-AU"/>
              </w:rPr>
              <w:t>Parameter</w:t>
            </w:r>
          </w:p>
        </w:tc>
        <w:tc>
          <w:tcPr>
            <w:tcW w:w="2254" w:type="dxa"/>
            <w:tcMar>
              <w:left w:w="28" w:type="dxa"/>
              <w:right w:w="28" w:type="dxa"/>
            </w:tcMar>
          </w:tcPr>
          <w:p w14:paraId="7FACDFBC" w14:textId="77777777" w:rsidR="007C19DE" w:rsidRPr="00EA7B3F" w:rsidRDefault="007C19DE" w:rsidP="003D2164">
            <w:pPr>
              <w:pStyle w:val="In-tableHeading"/>
              <w:jc w:val="center"/>
              <w:rPr>
                <w:lang w:val="en-AU"/>
              </w:rPr>
            </w:pPr>
            <w:r w:rsidRPr="00EA7B3F">
              <w:rPr>
                <w:lang w:val="en-AU"/>
              </w:rPr>
              <w:t>July 2020 resubmission</w:t>
            </w:r>
          </w:p>
        </w:tc>
        <w:tc>
          <w:tcPr>
            <w:tcW w:w="2150" w:type="dxa"/>
            <w:tcMar>
              <w:left w:w="28" w:type="dxa"/>
              <w:right w:w="28" w:type="dxa"/>
            </w:tcMar>
          </w:tcPr>
          <w:p w14:paraId="26103246" w14:textId="77777777" w:rsidR="007C19DE" w:rsidRPr="00EA7B3F" w:rsidRDefault="007C19DE" w:rsidP="003D2164">
            <w:pPr>
              <w:pStyle w:val="In-tableHeading"/>
              <w:jc w:val="center"/>
              <w:rPr>
                <w:lang w:val="en-AU"/>
              </w:rPr>
            </w:pPr>
            <w:r w:rsidRPr="00EA7B3F">
              <w:rPr>
                <w:lang w:val="en-AU"/>
              </w:rPr>
              <w:t>Current resubmission</w:t>
            </w:r>
          </w:p>
        </w:tc>
        <w:tc>
          <w:tcPr>
            <w:tcW w:w="2359" w:type="dxa"/>
            <w:tcMar>
              <w:left w:w="28" w:type="dxa"/>
              <w:right w:w="28" w:type="dxa"/>
            </w:tcMar>
          </w:tcPr>
          <w:p w14:paraId="56656E63" w14:textId="77777777" w:rsidR="007C19DE" w:rsidRPr="00EA7B3F" w:rsidRDefault="007C19DE" w:rsidP="003D2164">
            <w:pPr>
              <w:pStyle w:val="In-tableHeading"/>
              <w:jc w:val="center"/>
              <w:rPr>
                <w:lang w:val="en-AU"/>
              </w:rPr>
            </w:pPr>
            <w:r w:rsidRPr="00EA7B3F">
              <w:rPr>
                <w:lang w:val="en-AU"/>
              </w:rPr>
              <w:t>Justification in resubmission</w:t>
            </w:r>
          </w:p>
        </w:tc>
      </w:tr>
      <w:tr w:rsidR="007C19DE" w:rsidRPr="00EA7B3F" w14:paraId="49851B8A" w14:textId="77777777" w:rsidTr="00F4016E">
        <w:tc>
          <w:tcPr>
            <w:tcW w:w="2254" w:type="dxa"/>
            <w:tcMar>
              <w:left w:w="28" w:type="dxa"/>
              <w:right w:w="28" w:type="dxa"/>
            </w:tcMar>
          </w:tcPr>
          <w:p w14:paraId="5A21C09A" w14:textId="77777777" w:rsidR="007C19DE" w:rsidRPr="00EA7B3F" w:rsidRDefault="007C19DE" w:rsidP="003D2164">
            <w:pPr>
              <w:pStyle w:val="TableText0"/>
            </w:pPr>
            <w:r w:rsidRPr="00EA7B3F">
              <w:t>Attack distribution and frequency (data source)</w:t>
            </w:r>
          </w:p>
        </w:tc>
        <w:tc>
          <w:tcPr>
            <w:tcW w:w="2254" w:type="dxa"/>
            <w:tcMar>
              <w:left w:w="28" w:type="dxa"/>
              <w:right w:w="28" w:type="dxa"/>
            </w:tcMar>
          </w:tcPr>
          <w:p w14:paraId="5BE6B6D9" w14:textId="77777777" w:rsidR="007C19DE" w:rsidRPr="00EA7B3F" w:rsidRDefault="007C19DE" w:rsidP="003D2164">
            <w:pPr>
              <w:pStyle w:val="TableText0"/>
            </w:pPr>
            <w:r w:rsidRPr="00EA7B3F">
              <w:t>Incident cohort (2012-2015)</w:t>
            </w:r>
          </w:p>
          <w:p w14:paraId="3D019A0B" w14:textId="77777777" w:rsidR="007C19DE" w:rsidRPr="00EA7B3F" w:rsidRDefault="007C19DE" w:rsidP="003D2164">
            <w:pPr>
              <w:pStyle w:val="TableText0"/>
            </w:pPr>
            <w:r w:rsidRPr="00EA7B3F">
              <w:t>N=11 patients</w:t>
            </w:r>
          </w:p>
          <w:p w14:paraId="017F7177" w14:textId="77777777" w:rsidR="007C19DE" w:rsidRPr="00EA7B3F" w:rsidRDefault="007C19DE" w:rsidP="003D2164">
            <w:pPr>
              <w:pStyle w:val="TableText0"/>
            </w:pPr>
            <w:r w:rsidRPr="00EA7B3F">
              <w:t>Mean 55.0 attacks/patient/</w:t>
            </w:r>
            <w:r w:rsidR="00913D17" w:rsidRPr="00EA7B3F">
              <w:t xml:space="preserve"> </w:t>
            </w:r>
            <w:r w:rsidRPr="00EA7B3F">
              <w:t>year</w:t>
            </w:r>
          </w:p>
          <w:p w14:paraId="11309110" w14:textId="77777777" w:rsidR="007C19DE" w:rsidRPr="00EA7B3F" w:rsidRDefault="007C19DE" w:rsidP="003D2164">
            <w:pPr>
              <w:pStyle w:val="TableText0"/>
            </w:pPr>
            <w:r w:rsidRPr="00EA7B3F">
              <w:t>Proportion ≥ 24 attacks per year: 4.5%</w:t>
            </w:r>
          </w:p>
        </w:tc>
        <w:tc>
          <w:tcPr>
            <w:tcW w:w="2150" w:type="dxa"/>
            <w:tcMar>
              <w:left w:w="28" w:type="dxa"/>
              <w:right w:w="28" w:type="dxa"/>
            </w:tcMar>
          </w:tcPr>
          <w:p w14:paraId="0F39DA73" w14:textId="77777777" w:rsidR="007C19DE" w:rsidRPr="00EA7B3F" w:rsidRDefault="007C19DE" w:rsidP="003D2164">
            <w:pPr>
              <w:pStyle w:val="TableText0"/>
            </w:pPr>
            <w:r w:rsidRPr="00EA7B3F">
              <w:t>Prevalent cohort (2016-2019)</w:t>
            </w:r>
          </w:p>
          <w:p w14:paraId="397E1F45" w14:textId="77777777" w:rsidR="007C19DE" w:rsidRPr="00EA7B3F" w:rsidRDefault="007C19DE" w:rsidP="003D2164">
            <w:pPr>
              <w:pStyle w:val="TableText0"/>
            </w:pPr>
            <w:r w:rsidRPr="00EA7B3F">
              <w:t>N=107 patient years</w:t>
            </w:r>
          </w:p>
          <w:p w14:paraId="36825FB7" w14:textId="77777777" w:rsidR="007C19DE" w:rsidRPr="00EA7B3F" w:rsidRDefault="007C19DE" w:rsidP="003D2164">
            <w:pPr>
              <w:pStyle w:val="TableText0"/>
            </w:pPr>
            <w:r w:rsidRPr="00EA7B3F">
              <w:t>Mean 54.8 attacks</w:t>
            </w:r>
            <w:r w:rsidR="00913D17" w:rsidRPr="00EA7B3F">
              <w:t>/</w:t>
            </w:r>
            <w:r w:rsidRPr="00EA7B3F">
              <w:t>patient</w:t>
            </w:r>
            <w:r w:rsidR="00913D17" w:rsidRPr="00EA7B3F">
              <w:t xml:space="preserve">/ </w:t>
            </w:r>
            <w:r w:rsidRPr="00EA7B3F">
              <w:t>year</w:t>
            </w:r>
          </w:p>
          <w:p w14:paraId="429EAFC5" w14:textId="77777777" w:rsidR="007C19DE" w:rsidRPr="00EA7B3F" w:rsidRDefault="007C19DE" w:rsidP="003D2164">
            <w:pPr>
              <w:pStyle w:val="TableText0"/>
            </w:pPr>
            <w:r w:rsidRPr="00EA7B3F">
              <w:t>Proportion ≥ 24 attacks per year: 13.86%</w:t>
            </w:r>
          </w:p>
        </w:tc>
        <w:tc>
          <w:tcPr>
            <w:tcW w:w="2359" w:type="dxa"/>
            <w:tcMar>
              <w:left w:w="28" w:type="dxa"/>
              <w:right w:w="28" w:type="dxa"/>
            </w:tcMar>
          </w:tcPr>
          <w:p w14:paraId="5CC9EC8F" w14:textId="77777777" w:rsidR="007C19DE" w:rsidRPr="00EA7B3F" w:rsidRDefault="007C19DE" w:rsidP="003D2164">
            <w:pPr>
              <w:pStyle w:val="TableText0"/>
            </w:pPr>
            <w:r w:rsidRPr="00EA7B3F">
              <w:t>DUSC data provided upon request from the sponsor</w:t>
            </w:r>
          </w:p>
        </w:tc>
      </w:tr>
      <w:tr w:rsidR="007C19DE" w:rsidRPr="00EA7B3F" w14:paraId="2035A85B" w14:textId="77777777" w:rsidTr="00F4016E">
        <w:tc>
          <w:tcPr>
            <w:tcW w:w="2254" w:type="dxa"/>
            <w:tcMar>
              <w:left w:w="28" w:type="dxa"/>
              <w:right w:w="28" w:type="dxa"/>
            </w:tcMar>
          </w:tcPr>
          <w:p w14:paraId="127E6510" w14:textId="77777777" w:rsidR="007C19DE" w:rsidRPr="00EA7B3F" w:rsidRDefault="007C19DE" w:rsidP="003D2164">
            <w:pPr>
              <w:pStyle w:val="TableText0"/>
            </w:pPr>
            <w:r w:rsidRPr="00EA7B3F">
              <w:t xml:space="preserve">Annual discontinuation </w:t>
            </w:r>
          </w:p>
        </w:tc>
        <w:tc>
          <w:tcPr>
            <w:tcW w:w="2254" w:type="dxa"/>
            <w:tcMar>
              <w:left w:w="28" w:type="dxa"/>
              <w:right w:w="28" w:type="dxa"/>
            </w:tcMar>
          </w:tcPr>
          <w:p w14:paraId="15F7C7D2" w14:textId="77777777" w:rsidR="007C19DE" w:rsidRPr="00EA7B3F" w:rsidRDefault="007C19DE" w:rsidP="003D2164">
            <w:pPr>
              <w:pStyle w:val="TableText0"/>
            </w:pPr>
            <w:r w:rsidRPr="00EA7B3F">
              <w:t>15%</w:t>
            </w:r>
          </w:p>
        </w:tc>
        <w:tc>
          <w:tcPr>
            <w:tcW w:w="2150" w:type="dxa"/>
            <w:tcMar>
              <w:left w:w="28" w:type="dxa"/>
              <w:right w:w="28" w:type="dxa"/>
            </w:tcMar>
          </w:tcPr>
          <w:p w14:paraId="5DB96ED2" w14:textId="77777777" w:rsidR="007C19DE" w:rsidRPr="00EA7B3F" w:rsidRDefault="007C19DE" w:rsidP="003D2164">
            <w:pPr>
              <w:pStyle w:val="TableText0"/>
            </w:pPr>
            <w:r w:rsidRPr="00EA7B3F">
              <w:t>0%</w:t>
            </w:r>
          </w:p>
        </w:tc>
        <w:tc>
          <w:tcPr>
            <w:tcW w:w="2359" w:type="dxa"/>
            <w:tcMar>
              <w:left w:w="28" w:type="dxa"/>
              <w:right w:w="28" w:type="dxa"/>
            </w:tcMar>
          </w:tcPr>
          <w:p w14:paraId="2DDD5C96" w14:textId="77777777" w:rsidR="007C19DE" w:rsidRPr="00EA7B3F" w:rsidRDefault="007C19DE" w:rsidP="003D2164">
            <w:pPr>
              <w:pStyle w:val="TableText0"/>
            </w:pPr>
            <w:r w:rsidRPr="00EA7B3F">
              <w:t>Application of prevalence estimate versus incidence</w:t>
            </w:r>
          </w:p>
        </w:tc>
      </w:tr>
      <w:tr w:rsidR="007C19DE" w:rsidRPr="00EA7B3F" w14:paraId="08A0C7CE" w14:textId="77777777" w:rsidTr="00F4016E">
        <w:tc>
          <w:tcPr>
            <w:tcW w:w="2254" w:type="dxa"/>
            <w:tcMar>
              <w:left w:w="28" w:type="dxa"/>
              <w:right w:w="28" w:type="dxa"/>
            </w:tcMar>
          </w:tcPr>
          <w:p w14:paraId="458877EF" w14:textId="77777777" w:rsidR="007C19DE" w:rsidRPr="00EA7B3F" w:rsidRDefault="007C19DE" w:rsidP="003D2164">
            <w:pPr>
              <w:pStyle w:val="TableText0"/>
            </w:pPr>
            <w:r w:rsidRPr="00EA7B3F">
              <w:t>Proportion of patients on Q4W regimen (syringes per year)</w:t>
            </w:r>
          </w:p>
        </w:tc>
        <w:tc>
          <w:tcPr>
            <w:tcW w:w="2254" w:type="dxa"/>
            <w:tcMar>
              <w:left w:w="28" w:type="dxa"/>
              <w:right w:w="28" w:type="dxa"/>
            </w:tcMar>
          </w:tcPr>
          <w:p w14:paraId="1F6DF39A" w14:textId="77777777" w:rsidR="007C19DE" w:rsidRPr="00EA7B3F" w:rsidRDefault="007C19DE" w:rsidP="003D2164">
            <w:pPr>
              <w:pStyle w:val="TableText0"/>
            </w:pPr>
            <w:r w:rsidRPr="00EA7B3F">
              <w:t>77.1%</w:t>
            </w:r>
          </w:p>
          <w:p w14:paraId="58272460" w14:textId="77777777" w:rsidR="007C19DE" w:rsidRPr="00EA7B3F" w:rsidRDefault="007C19DE" w:rsidP="003D2164">
            <w:pPr>
              <w:pStyle w:val="TableText0"/>
            </w:pPr>
            <w:r w:rsidRPr="00EA7B3F">
              <w:t xml:space="preserve">(weighted mean </w:t>
            </w:r>
            <w:r w:rsidRPr="001D00AC">
              <w:t>15.98</w:t>
            </w:r>
            <w:r w:rsidRPr="00EA7B3F">
              <w:t xml:space="preserve"> syringes/patient/year)</w:t>
            </w:r>
          </w:p>
        </w:tc>
        <w:tc>
          <w:tcPr>
            <w:tcW w:w="2150" w:type="dxa"/>
            <w:tcMar>
              <w:left w:w="28" w:type="dxa"/>
              <w:right w:w="28" w:type="dxa"/>
            </w:tcMar>
          </w:tcPr>
          <w:p w14:paraId="70AB5103" w14:textId="77777777" w:rsidR="007C19DE" w:rsidRPr="00EA7B3F" w:rsidRDefault="007C19DE" w:rsidP="003D2164">
            <w:pPr>
              <w:pStyle w:val="TableText0"/>
            </w:pPr>
            <w:r w:rsidRPr="00EA7B3F">
              <w:t>100.0%</w:t>
            </w:r>
          </w:p>
          <w:p w14:paraId="774FCDA2" w14:textId="77777777" w:rsidR="007C19DE" w:rsidRPr="00EA7B3F" w:rsidRDefault="007C19DE" w:rsidP="003D2164">
            <w:pPr>
              <w:pStyle w:val="TableText0"/>
            </w:pPr>
            <w:r w:rsidRPr="00EA7B3F">
              <w:t>(</w:t>
            </w:r>
            <w:r w:rsidRPr="001D00AC">
              <w:t>13.00</w:t>
            </w:r>
            <w:r w:rsidR="00913D17" w:rsidRPr="00EA7B3F">
              <w:t xml:space="preserve"> syringes/patient/</w:t>
            </w:r>
            <w:r w:rsidRPr="00EA7B3F">
              <w:t>year)</w:t>
            </w:r>
          </w:p>
        </w:tc>
        <w:tc>
          <w:tcPr>
            <w:tcW w:w="2359" w:type="dxa"/>
            <w:tcMar>
              <w:left w:w="28" w:type="dxa"/>
              <w:right w:w="28" w:type="dxa"/>
            </w:tcMar>
          </w:tcPr>
          <w:p w14:paraId="4B90AF45" w14:textId="77777777" w:rsidR="007C19DE" w:rsidRPr="00EA7B3F" w:rsidRDefault="007C19DE" w:rsidP="0032007A">
            <w:pPr>
              <w:pStyle w:val="TableText0"/>
            </w:pPr>
            <w:r w:rsidRPr="00EA7B3F">
              <w:t xml:space="preserve">Assumption made in the economic model, and </w:t>
            </w:r>
            <w:r w:rsidR="00BD7DE9" w:rsidRPr="00EA7B3F">
              <w:t xml:space="preserve">risk proposed to be managed </w:t>
            </w:r>
            <w:r w:rsidRPr="00EA7B3F">
              <w:t xml:space="preserve">via a </w:t>
            </w:r>
            <w:r w:rsidR="0032007A" w:rsidRPr="00EA7B3F">
              <w:t>RSA</w:t>
            </w:r>
            <w:r w:rsidR="00692EF8" w:rsidRPr="00EA7B3F">
              <w:t xml:space="preserve">. The ESC noted that </w:t>
            </w:r>
            <w:r w:rsidR="0032007A" w:rsidRPr="00EA7B3F">
              <w:t xml:space="preserve">use of greater than 13 </w:t>
            </w:r>
            <w:r w:rsidR="00692EF8" w:rsidRPr="00EA7B3F">
              <w:t>syringes per patient per year</w:t>
            </w:r>
            <w:r w:rsidR="0032007A" w:rsidRPr="00EA7B3F">
              <w:t xml:space="preserve"> would incur a cost due to the proposed RSA rebate</w:t>
            </w:r>
            <w:r w:rsidR="00692EF8" w:rsidRPr="00EA7B3F">
              <w:t xml:space="preserve"> </w:t>
            </w:r>
            <w:r w:rsidR="0032007A" w:rsidRPr="00EA7B3F">
              <w:t xml:space="preserve">being less than </w:t>
            </w:r>
            <w:r w:rsidR="0032007A" w:rsidRPr="00177077">
              <w:t>100</w:t>
            </w:r>
            <w:r w:rsidR="0032007A" w:rsidRPr="00EA7B3F">
              <w:t>%.</w:t>
            </w:r>
          </w:p>
        </w:tc>
      </w:tr>
      <w:tr w:rsidR="007C19DE" w:rsidRPr="00EA7B3F" w14:paraId="06C3F771" w14:textId="77777777" w:rsidTr="00F4016E">
        <w:tc>
          <w:tcPr>
            <w:tcW w:w="2254" w:type="dxa"/>
            <w:tcMar>
              <w:left w:w="28" w:type="dxa"/>
              <w:right w:w="28" w:type="dxa"/>
            </w:tcMar>
          </w:tcPr>
          <w:p w14:paraId="1B1DE63B" w14:textId="77777777" w:rsidR="007C19DE" w:rsidRPr="00EA7B3F" w:rsidRDefault="007C19DE" w:rsidP="003D2164">
            <w:pPr>
              <w:pStyle w:val="TableText0"/>
            </w:pPr>
            <w:r w:rsidRPr="00EA7B3F">
              <w:t>Icatibant syringe price</w:t>
            </w:r>
          </w:p>
        </w:tc>
        <w:tc>
          <w:tcPr>
            <w:tcW w:w="2254" w:type="dxa"/>
            <w:tcMar>
              <w:left w:w="28" w:type="dxa"/>
              <w:right w:w="28" w:type="dxa"/>
            </w:tcMar>
          </w:tcPr>
          <w:p w14:paraId="65162858" w14:textId="77777777" w:rsidR="007C19DE" w:rsidRPr="00EA7B3F" w:rsidRDefault="007C19DE" w:rsidP="003D2164">
            <w:pPr>
              <w:pStyle w:val="TableText0"/>
            </w:pPr>
            <w:r w:rsidRPr="00EA7B3F">
              <w:t>DPMQ: $2,455.87</w:t>
            </w:r>
          </w:p>
          <w:p w14:paraId="1E1699AD" w14:textId="77777777" w:rsidR="007C19DE" w:rsidRPr="00EA7B3F" w:rsidRDefault="007C19DE" w:rsidP="003D2164">
            <w:pPr>
              <w:pStyle w:val="TableText0"/>
            </w:pPr>
            <w:r w:rsidRPr="00EA7B3F">
              <w:t>AEMP: $2,303.75</w:t>
            </w:r>
          </w:p>
        </w:tc>
        <w:tc>
          <w:tcPr>
            <w:tcW w:w="2150" w:type="dxa"/>
            <w:tcMar>
              <w:left w:w="28" w:type="dxa"/>
              <w:right w:w="28" w:type="dxa"/>
            </w:tcMar>
          </w:tcPr>
          <w:p w14:paraId="6412564A" w14:textId="77777777" w:rsidR="007C19DE" w:rsidRPr="00EA7B3F" w:rsidRDefault="007C19DE" w:rsidP="003D2164">
            <w:pPr>
              <w:pStyle w:val="TableText0"/>
            </w:pPr>
            <w:r w:rsidRPr="00EA7B3F">
              <w:t>DPMQ: $850.66</w:t>
            </w:r>
          </w:p>
          <w:p w14:paraId="2E8549EC" w14:textId="77777777" w:rsidR="007C19DE" w:rsidRPr="00EA7B3F" w:rsidRDefault="007C19DE" w:rsidP="003D2164">
            <w:pPr>
              <w:pStyle w:val="TableText0"/>
            </w:pPr>
            <w:r w:rsidRPr="00EA7B3F">
              <w:t>AEMP: $756.70</w:t>
            </w:r>
          </w:p>
        </w:tc>
        <w:tc>
          <w:tcPr>
            <w:tcW w:w="2359" w:type="dxa"/>
            <w:tcMar>
              <w:left w:w="28" w:type="dxa"/>
              <w:right w:w="28" w:type="dxa"/>
            </w:tcMar>
          </w:tcPr>
          <w:p w14:paraId="4A71B1EF" w14:textId="77777777" w:rsidR="007C19DE" w:rsidRPr="00EA7B3F" w:rsidRDefault="007C19DE" w:rsidP="003D2164">
            <w:pPr>
              <w:pStyle w:val="TableText0"/>
            </w:pPr>
            <w:r w:rsidRPr="00EA7B3F">
              <w:t>PBS item 1976B</w:t>
            </w:r>
          </w:p>
        </w:tc>
      </w:tr>
      <w:tr w:rsidR="007C19DE" w:rsidRPr="00EA7B3F" w14:paraId="31024CAB" w14:textId="77777777" w:rsidTr="00F4016E">
        <w:tc>
          <w:tcPr>
            <w:tcW w:w="2254" w:type="dxa"/>
            <w:tcMar>
              <w:left w:w="28" w:type="dxa"/>
              <w:right w:w="28" w:type="dxa"/>
            </w:tcMar>
          </w:tcPr>
          <w:p w14:paraId="26F866D2" w14:textId="77777777" w:rsidR="007C19DE" w:rsidRPr="00EA7B3F" w:rsidRDefault="007C19DE" w:rsidP="003D2164">
            <w:pPr>
              <w:pStyle w:val="TableText0"/>
            </w:pPr>
            <w:r w:rsidRPr="00EA7B3F">
              <w:t>Initial C1-INH 500 IU vial price</w:t>
            </w:r>
          </w:p>
        </w:tc>
        <w:tc>
          <w:tcPr>
            <w:tcW w:w="2254" w:type="dxa"/>
            <w:tcMar>
              <w:left w:w="28" w:type="dxa"/>
              <w:right w:w="28" w:type="dxa"/>
            </w:tcMar>
          </w:tcPr>
          <w:p w14:paraId="228D45AE" w14:textId="77777777" w:rsidR="007C19DE" w:rsidRPr="00EA7B3F" w:rsidRDefault="007C19DE" w:rsidP="003D2164">
            <w:pPr>
              <w:pStyle w:val="TableText0"/>
            </w:pPr>
            <w:r w:rsidRPr="00EA7B3F">
              <w:t>2021: $971.15 per vial</w:t>
            </w:r>
          </w:p>
        </w:tc>
        <w:tc>
          <w:tcPr>
            <w:tcW w:w="2150" w:type="dxa"/>
            <w:tcMar>
              <w:left w:w="28" w:type="dxa"/>
              <w:right w:w="28" w:type="dxa"/>
            </w:tcMar>
          </w:tcPr>
          <w:p w14:paraId="20B6F150" w14:textId="77777777" w:rsidR="007C19DE" w:rsidRPr="00EA7B3F" w:rsidRDefault="007C19DE" w:rsidP="003D2164">
            <w:pPr>
              <w:pStyle w:val="TableText0"/>
            </w:pPr>
            <w:r w:rsidRPr="00EA7B3F">
              <w:t>2022: $990.56 per vial</w:t>
            </w:r>
          </w:p>
        </w:tc>
        <w:tc>
          <w:tcPr>
            <w:tcW w:w="2359" w:type="dxa"/>
            <w:tcMar>
              <w:left w:w="28" w:type="dxa"/>
              <w:right w:w="28" w:type="dxa"/>
            </w:tcMar>
          </w:tcPr>
          <w:p w14:paraId="25546062" w14:textId="77777777" w:rsidR="007C19DE" w:rsidRPr="00EA7B3F" w:rsidRDefault="007C19DE" w:rsidP="003D2164">
            <w:pPr>
              <w:pStyle w:val="TableText0"/>
            </w:pPr>
            <w:r w:rsidRPr="00EA7B3F">
              <w:t>Annual</w:t>
            </w:r>
            <w:r w:rsidR="00C17C4F" w:rsidRPr="00EA7B3F">
              <w:t xml:space="preserve"> 2% increase based on precedent</w:t>
            </w:r>
          </w:p>
        </w:tc>
      </w:tr>
      <w:tr w:rsidR="007C19DE" w:rsidRPr="00EA7B3F" w14:paraId="4470329F" w14:textId="77777777" w:rsidTr="00F4016E">
        <w:tc>
          <w:tcPr>
            <w:tcW w:w="2254" w:type="dxa"/>
            <w:tcMar>
              <w:left w:w="28" w:type="dxa"/>
              <w:right w:w="28" w:type="dxa"/>
            </w:tcMar>
          </w:tcPr>
          <w:p w14:paraId="40441762" w14:textId="77777777" w:rsidR="007C19DE" w:rsidRPr="00EA7B3F" w:rsidRDefault="007C19DE" w:rsidP="003D2164">
            <w:pPr>
              <w:pStyle w:val="TableText0"/>
            </w:pPr>
            <w:r w:rsidRPr="00EA7B3F">
              <w:t>Average annual icatibant use</w:t>
            </w:r>
          </w:p>
        </w:tc>
        <w:tc>
          <w:tcPr>
            <w:tcW w:w="2254" w:type="dxa"/>
            <w:tcMar>
              <w:left w:w="28" w:type="dxa"/>
              <w:right w:w="28" w:type="dxa"/>
            </w:tcMar>
          </w:tcPr>
          <w:p w14:paraId="0F41ED96" w14:textId="77777777" w:rsidR="007C19DE" w:rsidRPr="00EA7B3F" w:rsidRDefault="007C19DE" w:rsidP="003D2164">
            <w:pPr>
              <w:pStyle w:val="TableText0"/>
            </w:pPr>
            <w:r w:rsidRPr="00EA7B3F">
              <w:t>33.60 syringes per year</w:t>
            </w:r>
          </w:p>
        </w:tc>
        <w:tc>
          <w:tcPr>
            <w:tcW w:w="2150" w:type="dxa"/>
            <w:tcMar>
              <w:left w:w="28" w:type="dxa"/>
              <w:right w:w="28" w:type="dxa"/>
            </w:tcMar>
          </w:tcPr>
          <w:p w14:paraId="6F4444F1" w14:textId="77777777" w:rsidR="007C19DE" w:rsidRPr="00EA7B3F" w:rsidRDefault="00672809" w:rsidP="003D2164">
            <w:pPr>
              <w:pStyle w:val="TableText0"/>
            </w:pPr>
            <w:r w:rsidRPr="00EA7B3F">
              <w:t>31.13</w:t>
            </w:r>
            <w:r w:rsidR="007C19DE" w:rsidRPr="00EA7B3F">
              <w:t xml:space="preserve"> syringes per year</w:t>
            </w:r>
          </w:p>
        </w:tc>
        <w:tc>
          <w:tcPr>
            <w:tcW w:w="2359" w:type="dxa"/>
            <w:tcMar>
              <w:left w:w="28" w:type="dxa"/>
              <w:right w:w="28" w:type="dxa"/>
            </w:tcMar>
          </w:tcPr>
          <w:p w14:paraId="2915CD42" w14:textId="77777777" w:rsidR="007C19DE" w:rsidRPr="00EA7B3F" w:rsidRDefault="007C19DE" w:rsidP="003D2164">
            <w:pPr>
              <w:pStyle w:val="TableText0"/>
            </w:pPr>
            <w:r w:rsidRPr="00EA7B3F">
              <w:t>Updated underlying DUSC data</w:t>
            </w:r>
          </w:p>
        </w:tc>
      </w:tr>
    </w:tbl>
    <w:p w14:paraId="1F52C8D8" w14:textId="02B63719" w:rsidR="007C19DE" w:rsidRPr="00EA7B3F" w:rsidRDefault="007C19DE" w:rsidP="007C19DE">
      <w:pPr>
        <w:pStyle w:val="TableFigureFooter"/>
      </w:pPr>
      <w:r w:rsidRPr="00EA7B3F">
        <w:t>Source: Table 1 of the resubmission</w:t>
      </w:r>
    </w:p>
    <w:p w14:paraId="45EFBA18" w14:textId="77777777" w:rsidR="007C19DE" w:rsidRPr="00EA7B3F" w:rsidRDefault="00672809" w:rsidP="007C19DE">
      <w:pPr>
        <w:pStyle w:val="TableFigureFooter"/>
      </w:pPr>
      <w:r w:rsidRPr="00EA7B3F">
        <w:t xml:space="preserve">AEMP = approved ex-manufacturer price; </w:t>
      </w:r>
      <w:r w:rsidR="007C19DE" w:rsidRPr="00EA7B3F">
        <w:t>C1-INH = C-1 esterase inhibitor; DPMQ = dispensed price for maximum quantity; DUSC = Drug Utilisation Sub-Committee; IU = international units</w:t>
      </w:r>
      <w:r w:rsidR="0032007A" w:rsidRPr="00EA7B3F">
        <w:t>; RSA = risk sharing arrangement</w:t>
      </w:r>
    </w:p>
    <w:p w14:paraId="18C30A54" w14:textId="77777777" w:rsidR="007C19DE" w:rsidRPr="00EA7B3F" w:rsidRDefault="007C19DE" w:rsidP="007C19DE">
      <w:pPr>
        <w:pStyle w:val="3-BodyText"/>
        <w:rPr>
          <w:color w:val="000000" w:themeColor="text1"/>
        </w:rPr>
      </w:pPr>
      <w:r w:rsidRPr="00EA7B3F">
        <w:t>The sources of data used in the utilisation and financial estimates are summarised below.</w:t>
      </w:r>
    </w:p>
    <w:p w14:paraId="0D7009AB" w14:textId="77777777" w:rsidR="007C19DE" w:rsidRPr="00EA7B3F" w:rsidRDefault="007C19DE" w:rsidP="00913D17">
      <w:pPr>
        <w:pStyle w:val="TableFigureHeading"/>
      </w:pPr>
      <w:r w:rsidRPr="00EA7B3F">
        <w:t xml:space="preserve">Table </w:t>
      </w:r>
      <w:r w:rsidR="001972C4" w:rsidRPr="00EA7B3F">
        <w:t>10</w:t>
      </w:r>
      <w:r w:rsidRPr="00EA7B3F">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590"/>
        <w:gridCol w:w="2913"/>
      </w:tblGrid>
      <w:tr w:rsidR="007C19DE" w:rsidRPr="00EA7B3F" w14:paraId="30345130" w14:textId="77777777" w:rsidTr="00913D17">
        <w:trPr>
          <w:tblHeader/>
        </w:trPr>
        <w:tc>
          <w:tcPr>
            <w:tcW w:w="1514" w:type="dxa"/>
            <w:tcMar>
              <w:left w:w="28" w:type="dxa"/>
              <w:right w:w="28" w:type="dxa"/>
            </w:tcMar>
            <w:vAlign w:val="center"/>
          </w:tcPr>
          <w:p w14:paraId="1E2F8DBC" w14:textId="77777777" w:rsidR="007C19DE" w:rsidRPr="00EA7B3F" w:rsidRDefault="007C19DE" w:rsidP="00913D17">
            <w:pPr>
              <w:pStyle w:val="In-tableHeading"/>
              <w:rPr>
                <w:lang w:val="en-AU"/>
              </w:rPr>
            </w:pPr>
            <w:r w:rsidRPr="00EA7B3F">
              <w:rPr>
                <w:lang w:val="en-AU"/>
              </w:rPr>
              <w:t>Data</w:t>
            </w:r>
          </w:p>
        </w:tc>
        <w:tc>
          <w:tcPr>
            <w:tcW w:w="4590" w:type="dxa"/>
            <w:tcMar>
              <w:left w:w="28" w:type="dxa"/>
              <w:right w:w="28" w:type="dxa"/>
            </w:tcMar>
            <w:vAlign w:val="center"/>
          </w:tcPr>
          <w:p w14:paraId="215D2A02" w14:textId="77777777" w:rsidR="007C19DE" w:rsidRPr="00EA7B3F" w:rsidRDefault="007C19DE" w:rsidP="00913D17">
            <w:pPr>
              <w:pStyle w:val="In-tableHeading"/>
              <w:rPr>
                <w:lang w:val="en-AU"/>
              </w:rPr>
            </w:pPr>
            <w:r w:rsidRPr="00EA7B3F">
              <w:rPr>
                <w:lang w:val="en-AU"/>
              </w:rPr>
              <w:t>Value applied and source</w:t>
            </w:r>
          </w:p>
        </w:tc>
        <w:tc>
          <w:tcPr>
            <w:tcW w:w="2913" w:type="dxa"/>
            <w:tcMar>
              <w:left w:w="28" w:type="dxa"/>
              <w:right w:w="28" w:type="dxa"/>
            </w:tcMar>
            <w:vAlign w:val="center"/>
          </w:tcPr>
          <w:p w14:paraId="0E2157DC" w14:textId="77777777" w:rsidR="007C19DE" w:rsidRPr="00EA7B3F" w:rsidRDefault="007C19DE" w:rsidP="00913D17">
            <w:pPr>
              <w:pStyle w:val="In-tableHeading"/>
              <w:rPr>
                <w:lang w:val="en-AU"/>
              </w:rPr>
            </w:pPr>
            <w:r w:rsidRPr="00EA7B3F">
              <w:rPr>
                <w:lang w:val="en-AU"/>
              </w:rPr>
              <w:t>Comment</w:t>
            </w:r>
          </w:p>
        </w:tc>
      </w:tr>
      <w:tr w:rsidR="007C19DE" w:rsidRPr="00EA7B3F" w14:paraId="528EB137" w14:textId="77777777" w:rsidTr="00913D17">
        <w:tc>
          <w:tcPr>
            <w:tcW w:w="9017" w:type="dxa"/>
            <w:gridSpan w:val="3"/>
            <w:tcMar>
              <w:left w:w="28" w:type="dxa"/>
              <w:right w:w="28" w:type="dxa"/>
            </w:tcMar>
            <w:vAlign w:val="center"/>
          </w:tcPr>
          <w:p w14:paraId="621B761A" w14:textId="77777777" w:rsidR="007C19DE" w:rsidRPr="00EA7B3F" w:rsidRDefault="007C19DE" w:rsidP="00913D17">
            <w:pPr>
              <w:pStyle w:val="TableText0"/>
              <w:rPr>
                <w:b/>
                <w:bCs w:val="0"/>
              </w:rPr>
            </w:pPr>
            <w:r w:rsidRPr="00EA7B3F">
              <w:rPr>
                <w:b/>
                <w:bCs w:val="0"/>
              </w:rPr>
              <w:t>Eligible population</w:t>
            </w:r>
          </w:p>
        </w:tc>
      </w:tr>
      <w:tr w:rsidR="007C19DE" w:rsidRPr="00EA7B3F" w14:paraId="4D8DF71B" w14:textId="77777777" w:rsidTr="00913D17">
        <w:tc>
          <w:tcPr>
            <w:tcW w:w="9017" w:type="dxa"/>
            <w:gridSpan w:val="3"/>
            <w:tcMar>
              <w:left w:w="28" w:type="dxa"/>
              <w:right w:w="28" w:type="dxa"/>
            </w:tcMar>
            <w:vAlign w:val="center"/>
          </w:tcPr>
          <w:p w14:paraId="473168CA" w14:textId="77777777" w:rsidR="007C19DE" w:rsidRPr="00EA7B3F" w:rsidRDefault="007C19DE" w:rsidP="00913D17">
            <w:pPr>
              <w:pStyle w:val="TableText0"/>
            </w:pPr>
            <w:r w:rsidRPr="00EA7B3F">
              <w:t>SOC population (patients who experience ≥ 12 treated HAE attacks within 6 months)</w:t>
            </w:r>
          </w:p>
        </w:tc>
      </w:tr>
      <w:tr w:rsidR="007C19DE" w:rsidRPr="00EA7B3F" w14:paraId="04590D90" w14:textId="77777777" w:rsidTr="00913D17">
        <w:tc>
          <w:tcPr>
            <w:tcW w:w="1514" w:type="dxa"/>
            <w:tcMar>
              <w:left w:w="28" w:type="dxa"/>
              <w:right w:w="28" w:type="dxa"/>
            </w:tcMar>
            <w:vAlign w:val="center"/>
          </w:tcPr>
          <w:p w14:paraId="5A4DABF6" w14:textId="77777777" w:rsidR="007C19DE" w:rsidRPr="00EA7B3F" w:rsidRDefault="007C19DE" w:rsidP="00913D17">
            <w:pPr>
              <w:pStyle w:val="TableText0"/>
            </w:pPr>
            <w:r w:rsidRPr="00EA7B3F">
              <w:t>Prevalent HAE patients</w:t>
            </w:r>
          </w:p>
        </w:tc>
        <w:tc>
          <w:tcPr>
            <w:tcW w:w="4590" w:type="dxa"/>
            <w:tcMar>
              <w:left w:w="28" w:type="dxa"/>
              <w:right w:w="28" w:type="dxa"/>
            </w:tcMar>
            <w:vAlign w:val="center"/>
          </w:tcPr>
          <w:p w14:paraId="70CADE72" w14:textId="137FC3EF" w:rsidR="007C19DE" w:rsidRPr="00EA7B3F" w:rsidRDefault="007C19DE" w:rsidP="00913D17">
            <w:pPr>
              <w:pStyle w:val="TableText0"/>
            </w:pPr>
            <w:r w:rsidRPr="00EA7B3F">
              <w:t xml:space="preserve">Yr 1: </w:t>
            </w:r>
            <w:r w:rsidR="00ED57D0">
              <w:t>500 to &lt; 5,000</w:t>
            </w:r>
            <w:r w:rsidRPr="00EA7B3F">
              <w:t xml:space="preserve"> to Yr 6: </w:t>
            </w:r>
            <w:r w:rsidR="00ED57D0">
              <w:t>500 to &lt; 5,000</w:t>
            </w:r>
          </w:p>
          <w:p w14:paraId="31C4B2B3" w14:textId="77777777" w:rsidR="007C19DE" w:rsidRPr="00EA7B3F" w:rsidRDefault="007C19DE" w:rsidP="00913D17">
            <w:pPr>
              <w:pStyle w:val="TableText0"/>
            </w:pPr>
            <w:r w:rsidRPr="00EA7B3F">
              <w:t>ABS Population – 3222.0 Series B</w:t>
            </w:r>
          </w:p>
          <w:p w14:paraId="62085D75" w14:textId="77777777" w:rsidR="007C19DE" w:rsidRPr="00EA7B3F" w:rsidRDefault="007C19DE" w:rsidP="00913D17">
            <w:pPr>
              <w:pStyle w:val="TableText0"/>
            </w:pPr>
            <w:r w:rsidRPr="00EA7B3F">
              <w:t>Prevalence estimate from literature review (2 in 100,000)</w:t>
            </w:r>
          </w:p>
        </w:tc>
        <w:tc>
          <w:tcPr>
            <w:tcW w:w="2913" w:type="dxa"/>
            <w:tcMar>
              <w:left w:w="28" w:type="dxa"/>
              <w:right w:w="28" w:type="dxa"/>
            </w:tcMar>
            <w:vAlign w:val="center"/>
          </w:tcPr>
          <w:p w14:paraId="75F648F0" w14:textId="77777777" w:rsidR="007C19DE" w:rsidRPr="00EA7B3F" w:rsidRDefault="007C19DE" w:rsidP="00913D17">
            <w:pPr>
              <w:pStyle w:val="TableText0"/>
            </w:pPr>
            <w:r w:rsidRPr="00EA7B3F">
              <w:t>This source was reasonable.</w:t>
            </w:r>
          </w:p>
        </w:tc>
      </w:tr>
      <w:tr w:rsidR="007C19DE" w:rsidRPr="00EA7B3F" w14:paraId="60FC41B8" w14:textId="77777777" w:rsidTr="00913D17">
        <w:tc>
          <w:tcPr>
            <w:tcW w:w="1514" w:type="dxa"/>
            <w:shd w:val="clear" w:color="auto" w:fill="auto"/>
            <w:tcMar>
              <w:left w:w="28" w:type="dxa"/>
              <w:right w:w="28" w:type="dxa"/>
            </w:tcMar>
            <w:vAlign w:val="center"/>
          </w:tcPr>
          <w:p w14:paraId="6769EFDA" w14:textId="77777777" w:rsidR="007C19DE" w:rsidRPr="00EA7B3F" w:rsidRDefault="007C19DE" w:rsidP="00913D17">
            <w:pPr>
              <w:pStyle w:val="TableText0"/>
            </w:pPr>
            <w:r w:rsidRPr="00EA7B3F">
              <w:t>% HAE patients eligible (≥ 12 treated attacks in 6 months)</w:t>
            </w:r>
          </w:p>
        </w:tc>
        <w:tc>
          <w:tcPr>
            <w:tcW w:w="4590" w:type="dxa"/>
            <w:shd w:val="clear" w:color="auto" w:fill="auto"/>
            <w:tcMar>
              <w:left w:w="28" w:type="dxa"/>
              <w:right w:w="28" w:type="dxa"/>
            </w:tcMar>
            <w:vAlign w:val="center"/>
          </w:tcPr>
          <w:p w14:paraId="66237448" w14:textId="77777777" w:rsidR="007C19DE" w:rsidRPr="00EA7B3F" w:rsidRDefault="007C19DE" w:rsidP="00913D17">
            <w:pPr>
              <w:pStyle w:val="TableText0"/>
            </w:pPr>
            <w:r w:rsidRPr="00EA7B3F">
              <w:t xml:space="preserve">13.86%, DUSC Secretariat analysis of the PBS data for icatibant </w:t>
            </w:r>
            <w:r w:rsidR="006E0633" w:rsidRPr="00EA7B3F">
              <w:t>pat</w:t>
            </w:r>
            <w:r w:rsidR="00C7007F" w:rsidRPr="00EA7B3F">
              <w:t>i</w:t>
            </w:r>
            <w:r w:rsidR="006E0633" w:rsidRPr="00EA7B3F">
              <w:t xml:space="preserve">ents </w:t>
            </w:r>
            <w:r w:rsidRPr="00EA7B3F">
              <w:t>prescribed ≥24 injections within a calendar year (2016-2019)</w:t>
            </w:r>
          </w:p>
        </w:tc>
        <w:tc>
          <w:tcPr>
            <w:tcW w:w="2913" w:type="dxa"/>
            <w:shd w:val="clear" w:color="auto" w:fill="auto"/>
            <w:tcMar>
              <w:left w:w="28" w:type="dxa"/>
              <w:right w:w="28" w:type="dxa"/>
            </w:tcMar>
            <w:vAlign w:val="center"/>
          </w:tcPr>
          <w:p w14:paraId="7930D22F" w14:textId="77777777" w:rsidR="007C19DE" w:rsidRPr="00EA7B3F" w:rsidRDefault="007C19DE" w:rsidP="00913D17">
            <w:pPr>
              <w:pStyle w:val="TableText0"/>
              <w:rPr>
                <w:iCs/>
              </w:rPr>
            </w:pPr>
            <w:r w:rsidRPr="00EA7B3F">
              <w:rPr>
                <w:iCs/>
              </w:rPr>
              <w:t>Icatibant utilisation data may not represent a reliable proxy for determining the number of treated HAE attacks</w:t>
            </w:r>
            <w:r w:rsidR="00C17C4F" w:rsidRPr="00EA7B3F">
              <w:rPr>
                <w:iCs/>
              </w:rPr>
              <w:t xml:space="preserve"> (see below)</w:t>
            </w:r>
          </w:p>
        </w:tc>
      </w:tr>
      <w:tr w:rsidR="007C19DE" w:rsidRPr="00EA7B3F" w14:paraId="0DA28BC4" w14:textId="77777777" w:rsidTr="00913D17">
        <w:tc>
          <w:tcPr>
            <w:tcW w:w="1514" w:type="dxa"/>
            <w:shd w:val="clear" w:color="auto" w:fill="auto"/>
            <w:tcMar>
              <w:left w:w="28" w:type="dxa"/>
              <w:right w:w="28" w:type="dxa"/>
            </w:tcMar>
            <w:vAlign w:val="center"/>
          </w:tcPr>
          <w:p w14:paraId="4872185E" w14:textId="77777777" w:rsidR="007C19DE" w:rsidRPr="00EA7B3F" w:rsidRDefault="007C19DE" w:rsidP="00913D17">
            <w:pPr>
              <w:pStyle w:val="TableText0"/>
            </w:pPr>
            <w:r w:rsidRPr="00EA7B3F">
              <w:t>Uptake rate</w:t>
            </w:r>
          </w:p>
        </w:tc>
        <w:tc>
          <w:tcPr>
            <w:tcW w:w="4590" w:type="dxa"/>
            <w:shd w:val="clear" w:color="auto" w:fill="auto"/>
            <w:tcMar>
              <w:left w:w="28" w:type="dxa"/>
              <w:right w:w="28" w:type="dxa"/>
            </w:tcMar>
            <w:vAlign w:val="center"/>
          </w:tcPr>
          <w:p w14:paraId="5C1DB6E6" w14:textId="77777777" w:rsidR="007C19DE" w:rsidRPr="00EA7B3F" w:rsidRDefault="006F5B4F" w:rsidP="00913D17">
            <w:pPr>
              <w:pStyle w:val="TableText0"/>
            </w:pPr>
            <w:r>
              <w:rPr>
                <w:noProof/>
                <w:color w:val="000000"/>
                <w:highlight w:val="black"/>
              </w:rPr>
              <w:t>'''''</w:t>
            </w:r>
            <w:r w:rsidR="007C19DE" w:rsidRPr="00EA7B3F">
              <w:t>% in all years, Assumption</w:t>
            </w:r>
          </w:p>
        </w:tc>
        <w:tc>
          <w:tcPr>
            <w:tcW w:w="2913" w:type="dxa"/>
            <w:shd w:val="clear" w:color="auto" w:fill="auto"/>
            <w:tcMar>
              <w:left w:w="28" w:type="dxa"/>
              <w:right w:w="28" w:type="dxa"/>
            </w:tcMar>
            <w:vAlign w:val="center"/>
          </w:tcPr>
          <w:p w14:paraId="7AFE6CD8" w14:textId="77777777" w:rsidR="007C19DE" w:rsidRPr="00EA7B3F" w:rsidRDefault="00692EC1" w:rsidP="00913D17">
            <w:pPr>
              <w:pStyle w:val="TableText0"/>
            </w:pPr>
            <w:r w:rsidRPr="00EA7B3F">
              <w:t xml:space="preserve">The </w:t>
            </w:r>
            <w:r w:rsidR="00B4753C" w:rsidRPr="00EA7B3F">
              <w:t xml:space="preserve">ESC considered that </w:t>
            </w:r>
            <w:r w:rsidRPr="00EA7B3F">
              <w:t>uptake in Year 1 may be overestimated.</w:t>
            </w:r>
          </w:p>
        </w:tc>
      </w:tr>
      <w:tr w:rsidR="007C19DE" w:rsidRPr="00EA7B3F" w14:paraId="2048A9AE" w14:textId="77777777" w:rsidTr="00913D17">
        <w:tc>
          <w:tcPr>
            <w:tcW w:w="9017" w:type="dxa"/>
            <w:gridSpan w:val="3"/>
            <w:shd w:val="clear" w:color="auto" w:fill="auto"/>
            <w:tcMar>
              <w:left w:w="28" w:type="dxa"/>
              <w:right w:w="28" w:type="dxa"/>
            </w:tcMar>
            <w:vAlign w:val="center"/>
          </w:tcPr>
          <w:p w14:paraId="2FD883E5" w14:textId="77777777" w:rsidR="007C19DE" w:rsidRPr="00EA7B3F" w:rsidRDefault="007C19DE" w:rsidP="00913D17">
            <w:pPr>
              <w:pStyle w:val="TableText0"/>
            </w:pPr>
            <w:r w:rsidRPr="00EA7B3F">
              <w:t>C1-INH population (patients receiving C1-INH prophylaxis when lanadelumab is listed and who switch to lanadelumab)</w:t>
            </w:r>
          </w:p>
        </w:tc>
      </w:tr>
      <w:tr w:rsidR="007C19DE" w:rsidRPr="00EA7B3F" w14:paraId="516EDBD6" w14:textId="77777777" w:rsidTr="00913D17">
        <w:tc>
          <w:tcPr>
            <w:tcW w:w="1514" w:type="dxa"/>
            <w:shd w:val="clear" w:color="auto" w:fill="auto"/>
            <w:tcMar>
              <w:left w:w="28" w:type="dxa"/>
              <w:right w:w="28" w:type="dxa"/>
            </w:tcMar>
            <w:vAlign w:val="center"/>
          </w:tcPr>
          <w:p w14:paraId="1EA2489D" w14:textId="77777777" w:rsidR="007C19DE" w:rsidRPr="00EA7B3F" w:rsidRDefault="007C19DE" w:rsidP="00913D17">
            <w:pPr>
              <w:pStyle w:val="TableText0"/>
            </w:pPr>
            <w:r w:rsidRPr="00EA7B3F">
              <w:t>Total patients who would receive C1-INH as prophylaxis in the absence of lanadelumab</w:t>
            </w:r>
          </w:p>
        </w:tc>
        <w:tc>
          <w:tcPr>
            <w:tcW w:w="4590" w:type="dxa"/>
            <w:shd w:val="clear" w:color="auto" w:fill="auto"/>
            <w:tcMar>
              <w:left w:w="28" w:type="dxa"/>
              <w:right w:w="28" w:type="dxa"/>
            </w:tcMar>
            <w:vAlign w:val="center"/>
          </w:tcPr>
          <w:p w14:paraId="52C85EB0" w14:textId="50E4B022" w:rsidR="007C19DE" w:rsidRPr="00EA7B3F" w:rsidRDefault="007C19DE" w:rsidP="00913D17">
            <w:pPr>
              <w:pStyle w:val="TableText0"/>
            </w:pPr>
            <w:r w:rsidRPr="00EA7B3F">
              <w:t xml:space="preserve">Yr 1: </w:t>
            </w:r>
            <w:r w:rsidR="0031300D">
              <w:t>&lt; 500</w:t>
            </w:r>
            <w:r w:rsidRPr="00EA7B3F">
              <w:t xml:space="preserve"> to Yr 6: </w:t>
            </w:r>
            <w:r w:rsidR="0031300D">
              <w:t>&lt; 500</w:t>
            </w:r>
          </w:p>
          <w:p w14:paraId="6BE573DB" w14:textId="77777777" w:rsidR="007C19DE" w:rsidRPr="00EA7B3F" w:rsidRDefault="007C19DE" w:rsidP="00913D17">
            <w:pPr>
              <w:pStyle w:val="TableText0"/>
              <w:spacing w:after="60"/>
            </w:pPr>
            <w:r w:rsidRPr="00EA7B3F">
              <w:t>NBA data on the utilisation of IV Berinert from July 2016 to June 2019 (number of vials dispensed).</w:t>
            </w:r>
          </w:p>
          <w:p w14:paraId="5C9A844E" w14:textId="77777777" w:rsidR="007C19DE" w:rsidRPr="00EA7B3F" w:rsidRDefault="007C19DE" w:rsidP="00913D17">
            <w:pPr>
              <w:pStyle w:val="TableText0"/>
              <w:spacing w:after="60"/>
            </w:pPr>
            <w:r w:rsidRPr="00EA7B3F">
              <w:t xml:space="preserve">Assumed </w:t>
            </w:r>
            <w:r w:rsidR="006F5B4F">
              <w:rPr>
                <w:noProof/>
                <w:color w:val="000000"/>
                <w:highlight w:val="black"/>
              </w:rPr>
              <w:t>'''''</w:t>
            </w:r>
            <w:r w:rsidRPr="00EA7B3F">
              <w:t>% of use of IV C1-INH use for prophylaxis</w:t>
            </w:r>
          </w:p>
          <w:p w14:paraId="2ED285F8" w14:textId="77777777" w:rsidR="007C19DE" w:rsidRPr="00EA7B3F" w:rsidRDefault="007C19DE" w:rsidP="00913D17">
            <w:pPr>
              <w:pStyle w:val="TableText0"/>
            </w:pPr>
            <w:r w:rsidRPr="00EA7B3F">
              <w:t>Number of patients derived assuming an average of 3.52 vials per dose, 104 doses per year (366 vials per patient per year).</w:t>
            </w:r>
          </w:p>
        </w:tc>
        <w:tc>
          <w:tcPr>
            <w:tcW w:w="2913" w:type="dxa"/>
            <w:shd w:val="clear" w:color="auto" w:fill="auto"/>
            <w:tcMar>
              <w:left w:w="28" w:type="dxa"/>
              <w:right w:w="28" w:type="dxa"/>
            </w:tcMar>
            <w:vAlign w:val="center"/>
          </w:tcPr>
          <w:p w14:paraId="5D6A4891" w14:textId="77777777" w:rsidR="007C19DE" w:rsidRPr="00EA7B3F" w:rsidRDefault="007C19DE" w:rsidP="00913D17">
            <w:pPr>
              <w:pStyle w:val="TableText0"/>
            </w:pPr>
            <w:r w:rsidRPr="00EA7B3F">
              <w:t xml:space="preserve">The proportion of use of IV C1-INH that was for routine prophylaxis was a major source of uncertainty </w:t>
            </w:r>
          </w:p>
        </w:tc>
      </w:tr>
      <w:tr w:rsidR="007C19DE" w:rsidRPr="00EA7B3F" w14:paraId="314471B3" w14:textId="77777777" w:rsidTr="00913D17">
        <w:tc>
          <w:tcPr>
            <w:tcW w:w="1514" w:type="dxa"/>
            <w:shd w:val="clear" w:color="auto" w:fill="auto"/>
            <w:tcMar>
              <w:left w:w="28" w:type="dxa"/>
              <w:right w:w="28" w:type="dxa"/>
            </w:tcMar>
            <w:vAlign w:val="center"/>
          </w:tcPr>
          <w:p w14:paraId="24F46F92" w14:textId="77777777" w:rsidR="007C19DE" w:rsidRPr="00EA7B3F" w:rsidRDefault="007C19DE" w:rsidP="00913D17">
            <w:pPr>
              <w:pStyle w:val="TableText0"/>
            </w:pPr>
            <w:r w:rsidRPr="00EA7B3F">
              <w:t>Uptake rate in patients receiving C1-INH when lanadelumab is listed.</w:t>
            </w:r>
          </w:p>
        </w:tc>
        <w:tc>
          <w:tcPr>
            <w:tcW w:w="4590" w:type="dxa"/>
            <w:shd w:val="clear" w:color="auto" w:fill="auto"/>
            <w:tcMar>
              <w:left w:w="28" w:type="dxa"/>
              <w:right w:w="28" w:type="dxa"/>
            </w:tcMar>
            <w:vAlign w:val="center"/>
          </w:tcPr>
          <w:p w14:paraId="5068EAD0" w14:textId="77777777" w:rsidR="007C19DE" w:rsidRPr="00EA7B3F" w:rsidRDefault="007C19DE" w:rsidP="00913D17">
            <w:pPr>
              <w:pStyle w:val="TableText0"/>
            </w:pPr>
            <w:r w:rsidRPr="00EA7B3F">
              <w:t xml:space="preserve">Yr </w:t>
            </w:r>
            <w:r w:rsidR="00C17C4F" w:rsidRPr="00EA7B3F">
              <w:t xml:space="preserve">1: </w:t>
            </w:r>
            <w:r w:rsidR="006F5B4F">
              <w:rPr>
                <w:noProof/>
                <w:color w:val="000000"/>
                <w:highlight w:val="black"/>
              </w:rPr>
              <w:t>''''''</w:t>
            </w:r>
            <w:r w:rsidR="00C17C4F" w:rsidRPr="00EA7B3F">
              <w:t xml:space="preserve">%, Yr 2: </w:t>
            </w:r>
            <w:r w:rsidR="006F5B4F">
              <w:rPr>
                <w:noProof/>
                <w:color w:val="000000"/>
                <w:highlight w:val="black"/>
              </w:rPr>
              <w:t>''''''</w:t>
            </w:r>
            <w:r w:rsidR="00C17C4F" w:rsidRPr="00EA7B3F">
              <w:t>% and then Yr 3</w:t>
            </w:r>
            <w:r w:rsidR="00C24A07" w:rsidRPr="00EA7B3F">
              <w:t xml:space="preserve"> –</w:t>
            </w:r>
            <w:r w:rsidR="00C17C4F" w:rsidRPr="00EA7B3F">
              <w:t xml:space="preserve"> </w:t>
            </w:r>
            <w:r w:rsidRPr="00EA7B3F">
              <w:t>6</w:t>
            </w:r>
            <w:r w:rsidR="00C24A07" w:rsidRPr="00EA7B3F">
              <w:t>:</w:t>
            </w:r>
            <w:r w:rsidRPr="00EA7B3F">
              <w:t xml:space="preserve"> </w:t>
            </w:r>
            <w:r w:rsidR="006F5B4F">
              <w:rPr>
                <w:noProof/>
                <w:color w:val="000000"/>
                <w:highlight w:val="black"/>
              </w:rPr>
              <w:t>''''</w:t>
            </w:r>
            <w:r w:rsidRPr="00EA7B3F">
              <w:t>%</w:t>
            </w:r>
          </w:p>
          <w:p w14:paraId="6404FEEF" w14:textId="77777777" w:rsidR="007C19DE" w:rsidRPr="00EA7B3F" w:rsidRDefault="007C19DE" w:rsidP="00913D17">
            <w:pPr>
              <w:pStyle w:val="TableText0"/>
            </w:pPr>
            <w:r w:rsidRPr="00EA7B3F">
              <w:t>Assumption</w:t>
            </w:r>
          </w:p>
          <w:p w14:paraId="2EB4FAB4" w14:textId="77777777" w:rsidR="007C19DE" w:rsidRPr="00EA7B3F" w:rsidRDefault="007C19DE" w:rsidP="00913D17">
            <w:pPr>
              <w:pStyle w:val="TableText0"/>
            </w:pPr>
            <w:r w:rsidRPr="00EA7B3F">
              <w:t xml:space="preserve">The resubmission assumed </w:t>
            </w:r>
            <w:r w:rsidR="006F5B4F">
              <w:rPr>
                <w:noProof/>
                <w:color w:val="000000"/>
                <w:highlight w:val="black"/>
              </w:rPr>
              <w:t>''''''</w:t>
            </w:r>
            <w:r w:rsidRPr="00EA7B3F">
              <w:t xml:space="preserve">% uptake in Year 1 and a further </w:t>
            </w:r>
            <w:r w:rsidR="006F5B4F">
              <w:rPr>
                <w:noProof/>
                <w:color w:val="000000"/>
                <w:highlight w:val="black"/>
              </w:rPr>
              <w:t>'''''''</w:t>
            </w:r>
            <w:r w:rsidRPr="00EA7B3F">
              <w:t xml:space="preserve">% of those not switching in Year 1 were assumed to switch in Year 2 (i.e. </w:t>
            </w:r>
            <w:r w:rsidR="006F5B4F">
              <w:rPr>
                <w:noProof/>
                <w:color w:val="000000"/>
                <w:highlight w:val="black"/>
              </w:rPr>
              <w:t>'''''''</w:t>
            </w:r>
            <w:r w:rsidRPr="00EA7B3F">
              <w:t xml:space="preserve">% x </w:t>
            </w:r>
            <w:r w:rsidR="006F5B4F">
              <w:rPr>
                <w:noProof/>
                <w:color w:val="000000"/>
                <w:highlight w:val="black"/>
              </w:rPr>
              <w:t>''''''</w:t>
            </w:r>
            <w:r w:rsidRPr="00EA7B3F">
              <w:t xml:space="preserve">% = </w:t>
            </w:r>
            <w:r w:rsidR="006F5B4F">
              <w:rPr>
                <w:noProof/>
                <w:color w:val="000000"/>
                <w:highlight w:val="black"/>
              </w:rPr>
              <w:t>''''</w:t>
            </w:r>
            <w:r w:rsidRPr="00EA7B3F">
              <w:t xml:space="preserve">%), resulting in a cumulative uptake of </w:t>
            </w:r>
            <w:r w:rsidR="006F5B4F">
              <w:rPr>
                <w:noProof/>
                <w:color w:val="000000"/>
                <w:highlight w:val="black"/>
              </w:rPr>
              <w:t>'''''''</w:t>
            </w:r>
            <w:r w:rsidRPr="00EA7B3F">
              <w:t>% in Years 2-6.</w:t>
            </w:r>
          </w:p>
        </w:tc>
        <w:tc>
          <w:tcPr>
            <w:tcW w:w="2913" w:type="dxa"/>
            <w:shd w:val="clear" w:color="auto" w:fill="auto"/>
            <w:tcMar>
              <w:left w:w="28" w:type="dxa"/>
              <w:right w:w="28" w:type="dxa"/>
            </w:tcMar>
            <w:vAlign w:val="center"/>
          </w:tcPr>
          <w:p w14:paraId="7002AA19" w14:textId="77777777" w:rsidR="007C19DE" w:rsidRPr="00EA7B3F" w:rsidRDefault="007C19DE" w:rsidP="00913D17">
            <w:pPr>
              <w:pStyle w:val="TableText0"/>
            </w:pPr>
            <w:r w:rsidRPr="00EA7B3F">
              <w:t xml:space="preserve">Given the recent listing of the subcutaneous </w:t>
            </w:r>
            <w:r w:rsidR="0019197F" w:rsidRPr="00EA7B3F">
              <w:t>preparation</w:t>
            </w:r>
            <w:r w:rsidRPr="00EA7B3F">
              <w:t xml:space="preserve"> of C1-INH on the NBA’s NPL, the uptake of lanadelumab in these patients may be lower than assumed in the resubmission.</w:t>
            </w:r>
          </w:p>
        </w:tc>
      </w:tr>
      <w:tr w:rsidR="007C19DE" w:rsidRPr="00EA7B3F" w14:paraId="6154CACD" w14:textId="77777777" w:rsidTr="00913D17">
        <w:tc>
          <w:tcPr>
            <w:tcW w:w="9017" w:type="dxa"/>
            <w:gridSpan w:val="3"/>
            <w:tcMar>
              <w:left w:w="28" w:type="dxa"/>
              <w:right w:w="28" w:type="dxa"/>
            </w:tcMar>
            <w:vAlign w:val="center"/>
          </w:tcPr>
          <w:p w14:paraId="29CABA2B" w14:textId="77777777" w:rsidR="007C19DE" w:rsidRPr="00EA7B3F" w:rsidRDefault="007C19DE" w:rsidP="00913D17">
            <w:pPr>
              <w:pStyle w:val="TableText0"/>
            </w:pPr>
            <w:r w:rsidRPr="00EA7B3F">
              <w:rPr>
                <w:b/>
                <w:bCs w:val="0"/>
              </w:rPr>
              <w:t>Number of syringes</w:t>
            </w:r>
          </w:p>
        </w:tc>
      </w:tr>
      <w:tr w:rsidR="007C19DE" w:rsidRPr="00EA7B3F" w14:paraId="5C4C8F8B" w14:textId="77777777" w:rsidTr="00913D17">
        <w:tc>
          <w:tcPr>
            <w:tcW w:w="1514" w:type="dxa"/>
            <w:tcMar>
              <w:left w:w="28" w:type="dxa"/>
              <w:right w:w="28" w:type="dxa"/>
            </w:tcMar>
            <w:vAlign w:val="center"/>
          </w:tcPr>
          <w:p w14:paraId="0CF509BF" w14:textId="77777777" w:rsidR="007C19DE" w:rsidRPr="00EA7B3F" w:rsidRDefault="007C19DE" w:rsidP="00913D17">
            <w:pPr>
              <w:pStyle w:val="TableText0"/>
            </w:pPr>
            <w:r w:rsidRPr="00EA7B3F">
              <w:t>Syringes dispensed</w:t>
            </w:r>
          </w:p>
        </w:tc>
        <w:tc>
          <w:tcPr>
            <w:tcW w:w="4590" w:type="dxa"/>
            <w:tcMar>
              <w:left w:w="28" w:type="dxa"/>
              <w:right w:w="28" w:type="dxa"/>
            </w:tcMar>
            <w:vAlign w:val="center"/>
          </w:tcPr>
          <w:p w14:paraId="2F838DC0" w14:textId="17A63A8D" w:rsidR="007C19DE" w:rsidRPr="00EA7B3F" w:rsidRDefault="007C19DE" w:rsidP="00913D17">
            <w:pPr>
              <w:pStyle w:val="TableText0"/>
            </w:pPr>
            <w:r w:rsidRPr="00EA7B3F">
              <w:t xml:space="preserve">Yr 1: </w:t>
            </w:r>
            <w:r w:rsidR="0031300D">
              <w:t xml:space="preserve">500 </w:t>
            </w:r>
            <w:r w:rsidR="00ED57D0">
              <w:t xml:space="preserve">to </w:t>
            </w:r>
            <w:r w:rsidR="0031300D">
              <w:t xml:space="preserve">&lt; 5,000 </w:t>
            </w:r>
            <w:r w:rsidR="007E5FC0">
              <w:t>t</w:t>
            </w:r>
            <w:r w:rsidRPr="00EA7B3F">
              <w:t xml:space="preserve">o Yr 6: </w:t>
            </w:r>
            <w:r w:rsidR="0031300D">
              <w:t xml:space="preserve">500 </w:t>
            </w:r>
            <w:r w:rsidR="00ED57D0">
              <w:t xml:space="preserve">to </w:t>
            </w:r>
            <w:r w:rsidR="0031300D">
              <w:t>&lt; 5,000</w:t>
            </w:r>
          </w:p>
          <w:p w14:paraId="64E1BC6A" w14:textId="77777777" w:rsidR="007C19DE" w:rsidRPr="00EA7B3F" w:rsidRDefault="007C19DE" w:rsidP="00913D17">
            <w:pPr>
              <w:pStyle w:val="TableText0"/>
            </w:pPr>
            <w:r w:rsidRPr="00EA7B3F">
              <w:t>Assumed that all patients received 13 syringes per year.</w:t>
            </w:r>
          </w:p>
        </w:tc>
        <w:tc>
          <w:tcPr>
            <w:tcW w:w="2913" w:type="dxa"/>
            <w:tcMar>
              <w:left w:w="28" w:type="dxa"/>
              <w:right w:w="28" w:type="dxa"/>
            </w:tcMar>
            <w:vAlign w:val="center"/>
          </w:tcPr>
          <w:p w14:paraId="43061B27" w14:textId="77777777" w:rsidR="007C19DE" w:rsidRPr="00EA7B3F" w:rsidRDefault="00692EC1" w:rsidP="00913D17">
            <w:pPr>
              <w:pStyle w:val="TableText0"/>
            </w:pPr>
            <w:r w:rsidRPr="00EA7B3F">
              <w:t>The resubmission capped the cost per patient at 13 doses per year. This was intended to reflect the proposed RSA.</w:t>
            </w:r>
            <w:r w:rsidR="001A7A20" w:rsidRPr="00EA7B3F">
              <w:t xml:space="preserve"> However, the proposed RSA only covered </w:t>
            </w:r>
            <w:r w:rsidR="006F5B4F">
              <w:rPr>
                <w:noProof/>
                <w:color w:val="000000"/>
                <w:highlight w:val="black"/>
              </w:rPr>
              <w:t>'''''</w:t>
            </w:r>
            <w:r w:rsidR="001A7A20" w:rsidRPr="00EA7B3F">
              <w:t>% of the costs for any usage beyond 13 doses per year.</w:t>
            </w:r>
          </w:p>
        </w:tc>
      </w:tr>
    </w:tbl>
    <w:p w14:paraId="002BA250" w14:textId="77777777" w:rsidR="007C19DE" w:rsidRPr="00EA7B3F" w:rsidRDefault="007C19DE" w:rsidP="007C19DE">
      <w:pPr>
        <w:pStyle w:val="TableFigureFooter"/>
        <w:rPr>
          <w:rFonts w:eastAsiaTheme="majorEastAsia"/>
        </w:rPr>
      </w:pPr>
      <w:r w:rsidRPr="00EA7B3F">
        <w:rPr>
          <w:rFonts w:eastAsiaTheme="majorEastAsia"/>
        </w:rPr>
        <w:t>Source: Section 4.3 of the resubmission; Excel workbook ‘Electronic_Files_LANA_Resubmission_Minor_HAE_Sec4_BIM’</w:t>
      </w:r>
    </w:p>
    <w:p w14:paraId="24FE903C" w14:textId="77777777" w:rsidR="007C19DE" w:rsidRPr="00EA7B3F" w:rsidRDefault="007C19DE" w:rsidP="007C19DE">
      <w:pPr>
        <w:pStyle w:val="TableFigureFooter"/>
        <w:rPr>
          <w:rFonts w:eastAsiaTheme="majorEastAsia"/>
        </w:rPr>
      </w:pPr>
      <w:r w:rsidRPr="00EA7B3F">
        <w:rPr>
          <w:rFonts w:eastAsiaTheme="majorEastAsia"/>
        </w:rPr>
        <w:t>ABS = Australian Bureau of Statistics; C1-INH = C1 esterase inhibitor; HAE = hereditary angioedema; IU = international units; IV = intravenous; LANA = lanadelumab; NBA = National Blood Authorit</w:t>
      </w:r>
      <w:r w:rsidR="00672809" w:rsidRPr="00EA7B3F">
        <w:rPr>
          <w:rFonts w:eastAsiaTheme="majorEastAsia"/>
        </w:rPr>
        <w:t xml:space="preserve">y; NPL = National Product List; </w:t>
      </w:r>
      <w:r w:rsidR="00692EC1" w:rsidRPr="00EA7B3F">
        <w:rPr>
          <w:rFonts w:eastAsiaTheme="majorEastAsia"/>
        </w:rPr>
        <w:t xml:space="preserve">RSA = risk sharing arrangement; </w:t>
      </w:r>
      <w:r w:rsidR="00672809" w:rsidRPr="00EA7B3F">
        <w:rPr>
          <w:rFonts w:eastAsiaTheme="majorEastAsia"/>
        </w:rPr>
        <w:t>SOC = standard of care; Yr = Year.</w:t>
      </w:r>
    </w:p>
    <w:p w14:paraId="54F017FA" w14:textId="6FC9F1D5" w:rsidR="001B04C2" w:rsidRPr="00EA7B3F" w:rsidRDefault="001B04C2" w:rsidP="001B04C2">
      <w:pPr>
        <w:pStyle w:val="3-BodyText"/>
        <w:rPr>
          <w:rFonts w:eastAsiaTheme="majorEastAsia"/>
        </w:rPr>
      </w:pPr>
      <w:bookmarkStart w:id="22" w:name="_Toc22897650"/>
      <w:bookmarkEnd w:id="8"/>
      <w:r w:rsidRPr="00EA7B3F">
        <w:t xml:space="preserve">As in the previous resubmission, based on the results of a literature search, a prevalence of 2 in 100,000 was used to estimate the number of patients with HAE in Australia. </w:t>
      </w:r>
      <w:r w:rsidRPr="00EA7B3F">
        <w:rPr>
          <w:iCs/>
        </w:rPr>
        <w:t xml:space="preserve">The resubmission’s estimate of the number of HAE patients in Australia ranged from </w:t>
      </w:r>
      <w:r w:rsidR="00A42F9B">
        <w:rPr>
          <w:iCs/>
        </w:rPr>
        <w:t>500 to &lt; 5,000</w:t>
      </w:r>
      <w:r w:rsidRPr="00EA7B3F">
        <w:rPr>
          <w:iCs/>
        </w:rPr>
        <w:t xml:space="preserve"> in Year 1 of listing (2022) to </w:t>
      </w:r>
      <w:r w:rsidR="00A42F9B">
        <w:rPr>
          <w:iCs/>
        </w:rPr>
        <w:t>500 to &lt; 5,000</w:t>
      </w:r>
      <w:r w:rsidRPr="00EA7B3F">
        <w:rPr>
          <w:iCs/>
        </w:rPr>
        <w:t xml:space="preserve"> in Year 6. </w:t>
      </w:r>
      <w:r w:rsidR="006E6D89" w:rsidRPr="00EA7B3F">
        <w:rPr>
          <w:iCs/>
        </w:rPr>
        <w:t>The June 2015 DUSC review of icatibant usage found that the number of patients supplied icatibant was much lower than expected. T</w:t>
      </w:r>
      <w:r w:rsidR="00EE44EB" w:rsidRPr="00EA7B3F">
        <w:rPr>
          <w:iCs/>
        </w:rPr>
        <w:t>he economic analysis</w:t>
      </w:r>
      <w:r w:rsidR="00EE44EB" w:rsidRPr="00EA7B3F">
        <w:t xml:space="preserve"> estimated that between </w:t>
      </w:r>
      <w:r w:rsidR="00A42F9B">
        <w:t>&lt; 500</w:t>
      </w:r>
      <w:r w:rsidR="00EE44EB" w:rsidRPr="00EA7B3F">
        <w:t xml:space="preserve">and </w:t>
      </w:r>
      <w:r w:rsidR="00A42F9B">
        <w:t>&lt; 500</w:t>
      </w:r>
      <w:r w:rsidR="00EE44EB" w:rsidRPr="00EA7B3F">
        <w:t xml:space="preserve"> patients were dispensed at least one injection of icatibant </w:t>
      </w:r>
      <w:r w:rsidR="00965DA9">
        <w:t>in</w:t>
      </w:r>
      <w:r w:rsidR="00965DA9" w:rsidRPr="00EA7B3F">
        <w:t xml:space="preserve"> </w:t>
      </w:r>
      <w:r w:rsidR="00EE44EB" w:rsidRPr="00EA7B3F">
        <w:t xml:space="preserve">each calendar year from 2016 to 2019. </w:t>
      </w:r>
      <w:r w:rsidRPr="00EA7B3F">
        <w:t xml:space="preserve">This suggests that the </w:t>
      </w:r>
      <w:r w:rsidR="00C00664" w:rsidRPr="00EA7B3F">
        <w:t>prevalence</w:t>
      </w:r>
      <w:r w:rsidRPr="00EA7B3F">
        <w:t xml:space="preserve"> of HAE in the Australian population has been </w:t>
      </w:r>
      <w:r w:rsidR="00854BBE" w:rsidRPr="00EA7B3F">
        <w:t>overestimated</w:t>
      </w:r>
      <w:r w:rsidR="006E6D89" w:rsidRPr="00EA7B3F">
        <w:t>.</w:t>
      </w:r>
    </w:p>
    <w:p w14:paraId="19D4B34E" w14:textId="77777777" w:rsidR="004C3E9B" w:rsidRPr="00EA7B3F" w:rsidRDefault="001B04C2" w:rsidP="001B04C2">
      <w:pPr>
        <w:pStyle w:val="3-BodyText"/>
        <w:rPr>
          <w:rFonts w:eastAsiaTheme="majorEastAsia"/>
        </w:rPr>
      </w:pPr>
      <w:r w:rsidRPr="00EA7B3F">
        <w:t xml:space="preserve">The proportion of SOC patients eligible for lanadelumab was based on PBS data, in which the resubmission estimated that an average of 13.86% of patients received ≥ 24 injections of icatibant within a calendar year over the four years from 2016 to 2019. </w:t>
      </w:r>
      <w:r w:rsidR="004C3E9B" w:rsidRPr="00EA7B3F">
        <w:t xml:space="preserve">The previous resubmission assumed that only 4.5% of HAE patients would meet the eligibility criteria for lanadelumab; however, this estimate was based on only 11 patients. </w:t>
      </w:r>
    </w:p>
    <w:p w14:paraId="0FEF76E1" w14:textId="77777777" w:rsidR="001B04C2" w:rsidRPr="00EA7B3F" w:rsidRDefault="001B04C2" w:rsidP="001B04C2">
      <w:pPr>
        <w:pStyle w:val="3-BodyText"/>
        <w:rPr>
          <w:rFonts w:eastAsiaTheme="majorEastAsia"/>
        </w:rPr>
      </w:pPr>
      <w:r w:rsidRPr="00EA7B3F">
        <w:rPr>
          <w:iCs/>
        </w:rPr>
        <w:t>The proportion of HAE patients who would be eligible for PBS-subsidised lanadelumab was a major source of uncertainty in the financial estimates.</w:t>
      </w:r>
      <w:r w:rsidRPr="00EA7B3F">
        <w:t xml:space="preserve"> </w:t>
      </w:r>
      <w:r w:rsidR="004B1C3C" w:rsidRPr="00EA7B3F">
        <w:t>The ESC considered that u</w:t>
      </w:r>
      <w:r w:rsidRPr="00EA7B3F">
        <w:t xml:space="preserve">sing the number of icatibant injections dispensed per patient in each calendar year to estimate the proportion of patients likely to meet the eligibility criterion, </w:t>
      </w:r>
      <w:r w:rsidR="004B1C3C" w:rsidRPr="00EA7B3F">
        <w:t>wa</w:t>
      </w:r>
      <w:r w:rsidRPr="00EA7B3F">
        <w:t>s subject to a number of limitations</w:t>
      </w:r>
      <w:r w:rsidR="004B1C3C" w:rsidRPr="00EA7B3F">
        <w:t xml:space="preserve"> including that</w:t>
      </w:r>
      <w:r w:rsidRPr="00EA7B3F">
        <w:t>:</w:t>
      </w:r>
    </w:p>
    <w:p w14:paraId="70B04A69" w14:textId="77777777" w:rsidR="001B04C2" w:rsidRPr="00EA7B3F" w:rsidRDefault="004B1C3C" w:rsidP="004928B9">
      <w:pPr>
        <w:pStyle w:val="ListParagraph"/>
        <w:numPr>
          <w:ilvl w:val="0"/>
          <w:numId w:val="9"/>
        </w:numPr>
        <w:ind w:left="1080"/>
      </w:pPr>
      <w:r w:rsidRPr="00EA7B3F">
        <w:t>t</w:t>
      </w:r>
      <w:r w:rsidR="001B04C2" w:rsidRPr="00EA7B3F">
        <w:t>he number of icatibant injections dispensed may not be a reliable proxy for the number of treated HAE attacks</w:t>
      </w:r>
      <w:r w:rsidR="00986430" w:rsidRPr="00EA7B3F">
        <w:t>, as patients may require more than one injection of icatibant per attack, and some patients may have multiple injections on hand in anticipation of attacks</w:t>
      </w:r>
      <w:r w:rsidR="001B04C2" w:rsidRPr="00EA7B3F">
        <w:t>;</w:t>
      </w:r>
    </w:p>
    <w:p w14:paraId="36239296" w14:textId="77777777" w:rsidR="001B04C2" w:rsidRPr="00EA7B3F" w:rsidRDefault="001B04C2" w:rsidP="004928B9">
      <w:pPr>
        <w:pStyle w:val="ListParagraph"/>
        <w:numPr>
          <w:ilvl w:val="0"/>
          <w:numId w:val="9"/>
        </w:numPr>
        <w:ind w:left="1080"/>
      </w:pPr>
      <w:r w:rsidRPr="00EA7B3F">
        <w:t>the number of patients receiving a given number of injection</w:t>
      </w:r>
      <w:r w:rsidR="00DB0C1F" w:rsidRPr="00EA7B3F">
        <w:t>s</w:t>
      </w:r>
      <w:r w:rsidRPr="00EA7B3F">
        <w:t xml:space="preserve"> was often reported as &lt; 5, the</w:t>
      </w:r>
      <w:r w:rsidR="004B1C3C" w:rsidRPr="00EA7B3F">
        <w:t>refore, the</w:t>
      </w:r>
      <w:r w:rsidRPr="00EA7B3F">
        <w:t xml:space="preserve"> exact proportion of patients receiving ≥ 24 icatibant injections within a calendar year was not known;</w:t>
      </w:r>
    </w:p>
    <w:p w14:paraId="0DBB4276" w14:textId="77777777" w:rsidR="001B04C2" w:rsidRPr="00EA7B3F" w:rsidRDefault="004B1C3C" w:rsidP="004928B9">
      <w:pPr>
        <w:pStyle w:val="ListParagraph"/>
        <w:numPr>
          <w:ilvl w:val="0"/>
          <w:numId w:val="9"/>
        </w:numPr>
        <w:ind w:left="1080"/>
      </w:pPr>
      <w:r w:rsidRPr="00EA7B3F">
        <w:t>i</w:t>
      </w:r>
      <w:r w:rsidR="001B04C2" w:rsidRPr="00EA7B3F">
        <w:t>n the current clinical setting, where danazol is no longer available, the mean number of attacks per patient per year may be higher than during the period over which the data were collected, where a proportion of patients were likely to have been receiving danazol for routine oral prophylaxis of attacks;</w:t>
      </w:r>
    </w:p>
    <w:p w14:paraId="63F164A8" w14:textId="77777777" w:rsidR="001B04C2" w:rsidRPr="00EA7B3F" w:rsidRDefault="004B1C3C" w:rsidP="004928B9">
      <w:pPr>
        <w:pStyle w:val="ListParagraph"/>
        <w:numPr>
          <w:ilvl w:val="0"/>
          <w:numId w:val="9"/>
        </w:numPr>
        <w:ind w:left="1080"/>
      </w:pPr>
      <w:r w:rsidRPr="00EA7B3F">
        <w:t>t</w:t>
      </w:r>
      <w:r w:rsidR="001B04C2" w:rsidRPr="00EA7B3F">
        <w:t xml:space="preserve">he data will have included patients receiving C1-INH as routine prophylaxis. </w:t>
      </w:r>
      <w:r w:rsidR="00C17C4F" w:rsidRPr="00EA7B3F">
        <w:t xml:space="preserve">This </w:t>
      </w:r>
      <w:r w:rsidR="001B04C2" w:rsidRPr="00EA7B3F">
        <w:t xml:space="preserve">may have resulted in an underestimation of the proportion of patients who </w:t>
      </w:r>
      <w:r w:rsidR="00DB0C1F" w:rsidRPr="00EA7B3F">
        <w:t xml:space="preserve">would have been </w:t>
      </w:r>
      <w:r w:rsidR="001B04C2" w:rsidRPr="00EA7B3F">
        <w:t>dispensed ≥ 24 injections per calendar year;</w:t>
      </w:r>
    </w:p>
    <w:p w14:paraId="3EAF7F49" w14:textId="77777777" w:rsidR="001B04C2" w:rsidRPr="00EA7B3F" w:rsidRDefault="004B1C3C" w:rsidP="004928B9">
      <w:pPr>
        <w:pStyle w:val="ListParagraph"/>
        <w:numPr>
          <w:ilvl w:val="0"/>
          <w:numId w:val="9"/>
        </w:numPr>
        <w:ind w:left="1080"/>
      </w:pPr>
      <w:r w:rsidRPr="00EA7B3F">
        <w:t>t</w:t>
      </w:r>
      <w:r w:rsidR="001B04C2" w:rsidRPr="00EA7B3F">
        <w:t>he dataset may not be representative of the entire HAE population, and it was not possible to determine whether particular patients were repeatedly meeting the criterion each year, or whether the qualifying patients differed from year to year.</w:t>
      </w:r>
    </w:p>
    <w:p w14:paraId="6DB2EFD4" w14:textId="77777777" w:rsidR="00716816" w:rsidRPr="00EA7B3F" w:rsidRDefault="00716816" w:rsidP="00716816">
      <w:pPr>
        <w:pStyle w:val="ListParagraph"/>
        <w:numPr>
          <w:ilvl w:val="0"/>
          <w:numId w:val="0"/>
        </w:numPr>
        <w:ind w:left="720"/>
      </w:pPr>
      <w:r w:rsidRPr="00EA7B3F">
        <w:t xml:space="preserve">The initial point regarding the reliability of the number of icatibant injections dispensed as a proxy for the number of treated HAE attacks, could potentially overestimate the proportion of patients meeting the eligibility criterion. Most of the remaining assumptions applied in the estimates potentially underestimated the </w:t>
      </w:r>
      <w:r w:rsidR="00EA6210" w:rsidRPr="00EA7B3F">
        <w:t>number</w:t>
      </w:r>
      <w:r w:rsidRPr="00EA7B3F">
        <w:t xml:space="preserve"> of </w:t>
      </w:r>
      <w:r w:rsidR="00EA6210" w:rsidRPr="00EA7B3F">
        <w:t xml:space="preserve">SOC </w:t>
      </w:r>
      <w:r w:rsidRPr="00EA7B3F">
        <w:t>patients likely to be eligible. The overall direction and extent of bias was unclear.</w:t>
      </w:r>
    </w:p>
    <w:p w14:paraId="04A78FD4" w14:textId="77777777" w:rsidR="001A75D8" w:rsidRPr="00EA7B3F" w:rsidRDefault="001A75D8" w:rsidP="001B04C2">
      <w:pPr>
        <w:pStyle w:val="3-BodyText"/>
        <w:rPr>
          <w:rFonts w:eastAsiaTheme="majorEastAsia"/>
        </w:rPr>
      </w:pPr>
      <w:r w:rsidRPr="00EA7B3F">
        <w:t xml:space="preserve">The </w:t>
      </w:r>
      <w:r w:rsidR="001A7A20" w:rsidRPr="00EA7B3F">
        <w:t xml:space="preserve">resubmission </w:t>
      </w:r>
      <w:r w:rsidRPr="00EA7B3F">
        <w:t xml:space="preserve">assumed that, as patients transition in and out of eligibility, the proportion of HAE patients </w:t>
      </w:r>
      <w:r w:rsidR="00780A22" w:rsidRPr="00EA7B3F">
        <w:t>treated each year</w:t>
      </w:r>
      <w:r w:rsidRPr="00EA7B3F">
        <w:t xml:space="preserve"> would remain constant</w:t>
      </w:r>
      <w:r w:rsidR="00780A22" w:rsidRPr="00EA7B3F">
        <w:t xml:space="preserve"> (13.9%)</w:t>
      </w:r>
      <w:r w:rsidRPr="00EA7B3F">
        <w:t>. It claimed that this approach accounted for the concerns regarding patients continuing treatment beyond the intent of the continuation criteria by only accounting for patients at a point in time when they are deriving appropriate clinical benefit, as it was similar to requiring patients to re-qualify for treatment each year. In practice, as patients who qualify in any given year and respond to treatment are eligible to continue treatment in subsequent years, the proportion of HAE patients treated with lanadelumab would be expected to increase over time. Therefore, the resubmission’s approach is likely to underestimate the number of patient</w:t>
      </w:r>
      <w:r w:rsidR="00E30D49" w:rsidRPr="00EA7B3F">
        <w:t xml:space="preserve">s likely to be treated </w:t>
      </w:r>
      <w:r w:rsidR="008A459F" w:rsidRPr="00EA7B3F">
        <w:t>in Years 2-6 of listing</w:t>
      </w:r>
      <w:r w:rsidRPr="00EA7B3F">
        <w:t>.</w:t>
      </w:r>
    </w:p>
    <w:p w14:paraId="2B457C94" w14:textId="77777777" w:rsidR="000069AA" w:rsidRPr="00EA7B3F" w:rsidRDefault="000069AA" w:rsidP="001B04C2">
      <w:pPr>
        <w:pStyle w:val="3-BodyText"/>
      </w:pPr>
      <w:r w:rsidRPr="00EA7B3F">
        <w:t xml:space="preserve">The ESC considered that the uptake rate of </w:t>
      </w:r>
      <w:r w:rsidR="006F5B4F">
        <w:rPr>
          <w:noProof/>
          <w:color w:val="000000"/>
          <w:highlight w:val="black"/>
        </w:rPr>
        <w:t>'''''</w:t>
      </w:r>
      <w:r w:rsidRPr="00EA7B3F">
        <w:t>% was likely overestimated, particularly in Year 1</w:t>
      </w:r>
      <w:r w:rsidR="00320488" w:rsidRPr="00EA7B3F">
        <w:t xml:space="preserve">. The ESC considered that uptake in the eligible patient population in Year 1, excluding grandfather patients, would be approximately </w:t>
      </w:r>
      <w:r w:rsidR="006F5B4F">
        <w:rPr>
          <w:noProof/>
          <w:color w:val="000000"/>
          <w:highlight w:val="black"/>
        </w:rPr>
        <w:t>'''''</w:t>
      </w:r>
      <w:r w:rsidR="00320488" w:rsidRPr="00EA7B3F">
        <w:t>%.</w:t>
      </w:r>
      <w:r w:rsidR="00027E29" w:rsidRPr="00EA7B3F">
        <w:t xml:space="preserve"> The pre-PBAC response applied an uptake in Year 1 of </w:t>
      </w:r>
      <w:r w:rsidR="006F5B4F">
        <w:rPr>
          <w:noProof/>
          <w:color w:val="000000"/>
          <w:highlight w:val="black"/>
        </w:rPr>
        <w:t>'''''</w:t>
      </w:r>
      <w:r w:rsidR="00027E29" w:rsidRPr="00EA7B3F">
        <w:t>% in the revised RSA (see paragraph 6.</w:t>
      </w:r>
      <w:r w:rsidR="00433ADF">
        <w:t>58</w:t>
      </w:r>
      <w:r w:rsidR="00027E29" w:rsidRPr="00EA7B3F">
        <w:t>).</w:t>
      </w:r>
    </w:p>
    <w:p w14:paraId="23C8F4F6" w14:textId="77777777" w:rsidR="001B04C2" w:rsidRPr="00EA7B3F" w:rsidRDefault="001B04C2" w:rsidP="001B04C2">
      <w:pPr>
        <w:pStyle w:val="3-BodyText"/>
        <w:rPr>
          <w:rFonts w:eastAsiaTheme="majorEastAsia"/>
        </w:rPr>
      </w:pPr>
      <w:r w:rsidRPr="00EA7B3F">
        <w:t>The market share approach used to estimate lanadelumab utilisation in the C1-INH population was based on the utilisation of C1-INH reimbursed under the National Blood A</w:t>
      </w:r>
      <w:r w:rsidR="002C1477">
        <w:t>uthority</w:t>
      </w:r>
      <w:r w:rsidR="00965DA9">
        <w:t xml:space="preserve"> (NBA)</w:t>
      </w:r>
      <w:r w:rsidRPr="00EA7B3F">
        <w:t xml:space="preserve">. For the base case of the financial analysis, the resubmission used the patient estimates for the C1-INH population from the July 2020 resubmission. </w:t>
      </w:r>
    </w:p>
    <w:p w14:paraId="6F6A47DF" w14:textId="77777777" w:rsidR="00D21DBD" w:rsidRPr="00EA7B3F" w:rsidRDefault="001B04C2" w:rsidP="00C17C4F">
      <w:pPr>
        <w:pStyle w:val="3-BodyText"/>
        <w:rPr>
          <w:rFonts w:eastAsiaTheme="majorEastAsia"/>
        </w:rPr>
      </w:pPr>
      <w:r w:rsidRPr="00EA7B3F">
        <w:t>The resubmission proposed that existing C1-INH patients have the option to switch to lanadelumab over the first two years of PBS listing, and that the access criteria and item code could be deleted after that time, in line with similar arrangements for grandfathered patients.</w:t>
      </w:r>
      <w:r w:rsidR="00C17C4F" w:rsidRPr="00EA7B3F">
        <w:t xml:space="preserve"> </w:t>
      </w:r>
      <w:r w:rsidR="00D21DBD" w:rsidRPr="00EA7B3F">
        <w:t>The</w:t>
      </w:r>
      <w:r w:rsidR="00364FF0" w:rsidRPr="00EA7B3F">
        <w:t xml:space="preserve"> PBAC noted that the</w:t>
      </w:r>
      <w:r w:rsidR="00D21DBD" w:rsidRPr="00EA7B3F">
        <w:t xml:space="preserve">re was no clear rationale </w:t>
      </w:r>
      <w:r w:rsidR="008636BE" w:rsidRPr="00EA7B3F">
        <w:t>as to why</w:t>
      </w:r>
      <w:r w:rsidR="00D84DF4" w:rsidRPr="00EA7B3F">
        <w:t xml:space="preserve"> patients should only be able to switch from C1-INH to lanadelumab in the first two years following listing of lanadelumab on the PBS</w:t>
      </w:r>
      <w:r w:rsidR="00364FF0" w:rsidRPr="00EA7B3F">
        <w:t xml:space="preserve"> and considered that the Initial 2 listing should not be deleted</w:t>
      </w:r>
      <w:r w:rsidR="000875BC" w:rsidRPr="00EA7B3F">
        <w:t xml:space="preserve"> without further consideration by the PBAC</w:t>
      </w:r>
      <w:r w:rsidR="00D84DF4" w:rsidRPr="00EA7B3F">
        <w:t xml:space="preserve">. </w:t>
      </w:r>
    </w:p>
    <w:p w14:paraId="5B54334A" w14:textId="77777777" w:rsidR="00C17C4F" w:rsidRPr="00EA7B3F" w:rsidRDefault="00C17C4F" w:rsidP="00C17C4F">
      <w:pPr>
        <w:pStyle w:val="3-BodyText"/>
        <w:rPr>
          <w:rFonts w:eastAsiaTheme="majorEastAsia"/>
        </w:rPr>
      </w:pPr>
      <w:r w:rsidRPr="00EA7B3F">
        <w:t xml:space="preserve">With the listing of the subcutaneous preparation of C1-INH on the NBA’s </w:t>
      </w:r>
      <w:r w:rsidR="002C1477">
        <w:t>National Product List (</w:t>
      </w:r>
      <w:r w:rsidRPr="00EA7B3F">
        <w:t>NPL</w:t>
      </w:r>
      <w:r w:rsidR="002C1477">
        <w:t xml:space="preserve">; </w:t>
      </w:r>
      <w:r w:rsidR="00584A97" w:rsidRPr="00EA7B3F">
        <w:t>previously only IV C1-INH was available)</w:t>
      </w:r>
      <w:r w:rsidRPr="00EA7B3F">
        <w:t xml:space="preserve">, uptake of lanadelumab in patients eligible for prophylactic treatment with C1-INH is likely to be </w:t>
      </w:r>
      <w:r w:rsidR="008636BE" w:rsidRPr="00EA7B3F">
        <w:t xml:space="preserve">lower than </w:t>
      </w:r>
      <w:r w:rsidRPr="00EA7B3F">
        <w:t>assumed in the resubmission.</w:t>
      </w:r>
    </w:p>
    <w:p w14:paraId="484092B2" w14:textId="77777777" w:rsidR="001B04C2" w:rsidRPr="00EA7B3F" w:rsidRDefault="001B04C2" w:rsidP="001B04C2">
      <w:pPr>
        <w:pStyle w:val="3-BodyText"/>
        <w:rPr>
          <w:rFonts w:eastAsiaTheme="majorEastAsia"/>
        </w:rPr>
      </w:pPr>
      <w:r w:rsidRPr="00EA7B3F">
        <w:t>The cost of lanadelumab per patient per year was based on the lanadelumab 300 mg Q4W regimen (</w:t>
      </w:r>
      <w:r w:rsidRPr="00177077">
        <w:t>13</w:t>
      </w:r>
      <w:r w:rsidRPr="00EA7B3F">
        <w:t xml:space="preserve"> syringes/patient/year), at an annual effective dispensed price per patient of $</w:t>
      </w:r>
      <w:r w:rsidR="006F5B4F">
        <w:rPr>
          <w:noProof/>
          <w:color w:val="000000"/>
          <w:highlight w:val="black"/>
        </w:rPr>
        <w:t>'''''''''''''''</w:t>
      </w:r>
      <w:r w:rsidRPr="00EA7B3F">
        <w:t xml:space="preserve">. The resubmission justified this assumption based on the RSA proposed in the resubmission. </w:t>
      </w:r>
      <w:r w:rsidR="000875BC" w:rsidRPr="00EA7B3F">
        <w:t>T</w:t>
      </w:r>
      <w:r w:rsidRPr="00EA7B3F">
        <w:t>he resubmission proposed a rebate of</w:t>
      </w:r>
      <w:r w:rsidR="000875BC" w:rsidRPr="00EA7B3F">
        <w:t xml:space="preserve"> only</w:t>
      </w:r>
      <w:r w:rsidRPr="00EA7B3F">
        <w:t xml:space="preserve"> </w:t>
      </w:r>
      <w:r w:rsidR="006F5B4F">
        <w:rPr>
          <w:noProof/>
          <w:color w:val="000000"/>
          <w:highlight w:val="black"/>
        </w:rPr>
        <w:t>'''''</w:t>
      </w:r>
      <w:r w:rsidRPr="00EA7B3F">
        <w:t xml:space="preserve">% on utilisation of lanadelumab above this level. Furthermore, a cost of </w:t>
      </w:r>
      <w:r w:rsidRPr="00177077">
        <w:t>13</w:t>
      </w:r>
      <w:r w:rsidRPr="00EA7B3F">
        <w:t xml:space="preserve"> syringes of lanadelumab was also applied to C1-INH population. However, the resubmission stated that the proposed RSA excluded patients transitioning from C1-INH routine prophylaxis. Therefore, the cost per patient for lanadelumab was underestimated for this patient cohort.</w:t>
      </w:r>
      <w:r w:rsidR="00364FF0" w:rsidRPr="00EA7B3F">
        <w:t xml:space="preserve"> This was updated in the revised RSA presented in the pre-PBAC response.</w:t>
      </w:r>
    </w:p>
    <w:p w14:paraId="70489752" w14:textId="77777777" w:rsidR="001B04C2" w:rsidRPr="00EA7B3F" w:rsidRDefault="001B04C2" w:rsidP="001B04C2">
      <w:pPr>
        <w:pStyle w:val="3-BodyText"/>
        <w:rPr>
          <w:rFonts w:eastAsiaTheme="majorEastAsia"/>
        </w:rPr>
      </w:pPr>
      <w:r w:rsidRPr="00EA7B3F">
        <w:t xml:space="preserve">As in the previous resubmission, the impact of lanadelumab on the use of icatibant was calculated </w:t>
      </w:r>
      <w:r w:rsidR="00DB0310" w:rsidRPr="00EA7B3F">
        <w:t>based on</w:t>
      </w:r>
      <w:r w:rsidRPr="00EA7B3F">
        <w:t xml:space="preserve"> the effectiveness of lanadelumab in reducing acute HAE attacks, and the expected attack frequency in patients who would receive lanadelumab</w:t>
      </w:r>
      <w:r w:rsidR="00B0771C" w:rsidRPr="00EA7B3F">
        <w:t xml:space="preserve"> but who, in the absence of lanadelumab, would not have re</w:t>
      </w:r>
      <w:r w:rsidR="006951C4" w:rsidRPr="00EA7B3F">
        <w:t xml:space="preserve">ceived prophylaxis with C1-INH. </w:t>
      </w:r>
      <w:r w:rsidR="00B0771C" w:rsidRPr="00EA7B3F">
        <w:t xml:space="preserve">The </w:t>
      </w:r>
      <w:r w:rsidR="00D2376E" w:rsidRPr="00EA7B3F">
        <w:t xml:space="preserve">average number of icatibant syringes dispensed per patient per year </w:t>
      </w:r>
      <w:r w:rsidR="00B0771C" w:rsidRPr="00EA7B3F">
        <w:t>(</w:t>
      </w:r>
      <w:r w:rsidR="006951C4" w:rsidRPr="00EA7B3F">
        <w:t xml:space="preserve">31.13) was based on </w:t>
      </w:r>
      <w:r w:rsidR="00B0771C" w:rsidRPr="00EA7B3F">
        <w:t xml:space="preserve">patients from the PBS icatibant data who </w:t>
      </w:r>
      <w:r w:rsidR="006951C4" w:rsidRPr="00EA7B3F">
        <w:t>were dispensed ≥ 24 but ≤ 48 icatibant syringes within a calendar year</w:t>
      </w:r>
      <w:r w:rsidR="00B0771C" w:rsidRPr="00EA7B3F">
        <w:t>.</w:t>
      </w:r>
      <w:r w:rsidR="00B0771C" w:rsidRPr="00EA7B3F">
        <w:rPr>
          <w:iCs/>
        </w:rPr>
        <w:t xml:space="preserve"> While the rationale behind the choice of 48 attacks as the upper limit was not apparent, it was a conservative approach</w:t>
      </w:r>
      <w:r w:rsidR="006951C4" w:rsidRPr="00EA7B3F">
        <w:rPr>
          <w:iCs/>
        </w:rPr>
        <w:t>.</w:t>
      </w:r>
    </w:p>
    <w:p w14:paraId="2BE20AC5" w14:textId="77777777" w:rsidR="001B04C2" w:rsidRPr="00EA7B3F" w:rsidRDefault="001B04C2" w:rsidP="001B04C2">
      <w:pPr>
        <w:pStyle w:val="3-BodyText"/>
        <w:rPr>
          <w:rFonts w:eastAsiaTheme="majorEastAsia"/>
        </w:rPr>
      </w:pPr>
      <w:r w:rsidRPr="00EA7B3F">
        <w:t xml:space="preserve">The resubmission estimated the cost savings to the Australian Government health budget resulting from a reduction in the use of C1-INH, for treatment of acute HAE attacks in the SOC population, and for switching from prophylactic C1-INH to lanadelumab in the C1-INH population. </w:t>
      </w:r>
    </w:p>
    <w:p w14:paraId="19C3E349" w14:textId="77777777" w:rsidR="001B04C2" w:rsidRPr="00EA7B3F" w:rsidRDefault="001B04C2" w:rsidP="001B04C2">
      <w:pPr>
        <w:pStyle w:val="3-BodyText"/>
        <w:rPr>
          <w:rFonts w:eastAsiaTheme="majorEastAsia"/>
        </w:rPr>
      </w:pPr>
      <w:r w:rsidRPr="00EA7B3F">
        <w:rPr>
          <w:rFonts w:eastAsiaTheme="majorEastAsia"/>
        </w:rPr>
        <w:t>The estimated use of lanadelumab and its financial implications are summarised below.</w:t>
      </w:r>
      <w:r w:rsidR="005D20F2" w:rsidRPr="00EA7B3F">
        <w:rPr>
          <w:rFonts w:eastAsiaTheme="majorEastAsia"/>
        </w:rPr>
        <w:t xml:space="preserve"> </w:t>
      </w:r>
      <w:r w:rsidR="003C79AD" w:rsidRPr="00EA7B3F">
        <w:rPr>
          <w:rFonts w:eastAsiaTheme="majorEastAsia"/>
        </w:rPr>
        <w:t xml:space="preserve">The resubmission stated that the SOC population included patients eligible under the Initial treatment </w:t>
      </w:r>
      <w:r w:rsidR="00364FF0" w:rsidRPr="00EA7B3F">
        <w:rPr>
          <w:rFonts w:eastAsiaTheme="majorEastAsia"/>
        </w:rPr>
        <w:t xml:space="preserve">- </w:t>
      </w:r>
      <w:r w:rsidR="003C79AD" w:rsidRPr="00EA7B3F">
        <w:rPr>
          <w:rFonts w:eastAsiaTheme="majorEastAsia"/>
        </w:rPr>
        <w:t xml:space="preserve">1 restriction and the grandfather provision (Initial treatment </w:t>
      </w:r>
      <w:r w:rsidR="00364FF0" w:rsidRPr="00EA7B3F">
        <w:rPr>
          <w:rFonts w:eastAsiaTheme="majorEastAsia"/>
        </w:rPr>
        <w:t>- 3</w:t>
      </w:r>
      <w:r w:rsidR="003C79AD" w:rsidRPr="00EA7B3F">
        <w:rPr>
          <w:rFonts w:eastAsiaTheme="majorEastAsia"/>
        </w:rPr>
        <w:t>). The resubmission stated that there were currently 12 patients receiving lanadelumab via a patient access program.</w:t>
      </w:r>
    </w:p>
    <w:p w14:paraId="0AF33872" w14:textId="77777777" w:rsidR="001B04C2" w:rsidRPr="00EA7B3F" w:rsidRDefault="001B04C2" w:rsidP="0082228E">
      <w:pPr>
        <w:pStyle w:val="TableFigureHeading"/>
        <w:keepLines/>
        <w:rPr>
          <w:rStyle w:val="CommentReference"/>
          <w:b/>
          <w:szCs w:val="24"/>
        </w:rPr>
      </w:pPr>
      <w:r w:rsidRPr="00EA7B3F">
        <w:t xml:space="preserve">Table </w:t>
      </w:r>
      <w:r w:rsidR="001972C4" w:rsidRPr="00EA7B3F">
        <w:t>11</w:t>
      </w:r>
      <w:r w:rsidRPr="00EA7B3F">
        <w:t xml:space="preserve">: </w:t>
      </w:r>
      <w:r w:rsidRPr="00EA7B3F">
        <w:rPr>
          <w:rStyle w:val="CommentReference"/>
          <w:b/>
          <w:szCs w:val="24"/>
        </w:rPr>
        <w:t>Estimated use and financial implication</w:t>
      </w:r>
      <w:r w:rsidR="005F1616" w:rsidRPr="00EA7B3F">
        <w:rPr>
          <w:rStyle w:val="CommentReference"/>
          <w:b/>
          <w:szCs w:val="24"/>
        </w:rPr>
        <w:t xml:space="preserve"> </w:t>
      </w:r>
      <w:r w:rsidR="005F1616" w:rsidRPr="00EA7B3F">
        <w:t>(effective dispensed price for lanadelumab)</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1"/>
        <w:gridCol w:w="1127"/>
        <w:gridCol w:w="1127"/>
        <w:gridCol w:w="1127"/>
        <w:gridCol w:w="1127"/>
        <w:gridCol w:w="1127"/>
        <w:gridCol w:w="1322"/>
      </w:tblGrid>
      <w:tr w:rsidR="001B04C2" w:rsidRPr="00EA7B3F" w14:paraId="19F9AD6B" w14:textId="77777777" w:rsidTr="0062428B">
        <w:trPr>
          <w:tblHeader/>
        </w:trPr>
        <w:tc>
          <w:tcPr>
            <w:tcW w:w="1222" w:type="pct"/>
            <w:shd w:val="clear" w:color="auto" w:fill="auto"/>
            <w:vAlign w:val="center"/>
          </w:tcPr>
          <w:p w14:paraId="2FC9277C" w14:textId="77777777" w:rsidR="001B04C2" w:rsidRPr="00EA7B3F" w:rsidRDefault="001B04C2" w:rsidP="0082228E">
            <w:pPr>
              <w:pStyle w:val="In-tableHeading"/>
              <w:keepLines/>
              <w:rPr>
                <w:lang w:val="en-AU"/>
              </w:rPr>
            </w:pPr>
          </w:p>
        </w:tc>
        <w:tc>
          <w:tcPr>
            <w:tcW w:w="612" w:type="pct"/>
            <w:shd w:val="clear" w:color="auto" w:fill="auto"/>
            <w:vAlign w:val="center"/>
          </w:tcPr>
          <w:p w14:paraId="52FC911E" w14:textId="77777777" w:rsidR="001B04C2" w:rsidRPr="00EA7B3F" w:rsidRDefault="001B04C2" w:rsidP="0082228E">
            <w:pPr>
              <w:pStyle w:val="In-tableHeading"/>
              <w:keepLines/>
              <w:jc w:val="center"/>
              <w:rPr>
                <w:lang w:val="en-AU"/>
              </w:rPr>
            </w:pPr>
            <w:r w:rsidRPr="00EA7B3F">
              <w:rPr>
                <w:lang w:val="en-AU"/>
              </w:rPr>
              <w:t>Year 1</w:t>
            </w:r>
          </w:p>
        </w:tc>
        <w:tc>
          <w:tcPr>
            <w:tcW w:w="612" w:type="pct"/>
            <w:shd w:val="clear" w:color="auto" w:fill="auto"/>
            <w:vAlign w:val="center"/>
          </w:tcPr>
          <w:p w14:paraId="3E581A45" w14:textId="77777777" w:rsidR="001B04C2" w:rsidRPr="00EA7B3F" w:rsidRDefault="001B04C2" w:rsidP="0082228E">
            <w:pPr>
              <w:pStyle w:val="In-tableHeading"/>
              <w:keepLines/>
              <w:jc w:val="center"/>
              <w:rPr>
                <w:lang w:val="en-AU"/>
              </w:rPr>
            </w:pPr>
            <w:r w:rsidRPr="00EA7B3F">
              <w:rPr>
                <w:lang w:val="en-AU"/>
              </w:rPr>
              <w:t>Year 2</w:t>
            </w:r>
          </w:p>
        </w:tc>
        <w:tc>
          <w:tcPr>
            <w:tcW w:w="612" w:type="pct"/>
            <w:shd w:val="clear" w:color="auto" w:fill="auto"/>
            <w:vAlign w:val="center"/>
          </w:tcPr>
          <w:p w14:paraId="54F491E5" w14:textId="77777777" w:rsidR="001B04C2" w:rsidRPr="00EA7B3F" w:rsidRDefault="001B04C2" w:rsidP="0082228E">
            <w:pPr>
              <w:pStyle w:val="In-tableHeading"/>
              <w:keepLines/>
              <w:jc w:val="center"/>
              <w:rPr>
                <w:lang w:val="en-AU"/>
              </w:rPr>
            </w:pPr>
            <w:r w:rsidRPr="00EA7B3F">
              <w:rPr>
                <w:lang w:val="en-AU"/>
              </w:rPr>
              <w:t>Year 3</w:t>
            </w:r>
          </w:p>
        </w:tc>
        <w:tc>
          <w:tcPr>
            <w:tcW w:w="612" w:type="pct"/>
            <w:shd w:val="clear" w:color="auto" w:fill="auto"/>
            <w:vAlign w:val="center"/>
          </w:tcPr>
          <w:p w14:paraId="458DED4F" w14:textId="77777777" w:rsidR="001B04C2" w:rsidRPr="00EA7B3F" w:rsidRDefault="001B04C2" w:rsidP="0082228E">
            <w:pPr>
              <w:pStyle w:val="In-tableHeading"/>
              <w:keepLines/>
              <w:jc w:val="center"/>
              <w:rPr>
                <w:lang w:val="en-AU"/>
              </w:rPr>
            </w:pPr>
            <w:r w:rsidRPr="00EA7B3F">
              <w:rPr>
                <w:lang w:val="en-AU"/>
              </w:rPr>
              <w:t>Year 4</w:t>
            </w:r>
          </w:p>
        </w:tc>
        <w:tc>
          <w:tcPr>
            <w:tcW w:w="612" w:type="pct"/>
            <w:shd w:val="clear" w:color="auto" w:fill="auto"/>
            <w:vAlign w:val="center"/>
          </w:tcPr>
          <w:p w14:paraId="70D5D7D9" w14:textId="77777777" w:rsidR="001B04C2" w:rsidRPr="00EA7B3F" w:rsidRDefault="001B04C2" w:rsidP="0082228E">
            <w:pPr>
              <w:pStyle w:val="In-tableHeading"/>
              <w:keepLines/>
              <w:jc w:val="center"/>
              <w:rPr>
                <w:lang w:val="en-AU"/>
              </w:rPr>
            </w:pPr>
            <w:r w:rsidRPr="00EA7B3F">
              <w:rPr>
                <w:lang w:val="en-AU"/>
              </w:rPr>
              <w:t>Year 5</w:t>
            </w:r>
          </w:p>
        </w:tc>
        <w:tc>
          <w:tcPr>
            <w:tcW w:w="718" w:type="pct"/>
            <w:shd w:val="clear" w:color="auto" w:fill="auto"/>
            <w:vAlign w:val="center"/>
          </w:tcPr>
          <w:p w14:paraId="56C68C1A" w14:textId="77777777" w:rsidR="001B04C2" w:rsidRPr="00EA7B3F" w:rsidRDefault="001B04C2" w:rsidP="0082228E">
            <w:pPr>
              <w:pStyle w:val="In-tableHeading"/>
              <w:keepLines/>
              <w:jc w:val="center"/>
              <w:rPr>
                <w:lang w:val="en-AU"/>
              </w:rPr>
            </w:pPr>
            <w:r w:rsidRPr="00EA7B3F">
              <w:rPr>
                <w:lang w:val="en-AU"/>
              </w:rPr>
              <w:t>Year 6</w:t>
            </w:r>
          </w:p>
        </w:tc>
      </w:tr>
      <w:tr w:rsidR="001B04C2" w:rsidRPr="00EA7B3F" w14:paraId="097B77BC" w14:textId="77777777" w:rsidTr="0062428B">
        <w:tc>
          <w:tcPr>
            <w:tcW w:w="5000" w:type="pct"/>
            <w:gridSpan w:val="7"/>
            <w:tcBorders>
              <w:bottom w:val="single" w:sz="4" w:space="0" w:color="auto"/>
            </w:tcBorders>
            <w:shd w:val="clear" w:color="auto" w:fill="auto"/>
          </w:tcPr>
          <w:p w14:paraId="1A7EB1E6" w14:textId="77777777" w:rsidR="001B04C2" w:rsidRPr="00EA7B3F" w:rsidRDefault="001B04C2" w:rsidP="0082228E">
            <w:pPr>
              <w:pStyle w:val="TableText0"/>
              <w:keepLines/>
              <w:rPr>
                <w:b/>
                <w:bCs w:val="0"/>
                <w:iCs/>
              </w:rPr>
            </w:pPr>
            <w:r w:rsidRPr="00EA7B3F">
              <w:rPr>
                <w:b/>
                <w:bCs w:val="0"/>
                <w:iCs/>
              </w:rPr>
              <w:t xml:space="preserve">Estimated financial implication for lanadelumab - </w:t>
            </w:r>
            <w:r w:rsidR="00B77246" w:rsidRPr="00EA7B3F">
              <w:rPr>
                <w:bCs w:val="0"/>
                <w:iCs/>
              </w:rPr>
              <w:t>SOC population (p</w:t>
            </w:r>
            <w:r w:rsidRPr="00EA7B3F">
              <w:rPr>
                <w:bCs w:val="0"/>
                <w:iCs/>
              </w:rPr>
              <w:t>atients experiencing ≥ 12 attacks over 6 months)</w:t>
            </w:r>
          </w:p>
        </w:tc>
      </w:tr>
      <w:tr w:rsidR="001B04C2" w:rsidRPr="00EA7B3F" w14:paraId="634C6A43" w14:textId="77777777" w:rsidTr="0062428B">
        <w:tc>
          <w:tcPr>
            <w:tcW w:w="1222" w:type="pct"/>
            <w:tcBorders>
              <w:bottom w:val="nil"/>
            </w:tcBorders>
            <w:shd w:val="clear" w:color="auto" w:fill="auto"/>
            <w:vAlign w:val="center"/>
          </w:tcPr>
          <w:p w14:paraId="60AD1D18" w14:textId="77777777" w:rsidR="001B04C2" w:rsidRPr="00EA7B3F" w:rsidRDefault="001B04C2" w:rsidP="0082228E">
            <w:pPr>
              <w:pStyle w:val="TableText0"/>
              <w:keepLines/>
            </w:pPr>
            <w:r w:rsidRPr="00EA7B3F">
              <w:t>Patients treated</w:t>
            </w:r>
          </w:p>
        </w:tc>
        <w:tc>
          <w:tcPr>
            <w:tcW w:w="612" w:type="pct"/>
            <w:tcBorders>
              <w:bottom w:val="nil"/>
            </w:tcBorders>
            <w:shd w:val="clear" w:color="auto" w:fill="auto"/>
            <w:vAlign w:val="center"/>
          </w:tcPr>
          <w:p w14:paraId="6C420B97"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c>
          <w:tcPr>
            <w:tcW w:w="612" w:type="pct"/>
            <w:tcBorders>
              <w:bottom w:val="nil"/>
            </w:tcBorders>
            <w:shd w:val="clear" w:color="auto" w:fill="auto"/>
            <w:vAlign w:val="center"/>
          </w:tcPr>
          <w:p w14:paraId="3CC392F2"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c>
          <w:tcPr>
            <w:tcW w:w="612" w:type="pct"/>
            <w:tcBorders>
              <w:bottom w:val="nil"/>
            </w:tcBorders>
            <w:shd w:val="clear" w:color="auto" w:fill="auto"/>
            <w:vAlign w:val="center"/>
          </w:tcPr>
          <w:p w14:paraId="35E927C1"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c>
          <w:tcPr>
            <w:tcW w:w="612" w:type="pct"/>
            <w:tcBorders>
              <w:bottom w:val="nil"/>
            </w:tcBorders>
            <w:shd w:val="clear" w:color="auto" w:fill="auto"/>
            <w:vAlign w:val="center"/>
          </w:tcPr>
          <w:p w14:paraId="4CA6E8C9"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c>
          <w:tcPr>
            <w:tcW w:w="612" w:type="pct"/>
            <w:tcBorders>
              <w:bottom w:val="nil"/>
            </w:tcBorders>
            <w:shd w:val="clear" w:color="auto" w:fill="auto"/>
            <w:vAlign w:val="center"/>
          </w:tcPr>
          <w:p w14:paraId="3A3D4069"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c>
          <w:tcPr>
            <w:tcW w:w="718" w:type="pct"/>
            <w:tcBorders>
              <w:bottom w:val="nil"/>
            </w:tcBorders>
            <w:shd w:val="clear" w:color="auto" w:fill="auto"/>
            <w:vAlign w:val="center"/>
          </w:tcPr>
          <w:p w14:paraId="5ADCCA5E" w14:textId="77777777" w:rsidR="001B04C2" w:rsidRPr="006F5B4F" w:rsidRDefault="006F5B4F" w:rsidP="0082228E">
            <w:pPr>
              <w:pStyle w:val="TableText0"/>
              <w:keepLines/>
              <w:jc w:val="right"/>
              <w:rPr>
                <w:iCs/>
              </w:rPr>
            </w:pPr>
            <w:r>
              <w:rPr>
                <w:noProof/>
                <w:color w:val="000000"/>
                <w:highlight w:val="black"/>
              </w:rPr>
              <w:t>'''''</w:t>
            </w:r>
            <w:r w:rsidR="000C079B" w:rsidRPr="000C079B">
              <w:rPr>
                <w:vertAlign w:val="superscript"/>
              </w:rPr>
              <w:t>1</w:t>
            </w:r>
          </w:p>
        </w:tc>
      </w:tr>
      <w:tr w:rsidR="001B04C2" w:rsidRPr="00EA7B3F" w14:paraId="7E309F77" w14:textId="77777777" w:rsidTr="0062428B">
        <w:tc>
          <w:tcPr>
            <w:tcW w:w="1222" w:type="pct"/>
            <w:tcBorders>
              <w:bottom w:val="nil"/>
            </w:tcBorders>
            <w:shd w:val="clear" w:color="auto" w:fill="auto"/>
            <w:vAlign w:val="center"/>
          </w:tcPr>
          <w:p w14:paraId="05957EAF" w14:textId="77777777" w:rsidR="001B04C2" w:rsidRPr="00EA7B3F" w:rsidRDefault="001B04C2" w:rsidP="0082228E">
            <w:pPr>
              <w:pStyle w:val="TableText0"/>
              <w:keepLines/>
            </w:pPr>
            <w:r w:rsidRPr="00EA7B3F">
              <w:t>Syringes dispensed</w:t>
            </w:r>
          </w:p>
        </w:tc>
        <w:tc>
          <w:tcPr>
            <w:tcW w:w="612" w:type="pct"/>
            <w:tcBorders>
              <w:bottom w:val="nil"/>
            </w:tcBorders>
            <w:shd w:val="clear" w:color="auto" w:fill="auto"/>
          </w:tcPr>
          <w:p w14:paraId="5329BA18"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c>
          <w:tcPr>
            <w:tcW w:w="612" w:type="pct"/>
            <w:tcBorders>
              <w:bottom w:val="nil"/>
            </w:tcBorders>
            <w:shd w:val="clear" w:color="auto" w:fill="auto"/>
          </w:tcPr>
          <w:p w14:paraId="02D4FF3E"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c>
          <w:tcPr>
            <w:tcW w:w="612" w:type="pct"/>
            <w:tcBorders>
              <w:bottom w:val="nil"/>
            </w:tcBorders>
            <w:shd w:val="clear" w:color="auto" w:fill="auto"/>
          </w:tcPr>
          <w:p w14:paraId="40509CCE"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c>
          <w:tcPr>
            <w:tcW w:w="612" w:type="pct"/>
            <w:tcBorders>
              <w:bottom w:val="nil"/>
            </w:tcBorders>
            <w:shd w:val="clear" w:color="auto" w:fill="auto"/>
          </w:tcPr>
          <w:p w14:paraId="6F9C55EA"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c>
          <w:tcPr>
            <w:tcW w:w="612" w:type="pct"/>
            <w:tcBorders>
              <w:bottom w:val="nil"/>
            </w:tcBorders>
            <w:shd w:val="clear" w:color="auto" w:fill="auto"/>
          </w:tcPr>
          <w:p w14:paraId="5B98E300"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c>
          <w:tcPr>
            <w:tcW w:w="718" w:type="pct"/>
            <w:tcBorders>
              <w:bottom w:val="nil"/>
            </w:tcBorders>
            <w:shd w:val="clear" w:color="auto" w:fill="auto"/>
          </w:tcPr>
          <w:p w14:paraId="13494D8C"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2</w:t>
            </w:r>
          </w:p>
        </w:tc>
      </w:tr>
      <w:tr w:rsidR="001B04C2" w:rsidRPr="00EA7B3F" w14:paraId="6BB510E4" w14:textId="77777777" w:rsidTr="0062428B">
        <w:tc>
          <w:tcPr>
            <w:tcW w:w="1222" w:type="pct"/>
            <w:tcBorders>
              <w:bottom w:val="nil"/>
            </w:tcBorders>
            <w:shd w:val="clear" w:color="auto" w:fill="auto"/>
            <w:vAlign w:val="center"/>
          </w:tcPr>
          <w:p w14:paraId="2A628D7F" w14:textId="77777777" w:rsidR="001B04C2" w:rsidRPr="00EA7B3F" w:rsidRDefault="001B04C2" w:rsidP="0082228E">
            <w:pPr>
              <w:pStyle w:val="TableText0"/>
              <w:keepLines/>
            </w:pPr>
            <w:r w:rsidRPr="00EA7B3F">
              <w:t xml:space="preserve">Net PBS/RPBS cost </w:t>
            </w:r>
          </w:p>
        </w:tc>
        <w:tc>
          <w:tcPr>
            <w:tcW w:w="612" w:type="pct"/>
            <w:tcBorders>
              <w:bottom w:val="nil"/>
            </w:tcBorders>
            <w:shd w:val="clear" w:color="auto" w:fill="auto"/>
            <w:vAlign w:val="center"/>
          </w:tcPr>
          <w:p w14:paraId="21DAFEF4"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3</w:t>
            </w:r>
            <w:r w:rsidRPr="00EA7B3F">
              <w:t xml:space="preserve"> </w:t>
            </w:r>
          </w:p>
        </w:tc>
        <w:tc>
          <w:tcPr>
            <w:tcW w:w="612" w:type="pct"/>
            <w:tcBorders>
              <w:bottom w:val="nil"/>
            </w:tcBorders>
            <w:shd w:val="clear" w:color="auto" w:fill="auto"/>
            <w:vAlign w:val="center"/>
          </w:tcPr>
          <w:p w14:paraId="6973AADC"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3</w:t>
            </w:r>
            <w:r w:rsidRPr="00EA7B3F">
              <w:t xml:space="preserve"> </w:t>
            </w:r>
          </w:p>
        </w:tc>
        <w:tc>
          <w:tcPr>
            <w:tcW w:w="612" w:type="pct"/>
            <w:tcBorders>
              <w:bottom w:val="nil"/>
            </w:tcBorders>
            <w:shd w:val="clear" w:color="auto" w:fill="auto"/>
            <w:vAlign w:val="center"/>
          </w:tcPr>
          <w:p w14:paraId="156E9A0F"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3</w:t>
            </w:r>
            <w:r w:rsidRPr="00EA7B3F">
              <w:t xml:space="preserve"> </w:t>
            </w:r>
          </w:p>
        </w:tc>
        <w:tc>
          <w:tcPr>
            <w:tcW w:w="612" w:type="pct"/>
            <w:tcBorders>
              <w:bottom w:val="nil"/>
            </w:tcBorders>
            <w:shd w:val="clear" w:color="auto" w:fill="auto"/>
            <w:vAlign w:val="center"/>
          </w:tcPr>
          <w:p w14:paraId="4F18E6A6"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4</w:t>
            </w:r>
            <w:r w:rsidRPr="00EA7B3F">
              <w:t xml:space="preserve"> </w:t>
            </w:r>
          </w:p>
        </w:tc>
        <w:tc>
          <w:tcPr>
            <w:tcW w:w="612" w:type="pct"/>
            <w:tcBorders>
              <w:bottom w:val="nil"/>
            </w:tcBorders>
            <w:shd w:val="clear" w:color="auto" w:fill="auto"/>
            <w:vAlign w:val="center"/>
          </w:tcPr>
          <w:p w14:paraId="095546CC"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4</w:t>
            </w:r>
            <w:r w:rsidRPr="00EA7B3F">
              <w:t xml:space="preserve"> </w:t>
            </w:r>
          </w:p>
        </w:tc>
        <w:tc>
          <w:tcPr>
            <w:tcW w:w="718" w:type="pct"/>
            <w:tcBorders>
              <w:bottom w:val="nil"/>
            </w:tcBorders>
            <w:shd w:val="clear" w:color="auto" w:fill="auto"/>
            <w:vAlign w:val="center"/>
          </w:tcPr>
          <w:p w14:paraId="2789C771"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0C079B">
              <w:rPr>
                <w:vertAlign w:val="superscript"/>
              </w:rPr>
              <w:t>4</w:t>
            </w:r>
            <w:r w:rsidRPr="00EA7B3F">
              <w:t xml:space="preserve"> </w:t>
            </w:r>
          </w:p>
        </w:tc>
      </w:tr>
      <w:tr w:rsidR="001B04C2" w:rsidRPr="00EA7B3F" w14:paraId="26CBF36A" w14:textId="77777777" w:rsidTr="0062428B">
        <w:tc>
          <w:tcPr>
            <w:tcW w:w="5000" w:type="pct"/>
            <w:gridSpan w:val="7"/>
            <w:shd w:val="clear" w:color="auto" w:fill="auto"/>
          </w:tcPr>
          <w:p w14:paraId="1C55E8AD" w14:textId="77777777" w:rsidR="001B04C2" w:rsidRPr="00EA7B3F" w:rsidRDefault="001B04C2" w:rsidP="0082228E">
            <w:pPr>
              <w:pStyle w:val="TableText0"/>
              <w:keepLines/>
              <w:rPr>
                <w:b/>
                <w:bCs w:val="0"/>
                <w:iCs/>
              </w:rPr>
            </w:pPr>
            <w:r w:rsidRPr="00EA7B3F">
              <w:rPr>
                <w:b/>
                <w:bCs w:val="0"/>
                <w:iCs/>
              </w:rPr>
              <w:t xml:space="preserve">Estimated financial implication for lanadelumab - </w:t>
            </w:r>
            <w:r w:rsidR="00B77246" w:rsidRPr="00EA7B3F">
              <w:rPr>
                <w:bCs w:val="0"/>
                <w:iCs/>
              </w:rPr>
              <w:t>C1-INH population (p</w:t>
            </w:r>
            <w:r w:rsidRPr="00EA7B3F">
              <w:rPr>
                <w:bCs w:val="0"/>
                <w:iCs/>
              </w:rPr>
              <w:t>atients switching from C1-INH prophylaxis)</w:t>
            </w:r>
          </w:p>
        </w:tc>
      </w:tr>
      <w:tr w:rsidR="001B04C2" w:rsidRPr="00EA7B3F" w14:paraId="1044059D" w14:textId="77777777" w:rsidTr="0062428B">
        <w:tc>
          <w:tcPr>
            <w:tcW w:w="1222" w:type="pct"/>
            <w:shd w:val="clear" w:color="auto" w:fill="auto"/>
            <w:vAlign w:val="center"/>
          </w:tcPr>
          <w:p w14:paraId="7945F6AE" w14:textId="77777777" w:rsidR="001B04C2" w:rsidRPr="00EA7B3F" w:rsidRDefault="001B04C2" w:rsidP="0082228E">
            <w:pPr>
              <w:pStyle w:val="TableText0"/>
              <w:keepLines/>
            </w:pPr>
            <w:r w:rsidRPr="00EA7B3F">
              <w:t>Patients treated</w:t>
            </w:r>
          </w:p>
        </w:tc>
        <w:tc>
          <w:tcPr>
            <w:tcW w:w="612" w:type="pct"/>
            <w:shd w:val="clear" w:color="auto" w:fill="auto"/>
          </w:tcPr>
          <w:p w14:paraId="0C1574DD" w14:textId="77777777" w:rsidR="001B04C2" w:rsidRPr="006F5B4F" w:rsidRDefault="006F5B4F" w:rsidP="0082228E">
            <w:pPr>
              <w:pStyle w:val="TableText0"/>
              <w:keepLines/>
              <w:jc w:val="right"/>
              <w:rPr>
                <w:iCs/>
                <w:vertAlign w:val="superscript"/>
              </w:rPr>
            </w:pPr>
            <w:r>
              <w:rPr>
                <w:bCs w:val="0"/>
                <w:noProof/>
                <w:color w:val="000000"/>
                <w:highlight w:val="black"/>
              </w:rPr>
              <w:t>'''''''</w:t>
            </w:r>
            <w:r w:rsidR="000C079B" w:rsidRPr="000C079B">
              <w:rPr>
                <w:bCs w:val="0"/>
                <w:vertAlign w:val="superscript"/>
              </w:rPr>
              <w:t>1</w:t>
            </w:r>
          </w:p>
        </w:tc>
        <w:tc>
          <w:tcPr>
            <w:tcW w:w="612" w:type="pct"/>
            <w:shd w:val="clear" w:color="auto" w:fill="auto"/>
          </w:tcPr>
          <w:p w14:paraId="2E30FB4F" w14:textId="77777777" w:rsidR="001B04C2" w:rsidRPr="006F5B4F" w:rsidRDefault="006F5B4F" w:rsidP="0082228E">
            <w:pPr>
              <w:pStyle w:val="TableText0"/>
              <w:keepLines/>
              <w:jc w:val="right"/>
              <w:rPr>
                <w:iCs/>
              </w:rPr>
            </w:pPr>
            <w:r>
              <w:rPr>
                <w:bCs w:val="0"/>
                <w:noProof/>
                <w:color w:val="000000"/>
                <w:highlight w:val="black"/>
              </w:rPr>
              <w:t>''''''</w:t>
            </w:r>
            <w:r w:rsidR="000C079B">
              <w:rPr>
                <w:vertAlign w:val="superscript"/>
              </w:rPr>
              <w:t>1</w:t>
            </w:r>
          </w:p>
        </w:tc>
        <w:tc>
          <w:tcPr>
            <w:tcW w:w="612" w:type="pct"/>
            <w:shd w:val="clear" w:color="auto" w:fill="auto"/>
          </w:tcPr>
          <w:p w14:paraId="2825C1F1" w14:textId="77777777" w:rsidR="001B04C2" w:rsidRPr="006F5B4F" w:rsidRDefault="006F5B4F" w:rsidP="0082228E">
            <w:pPr>
              <w:pStyle w:val="TableText0"/>
              <w:keepLines/>
              <w:jc w:val="right"/>
              <w:rPr>
                <w:iCs/>
              </w:rPr>
            </w:pPr>
            <w:r>
              <w:rPr>
                <w:bCs w:val="0"/>
                <w:noProof/>
                <w:color w:val="000000"/>
                <w:highlight w:val="black"/>
              </w:rPr>
              <w:t>'''''</w:t>
            </w:r>
            <w:r w:rsidR="000C079B">
              <w:rPr>
                <w:vertAlign w:val="superscript"/>
              </w:rPr>
              <w:t>1</w:t>
            </w:r>
          </w:p>
        </w:tc>
        <w:tc>
          <w:tcPr>
            <w:tcW w:w="612" w:type="pct"/>
            <w:shd w:val="clear" w:color="auto" w:fill="auto"/>
          </w:tcPr>
          <w:p w14:paraId="4B8E15E3" w14:textId="77777777" w:rsidR="001B04C2" w:rsidRPr="006F5B4F" w:rsidRDefault="006F5B4F" w:rsidP="0082228E">
            <w:pPr>
              <w:pStyle w:val="TableText0"/>
              <w:keepLines/>
              <w:jc w:val="right"/>
              <w:rPr>
                <w:iCs/>
              </w:rPr>
            </w:pPr>
            <w:r>
              <w:rPr>
                <w:bCs w:val="0"/>
                <w:noProof/>
                <w:color w:val="000000"/>
                <w:highlight w:val="black"/>
              </w:rPr>
              <w:t>''''''</w:t>
            </w:r>
            <w:r w:rsidR="000C079B">
              <w:rPr>
                <w:vertAlign w:val="superscript"/>
              </w:rPr>
              <w:t>1</w:t>
            </w:r>
          </w:p>
        </w:tc>
        <w:tc>
          <w:tcPr>
            <w:tcW w:w="612" w:type="pct"/>
            <w:shd w:val="clear" w:color="auto" w:fill="auto"/>
          </w:tcPr>
          <w:p w14:paraId="24EA8F6A" w14:textId="77777777" w:rsidR="001B04C2" w:rsidRPr="006F5B4F" w:rsidRDefault="006F5B4F" w:rsidP="0082228E">
            <w:pPr>
              <w:pStyle w:val="TableText0"/>
              <w:keepLines/>
              <w:jc w:val="right"/>
              <w:rPr>
                <w:iCs/>
              </w:rPr>
            </w:pPr>
            <w:r>
              <w:rPr>
                <w:bCs w:val="0"/>
                <w:noProof/>
                <w:color w:val="000000"/>
                <w:highlight w:val="black"/>
              </w:rPr>
              <w:t>''''''</w:t>
            </w:r>
            <w:r w:rsidR="000C079B">
              <w:rPr>
                <w:vertAlign w:val="superscript"/>
              </w:rPr>
              <w:t>1</w:t>
            </w:r>
          </w:p>
        </w:tc>
        <w:tc>
          <w:tcPr>
            <w:tcW w:w="718" w:type="pct"/>
            <w:shd w:val="clear" w:color="auto" w:fill="auto"/>
          </w:tcPr>
          <w:p w14:paraId="558CA934" w14:textId="77777777" w:rsidR="001B04C2" w:rsidRPr="006F5B4F" w:rsidRDefault="006F5B4F" w:rsidP="0082228E">
            <w:pPr>
              <w:pStyle w:val="TableText0"/>
              <w:keepLines/>
              <w:jc w:val="right"/>
              <w:rPr>
                <w:iCs/>
              </w:rPr>
            </w:pPr>
            <w:r>
              <w:rPr>
                <w:bCs w:val="0"/>
                <w:noProof/>
                <w:color w:val="000000"/>
                <w:highlight w:val="black"/>
              </w:rPr>
              <w:t>''''''</w:t>
            </w:r>
            <w:r w:rsidR="000C079B">
              <w:rPr>
                <w:vertAlign w:val="superscript"/>
              </w:rPr>
              <w:t>1</w:t>
            </w:r>
          </w:p>
        </w:tc>
      </w:tr>
      <w:tr w:rsidR="001B04C2" w:rsidRPr="00EA7B3F" w14:paraId="4A6195E9" w14:textId="77777777" w:rsidTr="0062428B">
        <w:tc>
          <w:tcPr>
            <w:tcW w:w="1222" w:type="pct"/>
            <w:shd w:val="clear" w:color="auto" w:fill="auto"/>
            <w:vAlign w:val="center"/>
          </w:tcPr>
          <w:p w14:paraId="1C9803B9" w14:textId="77777777" w:rsidR="001B04C2" w:rsidRPr="00EA7B3F" w:rsidRDefault="001B04C2" w:rsidP="0082228E">
            <w:pPr>
              <w:pStyle w:val="TableText0"/>
              <w:keepLines/>
            </w:pPr>
            <w:r w:rsidRPr="00EA7B3F">
              <w:rPr>
                <w:iCs/>
              </w:rPr>
              <w:t>Syringes dispensed</w:t>
            </w:r>
          </w:p>
        </w:tc>
        <w:tc>
          <w:tcPr>
            <w:tcW w:w="612" w:type="pct"/>
            <w:shd w:val="clear" w:color="auto" w:fill="auto"/>
          </w:tcPr>
          <w:p w14:paraId="0ED37FB7"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c>
          <w:tcPr>
            <w:tcW w:w="612" w:type="pct"/>
            <w:shd w:val="clear" w:color="auto" w:fill="auto"/>
          </w:tcPr>
          <w:p w14:paraId="62D74919"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c>
          <w:tcPr>
            <w:tcW w:w="612" w:type="pct"/>
            <w:shd w:val="clear" w:color="auto" w:fill="auto"/>
          </w:tcPr>
          <w:p w14:paraId="781C3811"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c>
          <w:tcPr>
            <w:tcW w:w="612" w:type="pct"/>
            <w:shd w:val="clear" w:color="auto" w:fill="auto"/>
          </w:tcPr>
          <w:p w14:paraId="6D9FEB45"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c>
          <w:tcPr>
            <w:tcW w:w="612" w:type="pct"/>
            <w:shd w:val="clear" w:color="auto" w:fill="auto"/>
          </w:tcPr>
          <w:p w14:paraId="2B11A317"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c>
          <w:tcPr>
            <w:tcW w:w="718" w:type="pct"/>
            <w:shd w:val="clear" w:color="auto" w:fill="auto"/>
          </w:tcPr>
          <w:p w14:paraId="5EAA67EB" w14:textId="77777777" w:rsidR="001B04C2" w:rsidRPr="006F5B4F" w:rsidRDefault="006F5B4F" w:rsidP="0082228E">
            <w:pPr>
              <w:pStyle w:val="TableText0"/>
              <w:keepLines/>
              <w:jc w:val="right"/>
              <w:rPr>
                <w:rFonts w:cs="Arial"/>
                <w:iCs/>
                <w:color w:val="000000"/>
              </w:rPr>
            </w:pPr>
            <w:r>
              <w:rPr>
                <w:noProof/>
                <w:color w:val="000000"/>
                <w:highlight w:val="black"/>
              </w:rPr>
              <w:t>''''''''</w:t>
            </w:r>
            <w:r w:rsidR="000C079B">
              <w:rPr>
                <w:vertAlign w:val="superscript"/>
              </w:rPr>
              <w:t>1</w:t>
            </w:r>
          </w:p>
        </w:tc>
      </w:tr>
      <w:tr w:rsidR="001B04C2" w:rsidRPr="00EA7B3F" w14:paraId="5365570A" w14:textId="77777777" w:rsidTr="0062428B">
        <w:tc>
          <w:tcPr>
            <w:tcW w:w="1222" w:type="pct"/>
            <w:shd w:val="clear" w:color="auto" w:fill="auto"/>
            <w:vAlign w:val="center"/>
          </w:tcPr>
          <w:p w14:paraId="1CC0E8EF" w14:textId="77777777" w:rsidR="001B04C2" w:rsidRPr="00EA7B3F" w:rsidRDefault="001B04C2" w:rsidP="0082228E">
            <w:pPr>
              <w:pStyle w:val="TableText0"/>
              <w:keepLines/>
            </w:pPr>
            <w:r w:rsidRPr="00EA7B3F">
              <w:rPr>
                <w:iCs/>
              </w:rPr>
              <w:t>Net PBS/RPBS cost</w:t>
            </w:r>
          </w:p>
        </w:tc>
        <w:tc>
          <w:tcPr>
            <w:tcW w:w="612" w:type="pct"/>
            <w:shd w:val="clear" w:color="auto" w:fill="auto"/>
            <w:vAlign w:val="bottom"/>
          </w:tcPr>
          <w:p w14:paraId="2FB4D1C5"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c>
          <w:tcPr>
            <w:tcW w:w="612" w:type="pct"/>
            <w:shd w:val="clear" w:color="auto" w:fill="auto"/>
            <w:vAlign w:val="bottom"/>
          </w:tcPr>
          <w:p w14:paraId="46E04E34"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c>
          <w:tcPr>
            <w:tcW w:w="612" w:type="pct"/>
            <w:shd w:val="clear" w:color="auto" w:fill="auto"/>
            <w:vAlign w:val="bottom"/>
          </w:tcPr>
          <w:p w14:paraId="2625005A"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c>
          <w:tcPr>
            <w:tcW w:w="612" w:type="pct"/>
            <w:shd w:val="clear" w:color="auto" w:fill="auto"/>
            <w:vAlign w:val="bottom"/>
          </w:tcPr>
          <w:p w14:paraId="748B3FE7"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c>
          <w:tcPr>
            <w:tcW w:w="612" w:type="pct"/>
            <w:shd w:val="clear" w:color="auto" w:fill="auto"/>
            <w:vAlign w:val="bottom"/>
          </w:tcPr>
          <w:p w14:paraId="1D1F7E80"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c>
          <w:tcPr>
            <w:tcW w:w="718" w:type="pct"/>
            <w:shd w:val="clear" w:color="auto" w:fill="auto"/>
            <w:vAlign w:val="bottom"/>
          </w:tcPr>
          <w:p w14:paraId="5C44B875" w14:textId="77777777" w:rsidR="001B04C2" w:rsidRPr="00EA7B3F" w:rsidRDefault="001B04C2" w:rsidP="0082228E">
            <w:pPr>
              <w:pStyle w:val="TableText0"/>
              <w:keepLines/>
              <w:jc w:val="right"/>
              <w:rPr>
                <w:iCs/>
              </w:rPr>
            </w:pPr>
            <w:r w:rsidRPr="00EA7B3F">
              <w:t>$</w:t>
            </w:r>
            <w:r w:rsidR="006F5B4F">
              <w:rPr>
                <w:noProof/>
                <w:color w:val="000000"/>
                <w:highlight w:val="black"/>
              </w:rPr>
              <w:t>'''''''''''''''''''''''</w:t>
            </w:r>
            <w:r w:rsidR="00D25ED7">
              <w:rPr>
                <w:vertAlign w:val="superscript"/>
              </w:rPr>
              <w:t>3</w:t>
            </w:r>
          </w:p>
        </w:tc>
      </w:tr>
      <w:tr w:rsidR="001B04C2" w:rsidRPr="00EA7B3F" w14:paraId="4762C017" w14:textId="77777777" w:rsidTr="0062428B">
        <w:tc>
          <w:tcPr>
            <w:tcW w:w="5000" w:type="pct"/>
            <w:gridSpan w:val="7"/>
            <w:tcBorders>
              <w:bottom w:val="single" w:sz="4" w:space="0" w:color="auto"/>
            </w:tcBorders>
            <w:shd w:val="clear" w:color="auto" w:fill="auto"/>
          </w:tcPr>
          <w:p w14:paraId="71C9021B" w14:textId="77777777" w:rsidR="001B04C2" w:rsidRPr="00EA7B3F" w:rsidRDefault="001B04C2" w:rsidP="0082228E">
            <w:pPr>
              <w:pStyle w:val="TableText0"/>
              <w:keepLines/>
              <w:rPr>
                <w:b/>
                <w:bCs w:val="0"/>
              </w:rPr>
            </w:pPr>
            <w:r w:rsidRPr="00EA7B3F">
              <w:rPr>
                <w:b/>
                <w:bCs w:val="0"/>
              </w:rPr>
              <w:t xml:space="preserve">Total treated population </w:t>
            </w:r>
          </w:p>
        </w:tc>
      </w:tr>
      <w:tr w:rsidR="001B04C2" w:rsidRPr="00EA7B3F" w14:paraId="59A1AA06" w14:textId="77777777" w:rsidTr="0062428B">
        <w:tc>
          <w:tcPr>
            <w:tcW w:w="1222" w:type="pct"/>
            <w:tcBorders>
              <w:bottom w:val="nil"/>
            </w:tcBorders>
            <w:shd w:val="clear" w:color="auto" w:fill="auto"/>
            <w:vAlign w:val="center"/>
          </w:tcPr>
          <w:p w14:paraId="32701CFB" w14:textId="77777777" w:rsidR="001B04C2" w:rsidRPr="00EA7B3F" w:rsidRDefault="001B04C2" w:rsidP="0082228E">
            <w:pPr>
              <w:pStyle w:val="TableText0"/>
              <w:keepLines/>
            </w:pPr>
            <w:r w:rsidRPr="00EA7B3F">
              <w:t>Total patients treated</w:t>
            </w:r>
          </w:p>
        </w:tc>
        <w:tc>
          <w:tcPr>
            <w:tcW w:w="612" w:type="pct"/>
            <w:tcBorders>
              <w:bottom w:val="nil"/>
            </w:tcBorders>
            <w:shd w:val="clear" w:color="auto" w:fill="auto"/>
          </w:tcPr>
          <w:p w14:paraId="12148EDF"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c>
          <w:tcPr>
            <w:tcW w:w="612" w:type="pct"/>
            <w:tcBorders>
              <w:bottom w:val="nil"/>
            </w:tcBorders>
            <w:shd w:val="clear" w:color="auto" w:fill="auto"/>
          </w:tcPr>
          <w:p w14:paraId="39B9B1A4"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c>
          <w:tcPr>
            <w:tcW w:w="612" w:type="pct"/>
            <w:tcBorders>
              <w:bottom w:val="nil"/>
            </w:tcBorders>
            <w:shd w:val="clear" w:color="auto" w:fill="auto"/>
          </w:tcPr>
          <w:p w14:paraId="23E0B600"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c>
          <w:tcPr>
            <w:tcW w:w="612" w:type="pct"/>
            <w:tcBorders>
              <w:bottom w:val="nil"/>
            </w:tcBorders>
            <w:shd w:val="clear" w:color="auto" w:fill="auto"/>
          </w:tcPr>
          <w:p w14:paraId="7EB2D42B"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c>
          <w:tcPr>
            <w:tcW w:w="612" w:type="pct"/>
            <w:tcBorders>
              <w:bottom w:val="nil"/>
            </w:tcBorders>
            <w:shd w:val="clear" w:color="auto" w:fill="auto"/>
          </w:tcPr>
          <w:p w14:paraId="2D828256"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c>
          <w:tcPr>
            <w:tcW w:w="718" w:type="pct"/>
            <w:tcBorders>
              <w:bottom w:val="nil"/>
            </w:tcBorders>
            <w:shd w:val="clear" w:color="auto" w:fill="auto"/>
          </w:tcPr>
          <w:p w14:paraId="02CEFBE1" w14:textId="77777777" w:rsidR="001B04C2" w:rsidRPr="006F5B4F" w:rsidRDefault="006F5B4F" w:rsidP="0082228E">
            <w:pPr>
              <w:pStyle w:val="TableText0"/>
              <w:keepLines/>
              <w:jc w:val="right"/>
            </w:pPr>
            <w:r>
              <w:rPr>
                <w:noProof/>
                <w:color w:val="000000"/>
                <w:highlight w:val="black"/>
              </w:rPr>
              <w:t>'''''''''</w:t>
            </w:r>
            <w:r w:rsidR="00D25ED7">
              <w:rPr>
                <w:vertAlign w:val="superscript"/>
              </w:rPr>
              <w:t>1</w:t>
            </w:r>
          </w:p>
        </w:tc>
      </w:tr>
      <w:tr w:rsidR="001B04C2" w:rsidRPr="00EA7B3F" w14:paraId="1B60DFA6" w14:textId="77777777" w:rsidTr="0062428B">
        <w:tc>
          <w:tcPr>
            <w:tcW w:w="1222" w:type="pct"/>
            <w:tcBorders>
              <w:bottom w:val="nil"/>
            </w:tcBorders>
            <w:shd w:val="clear" w:color="auto" w:fill="auto"/>
            <w:vAlign w:val="center"/>
          </w:tcPr>
          <w:p w14:paraId="2A04865E" w14:textId="77777777" w:rsidR="001B04C2" w:rsidRPr="00EA7B3F" w:rsidRDefault="001B04C2" w:rsidP="0082228E">
            <w:pPr>
              <w:pStyle w:val="TableText0"/>
              <w:keepLines/>
            </w:pPr>
            <w:r w:rsidRPr="00EA7B3F">
              <w:t>Total syringes dispensed</w:t>
            </w:r>
          </w:p>
        </w:tc>
        <w:tc>
          <w:tcPr>
            <w:tcW w:w="612" w:type="pct"/>
            <w:tcBorders>
              <w:bottom w:val="nil"/>
            </w:tcBorders>
            <w:shd w:val="clear" w:color="auto" w:fill="auto"/>
          </w:tcPr>
          <w:p w14:paraId="0AA39AFE"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c>
          <w:tcPr>
            <w:tcW w:w="612" w:type="pct"/>
            <w:tcBorders>
              <w:bottom w:val="nil"/>
            </w:tcBorders>
            <w:shd w:val="clear" w:color="auto" w:fill="auto"/>
          </w:tcPr>
          <w:p w14:paraId="417DC9C1"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c>
          <w:tcPr>
            <w:tcW w:w="612" w:type="pct"/>
            <w:tcBorders>
              <w:bottom w:val="nil"/>
            </w:tcBorders>
            <w:shd w:val="clear" w:color="auto" w:fill="auto"/>
          </w:tcPr>
          <w:p w14:paraId="11B1D5E5"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c>
          <w:tcPr>
            <w:tcW w:w="612" w:type="pct"/>
            <w:tcBorders>
              <w:bottom w:val="nil"/>
            </w:tcBorders>
            <w:shd w:val="clear" w:color="auto" w:fill="auto"/>
          </w:tcPr>
          <w:p w14:paraId="6E67716E"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c>
          <w:tcPr>
            <w:tcW w:w="612" w:type="pct"/>
            <w:tcBorders>
              <w:bottom w:val="nil"/>
            </w:tcBorders>
            <w:shd w:val="clear" w:color="auto" w:fill="auto"/>
          </w:tcPr>
          <w:p w14:paraId="11776E7E"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c>
          <w:tcPr>
            <w:tcW w:w="718" w:type="pct"/>
            <w:tcBorders>
              <w:bottom w:val="nil"/>
            </w:tcBorders>
            <w:shd w:val="clear" w:color="auto" w:fill="auto"/>
          </w:tcPr>
          <w:p w14:paraId="2DD6900C" w14:textId="77777777" w:rsidR="001B04C2" w:rsidRPr="006F5B4F" w:rsidRDefault="006F5B4F" w:rsidP="0082228E">
            <w:pPr>
              <w:pStyle w:val="TableText0"/>
              <w:keepLines/>
              <w:jc w:val="right"/>
            </w:pPr>
            <w:r>
              <w:rPr>
                <w:noProof/>
                <w:color w:val="000000"/>
                <w:highlight w:val="black"/>
              </w:rPr>
              <w:t>'''''''''''''</w:t>
            </w:r>
            <w:r w:rsidR="00D25ED7">
              <w:rPr>
                <w:vertAlign w:val="superscript"/>
              </w:rPr>
              <w:t>2</w:t>
            </w:r>
          </w:p>
        </w:tc>
      </w:tr>
      <w:tr w:rsidR="001B04C2" w:rsidRPr="00EA7B3F" w14:paraId="1BE248B9" w14:textId="77777777" w:rsidTr="0062428B">
        <w:tc>
          <w:tcPr>
            <w:tcW w:w="1222" w:type="pct"/>
            <w:shd w:val="clear" w:color="auto" w:fill="auto"/>
            <w:vAlign w:val="center"/>
          </w:tcPr>
          <w:p w14:paraId="6E709B20" w14:textId="77777777" w:rsidR="001B04C2" w:rsidRPr="00EA7B3F" w:rsidRDefault="001B04C2" w:rsidP="0082228E">
            <w:pPr>
              <w:pStyle w:val="TableText0"/>
              <w:keepLines/>
              <w:rPr>
                <w:b/>
                <w:bCs w:val="0"/>
              </w:rPr>
            </w:pPr>
            <w:r w:rsidRPr="00EA7B3F">
              <w:rPr>
                <w:b/>
                <w:bCs w:val="0"/>
              </w:rPr>
              <w:t xml:space="preserve">Net PBS/RPBS cost </w:t>
            </w:r>
          </w:p>
        </w:tc>
        <w:tc>
          <w:tcPr>
            <w:tcW w:w="612" w:type="pct"/>
            <w:shd w:val="clear" w:color="auto" w:fill="auto"/>
          </w:tcPr>
          <w:p w14:paraId="70FC00D3"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c>
          <w:tcPr>
            <w:tcW w:w="612" w:type="pct"/>
            <w:shd w:val="clear" w:color="auto" w:fill="auto"/>
          </w:tcPr>
          <w:p w14:paraId="0EB89591"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c>
          <w:tcPr>
            <w:tcW w:w="612" w:type="pct"/>
            <w:shd w:val="clear" w:color="auto" w:fill="auto"/>
          </w:tcPr>
          <w:p w14:paraId="5A4E9957"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c>
          <w:tcPr>
            <w:tcW w:w="612" w:type="pct"/>
            <w:shd w:val="clear" w:color="auto" w:fill="auto"/>
          </w:tcPr>
          <w:p w14:paraId="145D8B41"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c>
          <w:tcPr>
            <w:tcW w:w="612" w:type="pct"/>
            <w:shd w:val="clear" w:color="auto" w:fill="auto"/>
          </w:tcPr>
          <w:p w14:paraId="63B3FEA0"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c>
          <w:tcPr>
            <w:tcW w:w="718" w:type="pct"/>
            <w:shd w:val="clear" w:color="auto" w:fill="auto"/>
          </w:tcPr>
          <w:p w14:paraId="0B3C1AF1"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4</w:t>
            </w:r>
          </w:p>
        </w:tc>
      </w:tr>
      <w:tr w:rsidR="001B04C2" w:rsidRPr="00EA7B3F" w14:paraId="2817C810" w14:textId="77777777" w:rsidTr="0062428B">
        <w:tc>
          <w:tcPr>
            <w:tcW w:w="5000" w:type="pct"/>
            <w:gridSpan w:val="7"/>
            <w:shd w:val="clear" w:color="auto" w:fill="auto"/>
            <w:vAlign w:val="center"/>
          </w:tcPr>
          <w:p w14:paraId="530CAB63" w14:textId="77777777" w:rsidR="001B04C2" w:rsidRPr="00EA7B3F" w:rsidRDefault="001B04C2" w:rsidP="0082228E">
            <w:pPr>
              <w:pStyle w:val="TableText0"/>
              <w:keepLines/>
              <w:rPr>
                <w:b/>
              </w:rPr>
            </w:pPr>
            <w:r w:rsidRPr="00EA7B3F">
              <w:rPr>
                <w:b/>
              </w:rPr>
              <w:t>Estimated financial implication for icatibant (</w:t>
            </w:r>
            <w:r w:rsidRPr="00EA7B3F">
              <w:t xml:space="preserve">patients dispensed </w:t>
            </w:r>
            <w:r w:rsidR="002C598A" w:rsidRPr="00EA7B3F">
              <w:t>≥</w:t>
            </w:r>
            <w:r w:rsidRPr="00EA7B3F">
              <w:t> 24 but ≤ 48 icatibant syringes within a calendar year)</w:t>
            </w:r>
          </w:p>
        </w:tc>
      </w:tr>
      <w:tr w:rsidR="001B04C2" w:rsidRPr="00EA7B3F" w14:paraId="0FB888EA" w14:textId="77777777" w:rsidTr="0062428B">
        <w:tc>
          <w:tcPr>
            <w:tcW w:w="1222" w:type="pct"/>
            <w:tcBorders>
              <w:bottom w:val="nil"/>
            </w:tcBorders>
          </w:tcPr>
          <w:p w14:paraId="3362D226" w14:textId="77777777" w:rsidR="001B04C2" w:rsidRPr="00EA7B3F" w:rsidRDefault="001B04C2" w:rsidP="0082228E">
            <w:pPr>
              <w:pStyle w:val="TableText0"/>
              <w:keepLines/>
              <w:rPr>
                <w:b/>
                <w:bCs w:val="0"/>
              </w:rPr>
            </w:pPr>
            <w:r w:rsidRPr="00EA7B3F">
              <w:t>Background attacks (mean 31.13/patient/year)</w:t>
            </w:r>
            <w:r w:rsidRPr="00EA7B3F">
              <w:rPr>
                <w:vertAlign w:val="superscript"/>
              </w:rPr>
              <w:t>a</w:t>
            </w:r>
          </w:p>
        </w:tc>
        <w:tc>
          <w:tcPr>
            <w:tcW w:w="612" w:type="pct"/>
            <w:tcBorders>
              <w:bottom w:val="nil"/>
            </w:tcBorders>
            <w:vAlign w:val="center"/>
          </w:tcPr>
          <w:p w14:paraId="7124C874"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2B2B0360"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2C2D4FD2"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615BEBE0"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1E74E03F"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718" w:type="pct"/>
            <w:tcBorders>
              <w:bottom w:val="nil"/>
            </w:tcBorders>
            <w:vAlign w:val="center"/>
          </w:tcPr>
          <w:p w14:paraId="04CB8BA2"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r>
      <w:tr w:rsidR="001B04C2" w:rsidRPr="00EA7B3F" w14:paraId="1D1CBF35" w14:textId="77777777" w:rsidTr="0062428B">
        <w:tc>
          <w:tcPr>
            <w:tcW w:w="1222" w:type="pct"/>
            <w:tcBorders>
              <w:bottom w:val="nil"/>
            </w:tcBorders>
          </w:tcPr>
          <w:p w14:paraId="3569424A" w14:textId="77777777" w:rsidR="001B04C2" w:rsidRPr="00EA7B3F" w:rsidRDefault="001B04C2" w:rsidP="0082228E">
            <w:pPr>
              <w:pStyle w:val="TableText0"/>
              <w:keepLines/>
              <w:rPr>
                <w:b/>
                <w:bCs w:val="0"/>
              </w:rPr>
            </w:pPr>
            <w:r w:rsidRPr="00EA7B3F">
              <w:t>Attacks prevented</w:t>
            </w:r>
            <w:r w:rsidRPr="00EA7B3F">
              <w:rPr>
                <w:vertAlign w:val="superscript"/>
              </w:rPr>
              <w:t>b</w:t>
            </w:r>
          </w:p>
        </w:tc>
        <w:tc>
          <w:tcPr>
            <w:tcW w:w="612" w:type="pct"/>
            <w:tcBorders>
              <w:bottom w:val="nil"/>
            </w:tcBorders>
            <w:vAlign w:val="center"/>
          </w:tcPr>
          <w:p w14:paraId="2220DD16"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61CE646A"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45EF2507"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026C5450"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10EB4194"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718" w:type="pct"/>
            <w:tcBorders>
              <w:bottom w:val="nil"/>
            </w:tcBorders>
            <w:vAlign w:val="center"/>
          </w:tcPr>
          <w:p w14:paraId="2C3F8D4E"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r>
      <w:tr w:rsidR="001B04C2" w:rsidRPr="00EA7B3F" w14:paraId="4438E871" w14:textId="77777777" w:rsidTr="0062428B">
        <w:tc>
          <w:tcPr>
            <w:tcW w:w="1222" w:type="pct"/>
            <w:tcBorders>
              <w:bottom w:val="nil"/>
            </w:tcBorders>
          </w:tcPr>
          <w:p w14:paraId="72E00DDF" w14:textId="77777777" w:rsidR="001B04C2" w:rsidRPr="00EA7B3F" w:rsidRDefault="001B04C2" w:rsidP="0082228E">
            <w:pPr>
              <w:pStyle w:val="TableText0"/>
              <w:keepLines/>
              <w:rPr>
                <w:b/>
                <w:bCs w:val="0"/>
              </w:rPr>
            </w:pPr>
            <w:r w:rsidRPr="00EA7B3F">
              <w:t>Icatibant injections avoided</w:t>
            </w:r>
            <w:r w:rsidRPr="00EA7B3F">
              <w:rPr>
                <w:vertAlign w:val="superscript"/>
              </w:rPr>
              <w:t>c</w:t>
            </w:r>
          </w:p>
        </w:tc>
        <w:tc>
          <w:tcPr>
            <w:tcW w:w="612" w:type="pct"/>
            <w:tcBorders>
              <w:bottom w:val="nil"/>
            </w:tcBorders>
            <w:vAlign w:val="center"/>
          </w:tcPr>
          <w:p w14:paraId="18811801"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2B8298BC"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4C2A2AE1"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08BBD7A1"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612" w:type="pct"/>
            <w:tcBorders>
              <w:bottom w:val="nil"/>
            </w:tcBorders>
            <w:vAlign w:val="center"/>
          </w:tcPr>
          <w:p w14:paraId="294BDF75"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c>
          <w:tcPr>
            <w:tcW w:w="718" w:type="pct"/>
            <w:tcBorders>
              <w:bottom w:val="nil"/>
            </w:tcBorders>
            <w:vAlign w:val="center"/>
          </w:tcPr>
          <w:p w14:paraId="5EC8462C" w14:textId="77777777" w:rsidR="001B04C2" w:rsidRPr="006F5B4F" w:rsidRDefault="006F5B4F" w:rsidP="0082228E">
            <w:pPr>
              <w:pStyle w:val="TableText0"/>
              <w:keepLines/>
              <w:jc w:val="right"/>
              <w:rPr>
                <w:b/>
              </w:rPr>
            </w:pPr>
            <w:r>
              <w:rPr>
                <w:noProof/>
                <w:color w:val="000000"/>
                <w:highlight w:val="black"/>
              </w:rPr>
              <w:t>''''''''''''</w:t>
            </w:r>
            <w:r w:rsidR="00D25ED7">
              <w:rPr>
                <w:vertAlign w:val="superscript"/>
              </w:rPr>
              <w:t>2</w:t>
            </w:r>
          </w:p>
        </w:tc>
      </w:tr>
      <w:tr w:rsidR="001B04C2" w:rsidRPr="00EA7B3F" w14:paraId="28586B48" w14:textId="77777777" w:rsidTr="0062428B">
        <w:tc>
          <w:tcPr>
            <w:tcW w:w="1222" w:type="pct"/>
            <w:vAlign w:val="center"/>
          </w:tcPr>
          <w:p w14:paraId="563A0473" w14:textId="77777777" w:rsidR="001B04C2" w:rsidRPr="00EA7B3F" w:rsidRDefault="001B04C2" w:rsidP="0082228E">
            <w:pPr>
              <w:pStyle w:val="TableText0"/>
              <w:keepLines/>
              <w:rPr>
                <w:b/>
                <w:bCs w:val="0"/>
              </w:rPr>
            </w:pPr>
            <w:r w:rsidRPr="00EA7B3F">
              <w:rPr>
                <w:b/>
              </w:rPr>
              <w:t>Net savings PBS/RPBS</w:t>
            </w:r>
            <w:r w:rsidRPr="00EA7B3F">
              <w:rPr>
                <w:b/>
                <w:vertAlign w:val="superscript"/>
              </w:rPr>
              <w:t>d</w:t>
            </w:r>
          </w:p>
        </w:tc>
        <w:tc>
          <w:tcPr>
            <w:tcW w:w="612" w:type="pct"/>
            <w:vAlign w:val="center"/>
          </w:tcPr>
          <w:p w14:paraId="0AC9A1F9"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c>
          <w:tcPr>
            <w:tcW w:w="612" w:type="pct"/>
            <w:vAlign w:val="center"/>
          </w:tcPr>
          <w:p w14:paraId="74577A09"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c>
          <w:tcPr>
            <w:tcW w:w="612" w:type="pct"/>
            <w:vAlign w:val="center"/>
          </w:tcPr>
          <w:p w14:paraId="5AF1AE65"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c>
          <w:tcPr>
            <w:tcW w:w="612" w:type="pct"/>
            <w:vAlign w:val="center"/>
          </w:tcPr>
          <w:p w14:paraId="04BC2DBD"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c>
          <w:tcPr>
            <w:tcW w:w="612" w:type="pct"/>
            <w:vAlign w:val="center"/>
          </w:tcPr>
          <w:p w14:paraId="4233655B"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c>
          <w:tcPr>
            <w:tcW w:w="718" w:type="pct"/>
            <w:vAlign w:val="center"/>
          </w:tcPr>
          <w:p w14:paraId="48C428A7"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D25ED7">
              <w:rPr>
                <w:vertAlign w:val="superscript"/>
              </w:rPr>
              <w:t>3</w:t>
            </w:r>
          </w:p>
        </w:tc>
      </w:tr>
      <w:tr w:rsidR="001B04C2" w:rsidRPr="00EA7B3F" w14:paraId="3B91E2E6" w14:textId="77777777" w:rsidTr="0062428B">
        <w:tc>
          <w:tcPr>
            <w:tcW w:w="5000" w:type="pct"/>
            <w:gridSpan w:val="7"/>
            <w:shd w:val="clear" w:color="auto" w:fill="auto"/>
            <w:vAlign w:val="center"/>
          </w:tcPr>
          <w:p w14:paraId="6318701D" w14:textId="77777777" w:rsidR="001B04C2" w:rsidRPr="00EA7B3F" w:rsidRDefault="001B04C2" w:rsidP="0082228E">
            <w:pPr>
              <w:pStyle w:val="TableText0"/>
              <w:keepLines/>
              <w:rPr>
                <w:b/>
              </w:rPr>
            </w:pPr>
            <w:r w:rsidRPr="00EA7B3F">
              <w:rPr>
                <w:b/>
              </w:rPr>
              <w:t>Net financial implications</w:t>
            </w:r>
          </w:p>
        </w:tc>
      </w:tr>
      <w:tr w:rsidR="001B04C2" w:rsidRPr="00EA7B3F" w14:paraId="79B56B75" w14:textId="77777777" w:rsidTr="0062428B">
        <w:tc>
          <w:tcPr>
            <w:tcW w:w="1222" w:type="pct"/>
            <w:shd w:val="clear" w:color="auto" w:fill="auto"/>
            <w:vAlign w:val="center"/>
          </w:tcPr>
          <w:p w14:paraId="66BA6DA4" w14:textId="77777777" w:rsidR="001B04C2" w:rsidRPr="00EA7B3F" w:rsidRDefault="001B04C2" w:rsidP="0082228E">
            <w:pPr>
              <w:pStyle w:val="TableText0"/>
              <w:keepLines/>
              <w:rPr>
                <w:b/>
              </w:rPr>
            </w:pPr>
            <w:r w:rsidRPr="00EA7B3F">
              <w:rPr>
                <w:b/>
                <w:bCs w:val="0"/>
              </w:rPr>
              <w:t>Net cost to PBS/RPBS</w:t>
            </w:r>
          </w:p>
        </w:tc>
        <w:tc>
          <w:tcPr>
            <w:tcW w:w="612" w:type="pct"/>
            <w:shd w:val="clear" w:color="auto" w:fill="auto"/>
            <w:vAlign w:val="center"/>
          </w:tcPr>
          <w:p w14:paraId="190D0F7C"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c>
          <w:tcPr>
            <w:tcW w:w="612" w:type="pct"/>
            <w:shd w:val="clear" w:color="auto" w:fill="auto"/>
            <w:vAlign w:val="center"/>
          </w:tcPr>
          <w:p w14:paraId="2517D8E5"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c>
          <w:tcPr>
            <w:tcW w:w="612" w:type="pct"/>
            <w:shd w:val="clear" w:color="auto" w:fill="auto"/>
            <w:vAlign w:val="center"/>
          </w:tcPr>
          <w:p w14:paraId="1EE8A2A8"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c>
          <w:tcPr>
            <w:tcW w:w="612" w:type="pct"/>
            <w:shd w:val="clear" w:color="auto" w:fill="auto"/>
            <w:vAlign w:val="center"/>
          </w:tcPr>
          <w:p w14:paraId="5DB4DC39"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c>
          <w:tcPr>
            <w:tcW w:w="612" w:type="pct"/>
            <w:shd w:val="clear" w:color="auto" w:fill="auto"/>
            <w:vAlign w:val="center"/>
          </w:tcPr>
          <w:p w14:paraId="7E7164B3"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c>
          <w:tcPr>
            <w:tcW w:w="718" w:type="pct"/>
            <w:shd w:val="clear" w:color="auto" w:fill="auto"/>
            <w:vAlign w:val="center"/>
          </w:tcPr>
          <w:p w14:paraId="5F3119BE"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4</w:t>
            </w:r>
          </w:p>
        </w:tc>
      </w:tr>
      <w:tr w:rsidR="001B04C2" w:rsidRPr="00EA7B3F" w14:paraId="6F2D2504" w14:textId="77777777" w:rsidTr="0062428B">
        <w:tc>
          <w:tcPr>
            <w:tcW w:w="1222" w:type="pct"/>
            <w:tcBorders>
              <w:bottom w:val="single" w:sz="4" w:space="0" w:color="auto"/>
            </w:tcBorders>
            <w:shd w:val="clear" w:color="auto" w:fill="auto"/>
            <w:vAlign w:val="center"/>
          </w:tcPr>
          <w:p w14:paraId="3FE854C0" w14:textId="77777777" w:rsidR="001B04C2" w:rsidRPr="00EA7B3F" w:rsidRDefault="001B04C2" w:rsidP="0082228E">
            <w:pPr>
              <w:pStyle w:val="TableText0"/>
              <w:keepLines/>
              <w:rPr>
                <w:b/>
                <w:bCs w:val="0"/>
              </w:rPr>
            </w:pPr>
            <w:r w:rsidRPr="00EA7B3F">
              <w:rPr>
                <w:b/>
              </w:rPr>
              <w:t xml:space="preserve">Cost saving to </w:t>
            </w:r>
            <w:r w:rsidRPr="00EA7B3F">
              <w:rPr>
                <w:b/>
                <w:bCs w:val="0"/>
              </w:rPr>
              <w:t>the Australian Government health budget</w:t>
            </w:r>
            <w:r w:rsidRPr="00EA7B3F">
              <w:rPr>
                <w:b/>
                <w:vertAlign w:val="superscript"/>
              </w:rPr>
              <w:t xml:space="preserve"> e</w:t>
            </w:r>
          </w:p>
        </w:tc>
        <w:tc>
          <w:tcPr>
            <w:tcW w:w="612" w:type="pct"/>
            <w:tcBorders>
              <w:bottom w:val="single" w:sz="4" w:space="0" w:color="auto"/>
            </w:tcBorders>
            <w:shd w:val="clear" w:color="auto" w:fill="auto"/>
            <w:vAlign w:val="center"/>
          </w:tcPr>
          <w:p w14:paraId="4F081D4B"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3</w:t>
            </w:r>
          </w:p>
        </w:tc>
        <w:tc>
          <w:tcPr>
            <w:tcW w:w="612" w:type="pct"/>
            <w:tcBorders>
              <w:bottom w:val="single" w:sz="4" w:space="0" w:color="auto"/>
            </w:tcBorders>
            <w:shd w:val="clear" w:color="auto" w:fill="auto"/>
            <w:vAlign w:val="center"/>
          </w:tcPr>
          <w:p w14:paraId="0558B465"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3</w:t>
            </w:r>
          </w:p>
        </w:tc>
        <w:tc>
          <w:tcPr>
            <w:tcW w:w="612" w:type="pct"/>
            <w:tcBorders>
              <w:bottom w:val="single" w:sz="4" w:space="0" w:color="auto"/>
            </w:tcBorders>
            <w:shd w:val="clear" w:color="auto" w:fill="auto"/>
            <w:vAlign w:val="center"/>
          </w:tcPr>
          <w:p w14:paraId="370D3A9E"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4</w:t>
            </w:r>
          </w:p>
        </w:tc>
        <w:tc>
          <w:tcPr>
            <w:tcW w:w="612" w:type="pct"/>
            <w:tcBorders>
              <w:bottom w:val="single" w:sz="4" w:space="0" w:color="auto"/>
            </w:tcBorders>
            <w:shd w:val="clear" w:color="auto" w:fill="auto"/>
            <w:vAlign w:val="center"/>
          </w:tcPr>
          <w:p w14:paraId="118E9485"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4</w:t>
            </w:r>
          </w:p>
        </w:tc>
        <w:tc>
          <w:tcPr>
            <w:tcW w:w="612" w:type="pct"/>
            <w:tcBorders>
              <w:bottom w:val="single" w:sz="4" w:space="0" w:color="auto"/>
            </w:tcBorders>
            <w:shd w:val="clear" w:color="auto" w:fill="auto"/>
            <w:vAlign w:val="center"/>
          </w:tcPr>
          <w:p w14:paraId="25E472FB"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4</w:t>
            </w:r>
          </w:p>
        </w:tc>
        <w:tc>
          <w:tcPr>
            <w:tcW w:w="718" w:type="pct"/>
            <w:tcBorders>
              <w:bottom w:val="single" w:sz="4" w:space="0" w:color="auto"/>
            </w:tcBorders>
            <w:shd w:val="clear" w:color="auto" w:fill="auto"/>
            <w:vAlign w:val="center"/>
          </w:tcPr>
          <w:p w14:paraId="481BD7A8" w14:textId="77777777" w:rsidR="001B04C2" w:rsidRPr="00EA7B3F" w:rsidRDefault="001B04C2" w:rsidP="0082228E">
            <w:pPr>
              <w:pStyle w:val="TableText0"/>
              <w:keepLines/>
              <w:jc w:val="right"/>
              <w:rPr>
                <w:b/>
              </w:rPr>
            </w:pPr>
            <w:r w:rsidRPr="00EA7B3F">
              <w:t>-$</w:t>
            </w:r>
            <w:r w:rsidR="006F5B4F">
              <w:rPr>
                <w:noProof/>
                <w:color w:val="000000"/>
                <w:highlight w:val="black"/>
              </w:rPr>
              <w:t>'''''''''''''''''''''''''''''</w:t>
            </w:r>
            <w:r w:rsidR="00AF7CE5">
              <w:rPr>
                <w:vertAlign w:val="superscript"/>
              </w:rPr>
              <w:t>4</w:t>
            </w:r>
          </w:p>
        </w:tc>
      </w:tr>
      <w:tr w:rsidR="001B04C2" w:rsidRPr="00EA7B3F" w14:paraId="34C8CD0D" w14:textId="77777777" w:rsidTr="0062428B">
        <w:tc>
          <w:tcPr>
            <w:tcW w:w="1222" w:type="pct"/>
            <w:tcBorders>
              <w:top w:val="single" w:sz="4" w:space="0" w:color="auto"/>
            </w:tcBorders>
            <w:shd w:val="clear" w:color="auto" w:fill="auto"/>
            <w:vAlign w:val="center"/>
          </w:tcPr>
          <w:p w14:paraId="31F1F441" w14:textId="77777777" w:rsidR="001B04C2" w:rsidRPr="00EA7B3F" w:rsidRDefault="001B04C2" w:rsidP="0082228E">
            <w:pPr>
              <w:pStyle w:val="TableText0"/>
              <w:keepLines/>
              <w:rPr>
                <w:b/>
                <w:bCs w:val="0"/>
              </w:rPr>
            </w:pPr>
            <w:r w:rsidRPr="00EA7B3F">
              <w:rPr>
                <w:b/>
                <w:bCs w:val="0"/>
              </w:rPr>
              <w:t>Net implications for the Australian Government health budget</w:t>
            </w:r>
          </w:p>
        </w:tc>
        <w:tc>
          <w:tcPr>
            <w:tcW w:w="612" w:type="pct"/>
            <w:tcBorders>
              <w:top w:val="single" w:sz="4" w:space="0" w:color="auto"/>
            </w:tcBorders>
            <w:shd w:val="clear" w:color="auto" w:fill="auto"/>
            <w:vAlign w:val="center"/>
          </w:tcPr>
          <w:p w14:paraId="2A342760"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c>
          <w:tcPr>
            <w:tcW w:w="612" w:type="pct"/>
            <w:tcBorders>
              <w:top w:val="single" w:sz="4" w:space="0" w:color="auto"/>
            </w:tcBorders>
            <w:shd w:val="clear" w:color="auto" w:fill="auto"/>
            <w:vAlign w:val="center"/>
          </w:tcPr>
          <w:p w14:paraId="2DD74579"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c>
          <w:tcPr>
            <w:tcW w:w="612" w:type="pct"/>
            <w:tcBorders>
              <w:top w:val="single" w:sz="4" w:space="0" w:color="auto"/>
            </w:tcBorders>
            <w:shd w:val="clear" w:color="auto" w:fill="auto"/>
            <w:vAlign w:val="center"/>
          </w:tcPr>
          <w:p w14:paraId="36910441"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c>
          <w:tcPr>
            <w:tcW w:w="612" w:type="pct"/>
            <w:tcBorders>
              <w:top w:val="single" w:sz="4" w:space="0" w:color="auto"/>
            </w:tcBorders>
            <w:shd w:val="clear" w:color="auto" w:fill="auto"/>
            <w:vAlign w:val="center"/>
          </w:tcPr>
          <w:p w14:paraId="745D0E86"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c>
          <w:tcPr>
            <w:tcW w:w="612" w:type="pct"/>
            <w:tcBorders>
              <w:top w:val="single" w:sz="4" w:space="0" w:color="auto"/>
            </w:tcBorders>
            <w:shd w:val="clear" w:color="auto" w:fill="auto"/>
            <w:vAlign w:val="center"/>
          </w:tcPr>
          <w:p w14:paraId="31030D83"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c>
          <w:tcPr>
            <w:tcW w:w="718" w:type="pct"/>
            <w:tcBorders>
              <w:top w:val="single" w:sz="4" w:space="0" w:color="auto"/>
            </w:tcBorders>
            <w:shd w:val="clear" w:color="auto" w:fill="auto"/>
            <w:vAlign w:val="center"/>
          </w:tcPr>
          <w:p w14:paraId="5D2A248B" w14:textId="77777777" w:rsidR="001B04C2" w:rsidRPr="00EA7B3F" w:rsidRDefault="001B04C2" w:rsidP="0082228E">
            <w:pPr>
              <w:pStyle w:val="TableText0"/>
              <w:keepLines/>
              <w:jc w:val="right"/>
              <w:rPr>
                <w:b/>
              </w:rPr>
            </w:pPr>
            <w:r w:rsidRPr="00EA7B3F">
              <w:rPr>
                <w:b/>
              </w:rPr>
              <w:t>$</w:t>
            </w:r>
            <w:r w:rsidR="006F5B4F">
              <w:rPr>
                <w:b/>
                <w:noProof/>
                <w:color w:val="000000"/>
                <w:highlight w:val="black"/>
              </w:rPr>
              <w:t>'''''''''''''''''</w:t>
            </w:r>
            <w:r w:rsidR="00AF7CE5">
              <w:rPr>
                <w:vertAlign w:val="superscript"/>
              </w:rPr>
              <w:t>3</w:t>
            </w:r>
            <w:r w:rsidRPr="00EA7B3F">
              <w:rPr>
                <w:b/>
              </w:rPr>
              <w:t xml:space="preserve"> </w:t>
            </w:r>
          </w:p>
        </w:tc>
      </w:tr>
      <w:tr w:rsidR="001B04C2" w:rsidRPr="00EA7B3F" w14:paraId="446DC6C3" w14:textId="77777777" w:rsidTr="0062428B">
        <w:tc>
          <w:tcPr>
            <w:tcW w:w="5000" w:type="pct"/>
            <w:gridSpan w:val="7"/>
            <w:tcBorders>
              <w:bottom w:val="single" w:sz="4" w:space="0" w:color="auto"/>
            </w:tcBorders>
            <w:shd w:val="clear" w:color="auto" w:fill="DBE5F1" w:themeFill="accent1" w:themeFillTint="33"/>
            <w:vAlign w:val="center"/>
          </w:tcPr>
          <w:p w14:paraId="166F3C6C" w14:textId="77777777" w:rsidR="001B04C2" w:rsidRPr="00EA7B3F" w:rsidRDefault="001B04C2" w:rsidP="0082228E">
            <w:pPr>
              <w:pStyle w:val="TableText0"/>
              <w:keepLines/>
              <w:rPr>
                <w:b/>
              </w:rPr>
            </w:pPr>
            <w:r w:rsidRPr="00EA7B3F">
              <w:rPr>
                <w:b/>
              </w:rPr>
              <w:t>Estimates from the July 2020 resubmission</w:t>
            </w:r>
          </w:p>
        </w:tc>
      </w:tr>
      <w:tr w:rsidR="001B04C2" w:rsidRPr="00EA7B3F" w14:paraId="5631657D" w14:textId="77777777" w:rsidTr="0062428B">
        <w:tc>
          <w:tcPr>
            <w:tcW w:w="1222" w:type="pct"/>
            <w:tcBorders>
              <w:top w:val="single" w:sz="4" w:space="0" w:color="auto"/>
              <w:bottom w:val="nil"/>
            </w:tcBorders>
            <w:shd w:val="clear" w:color="auto" w:fill="DBE5F1" w:themeFill="accent1" w:themeFillTint="33"/>
            <w:vAlign w:val="center"/>
          </w:tcPr>
          <w:p w14:paraId="426F0447" w14:textId="77777777" w:rsidR="001B04C2" w:rsidRPr="00EA7B3F" w:rsidRDefault="001B04C2" w:rsidP="0082228E">
            <w:pPr>
              <w:pStyle w:val="TableText0"/>
              <w:keepLines/>
              <w:rPr>
                <w:b/>
                <w:bCs w:val="0"/>
              </w:rPr>
            </w:pPr>
            <w:r w:rsidRPr="00EA7B3F">
              <w:rPr>
                <w:b/>
                <w:bCs w:val="0"/>
              </w:rPr>
              <w:t xml:space="preserve">Net PBS/RPBS cost </w:t>
            </w:r>
          </w:p>
        </w:tc>
        <w:tc>
          <w:tcPr>
            <w:tcW w:w="612" w:type="pct"/>
            <w:tcBorders>
              <w:top w:val="single" w:sz="4" w:space="0" w:color="auto"/>
              <w:bottom w:val="nil"/>
            </w:tcBorders>
            <w:shd w:val="clear" w:color="auto" w:fill="DBE5F1" w:themeFill="accent1" w:themeFillTint="33"/>
            <w:vAlign w:val="center"/>
          </w:tcPr>
          <w:p w14:paraId="3803DEAD"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3</w:t>
            </w:r>
          </w:p>
        </w:tc>
        <w:tc>
          <w:tcPr>
            <w:tcW w:w="612" w:type="pct"/>
            <w:tcBorders>
              <w:top w:val="single" w:sz="4" w:space="0" w:color="auto"/>
              <w:bottom w:val="nil"/>
            </w:tcBorders>
            <w:shd w:val="clear" w:color="auto" w:fill="DBE5F1" w:themeFill="accent1" w:themeFillTint="33"/>
            <w:vAlign w:val="center"/>
          </w:tcPr>
          <w:p w14:paraId="0782663F"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4</w:t>
            </w:r>
          </w:p>
        </w:tc>
        <w:tc>
          <w:tcPr>
            <w:tcW w:w="612" w:type="pct"/>
            <w:tcBorders>
              <w:top w:val="single" w:sz="4" w:space="0" w:color="auto"/>
              <w:bottom w:val="nil"/>
            </w:tcBorders>
            <w:shd w:val="clear" w:color="auto" w:fill="DBE5F1" w:themeFill="accent1" w:themeFillTint="33"/>
            <w:vAlign w:val="center"/>
          </w:tcPr>
          <w:p w14:paraId="309938BC"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4</w:t>
            </w:r>
          </w:p>
        </w:tc>
        <w:tc>
          <w:tcPr>
            <w:tcW w:w="612" w:type="pct"/>
            <w:tcBorders>
              <w:top w:val="single" w:sz="4" w:space="0" w:color="auto"/>
              <w:bottom w:val="nil"/>
            </w:tcBorders>
            <w:shd w:val="clear" w:color="auto" w:fill="DBE5F1" w:themeFill="accent1" w:themeFillTint="33"/>
            <w:vAlign w:val="center"/>
          </w:tcPr>
          <w:p w14:paraId="01224078"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4</w:t>
            </w:r>
          </w:p>
        </w:tc>
        <w:tc>
          <w:tcPr>
            <w:tcW w:w="612" w:type="pct"/>
            <w:tcBorders>
              <w:top w:val="single" w:sz="4" w:space="0" w:color="auto"/>
              <w:bottom w:val="nil"/>
            </w:tcBorders>
            <w:shd w:val="clear" w:color="auto" w:fill="DBE5F1" w:themeFill="accent1" w:themeFillTint="33"/>
            <w:vAlign w:val="center"/>
          </w:tcPr>
          <w:p w14:paraId="1A0FE99A"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4</w:t>
            </w:r>
          </w:p>
        </w:tc>
        <w:tc>
          <w:tcPr>
            <w:tcW w:w="718" w:type="pct"/>
            <w:tcBorders>
              <w:top w:val="single" w:sz="4" w:space="0" w:color="auto"/>
              <w:bottom w:val="nil"/>
            </w:tcBorders>
            <w:shd w:val="clear" w:color="auto" w:fill="DBE5F1" w:themeFill="accent1" w:themeFillTint="33"/>
            <w:vAlign w:val="center"/>
          </w:tcPr>
          <w:p w14:paraId="6F8180A6" w14:textId="77777777" w:rsidR="001B04C2" w:rsidRPr="00EA7B3F" w:rsidRDefault="001B04C2" w:rsidP="0082228E">
            <w:pPr>
              <w:pStyle w:val="TableText0"/>
              <w:keepLines/>
              <w:jc w:val="right"/>
              <w:rPr>
                <w:b/>
              </w:rPr>
            </w:pPr>
            <w:r w:rsidRPr="00EA7B3F">
              <w:rPr>
                <w:szCs w:val="20"/>
              </w:rPr>
              <w:t>$</w:t>
            </w:r>
            <w:r w:rsidR="006F5B4F">
              <w:rPr>
                <w:noProof/>
                <w:color w:val="000000"/>
                <w:szCs w:val="20"/>
                <w:highlight w:val="black"/>
              </w:rPr>
              <w:t>'''''''''''''''''''''''''''''</w:t>
            </w:r>
            <w:r w:rsidR="00AF7CE5">
              <w:rPr>
                <w:vertAlign w:val="superscript"/>
              </w:rPr>
              <w:t>4</w:t>
            </w:r>
          </w:p>
        </w:tc>
      </w:tr>
      <w:tr w:rsidR="001B04C2" w:rsidRPr="00EA7B3F" w14:paraId="5161AE33" w14:textId="77777777" w:rsidTr="0062428B">
        <w:tc>
          <w:tcPr>
            <w:tcW w:w="1222" w:type="pct"/>
            <w:tcBorders>
              <w:top w:val="nil"/>
              <w:bottom w:val="single" w:sz="4" w:space="0" w:color="auto"/>
            </w:tcBorders>
            <w:shd w:val="clear" w:color="auto" w:fill="DBE5F1" w:themeFill="accent1" w:themeFillTint="33"/>
            <w:vAlign w:val="center"/>
          </w:tcPr>
          <w:p w14:paraId="400F5456" w14:textId="77777777" w:rsidR="001B04C2" w:rsidRPr="00EA7B3F" w:rsidRDefault="001B04C2" w:rsidP="0082228E">
            <w:pPr>
              <w:pStyle w:val="TableText0"/>
              <w:keepLines/>
              <w:rPr>
                <w:b/>
                <w:bCs w:val="0"/>
              </w:rPr>
            </w:pPr>
            <w:r w:rsidRPr="00EA7B3F">
              <w:t>Re-analysis</w:t>
            </w:r>
            <w:r w:rsidRPr="00EA7B3F">
              <w:rPr>
                <w:vertAlign w:val="superscript"/>
              </w:rPr>
              <w:t>f</w:t>
            </w:r>
          </w:p>
        </w:tc>
        <w:tc>
          <w:tcPr>
            <w:tcW w:w="612" w:type="pct"/>
            <w:tcBorders>
              <w:top w:val="nil"/>
              <w:bottom w:val="single" w:sz="4" w:space="0" w:color="auto"/>
            </w:tcBorders>
            <w:shd w:val="clear" w:color="auto" w:fill="DBE5F1" w:themeFill="accent1" w:themeFillTint="33"/>
            <w:vAlign w:val="center"/>
          </w:tcPr>
          <w:p w14:paraId="27233E9C"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3</w:t>
            </w:r>
            <w:r w:rsidRPr="00EA7B3F">
              <w:rPr>
                <w:iCs/>
                <w:szCs w:val="20"/>
              </w:rPr>
              <w:t xml:space="preserve"> </w:t>
            </w:r>
          </w:p>
        </w:tc>
        <w:tc>
          <w:tcPr>
            <w:tcW w:w="612" w:type="pct"/>
            <w:tcBorders>
              <w:top w:val="nil"/>
              <w:bottom w:val="single" w:sz="4" w:space="0" w:color="auto"/>
            </w:tcBorders>
            <w:shd w:val="clear" w:color="auto" w:fill="DBE5F1" w:themeFill="accent1" w:themeFillTint="33"/>
            <w:vAlign w:val="center"/>
          </w:tcPr>
          <w:p w14:paraId="0E25B892"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3</w:t>
            </w:r>
            <w:r w:rsidRPr="00EA7B3F">
              <w:rPr>
                <w:iCs/>
                <w:szCs w:val="20"/>
              </w:rPr>
              <w:t xml:space="preserve"> </w:t>
            </w:r>
          </w:p>
        </w:tc>
        <w:tc>
          <w:tcPr>
            <w:tcW w:w="612" w:type="pct"/>
            <w:tcBorders>
              <w:top w:val="nil"/>
              <w:bottom w:val="single" w:sz="4" w:space="0" w:color="auto"/>
            </w:tcBorders>
            <w:shd w:val="clear" w:color="auto" w:fill="DBE5F1" w:themeFill="accent1" w:themeFillTint="33"/>
            <w:vAlign w:val="center"/>
          </w:tcPr>
          <w:p w14:paraId="582680F8"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3</w:t>
            </w:r>
            <w:r w:rsidRPr="00EA7B3F">
              <w:rPr>
                <w:iCs/>
                <w:szCs w:val="20"/>
              </w:rPr>
              <w:t xml:space="preserve"> </w:t>
            </w:r>
          </w:p>
        </w:tc>
        <w:tc>
          <w:tcPr>
            <w:tcW w:w="612" w:type="pct"/>
            <w:tcBorders>
              <w:top w:val="nil"/>
              <w:bottom w:val="single" w:sz="4" w:space="0" w:color="auto"/>
            </w:tcBorders>
            <w:shd w:val="clear" w:color="auto" w:fill="DBE5F1" w:themeFill="accent1" w:themeFillTint="33"/>
            <w:vAlign w:val="center"/>
          </w:tcPr>
          <w:p w14:paraId="582E9251"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3</w:t>
            </w:r>
            <w:r w:rsidRPr="00EA7B3F">
              <w:rPr>
                <w:iCs/>
                <w:szCs w:val="20"/>
              </w:rPr>
              <w:t xml:space="preserve"> </w:t>
            </w:r>
          </w:p>
        </w:tc>
        <w:tc>
          <w:tcPr>
            <w:tcW w:w="612" w:type="pct"/>
            <w:tcBorders>
              <w:top w:val="nil"/>
              <w:bottom w:val="single" w:sz="4" w:space="0" w:color="auto"/>
            </w:tcBorders>
            <w:shd w:val="clear" w:color="auto" w:fill="DBE5F1" w:themeFill="accent1" w:themeFillTint="33"/>
            <w:vAlign w:val="center"/>
          </w:tcPr>
          <w:p w14:paraId="0DB020AB"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3</w:t>
            </w:r>
            <w:r w:rsidRPr="00EA7B3F">
              <w:rPr>
                <w:iCs/>
                <w:szCs w:val="20"/>
              </w:rPr>
              <w:t xml:space="preserve"> </w:t>
            </w:r>
          </w:p>
        </w:tc>
        <w:tc>
          <w:tcPr>
            <w:tcW w:w="718" w:type="pct"/>
            <w:tcBorders>
              <w:top w:val="nil"/>
              <w:bottom w:val="single" w:sz="4" w:space="0" w:color="auto"/>
            </w:tcBorders>
            <w:shd w:val="clear" w:color="auto" w:fill="DBE5F1" w:themeFill="accent1" w:themeFillTint="33"/>
            <w:vAlign w:val="center"/>
          </w:tcPr>
          <w:p w14:paraId="38E20189" w14:textId="77777777" w:rsidR="001B04C2" w:rsidRPr="00EA7B3F" w:rsidRDefault="001B04C2" w:rsidP="0082228E">
            <w:pPr>
              <w:pStyle w:val="TableText0"/>
              <w:keepLines/>
              <w:jc w:val="right"/>
              <w:rPr>
                <w:b/>
              </w:rPr>
            </w:pPr>
            <w:r w:rsidRPr="00EA7B3F">
              <w:rPr>
                <w:iCs/>
                <w:szCs w:val="20"/>
              </w:rPr>
              <w:t>$</w:t>
            </w:r>
            <w:r w:rsidR="006F5B4F">
              <w:rPr>
                <w:iCs/>
                <w:noProof/>
                <w:color w:val="000000"/>
                <w:szCs w:val="20"/>
                <w:highlight w:val="black"/>
              </w:rPr>
              <w:t>'''''''''''''''''''''''''''''</w:t>
            </w:r>
            <w:r w:rsidR="00AF7CE5">
              <w:rPr>
                <w:vertAlign w:val="superscript"/>
              </w:rPr>
              <w:t>4</w:t>
            </w:r>
            <w:r w:rsidRPr="00EA7B3F">
              <w:rPr>
                <w:iCs/>
                <w:szCs w:val="20"/>
              </w:rPr>
              <w:t xml:space="preserve"> </w:t>
            </w:r>
          </w:p>
        </w:tc>
      </w:tr>
    </w:tbl>
    <w:p w14:paraId="2B64B4AB" w14:textId="314F6FBE" w:rsidR="001B04C2" w:rsidRPr="00EA7B3F" w:rsidRDefault="001B04C2" w:rsidP="0082228E">
      <w:pPr>
        <w:pStyle w:val="TableFigureFooter"/>
        <w:keepNext/>
        <w:keepLines/>
      </w:pPr>
      <w:r w:rsidRPr="00EA7B3F">
        <w:t xml:space="preserve">Source: : Table 33, p41 of the resubmission; Table 16, paragraph 6.76, lanadelumab, PBAC </w:t>
      </w:r>
      <w:r w:rsidR="00E53B1C">
        <w:t>Public Summary Document (PSD)</w:t>
      </w:r>
      <w:r w:rsidRPr="00EA7B3F">
        <w:t>, July 2020 PBAC meeting</w:t>
      </w:r>
    </w:p>
    <w:p w14:paraId="5173CB4D" w14:textId="77777777" w:rsidR="001B04C2" w:rsidRPr="00EA7B3F" w:rsidRDefault="001B04C2" w:rsidP="0082228E">
      <w:pPr>
        <w:pStyle w:val="TableFigureFooter"/>
        <w:keepNext/>
        <w:keepLines/>
      </w:pPr>
      <w:r w:rsidRPr="00EA7B3F">
        <w:t>C1-INH = C1 esterase inhibitor; SOC = standard of care.</w:t>
      </w:r>
    </w:p>
    <w:p w14:paraId="624B383D" w14:textId="77777777" w:rsidR="001B04C2" w:rsidRPr="00EA7B3F" w:rsidRDefault="001B04C2" w:rsidP="0082228E">
      <w:pPr>
        <w:pStyle w:val="TableFigureFooter"/>
        <w:keepNext/>
        <w:keepLines/>
      </w:pPr>
      <w:r w:rsidRPr="00EA7B3F">
        <w:rPr>
          <w:vertAlign w:val="superscript"/>
        </w:rPr>
        <w:t>a</w:t>
      </w:r>
      <w:r w:rsidRPr="00EA7B3F">
        <w:t xml:space="preserve"> Based on patients dispensed ≤ 24 but ≤ 48 icatibant syringes within a calendar year.</w:t>
      </w:r>
    </w:p>
    <w:p w14:paraId="7AB9723E" w14:textId="77777777" w:rsidR="001B04C2" w:rsidRPr="00EA7B3F" w:rsidRDefault="001B04C2" w:rsidP="0082228E">
      <w:pPr>
        <w:pStyle w:val="TableFigureFooter"/>
        <w:keepNext/>
        <w:keepLines/>
      </w:pPr>
      <w:r w:rsidRPr="00EA7B3F">
        <w:rPr>
          <w:vertAlign w:val="superscript"/>
        </w:rPr>
        <w:t>b</w:t>
      </w:r>
      <w:r w:rsidRPr="00EA7B3F">
        <w:t xml:space="preserve"> Assuming a</w:t>
      </w:r>
      <w:r w:rsidR="00D41636" w:rsidRPr="00EA7B3F">
        <w:t>n</w:t>
      </w:r>
      <w:r w:rsidRPr="00EA7B3F">
        <w:t xml:space="preserve"> 87% reduction due to the efficacy of lanadelumab. This was the efficacy in the lanadelumab 300 mg Q2W arm of HELP.</w:t>
      </w:r>
    </w:p>
    <w:p w14:paraId="3760BEEB" w14:textId="77777777" w:rsidR="001B04C2" w:rsidRPr="00EA7B3F" w:rsidRDefault="001B04C2" w:rsidP="0082228E">
      <w:pPr>
        <w:pStyle w:val="TableFigureFooter"/>
        <w:keepNext/>
        <w:keepLines/>
      </w:pPr>
      <w:r w:rsidRPr="00EA7B3F">
        <w:rPr>
          <w:vertAlign w:val="superscript"/>
        </w:rPr>
        <w:t>c</w:t>
      </w:r>
      <w:r w:rsidRPr="00EA7B3F">
        <w:t xml:space="preserve"> 0.65 injections per prevented attack, based on patient survey.</w:t>
      </w:r>
    </w:p>
    <w:p w14:paraId="158903BB" w14:textId="77777777" w:rsidR="00742DCE" w:rsidRPr="00EA7B3F" w:rsidRDefault="00742DCE" w:rsidP="0082228E">
      <w:pPr>
        <w:pStyle w:val="TableFigureFooter"/>
        <w:keepNext/>
        <w:keepLines/>
      </w:pPr>
      <w:r w:rsidRPr="00EA7B3F">
        <w:rPr>
          <w:vertAlign w:val="superscript"/>
        </w:rPr>
        <w:t xml:space="preserve">d </w:t>
      </w:r>
      <w:r w:rsidRPr="00EA7B3F">
        <w:t>DPMQ for icatibant (PBS item 1976B): $850.66</w:t>
      </w:r>
    </w:p>
    <w:p w14:paraId="4460E5EA" w14:textId="77777777" w:rsidR="001B04C2" w:rsidRPr="00EA7B3F" w:rsidRDefault="001B04C2" w:rsidP="0082228E">
      <w:pPr>
        <w:pStyle w:val="TableFigureFooter"/>
        <w:keepNext/>
        <w:keepLines/>
      </w:pPr>
      <w:r w:rsidRPr="00EA7B3F">
        <w:rPr>
          <w:vertAlign w:val="superscript"/>
        </w:rPr>
        <w:t>e</w:t>
      </w:r>
      <w:r w:rsidRPr="00EA7B3F">
        <w:t xml:space="preserve"> Savings to the Australian Government health budget from reduced funding for IV C1-INH through the National Blood </w:t>
      </w:r>
      <w:r w:rsidR="00483E8A" w:rsidRPr="00EA7B3F">
        <w:t>Agreement</w:t>
      </w:r>
      <w:r w:rsidRPr="00EA7B3F">
        <w:t>, assuming the federal government is responsible for 63% of funding and state/territory governments are responsible for the remaining 37%.</w:t>
      </w:r>
    </w:p>
    <w:p w14:paraId="546118B3" w14:textId="77777777" w:rsidR="001B04C2" w:rsidRPr="00EA7B3F" w:rsidRDefault="001B04C2" w:rsidP="0082228E">
      <w:pPr>
        <w:pStyle w:val="TableFigureFooter"/>
        <w:keepNext/>
        <w:keepLines/>
        <w:ind w:left="142" w:hanging="142"/>
        <w:rPr>
          <w:iCs/>
        </w:rPr>
      </w:pPr>
      <w:r w:rsidRPr="00EA7B3F">
        <w:rPr>
          <w:vertAlign w:val="superscript"/>
        </w:rPr>
        <w:t xml:space="preserve">f </w:t>
      </w:r>
      <w:r w:rsidRPr="00EA7B3F">
        <w:rPr>
          <w:iCs/>
        </w:rPr>
        <w:t>Re-analysis performed during the evaluation, based on the prevalent population, with no allowance for discontinuations.</w:t>
      </w:r>
    </w:p>
    <w:p w14:paraId="2BFD6AF0" w14:textId="77777777" w:rsidR="001B04C2" w:rsidRDefault="001B04C2" w:rsidP="0082228E">
      <w:pPr>
        <w:pStyle w:val="TableFigureFooter"/>
        <w:keepNext/>
        <w:keepLines/>
      </w:pPr>
      <w:r w:rsidRPr="00EA7B3F">
        <w:t>Blue shading indicates data previously seen by the PBAC.</w:t>
      </w:r>
    </w:p>
    <w:p w14:paraId="33FC3FD9" w14:textId="77777777" w:rsidR="000C079B" w:rsidRPr="00AF7CE5" w:rsidRDefault="000C079B" w:rsidP="0082228E">
      <w:pPr>
        <w:pStyle w:val="TableFigureFooter"/>
        <w:keepNext/>
        <w:keepLines/>
        <w:rPr>
          <w:i/>
        </w:rPr>
      </w:pPr>
      <w:r w:rsidRPr="00AF7CE5">
        <w:rPr>
          <w:i/>
        </w:rPr>
        <w:t>The redacted values correspond to the following ranges:</w:t>
      </w:r>
    </w:p>
    <w:p w14:paraId="6F2A2652" w14:textId="77777777" w:rsidR="000C079B" w:rsidRPr="00AF7CE5" w:rsidRDefault="000C079B" w:rsidP="0082228E">
      <w:pPr>
        <w:pStyle w:val="TableFigureFooter"/>
        <w:keepNext/>
        <w:keepLines/>
        <w:rPr>
          <w:i/>
        </w:rPr>
      </w:pPr>
      <w:r w:rsidRPr="00AF7CE5">
        <w:rPr>
          <w:i/>
          <w:vertAlign w:val="superscript"/>
        </w:rPr>
        <w:t>1</w:t>
      </w:r>
      <w:r w:rsidRPr="00AF7CE5">
        <w:rPr>
          <w:i/>
        </w:rPr>
        <w:t xml:space="preserve"> &lt; 500</w:t>
      </w:r>
    </w:p>
    <w:p w14:paraId="3F0D045C" w14:textId="77777777" w:rsidR="000C079B" w:rsidRPr="00AF7CE5" w:rsidRDefault="000C079B" w:rsidP="0082228E">
      <w:pPr>
        <w:pStyle w:val="TableFigureFooter"/>
        <w:keepNext/>
        <w:keepLines/>
        <w:rPr>
          <w:i/>
        </w:rPr>
      </w:pPr>
      <w:r w:rsidRPr="00AF7CE5">
        <w:rPr>
          <w:i/>
          <w:vertAlign w:val="superscript"/>
        </w:rPr>
        <w:t>2</w:t>
      </w:r>
      <w:r w:rsidRPr="00AF7CE5">
        <w:rPr>
          <w:i/>
        </w:rPr>
        <w:t xml:space="preserve"> 500 to &lt; 5,000</w:t>
      </w:r>
    </w:p>
    <w:p w14:paraId="716D1EE7" w14:textId="77777777" w:rsidR="000C079B" w:rsidRPr="00AF7CE5" w:rsidRDefault="000C079B" w:rsidP="0082228E">
      <w:pPr>
        <w:pStyle w:val="TableFigureFooter"/>
        <w:keepNext/>
        <w:keepLines/>
        <w:rPr>
          <w:i/>
        </w:rPr>
      </w:pPr>
      <w:r w:rsidRPr="00AF7CE5">
        <w:rPr>
          <w:i/>
          <w:vertAlign w:val="superscript"/>
        </w:rPr>
        <w:t>3</w:t>
      </w:r>
      <w:r w:rsidRPr="00AF7CE5">
        <w:rPr>
          <w:i/>
        </w:rPr>
        <w:t xml:space="preserve"> $0 to &lt; $10 million</w:t>
      </w:r>
    </w:p>
    <w:p w14:paraId="024769D3" w14:textId="77777777" w:rsidR="000C079B" w:rsidRPr="00AF7CE5" w:rsidRDefault="000C079B" w:rsidP="0082228E">
      <w:pPr>
        <w:pStyle w:val="TableFigureFooter"/>
        <w:keepNext/>
        <w:keepLines/>
        <w:rPr>
          <w:i/>
        </w:rPr>
      </w:pPr>
      <w:r w:rsidRPr="00AF7CE5">
        <w:rPr>
          <w:i/>
          <w:vertAlign w:val="superscript"/>
        </w:rPr>
        <w:t>4</w:t>
      </w:r>
      <w:r w:rsidRPr="00AF7CE5">
        <w:rPr>
          <w:i/>
        </w:rPr>
        <w:t xml:space="preserve"> $10 million to &lt; $20 million</w:t>
      </w:r>
    </w:p>
    <w:p w14:paraId="08B37855" w14:textId="77777777" w:rsidR="0082228E" w:rsidRPr="00EA7B3F" w:rsidRDefault="0082228E" w:rsidP="0082228E">
      <w:pPr>
        <w:pStyle w:val="TableFigureFooter"/>
        <w:keepNext/>
        <w:keepLines/>
      </w:pPr>
    </w:p>
    <w:p w14:paraId="681BFC97" w14:textId="2602BE01" w:rsidR="009A6399" w:rsidRPr="00EA7B3F" w:rsidRDefault="001B04C2" w:rsidP="00F7561C">
      <w:pPr>
        <w:pStyle w:val="3-BodyText"/>
      </w:pPr>
      <w:r w:rsidRPr="00EA7B3F">
        <w:t>The total cost to the PBS/RPBS of listing lanadelumab was estimated to be $</w:t>
      </w:r>
      <w:r w:rsidR="007824C7">
        <w:t>10 million to &lt; $20</w:t>
      </w:r>
      <w:r w:rsidRPr="00EA7B3F">
        <w:t xml:space="preserve"> million in Year 6, and a total of approximately $</w:t>
      </w:r>
      <w:r w:rsidR="007824C7">
        <w:t>80 to &lt; $90</w:t>
      </w:r>
      <w:r w:rsidRPr="00EA7B3F">
        <w:t xml:space="preserve"> million in the first 6 years of listing. </w:t>
      </w:r>
      <w:r w:rsidR="00D81123" w:rsidRPr="00EA7B3F">
        <w:t xml:space="preserve">The ESC noted that although the patient numbers had been revised </w:t>
      </w:r>
      <w:r w:rsidR="00965DA9">
        <w:t>from</w:t>
      </w:r>
      <w:r w:rsidR="009A6399" w:rsidRPr="00EA7B3F">
        <w:t xml:space="preserve"> the July 2020 resubmission, the total estimated cost to the PBS/RPBS over the first 6 years of listing was similar</w:t>
      </w:r>
      <w:r w:rsidR="009B4F9E" w:rsidRPr="00EA7B3F">
        <w:t xml:space="preserve"> ($</w:t>
      </w:r>
      <w:r w:rsidR="007824C7">
        <w:t>80 million to &lt; $90</w:t>
      </w:r>
      <w:r w:rsidR="009B4F9E" w:rsidRPr="00EA7B3F">
        <w:t xml:space="preserve"> million)</w:t>
      </w:r>
      <w:r w:rsidR="009A6399" w:rsidRPr="00EA7B3F">
        <w:t>.</w:t>
      </w:r>
    </w:p>
    <w:p w14:paraId="14B62808" w14:textId="77777777" w:rsidR="001B04C2" w:rsidRPr="00EA7B3F" w:rsidRDefault="001B04C2" w:rsidP="0082228E">
      <w:pPr>
        <w:pStyle w:val="3-BodyText"/>
        <w:keepNext/>
        <w:keepLines/>
      </w:pPr>
      <w:r w:rsidRPr="00EA7B3F">
        <w:rPr>
          <w:iCs/>
        </w:rPr>
        <w:t xml:space="preserve">The </w:t>
      </w:r>
      <w:r w:rsidR="009B4F9E" w:rsidRPr="00EA7B3F">
        <w:rPr>
          <w:iCs/>
        </w:rPr>
        <w:t xml:space="preserve">ESC considered that the </w:t>
      </w:r>
      <w:r w:rsidRPr="00EA7B3F">
        <w:rPr>
          <w:iCs/>
        </w:rPr>
        <w:t>estimated net cost to the PBS/RPBS was highly uncertain</w:t>
      </w:r>
      <w:r w:rsidR="00742DCE" w:rsidRPr="00EA7B3F">
        <w:rPr>
          <w:iCs/>
        </w:rPr>
        <w:t xml:space="preserve"> as</w:t>
      </w:r>
      <w:r w:rsidR="009B4F9E" w:rsidRPr="00EA7B3F">
        <w:rPr>
          <w:iCs/>
        </w:rPr>
        <w:t xml:space="preserve"> the</w:t>
      </w:r>
      <w:r w:rsidR="00742DCE" w:rsidRPr="00EA7B3F">
        <w:rPr>
          <w:iCs/>
        </w:rPr>
        <w:t>:</w:t>
      </w:r>
    </w:p>
    <w:p w14:paraId="2B2A76C7" w14:textId="77777777" w:rsidR="001B04C2" w:rsidRPr="00EA7B3F" w:rsidRDefault="003B18AE" w:rsidP="0082228E">
      <w:pPr>
        <w:pStyle w:val="ListParagraph"/>
        <w:keepNext/>
        <w:keepLines/>
        <w:numPr>
          <w:ilvl w:val="0"/>
          <w:numId w:val="9"/>
        </w:numPr>
        <w:ind w:left="1080"/>
      </w:pPr>
      <w:r w:rsidRPr="00EA7B3F">
        <w:t xml:space="preserve">exact prevalence of </w:t>
      </w:r>
      <w:r w:rsidR="001B04C2" w:rsidRPr="00EA7B3F">
        <w:t xml:space="preserve">HAE in Australia </w:t>
      </w:r>
      <w:r w:rsidRPr="00EA7B3F">
        <w:t xml:space="preserve">is </w:t>
      </w:r>
      <w:r w:rsidR="00965DA9" w:rsidRPr="00EA7B3F">
        <w:t>unknown and</w:t>
      </w:r>
      <w:r w:rsidR="001B04C2" w:rsidRPr="00EA7B3F">
        <w:t xml:space="preserve"> using the number of icatibant injections dispensed as a proxy for the number of treated HAE attacks was subject to a number of limitations.</w:t>
      </w:r>
    </w:p>
    <w:p w14:paraId="171B68CB" w14:textId="77777777" w:rsidR="001B04C2" w:rsidRPr="00EA7B3F" w:rsidRDefault="001B04C2" w:rsidP="004928B9">
      <w:pPr>
        <w:pStyle w:val="ListParagraph"/>
        <w:numPr>
          <w:ilvl w:val="0"/>
          <w:numId w:val="9"/>
        </w:numPr>
        <w:ind w:left="1080"/>
      </w:pPr>
      <w:r w:rsidRPr="00EA7B3F">
        <w:t xml:space="preserve">absence of indication-specific data for the utilisation of </w:t>
      </w:r>
      <w:r w:rsidR="00171D7E" w:rsidRPr="00EA7B3F">
        <w:t xml:space="preserve">IV </w:t>
      </w:r>
      <w:r w:rsidRPr="00EA7B3F">
        <w:t xml:space="preserve">C1-INH through the </w:t>
      </w:r>
      <w:r w:rsidR="00483E8A" w:rsidRPr="00EA7B3F">
        <w:t>National Blood Agreement</w:t>
      </w:r>
      <w:r w:rsidRPr="00EA7B3F">
        <w:t xml:space="preserve">, and the limited data available since the </w:t>
      </w:r>
      <w:r w:rsidR="00CF5A64" w:rsidRPr="00EA7B3F">
        <w:t>listing</w:t>
      </w:r>
      <w:r w:rsidRPr="00EA7B3F">
        <w:t xml:space="preserve"> of the subcutaneous preparation,</w:t>
      </w:r>
      <w:r w:rsidR="00742DCE" w:rsidRPr="00EA7B3F">
        <w:t xml:space="preserve"> meant that</w:t>
      </w:r>
      <w:r w:rsidRPr="00EA7B3F">
        <w:t xml:space="preserve"> the number of patients currently receiving C1-INH for routine prophylaxis cannot be reliably estimated. </w:t>
      </w:r>
    </w:p>
    <w:p w14:paraId="118FE594" w14:textId="77777777" w:rsidR="001B04C2" w:rsidRPr="00EA7B3F" w:rsidRDefault="001B04C2" w:rsidP="004928B9">
      <w:pPr>
        <w:pStyle w:val="ListParagraph"/>
        <w:numPr>
          <w:ilvl w:val="0"/>
          <w:numId w:val="9"/>
        </w:numPr>
        <w:ind w:left="1080"/>
      </w:pPr>
      <w:r w:rsidRPr="00EA7B3F">
        <w:t>cost per patient per year for lanadelumab was underestimated in both populations, as the resubmission failed to incorporate the cost for the proportion of patients who would receive the 300 mg Q2W dosage.</w:t>
      </w:r>
    </w:p>
    <w:p w14:paraId="58670A39" w14:textId="750617DB" w:rsidR="001B04C2" w:rsidRPr="00EA7B3F" w:rsidRDefault="008F4BF9" w:rsidP="001B04C2">
      <w:pPr>
        <w:pStyle w:val="3-BodyText"/>
      </w:pPr>
      <w:r w:rsidRPr="00EA7B3F">
        <w:rPr>
          <w:iCs/>
        </w:rPr>
        <w:t>P</w:t>
      </w:r>
      <w:r w:rsidR="001B04C2" w:rsidRPr="00EA7B3F">
        <w:rPr>
          <w:iCs/>
        </w:rPr>
        <w:t xml:space="preserve">atients assumed to switch from C1-INH prophylaxis to lanadelumab </w:t>
      </w:r>
      <w:r w:rsidR="00DB0310" w:rsidRPr="00EA7B3F">
        <w:rPr>
          <w:iCs/>
        </w:rPr>
        <w:t>would result</w:t>
      </w:r>
      <w:r w:rsidR="001B04C2" w:rsidRPr="00EA7B3F">
        <w:rPr>
          <w:iCs/>
        </w:rPr>
        <w:t xml:space="preserve"> in savings to the </w:t>
      </w:r>
      <w:r w:rsidRPr="00EA7B3F">
        <w:rPr>
          <w:iCs/>
        </w:rPr>
        <w:t>Australian Government health budget a</w:t>
      </w:r>
      <w:r w:rsidR="00AD6780" w:rsidRPr="00EA7B3F">
        <w:rPr>
          <w:iCs/>
        </w:rPr>
        <w:t>s</w:t>
      </w:r>
      <w:r w:rsidR="001B04C2" w:rsidRPr="00EA7B3F">
        <w:rPr>
          <w:iCs/>
        </w:rPr>
        <w:t xml:space="preserve"> </w:t>
      </w:r>
      <w:r w:rsidR="00AD6780" w:rsidRPr="00EA7B3F">
        <w:rPr>
          <w:iCs/>
        </w:rPr>
        <w:t xml:space="preserve">the </w:t>
      </w:r>
      <w:r w:rsidR="001B04C2" w:rsidRPr="00EA7B3F">
        <w:rPr>
          <w:iCs/>
        </w:rPr>
        <w:t>cost per patient per year for IV C1-INH (approximately $</w:t>
      </w:r>
      <w:r w:rsidR="007824C7">
        <w:rPr>
          <w:iCs/>
        </w:rPr>
        <w:t>0 to &lt; $10 million</w:t>
      </w:r>
      <w:r w:rsidR="001B04C2" w:rsidRPr="00EA7B3F">
        <w:rPr>
          <w:iCs/>
        </w:rPr>
        <w:t>) was higher than the estimated effective cost per patient per year for lanadelumab ($</w:t>
      </w:r>
      <w:r w:rsidR="007824C7">
        <w:rPr>
          <w:iCs/>
        </w:rPr>
        <w:t>0 to &lt; $10 million</w:t>
      </w:r>
      <w:r w:rsidR="001B04C2" w:rsidRPr="00EA7B3F">
        <w:rPr>
          <w:iCs/>
        </w:rPr>
        <w:t xml:space="preserve"> for 13 injections</w:t>
      </w:r>
      <w:r w:rsidR="009036CA" w:rsidRPr="00EA7B3F">
        <w:rPr>
          <w:iCs/>
        </w:rPr>
        <w:t xml:space="preserve"> and $</w:t>
      </w:r>
      <w:r w:rsidR="007824C7">
        <w:rPr>
          <w:iCs/>
        </w:rPr>
        <w:t xml:space="preserve">0 to &lt; $10 million </w:t>
      </w:r>
      <w:r w:rsidR="009036CA" w:rsidRPr="00EA7B3F">
        <w:rPr>
          <w:iCs/>
        </w:rPr>
        <w:t>for 26 injections</w:t>
      </w:r>
      <w:r w:rsidR="001B04C2" w:rsidRPr="00EA7B3F">
        <w:rPr>
          <w:iCs/>
        </w:rPr>
        <w:t xml:space="preserve">. </w:t>
      </w:r>
      <w:r w:rsidR="0050063B" w:rsidRPr="00EA7B3F">
        <w:rPr>
          <w:iCs/>
        </w:rPr>
        <w:t>As</w:t>
      </w:r>
      <w:r w:rsidR="001B04C2" w:rsidRPr="00EA7B3F">
        <w:rPr>
          <w:iCs/>
        </w:rPr>
        <w:t xml:space="preserve"> the number of patients switching </w:t>
      </w:r>
      <w:r w:rsidR="00AD6780" w:rsidRPr="00EA7B3F">
        <w:rPr>
          <w:iCs/>
        </w:rPr>
        <w:t xml:space="preserve">from C1-INH routine prophylaxis to lanadelumab </w:t>
      </w:r>
      <w:r w:rsidR="00DB0310" w:rsidRPr="00EA7B3F">
        <w:rPr>
          <w:iCs/>
        </w:rPr>
        <w:t>may be</w:t>
      </w:r>
      <w:r w:rsidR="001B04C2" w:rsidRPr="00EA7B3F">
        <w:rPr>
          <w:iCs/>
        </w:rPr>
        <w:t xml:space="preserve"> overestimated, these potential savings may not be realised.</w:t>
      </w:r>
    </w:p>
    <w:p w14:paraId="0400140A" w14:textId="77777777" w:rsidR="001B04C2" w:rsidRPr="00EA7B3F" w:rsidRDefault="001B04C2" w:rsidP="001B04C2">
      <w:pPr>
        <w:pStyle w:val="3-BodyText"/>
      </w:pPr>
      <w:r w:rsidRPr="00EA7B3F">
        <w:t xml:space="preserve">Due to the limitations outlined above, the estimated </w:t>
      </w:r>
      <w:r w:rsidRPr="00EA7B3F">
        <w:rPr>
          <w:iCs/>
        </w:rPr>
        <w:t xml:space="preserve">net implications for government health budgets were highly uncertain. There was still considerable potential for use outside the intended population, and the uncertainty regarding the dosage regimen that would be used in clinical practice remains as an issue. </w:t>
      </w:r>
      <w:r w:rsidR="008636BE" w:rsidRPr="00EA7B3F">
        <w:rPr>
          <w:iCs/>
        </w:rPr>
        <w:t xml:space="preserve">The resubmission proposed to address these issues via an RSA (see below). </w:t>
      </w:r>
    </w:p>
    <w:p w14:paraId="120D6341" w14:textId="77777777" w:rsidR="001B04C2" w:rsidRPr="00EA7B3F" w:rsidRDefault="001B04C2" w:rsidP="001B04C2">
      <w:pPr>
        <w:pStyle w:val="4-SubsectionHeading"/>
      </w:pPr>
      <w:bookmarkStart w:id="23" w:name="_Toc22897649"/>
      <w:bookmarkStart w:id="24" w:name="_Toc72133183"/>
      <w:r w:rsidRPr="00EA7B3F">
        <w:t>Financial Management – Risk Sharing Arrangements</w:t>
      </w:r>
      <w:bookmarkEnd w:id="23"/>
      <w:bookmarkEnd w:id="24"/>
    </w:p>
    <w:p w14:paraId="26A5811E" w14:textId="05CE12FD" w:rsidR="00F53596" w:rsidRPr="00EA7B3F" w:rsidRDefault="00F53596" w:rsidP="001B04C2">
      <w:pPr>
        <w:pStyle w:val="ListParagraph"/>
        <w:numPr>
          <w:ilvl w:val="1"/>
          <w:numId w:val="1"/>
        </w:numPr>
      </w:pPr>
      <w:r w:rsidRPr="00EA7B3F">
        <w:t xml:space="preserve">In July 2020 the PBAC noted the RSA caps proposed in the pre-PBAC response, but considered that further work was required to ensure the RSA caps would appropriately manage the risks of: (1) use in cost-ineffective populations; and (2) the uncertainty in the dosage regimens. The PBAC also considered that a </w:t>
      </w:r>
      <w:r w:rsidR="006F5B4F">
        <w:rPr>
          <w:noProof/>
          <w:color w:val="000000"/>
          <w:highlight w:val="black"/>
        </w:rPr>
        <w:t>'''''''</w:t>
      </w:r>
      <w:r w:rsidRPr="00EA7B3F">
        <w:t xml:space="preserve">% rebate should apply for any usage above the total cap (paragraphs 7.16 and 7.17, lanadelumab </w:t>
      </w:r>
      <w:r w:rsidR="007824C7">
        <w:t>PSD</w:t>
      </w:r>
      <w:r w:rsidRPr="00EA7B3F">
        <w:t>, July 2020).</w:t>
      </w:r>
    </w:p>
    <w:p w14:paraId="365720D5" w14:textId="77777777" w:rsidR="001B04C2" w:rsidRPr="00EA7B3F" w:rsidRDefault="001B04C2" w:rsidP="001B04C2">
      <w:pPr>
        <w:pStyle w:val="ListParagraph"/>
        <w:numPr>
          <w:ilvl w:val="1"/>
          <w:numId w:val="1"/>
        </w:numPr>
      </w:pPr>
      <w:r w:rsidRPr="00EA7B3F">
        <w:t>The resubmission proposed a RSA</w:t>
      </w:r>
      <w:r w:rsidR="00364FF0" w:rsidRPr="00EA7B3F">
        <w:t xml:space="preserve"> in which t</w:t>
      </w:r>
      <w:r w:rsidRPr="00EA7B3F">
        <w:t xml:space="preserve">he expenditure cap was based on the estimated size of the eligible </w:t>
      </w:r>
      <w:r w:rsidR="00AD2DDC" w:rsidRPr="00EA7B3F">
        <w:t xml:space="preserve">SOC </w:t>
      </w:r>
      <w:r w:rsidRPr="00EA7B3F">
        <w:t>population (</w:t>
      </w:r>
      <w:r w:rsidR="00AD2DDC" w:rsidRPr="00EA7B3F">
        <w:t xml:space="preserve">patients experiencing </w:t>
      </w:r>
      <w:r w:rsidRPr="00EA7B3F">
        <w:t>≥</w:t>
      </w:r>
      <w:r w:rsidR="00AD2DDC" w:rsidRPr="00EA7B3F">
        <w:t> </w:t>
      </w:r>
      <w:r w:rsidRPr="00EA7B3F">
        <w:t xml:space="preserve">24 </w:t>
      </w:r>
      <w:r w:rsidR="00AD2DDC" w:rsidRPr="00EA7B3F">
        <w:t xml:space="preserve">treated </w:t>
      </w:r>
      <w:r w:rsidRPr="00EA7B3F">
        <w:t xml:space="preserve">attacks </w:t>
      </w:r>
      <w:r w:rsidR="00AD2DDC" w:rsidRPr="00EA7B3F">
        <w:t xml:space="preserve">over </w:t>
      </w:r>
      <w:r w:rsidR="00742DCE" w:rsidRPr="00EA7B3F">
        <w:t xml:space="preserve">12 </w:t>
      </w:r>
      <w:r w:rsidR="00AD2DDC" w:rsidRPr="00EA7B3F">
        <w:t>months</w:t>
      </w:r>
      <w:r w:rsidRPr="00EA7B3F">
        <w:t>), assuming that all patients receive 13 dose</w:t>
      </w:r>
      <w:r w:rsidR="00742DCE" w:rsidRPr="00EA7B3F">
        <w:t>s</w:t>
      </w:r>
      <w:r w:rsidRPr="00EA7B3F">
        <w:t xml:space="preserve"> per annum. </w:t>
      </w:r>
      <w:r w:rsidR="00981B2C" w:rsidRPr="00EA7B3F">
        <w:t xml:space="preserve">The RSA excluded patients transitioning from routine prophylaxis with C1-INH and proposed a </w:t>
      </w:r>
      <w:r w:rsidR="006F5B4F">
        <w:rPr>
          <w:noProof/>
          <w:color w:val="000000"/>
          <w:highlight w:val="black"/>
        </w:rPr>
        <w:t>'''''</w:t>
      </w:r>
      <w:r w:rsidR="00981B2C" w:rsidRPr="00EA7B3F">
        <w:t>% rebate on utilisation of lanadelumab above the expenditure cap.</w:t>
      </w:r>
    </w:p>
    <w:p w14:paraId="4793696A" w14:textId="4DBB3313" w:rsidR="00DE78A9" w:rsidRPr="00EA7B3F" w:rsidRDefault="001B04C2" w:rsidP="000F6035">
      <w:pPr>
        <w:pStyle w:val="ListParagraph"/>
        <w:numPr>
          <w:ilvl w:val="1"/>
          <w:numId w:val="1"/>
        </w:numPr>
      </w:pPr>
      <w:r w:rsidRPr="00EA7B3F">
        <w:t xml:space="preserve">The resubmission </w:t>
      </w:r>
      <w:r w:rsidR="00876BFB" w:rsidRPr="00EA7B3F">
        <w:t xml:space="preserve">justified the proposed </w:t>
      </w:r>
      <w:r w:rsidR="006F5B4F">
        <w:rPr>
          <w:noProof/>
          <w:color w:val="000000"/>
          <w:highlight w:val="black"/>
        </w:rPr>
        <w:t>'''''</w:t>
      </w:r>
      <w:r w:rsidR="00876BFB" w:rsidRPr="00EA7B3F">
        <w:t>% rebate on the basis</w:t>
      </w:r>
      <w:r w:rsidRPr="00EA7B3F">
        <w:t xml:space="preserve"> that, for patients dispensed ≥ 12 to &lt; 24 icatibant syringes per annum</w:t>
      </w:r>
      <w:r w:rsidR="00876BFB" w:rsidRPr="00EA7B3F">
        <w:t xml:space="preserve"> (i.e. use beyond the intended population), the base case ICER of $</w:t>
      </w:r>
      <w:r w:rsidR="007824C7">
        <w:t>95,000 to &lt; $115,000</w:t>
      </w:r>
      <w:r w:rsidR="00876BFB" w:rsidRPr="00EA7B3F">
        <w:t>/QALY</w:t>
      </w:r>
      <w:r w:rsidRPr="00EA7B3F">
        <w:t xml:space="preserve"> </w:t>
      </w:r>
      <w:r w:rsidR="00876BFB" w:rsidRPr="00EA7B3F">
        <w:t xml:space="preserve">could be achieved </w:t>
      </w:r>
      <w:r w:rsidRPr="00EA7B3F">
        <w:t xml:space="preserve">if a </w:t>
      </w:r>
      <w:r w:rsidR="006F5B4F">
        <w:rPr>
          <w:noProof/>
          <w:color w:val="000000"/>
          <w:highlight w:val="black"/>
        </w:rPr>
        <w:t>'''''</w:t>
      </w:r>
      <w:r w:rsidRPr="00EA7B3F">
        <w:t xml:space="preserve">% discount to the cost of lanadelumab was applied. </w:t>
      </w:r>
      <w:r w:rsidR="00D33602" w:rsidRPr="00EA7B3F">
        <w:t>The</w:t>
      </w:r>
      <w:r w:rsidR="00DE78A9" w:rsidRPr="00EA7B3F">
        <w:t xml:space="preserve"> </w:t>
      </w:r>
      <w:r w:rsidR="006F5B4F">
        <w:rPr>
          <w:noProof/>
          <w:color w:val="000000"/>
          <w:highlight w:val="black"/>
        </w:rPr>
        <w:t>'''''</w:t>
      </w:r>
      <w:r w:rsidR="00DE78A9" w:rsidRPr="00EA7B3F">
        <w:t xml:space="preserve">% rebate </w:t>
      </w:r>
      <w:r w:rsidR="00461314" w:rsidRPr="00EA7B3F">
        <w:t>on</w:t>
      </w:r>
      <w:r w:rsidR="00DE78A9" w:rsidRPr="00EA7B3F">
        <w:t xml:space="preserve"> the </w:t>
      </w:r>
      <w:r w:rsidR="00B33A88">
        <w:t>A</w:t>
      </w:r>
      <w:r w:rsidR="00DE78A9" w:rsidRPr="00EA7B3F">
        <w:t xml:space="preserve">EMP of lanadelumab </w:t>
      </w:r>
      <w:r w:rsidR="00461314" w:rsidRPr="00EA7B3F">
        <w:t xml:space="preserve">was </w:t>
      </w:r>
      <w:r w:rsidR="00B33A88">
        <w:t>based</w:t>
      </w:r>
      <w:r w:rsidR="00461314" w:rsidRPr="00EA7B3F">
        <w:t xml:space="preserve"> on the </w:t>
      </w:r>
      <w:r w:rsidR="00DE78A9" w:rsidRPr="00EA7B3F">
        <w:t xml:space="preserve">assumption that all patients received lanadelumab Q4W. </w:t>
      </w:r>
      <w:r w:rsidR="008D2CD1" w:rsidRPr="00EA7B3F">
        <w:t xml:space="preserve">Under the proposed RSA, </w:t>
      </w:r>
      <w:r w:rsidR="007B6B81" w:rsidRPr="00EA7B3F">
        <w:t>financial risk</w:t>
      </w:r>
      <w:r w:rsidR="00B33A88">
        <w:t>s</w:t>
      </w:r>
      <w:r w:rsidR="007B6B81" w:rsidRPr="00EA7B3F">
        <w:t xml:space="preserve"> to the PBS still </w:t>
      </w:r>
      <w:r w:rsidR="00B33A88">
        <w:t xml:space="preserve">remain </w:t>
      </w:r>
      <w:r w:rsidR="007B6B81" w:rsidRPr="00EA7B3F">
        <w:t xml:space="preserve">due to the potential for i) </w:t>
      </w:r>
      <w:r w:rsidR="00862B04" w:rsidRPr="00EA7B3F">
        <w:t xml:space="preserve">use in </w:t>
      </w:r>
      <w:r w:rsidR="00DE78A9" w:rsidRPr="00EA7B3F">
        <w:t xml:space="preserve">patients </w:t>
      </w:r>
      <w:r w:rsidR="00862B04" w:rsidRPr="00EA7B3F">
        <w:t>experiencing fewer than 12 treat</w:t>
      </w:r>
      <w:r w:rsidR="00DE78A9" w:rsidRPr="00EA7B3F">
        <w:t>ed attacks over 6 months</w:t>
      </w:r>
      <w:r w:rsidR="009D371F" w:rsidRPr="00EA7B3F">
        <w:t>,</w:t>
      </w:r>
      <w:r w:rsidR="00862B04" w:rsidRPr="00EA7B3F">
        <w:t xml:space="preserve"> </w:t>
      </w:r>
      <w:r w:rsidR="007B6B81" w:rsidRPr="00EA7B3F">
        <w:t xml:space="preserve">ii) use in </w:t>
      </w:r>
      <w:r w:rsidR="00DE78A9" w:rsidRPr="00EA7B3F">
        <w:t>patients who continue treatment when no longer receiving appropriate benefit</w:t>
      </w:r>
      <w:r w:rsidR="007B6B81" w:rsidRPr="00EA7B3F">
        <w:t xml:space="preserve">, and iii) patients </w:t>
      </w:r>
      <w:r w:rsidR="008D2CD1" w:rsidRPr="00EA7B3F">
        <w:t>receiving lanadelumab Q2W dosing.</w:t>
      </w:r>
    </w:p>
    <w:p w14:paraId="7D3FDFC5" w14:textId="77777777" w:rsidR="001575DC" w:rsidRPr="00EA7B3F" w:rsidRDefault="0039444F" w:rsidP="0039444F">
      <w:pPr>
        <w:pStyle w:val="ListParagraph"/>
        <w:numPr>
          <w:ilvl w:val="1"/>
          <w:numId w:val="1"/>
        </w:numPr>
        <w:rPr>
          <w:i/>
        </w:rPr>
      </w:pPr>
      <w:r w:rsidRPr="00EA7B3F">
        <w:t xml:space="preserve">Given that the ICER </w:t>
      </w:r>
      <w:r w:rsidR="00164713" w:rsidRPr="00EA7B3F">
        <w:t xml:space="preserve">for the SOC population </w:t>
      </w:r>
      <w:r w:rsidRPr="00EA7B3F">
        <w:t>d</w:t>
      </w:r>
      <w:r w:rsidR="00164713" w:rsidRPr="00EA7B3F">
        <w:t xml:space="preserve">erived in the economic analysis </w:t>
      </w:r>
      <w:r w:rsidRPr="00EA7B3F">
        <w:t xml:space="preserve">was based on the assumption that the cost of lanadelumab would be capped at 13 doses per patient per year, </w:t>
      </w:r>
      <w:r w:rsidR="001575DC" w:rsidRPr="00EA7B3F">
        <w:t xml:space="preserve">the ESC considered that </w:t>
      </w:r>
      <w:r w:rsidRPr="00EA7B3F">
        <w:t xml:space="preserve">all expenditure resulting from utilisation above this level would need to be rebated at </w:t>
      </w:r>
      <w:r w:rsidR="006F5B4F">
        <w:rPr>
          <w:noProof/>
          <w:color w:val="000000"/>
          <w:highlight w:val="black"/>
        </w:rPr>
        <w:t>'''''''</w:t>
      </w:r>
      <w:r w:rsidRPr="00EA7B3F">
        <w:t>% to maintain this level of cost-effectiveness</w:t>
      </w:r>
      <w:r w:rsidR="004B1C3C" w:rsidRPr="00EA7B3F">
        <w:t xml:space="preserve">, particularly as a rebate of less than </w:t>
      </w:r>
      <w:r w:rsidR="006F5B4F">
        <w:rPr>
          <w:noProof/>
          <w:color w:val="000000"/>
          <w:highlight w:val="black"/>
        </w:rPr>
        <w:t>'''''''</w:t>
      </w:r>
      <w:r w:rsidR="004B1C3C" w:rsidRPr="00EA7B3F">
        <w:t>% was at odds with the economic model which assumed that cost was based solely on monthly treatment</w:t>
      </w:r>
      <w:r w:rsidRPr="00EA7B3F">
        <w:t>.</w:t>
      </w:r>
      <w:r w:rsidRPr="00EA7B3F">
        <w:rPr>
          <w:i/>
        </w:rPr>
        <w:t xml:space="preserve"> </w:t>
      </w:r>
    </w:p>
    <w:p w14:paraId="167887B9" w14:textId="77777777" w:rsidR="004928B9" w:rsidRPr="00EA7B3F" w:rsidRDefault="00827224" w:rsidP="0039444F">
      <w:pPr>
        <w:pStyle w:val="ListParagraph"/>
        <w:numPr>
          <w:ilvl w:val="1"/>
          <w:numId w:val="1"/>
        </w:numPr>
      </w:pPr>
      <w:r w:rsidRPr="00EA7B3F">
        <w:t>In addition, i</w:t>
      </w:r>
      <w:r w:rsidR="0039444F" w:rsidRPr="00EA7B3F">
        <w:t xml:space="preserve">t would not be possible to differentiate additional utilisation </w:t>
      </w:r>
      <w:r w:rsidR="00B33A88">
        <w:t xml:space="preserve">in patients </w:t>
      </w:r>
      <w:r w:rsidR="0039444F" w:rsidRPr="00EA7B3F">
        <w:t xml:space="preserve">outside the intended population (i.e. in patients experiencing fewer than 12 treated attacks over 6 months) from </w:t>
      </w:r>
      <w:r w:rsidR="00B33A88">
        <w:t xml:space="preserve">use in </w:t>
      </w:r>
      <w:r w:rsidR="0039444F" w:rsidRPr="00EA7B3F">
        <w:t xml:space="preserve">patients receiving the more frequent dose regimen of 300 mg lanadelumab Q2W. Therefore, </w:t>
      </w:r>
      <w:r w:rsidR="00B33A88" w:rsidRPr="00EA7B3F">
        <w:t>to</w:t>
      </w:r>
      <w:r w:rsidR="0039444F" w:rsidRPr="00EA7B3F">
        <w:t xml:space="preserve"> </w:t>
      </w:r>
      <w:r w:rsidR="0013441E" w:rsidRPr="00EA7B3F">
        <w:t>mitigate the risk of</w:t>
      </w:r>
      <w:r w:rsidR="0039444F" w:rsidRPr="00EA7B3F">
        <w:t xml:space="preserve"> the Australian Government </w:t>
      </w:r>
      <w:r w:rsidR="00B33A88">
        <w:t xml:space="preserve">of </w:t>
      </w:r>
      <w:r w:rsidR="0039444F" w:rsidRPr="00EA7B3F">
        <w:t>cost</w:t>
      </w:r>
      <w:r w:rsidR="00B33A88">
        <w:t>s</w:t>
      </w:r>
      <w:r w:rsidR="0039444F" w:rsidRPr="00EA7B3F">
        <w:t xml:space="preserve"> for </w:t>
      </w:r>
      <w:r w:rsidR="00B33A88" w:rsidRPr="00EA7B3F">
        <w:t>no</w:t>
      </w:r>
      <w:r w:rsidR="00B33A88">
        <w:t>n</w:t>
      </w:r>
      <w:r w:rsidR="00B33A88" w:rsidRPr="00EA7B3F">
        <w:t>-cost-effective</w:t>
      </w:r>
      <w:r w:rsidR="00B33A88">
        <w:t xml:space="preserve"> use</w:t>
      </w:r>
      <w:r w:rsidR="0039444F" w:rsidRPr="00EA7B3F">
        <w:t xml:space="preserve">, a </w:t>
      </w:r>
      <w:r w:rsidR="006F5B4F">
        <w:rPr>
          <w:noProof/>
          <w:color w:val="000000"/>
          <w:highlight w:val="black"/>
        </w:rPr>
        <w:t>''''''''</w:t>
      </w:r>
      <w:r w:rsidR="0039444F" w:rsidRPr="00EA7B3F">
        <w:t xml:space="preserve">% rebate </w:t>
      </w:r>
      <w:r w:rsidR="00F53596" w:rsidRPr="00EA7B3F">
        <w:t>was required.</w:t>
      </w:r>
      <w:r w:rsidR="001575DC" w:rsidRPr="00EA7B3F">
        <w:t xml:space="preserve"> The PSCR stated that if expenditure is being exceeded because treatment is being used </w:t>
      </w:r>
      <w:r w:rsidR="00B33A88">
        <w:t xml:space="preserve">in </w:t>
      </w:r>
      <w:r w:rsidR="001575DC" w:rsidRPr="00EA7B3F">
        <w:t xml:space="preserve">lower attack frequency patients, then it is appropriate to rebate </w:t>
      </w:r>
      <w:r w:rsidR="006F5B4F">
        <w:rPr>
          <w:noProof/>
          <w:color w:val="000000"/>
          <w:highlight w:val="black"/>
        </w:rPr>
        <w:t>'''''</w:t>
      </w:r>
      <w:r w:rsidR="001575DC" w:rsidRPr="00EA7B3F">
        <w:t xml:space="preserve">% to ensure these </w:t>
      </w:r>
      <w:r w:rsidR="00B33A88">
        <w:t xml:space="preserve">additional </w:t>
      </w:r>
      <w:r w:rsidR="001575DC" w:rsidRPr="00EA7B3F">
        <w:t xml:space="preserve">patients are as cost-effective as the eligible population. The PSCR also stated that it was important to note that the proposed caps do not allow for the risk of eligible patients continuing treatment in subsequent treatment years. The ESC noted that whether this rebate would mean that patients were ‘equally cost-effective as the eligible population’ would depend on a number of factors including frequency of HAE attacks. Overall, the ESC did not consider that the claim of cost-effectiveness being achieved with the </w:t>
      </w:r>
      <w:r w:rsidR="006F5B4F">
        <w:rPr>
          <w:noProof/>
          <w:color w:val="000000"/>
          <w:highlight w:val="black"/>
        </w:rPr>
        <w:t>'''''</w:t>
      </w:r>
      <w:r w:rsidR="001575DC" w:rsidRPr="00EA7B3F">
        <w:t>% rebate in this population had been adequately supported</w:t>
      </w:r>
      <w:r w:rsidR="002D0E52" w:rsidRPr="00EA7B3F">
        <w:t xml:space="preserve"> and considered a </w:t>
      </w:r>
      <w:r w:rsidR="006F5B4F">
        <w:rPr>
          <w:noProof/>
          <w:color w:val="000000"/>
          <w:highlight w:val="black"/>
        </w:rPr>
        <w:t>''''''''</w:t>
      </w:r>
      <w:r w:rsidR="002D0E52" w:rsidRPr="00EA7B3F">
        <w:t>% rebate to be appropriate</w:t>
      </w:r>
      <w:r w:rsidR="001575DC" w:rsidRPr="00EA7B3F">
        <w:t xml:space="preserve">. </w:t>
      </w:r>
    </w:p>
    <w:p w14:paraId="28FB8120" w14:textId="77777777" w:rsidR="00314918" w:rsidRPr="00EA7B3F" w:rsidRDefault="001B04C2" w:rsidP="00827224">
      <w:pPr>
        <w:pStyle w:val="ListParagraph"/>
        <w:numPr>
          <w:ilvl w:val="1"/>
          <w:numId w:val="1"/>
        </w:numPr>
      </w:pPr>
      <w:r w:rsidRPr="00EA7B3F">
        <w:t xml:space="preserve">The resubmission noted that the RSA excluded patients transitioning from C1-INH routine prophylaxis, as the </w:t>
      </w:r>
      <w:r w:rsidR="00B33A88" w:rsidRPr="00EA7B3F">
        <w:t>size</w:t>
      </w:r>
      <w:r w:rsidRPr="00EA7B3F">
        <w:t xml:space="preserve"> of this patient cohort </w:t>
      </w:r>
      <w:r w:rsidR="00314918" w:rsidRPr="00EA7B3F">
        <w:t>wa</w:t>
      </w:r>
      <w:r w:rsidRPr="00EA7B3F">
        <w:t>s uncertain. It stated that C1-INH patients should be allowed to transition to lanadelumab by virtue of lanadelumab being cost-effective in these patients if they were not receiving C1-INH.</w:t>
      </w:r>
      <w:r w:rsidR="00FE3213" w:rsidRPr="00EA7B3F">
        <w:t xml:space="preserve"> </w:t>
      </w:r>
      <w:r w:rsidR="00164713" w:rsidRPr="00EA7B3F">
        <w:t>The resubmission did not state</w:t>
      </w:r>
      <w:r w:rsidR="00FE3213" w:rsidRPr="00EA7B3F">
        <w:t xml:space="preserve"> how th</w:t>
      </w:r>
      <w:r w:rsidR="00827224" w:rsidRPr="00EA7B3F">
        <w:t xml:space="preserve">e exclusion of C1-INH patients </w:t>
      </w:r>
      <w:r w:rsidR="003B111C" w:rsidRPr="00EA7B3F">
        <w:t>w</w:t>
      </w:r>
      <w:r w:rsidR="00FE3213" w:rsidRPr="00EA7B3F">
        <w:t>ould be implemented</w:t>
      </w:r>
      <w:r w:rsidR="00827224" w:rsidRPr="00EA7B3F">
        <w:t>, a</w:t>
      </w:r>
      <w:r w:rsidR="00E94CFA" w:rsidRPr="00EA7B3F">
        <w:rPr>
          <w:iCs/>
        </w:rPr>
        <w:t xml:space="preserve">lthough the resubmission proposed a separate restriction for patients initiating lanadelumab following C1-INH prophylaxis, it did not address how utilisation </w:t>
      </w:r>
      <w:r w:rsidR="002F605A" w:rsidRPr="00EA7B3F">
        <w:rPr>
          <w:iCs/>
        </w:rPr>
        <w:t>by</w:t>
      </w:r>
      <w:r w:rsidR="00E94CFA" w:rsidRPr="00EA7B3F">
        <w:rPr>
          <w:iCs/>
        </w:rPr>
        <w:t xml:space="preserve"> these patients would be tracked separately in the continuing treatment phase for the purposes of administering the RSA</w:t>
      </w:r>
      <w:r w:rsidR="00164713" w:rsidRPr="00EA7B3F">
        <w:rPr>
          <w:iCs/>
        </w:rPr>
        <w:t>.</w:t>
      </w:r>
      <w:r w:rsidR="00FA3DF6" w:rsidRPr="00EA7B3F">
        <w:rPr>
          <w:i/>
          <w:iCs/>
        </w:rPr>
        <w:t xml:space="preserve"> </w:t>
      </w:r>
      <w:r w:rsidR="001575DC" w:rsidRPr="00EA7B3F">
        <w:t xml:space="preserve">The PSCR proposed that the Authority Required – written listing should include a record of whether patients were prophylaxis naïve (SOC group) or had previously received prophylaxis (C1-INH group). </w:t>
      </w:r>
      <w:r w:rsidR="00EA6EFF" w:rsidRPr="00EA7B3F">
        <w:t xml:space="preserve">While the </w:t>
      </w:r>
      <w:r w:rsidR="00314918" w:rsidRPr="00EA7B3F">
        <w:t xml:space="preserve">ESC considered that </w:t>
      </w:r>
      <w:r w:rsidR="00EA6EFF" w:rsidRPr="00EA7B3F">
        <w:t xml:space="preserve">utilisation for the two groups could be tracked against the proposed separate PBS initial treatment restrictions, </w:t>
      </w:r>
      <w:r w:rsidR="00314918" w:rsidRPr="00EA7B3F">
        <w:t>this would be difficult to implement for continuing prescriptions.</w:t>
      </w:r>
      <w:r w:rsidR="00EA6EFF" w:rsidRPr="00EA7B3F">
        <w:t xml:space="preserve"> Further, the ESC considered that not including a subset of patients in the proposed RSA was not consistent with providing a robust RSA for the</w:t>
      </w:r>
      <w:r w:rsidR="002E27E7" w:rsidRPr="00EA7B3F">
        <w:t xml:space="preserve"> overall listing</w:t>
      </w:r>
      <w:r w:rsidR="00EF4632" w:rsidRPr="00EA7B3F">
        <w:t xml:space="preserve"> of lanadelumab</w:t>
      </w:r>
      <w:r w:rsidR="002E27E7" w:rsidRPr="00EA7B3F">
        <w:t xml:space="preserve">, and that the risks being managed for the SOC population, i.e. dose frequency and leakage to </w:t>
      </w:r>
      <w:r w:rsidR="00EF4632" w:rsidRPr="00EA7B3F">
        <w:t>less severe populations, w</w:t>
      </w:r>
      <w:r w:rsidR="000A5B80" w:rsidRPr="00EA7B3F">
        <w:t>ere</w:t>
      </w:r>
      <w:r w:rsidR="00EF4632" w:rsidRPr="00EA7B3F">
        <w:t xml:space="preserve"> also relevant to those patients switching from C1-INH. </w:t>
      </w:r>
    </w:p>
    <w:p w14:paraId="539575F3" w14:textId="52DB8916" w:rsidR="00034C31" w:rsidRPr="00EA7B3F" w:rsidRDefault="006E207B" w:rsidP="00034C31">
      <w:pPr>
        <w:pStyle w:val="ListParagraph"/>
        <w:numPr>
          <w:ilvl w:val="1"/>
          <w:numId w:val="1"/>
        </w:numPr>
      </w:pPr>
      <w:r w:rsidRPr="00EA7B3F">
        <w:t xml:space="preserve">The ESC considered that a two tier RSA </w:t>
      </w:r>
      <w:r w:rsidR="003829DD" w:rsidRPr="00EA7B3F">
        <w:t xml:space="preserve">may be appropriate in which </w:t>
      </w:r>
      <w:r w:rsidR="00653091" w:rsidRPr="00EA7B3F">
        <w:t>T</w:t>
      </w:r>
      <w:r w:rsidR="003829DD" w:rsidRPr="00EA7B3F">
        <w:t>ier 1 was based on the number of patients estimated to switch from C1-INH (</w:t>
      </w:r>
      <w:r w:rsidR="000A6798">
        <w:t>&lt; 500</w:t>
      </w:r>
      <w:r w:rsidR="003829DD" w:rsidRPr="00EA7B3F">
        <w:t xml:space="preserve"> patients in </w:t>
      </w:r>
      <w:r w:rsidR="00653091" w:rsidRPr="00EA7B3F">
        <w:t>Y</w:t>
      </w:r>
      <w:r w:rsidR="003829DD" w:rsidRPr="00EA7B3F">
        <w:t xml:space="preserve">ear 1 increasing to </w:t>
      </w:r>
      <w:r w:rsidR="000A6798">
        <w:t>&lt; 500</w:t>
      </w:r>
      <w:r w:rsidR="003829DD" w:rsidRPr="00EA7B3F">
        <w:t xml:space="preserve"> patients in </w:t>
      </w:r>
      <w:r w:rsidR="00653091" w:rsidRPr="00EA7B3F">
        <w:t>Y</w:t>
      </w:r>
      <w:r w:rsidR="003829DD" w:rsidRPr="00EA7B3F">
        <w:t xml:space="preserve">ear 6; Table 11) and </w:t>
      </w:r>
      <w:r w:rsidR="00653091" w:rsidRPr="00EA7B3F">
        <w:t>T</w:t>
      </w:r>
      <w:r w:rsidR="003829DD" w:rsidRPr="00EA7B3F">
        <w:t>ier 2 was based on the number of patients estimated to switch from SOC (</w:t>
      </w:r>
      <w:r w:rsidR="000A6798">
        <w:t>&lt; 500</w:t>
      </w:r>
      <w:r w:rsidR="003829DD" w:rsidRPr="00EA7B3F">
        <w:t xml:space="preserve"> patients in </w:t>
      </w:r>
      <w:r w:rsidR="002D0E52" w:rsidRPr="00EA7B3F">
        <w:t>Y</w:t>
      </w:r>
      <w:r w:rsidR="003829DD" w:rsidRPr="00EA7B3F">
        <w:t xml:space="preserve">ear 1 increasing to </w:t>
      </w:r>
      <w:r w:rsidR="000A6798">
        <w:t>&lt; 500</w:t>
      </w:r>
      <w:r w:rsidR="003829DD" w:rsidRPr="00EA7B3F">
        <w:t xml:space="preserve"> patients in </w:t>
      </w:r>
      <w:r w:rsidR="00653091" w:rsidRPr="00EA7B3F">
        <w:t>Y</w:t>
      </w:r>
      <w:r w:rsidR="003829DD" w:rsidRPr="00EA7B3F">
        <w:t xml:space="preserve">ear 6; Table 11). The cost of lanadelumab for use between </w:t>
      </w:r>
      <w:r w:rsidR="00653091" w:rsidRPr="00EA7B3F">
        <w:t>T</w:t>
      </w:r>
      <w:r w:rsidR="003829DD" w:rsidRPr="00EA7B3F">
        <w:t>iers 1 and 2 should reflect the price that is determined to be cost-effective</w:t>
      </w:r>
      <w:r w:rsidR="00C3031B" w:rsidRPr="00EA7B3F">
        <w:t xml:space="preserve"> as per paragraph 6.</w:t>
      </w:r>
      <w:r w:rsidR="00B77246" w:rsidRPr="00EA7B3F">
        <w:t>2</w:t>
      </w:r>
      <w:r w:rsidR="00433ADF">
        <w:t>9</w:t>
      </w:r>
      <w:r w:rsidR="003829DD" w:rsidRPr="00EA7B3F">
        <w:t xml:space="preserve">. The rebate applied for use </w:t>
      </w:r>
      <w:r w:rsidR="00B33A88">
        <w:t>beyond</w:t>
      </w:r>
      <w:r w:rsidR="003829DD" w:rsidRPr="00EA7B3F">
        <w:t xml:space="preserve"> </w:t>
      </w:r>
      <w:r w:rsidR="00653091" w:rsidRPr="00EA7B3F">
        <w:t>T</w:t>
      </w:r>
      <w:r w:rsidR="003829DD" w:rsidRPr="00EA7B3F">
        <w:t xml:space="preserve">ier 2 should consider the risk of use of more than 13 injections per year and the risk of use in patients with </w:t>
      </w:r>
      <w:r w:rsidR="003829DD" w:rsidRPr="00EA7B3F">
        <w:rPr>
          <w:rFonts w:cstheme="minorHAnsi"/>
        </w:rPr>
        <w:t xml:space="preserve">≤24 attacks per year. The ESC considered that the rebate </w:t>
      </w:r>
      <w:r w:rsidR="00A84FF9" w:rsidRPr="00EA7B3F">
        <w:rPr>
          <w:rFonts w:cstheme="minorHAnsi"/>
        </w:rPr>
        <w:t xml:space="preserve">for use beyond Tier 2 </w:t>
      </w:r>
      <w:r w:rsidR="003829DD" w:rsidRPr="00EA7B3F">
        <w:rPr>
          <w:rFonts w:cstheme="minorHAnsi"/>
        </w:rPr>
        <w:t xml:space="preserve">should be </w:t>
      </w:r>
      <w:r w:rsidR="006F5B4F">
        <w:rPr>
          <w:rFonts w:cstheme="minorHAnsi"/>
          <w:noProof/>
          <w:color w:val="000000"/>
          <w:highlight w:val="black"/>
        </w:rPr>
        <w:t>'''''''</w:t>
      </w:r>
      <w:r w:rsidR="003829DD" w:rsidRPr="00EA7B3F">
        <w:rPr>
          <w:rFonts w:cstheme="minorHAnsi"/>
        </w:rPr>
        <w:t>%</w:t>
      </w:r>
      <w:r w:rsidR="00A86299" w:rsidRPr="00EA7B3F">
        <w:rPr>
          <w:rFonts w:cstheme="minorHAnsi"/>
        </w:rPr>
        <w:t xml:space="preserve"> as outlined above</w:t>
      </w:r>
      <w:r w:rsidR="002D0E52" w:rsidRPr="00EA7B3F">
        <w:rPr>
          <w:rFonts w:cstheme="minorHAnsi"/>
        </w:rPr>
        <w:t xml:space="preserve"> in paragraph</w:t>
      </w:r>
      <w:r w:rsidR="00B77246" w:rsidRPr="00EA7B3F">
        <w:rPr>
          <w:rFonts w:cstheme="minorHAnsi"/>
        </w:rPr>
        <w:t xml:space="preserve"> 6.59</w:t>
      </w:r>
      <w:r w:rsidR="00A86299" w:rsidRPr="00EA7B3F">
        <w:rPr>
          <w:rFonts w:cstheme="minorHAnsi"/>
        </w:rPr>
        <w:t>.</w:t>
      </w:r>
      <w:r w:rsidR="003829DD" w:rsidRPr="00EA7B3F">
        <w:rPr>
          <w:rFonts w:cstheme="minorHAnsi"/>
        </w:rPr>
        <w:t xml:space="preserve"> </w:t>
      </w:r>
    </w:p>
    <w:p w14:paraId="27DAD680" w14:textId="77777777" w:rsidR="00034C31" w:rsidRPr="00EA7B3F" w:rsidRDefault="00034C31" w:rsidP="00034C31">
      <w:pPr>
        <w:pStyle w:val="ListParagraph"/>
        <w:numPr>
          <w:ilvl w:val="1"/>
          <w:numId w:val="1"/>
        </w:numPr>
      </w:pPr>
      <w:r w:rsidRPr="00EA7B3F">
        <w:t xml:space="preserve">The pre-PBAC response proposed a </w:t>
      </w:r>
      <w:r w:rsidR="00B33A88" w:rsidRPr="00EA7B3F">
        <w:t>two-tier</w:t>
      </w:r>
      <w:r w:rsidRPr="00EA7B3F">
        <w:t xml:space="preserve"> RSA that was based on the framework suggested by the ESC (paragraph 6.</w:t>
      </w:r>
      <w:r w:rsidR="00433ADF">
        <w:t>57</w:t>
      </w:r>
      <w:r w:rsidRPr="00EA7B3F">
        <w:t xml:space="preserve">). The revised expenditure caps </w:t>
      </w:r>
      <w:r w:rsidR="00FA00FA" w:rsidRPr="00EA7B3F">
        <w:t>applied</w:t>
      </w:r>
      <w:r w:rsidRPr="00EA7B3F">
        <w:t xml:space="preserve"> the </w:t>
      </w:r>
      <w:r w:rsidR="00131469" w:rsidRPr="00EA7B3F">
        <w:t xml:space="preserve">updated </w:t>
      </w:r>
      <w:r w:rsidRPr="00EA7B3F">
        <w:t>effective DPMQ (</w:t>
      </w:r>
      <w:r w:rsidR="001A40C2" w:rsidRPr="00EA7B3F">
        <w:t>$</w:t>
      </w:r>
      <w:r w:rsidR="006F5B4F">
        <w:rPr>
          <w:noProof/>
          <w:color w:val="000000"/>
          <w:highlight w:val="black"/>
        </w:rPr>
        <w:t>''''''''''''''''''''</w:t>
      </w:r>
      <w:r w:rsidR="001A40C2" w:rsidRPr="00EA7B3F">
        <w:t xml:space="preserve"> for one syringe</w:t>
      </w:r>
      <w:r w:rsidR="00131469" w:rsidRPr="00EA7B3F">
        <w:t>)</w:t>
      </w:r>
      <w:r w:rsidRPr="00EA7B3F">
        <w:t xml:space="preserve"> and assumed that all patients received 13 doses per year (i.e. Q4W dosing). Tier 1 was based on the predicted expenditure from patients switching from C1-INH. Tier 2 included grandfather patients and those estimated to switch from SOC</w:t>
      </w:r>
      <w:r w:rsidR="00131469" w:rsidRPr="00EA7B3F">
        <w:t xml:space="preserve"> (u</w:t>
      </w:r>
      <w:r w:rsidRPr="00EA7B3F">
        <w:t xml:space="preserve">ptake in Year 1 was reduced from </w:t>
      </w:r>
      <w:r w:rsidR="006F5B4F">
        <w:rPr>
          <w:noProof/>
          <w:color w:val="000000"/>
          <w:highlight w:val="black"/>
        </w:rPr>
        <w:t>'''''</w:t>
      </w:r>
      <w:r w:rsidR="0058342A" w:rsidRPr="00EA7B3F">
        <w:t xml:space="preserve">% to </w:t>
      </w:r>
      <w:r w:rsidR="006F5B4F">
        <w:rPr>
          <w:noProof/>
          <w:color w:val="000000"/>
          <w:highlight w:val="black"/>
        </w:rPr>
        <w:t>'''''</w:t>
      </w:r>
      <w:r w:rsidR="0058342A" w:rsidRPr="00EA7B3F">
        <w:t>%</w:t>
      </w:r>
      <w:r w:rsidR="00131469" w:rsidRPr="00EA7B3F">
        <w:t>). E</w:t>
      </w:r>
      <w:r w:rsidR="0058342A" w:rsidRPr="00EA7B3F">
        <w:t xml:space="preserve">xpenditure between Tiers 1 and 2 was </w:t>
      </w:r>
      <w:r w:rsidR="009B4137">
        <w:t>rebated</w:t>
      </w:r>
      <w:r w:rsidR="0058342A" w:rsidRPr="00EA7B3F">
        <w:t xml:space="preserve"> at </w:t>
      </w:r>
      <w:r w:rsidR="006F5B4F">
        <w:rPr>
          <w:noProof/>
          <w:color w:val="000000"/>
          <w:highlight w:val="black"/>
        </w:rPr>
        <w:t>'''''</w:t>
      </w:r>
      <w:r w:rsidR="0058342A" w:rsidRPr="00EA7B3F">
        <w:t xml:space="preserve">% to reflect the updated acceptable level of cost-effectiveness (see </w:t>
      </w:r>
      <w:r w:rsidR="00027E29" w:rsidRPr="00EA7B3F">
        <w:t>paragraph 6.</w:t>
      </w:r>
      <w:r w:rsidR="00027E29" w:rsidRPr="00433ADF">
        <w:t>29</w:t>
      </w:r>
      <w:r w:rsidR="0058342A" w:rsidRPr="00EA7B3F">
        <w:t xml:space="preserve">). The rebate for use beyond Tier 2 was </w:t>
      </w:r>
      <w:r w:rsidR="006F5B4F">
        <w:rPr>
          <w:noProof/>
          <w:color w:val="000000"/>
          <w:highlight w:val="black"/>
        </w:rPr>
        <w:t>'''''''</w:t>
      </w:r>
      <w:r w:rsidR="0058342A" w:rsidRPr="00EA7B3F">
        <w:t xml:space="preserve">% - see Table </w:t>
      </w:r>
      <w:r w:rsidR="009B45CA">
        <w:t>12</w:t>
      </w:r>
      <w:r w:rsidR="0058342A" w:rsidRPr="00EA7B3F">
        <w:t>.</w:t>
      </w:r>
    </w:p>
    <w:p w14:paraId="1163C392" w14:textId="77777777" w:rsidR="003D695D" w:rsidRPr="00EA7B3F" w:rsidRDefault="003D695D" w:rsidP="0082228E">
      <w:pPr>
        <w:pStyle w:val="TableFigureHeading"/>
        <w:keepLines/>
      </w:pPr>
      <w:r w:rsidRPr="00EA7B3F">
        <w:t xml:space="preserve">Table </w:t>
      </w:r>
      <w:r w:rsidR="009B45CA">
        <w:t>12</w:t>
      </w:r>
      <w:r w:rsidRPr="00EA7B3F">
        <w:t>: Revised RSA expenditure thresholds (calculated using effective DPMQ)</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1134"/>
        <w:gridCol w:w="1133"/>
        <w:gridCol w:w="1133"/>
        <w:gridCol w:w="1133"/>
        <w:gridCol w:w="1276"/>
        <w:gridCol w:w="1136"/>
        <w:gridCol w:w="991"/>
      </w:tblGrid>
      <w:tr w:rsidR="00257856" w:rsidRPr="00EA7B3F" w14:paraId="60D24790" w14:textId="77777777" w:rsidTr="007E5FC0">
        <w:trPr>
          <w:tblHeader/>
        </w:trPr>
        <w:tc>
          <w:tcPr>
            <w:tcW w:w="691" w:type="pct"/>
            <w:shd w:val="clear" w:color="auto" w:fill="auto"/>
            <w:vAlign w:val="center"/>
          </w:tcPr>
          <w:p w14:paraId="3B526E10" w14:textId="77777777" w:rsidR="0058342A" w:rsidRPr="00EA7B3F" w:rsidRDefault="0058342A" w:rsidP="0082228E">
            <w:pPr>
              <w:pStyle w:val="Tabletextleft"/>
              <w:keepNext/>
              <w:keepLines/>
              <w:rPr>
                <w:rFonts w:ascii="Arial Narrow" w:eastAsia="Calibri" w:hAnsi="Arial Narrow"/>
                <w:sz w:val="20"/>
              </w:rPr>
            </w:pPr>
          </w:p>
        </w:tc>
        <w:tc>
          <w:tcPr>
            <w:tcW w:w="616" w:type="pct"/>
            <w:shd w:val="clear" w:color="auto" w:fill="auto"/>
            <w:vAlign w:val="center"/>
          </w:tcPr>
          <w:p w14:paraId="6455343A"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1</w:t>
            </w:r>
          </w:p>
        </w:tc>
        <w:tc>
          <w:tcPr>
            <w:tcW w:w="615" w:type="pct"/>
            <w:shd w:val="clear" w:color="auto" w:fill="auto"/>
            <w:vAlign w:val="center"/>
          </w:tcPr>
          <w:p w14:paraId="33C17BCC"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2</w:t>
            </w:r>
          </w:p>
        </w:tc>
        <w:tc>
          <w:tcPr>
            <w:tcW w:w="615" w:type="pct"/>
            <w:shd w:val="clear" w:color="auto" w:fill="auto"/>
            <w:vAlign w:val="center"/>
          </w:tcPr>
          <w:p w14:paraId="20B71C13"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3</w:t>
            </w:r>
          </w:p>
        </w:tc>
        <w:tc>
          <w:tcPr>
            <w:tcW w:w="615" w:type="pct"/>
            <w:shd w:val="clear" w:color="auto" w:fill="auto"/>
            <w:vAlign w:val="center"/>
          </w:tcPr>
          <w:p w14:paraId="2BBCCC03"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4</w:t>
            </w:r>
          </w:p>
        </w:tc>
        <w:tc>
          <w:tcPr>
            <w:tcW w:w="693" w:type="pct"/>
            <w:shd w:val="clear" w:color="auto" w:fill="auto"/>
            <w:vAlign w:val="center"/>
          </w:tcPr>
          <w:p w14:paraId="04EB5108"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5</w:t>
            </w:r>
          </w:p>
        </w:tc>
        <w:tc>
          <w:tcPr>
            <w:tcW w:w="617" w:type="pct"/>
            <w:vAlign w:val="center"/>
          </w:tcPr>
          <w:p w14:paraId="52904D63" w14:textId="77777777" w:rsidR="0058342A" w:rsidRPr="00EA7B3F" w:rsidRDefault="0058342A" w:rsidP="0082228E">
            <w:pPr>
              <w:pStyle w:val="Tabletextleft"/>
              <w:keepNext/>
              <w:keepLines/>
              <w:jc w:val="center"/>
              <w:rPr>
                <w:rFonts w:ascii="Arial Narrow" w:eastAsia="Calibri" w:hAnsi="Arial Narrow"/>
                <w:b/>
                <w:sz w:val="20"/>
              </w:rPr>
            </w:pPr>
            <w:r w:rsidRPr="00EA7B3F">
              <w:rPr>
                <w:rFonts w:ascii="Arial Narrow" w:eastAsia="Calibri" w:hAnsi="Arial Narrow"/>
                <w:b/>
                <w:sz w:val="20"/>
              </w:rPr>
              <w:t>Year 6</w:t>
            </w:r>
          </w:p>
        </w:tc>
        <w:tc>
          <w:tcPr>
            <w:tcW w:w="538" w:type="pct"/>
            <w:vAlign w:val="center"/>
          </w:tcPr>
          <w:p w14:paraId="04F5B2A0" w14:textId="77777777" w:rsidR="0058342A" w:rsidRPr="00EA7B3F" w:rsidRDefault="0058342A" w:rsidP="0082228E">
            <w:pPr>
              <w:pStyle w:val="Tabletextleft"/>
              <w:keepNext/>
              <w:keepLines/>
              <w:rPr>
                <w:rFonts w:ascii="Arial Narrow" w:eastAsia="Calibri" w:hAnsi="Arial Narrow"/>
                <w:b/>
                <w:sz w:val="20"/>
              </w:rPr>
            </w:pPr>
            <w:r w:rsidRPr="00EA7B3F">
              <w:rPr>
                <w:rFonts w:ascii="Arial Narrow" w:eastAsia="Calibri" w:hAnsi="Arial Narrow"/>
                <w:b/>
                <w:sz w:val="20"/>
              </w:rPr>
              <w:t xml:space="preserve">Notes </w:t>
            </w:r>
          </w:p>
        </w:tc>
      </w:tr>
      <w:tr w:rsidR="0058342A" w:rsidRPr="009B4137" w14:paraId="54B1822F" w14:textId="77777777" w:rsidTr="00257856">
        <w:tc>
          <w:tcPr>
            <w:tcW w:w="5000" w:type="pct"/>
            <w:gridSpan w:val="8"/>
            <w:shd w:val="clear" w:color="auto" w:fill="auto"/>
            <w:vAlign w:val="center"/>
          </w:tcPr>
          <w:p w14:paraId="7E105C4A" w14:textId="77777777" w:rsidR="0058342A" w:rsidRPr="009B4137" w:rsidRDefault="0058342A" w:rsidP="0082228E">
            <w:pPr>
              <w:pStyle w:val="Tabletextleft"/>
              <w:keepNext/>
              <w:keepLines/>
              <w:rPr>
                <w:rFonts w:ascii="Arial Narrow" w:eastAsia="Calibri" w:hAnsi="Arial Narrow"/>
                <w:sz w:val="20"/>
              </w:rPr>
            </w:pPr>
            <w:r w:rsidRPr="009B4137">
              <w:rPr>
                <w:rFonts w:ascii="Arial Narrow" w:eastAsia="Calibri" w:hAnsi="Arial Narrow"/>
                <w:b/>
                <w:bCs/>
                <w:sz w:val="20"/>
              </w:rPr>
              <w:t>C1-INH</w:t>
            </w:r>
            <w:r w:rsidR="009B4137" w:rsidRPr="009B4137">
              <w:rPr>
                <w:rFonts w:ascii="Arial Narrow" w:eastAsia="Calibri" w:hAnsi="Arial Narrow"/>
                <w:b/>
                <w:bCs/>
                <w:sz w:val="20"/>
              </w:rPr>
              <w:t xml:space="preserve"> patients</w:t>
            </w:r>
          </w:p>
        </w:tc>
      </w:tr>
      <w:tr w:rsidR="00257856" w:rsidRPr="00EA7B3F" w14:paraId="67CE634E" w14:textId="77777777" w:rsidTr="007E5FC0">
        <w:tc>
          <w:tcPr>
            <w:tcW w:w="691" w:type="pct"/>
            <w:shd w:val="clear" w:color="auto" w:fill="auto"/>
            <w:vAlign w:val="center"/>
          </w:tcPr>
          <w:p w14:paraId="38DC364B"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C1-INH patient</w:t>
            </w:r>
            <w:r w:rsidR="003D695D" w:rsidRPr="00EA7B3F">
              <w:rPr>
                <w:rFonts w:ascii="Arial Narrow" w:eastAsia="Calibri" w:hAnsi="Arial Narrow"/>
                <w:sz w:val="20"/>
              </w:rPr>
              <w:t>s</w:t>
            </w:r>
            <w:r w:rsidRPr="00EA7B3F">
              <w:rPr>
                <w:rFonts w:ascii="Arial Narrow" w:eastAsia="Calibri" w:hAnsi="Arial Narrow"/>
                <w:sz w:val="20"/>
              </w:rPr>
              <w:t xml:space="preserve"> [A]</w:t>
            </w:r>
          </w:p>
        </w:tc>
        <w:tc>
          <w:tcPr>
            <w:tcW w:w="616" w:type="pct"/>
            <w:shd w:val="clear" w:color="auto" w:fill="auto"/>
            <w:vAlign w:val="center"/>
          </w:tcPr>
          <w:p w14:paraId="731BA054"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5E2A27E"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62806582"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72C30CBB"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3FCC6057"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1E98AD91" w14:textId="77777777" w:rsidR="0058342A" w:rsidRPr="006F5B4F" w:rsidRDefault="006F5B4F" w:rsidP="0082228E">
            <w:pPr>
              <w:pStyle w:val="Tabletextleft"/>
              <w:keepNext/>
              <w:keepLines/>
              <w:jc w:val="center"/>
              <w:rPr>
                <w:rFonts w:ascii="Arial Narrow" w:eastAsia="Calibri" w:hAnsi="Arial Narrow"/>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624763D9" w14:textId="77777777" w:rsidR="0058342A" w:rsidRPr="00EA7B3F" w:rsidRDefault="003D695D" w:rsidP="0082228E">
            <w:pPr>
              <w:pStyle w:val="Tabletextleft"/>
              <w:keepNext/>
              <w:keepLines/>
              <w:rPr>
                <w:rFonts w:ascii="Arial Narrow" w:eastAsia="Calibri" w:hAnsi="Arial Narrow"/>
                <w:sz w:val="20"/>
              </w:rPr>
            </w:pPr>
            <w:r w:rsidRPr="00EA7B3F">
              <w:rPr>
                <w:rFonts w:ascii="Arial Narrow" w:eastAsia="Calibri" w:hAnsi="Arial Narrow"/>
                <w:sz w:val="20"/>
              </w:rPr>
              <w:t>-</w:t>
            </w:r>
          </w:p>
        </w:tc>
      </w:tr>
      <w:tr w:rsidR="00257856" w:rsidRPr="00EA7B3F" w14:paraId="15786858" w14:textId="77777777" w:rsidTr="007E5FC0">
        <w:tc>
          <w:tcPr>
            <w:tcW w:w="691" w:type="pct"/>
            <w:shd w:val="clear" w:color="auto" w:fill="auto"/>
            <w:vAlign w:val="center"/>
          </w:tcPr>
          <w:p w14:paraId="73C4A19E"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Syringes/year [B]</w:t>
            </w:r>
          </w:p>
        </w:tc>
        <w:tc>
          <w:tcPr>
            <w:tcW w:w="616" w:type="pct"/>
            <w:shd w:val="clear" w:color="auto" w:fill="auto"/>
            <w:vAlign w:val="center"/>
          </w:tcPr>
          <w:p w14:paraId="59791505"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15284CF1"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461C7126"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4C2D901A"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0AFE125C"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50130FE3"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065567B6"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 [A]*13 syringes/ year</w:t>
            </w:r>
          </w:p>
        </w:tc>
      </w:tr>
      <w:tr w:rsidR="00257856" w:rsidRPr="00EA7B3F" w14:paraId="0829768C" w14:textId="77777777" w:rsidTr="007E5FC0">
        <w:tc>
          <w:tcPr>
            <w:tcW w:w="691" w:type="pct"/>
            <w:shd w:val="clear" w:color="auto" w:fill="D9D9D9" w:themeFill="background1" w:themeFillShade="D9"/>
            <w:vAlign w:val="center"/>
          </w:tcPr>
          <w:p w14:paraId="4747A66D" w14:textId="77777777" w:rsidR="0058342A" w:rsidRPr="00EA7B3F" w:rsidRDefault="0058342A" w:rsidP="0082228E">
            <w:pPr>
              <w:pStyle w:val="Tabletextleft"/>
              <w:keepNext/>
              <w:keepLines/>
              <w:rPr>
                <w:rFonts w:ascii="Arial Narrow" w:eastAsia="Calibri" w:hAnsi="Arial Narrow"/>
                <w:b/>
                <w:bCs/>
                <w:sz w:val="20"/>
              </w:rPr>
            </w:pPr>
            <w:r w:rsidRPr="00EA7B3F">
              <w:rPr>
                <w:rFonts w:ascii="Arial Narrow" w:eastAsia="Calibri" w:hAnsi="Arial Narrow"/>
                <w:b/>
                <w:bCs/>
                <w:sz w:val="20"/>
              </w:rPr>
              <w:t>Tier 1 PBS effective expenditure cap</w:t>
            </w:r>
          </w:p>
        </w:tc>
        <w:tc>
          <w:tcPr>
            <w:tcW w:w="616" w:type="pct"/>
            <w:shd w:val="clear" w:color="auto" w:fill="D9D9D9" w:themeFill="background1" w:themeFillShade="D9"/>
            <w:vAlign w:val="center"/>
          </w:tcPr>
          <w:p w14:paraId="22C86EC1"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7E4D9CB4"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0281A73F"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42F9C71F"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93" w:type="pct"/>
            <w:shd w:val="clear" w:color="auto" w:fill="D9D9D9" w:themeFill="background1" w:themeFillShade="D9"/>
            <w:vAlign w:val="center"/>
          </w:tcPr>
          <w:p w14:paraId="0358C2B0"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7" w:type="pct"/>
            <w:shd w:val="clear" w:color="auto" w:fill="D9D9D9" w:themeFill="background1" w:themeFillShade="D9"/>
            <w:vAlign w:val="center"/>
          </w:tcPr>
          <w:p w14:paraId="7F319CEB" w14:textId="77777777" w:rsidR="0058342A" w:rsidRPr="00EA7B3F" w:rsidRDefault="0058342A"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538" w:type="pct"/>
            <w:shd w:val="clear" w:color="auto" w:fill="D9D9D9" w:themeFill="background1" w:themeFillShade="D9"/>
            <w:vAlign w:val="center"/>
          </w:tcPr>
          <w:p w14:paraId="2D5DF269" w14:textId="77777777" w:rsidR="0058342A" w:rsidRPr="00EA7B3F" w:rsidRDefault="0058342A" w:rsidP="0082228E">
            <w:pPr>
              <w:pStyle w:val="Tabletextleft"/>
              <w:keepNext/>
              <w:keepLines/>
              <w:rPr>
                <w:rFonts w:ascii="Arial Narrow" w:eastAsia="Calibri" w:hAnsi="Arial Narrow"/>
                <w:bCs/>
                <w:sz w:val="20"/>
              </w:rPr>
            </w:pPr>
            <w:r w:rsidRPr="00EA7B3F">
              <w:rPr>
                <w:rFonts w:ascii="Arial Narrow" w:eastAsia="Calibri" w:hAnsi="Arial Narrow"/>
                <w:bCs/>
                <w:sz w:val="20"/>
              </w:rPr>
              <w:t>= [B]*$</w:t>
            </w:r>
            <w:r w:rsidR="006F5B4F">
              <w:rPr>
                <w:rFonts w:ascii="Arial Narrow" w:eastAsia="Calibri" w:hAnsi="Arial Narrow"/>
                <w:bCs/>
                <w:noProof/>
                <w:color w:val="000000"/>
                <w:sz w:val="20"/>
                <w:highlight w:val="black"/>
              </w:rPr>
              <w:t>''''''''''''''''''''''''</w:t>
            </w:r>
            <w:r w:rsidRPr="00EA7B3F">
              <w:rPr>
                <w:rFonts w:ascii="Arial Narrow" w:eastAsia="Calibri" w:hAnsi="Arial Narrow"/>
                <w:bCs/>
                <w:sz w:val="20"/>
              </w:rPr>
              <w:t xml:space="preserve">  </w:t>
            </w:r>
          </w:p>
        </w:tc>
      </w:tr>
      <w:tr w:rsidR="0058342A" w:rsidRPr="009B4137" w14:paraId="0442F783" w14:textId="77777777" w:rsidTr="00257856">
        <w:tc>
          <w:tcPr>
            <w:tcW w:w="5000" w:type="pct"/>
            <w:gridSpan w:val="8"/>
            <w:shd w:val="clear" w:color="auto" w:fill="auto"/>
            <w:vAlign w:val="center"/>
          </w:tcPr>
          <w:p w14:paraId="39B58884" w14:textId="77777777" w:rsidR="0058342A" w:rsidRPr="009B4137" w:rsidRDefault="0058342A" w:rsidP="0082228E">
            <w:pPr>
              <w:pStyle w:val="Tabletextleft"/>
              <w:keepNext/>
              <w:keepLines/>
              <w:rPr>
                <w:rFonts w:ascii="Arial Narrow" w:eastAsia="Calibri" w:hAnsi="Arial Narrow"/>
                <w:sz w:val="20"/>
              </w:rPr>
            </w:pPr>
            <w:r w:rsidRPr="009B4137">
              <w:rPr>
                <w:rFonts w:ascii="Arial Narrow" w:eastAsia="Calibri" w:hAnsi="Arial Narrow"/>
                <w:b/>
                <w:bCs/>
                <w:sz w:val="20"/>
              </w:rPr>
              <w:t>S</w:t>
            </w:r>
            <w:r w:rsidR="003D695D" w:rsidRPr="009B4137">
              <w:rPr>
                <w:rFonts w:ascii="Arial Narrow" w:eastAsia="Calibri" w:hAnsi="Arial Narrow"/>
                <w:b/>
                <w:bCs/>
                <w:sz w:val="20"/>
              </w:rPr>
              <w:t>O</w:t>
            </w:r>
            <w:r w:rsidRPr="009B4137">
              <w:rPr>
                <w:rFonts w:ascii="Arial Narrow" w:eastAsia="Calibri" w:hAnsi="Arial Narrow"/>
                <w:b/>
                <w:bCs/>
                <w:sz w:val="20"/>
              </w:rPr>
              <w:t>C</w:t>
            </w:r>
            <w:r w:rsidR="009B4137" w:rsidRPr="009B4137">
              <w:rPr>
                <w:rFonts w:ascii="Arial Narrow" w:eastAsia="Calibri" w:hAnsi="Arial Narrow"/>
                <w:b/>
                <w:bCs/>
                <w:sz w:val="20"/>
              </w:rPr>
              <w:t xml:space="preserve"> patients</w:t>
            </w:r>
          </w:p>
        </w:tc>
      </w:tr>
      <w:tr w:rsidR="00257856" w:rsidRPr="00EA7B3F" w14:paraId="5A24C0CC" w14:textId="77777777" w:rsidTr="007E5FC0">
        <w:tc>
          <w:tcPr>
            <w:tcW w:w="691" w:type="pct"/>
            <w:shd w:val="clear" w:color="auto" w:fill="auto"/>
            <w:vAlign w:val="center"/>
          </w:tcPr>
          <w:p w14:paraId="181E21FA"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Grandfather patients</w:t>
            </w:r>
          </w:p>
        </w:tc>
        <w:tc>
          <w:tcPr>
            <w:tcW w:w="616" w:type="pct"/>
            <w:shd w:val="clear" w:color="auto" w:fill="auto"/>
            <w:vAlign w:val="center"/>
          </w:tcPr>
          <w:p w14:paraId="570A2EF0"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eastAsia="Calibri" w:hAnsi="Arial Narrow"/>
                <w:bCs/>
                <w:noProof/>
                <w:color w:val="000000"/>
                <w:sz w:val="20"/>
                <w:highlight w:val="black"/>
              </w:rPr>
              <w:t>''''''</w:t>
            </w:r>
            <w:r w:rsidR="007824C7">
              <w:rPr>
                <w:vertAlign w:val="superscript"/>
              </w:rPr>
              <w:t>1</w:t>
            </w:r>
          </w:p>
        </w:tc>
        <w:tc>
          <w:tcPr>
            <w:tcW w:w="615" w:type="pct"/>
            <w:shd w:val="clear" w:color="auto" w:fill="auto"/>
            <w:vAlign w:val="center"/>
          </w:tcPr>
          <w:p w14:paraId="3CB79317" w14:textId="77777777" w:rsidR="0058342A" w:rsidRPr="006F5B4F" w:rsidRDefault="006F5B4F" w:rsidP="0082228E">
            <w:pPr>
              <w:pStyle w:val="Tabletextleft"/>
              <w:keepNext/>
              <w:keepLines/>
              <w:jc w:val="center"/>
              <w:rPr>
                <w:rFonts w:ascii="Arial Narrow" w:hAnsi="Arial Narrow"/>
                <w:sz w:val="20"/>
              </w:rPr>
            </w:pPr>
            <w:r>
              <w:rPr>
                <w:rFonts w:ascii="Arial Narrow" w:eastAsia="Calibri" w:hAnsi="Arial Narrow"/>
                <w:bCs/>
                <w:noProof/>
                <w:color w:val="000000"/>
                <w:sz w:val="20"/>
                <w:highlight w:val="black"/>
              </w:rPr>
              <w:t>''''</w:t>
            </w:r>
            <w:r w:rsidR="007824C7">
              <w:rPr>
                <w:vertAlign w:val="superscript"/>
              </w:rPr>
              <w:t>1</w:t>
            </w:r>
          </w:p>
        </w:tc>
        <w:tc>
          <w:tcPr>
            <w:tcW w:w="615" w:type="pct"/>
            <w:shd w:val="clear" w:color="auto" w:fill="auto"/>
            <w:vAlign w:val="center"/>
          </w:tcPr>
          <w:p w14:paraId="6992B464" w14:textId="77777777" w:rsidR="0058342A" w:rsidRPr="006F5B4F" w:rsidRDefault="006F5B4F" w:rsidP="0082228E">
            <w:pPr>
              <w:pStyle w:val="Tabletextleft"/>
              <w:keepNext/>
              <w:keepLines/>
              <w:jc w:val="center"/>
              <w:rPr>
                <w:rFonts w:ascii="Arial Narrow" w:hAnsi="Arial Narrow"/>
                <w:sz w:val="20"/>
              </w:rPr>
            </w:pPr>
            <w:r>
              <w:rPr>
                <w:rFonts w:ascii="Arial Narrow" w:eastAsia="Calibri" w:hAnsi="Arial Narrow"/>
                <w:bCs/>
                <w:noProof/>
                <w:color w:val="000000"/>
                <w:sz w:val="20"/>
                <w:highlight w:val="black"/>
              </w:rPr>
              <w:t>'''</w:t>
            </w:r>
            <w:r w:rsidR="007824C7">
              <w:rPr>
                <w:vertAlign w:val="superscript"/>
              </w:rPr>
              <w:t>1</w:t>
            </w:r>
          </w:p>
        </w:tc>
        <w:tc>
          <w:tcPr>
            <w:tcW w:w="615" w:type="pct"/>
            <w:shd w:val="clear" w:color="auto" w:fill="auto"/>
            <w:vAlign w:val="center"/>
          </w:tcPr>
          <w:p w14:paraId="3C1F54C4" w14:textId="77777777" w:rsidR="0058342A" w:rsidRPr="006F5B4F" w:rsidRDefault="006F5B4F" w:rsidP="0082228E">
            <w:pPr>
              <w:pStyle w:val="Tabletextleft"/>
              <w:keepNext/>
              <w:keepLines/>
              <w:jc w:val="center"/>
              <w:rPr>
                <w:rFonts w:ascii="Arial Narrow" w:hAnsi="Arial Narrow"/>
                <w:sz w:val="20"/>
              </w:rPr>
            </w:pPr>
            <w:r>
              <w:rPr>
                <w:rFonts w:ascii="Arial Narrow" w:eastAsia="Calibri" w:hAnsi="Arial Narrow"/>
                <w:bCs/>
                <w:noProof/>
                <w:color w:val="000000"/>
                <w:sz w:val="20"/>
                <w:highlight w:val="black"/>
              </w:rPr>
              <w:t>''''</w:t>
            </w:r>
            <w:r w:rsidR="007824C7">
              <w:rPr>
                <w:vertAlign w:val="superscript"/>
              </w:rPr>
              <w:t>1</w:t>
            </w:r>
          </w:p>
        </w:tc>
        <w:tc>
          <w:tcPr>
            <w:tcW w:w="693" w:type="pct"/>
            <w:shd w:val="clear" w:color="auto" w:fill="auto"/>
            <w:vAlign w:val="center"/>
          </w:tcPr>
          <w:p w14:paraId="1903C763" w14:textId="77777777" w:rsidR="0058342A" w:rsidRPr="006F5B4F" w:rsidRDefault="006F5B4F" w:rsidP="0082228E">
            <w:pPr>
              <w:pStyle w:val="Tabletextleft"/>
              <w:keepNext/>
              <w:keepLines/>
              <w:jc w:val="center"/>
              <w:rPr>
                <w:rFonts w:ascii="Arial Narrow" w:hAnsi="Arial Narrow"/>
                <w:sz w:val="20"/>
              </w:rPr>
            </w:pPr>
            <w:r>
              <w:rPr>
                <w:rFonts w:ascii="Arial Narrow" w:eastAsia="Calibri" w:hAnsi="Arial Narrow"/>
                <w:bCs/>
                <w:noProof/>
                <w:color w:val="000000"/>
                <w:sz w:val="20"/>
                <w:highlight w:val="black"/>
              </w:rPr>
              <w:t>'''</w:t>
            </w:r>
            <w:r w:rsidR="007824C7">
              <w:rPr>
                <w:vertAlign w:val="superscript"/>
              </w:rPr>
              <w:t>1</w:t>
            </w:r>
          </w:p>
        </w:tc>
        <w:tc>
          <w:tcPr>
            <w:tcW w:w="617" w:type="pct"/>
            <w:vAlign w:val="center"/>
          </w:tcPr>
          <w:p w14:paraId="4104CED2" w14:textId="77777777" w:rsidR="0058342A" w:rsidRPr="006F5B4F" w:rsidRDefault="006F5B4F" w:rsidP="0082228E">
            <w:pPr>
              <w:pStyle w:val="Tabletextleft"/>
              <w:keepNext/>
              <w:keepLines/>
              <w:jc w:val="center"/>
              <w:rPr>
                <w:rFonts w:ascii="Arial Narrow" w:hAnsi="Arial Narrow"/>
                <w:sz w:val="20"/>
              </w:rPr>
            </w:pPr>
            <w:r>
              <w:rPr>
                <w:rFonts w:ascii="Arial Narrow" w:eastAsia="Calibri" w:hAnsi="Arial Narrow"/>
                <w:bCs/>
                <w:noProof/>
                <w:color w:val="000000"/>
                <w:sz w:val="20"/>
                <w:highlight w:val="black"/>
              </w:rPr>
              <w:t>'''</w:t>
            </w:r>
            <w:r w:rsidR="007824C7">
              <w:rPr>
                <w:vertAlign w:val="superscript"/>
              </w:rPr>
              <w:t>1</w:t>
            </w:r>
          </w:p>
        </w:tc>
        <w:tc>
          <w:tcPr>
            <w:tcW w:w="538" w:type="pct"/>
            <w:vAlign w:val="center"/>
          </w:tcPr>
          <w:p w14:paraId="707F2E6B" w14:textId="77777777" w:rsidR="0058342A" w:rsidRPr="00EA7B3F" w:rsidRDefault="003D695D" w:rsidP="0082228E">
            <w:pPr>
              <w:pStyle w:val="Tabletextleft"/>
              <w:keepNext/>
              <w:keepLines/>
              <w:rPr>
                <w:rFonts w:ascii="Arial Narrow" w:eastAsia="Calibri" w:hAnsi="Arial Narrow"/>
                <w:sz w:val="20"/>
              </w:rPr>
            </w:pPr>
            <w:r w:rsidRPr="00EA7B3F">
              <w:rPr>
                <w:rFonts w:ascii="Arial Narrow" w:eastAsia="Calibri" w:hAnsi="Arial Narrow"/>
                <w:sz w:val="20"/>
              </w:rPr>
              <w:t>-</w:t>
            </w:r>
          </w:p>
        </w:tc>
      </w:tr>
      <w:tr w:rsidR="00257856" w:rsidRPr="00EA7B3F" w14:paraId="2C0D137C" w14:textId="77777777" w:rsidTr="007E5FC0">
        <w:tc>
          <w:tcPr>
            <w:tcW w:w="691" w:type="pct"/>
            <w:shd w:val="clear" w:color="auto" w:fill="auto"/>
            <w:vAlign w:val="center"/>
          </w:tcPr>
          <w:p w14:paraId="4F052AC0"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Eligible S</w:t>
            </w:r>
            <w:r w:rsidR="003D695D" w:rsidRPr="00EA7B3F">
              <w:rPr>
                <w:rFonts w:ascii="Arial Narrow" w:eastAsia="Calibri" w:hAnsi="Arial Narrow"/>
                <w:sz w:val="20"/>
              </w:rPr>
              <w:t>O</w:t>
            </w:r>
            <w:r w:rsidRPr="00EA7B3F">
              <w:rPr>
                <w:rFonts w:ascii="Arial Narrow" w:eastAsia="Calibri" w:hAnsi="Arial Narrow"/>
                <w:sz w:val="20"/>
              </w:rPr>
              <w:t>C patients [C]</w:t>
            </w:r>
          </w:p>
        </w:tc>
        <w:tc>
          <w:tcPr>
            <w:tcW w:w="616" w:type="pct"/>
            <w:shd w:val="clear" w:color="auto" w:fill="auto"/>
            <w:vAlign w:val="center"/>
          </w:tcPr>
          <w:p w14:paraId="1445DD05"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eastAsia="Calibri" w:hAnsi="Arial Narrow"/>
                <w:bCs/>
                <w:noProof/>
                <w:color w:val="000000"/>
                <w:sz w:val="20"/>
                <w:highlight w:val="black"/>
              </w:rPr>
              <w:t>'''''''</w:t>
            </w:r>
            <w:r w:rsidR="007824C7">
              <w:rPr>
                <w:vertAlign w:val="superscript"/>
              </w:rPr>
              <w:t>1</w:t>
            </w:r>
          </w:p>
        </w:tc>
        <w:tc>
          <w:tcPr>
            <w:tcW w:w="615" w:type="pct"/>
            <w:shd w:val="clear" w:color="auto" w:fill="auto"/>
            <w:vAlign w:val="center"/>
          </w:tcPr>
          <w:p w14:paraId="573CD76A"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5420EC1A"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E0E7F2F"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5D31EA77"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5EFCC081"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2171F692" w14:textId="77777777" w:rsidR="0058342A" w:rsidRPr="00EA7B3F" w:rsidRDefault="003D695D" w:rsidP="0082228E">
            <w:pPr>
              <w:pStyle w:val="Tabletextleft"/>
              <w:keepNext/>
              <w:keepLines/>
              <w:rPr>
                <w:rFonts w:ascii="Arial Narrow" w:eastAsia="Calibri" w:hAnsi="Arial Narrow"/>
                <w:sz w:val="20"/>
              </w:rPr>
            </w:pPr>
            <w:r w:rsidRPr="00EA7B3F">
              <w:rPr>
                <w:rFonts w:ascii="Arial Narrow" w:eastAsia="Calibri" w:hAnsi="Arial Narrow"/>
                <w:sz w:val="20"/>
              </w:rPr>
              <w:t>-</w:t>
            </w:r>
          </w:p>
        </w:tc>
      </w:tr>
      <w:tr w:rsidR="00257856" w:rsidRPr="00EA7B3F" w14:paraId="2328FA34" w14:textId="77777777" w:rsidTr="007E5FC0">
        <w:tc>
          <w:tcPr>
            <w:tcW w:w="691" w:type="pct"/>
            <w:shd w:val="clear" w:color="auto" w:fill="auto"/>
            <w:vAlign w:val="center"/>
          </w:tcPr>
          <w:p w14:paraId="0CB14ABA"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Uptake rate [D]</w:t>
            </w:r>
          </w:p>
        </w:tc>
        <w:tc>
          <w:tcPr>
            <w:tcW w:w="616" w:type="pct"/>
            <w:shd w:val="clear" w:color="auto" w:fill="auto"/>
            <w:vAlign w:val="center"/>
          </w:tcPr>
          <w:p w14:paraId="088C6A69" w14:textId="77777777" w:rsidR="0058342A" w:rsidRPr="00EA7B3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615" w:type="pct"/>
            <w:shd w:val="clear" w:color="auto" w:fill="auto"/>
            <w:vAlign w:val="center"/>
          </w:tcPr>
          <w:p w14:paraId="0DDAF166" w14:textId="77777777" w:rsidR="0058342A" w:rsidRPr="00EA7B3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615" w:type="pct"/>
            <w:shd w:val="clear" w:color="auto" w:fill="auto"/>
            <w:vAlign w:val="center"/>
          </w:tcPr>
          <w:p w14:paraId="236B92D3" w14:textId="77777777" w:rsidR="0058342A" w:rsidRPr="00EA7B3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615" w:type="pct"/>
            <w:shd w:val="clear" w:color="auto" w:fill="auto"/>
            <w:vAlign w:val="center"/>
          </w:tcPr>
          <w:p w14:paraId="70EC680A" w14:textId="77777777" w:rsidR="0058342A" w:rsidRPr="00EA7B3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693" w:type="pct"/>
            <w:shd w:val="clear" w:color="auto" w:fill="auto"/>
            <w:vAlign w:val="center"/>
          </w:tcPr>
          <w:p w14:paraId="38603B19" w14:textId="77777777" w:rsidR="0058342A" w:rsidRPr="00EA7B3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617" w:type="pct"/>
            <w:vAlign w:val="center"/>
          </w:tcPr>
          <w:p w14:paraId="5EC80479" w14:textId="77777777" w:rsidR="0058342A" w:rsidRPr="00EA7B3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58342A" w:rsidRPr="00EA7B3F">
              <w:rPr>
                <w:rFonts w:ascii="Arial Narrow" w:hAnsi="Arial Narrow"/>
                <w:sz w:val="20"/>
              </w:rPr>
              <w:t>%</w:t>
            </w:r>
          </w:p>
        </w:tc>
        <w:tc>
          <w:tcPr>
            <w:tcW w:w="538" w:type="pct"/>
            <w:vAlign w:val="center"/>
          </w:tcPr>
          <w:p w14:paraId="3A60805B" w14:textId="77777777" w:rsidR="0058342A" w:rsidRPr="00EA7B3F" w:rsidRDefault="00326D55" w:rsidP="0082228E">
            <w:pPr>
              <w:pStyle w:val="Tabletextleft"/>
              <w:keepNext/>
              <w:keepLines/>
              <w:rPr>
                <w:rFonts w:ascii="Arial Narrow" w:eastAsia="Calibri" w:hAnsi="Arial Narrow"/>
                <w:sz w:val="20"/>
              </w:rPr>
            </w:pPr>
            <w:r w:rsidRPr="00EA7B3F">
              <w:rPr>
                <w:rFonts w:ascii="Arial Narrow" w:eastAsia="Calibri" w:hAnsi="Arial Narrow" w:cs="Calibri"/>
                <w:sz w:val="20"/>
              </w:rPr>
              <w:t xml:space="preserve">Uptake </w:t>
            </w:r>
            <w:r w:rsidR="003D695D" w:rsidRPr="00EA7B3F">
              <w:rPr>
                <w:rFonts w:ascii="Arial Narrow" w:eastAsia="Calibri" w:hAnsi="Arial Narrow" w:cs="Calibri"/>
                <w:sz w:val="20"/>
              </w:rPr>
              <w:t xml:space="preserve">in </w:t>
            </w:r>
            <w:r w:rsidRPr="00EA7B3F">
              <w:rPr>
                <w:rFonts w:ascii="Arial Narrow" w:eastAsia="Calibri" w:hAnsi="Arial Narrow" w:cs="Calibri"/>
                <w:sz w:val="20"/>
              </w:rPr>
              <w:t xml:space="preserve">Year 1 decreased </w:t>
            </w:r>
          </w:p>
        </w:tc>
      </w:tr>
      <w:tr w:rsidR="00257856" w:rsidRPr="00EA7B3F" w14:paraId="5FD86005" w14:textId="77777777" w:rsidTr="007E5FC0">
        <w:tc>
          <w:tcPr>
            <w:tcW w:w="691" w:type="pct"/>
            <w:shd w:val="clear" w:color="auto" w:fill="auto"/>
            <w:vAlign w:val="center"/>
          </w:tcPr>
          <w:p w14:paraId="761359E1"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Non-grandfather S</w:t>
            </w:r>
            <w:r w:rsidR="003D695D" w:rsidRPr="00EA7B3F">
              <w:rPr>
                <w:rFonts w:ascii="Arial Narrow" w:eastAsia="Calibri" w:hAnsi="Arial Narrow"/>
                <w:sz w:val="20"/>
              </w:rPr>
              <w:t>O</w:t>
            </w:r>
            <w:r w:rsidRPr="00EA7B3F">
              <w:rPr>
                <w:rFonts w:ascii="Arial Narrow" w:eastAsia="Calibri" w:hAnsi="Arial Narrow"/>
                <w:sz w:val="20"/>
              </w:rPr>
              <w:t>C patients</w:t>
            </w:r>
          </w:p>
        </w:tc>
        <w:tc>
          <w:tcPr>
            <w:tcW w:w="616" w:type="pct"/>
            <w:shd w:val="clear" w:color="auto" w:fill="auto"/>
            <w:vAlign w:val="center"/>
          </w:tcPr>
          <w:p w14:paraId="5F6C0765"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4E6494DE"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3AFE710"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E3FFF32"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482DE559"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23C46C6A"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417FD342"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 [C]*[D]</w:t>
            </w:r>
          </w:p>
        </w:tc>
      </w:tr>
      <w:tr w:rsidR="00257856" w:rsidRPr="00EA7B3F" w14:paraId="7C92F0FD" w14:textId="77777777" w:rsidTr="007E5FC0">
        <w:tc>
          <w:tcPr>
            <w:tcW w:w="691" w:type="pct"/>
            <w:shd w:val="clear" w:color="auto" w:fill="auto"/>
            <w:vAlign w:val="center"/>
          </w:tcPr>
          <w:p w14:paraId="0AE87FE1" w14:textId="77777777" w:rsidR="0058342A" w:rsidRPr="00EA7B3F" w:rsidRDefault="003D695D" w:rsidP="0082228E">
            <w:pPr>
              <w:pStyle w:val="Tabletextleft"/>
              <w:keepNext/>
              <w:keepLines/>
              <w:rPr>
                <w:rFonts w:ascii="Arial Narrow" w:eastAsia="Calibri" w:hAnsi="Arial Narrow"/>
                <w:sz w:val="20"/>
              </w:rPr>
            </w:pPr>
            <w:r w:rsidRPr="00EA7B3F">
              <w:rPr>
                <w:rFonts w:ascii="Arial Narrow" w:eastAsia="Calibri" w:hAnsi="Arial Narrow"/>
                <w:sz w:val="20"/>
              </w:rPr>
              <w:t xml:space="preserve">Total </w:t>
            </w:r>
            <w:r w:rsidR="0058342A" w:rsidRPr="00EA7B3F">
              <w:rPr>
                <w:rFonts w:ascii="Arial Narrow" w:eastAsia="Calibri" w:hAnsi="Arial Narrow"/>
                <w:sz w:val="20"/>
              </w:rPr>
              <w:t>S</w:t>
            </w:r>
            <w:r w:rsidRPr="00EA7B3F">
              <w:rPr>
                <w:rFonts w:ascii="Arial Narrow" w:eastAsia="Calibri" w:hAnsi="Arial Narrow"/>
                <w:sz w:val="20"/>
              </w:rPr>
              <w:t>O</w:t>
            </w:r>
            <w:r w:rsidR="0058342A" w:rsidRPr="00EA7B3F">
              <w:rPr>
                <w:rFonts w:ascii="Arial Narrow" w:eastAsia="Calibri" w:hAnsi="Arial Narrow"/>
                <w:sz w:val="20"/>
              </w:rPr>
              <w:t>C patient</w:t>
            </w:r>
            <w:r w:rsidRPr="00EA7B3F">
              <w:rPr>
                <w:rFonts w:ascii="Arial Narrow" w:eastAsia="Calibri" w:hAnsi="Arial Narrow"/>
                <w:sz w:val="20"/>
              </w:rPr>
              <w:t>s</w:t>
            </w:r>
            <w:r w:rsidR="0058342A" w:rsidRPr="00EA7B3F">
              <w:rPr>
                <w:rFonts w:ascii="Arial Narrow" w:eastAsia="Calibri" w:hAnsi="Arial Narrow"/>
                <w:sz w:val="20"/>
              </w:rPr>
              <w:t xml:space="preserve"> [E]</w:t>
            </w:r>
          </w:p>
        </w:tc>
        <w:tc>
          <w:tcPr>
            <w:tcW w:w="616" w:type="pct"/>
            <w:shd w:val="clear" w:color="auto" w:fill="auto"/>
            <w:vAlign w:val="center"/>
          </w:tcPr>
          <w:p w14:paraId="147E88F9"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55596EB4"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62F8DCB6"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0380C7C"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0143A6C6"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1B61B67A"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0EA21F2E" w14:textId="77777777" w:rsidR="0058342A" w:rsidRPr="00EA7B3F" w:rsidRDefault="003D695D" w:rsidP="0082228E">
            <w:pPr>
              <w:pStyle w:val="Tabletextleft"/>
              <w:keepNext/>
              <w:keepLines/>
              <w:rPr>
                <w:rFonts w:ascii="Arial Narrow" w:eastAsia="Calibri" w:hAnsi="Arial Narrow"/>
                <w:sz w:val="20"/>
              </w:rPr>
            </w:pPr>
            <w:r w:rsidRPr="00EA7B3F">
              <w:rPr>
                <w:rFonts w:ascii="Arial Narrow" w:eastAsia="Calibri" w:hAnsi="Arial Narrow"/>
                <w:sz w:val="20"/>
              </w:rPr>
              <w:t>-</w:t>
            </w:r>
          </w:p>
        </w:tc>
      </w:tr>
      <w:tr w:rsidR="00257856" w:rsidRPr="00EA7B3F" w14:paraId="40F0F662" w14:textId="77777777" w:rsidTr="007E5FC0">
        <w:tc>
          <w:tcPr>
            <w:tcW w:w="691" w:type="pct"/>
            <w:shd w:val="clear" w:color="auto" w:fill="auto"/>
            <w:vAlign w:val="center"/>
          </w:tcPr>
          <w:p w14:paraId="2C340C7A"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Syringes/year [F]</w:t>
            </w:r>
          </w:p>
        </w:tc>
        <w:tc>
          <w:tcPr>
            <w:tcW w:w="616" w:type="pct"/>
            <w:shd w:val="clear" w:color="auto" w:fill="auto"/>
            <w:vAlign w:val="center"/>
          </w:tcPr>
          <w:p w14:paraId="63CF73D1"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289B0E6A"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5F84CB27"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04727E6C"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93" w:type="pct"/>
            <w:shd w:val="clear" w:color="auto" w:fill="auto"/>
            <w:vAlign w:val="center"/>
          </w:tcPr>
          <w:p w14:paraId="3768B440"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7" w:type="pct"/>
            <w:vAlign w:val="center"/>
          </w:tcPr>
          <w:p w14:paraId="46D7CBDF"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538" w:type="pct"/>
            <w:vAlign w:val="center"/>
          </w:tcPr>
          <w:p w14:paraId="5FB514EF"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 [E]*13 syringes/</w:t>
            </w:r>
            <w:r w:rsidR="00326D55" w:rsidRPr="00EA7B3F">
              <w:rPr>
                <w:rFonts w:ascii="Arial Narrow" w:eastAsia="Calibri" w:hAnsi="Arial Narrow"/>
                <w:sz w:val="20"/>
              </w:rPr>
              <w:t xml:space="preserve"> </w:t>
            </w:r>
            <w:r w:rsidRPr="00EA7B3F">
              <w:rPr>
                <w:rFonts w:ascii="Arial Narrow" w:eastAsia="Calibri" w:hAnsi="Arial Narrow"/>
                <w:sz w:val="20"/>
              </w:rPr>
              <w:t>year</w:t>
            </w:r>
          </w:p>
        </w:tc>
      </w:tr>
      <w:tr w:rsidR="00257856" w:rsidRPr="00EA7B3F" w14:paraId="3061BF73" w14:textId="77777777" w:rsidTr="007E5FC0">
        <w:tc>
          <w:tcPr>
            <w:tcW w:w="691" w:type="pct"/>
            <w:shd w:val="clear" w:color="auto" w:fill="auto"/>
            <w:vAlign w:val="center"/>
          </w:tcPr>
          <w:p w14:paraId="7728D41B" w14:textId="77777777" w:rsidR="00326D55" w:rsidRPr="00EA7B3F" w:rsidRDefault="00326D55" w:rsidP="0082228E">
            <w:pPr>
              <w:pStyle w:val="Tabletextleft"/>
              <w:keepNext/>
              <w:keepLines/>
              <w:rPr>
                <w:rFonts w:ascii="Arial Narrow" w:eastAsia="Calibri" w:hAnsi="Arial Narrow"/>
                <w:sz w:val="20"/>
              </w:rPr>
            </w:pPr>
            <w:r w:rsidRPr="00EA7B3F">
              <w:rPr>
                <w:rFonts w:ascii="Arial Narrow" w:eastAsia="Calibri" w:hAnsi="Arial Narrow"/>
                <w:sz w:val="20"/>
              </w:rPr>
              <w:t>PBS expenditure [G]</w:t>
            </w:r>
          </w:p>
        </w:tc>
        <w:tc>
          <w:tcPr>
            <w:tcW w:w="616" w:type="pct"/>
            <w:shd w:val="clear" w:color="auto" w:fill="auto"/>
            <w:vAlign w:val="center"/>
          </w:tcPr>
          <w:p w14:paraId="745E0D16"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3</w:t>
            </w:r>
          </w:p>
        </w:tc>
        <w:tc>
          <w:tcPr>
            <w:tcW w:w="615" w:type="pct"/>
            <w:shd w:val="clear" w:color="auto" w:fill="auto"/>
            <w:vAlign w:val="center"/>
          </w:tcPr>
          <w:p w14:paraId="5728F9CE"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3</w:t>
            </w:r>
          </w:p>
        </w:tc>
        <w:tc>
          <w:tcPr>
            <w:tcW w:w="615" w:type="pct"/>
            <w:shd w:val="clear" w:color="auto" w:fill="auto"/>
            <w:vAlign w:val="center"/>
          </w:tcPr>
          <w:p w14:paraId="5A043491"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3</w:t>
            </w:r>
          </w:p>
        </w:tc>
        <w:tc>
          <w:tcPr>
            <w:tcW w:w="615" w:type="pct"/>
            <w:shd w:val="clear" w:color="auto" w:fill="auto"/>
            <w:vAlign w:val="center"/>
          </w:tcPr>
          <w:p w14:paraId="6E618B9E"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4</w:t>
            </w:r>
          </w:p>
        </w:tc>
        <w:tc>
          <w:tcPr>
            <w:tcW w:w="693" w:type="pct"/>
            <w:shd w:val="clear" w:color="auto" w:fill="auto"/>
            <w:vAlign w:val="center"/>
          </w:tcPr>
          <w:p w14:paraId="2F3630A6"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4</w:t>
            </w:r>
          </w:p>
        </w:tc>
        <w:tc>
          <w:tcPr>
            <w:tcW w:w="617" w:type="pct"/>
            <w:vAlign w:val="center"/>
          </w:tcPr>
          <w:p w14:paraId="4CF51AB5" w14:textId="77777777" w:rsidR="00326D55" w:rsidRPr="00EA7B3F" w:rsidRDefault="00326D55" w:rsidP="0082228E">
            <w:pPr>
              <w:pStyle w:val="Tabletextleft"/>
              <w:keepNext/>
              <w:keepLines/>
              <w:jc w:val="center"/>
              <w:rPr>
                <w:rFonts w:ascii="Arial Narrow" w:hAnsi="Arial Narrow"/>
                <w:sz w:val="20"/>
              </w:rPr>
            </w:pPr>
            <w:r w:rsidRPr="00EA7B3F">
              <w:rPr>
                <w:rFonts w:ascii="Arial Narrow" w:hAnsi="Arial Narrow" w:cs="Calibri"/>
                <w:sz w:val="20"/>
                <w:lang w:eastAsia="en-US"/>
              </w:rPr>
              <w:t>$</w:t>
            </w:r>
            <w:r w:rsidR="006F5B4F">
              <w:rPr>
                <w:rFonts w:ascii="Arial Narrow" w:hAnsi="Arial Narrow" w:cs="Calibri"/>
                <w:noProof/>
                <w:color w:val="000000"/>
                <w:sz w:val="20"/>
                <w:highlight w:val="black"/>
                <w:lang w:eastAsia="en-US"/>
              </w:rPr>
              <w:t>''''''''''''''''''''''''''</w:t>
            </w:r>
            <w:r w:rsidR="00257856">
              <w:rPr>
                <w:vertAlign w:val="superscript"/>
              </w:rPr>
              <w:t>4</w:t>
            </w:r>
          </w:p>
        </w:tc>
        <w:tc>
          <w:tcPr>
            <w:tcW w:w="538" w:type="pct"/>
            <w:vAlign w:val="center"/>
          </w:tcPr>
          <w:p w14:paraId="720E79C0" w14:textId="77777777" w:rsidR="00326D55" w:rsidRPr="00EA7B3F" w:rsidRDefault="00326D55" w:rsidP="0082228E">
            <w:pPr>
              <w:pStyle w:val="Tabletextleft"/>
              <w:keepNext/>
              <w:keepLines/>
              <w:rPr>
                <w:rFonts w:ascii="Arial Narrow" w:eastAsia="Calibri" w:hAnsi="Arial Narrow"/>
                <w:sz w:val="20"/>
              </w:rPr>
            </w:pPr>
            <w:r w:rsidRPr="00EA7B3F">
              <w:rPr>
                <w:rFonts w:ascii="Arial Narrow" w:eastAsia="Calibri" w:hAnsi="Arial Narrow"/>
                <w:sz w:val="20"/>
              </w:rPr>
              <w:t>= [F]*$</w:t>
            </w:r>
            <w:r w:rsidR="006F5B4F">
              <w:rPr>
                <w:rFonts w:ascii="Arial Narrow" w:eastAsia="Calibri" w:hAnsi="Arial Narrow"/>
                <w:noProof/>
                <w:color w:val="000000"/>
                <w:sz w:val="20"/>
                <w:highlight w:val="black"/>
              </w:rPr>
              <w:t>'''''''''''''''''''''</w:t>
            </w:r>
            <w:r w:rsidRPr="00EA7B3F">
              <w:rPr>
                <w:rFonts w:ascii="Arial Narrow" w:eastAsia="Calibri" w:hAnsi="Arial Narrow"/>
                <w:sz w:val="20"/>
              </w:rPr>
              <w:t xml:space="preserve"> </w:t>
            </w:r>
          </w:p>
        </w:tc>
      </w:tr>
      <w:tr w:rsidR="00257856" w:rsidRPr="00EA7B3F" w14:paraId="44C403CA" w14:textId="77777777" w:rsidTr="007E5FC0">
        <w:tc>
          <w:tcPr>
            <w:tcW w:w="691" w:type="pct"/>
            <w:shd w:val="clear" w:color="auto" w:fill="D9D9D9" w:themeFill="background1" w:themeFillShade="D9"/>
            <w:vAlign w:val="center"/>
          </w:tcPr>
          <w:p w14:paraId="30FA6CA1" w14:textId="77777777" w:rsidR="003D695D" w:rsidRPr="00EA7B3F" w:rsidRDefault="009B4137" w:rsidP="0082228E">
            <w:pPr>
              <w:pStyle w:val="Tabletextleft"/>
              <w:keepNext/>
              <w:keepLines/>
              <w:rPr>
                <w:rFonts w:ascii="Arial Narrow" w:eastAsia="Calibri" w:hAnsi="Arial Narrow"/>
                <w:b/>
                <w:bCs/>
                <w:sz w:val="20"/>
              </w:rPr>
            </w:pPr>
            <w:r>
              <w:rPr>
                <w:rFonts w:ascii="Arial Narrow" w:eastAsia="Calibri" w:hAnsi="Arial Narrow"/>
                <w:b/>
                <w:bCs/>
                <w:sz w:val="20"/>
              </w:rPr>
              <w:t>SOC</w:t>
            </w:r>
            <w:r w:rsidR="003D695D" w:rsidRPr="00EA7B3F">
              <w:rPr>
                <w:rFonts w:ascii="Arial Narrow" w:eastAsia="Calibri" w:hAnsi="Arial Narrow"/>
                <w:b/>
                <w:bCs/>
                <w:sz w:val="20"/>
              </w:rPr>
              <w:t xml:space="preserve"> effective expenditure  </w:t>
            </w:r>
          </w:p>
        </w:tc>
        <w:tc>
          <w:tcPr>
            <w:tcW w:w="616" w:type="pct"/>
            <w:shd w:val="clear" w:color="auto" w:fill="D9D9D9" w:themeFill="background1" w:themeFillShade="D9"/>
            <w:vAlign w:val="center"/>
          </w:tcPr>
          <w:p w14:paraId="12262BC4"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5D69B86C"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3BD4E63E"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5" w:type="pct"/>
            <w:shd w:val="clear" w:color="auto" w:fill="D9D9D9" w:themeFill="background1" w:themeFillShade="D9"/>
            <w:vAlign w:val="center"/>
          </w:tcPr>
          <w:p w14:paraId="7191BEA6"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93" w:type="pct"/>
            <w:shd w:val="clear" w:color="auto" w:fill="D9D9D9" w:themeFill="background1" w:themeFillShade="D9"/>
            <w:vAlign w:val="center"/>
          </w:tcPr>
          <w:p w14:paraId="7F4BD63E"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617" w:type="pct"/>
            <w:shd w:val="clear" w:color="auto" w:fill="D9D9D9" w:themeFill="background1" w:themeFillShade="D9"/>
            <w:vAlign w:val="center"/>
          </w:tcPr>
          <w:p w14:paraId="1B67171D"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b/>
                <w:bCs/>
                <w:sz w:val="20"/>
              </w:rPr>
              <w:t>$</w:t>
            </w:r>
            <w:r w:rsidR="006F5B4F">
              <w:rPr>
                <w:rFonts w:ascii="Arial Narrow" w:hAnsi="Arial Narrow"/>
                <w:b/>
                <w:bCs/>
                <w:noProof/>
                <w:color w:val="000000"/>
                <w:sz w:val="20"/>
                <w:highlight w:val="black"/>
              </w:rPr>
              <w:t>''''''''''''''''''</w:t>
            </w:r>
            <w:r w:rsidR="00257856">
              <w:rPr>
                <w:vertAlign w:val="superscript"/>
              </w:rPr>
              <w:t>3</w:t>
            </w:r>
          </w:p>
        </w:tc>
        <w:tc>
          <w:tcPr>
            <w:tcW w:w="538" w:type="pct"/>
            <w:shd w:val="clear" w:color="auto" w:fill="D9D9D9" w:themeFill="background1" w:themeFillShade="D9"/>
            <w:vAlign w:val="center"/>
          </w:tcPr>
          <w:p w14:paraId="5CEE807C" w14:textId="77777777" w:rsidR="003D695D" w:rsidRPr="00EA7B3F" w:rsidRDefault="003D695D" w:rsidP="0082228E">
            <w:pPr>
              <w:pStyle w:val="Tabletextleft"/>
              <w:keepNext/>
              <w:keepLines/>
              <w:rPr>
                <w:rFonts w:ascii="Arial Narrow" w:eastAsia="Calibri" w:hAnsi="Arial Narrow"/>
                <w:bCs/>
                <w:sz w:val="20"/>
              </w:rPr>
            </w:pPr>
            <w:r w:rsidRPr="00EA7B3F">
              <w:rPr>
                <w:rFonts w:ascii="Arial Narrow" w:eastAsia="Calibri" w:hAnsi="Arial Narrow"/>
                <w:bCs/>
                <w:sz w:val="20"/>
              </w:rPr>
              <w:t>= [G]*(</w:t>
            </w:r>
            <w:r w:rsidRPr="001D00AC">
              <w:rPr>
                <w:rFonts w:ascii="Arial Narrow" w:eastAsia="Calibri" w:hAnsi="Arial Narrow"/>
                <w:bCs/>
                <w:sz w:val="20"/>
              </w:rPr>
              <w:t>1-</w:t>
            </w:r>
            <w:r w:rsidR="006F5B4F">
              <w:rPr>
                <w:rFonts w:ascii="Arial Narrow" w:eastAsia="Calibri" w:hAnsi="Arial Narrow"/>
                <w:bCs/>
                <w:noProof/>
                <w:color w:val="000000"/>
                <w:sz w:val="20"/>
                <w:highlight w:val="black"/>
              </w:rPr>
              <w:t>''''''</w:t>
            </w:r>
            <w:r w:rsidRPr="00EA7B3F">
              <w:rPr>
                <w:rFonts w:ascii="Arial Narrow" w:eastAsia="Calibri" w:hAnsi="Arial Narrow"/>
                <w:bCs/>
                <w:sz w:val="20"/>
              </w:rPr>
              <w:t>% rebate)</w:t>
            </w:r>
          </w:p>
        </w:tc>
      </w:tr>
      <w:tr w:rsidR="00326D55" w:rsidRPr="009B4137" w14:paraId="54231B99" w14:textId="77777777" w:rsidTr="00257856">
        <w:tc>
          <w:tcPr>
            <w:tcW w:w="5000" w:type="pct"/>
            <w:gridSpan w:val="8"/>
            <w:shd w:val="clear" w:color="auto" w:fill="auto"/>
            <w:vAlign w:val="center"/>
          </w:tcPr>
          <w:p w14:paraId="2ED2480E" w14:textId="77777777" w:rsidR="00326D55" w:rsidRPr="009B4137" w:rsidRDefault="00326D55" w:rsidP="0082228E">
            <w:pPr>
              <w:pStyle w:val="Tabletextleft"/>
              <w:keepNext/>
              <w:keepLines/>
              <w:rPr>
                <w:rFonts w:ascii="Arial Narrow" w:eastAsia="Calibri" w:hAnsi="Arial Narrow"/>
                <w:sz w:val="20"/>
              </w:rPr>
            </w:pPr>
            <w:r w:rsidRPr="009B4137">
              <w:rPr>
                <w:rFonts w:ascii="Arial Narrow" w:eastAsia="Calibri" w:hAnsi="Arial Narrow"/>
                <w:b/>
                <w:bCs/>
                <w:sz w:val="20"/>
              </w:rPr>
              <w:t>Combined</w:t>
            </w:r>
          </w:p>
        </w:tc>
      </w:tr>
      <w:tr w:rsidR="00257856" w:rsidRPr="00EA7B3F" w14:paraId="7CE862AC" w14:textId="77777777" w:rsidTr="007E5FC0">
        <w:tc>
          <w:tcPr>
            <w:tcW w:w="691" w:type="pct"/>
            <w:shd w:val="clear" w:color="auto" w:fill="auto"/>
            <w:vAlign w:val="center"/>
          </w:tcPr>
          <w:p w14:paraId="61E6A69B"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Total treated patients</w:t>
            </w:r>
          </w:p>
        </w:tc>
        <w:tc>
          <w:tcPr>
            <w:tcW w:w="616" w:type="pct"/>
            <w:shd w:val="clear" w:color="auto" w:fill="auto"/>
            <w:vAlign w:val="center"/>
          </w:tcPr>
          <w:p w14:paraId="689262F8"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257856">
              <w:rPr>
                <w:vertAlign w:val="superscript"/>
              </w:rPr>
              <w:t>1</w:t>
            </w:r>
          </w:p>
        </w:tc>
        <w:tc>
          <w:tcPr>
            <w:tcW w:w="615" w:type="pct"/>
            <w:shd w:val="clear" w:color="auto" w:fill="auto"/>
            <w:vAlign w:val="center"/>
          </w:tcPr>
          <w:p w14:paraId="52EBBC0E"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389A3782"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5" w:type="pct"/>
            <w:shd w:val="clear" w:color="auto" w:fill="auto"/>
            <w:vAlign w:val="center"/>
          </w:tcPr>
          <w:p w14:paraId="0F504893"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93" w:type="pct"/>
            <w:shd w:val="clear" w:color="auto" w:fill="auto"/>
            <w:vAlign w:val="center"/>
          </w:tcPr>
          <w:p w14:paraId="15FCFAC8"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617" w:type="pct"/>
            <w:vAlign w:val="center"/>
          </w:tcPr>
          <w:p w14:paraId="252D9A28"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7824C7">
              <w:rPr>
                <w:vertAlign w:val="superscript"/>
              </w:rPr>
              <w:t>1</w:t>
            </w:r>
          </w:p>
        </w:tc>
        <w:tc>
          <w:tcPr>
            <w:tcW w:w="538" w:type="pct"/>
            <w:vAlign w:val="center"/>
          </w:tcPr>
          <w:p w14:paraId="617FBFA7" w14:textId="77777777" w:rsidR="0058342A" w:rsidRPr="00EA7B3F" w:rsidRDefault="00326D55" w:rsidP="0082228E">
            <w:pPr>
              <w:pStyle w:val="Tabletextleft"/>
              <w:keepNext/>
              <w:keepLines/>
              <w:rPr>
                <w:rFonts w:ascii="Arial Narrow" w:eastAsia="Calibri" w:hAnsi="Arial Narrow"/>
                <w:sz w:val="20"/>
              </w:rPr>
            </w:pPr>
            <w:r w:rsidRPr="00EA7B3F">
              <w:rPr>
                <w:rFonts w:ascii="Arial Narrow" w:eastAsia="Calibri" w:hAnsi="Arial Narrow"/>
                <w:sz w:val="20"/>
              </w:rPr>
              <w:t>[A]+[E]</w:t>
            </w:r>
          </w:p>
        </w:tc>
      </w:tr>
      <w:tr w:rsidR="00257856" w:rsidRPr="00EA7B3F" w14:paraId="2C791DE8" w14:textId="77777777" w:rsidTr="007E5FC0">
        <w:tc>
          <w:tcPr>
            <w:tcW w:w="691" w:type="pct"/>
            <w:shd w:val="clear" w:color="auto" w:fill="auto"/>
            <w:vAlign w:val="center"/>
          </w:tcPr>
          <w:p w14:paraId="7A1E6E18" w14:textId="77777777" w:rsidR="0058342A" w:rsidRPr="00EA7B3F" w:rsidRDefault="0058342A" w:rsidP="0082228E">
            <w:pPr>
              <w:pStyle w:val="Tabletextleft"/>
              <w:keepNext/>
              <w:keepLines/>
              <w:rPr>
                <w:rFonts w:ascii="Arial Narrow" w:eastAsia="Calibri" w:hAnsi="Arial Narrow"/>
                <w:sz w:val="20"/>
              </w:rPr>
            </w:pPr>
            <w:r w:rsidRPr="00EA7B3F">
              <w:rPr>
                <w:rFonts w:ascii="Arial Narrow" w:eastAsia="Calibri" w:hAnsi="Arial Narrow"/>
                <w:sz w:val="20"/>
              </w:rPr>
              <w:t xml:space="preserve">Total </w:t>
            </w:r>
            <w:r w:rsidR="003D695D" w:rsidRPr="00EA7B3F">
              <w:rPr>
                <w:rFonts w:ascii="Arial Narrow" w:eastAsia="Calibri" w:hAnsi="Arial Narrow"/>
                <w:sz w:val="20"/>
              </w:rPr>
              <w:t>syringes/year</w:t>
            </w:r>
          </w:p>
        </w:tc>
        <w:tc>
          <w:tcPr>
            <w:tcW w:w="616" w:type="pct"/>
            <w:shd w:val="clear" w:color="auto" w:fill="auto"/>
            <w:vAlign w:val="center"/>
          </w:tcPr>
          <w:p w14:paraId="7C729A9B" w14:textId="77777777" w:rsidR="0058342A" w:rsidRPr="006F5B4F" w:rsidRDefault="006F5B4F" w:rsidP="0082228E">
            <w:pPr>
              <w:pStyle w:val="Tabletextleft"/>
              <w:keepNext/>
              <w:keepLines/>
              <w:jc w:val="center"/>
              <w:rPr>
                <w:rFonts w:ascii="Arial Narrow" w:eastAsia="Calibri" w:hAnsi="Arial Narrow"/>
                <w:bCs/>
                <w:color w:val="000000"/>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53A2314E"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104A6710"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5" w:type="pct"/>
            <w:shd w:val="clear" w:color="auto" w:fill="auto"/>
            <w:vAlign w:val="center"/>
          </w:tcPr>
          <w:p w14:paraId="11608F9B"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93" w:type="pct"/>
            <w:shd w:val="clear" w:color="auto" w:fill="auto"/>
            <w:vAlign w:val="center"/>
          </w:tcPr>
          <w:p w14:paraId="4071E907"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617" w:type="pct"/>
            <w:vAlign w:val="center"/>
          </w:tcPr>
          <w:p w14:paraId="6D058277" w14:textId="77777777" w:rsidR="0058342A" w:rsidRPr="006F5B4F" w:rsidRDefault="006F5B4F" w:rsidP="0082228E">
            <w:pPr>
              <w:pStyle w:val="Tabletextleft"/>
              <w:keepNext/>
              <w:keepLines/>
              <w:jc w:val="center"/>
              <w:rPr>
                <w:rFonts w:ascii="Arial Narrow" w:hAnsi="Arial Narrow"/>
                <w:sz w:val="20"/>
              </w:rPr>
            </w:pPr>
            <w:r>
              <w:rPr>
                <w:rFonts w:ascii="Arial Narrow" w:hAnsi="Arial Narrow"/>
                <w:noProof/>
                <w:color w:val="000000"/>
                <w:sz w:val="20"/>
                <w:highlight w:val="black"/>
              </w:rPr>
              <w:t>''''''''''''</w:t>
            </w:r>
            <w:r w:rsidR="00257856">
              <w:rPr>
                <w:vertAlign w:val="superscript"/>
              </w:rPr>
              <w:t>2</w:t>
            </w:r>
          </w:p>
        </w:tc>
        <w:tc>
          <w:tcPr>
            <w:tcW w:w="538" w:type="pct"/>
            <w:vAlign w:val="center"/>
          </w:tcPr>
          <w:p w14:paraId="076AEFAB" w14:textId="77777777" w:rsidR="0058342A" w:rsidRPr="00EA7B3F" w:rsidRDefault="00326D55" w:rsidP="0082228E">
            <w:pPr>
              <w:pStyle w:val="Tabletextleft"/>
              <w:keepNext/>
              <w:keepLines/>
              <w:rPr>
                <w:rFonts w:ascii="Arial Narrow" w:eastAsia="Calibri" w:hAnsi="Arial Narrow"/>
                <w:sz w:val="20"/>
              </w:rPr>
            </w:pPr>
            <w:r w:rsidRPr="00EA7B3F">
              <w:rPr>
                <w:rFonts w:ascii="Arial Narrow" w:eastAsia="Calibri" w:hAnsi="Arial Narrow"/>
                <w:sz w:val="20"/>
              </w:rPr>
              <w:t>[B]+[F]</w:t>
            </w:r>
          </w:p>
        </w:tc>
      </w:tr>
      <w:tr w:rsidR="00257856" w:rsidRPr="00EA7B3F" w14:paraId="40EB5E3C" w14:textId="77777777" w:rsidTr="007E5FC0">
        <w:tc>
          <w:tcPr>
            <w:tcW w:w="691" w:type="pct"/>
            <w:shd w:val="clear" w:color="auto" w:fill="D9D9D9" w:themeFill="background1" w:themeFillShade="D9"/>
            <w:vAlign w:val="center"/>
          </w:tcPr>
          <w:p w14:paraId="3D7D1C42" w14:textId="77777777" w:rsidR="003D695D" w:rsidRPr="00EA7B3F" w:rsidRDefault="003D695D" w:rsidP="0082228E">
            <w:pPr>
              <w:pStyle w:val="Tabletextleft"/>
              <w:keepNext/>
              <w:keepLines/>
              <w:rPr>
                <w:rFonts w:ascii="Arial Narrow" w:eastAsia="Calibri" w:hAnsi="Arial Narrow"/>
                <w:b/>
                <w:sz w:val="20"/>
              </w:rPr>
            </w:pPr>
            <w:r w:rsidRPr="00EA7B3F">
              <w:rPr>
                <w:rFonts w:ascii="Arial Narrow" w:eastAsia="Calibri" w:hAnsi="Arial Narrow"/>
                <w:b/>
                <w:sz w:val="20"/>
              </w:rPr>
              <w:t>T</w:t>
            </w:r>
            <w:r w:rsidR="009B4137">
              <w:rPr>
                <w:rFonts w:ascii="Arial Narrow" w:eastAsia="Calibri" w:hAnsi="Arial Narrow"/>
                <w:b/>
                <w:sz w:val="20"/>
              </w:rPr>
              <w:t>ier 2 PBS</w:t>
            </w:r>
            <w:r w:rsidRPr="00EA7B3F">
              <w:rPr>
                <w:rFonts w:ascii="Arial Narrow" w:eastAsia="Calibri" w:hAnsi="Arial Narrow"/>
                <w:b/>
                <w:sz w:val="20"/>
              </w:rPr>
              <w:t xml:space="preserve"> effective expenditure cap</w:t>
            </w:r>
          </w:p>
        </w:tc>
        <w:tc>
          <w:tcPr>
            <w:tcW w:w="616" w:type="pct"/>
            <w:shd w:val="clear" w:color="auto" w:fill="D9D9D9" w:themeFill="background1" w:themeFillShade="D9"/>
            <w:vAlign w:val="center"/>
          </w:tcPr>
          <w:p w14:paraId="03B1D4B1"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615" w:type="pct"/>
            <w:shd w:val="clear" w:color="auto" w:fill="D9D9D9" w:themeFill="background1" w:themeFillShade="D9"/>
            <w:vAlign w:val="center"/>
          </w:tcPr>
          <w:p w14:paraId="58392D11"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615" w:type="pct"/>
            <w:shd w:val="clear" w:color="auto" w:fill="D9D9D9" w:themeFill="background1" w:themeFillShade="D9"/>
            <w:vAlign w:val="center"/>
          </w:tcPr>
          <w:p w14:paraId="2482C9CE"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615" w:type="pct"/>
            <w:shd w:val="clear" w:color="auto" w:fill="D9D9D9" w:themeFill="background1" w:themeFillShade="D9"/>
            <w:vAlign w:val="center"/>
          </w:tcPr>
          <w:p w14:paraId="4884BB80"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693" w:type="pct"/>
            <w:shd w:val="clear" w:color="auto" w:fill="D9D9D9" w:themeFill="background1" w:themeFillShade="D9"/>
            <w:vAlign w:val="center"/>
          </w:tcPr>
          <w:p w14:paraId="271A0B46"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617" w:type="pct"/>
            <w:shd w:val="clear" w:color="auto" w:fill="D9D9D9" w:themeFill="background1" w:themeFillShade="D9"/>
            <w:vAlign w:val="center"/>
          </w:tcPr>
          <w:p w14:paraId="2D2F33E1" w14:textId="77777777" w:rsidR="003D695D" w:rsidRPr="00EA7B3F" w:rsidRDefault="003D695D" w:rsidP="0082228E">
            <w:pPr>
              <w:pStyle w:val="Tabletextleft"/>
              <w:keepNext/>
              <w:keepLines/>
              <w:jc w:val="center"/>
              <w:rPr>
                <w:rFonts w:ascii="Arial Narrow" w:hAnsi="Arial Narrow"/>
                <w:b/>
                <w:bCs/>
                <w:sz w:val="20"/>
              </w:rPr>
            </w:pPr>
            <w:r w:rsidRPr="00EA7B3F">
              <w:rPr>
                <w:rFonts w:ascii="Arial Narrow" w:hAnsi="Arial Narrow" w:cs="Calibri"/>
                <w:b/>
                <w:bCs/>
                <w:color w:val="000000"/>
                <w:sz w:val="20"/>
                <w:lang w:eastAsia="en-US"/>
              </w:rPr>
              <w:t>$</w:t>
            </w:r>
            <w:r w:rsidR="006F5B4F">
              <w:rPr>
                <w:rFonts w:ascii="Arial Narrow" w:hAnsi="Arial Narrow" w:cs="Calibri"/>
                <w:b/>
                <w:bCs/>
                <w:noProof/>
                <w:color w:val="000000"/>
                <w:sz w:val="20"/>
                <w:highlight w:val="black"/>
                <w:lang w:eastAsia="en-US"/>
              </w:rPr>
              <w:t>''''''''''''''''''''''</w:t>
            </w:r>
            <w:r w:rsidR="00257856">
              <w:rPr>
                <w:vertAlign w:val="superscript"/>
              </w:rPr>
              <w:t>4</w:t>
            </w:r>
          </w:p>
        </w:tc>
        <w:tc>
          <w:tcPr>
            <w:tcW w:w="538" w:type="pct"/>
            <w:shd w:val="clear" w:color="auto" w:fill="D9D9D9" w:themeFill="background1" w:themeFillShade="D9"/>
            <w:vAlign w:val="center"/>
          </w:tcPr>
          <w:p w14:paraId="06E6021A" w14:textId="77777777" w:rsidR="003D695D" w:rsidRPr="00EA7B3F" w:rsidRDefault="003D695D" w:rsidP="0082228E">
            <w:pPr>
              <w:pStyle w:val="Tabletextleft"/>
              <w:keepNext/>
              <w:keepLines/>
              <w:rPr>
                <w:rFonts w:ascii="Arial Narrow" w:eastAsia="Calibri" w:hAnsi="Arial Narrow"/>
                <w:bCs/>
                <w:color w:val="000000"/>
                <w:sz w:val="20"/>
              </w:rPr>
            </w:pPr>
            <w:r w:rsidRPr="00EA7B3F">
              <w:rPr>
                <w:rFonts w:ascii="Arial Narrow" w:eastAsia="Calibri" w:hAnsi="Arial Narrow"/>
                <w:bCs/>
                <w:color w:val="000000"/>
                <w:sz w:val="20"/>
              </w:rPr>
              <w:t>[B]+[G]</w:t>
            </w:r>
          </w:p>
        </w:tc>
      </w:tr>
    </w:tbl>
    <w:p w14:paraId="208B05E1" w14:textId="4B26E510" w:rsidR="0058342A" w:rsidRPr="00EA7B3F" w:rsidRDefault="003D695D" w:rsidP="0082228E">
      <w:pPr>
        <w:pStyle w:val="ListBullet"/>
        <w:keepNext/>
        <w:keepLines/>
        <w:numPr>
          <w:ilvl w:val="0"/>
          <w:numId w:val="0"/>
        </w:numPr>
        <w:rPr>
          <w:rFonts w:ascii="Arial Narrow" w:hAnsi="Arial Narrow"/>
          <w:sz w:val="18"/>
          <w:szCs w:val="18"/>
        </w:rPr>
      </w:pPr>
      <w:r w:rsidRPr="00EA7B3F">
        <w:rPr>
          <w:rFonts w:ascii="Arial Narrow" w:hAnsi="Arial Narrow"/>
          <w:sz w:val="18"/>
          <w:szCs w:val="18"/>
        </w:rPr>
        <w:t>Source: Table 1 of pre-PBAC response</w:t>
      </w:r>
    </w:p>
    <w:p w14:paraId="106D59AA" w14:textId="77777777" w:rsidR="003D695D" w:rsidRDefault="003D695D" w:rsidP="0082228E">
      <w:pPr>
        <w:pStyle w:val="ListBullet"/>
        <w:keepNext/>
        <w:keepLines/>
        <w:numPr>
          <w:ilvl w:val="0"/>
          <w:numId w:val="0"/>
        </w:numPr>
        <w:rPr>
          <w:rFonts w:ascii="Arial Narrow" w:hAnsi="Arial Narrow"/>
          <w:sz w:val="18"/>
          <w:szCs w:val="18"/>
        </w:rPr>
      </w:pPr>
      <w:r w:rsidRPr="00EA7B3F">
        <w:rPr>
          <w:rFonts w:ascii="Arial Narrow" w:hAnsi="Arial Narrow"/>
          <w:sz w:val="18"/>
          <w:szCs w:val="18"/>
        </w:rPr>
        <w:t xml:space="preserve">CI-INH = C1-esterase inhibitor; </w:t>
      </w:r>
      <w:r w:rsidR="001D2115" w:rsidRPr="00EA7B3F">
        <w:rPr>
          <w:rFonts w:ascii="Arial Narrow" w:hAnsi="Arial Narrow"/>
          <w:sz w:val="18"/>
          <w:szCs w:val="18"/>
        </w:rPr>
        <w:t xml:space="preserve">DPMQ = dispensed price for maximum quantity; </w:t>
      </w:r>
      <w:r w:rsidRPr="00EA7B3F">
        <w:rPr>
          <w:rFonts w:ascii="Arial Narrow" w:hAnsi="Arial Narrow"/>
          <w:sz w:val="18"/>
          <w:szCs w:val="18"/>
        </w:rPr>
        <w:t xml:space="preserve">PBS = Pharmaceutical Benefits Scheme; </w:t>
      </w:r>
      <w:r w:rsidR="001D2115" w:rsidRPr="00EA7B3F">
        <w:rPr>
          <w:rFonts w:ascii="Arial Narrow" w:hAnsi="Arial Narrow"/>
          <w:sz w:val="18"/>
          <w:szCs w:val="18"/>
        </w:rPr>
        <w:t xml:space="preserve">RSA = risk sharing arrangement; </w:t>
      </w:r>
      <w:r w:rsidRPr="00EA7B3F">
        <w:rPr>
          <w:rFonts w:ascii="Arial Narrow" w:hAnsi="Arial Narrow"/>
          <w:sz w:val="18"/>
          <w:szCs w:val="18"/>
        </w:rPr>
        <w:t xml:space="preserve">SOC = standard of care; SPA = </w:t>
      </w:r>
      <w:r w:rsidR="001D2115" w:rsidRPr="00EA7B3F">
        <w:rPr>
          <w:rFonts w:ascii="Arial Narrow" w:hAnsi="Arial Narrow"/>
          <w:sz w:val="18"/>
          <w:szCs w:val="18"/>
        </w:rPr>
        <w:t>s</w:t>
      </w:r>
      <w:r w:rsidRPr="00EA7B3F">
        <w:rPr>
          <w:rFonts w:ascii="Arial Narrow" w:hAnsi="Arial Narrow"/>
          <w:sz w:val="18"/>
          <w:szCs w:val="18"/>
        </w:rPr>
        <w:t xml:space="preserve">pecial </w:t>
      </w:r>
      <w:r w:rsidR="001D2115" w:rsidRPr="00EA7B3F">
        <w:rPr>
          <w:rFonts w:ascii="Arial Narrow" w:hAnsi="Arial Narrow"/>
          <w:sz w:val="18"/>
          <w:szCs w:val="18"/>
        </w:rPr>
        <w:t>p</w:t>
      </w:r>
      <w:r w:rsidRPr="00EA7B3F">
        <w:rPr>
          <w:rFonts w:ascii="Arial Narrow" w:hAnsi="Arial Narrow"/>
          <w:sz w:val="18"/>
          <w:szCs w:val="18"/>
        </w:rPr>
        <w:t xml:space="preserve">ricing </w:t>
      </w:r>
      <w:r w:rsidR="001D2115" w:rsidRPr="00EA7B3F">
        <w:rPr>
          <w:rFonts w:ascii="Arial Narrow" w:hAnsi="Arial Narrow"/>
          <w:sz w:val="18"/>
          <w:szCs w:val="18"/>
        </w:rPr>
        <w:t>a</w:t>
      </w:r>
      <w:r w:rsidRPr="00EA7B3F">
        <w:rPr>
          <w:rFonts w:ascii="Arial Narrow" w:hAnsi="Arial Narrow"/>
          <w:sz w:val="18"/>
          <w:szCs w:val="18"/>
        </w:rPr>
        <w:t xml:space="preserve">rrangement </w:t>
      </w:r>
    </w:p>
    <w:p w14:paraId="4E1588D4" w14:textId="77777777" w:rsidR="007824C7" w:rsidRPr="00257856" w:rsidRDefault="007824C7" w:rsidP="0082228E">
      <w:pPr>
        <w:pStyle w:val="ListBullet"/>
        <w:keepNext/>
        <w:keepLines/>
        <w:numPr>
          <w:ilvl w:val="0"/>
          <w:numId w:val="0"/>
        </w:numPr>
        <w:rPr>
          <w:rFonts w:ascii="Arial Narrow" w:hAnsi="Arial Narrow"/>
          <w:i/>
          <w:sz w:val="18"/>
          <w:szCs w:val="18"/>
        </w:rPr>
      </w:pPr>
      <w:r w:rsidRPr="00257856">
        <w:rPr>
          <w:rFonts w:ascii="Arial Narrow" w:hAnsi="Arial Narrow"/>
          <w:i/>
          <w:sz w:val="18"/>
          <w:szCs w:val="18"/>
        </w:rPr>
        <w:t>The redacted values correspond to the following ranges:</w:t>
      </w:r>
    </w:p>
    <w:p w14:paraId="2B2EFE17" w14:textId="77777777" w:rsidR="007824C7" w:rsidRPr="00257856" w:rsidRDefault="007824C7" w:rsidP="0082228E">
      <w:pPr>
        <w:pStyle w:val="ListBullet"/>
        <w:keepNext/>
        <w:keepLines/>
        <w:numPr>
          <w:ilvl w:val="0"/>
          <w:numId w:val="0"/>
        </w:numPr>
        <w:rPr>
          <w:rFonts w:ascii="Arial Narrow" w:hAnsi="Arial Narrow"/>
          <w:i/>
          <w:sz w:val="18"/>
          <w:szCs w:val="18"/>
        </w:rPr>
      </w:pPr>
      <w:r w:rsidRPr="00257856">
        <w:rPr>
          <w:rFonts w:ascii="Arial Narrow" w:hAnsi="Arial Narrow"/>
          <w:i/>
          <w:sz w:val="18"/>
          <w:szCs w:val="18"/>
          <w:vertAlign w:val="superscript"/>
        </w:rPr>
        <w:t>1</w:t>
      </w:r>
      <w:r w:rsidRPr="00257856">
        <w:rPr>
          <w:rFonts w:ascii="Arial Narrow" w:hAnsi="Arial Narrow"/>
          <w:i/>
          <w:sz w:val="18"/>
          <w:szCs w:val="18"/>
        </w:rPr>
        <w:t xml:space="preserve"> &lt; 500</w:t>
      </w:r>
    </w:p>
    <w:p w14:paraId="44D6805D" w14:textId="77777777" w:rsidR="007824C7" w:rsidRPr="00257856" w:rsidRDefault="007824C7" w:rsidP="0082228E">
      <w:pPr>
        <w:pStyle w:val="ListBullet"/>
        <w:keepNext/>
        <w:keepLines/>
        <w:numPr>
          <w:ilvl w:val="0"/>
          <w:numId w:val="0"/>
        </w:numPr>
        <w:rPr>
          <w:rFonts w:ascii="Arial Narrow" w:hAnsi="Arial Narrow"/>
          <w:i/>
          <w:sz w:val="18"/>
          <w:szCs w:val="18"/>
        </w:rPr>
      </w:pPr>
      <w:r w:rsidRPr="00257856">
        <w:rPr>
          <w:rFonts w:ascii="Arial Narrow" w:hAnsi="Arial Narrow"/>
          <w:i/>
          <w:sz w:val="18"/>
          <w:szCs w:val="18"/>
          <w:vertAlign w:val="superscript"/>
        </w:rPr>
        <w:t>2</w:t>
      </w:r>
      <w:r w:rsidRPr="00257856">
        <w:rPr>
          <w:rFonts w:ascii="Arial Narrow" w:hAnsi="Arial Narrow"/>
          <w:i/>
          <w:sz w:val="18"/>
          <w:szCs w:val="18"/>
        </w:rPr>
        <w:t xml:space="preserve"> 500 to &lt; 5,000</w:t>
      </w:r>
    </w:p>
    <w:p w14:paraId="7407389D" w14:textId="77777777" w:rsidR="00257856" w:rsidRPr="00257856" w:rsidRDefault="00257856" w:rsidP="0082228E">
      <w:pPr>
        <w:pStyle w:val="ListBullet"/>
        <w:keepNext/>
        <w:keepLines/>
        <w:numPr>
          <w:ilvl w:val="0"/>
          <w:numId w:val="0"/>
        </w:numPr>
        <w:rPr>
          <w:rFonts w:ascii="Arial Narrow" w:hAnsi="Arial Narrow"/>
          <w:i/>
          <w:sz w:val="18"/>
          <w:szCs w:val="18"/>
        </w:rPr>
      </w:pPr>
      <w:r w:rsidRPr="00257856">
        <w:rPr>
          <w:rFonts w:ascii="Arial Narrow" w:hAnsi="Arial Narrow"/>
          <w:i/>
          <w:sz w:val="18"/>
          <w:szCs w:val="18"/>
          <w:vertAlign w:val="superscript"/>
        </w:rPr>
        <w:t>3</w:t>
      </w:r>
      <w:r w:rsidRPr="00257856">
        <w:rPr>
          <w:rFonts w:ascii="Arial Narrow" w:hAnsi="Arial Narrow"/>
          <w:i/>
          <w:sz w:val="18"/>
          <w:szCs w:val="18"/>
        </w:rPr>
        <w:t xml:space="preserve"> $0 to &lt; $10 million </w:t>
      </w:r>
    </w:p>
    <w:p w14:paraId="5413CE27" w14:textId="77777777" w:rsidR="00257856" w:rsidRPr="00257856" w:rsidRDefault="00257856" w:rsidP="0082228E">
      <w:pPr>
        <w:pStyle w:val="ListBullet"/>
        <w:keepNext/>
        <w:keepLines/>
        <w:numPr>
          <w:ilvl w:val="0"/>
          <w:numId w:val="0"/>
        </w:numPr>
        <w:rPr>
          <w:rFonts w:ascii="Arial Narrow" w:hAnsi="Arial Narrow"/>
          <w:i/>
          <w:sz w:val="18"/>
          <w:szCs w:val="18"/>
        </w:rPr>
      </w:pPr>
      <w:r w:rsidRPr="00257856">
        <w:rPr>
          <w:rFonts w:ascii="Arial Narrow" w:hAnsi="Arial Narrow"/>
          <w:i/>
          <w:sz w:val="18"/>
          <w:szCs w:val="18"/>
          <w:vertAlign w:val="superscript"/>
        </w:rPr>
        <w:t>4</w:t>
      </w:r>
      <w:r w:rsidRPr="00257856">
        <w:rPr>
          <w:rFonts w:ascii="Arial Narrow" w:hAnsi="Arial Narrow"/>
          <w:i/>
          <w:sz w:val="18"/>
          <w:szCs w:val="18"/>
        </w:rPr>
        <w:t xml:space="preserve"> $10 million to &lt; $20 million</w:t>
      </w:r>
    </w:p>
    <w:p w14:paraId="16D89665" w14:textId="77777777" w:rsidR="001D2115" w:rsidRPr="00EA7B3F" w:rsidRDefault="001D2115" w:rsidP="0082228E">
      <w:pPr>
        <w:pStyle w:val="ListBullet"/>
        <w:keepNext/>
        <w:keepLines/>
        <w:numPr>
          <w:ilvl w:val="0"/>
          <w:numId w:val="0"/>
        </w:numPr>
        <w:rPr>
          <w:rFonts w:ascii="Arial Narrow" w:hAnsi="Arial Narrow"/>
          <w:sz w:val="18"/>
          <w:szCs w:val="18"/>
        </w:rPr>
      </w:pPr>
    </w:p>
    <w:p w14:paraId="1D8B9A93" w14:textId="027E7B8B" w:rsidR="0082228E" w:rsidRDefault="005E26F3" w:rsidP="0062428B">
      <w:pPr>
        <w:keepNext/>
        <w:keepLines/>
        <w:ind w:left="720"/>
        <w:rPr>
          <w:rFonts w:asciiTheme="minorHAnsi" w:hAnsiTheme="minorHAnsi"/>
          <w:b/>
          <w:snapToGrid w:val="0"/>
          <w:sz w:val="32"/>
          <w:szCs w:val="32"/>
        </w:rPr>
      </w:pPr>
      <w:r w:rsidRPr="00EA7B3F">
        <w:rPr>
          <w:i/>
        </w:rPr>
        <w:t>For more detail on PBAC’s view, see section 7 PBAC outcome.</w:t>
      </w:r>
      <w:bookmarkStart w:id="25" w:name="_Hlk77604799"/>
      <w:bookmarkEnd w:id="22"/>
      <w:r w:rsidR="0082228E">
        <w:br w:type="page"/>
      </w:r>
    </w:p>
    <w:p w14:paraId="0FB5AD2E" w14:textId="77777777" w:rsidR="005E0EF0" w:rsidRPr="00EA7B3F" w:rsidRDefault="005E0EF0" w:rsidP="004E020D">
      <w:pPr>
        <w:pStyle w:val="2-SectionHeading"/>
        <w:numPr>
          <w:ilvl w:val="0"/>
          <w:numId w:val="1"/>
        </w:numPr>
        <w:ind w:left="709"/>
      </w:pPr>
      <w:r w:rsidRPr="00EA7B3F">
        <w:t>PBAC Outcome</w:t>
      </w:r>
    </w:p>
    <w:p w14:paraId="47C184E5" w14:textId="799C04B2" w:rsidR="004C2593" w:rsidRPr="00EA7B3F" w:rsidRDefault="004C2593"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recommended the listing of lanadelumab for the prophylaxis of recurrent attacks of hereditary angioedema (HAE). </w:t>
      </w:r>
      <w:r w:rsidR="007A0D95" w:rsidRPr="008D15B3">
        <w:rPr>
          <w:rFonts w:asciiTheme="minorHAnsi" w:hAnsiTheme="minorHAnsi"/>
          <w:bCs/>
          <w:snapToGrid w:val="0"/>
        </w:rPr>
        <w:t>The PBAC</w:t>
      </w:r>
      <w:r w:rsidR="00E233F0">
        <w:rPr>
          <w:rFonts w:asciiTheme="minorHAnsi" w:hAnsiTheme="minorHAnsi"/>
          <w:bCs/>
          <w:snapToGrid w:val="0"/>
        </w:rPr>
        <w:t xml:space="preserve">, </w:t>
      </w:r>
      <w:r w:rsidR="007A0D95" w:rsidRPr="008D15B3">
        <w:rPr>
          <w:rFonts w:asciiTheme="minorHAnsi" w:hAnsiTheme="minorHAnsi"/>
          <w:bCs/>
          <w:snapToGrid w:val="0"/>
        </w:rPr>
        <w:t>not</w:t>
      </w:r>
      <w:r w:rsidR="00E233F0">
        <w:rPr>
          <w:rFonts w:asciiTheme="minorHAnsi" w:hAnsiTheme="minorHAnsi"/>
          <w:bCs/>
          <w:snapToGrid w:val="0"/>
        </w:rPr>
        <w:t>ing</w:t>
      </w:r>
      <w:r w:rsidR="007A0D95" w:rsidRPr="008D15B3">
        <w:rPr>
          <w:rFonts w:asciiTheme="minorHAnsi" w:hAnsiTheme="minorHAnsi"/>
          <w:bCs/>
          <w:snapToGrid w:val="0"/>
        </w:rPr>
        <w:t xml:space="preserve"> that danazol was no longer available in Australia</w:t>
      </w:r>
      <w:r w:rsidR="00E233F0">
        <w:rPr>
          <w:rFonts w:asciiTheme="minorHAnsi" w:hAnsiTheme="minorHAnsi"/>
          <w:bCs/>
          <w:snapToGrid w:val="0"/>
        </w:rPr>
        <w:t xml:space="preserve"> and that </w:t>
      </w:r>
      <w:r w:rsidR="007A0D95" w:rsidRPr="008D15B3">
        <w:rPr>
          <w:rFonts w:asciiTheme="minorHAnsi" w:hAnsiTheme="minorHAnsi"/>
          <w:bCs/>
          <w:snapToGrid w:val="0"/>
        </w:rPr>
        <w:t xml:space="preserve">there was currently no intervention available for </w:t>
      </w:r>
      <w:r w:rsidR="007A0D95">
        <w:rPr>
          <w:rFonts w:asciiTheme="minorHAnsi" w:hAnsiTheme="minorHAnsi"/>
          <w:bCs/>
          <w:snapToGrid w:val="0"/>
        </w:rPr>
        <w:t>patients</w:t>
      </w:r>
      <w:r w:rsidR="007A0D95" w:rsidRPr="008D15B3">
        <w:rPr>
          <w:rFonts w:asciiTheme="minorHAnsi" w:hAnsiTheme="minorHAnsi"/>
          <w:bCs/>
          <w:snapToGrid w:val="0"/>
        </w:rPr>
        <w:t xml:space="preserve"> with </w:t>
      </w:r>
      <w:r w:rsidR="007A0D95">
        <w:rPr>
          <w:rFonts w:asciiTheme="minorHAnsi" w:hAnsiTheme="minorHAnsi"/>
          <w:bCs/>
          <w:snapToGrid w:val="0"/>
        </w:rPr>
        <w:t>an attack</w:t>
      </w:r>
      <w:r w:rsidR="007A0D95" w:rsidRPr="008D15B3">
        <w:rPr>
          <w:rFonts w:asciiTheme="minorHAnsi" w:hAnsiTheme="minorHAnsi"/>
          <w:bCs/>
          <w:snapToGrid w:val="0"/>
        </w:rPr>
        <w:t xml:space="preserve"> frequency of 8 per month or fewer</w:t>
      </w:r>
      <w:r w:rsidR="00E233F0">
        <w:rPr>
          <w:rFonts w:asciiTheme="minorHAnsi" w:hAnsiTheme="minorHAnsi"/>
          <w:bCs/>
          <w:snapToGrid w:val="0"/>
        </w:rPr>
        <w:t>,</w:t>
      </w:r>
      <w:r w:rsidR="007A0D95">
        <w:rPr>
          <w:rFonts w:asciiTheme="minorHAnsi" w:hAnsiTheme="minorHAnsi"/>
          <w:bCs/>
          <w:snapToGrid w:val="0"/>
        </w:rPr>
        <w:t xml:space="preserve"> </w:t>
      </w:r>
      <w:r w:rsidRPr="00EA7B3F">
        <w:rPr>
          <w:rFonts w:asciiTheme="minorHAnsi" w:hAnsiTheme="minorHAnsi"/>
          <w:bCs/>
          <w:snapToGrid w:val="0"/>
        </w:rPr>
        <w:t xml:space="preserve">considered that </w:t>
      </w:r>
      <w:r w:rsidR="00EE242F" w:rsidRPr="00EA7B3F">
        <w:rPr>
          <w:rFonts w:asciiTheme="minorHAnsi" w:hAnsiTheme="minorHAnsi"/>
          <w:bCs/>
          <w:snapToGrid w:val="0"/>
        </w:rPr>
        <w:t>t</w:t>
      </w:r>
      <w:r w:rsidRPr="00EA7B3F">
        <w:rPr>
          <w:rFonts w:asciiTheme="minorHAnsi" w:hAnsiTheme="minorHAnsi"/>
          <w:bCs/>
          <w:snapToGrid w:val="0"/>
        </w:rPr>
        <w:t xml:space="preserve">here was a </w:t>
      </w:r>
      <w:r w:rsidR="00FD757C">
        <w:rPr>
          <w:rFonts w:asciiTheme="minorHAnsi" w:hAnsiTheme="minorHAnsi"/>
          <w:bCs/>
          <w:snapToGrid w:val="0"/>
        </w:rPr>
        <w:t>high</w:t>
      </w:r>
      <w:r w:rsidR="005930D5">
        <w:rPr>
          <w:rFonts w:asciiTheme="minorHAnsi" w:hAnsiTheme="minorHAnsi"/>
          <w:bCs/>
          <w:snapToGrid w:val="0"/>
        </w:rPr>
        <w:t xml:space="preserve"> </w:t>
      </w:r>
      <w:r w:rsidRPr="00EA7B3F">
        <w:rPr>
          <w:rFonts w:asciiTheme="minorHAnsi" w:hAnsiTheme="minorHAnsi"/>
          <w:bCs/>
          <w:snapToGrid w:val="0"/>
        </w:rPr>
        <w:t xml:space="preserve">clinical need for effective and tolerable prophylactic therapies for </w:t>
      </w:r>
      <w:r w:rsidR="007A0D95">
        <w:rPr>
          <w:rFonts w:asciiTheme="minorHAnsi" w:hAnsiTheme="minorHAnsi"/>
          <w:bCs/>
          <w:snapToGrid w:val="0"/>
        </w:rPr>
        <w:t xml:space="preserve">these HAE patients. The PBAC </w:t>
      </w:r>
      <w:r w:rsidR="00E233F0">
        <w:rPr>
          <w:rFonts w:asciiTheme="minorHAnsi" w:hAnsiTheme="minorHAnsi"/>
          <w:bCs/>
          <w:snapToGrid w:val="0"/>
        </w:rPr>
        <w:t>considered that</w:t>
      </w:r>
      <w:r w:rsidR="00815407">
        <w:rPr>
          <w:rFonts w:asciiTheme="minorHAnsi" w:hAnsiTheme="minorHAnsi"/>
          <w:bCs/>
          <w:snapToGrid w:val="0"/>
        </w:rPr>
        <w:t xml:space="preserve"> </w:t>
      </w:r>
      <w:r w:rsidRPr="00EA7B3F">
        <w:rPr>
          <w:rFonts w:asciiTheme="minorHAnsi" w:hAnsiTheme="minorHAnsi"/>
          <w:bCs/>
          <w:snapToGrid w:val="0"/>
        </w:rPr>
        <w:t xml:space="preserve">for some patients, lanadelumab provided a </w:t>
      </w:r>
      <w:r w:rsidR="00FD757C">
        <w:rPr>
          <w:rFonts w:asciiTheme="minorHAnsi" w:hAnsiTheme="minorHAnsi"/>
          <w:bCs/>
          <w:snapToGrid w:val="0"/>
        </w:rPr>
        <w:t>substantial</w:t>
      </w:r>
      <w:r w:rsidR="00E233F0">
        <w:rPr>
          <w:rFonts w:asciiTheme="minorHAnsi" w:hAnsiTheme="minorHAnsi"/>
          <w:bCs/>
          <w:snapToGrid w:val="0"/>
        </w:rPr>
        <w:t xml:space="preserve"> </w:t>
      </w:r>
      <w:r w:rsidRPr="00EA7B3F">
        <w:rPr>
          <w:rFonts w:asciiTheme="minorHAnsi" w:hAnsiTheme="minorHAnsi"/>
          <w:bCs/>
          <w:snapToGrid w:val="0"/>
        </w:rPr>
        <w:t>clinical</w:t>
      </w:r>
      <w:r w:rsidR="00E233F0">
        <w:rPr>
          <w:rFonts w:asciiTheme="minorHAnsi" w:hAnsiTheme="minorHAnsi"/>
          <w:bCs/>
          <w:snapToGrid w:val="0"/>
        </w:rPr>
        <w:t xml:space="preserve"> benefit in terms of a </w:t>
      </w:r>
      <w:r w:rsidRPr="00EA7B3F">
        <w:rPr>
          <w:rFonts w:asciiTheme="minorHAnsi" w:hAnsiTheme="minorHAnsi"/>
          <w:bCs/>
          <w:snapToGrid w:val="0"/>
        </w:rPr>
        <w:t xml:space="preserve">reduction in HAE attack frequency versus </w:t>
      </w:r>
      <w:r w:rsidR="00EE242F" w:rsidRPr="00EA7B3F">
        <w:rPr>
          <w:rFonts w:asciiTheme="minorHAnsi" w:hAnsiTheme="minorHAnsi"/>
          <w:bCs/>
          <w:snapToGrid w:val="0"/>
        </w:rPr>
        <w:t>standard of care (SOC)</w:t>
      </w:r>
      <w:r w:rsidRPr="00EA7B3F">
        <w:rPr>
          <w:rFonts w:asciiTheme="minorHAnsi" w:hAnsiTheme="minorHAnsi"/>
          <w:bCs/>
          <w:snapToGrid w:val="0"/>
        </w:rPr>
        <w:t xml:space="preserve">. The PBAC noted that although the updated economic model resulted in an incremental cost effectiveness ratio (ICER) which </w:t>
      </w:r>
      <w:r w:rsidR="00E233F0">
        <w:rPr>
          <w:rFonts w:asciiTheme="minorHAnsi" w:hAnsiTheme="minorHAnsi"/>
          <w:bCs/>
          <w:snapToGrid w:val="0"/>
        </w:rPr>
        <w:t xml:space="preserve">remained </w:t>
      </w:r>
      <w:r w:rsidRPr="00EA7B3F">
        <w:rPr>
          <w:rFonts w:asciiTheme="minorHAnsi" w:hAnsiTheme="minorHAnsi"/>
          <w:bCs/>
          <w:snapToGrid w:val="0"/>
        </w:rPr>
        <w:t xml:space="preserve">uncertain, the associated financial risk was managed by the proposed </w:t>
      </w:r>
      <w:r w:rsidR="004E020D">
        <w:rPr>
          <w:rFonts w:asciiTheme="minorHAnsi" w:hAnsiTheme="minorHAnsi"/>
          <w:bCs/>
          <w:snapToGrid w:val="0"/>
        </w:rPr>
        <w:t>R</w:t>
      </w:r>
      <w:r w:rsidR="004E020D" w:rsidRPr="00EA7B3F">
        <w:rPr>
          <w:rFonts w:asciiTheme="minorHAnsi" w:hAnsiTheme="minorHAnsi"/>
          <w:bCs/>
          <w:snapToGrid w:val="0"/>
        </w:rPr>
        <w:t xml:space="preserve">isk </w:t>
      </w:r>
      <w:r w:rsidR="004E020D">
        <w:rPr>
          <w:rFonts w:asciiTheme="minorHAnsi" w:hAnsiTheme="minorHAnsi"/>
          <w:bCs/>
          <w:snapToGrid w:val="0"/>
        </w:rPr>
        <w:t>S</w:t>
      </w:r>
      <w:r w:rsidR="004E020D" w:rsidRPr="00EA7B3F">
        <w:rPr>
          <w:rFonts w:asciiTheme="minorHAnsi" w:hAnsiTheme="minorHAnsi"/>
          <w:bCs/>
          <w:snapToGrid w:val="0"/>
        </w:rPr>
        <w:t xml:space="preserve">haring </w:t>
      </w:r>
      <w:r w:rsidR="004E020D">
        <w:rPr>
          <w:rFonts w:asciiTheme="minorHAnsi" w:hAnsiTheme="minorHAnsi"/>
          <w:bCs/>
          <w:snapToGrid w:val="0"/>
        </w:rPr>
        <w:t>A</w:t>
      </w:r>
      <w:r w:rsidR="004E020D" w:rsidRPr="00EA7B3F">
        <w:rPr>
          <w:rFonts w:asciiTheme="minorHAnsi" w:hAnsiTheme="minorHAnsi"/>
          <w:bCs/>
          <w:snapToGrid w:val="0"/>
        </w:rPr>
        <w:t xml:space="preserve">rrangement </w:t>
      </w:r>
      <w:r w:rsidRPr="00EA7B3F">
        <w:rPr>
          <w:rFonts w:asciiTheme="minorHAnsi" w:hAnsiTheme="minorHAnsi"/>
          <w:bCs/>
          <w:snapToGrid w:val="0"/>
        </w:rPr>
        <w:t>(RSA) in this small and definable patient population.</w:t>
      </w:r>
    </w:p>
    <w:p w14:paraId="66140E18" w14:textId="77777777" w:rsidR="00CD2749" w:rsidRPr="00EA7B3F" w:rsidRDefault="00CD2749"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 PBAC acknowledged the consumer comments which were strongly supportive of listing lanadelumab</w:t>
      </w:r>
      <w:r w:rsidR="004C2593" w:rsidRPr="00EA7B3F">
        <w:rPr>
          <w:rFonts w:asciiTheme="minorHAnsi" w:hAnsiTheme="minorHAnsi"/>
          <w:bCs/>
          <w:snapToGrid w:val="0"/>
        </w:rPr>
        <w:t xml:space="preserve"> </w:t>
      </w:r>
      <w:r w:rsidRPr="00EA7B3F">
        <w:rPr>
          <w:rFonts w:asciiTheme="minorHAnsi" w:hAnsiTheme="minorHAnsi"/>
          <w:bCs/>
          <w:snapToGrid w:val="0"/>
        </w:rPr>
        <w:t>and which described the substantial quality of life benefits of the prophylactic treatment.</w:t>
      </w:r>
    </w:p>
    <w:p w14:paraId="2A6DA4CF" w14:textId="77777777" w:rsidR="000A4F70" w:rsidRPr="00EA7B3F" w:rsidRDefault="000A4F70"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 PBAC noted that the resubmission presented revised proposed restrictions. The PBAC</w:t>
      </w:r>
      <w:r w:rsidR="008D15B3">
        <w:rPr>
          <w:rFonts w:asciiTheme="minorHAnsi" w:hAnsiTheme="minorHAnsi"/>
          <w:bCs/>
          <w:snapToGrid w:val="0"/>
        </w:rPr>
        <w:t xml:space="preserve">, noting the outcomes of the stakeholder meeting, considered that although the </w:t>
      </w:r>
      <w:r w:rsidRPr="00EA7B3F">
        <w:rPr>
          <w:rFonts w:asciiTheme="minorHAnsi" w:hAnsiTheme="minorHAnsi"/>
          <w:bCs/>
          <w:snapToGrid w:val="0"/>
        </w:rPr>
        <w:t xml:space="preserve">number of baseline HAE attacks </w:t>
      </w:r>
      <w:r w:rsidR="00922D63" w:rsidRPr="00EA7B3F">
        <w:rPr>
          <w:rFonts w:asciiTheme="minorHAnsi" w:hAnsiTheme="minorHAnsi"/>
          <w:bCs/>
          <w:snapToGrid w:val="0"/>
        </w:rPr>
        <w:t xml:space="preserve">(12 in 6 months) </w:t>
      </w:r>
      <w:r w:rsidRPr="00EA7B3F">
        <w:rPr>
          <w:rFonts w:asciiTheme="minorHAnsi" w:hAnsiTheme="minorHAnsi"/>
          <w:bCs/>
          <w:snapToGrid w:val="0"/>
        </w:rPr>
        <w:t xml:space="preserve">for lanadelumab eligibility remained unchanged in the initial treatment restriction for patients who did not qualify for routine prophylaxis with National Blood Authority funded C1-INH (i.e. Initial </w:t>
      </w:r>
      <w:r w:rsidR="00364FF0" w:rsidRPr="00EA7B3F">
        <w:rPr>
          <w:rFonts w:asciiTheme="minorHAnsi" w:hAnsiTheme="minorHAnsi"/>
          <w:bCs/>
          <w:snapToGrid w:val="0"/>
        </w:rPr>
        <w:t xml:space="preserve">treatment - </w:t>
      </w:r>
      <w:r w:rsidRPr="00EA7B3F">
        <w:rPr>
          <w:rFonts w:asciiTheme="minorHAnsi" w:hAnsiTheme="minorHAnsi"/>
          <w:bCs/>
          <w:snapToGrid w:val="0"/>
        </w:rPr>
        <w:t>1)</w:t>
      </w:r>
      <w:r w:rsidR="00922D63" w:rsidRPr="00EA7B3F">
        <w:rPr>
          <w:rFonts w:asciiTheme="minorHAnsi" w:hAnsiTheme="minorHAnsi"/>
          <w:bCs/>
          <w:snapToGrid w:val="0"/>
        </w:rPr>
        <w:t>, this was reasonable</w:t>
      </w:r>
      <w:r w:rsidRPr="00EA7B3F">
        <w:rPr>
          <w:rFonts w:asciiTheme="minorHAnsi" w:hAnsiTheme="minorHAnsi"/>
          <w:bCs/>
          <w:snapToGrid w:val="0"/>
        </w:rPr>
        <w:t xml:space="preserve">. </w:t>
      </w:r>
      <w:r w:rsidR="00922D63" w:rsidRPr="00EA7B3F">
        <w:rPr>
          <w:rFonts w:asciiTheme="minorHAnsi" w:hAnsiTheme="minorHAnsi"/>
          <w:bCs/>
          <w:snapToGrid w:val="0"/>
        </w:rPr>
        <w:t>T</w:t>
      </w:r>
      <w:r w:rsidRPr="00EA7B3F">
        <w:rPr>
          <w:rFonts w:asciiTheme="minorHAnsi" w:hAnsiTheme="minorHAnsi"/>
          <w:bCs/>
          <w:snapToGrid w:val="0"/>
        </w:rPr>
        <w:t xml:space="preserve">he </w:t>
      </w:r>
      <w:r w:rsidR="00922D63" w:rsidRPr="00EA7B3F">
        <w:rPr>
          <w:rFonts w:asciiTheme="minorHAnsi" w:hAnsiTheme="minorHAnsi"/>
          <w:bCs/>
          <w:snapToGrid w:val="0"/>
        </w:rPr>
        <w:t>PBAC considered that the revised criteria for the attacks to be acute, which was defined as</w:t>
      </w:r>
      <w:r w:rsidRPr="00EA7B3F">
        <w:rPr>
          <w:rFonts w:asciiTheme="minorHAnsi" w:hAnsiTheme="minorHAnsi"/>
          <w:bCs/>
          <w:snapToGrid w:val="0"/>
        </w:rPr>
        <w:t xml:space="preserve"> those that required targeted on-demand therapy</w:t>
      </w:r>
      <w:r w:rsidR="00EE242F" w:rsidRPr="00EA7B3F">
        <w:rPr>
          <w:rFonts w:asciiTheme="minorHAnsi" w:hAnsiTheme="minorHAnsi"/>
          <w:bCs/>
          <w:snapToGrid w:val="0"/>
        </w:rPr>
        <w:t>,</w:t>
      </w:r>
      <w:r w:rsidR="00922D63" w:rsidRPr="00EA7B3F">
        <w:rPr>
          <w:rFonts w:asciiTheme="minorHAnsi" w:hAnsiTheme="minorHAnsi"/>
          <w:bCs/>
          <w:snapToGrid w:val="0"/>
        </w:rPr>
        <w:t xml:space="preserve"> was appropriate</w:t>
      </w:r>
      <w:r w:rsidRPr="00EA7B3F">
        <w:rPr>
          <w:rFonts w:asciiTheme="minorHAnsi" w:hAnsiTheme="minorHAnsi"/>
          <w:bCs/>
          <w:snapToGrid w:val="0"/>
        </w:rPr>
        <w:t xml:space="preserve">. </w:t>
      </w:r>
      <w:r w:rsidR="00922D63" w:rsidRPr="00EA7B3F">
        <w:rPr>
          <w:rFonts w:asciiTheme="minorHAnsi" w:hAnsiTheme="minorHAnsi"/>
          <w:bCs/>
          <w:snapToGrid w:val="0"/>
        </w:rPr>
        <w:t>Additionally, the PBAC considered that the requested restriction changes in the pre-PBAC response, including that the initial restrictions be Authority Required – non-immediate assessment, that supply be restricted to patients 12 years of age and older and that the maximum quantity per restriction be reduced to one syringe per month</w:t>
      </w:r>
      <w:r w:rsidR="00EE242F" w:rsidRPr="00EA7B3F">
        <w:rPr>
          <w:rFonts w:asciiTheme="minorHAnsi" w:hAnsiTheme="minorHAnsi"/>
          <w:bCs/>
          <w:snapToGrid w:val="0"/>
        </w:rPr>
        <w:t>,</w:t>
      </w:r>
      <w:r w:rsidR="00922D63" w:rsidRPr="00EA7B3F">
        <w:rPr>
          <w:rFonts w:asciiTheme="minorHAnsi" w:hAnsiTheme="minorHAnsi"/>
          <w:bCs/>
          <w:snapToGrid w:val="0"/>
        </w:rPr>
        <w:t xml:space="preserve"> were appropriate.</w:t>
      </w:r>
      <w:r w:rsidRPr="00EA7B3F">
        <w:rPr>
          <w:rFonts w:asciiTheme="minorHAnsi" w:hAnsiTheme="minorHAnsi"/>
          <w:bCs/>
          <w:snapToGrid w:val="0"/>
        </w:rPr>
        <w:t xml:space="preserve"> </w:t>
      </w:r>
    </w:p>
    <w:p w14:paraId="4B5856DD" w14:textId="77777777" w:rsidR="00E50219" w:rsidRPr="00EA7B3F" w:rsidRDefault="00CD2749"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recalled that the key clinical evidence, as provided by the HELP trial, supported the clinical claim that lanadelumab was superior to </w:t>
      </w:r>
      <w:r w:rsidR="001A640C" w:rsidRPr="00EA7B3F">
        <w:rPr>
          <w:rFonts w:asciiTheme="minorHAnsi" w:hAnsiTheme="minorHAnsi"/>
          <w:bCs/>
          <w:snapToGrid w:val="0"/>
        </w:rPr>
        <w:t>SOC</w:t>
      </w:r>
      <w:r w:rsidRPr="00EA7B3F">
        <w:rPr>
          <w:rFonts w:asciiTheme="minorHAnsi" w:hAnsiTheme="minorHAnsi"/>
          <w:bCs/>
          <w:snapToGrid w:val="0"/>
        </w:rPr>
        <w:t xml:space="preserve"> in terms of comparative effectiveness, but that there was residual uncertainty in the magnitude of the benefit due to the small patient numbers in the trial and potential applicability issues. The PBAC also recalled that the four weekly </w:t>
      </w:r>
      <w:r w:rsidR="001A640C" w:rsidRPr="00EA7B3F">
        <w:rPr>
          <w:rFonts w:asciiTheme="minorHAnsi" w:hAnsiTheme="minorHAnsi"/>
          <w:bCs/>
          <w:snapToGrid w:val="0"/>
        </w:rPr>
        <w:t xml:space="preserve">(Q4W) </w:t>
      </w:r>
      <w:r w:rsidRPr="00EA7B3F">
        <w:rPr>
          <w:rFonts w:asciiTheme="minorHAnsi" w:hAnsiTheme="minorHAnsi"/>
          <w:bCs/>
          <w:snapToGrid w:val="0"/>
        </w:rPr>
        <w:t xml:space="preserve">regimen did not demonstrate a </w:t>
      </w:r>
      <w:r w:rsidR="008D15B3">
        <w:rPr>
          <w:rFonts w:asciiTheme="minorHAnsi" w:hAnsiTheme="minorHAnsi"/>
          <w:bCs/>
          <w:snapToGrid w:val="0"/>
        </w:rPr>
        <w:t xml:space="preserve">significant </w:t>
      </w:r>
      <w:r w:rsidRPr="00EA7B3F">
        <w:rPr>
          <w:rFonts w:asciiTheme="minorHAnsi" w:hAnsiTheme="minorHAnsi"/>
          <w:bCs/>
          <w:snapToGrid w:val="0"/>
        </w:rPr>
        <w:t xml:space="preserve">difference in efficacy compared to the two weekly </w:t>
      </w:r>
      <w:r w:rsidR="001A640C" w:rsidRPr="00EA7B3F">
        <w:rPr>
          <w:rFonts w:asciiTheme="minorHAnsi" w:hAnsiTheme="minorHAnsi"/>
          <w:bCs/>
          <w:snapToGrid w:val="0"/>
        </w:rPr>
        <w:t xml:space="preserve">(Q2W) </w:t>
      </w:r>
      <w:r w:rsidRPr="00EA7B3F">
        <w:rPr>
          <w:rFonts w:asciiTheme="minorHAnsi" w:hAnsiTheme="minorHAnsi"/>
          <w:bCs/>
          <w:snapToGrid w:val="0"/>
        </w:rPr>
        <w:t>regimen</w:t>
      </w:r>
      <w:r w:rsidR="00E50219" w:rsidRPr="00EA7B3F">
        <w:rPr>
          <w:rFonts w:asciiTheme="minorHAnsi" w:hAnsiTheme="minorHAnsi"/>
          <w:bCs/>
          <w:snapToGrid w:val="0"/>
        </w:rPr>
        <w:t xml:space="preserve">. In terms of safety, the PBAC recalled that although lanadelumab demonstrated inferior safety compared to </w:t>
      </w:r>
      <w:r w:rsidR="00EE242F" w:rsidRPr="00EA7B3F">
        <w:rPr>
          <w:rFonts w:asciiTheme="minorHAnsi" w:hAnsiTheme="minorHAnsi"/>
          <w:bCs/>
          <w:snapToGrid w:val="0"/>
        </w:rPr>
        <w:t>SOC</w:t>
      </w:r>
      <w:r w:rsidR="00E50219" w:rsidRPr="00EA7B3F">
        <w:rPr>
          <w:rFonts w:asciiTheme="minorHAnsi" w:hAnsiTheme="minorHAnsi"/>
          <w:bCs/>
          <w:snapToGrid w:val="0"/>
        </w:rPr>
        <w:t>, it was well tolerated.</w:t>
      </w:r>
    </w:p>
    <w:p w14:paraId="170948EF" w14:textId="716D285B" w:rsidR="001A640C" w:rsidRPr="00EA7B3F" w:rsidRDefault="001A640C"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noted that the resubmission presented a revised economic model for lanadelumab versus SOC that applied updated data to estimate the baseline HAE attack frequency and applied the cost of the lanadelumab 300 mg Q4W regimen </w:t>
      </w:r>
      <w:r w:rsidR="00EE242F" w:rsidRPr="00EA7B3F">
        <w:rPr>
          <w:rFonts w:asciiTheme="minorHAnsi" w:hAnsiTheme="minorHAnsi"/>
          <w:bCs/>
          <w:snapToGrid w:val="0"/>
        </w:rPr>
        <w:t>(</w:t>
      </w:r>
      <w:r w:rsidRPr="00EA7B3F">
        <w:rPr>
          <w:rFonts w:asciiTheme="minorHAnsi" w:hAnsiTheme="minorHAnsi"/>
          <w:bCs/>
          <w:snapToGrid w:val="0"/>
        </w:rPr>
        <w:t>i.e. 13 doses per year</w:t>
      </w:r>
      <w:r w:rsidR="00EE242F" w:rsidRPr="00EA7B3F">
        <w:rPr>
          <w:rFonts w:asciiTheme="minorHAnsi" w:hAnsiTheme="minorHAnsi"/>
          <w:bCs/>
          <w:snapToGrid w:val="0"/>
        </w:rPr>
        <w:t>)</w:t>
      </w:r>
      <w:r w:rsidRPr="00EA7B3F">
        <w:rPr>
          <w:rFonts w:asciiTheme="minorHAnsi" w:hAnsiTheme="minorHAnsi"/>
          <w:bCs/>
          <w:snapToGrid w:val="0"/>
        </w:rPr>
        <w:t xml:space="preserve"> to all patients. </w:t>
      </w:r>
      <w:r w:rsidR="00E07684" w:rsidRPr="00EA7B3F">
        <w:rPr>
          <w:rFonts w:asciiTheme="minorHAnsi" w:hAnsiTheme="minorHAnsi"/>
          <w:bCs/>
          <w:snapToGrid w:val="0"/>
        </w:rPr>
        <w:t xml:space="preserve">Further, the PBAC noted that the pre-PBAC response provided an updated model which incorporated two changes suggested by ESC, </w:t>
      </w:r>
      <w:r w:rsidR="00E07684" w:rsidRPr="00EA7B3F">
        <w:t>i) removal of rounding in calculation of the number of attacks for 28 days; and (ii) application of the weighted lanadelumab efficacy</w:t>
      </w:r>
      <w:r w:rsidR="00EE242F" w:rsidRPr="00EA7B3F">
        <w:t>. In addition</w:t>
      </w:r>
      <w:r w:rsidR="00E07684" w:rsidRPr="00EA7B3F">
        <w:t xml:space="preserve">, </w:t>
      </w:r>
      <w:r w:rsidR="00EE242F" w:rsidRPr="00EA7B3F">
        <w:t xml:space="preserve">the pre-PBAC response model </w:t>
      </w:r>
      <w:r w:rsidR="00E07684" w:rsidRPr="00EA7B3F">
        <w:t xml:space="preserve">applied a price reduction of </w:t>
      </w:r>
      <w:r w:rsidR="00E07684" w:rsidRPr="000732AC">
        <w:t>17</w:t>
      </w:r>
      <w:r w:rsidR="00E07684" w:rsidRPr="00EA7B3F">
        <w:t>% to the effective DPMQ of lanadelumab, resulting in an ICER of $</w:t>
      </w:r>
      <w:r w:rsidR="005460AC">
        <w:t>95,000 to &lt; $115,000</w:t>
      </w:r>
      <w:r w:rsidR="00E07684" w:rsidRPr="00EA7B3F">
        <w:t xml:space="preserve"> per QALY. The PBAC considered that</w:t>
      </w:r>
      <w:r w:rsidR="00EE242F" w:rsidRPr="00EA7B3F">
        <w:t xml:space="preserve"> the ICER was reasonable,</w:t>
      </w:r>
      <w:r w:rsidR="00E07684" w:rsidRPr="00EA7B3F">
        <w:t xml:space="preserve"> </w:t>
      </w:r>
      <w:r w:rsidR="00EE242F" w:rsidRPr="00EA7B3F">
        <w:t xml:space="preserve">although noted that it likely </w:t>
      </w:r>
      <w:r w:rsidR="00E07684" w:rsidRPr="00EA7B3F">
        <w:t xml:space="preserve">remained underestimated, due to the continued application of optimistic between-attack utilities, and uncertain, as it remained highly sensitive to the baseline rate of treated attacks. </w:t>
      </w:r>
    </w:p>
    <w:p w14:paraId="5A3FBAD6" w14:textId="64ED7E30" w:rsidR="00FA00FA" w:rsidRPr="00EA7B3F" w:rsidRDefault="00FA00FA"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 PBAC noted the revisions to the utilisation and financial estimates presented in the resubmission and the pre-PBAC response. The PBAC considered that the revised total number of patients treated each year (</w:t>
      </w:r>
      <w:r w:rsidR="005460AC">
        <w:rPr>
          <w:rFonts w:asciiTheme="minorHAnsi" w:hAnsiTheme="minorHAnsi"/>
          <w:bCs/>
          <w:snapToGrid w:val="0"/>
        </w:rPr>
        <w:t>&lt; 500</w:t>
      </w:r>
      <w:r w:rsidRPr="00EA7B3F">
        <w:rPr>
          <w:rFonts w:asciiTheme="minorHAnsi" w:hAnsiTheme="minorHAnsi"/>
          <w:bCs/>
          <w:snapToGrid w:val="0"/>
        </w:rPr>
        <w:t xml:space="preserve"> in Year 1 increasing to </w:t>
      </w:r>
      <w:r w:rsidR="005460AC">
        <w:rPr>
          <w:rFonts w:asciiTheme="minorHAnsi" w:hAnsiTheme="minorHAnsi"/>
          <w:bCs/>
          <w:snapToGrid w:val="0"/>
        </w:rPr>
        <w:t>&lt; 500</w:t>
      </w:r>
      <w:r w:rsidRPr="00EA7B3F">
        <w:rPr>
          <w:rFonts w:asciiTheme="minorHAnsi" w:hAnsiTheme="minorHAnsi"/>
          <w:bCs/>
          <w:snapToGrid w:val="0"/>
        </w:rPr>
        <w:t xml:space="preserve"> in Year 6) w</w:t>
      </w:r>
      <w:r w:rsidR="002E2F3E" w:rsidRPr="00EA7B3F">
        <w:rPr>
          <w:rFonts w:asciiTheme="minorHAnsi" w:hAnsiTheme="minorHAnsi"/>
          <w:bCs/>
          <w:snapToGrid w:val="0"/>
        </w:rPr>
        <w:t>as</w:t>
      </w:r>
      <w:r w:rsidRPr="00EA7B3F">
        <w:rPr>
          <w:rFonts w:asciiTheme="minorHAnsi" w:hAnsiTheme="minorHAnsi"/>
          <w:bCs/>
          <w:snapToGrid w:val="0"/>
        </w:rPr>
        <w:t xml:space="preserve"> reasonable.</w:t>
      </w:r>
    </w:p>
    <w:p w14:paraId="59EF7E8E" w14:textId="77777777" w:rsidR="00FA00FA" w:rsidRPr="00EA7B3F" w:rsidRDefault="00FA00FA"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noted that the pre-PBAC </w:t>
      </w:r>
      <w:r w:rsidRPr="00433ADF">
        <w:rPr>
          <w:rFonts w:asciiTheme="minorHAnsi" w:hAnsiTheme="minorHAnsi"/>
          <w:bCs/>
          <w:snapToGrid w:val="0"/>
        </w:rPr>
        <w:t>response presented a revised RSA which was based on advice provided by the ESC</w:t>
      </w:r>
      <w:r w:rsidR="00131469" w:rsidRPr="00433ADF">
        <w:rPr>
          <w:rFonts w:asciiTheme="minorHAnsi" w:hAnsiTheme="minorHAnsi"/>
          <w:bCs/>
          <w:snapToGrid w:val="0"/>
        </w:rPr>
        <w:t xml:space="preserve"> (see paragraph 6.</w:t>
      </w:r>
      <w:r w:rsidR="00433ADF" w:rsidRPr="00433ADF">
        <w:rPr>
          <w:rFonts w:asciiTheme="minorHAnsi" w:hAnsiTheme="minorHAnsi"/>
          <w:bCs/>
          <w:snapToGrid w:val="0"/>
        </w:rPr>
        <w:t>58</w:t>
      </w:r>
      <w:r w:rsidR="00131469" w:rsidRPr="00EA7B3F">
        <w:rPr>
          <w:rFonts w:asciiTheme="minorHAnsi" w:hAnsiTheme="minorHAnsi"/>
          <w:bCs/>
          <w:snapToGrid w:val="0"/>
        </w:rPr>
        <w:t>)</w:t>
      </w:r>
      <w:r w:rsidRPr="00EA7B3F">
        <w:rPr>
          <w:rFonts w:asciiTheme="minorHAnsi" w:hAnsiTheme="minorHAnsi"/>
          <w:bCs/>
          <w:snapToGrid w:val="0"/>
        </w:rPr>
        <w:t xml:space="preserve">. The PBAC </w:t>
      </w:r>
      <w:r w:rsidR="00827224" w:rsidRPr="00EA7B3F">
        <w:rPr>
          <w:rFonts w:asciiTheme="minorHAnsi" w:hAnsiTheme="minorHAnsi"/>
          <w:bCs/>
          <w:snapToGrid w:val="0"/>
        </w:rPr>
        <w:t xml:space="preserve">was </w:t>
      </w:r>
      <w:r w:rsidR="00FB2A4F">
        <w:rPr>
          <w:rFonts w:asciiTheme="minorHAnsi" w:hAnsiTheme="minorHAnsi"/>
          <w:bCs/>
          <w:snapToGrid w:val="0"/>
        </w:rPr>
        <w:t>highly</w:t>
      </w:r>
      <w:r w:rsidR="00E233F0" w:rsidRPr="00EA7B3F">
        <w:rPr>
          <w:rFonts w:asciiTheme="minorHAnsi" w:hAnsiTheme="minorHAnsi"/>
          <w:bCs/>
          <w:snapToGrid w:val="0"/>
        </w:rPr>
        <w:t xml:space="preserve"> </w:t>
      </w:r>
      <w:r w:rsidR="00827224" w:rsidRPr="00EA7B3F">
        <w:rPr>
          <w:rFonts w:asciiTheme="minorHAnsi" w:hAnsiTheme="minorHAnsi"/>
          <w:bCs/>
          <w:snapToGrid w:val="0"/>
        </w:rPr>
        <w:t xml:space="preserve">confident that </w:t>
      </w:r>
      <w:r w:rsidRPr="00EA7B3F">
        <w:rPr>
          <w:rFonts w:asciiTheme="minorHAnsi" w:hAnsiTheme="minorHAnsi"/>
          <w:bCs/>
          <w:snapToGrid w:val="0"/>
        </w:rPr>
        <w:t>that the revised two</w:t>
      </w:r>
      <w:r w:rsidR="008D15B3">
        <w:rPr>
          <w:rFonts w:asciiTheme="minorHAnsi" w:hAnsiTheme="minorHAnsi"/>
          <w:bCs/>
          <w:snapToGrid w:val="0"/>
        </w:rPr>
        <w:t>-</w:t>
      </w:r>
      <w:r w:rsidRPr="00EA7B3F">
        <w:rPr>
          <w:rFonts w:asciiTheme="minorHAnsi" w:hAnsiTheme="minorHAnsi"/>
          <w:bCs/>
          <w:snapToGrid w:val="0"/>
        </w:rPr>
        <w:t>tier RSA</w:t>
      </w:r>
      <w:r w:rsidR="00131469" w:rsidRPr="00EA7B3F">
        <w:rPr>
          <w:rFonts w:asciiTheme="minorHAnsi" w:hAnsiTheme="minorHAnsi"/>
          <w:bCs/>
          <w:snapToGrid w:val="0"/>
        </w:rPr>
        <w:t xml:space="preserve">, which </w:t>
      </w:r>
      <w:r w:rsidR="0024267E" w:rsidRPr="00EA7B3F">
        <w:rPr>
          <w:rFonts w:asciiTheme="minorHAnsi" w:hAnsiTheme="minorHAnsi"/>
          <w:bCs/>
          <w:snapToGrid w:val="0"/>
        </w:rPr>
        <w:t xml:space="preserve">included an </w:t>
      </w:r>
      <w:r w:rsidR="00131469" w:rsidRPr="00EA7B3F">
        <w:rPr>
          <w:rFonts w:asciiTheme="minorHAnsi" w:hAnsiTheme="minorHAnsi"/>
          <w:bCs/>
          <w:snapToGrid w:val="0"/>
        </w:rPr>
        <w:t>assum</w:t>
      </w:r>
      <w:r w:rsidR="0024267E" w:rsidRPr="00EA7B3F">
        <w:rPr>
          <w:rFonts w:asciiTheme="minorHAnsi" w:hAnsiTheme="minorHAnsi"/>
          <w:bCs/>
          <w:snapToGrid w:val="0"/>
        </w:rPr>
        <w:t>ption</w:t>
      </w:r>
      <w:r w:rsidR="00131469" w:rsidRPr="00EA7B3F">
        <w:rPr>
          <w:rFonts w:asciiTheme="minorHAnsi" w:hAnsiTheme="minorHAnsi"/>
          <w:bCs/>
          <w:snapToGrid w:val="0"/>
        </w:rPr>
        <w:t xml:space="preserve"> that all patients received 13 doses per year (i.e. Q4W dosing)</w:t>
      </w:r>
      <w:r w:rsidR="0024267E" w:rsidRPr="00EA7B3F">
        <w:rPr>
          <w:rFonts w:asciiTheme="minorHAnsi" w:hAnsiTheme="minorHAnsi"/>
          <w:bCs/>
          <w:snapToGrid w:val="0"/>
        </w:rPr>
        <w:t>,</w:t>
      </w:r>
      <w:r w:rsidR="00131469" w:rsidRPr="00EA7B3F">
        <w:rPr>
          <w:rFonts w:asciiTheme="minorHAnsi" w:hAnsiTheme="minorHAnsi"/>
          <w:bCs/>
          <w:snapToGrid w:val="0"/>
        </w:rPr>
        <w:t xml:space="preserve"> </w:t>
      </w:r>
      <w:r w:rsidR="00F34EFD" w:rsidRPr="00EA7B3F">
        <w:rPr>
          <w:rFonts w:asciiTheme="minorHAnsi" w:hAnsiTheme="minorHAnsi"/>
          <w:bCs/>
          <w:snapToGrid w:val="0"/>
        </w:rPr>
        <w:t xml:space="preserve">adequately </w:t>
      </w:r>
      <w:r w:rsidR="00131469" w:rsidRPr="00EA7B3F">
        <w:rPr>
          <w:rFonts w:asciiTheme="minorHAnsi" w:hAnsiTheme="minorHAnsi"/>
          <w:bCs/>
          <w:snapToGrid w:val="0"/>
        </w:rPr>
        <w:t>mitigated the risk</w:t>
      </w:r>
      <w:r w:rsidR="00827224" w:rsidRPr="00EA7B3F">
        <w:rPr>
          <w:rFonts w:asciiTheme="minorHAnsi" w:hAnsiTheme="minorHAnsi"/>
          <w:bCs/>
          <w:snapToGrid w:val="0"/>
        </w:rPr>
        <w:t xml:space="preserve"> of expenditure exceeding the estimated financial impact</w:t>
      </w:r>
      <w:r w:rsidR="00131469" w:rsidRPr="00EA7B3F">
        <w:rPr>
          <w:rFonts w:asciiTheme="minorHAnsi" w:hAnsiTheme="minorHAnsi"/>
          <w:bCs/>
          <w:snapToGrid w:val="0"/>
        </w:rPr>
        <w:t>.</w:t>
      </w:r>
    </w:p>
    <w:p w14:paraId="53D6ED1E" w14:textId="77777777" w:rsidR="00131469" w:rsidRPr="00EA7B3F" w:rsidRDefault="00131469"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 PBAC noted that the resubmission proposed a grandfather restriction and advised that this should only be in effect for 12 months.</w:t>
      </w:r>
    </w:p>
    <w:p w14:paraId="77538870" w14:textId="77777777" w:rsidR="00131469" w:rsidRPr="00EA7B3F" w:rsidRDefault="00131469" w:rsidP="0048201F">
      <w:pPr>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advised that lanadelumab </w:t>
      </w:r>
      <w:r w:rsidR="00EE242F" w:rsidRPr="00EA7B3F">
        <w:rPr>
          <w:rFonts w:asciiTheme="minorHAnsi" w:hAnsiTheme="minorHAnsi"/>
          <w:bCs/>
          <w:snapToGrid w:val="0"/>
        </w:rPr>
        <w:t>is not suitable for prescribing by nurse practitioners.</w:t>
      </w:r>
    </w:p>
    <w:p w14:paraId="5AA62A25" w14:textId="77777777" w:rsidR="00EE242F" w:rsidRPr="00EA7B3F" w:rsidRDefault="00EE242F" w:rsidP="005E0EF0">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The PBAC advised that lanadelumab should not be exempt from the Early Supply Rule.</w:t>
      </w:r>
    </w:p>
    <w:p w14:paraId="33ABB837" w14:textId="77777777" w:rsidR="00EE242F" w:rsidRPr="00EA7B3F" w:rsidRDefault="00EE242F" w:rsidP="00EE242F">
      <w:pPr>
        <w:widowControl w:val="0"/>
        <w:numPr>
          <w:ilvl w:val="1"/>
          <w:numId w:val="1"/>
        </w:numPr>
        <w:spacing w:after="120"/>
        <w:rPr>
          <w:rFonts w:asciiTheme="minorHAnsi" w:hAnsiTheme="minorHAnsi"/>
          <w:bCs/>
          <w:snapToGrid w:val="0"/>
        </w:rPr>
      </w:pPr>
      <w:r w:rsidRPr="00EA7B3F">
        <w:rPr>
          <w:rFonts w:asciiTheme="minorHAnsi" w:hAnsiTheme="minorHAnsi"/>
          <w:bCs/>
          <w:snapToGrid w:val="0"/>
        </w:rPr>
        <w:t xml:space="preserve">The PBAC advised, that under Section </w:t>
      </w:r>
      <w:r w:rsidRPr="00EA7B3F">
        <w:rPr>
          <w:snapToGrid w:val="0"/>
        </w:rPr>
        <w:t xml:space="preserve">101(3BA) of the </w:t>
      </w:r>
      <w:r w:rsidRPr="00EA7B3F">
        <w:rPr>
          <w:i/>
          <w:snapToGrid w:val="0"/>
        </w:rPr>
        <w:t>National Health Act 1953</w:t>
      </w:r>
      <w:r w:rsidRPr="00EA7B3F">
        <w:rPr>
          <w:snapToGrid w:val="0"/>
        </w:rPr>
        <w:t>, lanadelumab should not be treated as interchangeable on an individual patient basis with any other drug.</w:t>
      </w:r>
    </w:p>
    <w:p w14:paraId="5DC6E999" w14:textId="77777777" w:rsidR="00EE242F" w:rsidRPr="00EA7B3F" w:rsidRDefault="00EE242F" w:rsidP="00EE242F">
      <w:pPr>
        <w:widowControl w:val="0"/>
        <w:numPr>
          <w:ilvl w:val="1"/>
          <w:numId w:val="1"/>
        </w:numPr>
        <w:spacing w:after="120"/>
        <w:rPr>
          <w:rFonts w:asciiTheme="minorHAnsi" w:hAnsiTheme="minorHAnsi"/>
          <w:bCs/>
          <w:snapToGrid w:val="0"/>
        </w:rPr>
      </w:pPr>
      <w:r w:rsidRPr="00EA7B3F">
        <w:rPr>
          <w:snapToGrid w:val="0"/>
        </w:rPr>
        <w:t>The PBAC found that the criteria prescribed by the National Health (Pharmaceuticals and Vaccines – Cost Recovery) Regulations 2009 for Pricing Pathway A were met. Specifically, the PBAC found that in the circumstances of its recommendation for lanadelumab:</w:t>
      </w:r>
    </w:p>
    <w:p w14:paraId="32FC87B2" w14:textId="77777777" w:rsidR="00EE242F" w:rsidRPr="00EA7B3F" w:rsidRDefault="00EE242F" w:rsidP="00EE242F">
      <w:pPr>
        <w:pStyle w:val="3-BodyText"/>
        <w:numPr>
          <w:ilvl w:val="1"/>
          <w:numId w:val="37"/>
        </w:numPr>
        <w:ind w:left="1077" w:hanging="357"/>
      </w:pPr>
      <w:r w:rsidRPr="00EA7B3F">
        <w:t>The treatment is expected to provide a substantial and clinically relevant improvement in efficacy over standard of care;</w:t>
      </w:r>
    </w:p>
    <w:p w14:paraId="1CEE8DD6" w14:textId="77777777" w:rsidR="00EE242F" w:rsidRPr="00EA7B3F" w:rsidRDefault="00EE242F" w:rsidP="00EE242F">
      <w:pPr>
        <w:pStyle w:val="3-BodyText"/>
        <w:numPr>
          <w:ilvl w:val="1"/>
          <w:numId w:val="37"/>
        </w:numPr>
        <w:ind w:left="1077" w:hanging="357"/>
      </w:pPr>
      <w:r w:rsidRPr="00EA7B3F">
        <w:t>The treatment is expected to address a high and urgent unmet clinical need;</w:t>
      </w:r>
    </w:p>
    <w:p w14:paraId="06C3F9E0" w14:textId="77777777" w:rsidR="00EE242F" w:rsidRPr="00EA7B3F" w:rsidRDefault="00EE242F" w:rsidP="00EE242F">
      <w:pPr>
        <w:pStyle w:val="3-BodyText"/>
        <w:numPr>
          <w:ilvl w:val="1"/>
          <w:numId w:val="37"/>
        </w:numPr>
        <w:ind w:left="1077" w:hanging="357"/>
      </w:pPr>
      <w:r w:rsidRPr="00EA7B3F">
        <w:t>It was not necessary to make a finding in relation to whether it would be in the public interest for the subsequent pricing application to be progressed under Pricing Pathway A because one or more of the preceding tests had been met.</w:t>
      </w:r>
    </w:p>
    <w:p w14:paraId="2755C385" w14:textId="77777777" w:rsidR="005E0EF0" w:rsidRPr="0048201F" w:rsidRDefault="00EE242F" w:rsidP="0048201F">
      <w:pPr>
        <w:widowControl w:val="0"/>
        <w:numPr>
          <w:ilvl w:val="1"/>
          <w:numId w:val="1"/>
        </w:numPr>
        <w:spacing w:after="120"/>
        <w:rPr>
          <w:rFonts w:asciiTheme="minorHAnsi" w:hAnsiTheme="minorHAnsi"/>
          <w:bCs/>
          <w:snapToGrid w:val="0"/>
        </w:rPr>
      </w:pPr>
      <w:r w:rsidRPr="00EA7B3F">
        <w:rPr>
          <w:bCs/>
          <w:snapToGrid w:val="0"/>
        </w:rPr>
        <w:t>The PBAC noted that this submission was not eligible for an Independent Review as it received a positive recommendation.</w:t>
      </w:r>
    </w:p>
    <w:p w14:paraId="203A8130" w14:textId="77777777" w:rsidR="005E0EF0" w:rsidRPr="00EA7B3F" w:rsidRDefault="005E0EF0" w:rsidP="0082228E">
      <w:pPr>
        <w:keepNext/>
        <w:keepLines/>
        <w:spacing w:before="240"/>
        <w:rPr>
          <w:rFonts w:asciiTheme="minorHAnsi" w:hAnsiTheme="minorHAnsi"/>
          <w:b/>
          <w:bCs/>
          <w:snapToGrid w:val="0"/>
        </w:rPr>
      </w:pPr>
      <w:r w:rsidRPr="00EA7B3F">
        <w:rPr>
          <w:rFonts w:asciiTheme="minorHAnsi" w:hAnsiTheme="minorHAnsi"/>
          <w:b/>
          <w:bCs/>
          <w:snapToGrid w:val="0"/>
        </w:rPr>
        <w:t>Outcome:</w:t>
      </w:r>
    </w:p>
    <w:p w14:paraId="7F7AC6EE" w14:textId="77777777" w:rsidR="005E0EF0" w:rsidRPr="00EA7B3F" w:rsidRDefault="0048201F" w:rsidP="0082228E">
      <w:pPr>
        <w:keepNext/>
        <w:keepLines/>
        <w:rPr>
          <w:rFonts w:asciiTheme="minorHAnsi" w:hAnsiTheme="minorHAnsi"/>
          <w:bCs/>
          <w:snapToGrid w:val="0"/>
        </w:rPr>
      </w:pPr>
      <w:r>
        <w:rPr>
          <w:rFonts w:asciiTheme="minorHAnsi" w:hAnsiTheme="minorHAnsi"/>
          <w:bCs/>
          <w:snapToGrid w:val="0"/>
        </w:rPr>
        <w:t>Recommended</w:t>
      </w:r>
    </w:p>
    <w:p w14:paraId="242E9704" w14:textId="77777777" w:rsidR="005E0EF0" w:rsidRPr="00EA7B3F" w:rsidRDefault="005E0EF0" w:rsidP="004E020D">
      <w:pPr>
        <w:pStyle w:val="2-SectionHeading"/>
        <w:numPr>
          <w:ilvl w:val="0"/>
          <w:numId w:val="1"/>
        </w:numPr>
        <w:ind w:left="709"/>
      </w:pPr>
      <w:r w:rsidRPr="00EA7B3F">
        <w:t>Recommended listing</w:t>
      </w:r>
    </w:p>
    <w:p w14:paraId="2A64465A" w14:textId="77777777" w:rsidR="005E0EF0" w:rsidRPr="00EA7B3F" w:rsidRDefault="005E0EF0" w:rsidP="00CB44D1">
      <w:pPr>
        <w:widowControl w:val="0"/>
        <w:numPr>
          <w:ilvl w:val="1"/>
          <w:numId w:val="1"/>
        </w:numPr>
        <w:spacing w:after="120"/>
        <w:contextualSpacing/>
        <w:rPr>
          <w:rFonts w:asciiTheme="minorHAnsi" w:hAnsiTheme="minorHAnsi"/>
          <w:bCs/>
          <w:snapToGrid w:val="0"/>
        </w:rPr>
      </w:pPr>
      <w:r w:rsidRPr="00EA7B3F">
        <w:rPr>
          <w:rFonts w:asciiTheme="minorHAnsi" w:hAnsiTheme="minorHAnsi"/>
          <w:bCs/>
          <w:snapToGrid w:val="0"/>
        </w:rPr>
        <w:t>Add new item:</w:t>
      </w:r>
    </w:p>
    <w:p w14:paraId="63EBB2A0" w14:textId="77777777" w:rsidR="00DC6F5D" w:rsidRPr="00EA7B3F" w:rsidRDefault="00DC6F5D" w:rsidP="00DC6F5D">
      <w:pPr>
        <w:widowControl w:val="0"/>
        <w:contextualSpacing/>
        <w:rPr>
          <w:rFonts w:asciiTheme="minorHAnsi" w:hAnsiTheme="minorHAnsi"/>
          <w:bCs/>
          <w:snapToGrid w:val="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134"/>
        <w:gridCol w:w="992"/>
        <w:gridCol w:w="993"/>
        <w:gridCol w:w="850"/>
        <w:gridCol w:w="1985"/>
      </w:tblGrid>
      <w:tr w:rsidR="00DC6F5D" w:rsidRPr="00EA7B3F" w14:paraId="545DBDF2" w14:textId="77777777" w:rsidTr="00DC6F5D">
        <w:trPr>
          <w:cantSplit/>
          <w:trHeight w:val="471"/>
        </w:trPr>
        <w:tc>
          <w:tcPr>
            <w:tcW w:w="2972" w:type="dxa"/>
          </w:tcPr>
          <w:p w14:paraId="64308C59" w14:textId="77777777" w:rsidR="00DC6F5D" w:rsidRPr="00EA7B3F" w:rsidRDefault="00DC6F5D" w:rsidP="00DC6F5D">
            <w:pPr>
              <w:keepNext/>
              <w:ind w:left="-108"/>
              <w:rPr>
                <w:rFonts w:ascii="Arial Narrow" w:eastAsia="Calibri" w:hAnsi="Arial Narrow"/>
                <w:b/>
                <w:sz w:val="20"/>
                <w:szCs w:val="20"/>
              </w:rPr>
            </w:pPr>
            <w:r w:rsidRPr="00EA7B3F">
              <w:rPr>
                <w:rFonts w:ascii="Arial Narrow" w:eastAsia="Calibri" w:hAnsi="Arial Narrow"/>
                <w:b/>
                <w:sz w:val="20"/>
                <w:szCs w:val="20"/>
              </w:rPr>
              <w:t>Name, Restriction,</w:t>
            </w:r>
          </w:p>
          <w:p w14:paraId="35852593" w14:textId="77777777" w:rsidR="00DC6F5D" w:rsidRPr="00EA7B3F" w:rsidRDefault="00DC6F5D" w:rsidP="00DC6F5D">
            <w:pPr>
              <w:keepNext/>
              <w:ind w:left="-108"/>
              <w:rPr>
                <w:rFonts w:ascii="Arial Narrow" w:eastAsia="Calibri" w:hAnsi="Arial Narrow"/>
                <w:b/>
                <w:sz w:val="20"/>
                <w:szCs w:val="20"/>
              </w:rPr>
            </w:pPr>
            <w:r w:rsidRPr="00EA7B3F">
              <w:rPr>
                <w:rFonts w:ascii="Arial Narrow" w:eastAsia="Calibri" w:hAnsi="Arial Narrow"/>
                <w:b/>
                <w:sz w:val="20"/>
                <w:szCs w:val="20"/>
              </w:rPr>
              <w:t>Manner of administration and form</w:t>
            </w:r>
          </w:p>
        </w:tc>
        <w:tc>
          <w:tcPr>
            <w:tcW w:w="1134" w:type="dxa"/>
          </w:tcPr>
          <w:p w14:paraId="4FFF39D0"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PBS item code</w:t>
            </w:r>
          </w:p>
        </w:tc>
        <w:tc>
          <w:tcPr>
            <w:tcW w:w="992" w:type="dxa"/>
          </w:tcPr>
          <w:p w14:paraId="0D59D05C"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Max. qty packs</w:t>
            </w:r>
          </w:p>
        </w:tc>
        <w:tc>
          <w:tcPr>
            <w:tcW w:w="993" w:type="dxa"/>
          </w:tcPr>
          <w:p w14:paraId="499B0D32"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Max. qty units</w:t>
            </w:r>
          </w:p>
        </w:tc>
        <w:tc>
          <w:tcPr>
            <w:tcW w:w="850" w:type="dxa"/>
          </w:tcPr>
          <w:p w14:paraId="5C5624B5"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№.of</w:t>
            </w:r>
          </w:p>
          <w:p w14:paraId="6FCB2305"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Rpts</w:t>
            </w:r>
          </w:p>
        </w:tc>
        <w:tc>
          <w:tcPr>
            <w:tcW w:w="1985" w:type="dxa"/>
          </w:tcPr>
          <w:p w14:paraId="5F0B6CE7" w14:textId="77777777" w:rsidR="00DC6F5D" w:rsidRPr="00EA7B3F" w:rsidRDefault="00DC6F5D" w:rsidP="00DC6F5D">
            <w:pPr>
              <w:keepNext/>
              <w:rPr>
                <w:rFonts w:ascii="Arial Narrow" w:eastAsia="Calibri" w:hAnsi="Arial Narrow"/>
                <w:b/>
                <w:sz w:val="20"/>
                <w:szCs w:val="20"/>
              </w:rPr>
            </w:pPr>
            <w:r w:rsidRPr="00EA7B3F">
              <w:rPr>
                <w:rFonts w:ascii="Arial Narrow" w:eastAsia="Calibri" w:hAnsi="Arial Narrow"/>
                <w:b/>
                <w:sz w:val="20"/>
                <w:szCs w:val="20"/>
              </w:rPr>
              <w:t xml:space="preserve">Proprietary Name </w:t>
            </w:r>
          </w:p>
        </w:tc>
      </w:tr>
      <w:tr w:rsidR="00DC6F5D" w:rsidRPr="00EA7B3F" w14:paraId="3E432B53" w14:textId="77777777" w:rsidTr="00DC6F5D">
        <w:trPr>
          <w:cantSplit/>
          <w:trHeight w:val="94"/>
        </w:trPr>
        <w:tc>
          <w:tcPr>
            <w:tcW w:w="8926" w:type="dxa"/>
            <w:gridSpan w:val="6"/>
          </w:tcPr>
          <w:p w14:paraId="2B4CD990" w14:textId="77777777" w:rsidR="00DC6F5D" w:rsidRPr="00EA7B3F" w:rsidRDefault="00DC6F5D" w:rsidP="00DC6F5D">
            <w:pPr>
              <w:keepNext/>
              <w:rPr>
                <w:rFonts w:ascii="Arial Narrow" w:eastAsia="Calibri" w:hAnsi="Arial Narrow"/>
                <w:sz w:val="20"/>
                <w:szCs w:val="20"/>
              </w:rPr>
            </w:pPr>
            <w:r w:rsidRPr="00EA7B3F">
              <w:rPr>
                <w:rFonts w:ascii="Arial Narrow" w:eastAsia="Calibri" w:hAnsi="Arial Narrow"/>
                <w:sz w:val="20"/>
                <w:szCs w:val="20"/>
              </w:rPr>
              <w:t xml:space="preserve">LANADELUMAB </w:t>
            </w:r>
          </w:p>
        </w:tc>
      </w:tr>
      <w:tr w:rsidR="00DC6F5D" w:rsidRPr="00EA7B3F" w14:paraId="4C34EB0F" w14:textId="77777777" w:rsidTr="00DC6F5D">
        <w:trPr>
          <w:cantSplit/>
          <w:trHeight w:val="347"/>
        </w:trPr>
        <w:tc>
          <w:tcPr>
            <w:tcW w:w="2972" w:type="dxa"/>
            <w:tcMar>
              <w:left w:w="170" w:type="dxa"/>
              <w:right w:w="170" w:type="dxa"/>
            </w:tcMar>
          </w:tcPr>
          <w:p w14:paraId="31E1E9F7" w14:textId="77777777" w:rsidR="00DC6F5D" w:rsidRPr="00EA7B3F" w:rsidRDefault="00DC6F5D" w:rsidP="00DC6F5D">
            <w:pPr>
              <w:keepNext/>
              <w:ind w:left="-108"/>
              <w:rPr>
                <w:rFonts w:ascii="Arial Narrow" w:eastAsia="Calibri" w:hAnsi="Arial Narrow"/>
                <w:i/>
                <w:sz w:val="20"/>
                <w:szCs w:val="20"/>
              </w:rPr>
            </w:pPr>
            <w:r w:rsidRPr="00EA7B3F">
              <w:rPr>
                <w:rFonts w:ascii="Arial Narrow" w:eastAsia="Calibri" w:hAnsi="Arial Narrow"/>
                <w:sz w:val="20"/>
                <w:szCs w:val="20"/>
              </w:rPr>
              <w:t xml:space="preserve">lanadelumab 300 mg/2 mL </w:t>
            </w:r>
            <w:r w:rsidRPr="00EA7B3F">
              <w:rPr>
                <w:rFonts w:ascii="Arial Narrow" w:eastAsia="Calibri" w:hAnsi="Arial Narrow"/>
                <w:iCs/>
                <w:sz w:val="20"/>
                <w:szCs w:val="20"/>
              </w:rPr>
              <w:t>injection</w:t>
            </w:r>
            <w:r w:rsidRPr="00EA7B3F">
              <w:rPr>
                <w:rFonts w:ascii="Arial Narrow" w:eastAsia="Calibri" w:hAnsi="Arial Narrow"/>
                <w:sz w:val="20"/>
                <w:szCs w:val="20"/>
              </w:rPr>
              <w:t xml:space="preserve">, </w:t>
            </w:r>
            <w:r w:rsidRPr="00EA7B3F">
              <w:rPr>
                <w:rFonts w:ascii="Arial Narrow" w:eastAsia="Calibri" w:hAnsi="Arial Narrow"/>
                <w:sz w:val="20"/>
                <w:szCs w:val="20"/>
              </w:rPr>
              <w:br/>
            </w:r>
            <w:r w:rsidRPr="00801CBF">
              <w:rPr>
                <w:rFonts w:ascii="Arial Narrow" w:eastAsia="Calibri" w:hAnsi="Arial Narrow"/>
                <w:sz w:val="20"/>
                <w:szCs w:val="20"/>
              </w:rPr>
              <w:t>1 x 2 mL syringe</w:t>
            </w:r>
          </w:p>
        </w:tc>
        <w:tc>
          <w:tcPr>
            <w:tcW w:w="1134" w:type="dxa"/>
          </w:tcPr>
          <w:p w14:paraId="42D98844" w14:textId="77777777" w:rsidR="00DC6F5D" w:rsidRPr="00EA7B3F" w:rsidRDefault="00DC6F5D" w:rsidP="00DC6F5D">
            <w:pPr>
              <w:keepNext/>
              <w:jc w:val="center"/>
              <w:rPr>
                <w:rFonts w:ascii="Arial Narrow" w:eastAsia="Calibri" w:hAnsi="Arial Narrow"/>
                <w:sz w:val="20"/>
                <w:szCs w:val="20"/>
              </w:rPr>
            </w:pPr>
            <w:r w:rsidRPr="00EA7B3F">
              <w:rPr>
                <w:rFonts w:ascii="Arial Narrow" w:eastAsia="Calibri" w:hAnsi="Arial Narrow"/>
                <w:sz w:val="20"/>
                <w:szCs w:val="20"/>
              </w:rPr>
              <w:t>NEW</w:t>
            </w:r>
          </w:p>
        </w:tc>
        <w:tc>
          <w:tcPr>
            <w:tcW w:w="992" w:type="dxa"/>
          </w:tcPr>
          <w:p w14:paraId="2E4D62E2" w14:textId="77777777" w:rsidR="00DC6F5D" w:rsidRPr="00EA7B3F" w:rsidRDefault="00DC6F5D" w:rsidP="00DC6F5D">
            <w:pPr>
              <w:keepNext/>
              <w:jc w:val="center"/>
              <w:rPr>
                <w:rFonts w:ascii="Arial Narrow" w:eastAsia="Calibri" w:hAnsi="Arial Narrow"/>
                <w:sz w:val="20"/>
                <w:szCs w:val="20"/>
              </w:rPr>
            </w:pPr>
            <w:r w:rsidRPr="00EA7B3F">
              <w:rPr>
                <w:rFonts w:ascii="Arial Narrow" w:eastAsia="Calibri" w:hAnsi="Arial Narrow"/>
                <w:sz w:val="20"/>
                <w:szCs w:val="20"/>
              </w:rPr>
              <w:t>1</w:t>
            </w:r>
          </w:p>
        </w:tc>
        <w:tc>
          <w:tcPr>
            <w:tcW w:w="993" w:type="dxa"/>
          </w:tcPr>
          <w:p w14:paraId="69D74B32" w14:textId="77777777" w:rsidR="00DC6F5D" w:rsidRPr="00EA7B3F" w:rsidRDefault="00801CBF" w:rsidP="00DC6F5D">
            <w:pPr>
              <w:keepNext/>
              <w:jc w:val="center"/>
              <w:rPr>
                <w:rFonts w:ascii="Arial Narrow" w:eastAsia="Calibri" w:hAnsi="Arial Narrow"/>
                <w:sz w:val="20"/>
                <w:szCs w:val="20"/>
              </w:rPr>
            </w:pPr>
            <w:r>
              <w:rPr>
                <w:rFonts w:ascii="Arial Narrow" w:eastAsia="Calibri" w:hAnsi="Arial Narrow"/>
                <w:sz w:val="20"/>
                <w:szCs w:val="20"/>
              </w:rPr>
              <w:t>1</w:t>
            </w:r>
          </w:p>
        </w:tc>
        <w:tc>
          <w:tcPr>
            <w:tcW w:w="850" w:type="dxa"/>
          </w:tcPr>
          <w:p w14:paraId="036CA7DE" w14:textId="77777777" w:rsidR="00DC6F5D" w:rsidRPr="00EA7B3F" w:rsidRDefault="00DC6F5D" w:rsidP="00DC6F5D">
            <w:pPr>
              <w:keepNext/>
              <w:jc w:val="center"/>
              <w:rPr>
                <w:rFonts w:ascii="Arial Narrow" w:eastAsia="Calibri" w:hAnsi="Arial Narrow"/>
                <w:sz w:val="20"/>
                <w:szCs w:val="20"/>
              </w:rPr>
            </w:pPr>
            <w:r w:rsidRPr="00EA7B3F">
              <w:rPr>
                <w:rFonts w:ascii="Arial Narrow" w:eastAsia="Calibri" w:hAnsi="Arial Narrow"/>
                <w:sz w:val="20"/>
                <w:szCs w:val="20"/>
              </w:rPr>
              <w:t>5</w:t>
            </w:r>
          </w:p>
        </w:tc>
        <w:tc>
          <w:tcPr>
            <w:tcW w:w="1985" w:type="dxa"/>
          </w:tcPr>
          <w:p w14:paraId="7A7095EF" w14:textId="77777777" w:rsidR="00DC6F5D" w:rsidRPr="00EA7B3F" w:rsidRDefault="00DC6F5D" w:rsidP="00DC6F5D">
            <w:pPr>
              <w:keepNext/>
              <w:rPr>
                <w:rFonts w:ascii="Arial Narrow" w:eastAsia="Calibri" w:hAnsi="Arial Narrow"/>
                <w:sz w:val="20"/>
                <w:szCs w:val="20"/>
              </w:rPr>
            </w:pPr>
            <w:r w:rsidRPr="00EA7B3F">
              <w:rPr>
                <w:rFonts w:ascii="Arial Narrow" w:eastAsia="Calibri" w:hAnsi="Arial Narrow"/>
                <w:sz w:val="20"/>
                <w:szCs w:val="20"/>
              </w:rPr>
              <w:t xml:space="preserve">Takhzyro </w:t>
            </w:r>
          </w:p>
        </w:tc>
      </w:tr>
    </w:tbl>
    <w:p w14:paraId="252A7465" w14:textId="77777777" w:rsidR="00DC6F5D" w:rsidRPr="00EA7B3F" w:rsidRDefault="00DC6F5D" w:rsidP="00DC6F5D">
      <w:pPr>
        <w:rPr>
          <w:rFonts w:eastAsia="Calibri" w:cs="Calibri"/>
          <w:u w:val="single"/>
        </w:rPr>
      </w:pPr>
    </w:p>
    <w:p w14:paraId="68C00747" w14:textId="77777777" w:rsidR="00DC6F5D" w:rsidRPr="00EA7B3F" w:rsidRDefault="00DC6F5D" w:rsidP="00DC6F5D">
      <w:pPr>
        <w:spacing w:after="120"/>
        <w:rPr>
          <w:rFonts w:eastAsia="Calibri" w:cs="Calibri"/>
          <w:u w:val="single"/>
        </w:rPr>
      </w:pPr>
      <w:r w:rsidRPr="00EA7B3F">
        <w:rPr>
          <w:rFonts w:eastAsia="Calibri" w:cs="Calibri"/>
          <w:u w:val="single"/>
        </w:rPr>
        <w:t>Initial 1:</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44EFDF71" w14:textId="77777777" w:rsidTr="00DC6F5D">
        <w:trPr>
          <w:trHeight w:val="108"/>
        </w:trPr>
        <w:tc>
          <w:tcPr>
            <w:tcW w:w="553" w:type="pct"/>
            <w:vMerge w:val="restart"/>
            <w:tcBorders>
              <w:top w:val="single" w:sz="4" w:space="0" w:color="auto"/>
              <w:left w:val="single" w:sz="4" w:space="0" w:color="auto"/>
              <w:right w:val="single" w:sz="4" w:space="0" w:color="auto"/>
            </w:tcBorders>
          </w:tcPr>
          <w:p w14:paraId="53FA89EC" w14:textId="05CC50F0" w:rsidR="00DC6F5D" w:rsidRPr="00EA7B3F" w:rsidRDefault="00DC6F5D" w:rsidP="00DC6F5D">
            <w:pPr>
              <w:jc w:val="cente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4D8A1261"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Category / Program:   </w:t>
            </w:r>
            <w:r w:rsidRPr="00EA7B3F">
              <w:rPr>
                <w:rFonts w:ascii="Arial Narrow" w:eastAsia="Calibri" w:hAnsi="Arial Narrow"/>
                <w:sz w:val="20"/>
                <w:szCs w:val="20"/>
              </w:rPr>
              <w:t xml:space="preserve">GENERAL – General Schedule (Code GE) </w:t>
            </w:r>
          </w:p>
        </w:tc>
      </w:tr>
      <w:tr w:rsidR="00DC6F5D" w:rsidRPr="00EA7B3F" w14:paraId="1F4F7817" w14:textId="77777777" w:rsidTr="00DC6F5D">
        <w:trPr>
          <w:trHeight w:val="154"/>
        </w:trPr>
        <w:tc>
          <w:tcPr>
            <w:tcW w:w="553" w:type="pct"/>
            <w:vMerge/>
            <w:tcBorders>
              <w:left w:val="single" w:sz="4" w:space="0" w:color="auto"/>
              <w:right w:val="single" w:sz="4" w:space="0" w:color="auto"/>
            </w:tcBorders>
          </w:tcPr>
          <w:p w14:paraId="415BC17A"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81A2D79"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Prescriber type:  </w:t>
            </w:r>
            <w:r w:rsidRPr="00EA7B3F">
              <w:rPr>
                <w:rFonts w:ascii="Arial Narrow" w:eastAsia="Calibri" w:hAnsi="Arial Narrow"/>
                <w:sz w:val="20"/>
                <w:szCs w:val="20"/>
              </w:rPr>
              <w:fldChar w:fldCharType="begin">
                <w:ffData>
                  <w:name w:val=""/>
                  <w:enabled/>
                  <w:calcOnExit w:val="0"/>
                  <w:checkBox>
                    <w:sizeAuto/>
                    <w:default w:val="1"/>
                  </w:checkBox>
                </w:ffData>
              </w:fldChar>
            </w:r>
            <w:r w:rsidRPr="00EA7B3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EA7B3F">
              <w:rPr>
                <w:rFonts w:ascii="Arial Narrow" w:eastAsia="Calibri" w:hAnsi="Arial Narrow"/>
                <w:sz w:val="20"/>
                <w:szCs w:val="20"/>
              </w:rPr>
              <w:fldChar w:fldCharType="end"/>
            </w:r>
            <w:r w:rsidRPr="00EA7B3F">
              <w:rPr>
                <w:rFonts w:ascii="Arial Narrow" w:eastAsia="Calibri" w:hAnsi="Arial Narrow"/>
                <w:sz w:val="20"/>
                <w:szCs w:val="20"/>
              </w:rPr>
              <w:t xml:space="preserve">Medical Practitioners  </w:t>
            </w:r>
          </w:p>
        </w:tc>
      </w:tr>
      <w:tr w:rsidR="00DC6F5D" w:rsidRPr="00EA7B3F" w14:paraId="733B7C72" w14:textId="77777777" w:rsidTr="00DC6F5D">
        <w:tc>
          <w:tcPr>
            <w:tcW w:w="553" w:type="pct"/>
            <w:vMerge/>
            <w:tcBorders>
              <w:left w:val="single" w:sz="4" w:space="0" w:color="auto"/>
              <w:right w:val="single" w:sz="4" w:space="0" w:color="auto"/>
            </w:tcBorders>
          </w:tcPr>
          <w:p w14:paraId="46BECB05"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07F4F4B" w14:textId="77777777" w:rsidR="00DC6F5D" w:rsidRPr="009B4137" w:rsidRDefault="00DC6F5D" w:rsidP="00DC6F5D">
            <w:pPr>
              <w:rPr>
                <w:rFonts w:ascii="Arial Narrow" w:eastAsia="Calibri" w:hAnsi="Arial Narrow"/>
                <w:b/>
                <w:sz w:val="20"/>
                <w:szCs w:val="20"/>
              </w:rPr>
            </w:pPr>
            <w:r w:rsidRPr="009B4137">
              <w:rPr>
                <w:rFonts w:ascii="Arial Narrow" w:eastAsia="Calibri" w:hAnsi="Arial Narrow"/>
                <w:b/>
                <w:sz w:val="20"/>
                <w:szCs w:val="20"/>
              </w:rPr>
              <w:t>Restriction Level / Method:</w:t>
            </w:r>
          </w:p>
          <w:p w14:paraId="4F11A6DE" w14:textId="77777777" w:rsidR="00DC6F5D" w:rsidRPr="009B4137" w:rsidRDefault="00DC6F5D" w:rsidP="00DC6F5D">
            <w:pPr>
              <w:rPr>
                <w:rFonts w:ascii="Arial Narrow" w:eastAsia="Calibri" w:hAnsi="Arial Narrow"/>
                <w:sz w:val="20"/>
                <w:szCs w:val="20"/>
              </w:rPr>
            </w:pPr>
            <w:r w:rsidRPr="009B4137">
              <w:rPr>
                <w:rFonts w:ascii="Arial Narrow" w:eastAsia="Calibri" w:hAnsi="Arial Narrow"/>
                <w:sz w:val="20"/>
                <w:szCs w:val="20"/>
              </w:rPr>
              <w:fldChar w:fldCharType="begin">
                <w:ffData>
                  <w:name w:val=""/>
                  <w:enabled/>
                  <w:calcOnExit w:val="0"/>
                  <w:checkBox>
                    <w:sizeAuto/>
                    <w:default w:val="1"/>
                  </w:checkBox>
                </w:ffData>
              </w:fldChar>
            </w:r>
            <w:r w:rsidRPr="009B4137">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9B4137">
              <w:rPr>
                <w:rFonts w:ascii="Arial Narrow" w:eastAsia="Calibri" w:hAnsi="Arial Narrow"/>
                <w:sz w:val="20"/>
                <w:szCs w:val="20"/>
              </w:rPr>
              <w:fldChar w:fldCharType="end"/>
            </w:r>
            <w:r w:rsidRPr="009B4137">
              <w:rPr>
                <w:rFonts w:ascii="Arial Narrow" w:eastAsia="Calibri" w:hAnsi="Arial Narrow"/>
                <w:sz w:val="20"/>
                <w:szCs w:val="20"/>
              </w:rPr>
              <w:t xml:space="preserve">Authority Required </w:t>
            </w:r>
            <w:r w:rsidR="00CA48EA" w:rsidRPr="009B4137">
              <w:rPr>
                <w:rFonts w:ascii="Arial Narrow" w:eastAsia="Calibri" w:hAnsi="Arial Narrow"/>
                <w:sz w:val="20"/>
                <w:szCs w:val="20"/>
              </w:rPr>
              <w:t>(in writing)</w:t>
            </w:r>
            <w:r w:rsidRPr="009B4137">
              <w:rPr>
                <w:rFonts w:ascii="Arial Narrow" w:eastAsia="Calibri" w:hAnsi="Arial Narrow"/>
                <w:sz w:val="20"/>
                <w:szCs w:val="20"/>
              </w:rPr>
              <w:t xml:space="preserve">– </w:t>
            </w:r>
            <w:r w:rsidR="00CA48EA" w:rsidRPr="009B4137">
              <w:rPr>
                <w:rFonts w:ascii="Arial Narrow" w:eastAsia="Calibri" w:hAnsi="Arial Narrow"/>
                <w:sz w:val="20"/>
                <w:szCs w:val="20"/>
              </w:rPr>
              <w:t>Postal/HPOS Upload</w:t>
            </w:r>
          </w:p>
        </w:tc>
      </w:tr>
      <w:tr w:rsidR="00DC6F5D" w:rsidRPr="00EA7B3F" w14:paraId="08A09D1B" w14:textId="77777777" w:rsidTr="00DC6F5D">
        <w:tc>
          <w:tcPr>
            <w:tcW w:w="553" w:type="pct"/>
            <w:vMerge/>
            <w:tcBorders>
              <w:left w:val="single" w:sz="4" w:space="0" w:color="auto"/>
              <w:right w:val="single" w:sz="4" w:space="0" w:color="auto"/>
            </w:tcBorders>
            <w:vAlign w:val="center"/>
          </w:tcPr>
          <w:p w14:paraId="4C220D89" w14:textId="77777777" w:rsidR="00DC6F5D" w:rsidRPr="00EA7B3F" w:rsidRDefault="00DC6F5D" w:rsidP="00DC6F5D">
            <w:pPr>
              <w:jc w:val="center"/>
              <w:rPr>
                <w:rFonts w:ascii="Arial Narrow" w:hAnsi="Arial Narrow" w:cs="Times New Roman"/>
                <w:color w:val="333333"/>
                <w:sz w:val="20"/>
                <w:szCs w:val="20"/>
              </w:rPr>
            </w:pPr>
          </w:p>
        </w:tc>
        <w:tc>
          <w:tcPr>
            <w:tcW w:w="4447" w:type="pct"/>
            <w:tcBorders>
              <w:left w:val="single" w:sz="4" w:space="0" w:color="auto"/>
            </w:tcBorders>
            <w:vAlign w:val="center"/>
          </w:tcPr>
          <w:p w14:paraId="516E1ECE" w14:textId="77777777" w:rsidR="00DC6F5D" w:rsidRPr="009B4137" w:rsidRDefault="00DC6F5D" w:rsidP="00DC6F5D">
            <w:pPr>
              <w:rPr>
                <w:rFonts w:ascii="Arial Narrow" w:hAnsi="Arial Narrow" w:cs="Times New Roman"/>
                <w:bCs/>
                <w:i/>
                <w:color w:val="333333"/>
                <w:sz w:val="20"/>
                <w:szCs w:val="20"/>
              </w:rPr>
            </w:pPr>
            <w:r w:rsidRPr="009B4137">
              <w:rPr>
                <w:rFonts w:ascii="Arial Narrow" w:hAnsi="Arial Narrow" w:cs="Times New Roman"/>
                <w:b/>
                <w:bCs/>
                <w:color w:val="333333"/>
                <w:sz w:val="20"/>
                <w:szCs w:val="20"/>
              </w:rPr>
              <w:t xml:space="preserve">Episodicity: </w:t>
            </w:r>
            <w:r w:rsidRPr="009B4137">
              <w:rPr>
                <w:rFonts w:ascii="Arial Narrow" w:hAnsi="Arial Narrow" w:cs="Times New Roman"/>
                <w:bCs/>
                <w:color w:val="333333"/>
                <w:sz w:val="20"/>
                <w:szCs w:val="20"/>
              </w:rPr>
              <w:t>Chronic treatment of</w:t>
            </w:r>
          </w:p>
        </w:tc>
      </w:tr>
      <w:tr w:rsidR="00DC6F5D" w:rsidRPr="00EA7B3F" w14:paraId="1C9BE8B9" w14:textId="77777777" w:rsidTr="00DC6F5D">
        <w:tc>
          <w:tcPr>
            <w:tcW w:w="553" w:type="pct"/>
            <w:vMerge/>
            <w:tcBorders>
              <w:left w:val="single" w:sz="4" w:space="0" w:color="auto"/>
              <w:right w:val="single" w:sz="4" w:space="0" w:color="auto"/>
            </w:tcBorders>
            <w:vAlign w:val="center"/>
          </w:tcPr>
          <w:p w14:paraId="14B7C73D" w14:textId="77777777" w:rsidR="00DC6F5D" w:rsidRPr="00EA7B3F" w:rsidRDefault="00DC6F5D" w:rsidP="00DC6F5D">
            <w:pPr>
              <w:jc w:val="center"/>
              <w:rPr>
                <w:rFonts w:ascii="Arial Narrow" w:hAnsi="Arial Narrow" w:cs="Times New Roman"/>
                <w:color w:val="333333"/>
                <w:sz w:val="20"/>
                <w:szCs w:val="20"/>
              </w:rPr>
            </w:pPr>
          </w:p>
        </w:tc>
        <w:tc>
          <w:tcPr>
            <w:tcW w:w="4447" w:type="pct"/>
            <w:tcBorders>
              <w:left w:val="single" w:sz="4" w:space="0" w:color="auto"/>
            </w:tcBorders>
            <w:vAlign w:val="center"/>
          </w:tcPr>
          <w:p w14:paraId="69632C00" w14:textId="77777777" w:rsidR="00DC6F5D" w:rsidRPr="009B4137" w:rsidRDefault="00DC6F5D" w:rsidP="00DC6F5D">
            <w:pPr>
              <w:rPr>
                <w:rFonts w:ascii="Arial Narrow" w:hAnsi="Arial Narrow" w:cs="Times New Roman"/>
                <w:b/>
                <w:bCs/>
                <w:color w:val="333333"/>
                <w:sz w:val="20"/>
                <w:szCs w:val="20"/>
              </w:rPr>
            </w:pPr>
            <w:r w:rsidRPr="009B4137">
              <w:rPr>
                <w:rFonts w:ascii="Arial Narrow" w:hAnsi="Arial Narrow" w:cs="Times New Roman"/>
                <w:b/>
                <w:bCs/>
                <w:color w:val="333333"/>
                <w:sz w:val="20"/>
                <w:szCs w:val="20"/>
              </w:rPr>
              <w:t>Condition:</w:t>
            </w:r>
            <w:r w:rsidRPr="009B4137">
              <w:rPr>
                <w:rFonts w:ascii="Arial Narrow" w:hAnsi="Arial Narrow" w:cs="Times New Roman"/>
                <w:bCs/>
                <w:color w:val="333333"/>
                <w:sz w:val="20"/>
                <w:szCs w:val="20"/>
              </w:rPr>
              <w:t xml:space="preserve"> hereditary angioedema Types 1 or 2</w:t>
            </w:r>
          </w:p>
        </w:tc>
      </w:tr>
      <w:tr w:rsidR="00DC6F5D" w:rsidRPr="00EA7B3F" w14:paraId="379C53E6" w14:textId="77777777" w:rsidTr="00DC6F5D">
        <w:tc>
          <w:tcPr>
            <w:tcW w:w="553" w:type="pct"/>
            <w:vAlign w:val="center"/>
          </w:tcPr>
          <w:p w14:paraId="243BCA30" w14:textId="0A49B4BF"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24C86A22" w14:textId="77777777" w:rsidR="00DC6F5D" w:rsidRPr="009B4137" w:rsidRDefault="00DC6F5D" w:rsidP="00DC6F5D">
            <w:pPr>
              <w:rPr>
                <w:rFonts w:ascii="Arial Narrow" w:hAnsi="Arial Narrow" w:cs="Times New Roman"/>
                <w:iCs/>
                <w:color w:val="333333"/>
                <w:sz w:val="20"/>
                <w:szCs w:val="20"/>
              </w:rPr>
            </w:pPr>
            <w:r w:rsidRPr="009B4137">
              <w:rPr>
                <w:rFonts w:ascii="Arial Narrow" w:hAnsi="Arial Narrow" w:cs="Times New Roman"/>
                <w:b/>
                <w:bCs/>
                <w:iCs/>
                <w:color w:val="333333"/>
                <w:sz w:val="20"/>
                <w:szCs w:val="20"/>
              </w:rPr>
              <w:t xml:space="preserve">Indication: </w:t>
            </w:r>
            <w:r w:rsidRPr="009B4137">
              <w:rPr>
                <w:rFonts w:ascii="Arial Narrow" w:hAnsi="Arial Narrow" w:cs="Times New Roman"/>
                <w:bCs/>
                <w:iCs/>
                <w:color w:val="333333"/>
                <w:sz w:val="20"/>
                <w:szCs w:val="20"/>
              </w:rPr>
              <w:t>Chronic treatment of</w:t>
            </w:r>
            <w:r w:rsidRPr="009B4137">
              <w:rPr>
                <w:rFonts w:ascii="Arial Narrow" w:hAnsi="Arial Narrow" w:cs="Times New Roman"/>
                <w:b/>
                <w:bCs/>
                <w:iCs/>
                <w:color w:val="333333"/>
                <w:sz w:val="20"/>
                <w:szCs w:val="20"/>
              </w:rPr>
              <w:t xml:space="preserve"> </w:t>
            </w:r>
            <w:r w:rsidRPr="009B4137">
              <w:rPr>
                <w:rFonts w:ascii="Arial Narrow" w:hAnsi="Arial Narrow" w:cs="Times New Roman"/>
                <w:bCs/>
                <w:iCs/>
                <w:color w:val="333333"/>
                <w:sz w:val="20"/>
                <w:szCs w:val="20"/>
              </w:rPr>
              <w:t>hereditary angioedema Types 1 or 2</w:t>
            </w:r>
          </w:p>
        </w:tc>
      </w:tr>
      <w:tr w:rsidR="00DC6F5D" w:rsidRPr="00EA7B3F" w14:paraId="07A460AC" w14:textId="77777777" w:rsidTr="00DC6F5D">
        <w:tc>
          <w:tcPr>
            <w:tcW w:w="553" w:type="pct"/>
            <w:vAlign w:val="center"/>
          </w:tcPr>
          <w:p w14:paraId="034B6537"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7E76AD78" w14:textId="77777777" w:rsidR="00DC6F5D" w:rsidRPr="009B4137" w:rsidRDefault="00DC6F5D" w:rsidP="00DC6F5D">
            <w:pPr>
              <w:rPr>
                <w:rFonts w:ascii="Arial Narrow" w:hAnsi="Arial Narrow" w:cs="Times New Roman"/>
                <w:i/>
                <w:color w:val="333333"/>
                <w:sz w:val="20"/>
                <w:szCs w:val="20"/>
              </w:rPr>
            </w:pPr>
            <w:r w:rsidRPr="009B4137">
              <w:rPr>
                <w:rFonts w:ascii="Arial Narrow" w:hAnsi="Arial Narrow" w:cs="Times New Roman"/>
                <w:b/>
                <w:bCs/>
                <w:color w:val="333333"/>
                <w:sz w:val="20"/>
                <w:szCs w:val="20"/>
              </w:rPr>
              <w:t>Treatment Phase:</w:t>
            </w:r>
            <w:r w:rsidRPr="009B4137">
              <w:rPr>
                <w:rFonts w:ascii="Arial Narrow" w:hAnsi="Arial Narrow" w:cs="Times New Roman"/>
                <w:color w:val="333333"/>
                <w:sz w:val="20"/>
                <w:szCs w:val="20"/>
              </w:rPr>
              <w:t xml:space="preserve"> </w:t>
            </w:r>
          </w:p>
          <w:p w14:paraId="29E9C12B" w14:textId="77777777" w:rsidR="00DC6F5D" w:rsidRPr="009B4137" w:rsidRDefault="00DC6F5D" w:rsidP="00DC6F5D">
            <w:pPr>
              <w:rPr>
                <w:rFonts w:ascii="Arial Narrow" w:hAnsi="Arial Narrow" w:cs="Times New Roman"/>
                <w:iCs/>
                <w:color w:val="333333"/>
                <w:sz w:val="20"/>
                <w:szCs w:val="20"/>
              </w:rPr>
            </w:pPr>
            <w:r w:rsidRPr="009B4137">
              <w:rPr>
                <w:rFonts w:ascii="Arial Narrow" w:hAnsi="Arial Narrow" w:cs="Times New Roman"/>
                <w:iCs/>
                <w:color w:val="333333"/>
                <w:sz w:val="20"/>
                <w:szCs w:val="20"/>
              </w:rPr>
              <w:t>Initial 1: New patient (commencing with no previous treatment with C1-INH for routine prophylaxis)</w:t>
            </w:r>
          </w:p>
        </w:tc>
      </w:tr>
      <w:tr w:rsidR="00DC6F5D" w:rsidRPr="00EA7B3F" w14:paraId="3840E0D1" w14:textId="77777777" w:rsidTr="00DC6F5D">
        <w:tc>
          <w:tcPr>
            <w:tcW w:w="553" w:type="pct"/>
            <w:vAlign w:val="center"/>
          </w:tcPr>
          <w:p w14:paraId="481D55FD"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878AAE5" w14:textId="77777777" w:rsidR="00DC6F5D" w:rsidRPr="009B4137" w:rsidRDefault="00DC6F5D" w:rsidP="00DC6F5D">
            <w:pPr>
              <w:rPr>
                <w:rFonts w:ascii="Arial Narrow" w:hAnsi="Arial Narrow" w:cs="Times New Roman"/>
                <w:b/>
                <w:bCs/>
                <w:color w:val="333333"/>
                <w:sz w:val="20"/>
                <w:szCs w:val="20"/>
              </w:rPr>
            </w:pPr>
            <w:r w:rsidRPr="009B4137">
              <w:rPr>
                <w:rFonts w:ascii="Arial Narrow" w:hAnsi="Arial Narrow" w:cs="Times New Roman"/>
                <w:b/>
                <w:bCs/>
                <w:color w:val="333333"/>
                <w:sz w:val="20"/>
                <w:szCs w:val="20"/>
              </w:rPr>
              <w:t>Treatment criteria:</w:t>
            </w:r>
          </w:p>
        </w:tc>
      </w:tr>
      <w:tr w:rsidR="00DC6F5D" w:rsidRPr="00EA7B3F" w14:paraId="4CA10BB4" w14:textId="77777777" w:rsidTr="00DC6F5D">
        <w:tc>
          <w:tcPr>
            <w:tcW w:w="553" w:type="pct"/>
            <w:vAlign w:val="center"/>
          </w:tcPr>
          <w:p w14:paraId="2BFD92A9" w14:textId="48A7C7A5"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9F023FA" w14:textId="77777777" w:rsidR="00DC6F5D" w:rsidRPr="009B4137" w:rsidRDefault="00DC6F5D" w:rsidP="00DC6F5D">
            <w:pPr>
              <w:autoSpaceDE w:val="0"/>
              <w:autoSpaceDN w:val="0"/>
              <w:adjustRightInd w:val="0"/>
              <w:rPr>
                <w:rFonts w:ascii="Arial Narrow" w:eastAsia="Calibri" w:hAnsi="Arial Narrow" w:cs="Arial Narrow"/>
                <w:iCs/>
                <w:sz w:val="20"/>
                <w:szCs w:val="20"/>
              </w:rPr>
            </w:pPr>
            <w:r w:rsidRPr="009B4137">
              <w:rPr>
                <w:rFonts w:ascii="Arial Narrow" w:eastAsia="Calibri" w:hAnsi="Arial Narrow" w:cs="Arial Narrow"/>
                <w:iCs/>
                <w:sz w:val="20"/>
                <w:szCs w:val="20"/>
              </w:rPr>
              <w:t>Must be treated by a clinical immunologist or a specialist allergist</w:t>
            </w:r>
          </w:p>
        </w:tc>
      </w:tr>
      <w:tr w:rsidR="00DC6F5D" w:rsidRPr="00EA7B3F" w14:paraId="11B254DA" w14:textId="77777777" w:rsidTr="00DC6F5D">
        <w:tc>
          <w:tcPr>
            <w:tcW w:w="553" w:type="pct"/>
            <w:vAlign w:val="center"/>
          </w:tcPr>
          <w:p w14:paraId="594AE915"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9DCABAA" w14:textId="77777777" w:rsidR="00DC6F5D" w:rsidRPr="009B4137" w:rsidRDefault="00DC6F5D" w:rsidP="00DC6F5D">
            <w:pPr>
              <w:rPr>
                <w:rFonts w:ascii="Arial Narrow" w:eastAsia="Calibri" w:hAnsi="Arial Narrow" w:cs="Arial Narrow"/>
                <w:iCs/>
                <w:sz w:val="20"/>
                <w:szCs w:val="20"/>
              </w:rPr>
            </w:pPr>
            <w:r w:rsidRPr="009B4137">
              <w:rPr>
                <w:rFonts w:ascii="Arial Narrow" w:eastAsia="Calibri" w:hAnsi="Arial Narrow" w:cs="Arial Narrow"/>
                <w:b/>
                <w:bCs/>
                <w:iCs/>
                <w:sz w:val="20"/>
                <w:szCs w:val="20"/>
              </w:rPr>
              <w:t>AND</w:t>
            </w:r>
          </w:p>
        </w:tc>
      </w:tr>
      <w:tr w:rsidR="00DC6F5D" w:rsidRPr="00EA7B3F" w14:paraId="1AF3A018" w14:textId="77777777" w:rsidTr="00DC6F5D">
        <w:tc>
          <w:tcPr>
            <w:tcW w:w="553" w:type="pct"/>
            <w:vAlign w:val="center"/>
          </w:tcPr>
          <w:p w14:paraId="016DFC9A"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73804568"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b/>
                <w:bCs/>
                <w:color w:val="333333"/>
                <w:sz w:val="20"/>
                <w:szCs w:val="20"/>
              </w:rPr>
              <w:t>Clinical criteria:</w:t>
            </w:r>
          </w:p>
        </w:tc>
      </w:tr>
      <w:tr w:rsidR="00DC6F5D" w:rsidRPr="00EA7B3F" w14:paraId="3E4DA8EC" w14:textId="77777777" w:rsidTr="00266831">
        <w:trPr>
          <w:trHeight w:val="204"/>
        </w:trPr>
        <w:tc>
          <w:tcPr>
            <w:tcW w:w="553" w:type="pct"/>
            <w:vAlign w:val="center"/>
          </w:tcPr>
          <w:p w14:paraId="0F517ABC" w14:textId="67A2F0FC" w:rsidR="00DC6F5D" w:rsidRPr="00EA7B3F" w:rsidRDefault="00DC6F5D" w:rsidP="00DC6F5D">
            <w:pPr>
              <w:jc w:val="center"/>
              <w:rPr>
                <w:rFonts w:ascii="Arial Narrow" w:hAnsi="Arial Narrow" w:cs="Times New Roman"/>
                <w:strike/>
                <w:color w:val="333333"/>
                <w:sz w:val="20"/>
                <w:szCs w:val="20"/>
              </w:rPr>
            </w:pPr>
          </w:p>
        </w:tc>
        <w:tc>
          <w:tcPr>
            <w:tcW w:w="4447" w:type="pct"/>
            <w:vAlign w:val="center"/>
            <w:hideMark/>
          </w:tcPr>
          <w:p w14:paraId="43DE32BF"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color w:val="333333"/>
                <w:sz w:val="20"/>
                <w:szCs w:val="20"/>
              </w:rPr>
              <w:t>Patient must have experienced at least 12 treated acute attacks of hereditary angioedema within a 6 month</w:t>
            </w:r>
            <w:r w:rsidRPr="009B4137">
              <w:rPr>
                <w:rFonts w:ascii="Arial Narrow" w:hAnsi="Arial Narrow" w:cs="Times New Roman"/>
                <w:strike/>
                <w:color w:val="333333"/>
                <w:sz w:val="20"/>
                <w:szCs w:val="20"/>
              </w:rPr>
              <w:t>s</w:t>
            </w:r>
            <w:r w:rsidRPr="009B4137">
              <w:rPr>
                <w:rFonts w:ascii="Arial Narrow" w:hAnsi="Arial Narrow" w:cs="Times New Roman"/>
                <w:color w:val="333333"/>
                <w:sz w:val="20"/>
                <w:szCs w:val="20"/>
              </w:rPr>
              <w:t xml:space="preserve"> period prior to commencing treatment with this drug</w:t>
            </w:r>
          </w:p>
        </w:tc>
      </w:tr>
      <w:tr w:rsidR="00DC6F5D" w:rsidRPr="00EA7B3F" w14:paraId="70AC8B24" w14:textId="77777777" w:rsidTr="00266831">
        <w:tc>
          <w:tcPr>
            <w:tcW w:w="553" w:type="pct"/>
            <w:vAlign w:val="center"/>
          </w:tcPr>
          <w:p w14:paraId="44562FEA"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3978F71B"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b/>
                <w:bCs/>
                <w:color w:val="333333"/>
                <w:sz w:val="20"/>
                <w:szCs w:val="20"/>
              </w:rPr>
              <w:t>AND</w:t>
            </w:r>
          </w:p>
        </w:tc>
      </w:tr>
      <w:tr w:rsidR="00DC6F5D" w:rsidRPr="00EA7B3F" w14:paraId="65550484" w14:textId="77777777" w:rsidTr="00DC6F5D">
        <w:tc>
          <w:tcPr>
            <w:tcW w:w="553" w:type="pct"/>
            <w:vAlign w:val="center"/>
          </w:tcPr>
          <w:p w14:paraId="2662D718" w14:textId="7103F0E6"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8E286AA" w14:textId="77777777" w:rsidR="00DC6F5D" w:rsidRPr="009B4137" w:rsidRDefault="00DC6F5D" w:rsidP="00DC6F5D">
            <w:pPr>
              <w:rPr>
                <w:rFonts w:ascii="Arial Narrow" w:hAnsi="Arial Narrow" w:cs="Times New Roman"/>
                <w:b/>
                <w:bCs/>
                <w:color w:val="333333"/>
                <w:sz w:val="20"/>
                <w:szCs w:val="20"/>
              </w:rPr>
            </w:pPr>
            <w:r w:rsidRPr="009B4137">
              <w:rPr>
                <w:rFonts w:ascii="Arial Narrow" w:hAnsi="Arial Narrow" w:cs="Times New Roman"/>
                <w:b/>
                <w:bCs/>
                <w:color w:val="333333"/>
                <w:sz w:val="20"/>
                <w:szCs w:val="20"/>
              </w:rPr>
              <w:t>Clinical criteria:</w:t>
            </w:r>
          </w:p>
        </w:tc>
      </w:tr>
      <w:tr w:rsidR="00DC6F5D" w:rsidRPr="00EA7B3F" w14:paraId="37D1037F" w14:textId="77777777" w:rsidTr="00DC6F5D">
        <w:tc>
          <w:tcPr>
            <w:tcW w:w="553" w:type="pct"/>
            <w:tcBorders>
              <w:bottom w:val="single" w:sz="4" w:space="0" w:color="auto"/>
            </w:tcBorders>
            <w:vAlign w:val="center"/>
          </w:tcPr>
          <w:p w14:paraId="099B3737" w14:textId="3F3DA356" w:rsidR="00DC6F5D" w:rsidRPr="00EA7B3F" w:rsidRDefault="00DC6F5D" w:rsidP="00DC6F5D">
            <w:pPr>
              <w:jc w:val="center"/>
              <w:rPr>
                <w:rFonts w:ascii="Arial Narrow" w:hAnsi="Arial Narrow" w:cs="Times New Roman"/>
                <w:color w:val="333333"/>
                <w:sz w:val="20"/>
                <w:szCs w:val="20"/>
              </w:rPr>
            </w:pPr>
          </w:p>
        </w:tc>
        <w:tc>
          <w:tcPr>
            <w:tcW w:w="4447" w:type="pct"/>
            <w:tcBorders>
              <w:bottom w:val="single" w:sz="4" w:space="0" w:color="auto"/>
            </w:tcBorders>
            <w:vAlign w:val="center"/>
          </w:tcPr>
          <w:p w14:paraId="22A1E4BE" w14:textId="77777777" w:rsidR="00DC6F5D" w:rsidRPr="009B4137" w:rsidRDefault="00DC6F5D" w:rsidP="00DC6F5D">
            <w:pPr>
              <w:rPr>
                <w:rFonts w:ascii="Arial Narrow" w:hAnsi="Arial Narrow" w:cs="Times New Roman"/>
                <w:bCs/>
                <w:iCs/>
                <w:color w:val="333333"/>
                <w:sz w:val="20"/>
                <w:szCs w:val="20"/>
              </w:rPr>
            </w:pPr>
            <w:r w:rsidRPr="009B4137">
              <w:rPr>
                <w:rFonts w:ascii="Arial Narrow" w:hAnsi="Arial Narrow" w:cs="Times New Roman"/>
                <w:bCs/>
                <w:iCs/>
                <w:color w:val="333333"/>
                <w:sz w:val="20"/>
                <w:szCs w:val="20"/>
              </w:rPr>
              <w:t xml:space="preserve">Patient must not have been receiving a C1-esterase inhibitor through the National Blood Authority as routine prophylaxis for hereditary angioedema at the time of application </w:t>
            </w:r>
          </w:p>
        </w:tc>
      </w:tr>
      <w:tr w:rsidR="00DC6F5D" w:rsidRPr="00EA7B3F" w14:paraId="2312C636" w14:textId="77777777" w:rsidTr="00266831">
        <w:tc>
          <w:tcPr>
            <w:tcW w:w="553" w:type="pct"/>
            <w:vAlign w:val="center"/>
          </w:tcPr>
          <w:p w14:paraId="687FFAFF"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10CCFD01"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b/>
                <w:bCs/>
                <w:color w:val="333333"/>
                <w:sz w:val="20"/>
                <w:szCs w:val="20"/>
              </w:rPr>
              <w:t>AND</w:t>
            </w:r>
          </w:p>
        </w:tc>
      </w:tr>
      <w:tr w:rsidR="00DC6F5D" w:rsidRPr="00EA7B3F" w14:paraId="6D621AEC" w14:textId="77777777" w:rsidTr="00DC6F5D">
        <w:tc>
          <w:tcPr>
            <w:tcW w:w="553" w:type="pct"/>
            <w:vAlign w:val="center"/>
          </w:tcPr>
          <w:p w14:paraId="224ADDF6" w14:textId="3AAFF6C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D31DFC4" w14:textId="77777777" w:rsidR="00DC6F5D" w:rsidRPr="009B4137" w:rsidRDefault="00DC6F5D" w:rsidP="00DC6F5D">
            <w:pPr>
              <w:rPr>
                <w:rFonts w:ascii="Arial Narrow" w:hAnsi="Arial Narrow" w:cs="Times New Roman"/>
                <w:b/>
                <w:bCs/>
                <w:color w:val="333333"/>
                <w:sz w:val="20"/>
                <w:szCs w:val="20"/>
              </w:rPr>
            </w:pPr>
            <w:r w:rsidRPr="009B4137">
              <w:rPr>
                <w:rFonts w:ascii="Arial Narrow" w:hAnsi="Arial Narrow" w:cs="Times New Roman"/>
                <w:b/>
                <w:bCs/>
                <w:color w:val="333333"/>
                <w:sz w:val="20"/>
                <w:szCs w:val="20"/>
              </w:rPr>
              <w:t>Clinical criteria:</w:t>
            </w:r>
          </w:p>
        </w:tc>
      </w:tr>
      <w:tr w:rsidR="00DC6F5D" w:rsidRPr="00EA7B3F" w14:paraId="074F8632" w14:textId="77777777" w:rsidTr="00DC6F5D">
        <w:tc>
          <w:tcPr>
            <w:tcW w:w="553" w:type="pct"/>
            <w:vAlign w:val="center"/>
          </w:tcPr>
          <w:p w14:paraId="67AFBCD4" w14:textId="0B9B16A6" w:rsidR="00DC6F5D" w:rsidRPr="009B4137" w:rsidRDefault="00DC6F5D" w:rsidP="00DC6F5D">
            <w:pPr>
              <w:jc w:val="center"/>
              <w:rPr>
                <w:rFonts w:ascii="Arial Narrow" w:hAnsi="Arial Narrow" w:cs="Times New Roman"/>
                <w:color w:val="333333"/>
                <w:sz w:val="20"/>
                <w:szCs w:val="20"/>
              </w:rPr>
            </w:pPr>
          </w:p>
        </w:tc>
        <w:tc>
          <w:tcPr>
            <w:tcW w:w="4447" w:type="pct"/>
            <w:vAlign w:val="center"/>
          </w:tcPr>
          <w:p w14:paraId="5BEBFCD6" w14:textId="77777777" w:rsidR="00DC6F5D" w:rsidRPr="009B4137" w:rsidRDefault="00DC6F5D" w:rsidP="00DC6F5D">
            <w:pPr>
              <w:rPr>
                <w:rFonts w:ascii="Arial Narrow" w:hAnsi="Arial Narrow" w:cs="Times New Roman"/>
                <w:bCs/>
                <w:color w:val="333333"/>
                <w:sz w:val="20"/>
                <w:szCs w:val="20"/>
              </w:rPr>
            </w:pPr>
            <w:r w:rsidRPr="009B4137">
              <w:rPr>
                <w:rFonts w:ascii="Arial Narrow" w:hAnsi="Arial Narrow" w:cs="Times New Roman"/>
                <w:bCs/>
                <w:color w:val="333333"/>
                <w:sz w:val="20"/>
                <w:szCs w:val="20"/>
              </w:rPr>
              <w:t>The treatment must not be PBS-subsidised in combination with a C1-esterase inhibitor concentrate</w:t>
            </w:r>
          </w:p>
        </w:tc>
      </w:tr>
      <w:tr w:rsidR="00DC6F5D" w:rsidRPr="00EA7B3F" w14:paraId="1F17110D" w14:textId="77777777" w:rsidTr="00DC6F5D">
        <w:tc>
          <w:tcPr>
            <w:tcW w:w="553" w:type="pct"/>
            <w:vAlign w:val="center"/>
          </w:tcPr>
          <w:p w14:paraId="10DBE796" w14:textId="57C0966D" w:rsidR="00DC6F5D" w:rsidRPr="009B4137" w:rsidRDefault="00DC6F5D" w:rsidP="00DC6F5D">
            <w:pPr>
              <w:jc w:val="center"/>
              <w:rPr>
                <w:rFonts w:ascii="Arial Narrow" w:hAnsi="Arial Narrow" w:cs="Times New Roman"/>
                <w:color w:val="333333"/>
                <w:sz w:val="20"/>
                <w:szCs w:val="20"/>
              </w:rPr>
            </w:pPr>
          </w:p>
        </w:tc>
        <w:tc>
          <w:tcPr>
            <w:tcW w:w="4447" w:type="pct"/>
            <w:vAlign w:val="center"/>
          </w:tcPr>
          <w:p w14:paraId="5F501A8A" w14:textId="77777777" w:rsidR="00DC6F5D" w:rsidRPr="009B4137" w:rsidRDefault="00DC6F5D" w:rsidP="00DC6F5D">
            <w:pPr>
              <w:rPr>
                <w:rFonts w:ascii="Arial Narrow" w:hAnsi="Arial Narrow" w:cs="Times New Roman"/>
                <w:b/>
                <w:bCs/>
                <w:color w:val="333333"/>
                <w:sz w:val="20"/>
                <w:szCs w:val="20"/>
              </w:rPr>
            </w:pPr>
            <w:r w:rsidRPr="009B4137">
              <w:rPr>
                <w:rFonts w:ascii="Arial Narrow" w:hAnsi="Arial Narrow" w:cs="Times New Roman"/>
                <w:b/>
                <w:bCs/>
                <w:color w:val="333333"/>
                <w:sz w:val="20"/>
                <w:szCs w:val="20"/>
              </w:rPr>
              <w:t>Population criteria:</w:t>
            </w:r>
          </w:p>
        </w:tc>
      </w:tr>
      <w:tr w:rsidR="00DC6F5D" w:rsidRPr="00EA7B3F" w14:paraId="10F623EB" w14:textId="77777777" w:rsidTr="00DC6F5D">
        <w:tc>
          <w:tcPr>
            <w:tcW w:w="553" w:type="pct"/>
            <w:vAlign w:val="center"/>
          </w:tcPr>
          <w:p w14:paraId="52F5EF4C" w14:textId="1257AF50" w:rsidR="00DC6F5D" w:rsidRPr="009B4137" w:rsidRDefault="00DC6F5D" w:rsidP="00DC6F5D">
            <w:pPr>
              <w:jc w:val="center"/>
              <w:rPr>
                <w:rFonts w:ascii="Arial Narrow" w:hAnsi="Arial Narrow" w:cs="Times New Roman"/>
                <w:color w:val="333333"/>
                <w:sz w:val="20"/>
                <w:szCs w:val="20"/>
              </w:rPr>
            </w:pPr>
          </w:p>
        </w:tc>
        <w:tc>
          <w:tcPr>
            <w:tcW w:w="4447" w:type="pct"/>
            <w:vAlign w:val="center"/>
          </w:tcPr>
          <w:p w14:paraId="3FEA0CB4"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color w:val="333333"/>
                <w:sz w:val="20"/>
                <w:szCs w:val="20"/>
              </w:rPr>
              <w:t>Patient must be aged 12 years or older</w:t>
            </w:r>
          </w:p>
        </w:tc>
      </w:tr>
      <w:tr w:rsidR="00DC6F5D" w:rsidRPr="00EA7B3F" w14:paraId="2A529226" w14:textId="77777777" w:rsidTr="00266831">
        <w:tc>
          <w:tcPr>
            <w:tcW w:w="553" w:type="pct"/>
            <w:tcBorders>
              <w:bottom w:val="single" w:sz="4" w:space="0" w:color="auto"/>
            </w:tcBorders>
            <w:vAlign w:val="center"/>
          </w:tcPr>
          <w:p w14:paraId="4DCCAFA2" w14:textId="48ED5020" w:rsidR="00DC6F5D" w:rsidRPr="009B4137" w:rsidRDefault="00DC6F5D" w:rsidP="00DC6F5D">
            <w:pPr>
              <w:jc w:val="center"/>
              <w:rPr>
                <w:rFonts w:ascii="Arial Narrow" w:hAnsi="Arial Narrow" w:cs="Times New Roman"/>
                <w:color w:val="333333"/>
                <w:sz w:val="20"/>
                <w:szCs w:val="20"/>
              </w:rPr>
            </w:pPr>
          </w:p>
        </w:tc>
        <w:tc>
          <w:tcPr>
            <w:tcW w:w="4447" w:type="pct"/>
            <w:tcBorders>
              <w:bottom w:val="single" w:sz="4" w:space="0" w:color="auto"/>
            </w:tcBorders>
            <w:vAlign w:val="center"/>
            <w:hideMark/>
          </w:tcPr>
          <w:p w14:paraId="407ABBB5"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b/>
                <w:bCs/>
                <w:color w:val="333333"/>
                <w:sz w:val="20"/>
                <w:szCs w:val="20"/>
              </w:rPr>
              <w:t xml:space="preserve">Prescribing Instructions: </w:t>
            </w:r>
          </w:p>
          <w:p w14:paraId="3F7FF123" w14:textId="77777777" w:rsidR="00DC6F5D" w:rsidRPr="009B4137" w:rsidRDefault="00DC6F5D" w:rsidP="00DC6F5D">
            <w:pPr>
              <w:rPr>
                <w:rFonts w:ascii="Arial Narrow" w:hAnsi="Arial Narrow" w:cs="Times New Roman"/>
                <w:color w:val="333333"/>
                <w:sz w:val="20"/>
                <w:szCs w:val="20"/>
              </w:rPr>
            </w:pPr>
            <w:r w:rsidRPr="009B4137">
              <w:rPr>
                <w:rFonts w:ascii="Arial Narrow" w:hAnsi="Arial Narrow" w:cs="Times New Roman"/>
                <w:color w:val="333333"/>
                <w:sz w:val="20"/>
                <w:szCs w:val="20"/>
              </w:rPr>
              <w:t xml:space="preserve">For the purposes of administering this restriction, acute attacks of hereditary angioedema are those of a severity necessitating immediate medical intervention </w:t>
            </w:r>
            <w:r w:rsidRPr="00801CBF">
              <w:rPr>
                <w:rFonts w:ascii="Arial Narrow" w:hAnsi="Arial Narrow" w:cs="Times New Roman"/>
                <w:sz w:val="20"/>
                <w:szCs w:val="20"/>
              </w:rPr>
              <w:t>with</w:t>
            </w:r>
            <w:r w:rsidR="00364D73" w:rsidRPr="00801CBF">
              <w:rPr>
                <w:rFonts w:ascii="Arial Narrow" w:hAnsi="Arial Narrow" w:cs="Times New Roman"/>
                <w:sz w:val="20"/>
                <w:szCs w:val="20"/>
              </w:rPr>
              <w:t xml:space="preserve"> either</w:t>
            </w:r>
            <w:r w:rsidRPr="00801CBF">
              <w:rPr>
                <w:rFonts w:ascii="Arial Narrow" w:hAnsi="Arial Narrow" w:cs="Times New Roman"/>
                <w:sz w:val="20"/>
                <w:szCs w:val="20"/>
              </w:rPr>
              <w:t xml:space="preserve"> (i) icatibant</w:t>
            </w:r>
            <w:r w:rsidRPr="009B4137">
              <w:rPr>
                <w:rFonts w:ascii="Arial Narrow" w:hAnsi="Arial Narrow" w:cs="Times New Roman"/>
                <w:color w:val="333333"/>
                <w:sz w:val="20"/>
                <w:szCs w:val="20"/>
              </w:rPr>
              <w:t>,</w:t>
            </w:r>
            <w:r w:rsidR="00364D73" w:rsidRPr="009B4137">
              <w:rPr>
                <w:rFonts w:ascii="Arial Narrow" w:hAnsi="Arial Narrow" w:cs="Times New Roman"/>
                <w:color w:val="333333"/>
                <w:sz w:val="20"/>
                <w:szCs w:val="20"/>
              </w:rPr>
              <w:t xml:space="preserve"> or</w:t>
            </w:r>
            <w:r w:rsidRPr="009B4137">
              <w:rPr>
                <w:rFonts w:ascii="Arial Narrow" w:hAnsi="Arial Narrow" w:cs="Times New Roman"/>
                <w:color w:val="333333"/>
                <w:sz w:val="20"/>
                <w:szCs w:val="20"/>
              </w:rPr>
              <w:t xml:space="preserve"> (ii) C1-esterase inhibitor concentrate</w:t>
            </w:r>
          </w:p>
        </w:tc>
      </w:tr>
      <w:tr w:rsidR="006C540A" w:rsidRPr="00EA7B3F" w14:paraId="026FB510" w14:textId="77777777" w:rsidTr="00DC6F5D">
        <w:tc>
          <w:tcPr>
            <w:tcW w:w="553" w:type="pct"/>
            <w:tcBorders>
              <w:bottom w:val="single" w:sz="4" w:space="0" w:color="auto"/>
            </w:tcBorders>
            <w:vAlign w:val="center"/>
          </w:tcPr>
          <w:p w14:paraId="3CBD8BC1" w14:textId="5327C114" w:rsidR="006C540A" w:rsidRPr="009B4137" w:rsidRDefault="006C540A" w:rsidP="00DC6F5D">
            <w:pPr>
              <w:jc w:val="center"/>
              <w:rPr>
                <w:rFonts w:ascii="Arial Narrow" w:hAnsi="Arial Narrow" w:cs="Times New Roman"/>
                <w:color w:val="333333"/>
                <w:sz w:val="20"/>
                <w:szCs w:val="20"/>
              </w:rPr>
            </w:pPr>
          </w:p>
        </w:tc>
        <w:tc>
          <w:tcPr>
            <w:tcW w:w="4447" w:type="pct"/>
            <w:tcBorders>
              <w:bottom w:val="single" w:sz="4" w:space="0" w:color="auto"/>
            </w:tcBorders>
            <w:vAlign w:val="center"/>
          </w:tcPr>
          <w:p w14:paraId="4EA73DAF" w14:textId="77777777" w:rsidR="006C540A" w:rsidRDefault="006C540A" w:rsidP="006C540A">
            <w:pPr>
              <w:rPr>
                <w:rFonts w:ascii="Arial Narrow" w:hAnsi="Arial Narrow" w:cs="Times New Roman"/>
                <w:b/>
                <w:bCs/>
                <w:color w:val="333333"/>
                <w:sz w:val="20"/>
                <w:szCs w:val="20"/>
              </w:rPr>
            </w:pPr>
            <w:r>
              <w:rPr>
                <w:rFonts w:ascii="Arial Narrow" w:hAnsi="Arial Narrow" w:cs="Times New Roman"/>
                <w:b/>
                <w:bCs/>
                <w:color w:val="333333"/>
                <w:sz w:val="20"/>
                <w:szCs w:val="20"/>
              </w:rPr>
              <w:t>Prescribing Instructions:</w:t>
            </w:r>
          </w:p>
          <w:p w14:paraId="00F642DC" w14:textId="77777777" w:rsidR="006C540A" w:rsidRPr="006C540A" w:rsidRDefault="006C540A" w:rsidP="006C540A">
            <w:pPr>
              <w:jc w:val="left"/>
              <w:rPr>
                <w:rFonts w:ascii="Times New Roman" w:hAnsi="Times New Roman" w:cs="Times New Roman"/>
              </w:rPr>
            </w:pPr>
            <w:r>
              <w:rPr>
                <w:rFonts w:ascii="Arial Narrow" w:hAnsi="Arial Narrow" w:cs="Times New Roman"/>
                <w:color w:val="333333"/>
                <w:sz w:val="20"/>
                <w:szCs w:val="20"/>
              </w:rPr>
              <w:t xml:space="preserve">The baseline measurement of the number of treated acute attacks of hereditary angioedema within the 6 months prior to initiating treatment must be </w:t>
            </w:r>
            <w:r w:rsidR="00FB2A4F">
              <w:rPr>
                <w:rFonts w:ascii="Arial Narrow" w:hAnsi="Arial Narrow" w:cs="Times New Roman"/>
                <w:color w:val="333333"/>
                <w:sz w:val="20"/>
                <w:szCs w:val="20"/>
              </w:rPr>
              <w:t xml:space="preserve">provided at the time of submitting this application. </w:t>
            </w:r>
          </w:p>
        </w:tc>
      </w:tr>
    </w:tbl>
    <w:tbl>
      <w:tblPr>
        <w:tblStyle w:val="TableGrid"/>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3"/>
        <w:gridCol w:w="7938"/>
      </w:tblGrid>
      <w:tr w:rsidR="00DC6F5D" w:rsidRPr="00EA7B3F" w14:paraId="51C9F51D" w14:textId="77777777" w:rsidTr="00DC6F5D">
        <w:tc>
          <w:tcPr>
            <w:tcW w:w="993" w:type="dxa"/>
          </w:tcPr>
          <w:p w14:paraId="1281D0B4" w14:textId="77777777" w:rsidR="00DC6F5D" w:rsidRPr="00EA7B3F" w:rsidRDefault="00DC6F5D" w:rsidP="00DC6F5D">
            <w:pPr>
              <w:jc w:val="center"/>
              <w:rPr>
                <w:rFonts w:ascii="Arial Narrow" w:hAnsi="Arial Narrow"/>
                <w:bCs/>
                <w:sz w:val="20"/>
                <w:szCs w:val="20"/>
              </w:rPr>
            </w:pPr>
          </w:p>
          <w:p w14:paraId="7DDC3B02" w14:textId="6C65FF5C" w:rsidR="00DC6F5D" w:rsidRPr="00EA7B3F" w:rsidRDefault="00DC6F5D" w:rsidP="00DC6F5D">
            <w:pPr>
              <w:jc w:val="center"/>
              <w:rPr>
                <w:rFonts w:ascii="Arial Narrow" w:hAnsi="Arial Narrow"/>
                <w:bCs/>
                <w:sz w:val="20"/>
                <w:szCs w:val="20"/>
              </w:rPr>
            </w:pPr>
          </w:p>
        </w:tc>
        <w:tc>
          <w:tcPr>
            <w:tcW w:w="7938" w:type="dxa"/>
          </w:tcPr>
          <w:p w14:paraId="04D0B69D" w14:textId="77777777" w:rsidR="00DC6F5D" w:rsidRPr="00EA7B3F" w:rsidRDefault="00DC6F5D" w:rsidP="00DC6F5D">
            <w:pPr>
              <w:ind w:left="-57"/>
              <w:rPr>
                <w:rFonts w:ascii="Arial Narrow" w:hAnsi="Arial Narrow"/>
                <w:b/>
                <w:bCs/>
                <w:sz w:val="20"/>
                <w:szCs w:val="20"/>
              </w:rPr>
            </w:pPr>
            <w:r w:rsidRPr="00EA7B3F">
              <w:rPr>
                <w:rFonts w:ascii="Arial Narrow" w:hAnsi="Arial Narrow"/>
                <w:b/>
                <w:bCs/>
                <w:sz w:val="20"/>
                <w:szCs w:val="20"/>
              </w:rPr>
              <w:t>Administrative advice:</w:t>
            </w:r>
          </w:p>
          <w:p w14:paraId="55FA5450"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Any queries concerning the arrangements to prescribe may be directed to Services Australia on 1800 700 270 (hours of operation 8 a.m. to 5 p.m. EST Monday to Friday).</w:t>
            </w:r>
          </w:p>
          <w:p w14:paraId="7F817280"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241298DB"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787EC2E0"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Or mailed to:</w:t>
            </w:r>
          </w:p>
          <w:p w14:paraId="320709DB"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Services Australia</w:t>
            </w:r>
          </w:p>
          <w:p w14:paraId="5311E169"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Complex Drugs</w:t>
            </w:r>
          </w:p>
          <w:p w14:paraId="70016497" w14:textId="77777777" w:rsidR="00DC6F5D" w:rsidRPr="00EA7B3F" w:rsidRDefault="00DC6F5D" w:rsidP="00DC6F5D">
            <w:pPr>
              <w:ind w:left="-57"/>
              <w:rPr>
                <w:rFonts w:ascii="Arial Narrow" w:hAnsi="Arial Narrow"/>
                <w:bCs/>
                <w:sz w:val="20"/>
                <w:szCs w:val="20"/>
              </w:rPr>
            </w:pPr>
            <w:r w:rsidRPr="00EA7B3F">
              <w:rPr>
                <w:rFonts w:ascii="Arial Narrow" w:hAnsi="Arial Narrow"/>
                <w:bCs/>
                <w:sz w:val="20"/>
                <w:szCs w:val="20"/>
              </w:rPr>
              <w:t>Reply Paid 9826</w:t>
            </w:r>
          </w:p>
          <w:p w14:paraId="007CE0D5" w14:textId="77777777" w:rsidR="00DC6F5D" w:rsidRPr="00EA7B3F" w:rsidRDefault="00DC6F5D" w:rsidP="00DC6F5D">
            <w:pPr>
              <w:ind w:left="-57"/>
              <w:rPr>
                <w:rFonts w:ascii="Arial Narrow" w:hAnsi="Arial Narrow"/>
                <w:b/>
                <w:bCs/>
                <w:sz w:val="20"/>
                <w:szCs w:val="20"/>
              </w:rPr>
            </w:pPr>
            <w:r w:rsidRPr="00EA7B3F">
              <w:rPr>
                <w:rFonts w:ascii="Arial Narrow" w:hAnsi="Arial Narrow"/>
                <w:bCs/>
                <w:sz w:val="20"/>
                <w:szCs w:val="20"/>
              </w:rPr>
              <w:t>HOBART TAS 7001</w:t>
            </w:r>
          </w:p>
        </w:tc>
      </w:tr>
    </w:tbl>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65B25FBB" w14:textId="77777777" w:rsidTr="00DC6F5D">
        <w:tc>
          <w:tcPr>
            <w:tcW w:w="553" w:type="pct"/>
            <w:vAlign w:val="center"/>
          </w:tcPr>
          <w:p w14:paraId="4BCD3A0B" w14:textId="20024E5B"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1B389B81"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No increase in the maximum number of repeats may be authorised</w:t>
            </w:r>
          </w:p>
        </w:tc>
      </w:tr>
      <w:tr w:rsidR="00DC6F5D" w:rsidRPr="00EA7B3F" w14:paraId="28FCFF03" w14:textId="77777777" w:rsidTr="00DC6F5D">
        <w:tc>
          <w:tcPr>
            <w:tcW w:w="553" w:type="pct"/>
            <w:vAlign w:val="center"/>
          </w:tcPr>
          <w:p w14:paraId="070F67CC" w14:textId="1384BC1F"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750DAEEF"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Special pricing arrangements apply</w:t>
            </w:r>
          </w:p>
        </w:tc>
      </w:tr>
    </w:tbl>
    <w:p w14:paraId="0CCFD70E" w14:textId="77777777" w:rsidR="00674AF4" w:rsidRDefault="00674AF4" w:rsidP="00DC6F5D">
      <w:pPr>
        <w:spacing w:after="120"/>
        <w:rPr>
          <w:rFonts w:asciiTheme="minorHAnsi" w:eastAsia="Calibri" w:hAnsiTheme="minorHAnsi" w:cstheme="minorHAnsi"/>
          <w:u w:val="single"/>
        </w:rPr>
      </w:pPr>
    </w:p>
    <w:p w14:paraId="1C79FA12" w14:textId="77777777" w:rsidR="00DC6F5D" w:rsidRPr="00EA7B3F" w:rsidRDefault="00DC6F5D" w:rsidP="00DC6F5D">
      <w:pPr>
        <w:spacing w:after="120"/>
        <w:rPr>
          <w:rFonts w:asciiTheme="minorHAnsi" w:eastAsia="Calibri" w:hAnsiTheme="minorHAnsi" w:cstheme="minorHAnsi"/>
          <w:u w:val="single"/>
        </w:rPr>
      </w:pPr>
      <w:r w:rsidRPr="00EA7B3F">
        <w:rPr>
          <w:rFonts w:asciiTheme="minorHAnsi" w:eastAsia="Calibri" w:hAnsiTheme="minorHAnsi" w:cstheme="minorHAnsi"/>
          <w:u w:val="single"/>
        </w:rPr>
        <w:t>Initial 2:</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0ECFA35C" w14:textId="77777777" w:rsidTr="00DC6F5D">
        <w:tc>
          <w:tcPr>
            <w:tcW w:w="553" w:type="pct"/>
            <w:vMerge w:val="restart"/>
            <w:tcBorders>
              <w:top w:val="single" w:sz="4" w:space="0" w:color="auto"/>
              <w:left w:val="single" w:sz="4" w:space="0" w:color="auto"/>
              <w:right w:val="single" w:sz="4" w:space="0" w:color="auto"/>
            </w:tcBorders>
          </w:tcPr>
          <w:p w14:paraId="6BC8A37E" w14:textId="77777777" w:rsidR="00DC6F5D" w:rsidRPr="00EA7B3F" w:rsidRDefault="00DC6F5D" w:rsidP="00DC6F5D">
            <w:pPr>
              <w:rPr>
                <w:rFonts w:ascii="Arial Narrow" w:eastAsia="Calibri"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B351768"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Category / Program:   </w:t>
            </w:r>
            <w:r w:rsidRPr="00EA7B3F">
              <w:rPr>
                <w:rFonts w:ascii="Arial Narrow" w:eastAsia="Calibri" w:hAnsi="Arial Narrow"/>
                <w:sz w:val="20"/>
                <w:szCs w:val="20"/>
              </w:rPr>
              <w:t xml:space="preserve">GENERAL – General Schedule (Code GE) </w:t>
            </w:r>
          </w:p>
        </w:tc>
      </w:tr>
      <w:tr w:rsidR="00DC6F5D" w:rsidRPr="00EA7B3F" w14:paraId="2B613E75" w14:textId="77777777" w:rsidTr="00DC6F5D">
        <w:trPr>
          <w:trHeight w:val="178"/>
        </w:trPr>
        <w:tc>
          <w:tcPr>
            <w:tcW w:w="553" w:type="pct"/>
            <w:vMerge/>
            <w:tcBorders>
              <w:left w:val="single" w:sz="4" w:space="0" w:color="auto"/>
              <w:right w:val="single" w:sz="4" w:space="0" w:color="auto"/>
            </w:tcBorders>
          </w:tcPr>
          <w:p w14:paraId="4EBACB33"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F124801"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Prescriber type:  </w:t>
            </w:r>
            <w:r w:rsidRPr="00EA7B3F">
              <w:rPr>
                <w:rFonts w:ascii="Arial Narrow" w:eastAsia="Calibri" w:hAnsi="Arial Narrow"/>
                <w:sz w:val="20"/>
                <w:szCs w:val="20"/>
              </w:rPr>
              <w:fldChar w:fldCharType="begin">
                <w:ffData>
                  <w:name w:val=""/>
                  <w:enabled/>
                  <w:calcOnExit w:val="0"/>
                  <w:checkBox>
                    <w:sizeAuto/>
                    <w:default w:val="1"/>
                  </w:checkBox>
                </w:ffData>
              </w:fldChar>
            </w:r>
            <w:r w:rsidRPr="00EA7B3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EA7B3F">
              <w:rPr>
                <w:rFonts w:ascii="Arial Narrow" w:eastAsia="Calibri" w:hAnsi="Arial Narrow"/>
                <w:sz w:val="20"/>
                <w:szCs w:val="20"/>
              </w:rPr>
              <w:fldChar w:fldCharType="end"/>
            </w:r>
            <w:r w:rsidRPr="00EA7B3F">
              <w:rPr>
                <w:rFonts w:ascii="Arial Narrow" w:eastAsia="Calibri" w:hAnsi="Arial Narrow"/>
                <w:sz w:val="20"/>
                <w:szCs w:val="20"/>
              </w:rPr>
              <w:t xml:space="preserve">Medical Practitioners  </w:t>
            </w:r>
          </w:p>
        </w:tc>
      </w:tr>
      <w:tr w:rsidR="00DC6F5D" w:rsidRPr="00801CBF" w14:paraId="52ECE9BE" w14:textId="77777777" w:rsidTr="00DC6F5D">
        <w:tc>
          <w:tcPr>
            <w:tcW w:w="553" w:type="pct"/>
            <w:vMerge/>
            <w:tcBorders>
              <w:left w:val="single" w:sz="4" w:space="0" w:color="auto"/>
              <w:bottom w:val="single" w:sz="4" w:space="0" w:color="auto"/>
              <w:right w:val="single" w:sz="4" w:space="0" w:color="auto"/>
            </w:tcBorders>
          </w:tcPr>
          <w:p w14:paraId="4CA5DE27"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12485B3B" w14:textId="77777777" w:rsidR="00DC6F5D" w:rsidRPr="00801CBF" w:rsidRDefault="00DC6F5D" w:rsidP="00DC6F5D">
            <w:pPr>
              <w:rPr>
                <w:rFonts w:ascii="Arial Narrow" w:eastAsia="Calibri" w:hAnsi="Arial Narrow"/>
                <w:b/>
                <w:sz w:val="20"/>
                <w:szCs w:val="20"/>
              </w:rPr>
            </w:pPr>
            <w:r w:rsidRPr="00801CBF">
              <w:rPr>
                <w:rFonts w:ascii="Arial Narrow" w:eastAsia="Calibri" w:hAnsi="Arial Narrow"/>
                <w:b/>
                <w:sz w:val="20"/>
                <w:szCs w:val="20"/>
              </w:rPr>
              <w:t>Restriction Level / Method:</w:t>
            </w:r>
          </w:p>
          <w:p w14:paraId="7CE0B0D6" w14:textId="77777777" w:rsidR="00DC6F5D" w:rsidRPr="00801CBF" w:rsidRDefault="00DC6F5D" w:rsidP="00DC6F5D">
            <w:pPr>
              <w:rPr>
                <w:rFonts w:ascii="Arial Narrow" w:eastAsia="Calibri" w:hAnsi="Arial Narrow"/>
                <w:b/>
                <w:sz w:val="20"/>
                <w:szCs w:val="20"/>
              </w:rPr>
            </w:pPr>
            <w:r w:rsidRPr="00801CBF">
              <w:rPr>
                <w:rFonts w:ascii="Arial Narrow" w:eastAsia="Calibri" w:hAnsi="Arial Narrow"/>
                <w:sz w:val="20"/>
                <w:szCs w:val="20"/>
              </w:rPr>
              <w:fldChar w:fldCharType="begin">
                <w:ffData>
                  <w:name w:val=""/>
                  <w:enabled/>
                  <w:calcOnExit w:val="0"/>
                  <w:checkBox>
                    <w:sizeAuto/>
                    <w:default w:val="1"/>
                  </w:checkBox>
                </w:ffData>
              </w:fldChar>
            </w:r>
            <w:r w:rsidRPr="00801CB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801CBF">
              <w:rPr>
                <w:rFonts w:ascii="Arial Narrow" w:eastAsia="Calibri" w:hAnsi="Arial Narrow"/>
                <w:sz w:val="20"/>
                <w:szCs w:val="20"/>
              </w:rPr>
              <w:fldChar w:fldCharType="end"/>
            </w:r>
            <w:r w:rsidRPr="00801CBF">
              <w:rPr>
                <w:rFonts w:ascii="Arial Narrow" w:eastAsia="Calibri" w:hAnsi="Arial Narrow"/>
                <w:sz w:val="20"/>
                <w:szCs w:val="20"/>
              </w:rPr>
              <w:t xml:space="preserve">Authority Required – </w:t>
            </w:r>
            <w:r w:rsidR="00364D73" w:rsidRPr="00801CBF">
              <w:rPr>
                <w:rFonts w:ascii="Arial Narrow" w:eastAsia="Calibri" w:hAnsi="Arial Narrow"/>
                <w:sz w:val="20"/>
                <w:szCs w:val="20"/>
              </w:rPr>
              <w:t xml:space="preserve">(in writing)– Postal/HPOS Upload </w:t>
            </w:r>
          </w:p>
        </w:tc>
      </w:tr>
      <w:tr w:rsidR="00DC6F5D" w:rsidRPr="00801CBF" w14:paraId="678023D5" w14:textId="77777777" w:rsidTr="00DC6F5D">
        <w:tc>
          <w:tcPr>
            <w:tcW w:w="553" w:type="pct"/>
            <w:tcBorders>
              <w:top w:val="single" w:sz="4" w:space="0" w:color="auto"/>
              <w:left w:val="single" w:sz="4" w:space="0" w:color="auto"/>
              <w:bottom w:val="single" w:sz="4" w:space="0" w:color="auto"/>
              <w:right w:val="single" w:sz="4" w:space="0" w:color="auto"/>
            </w:tcBorders>
          </w:tcPr>
          <w:p w14:paraId="65CFFC5B" w14:textId="77777777" w:rsidR="00DC6F5D" w:rsidRPr="00801CBF" w:rsidRDefault="00DC6F5D" w:rsidP="00DC6F5D">
            <w:pPr>
              <w:rPr>
                <w:rFonts w:ascii="Arial Narrow" w:eastAsia="Calibri" w:hAnsi="Arial Narrow"/>
                <w:i/>
                <w:sz w:val="20"/>
                <w:szCs w:val="20"/>
              </w:rPr>
            </w:pPr>
          </w:p>
        </w:tc>
        <w:tc>
          <w:tcPr>
            <w:tcW w:w="4447" w:type="pct"/>
            <w:tcBorders>
              <w:top w:val="single" w:sz="4" w:space="0" w:color="auto"/>
              <w:left w:val="single" w:sz="4" w:space="0" w:color="auto"/>
              <w:bottom w:val="single" w:sz="4" w:space="0" w:color="auto"/>
              <w:right w:val="single" w:sz="4" w:space="0" w:color="auto"/>
            </w:tcBorders>
          </w:tcPr>
          <w:p w14:paraId="77112332" w14:textId="77777777" w:rsidR="00DC6F5D" w:rsidRPr="00801CBF" w:rsidRDefault="00DC6F5D" w:rsidP="00DC6F5D">
            <w:pPr>
              <w:rPr>
                <w:rFonts w:ascii="Arial Narrow" w:eastAsia="Calibri" w:hAnsi="Arial Narrow"/>
                <w:b/>
                <w:sz w:val="20"/>
                <w:szCs w:val="20"/>
              </w:rPr>
            </w:pPr>
            <w:r w:rsidRPr="00801CBF">
              <w:rPr>
                <w:rFonts w:ascii="Arial Narrow" w:eastAsia="Calibri" w:hAnsi="Arial Narrow"/>
                <w:b/>
                <w:sz w:val="20"/>
                <w:szCs w:val="20"/>
              </w:rPr>
              <w:t xml:space="preserve">Episodicity: </w:t>
            </w:r>
            <w:r w:rsidRPr="00801CBF">
              <w:rPr>
                <w:rFonts w:ascii="Arial Narrow" w:eastAsia="Calibri" w:hAnsi="Arial Narrow"/>
                <w:sz w:val="20"/>
                <w:szCs w:val="20"/>
              </w:rPr>
              <w:t>Chronic treatment of</w:t>
            </w:r>
          </w:p>
        </w:tc>
      </w:tr>
      <w:tr w:rsidR="00DC6F5D" w:rsidRPr="00801CBF" w14:paraId="545ED0E1" w14:textId="77777777" w:rsidTr="00DC6F5D">
        <w:tc>
          <w:tcPr>
            <w:tcW w:w="553" w:type="pct"/>
            <w:vAlign w:val="center"/>
          </w:tcPr>
          <w:p w14:paraId="39EB8728"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1BACEF23" w14:textId="77777777" w:rsidR="00DC6F5D" w:rsidRPr="00801CBF" w:rsidRDefault="00DC6F5D" w:rsidP="00DC6F5D">
            <w:pPr>
              <w:rPr>
                <w:rFonts w:ascii="Arial Narrow" w:hAnsi="Arial Narrow" w:cs="Times New Roman"/>
                <w:iCs/>
                <w:color w:val="333333"/>
                <w:sz w:val="20"/>
                <w:szCs w:val="20"/>
              </w:rPr>
            </w:pPr>
            <w:r w:rsidRPr="00801CBF">
              <w:rPr>
                <w:rFonts w:ascii="Arial Narrow" w:hAnsi="Arial Narrow" w:cs="Times New Roman"/>
                <w:b/>
                <w:bCs/>
                <w:iCs/>
                <w:color w:val="333333"/>
                <w:sz w:val="20"/>
                <w:szCs w:val="20"/>
              </w:rPr>
              <w:t xml:space="preserve">Condition: </w:t>
            </w:r>
            <w:r w:rsidRPr="00801CBF">
              <w:rPr>
                <w:rFonts w:ascii="Arial Narrow" w:hAnsi="Arial Narrow" w:cs="Times New Roman"/>
                <w:bCs/>
                <w:iCs/>
                <w:color w:val="333333"/>
                <w:sz w:val="20"/>
                <w:szCs w:val="20"/>
              </w:rPr>
              <w:t>hereditary angioedema Types 1 or 2</w:t>
            </w:r>
          </w:p>
        </w:tc>
      </w:tr>
      <w:tr w:rsidR="00DC6F5D" w:rsidRPr="00801CBF" w14:paraId="5BF93D30" w14:textId="77777777" w:rsidTr="00DC6F5D">
        <w:tc>
          <w:tcPr>
            <w:tcW w:w="553" w:type="pct"/>
            <w:vAlign w:val="center"/>
          </w:tcPr>
          <w:p w14:paraId="5480264C" w14:textId="1CCE32B3"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534A144A"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b/>
                <w:bCs/>
                <w:iCs/>
                <w:color w:val="333333"/>
                <w:sz w:val="20"/>
                <w:szCs w:val="20"/>
              </w:rPr>
              <w:t xml:space="preserve">Indication: </w:t>
            </w:r>
            <w:r w:rsidRPr="00801CBF">
              <w:rPr>
                <w:rFonts w:ascii="Arial Narrow" w:hAnsi="Arial Narrow" w:cs="Times New Roman"/>
                <w:bCs/>
                <w:iCs/>
                <w:color w:val="333333"/>
                <w:sz w:val="20"/>
                <w:szCs w:val="20"/>
              </w:rPr>
              <w:t>Chronic treatment of</w:t>
            </w:r>
            <w:r w:rsidRPr="00801CBF">
              <w:rPr>
                <w:rFonts w:ascii="Arial Narrow" w:hAnsi="Arial Narrow" w:cs="Times New Roman"/>
                <w:b/>
                <w:bCs/>
                <w:iCs/>
                <w:color w:val="333333"/>
                <w:sz w:val="20"/>
                <w:szCs w:val="20"/>
              </w:rPr>
              <w:t xml:space="preserve"> </w:t>
            </w:r>
            <w:r w:rsidRPr="00801CBF">
              <w:rPr>
                <w:rFonts w:ascii="Arial Narrow" w:hAnsi="Arial Narrow" w:cs="Times New Roman"/>
                <w:bCs/>
                <w:iCs/>
                <w:color w:val="333333"/>
                <w:sz w:val="20"/>
                <w:szCs w:val="20"/>
              </w:rPr>
              <w:t>hereditary angioedema Types 1 or 2</w:t>
            </w:r>
          </w:p>
        </w:tc>
      </w:tr>
      <w:tr w:rsidR="00DC6F5D" w:rsidRPr="00801CBF" w14:paraId="339DD96E" w14:textId="77777777" w:rsidTr="00DC6F5D">
        <w:tc>
          <w:tcPr>
            <w:tcW w:w="553" w:type="pct"/>
            <w:vAlign w:val="center"/>
          </w:tcPr>
          <w:p w14:paraId="03AD4045"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288744C6" w14:textId="77777777" w:rsidR="00DC6F5D" w:rsidRPr="00801CBF" w:rsidRDefault="00DC6F5D" w:rsidP="00DC6F5D">
            <w:pPr>
              <w:rPr>
                <w:rFonts w:ascii="Arial Narrow" w:hAnsi="Arial Narrow" w:cs="Times New Roman"/>
                <w:i/>
                <w:color w:val="333333"/>
                <w:sz w:val="20"/>
                <w:szCs w:val="20"/>
              </w:rPr>
            </w:pPr>
            <w:r w:rsidRPr="00801CBF">
              <w:rPr>
                <w:rFonts w:ascii="Arial Narrow" w:hAnsi="Arial Narrow" w:cs="Times New Roman"/>
                <w:b/>
                <w:bCs/>
                <w:color w:val="333333"/>
                <w:sz w:val="20"/>
                <w:szCs w:val="20"/>
              </w:rPr>
              <w:t>Treatment Phase:</w:t>
            </w:r>
            <w:r w:rsidRPr="00801CBF">
              <w:rPr>
                <w:rFonts w:ascii="Arial Narrow" w:hAnsi="Arial Narrow" w:cs="Times New Roman"/>
                <w:color w:val="333333"/>
                <w:sz w:val="20"/>
                <w:szCs w:val="20"/>
              </w:rPr>
              <w:t xml:space="preserve"> </w:t>
            </w:r>
          </w:p>
          <w:p w14:paraId="68663220"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color w:val="333333"/>
                <w:sz w:val="20"/>
                <w:szCs w:val="20"/>
              </w:rPr>
              <w:t xml:space="preserve">Initial 2: New patient (commencing from National Blood Authority-funded C1-INH) </w:t>
            </w:r>
          </w:p>
        </w:tc>
      </w:tr>
      <w:tr w:rsidR="00DC6F5D" w:rsidRPr="00801CBF" w14:paraId="6C11EBE4" w14:textId="77777777" w:rsidTr="00DC6F5D">
        <w:tc>
          <w:tcPr>
            <w:tcW w:w="553" w:type="pct"/>
            <w:vAlign w:val="center"/>
          </w:tcPr>
          <w:p w14:paraId="49AB28B4"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46454FC4"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b/>
                <w:bCs/>
                <w:color w:val="333333"/>
                <w:sz w:val="20"/>
                <w:szCs w:val="20"/>
              </w:rPr>
              <w:t>Treatment criteria:</w:t>
            </w:r>
          </w:p>
        </w:tc>
      </w:tr>
      <w:tr w:rsidR="00DC6F5D" w:rsidRPr="00801CBF" w14:paraId="7D67CF68" w14:textId="77777777" w:rsidTr="00DC6F5D">
        <w:tc>
          <w:tcPr>
            <w:tcW w:w="553" w:type="pct"/>
            <w:vAlign w:val="center"/>
          </w:tcPr>
          <w:p w14:paraId="069373EE" w14:textId="2D7BCC74"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61D32CBA" w14:textId="77777777" w:rsidR="00DC6F5D" w:rsidRPr="00801CBF" w:rsidRDefault="00DC6F5D" w:rsidP="00DC6F5D">
            <w:pPr>
              <w:autoSpaceDE w:val="0"/>
              <w:autoSpaceDN w:val="0"/>
              <w:adjustRightInd w:val="0"/>
              <w:rPr>
                <w:rFonts w:ascii="Arial Narrow" w:eastAsia="Calibri" w:hAnsi="Arial Narrow" w:cs="Arial Narrow"/>
                <w:i/>
                <w:iCs/>
                <w:sz w:val="20"/>
                <w:szCs w:val="20"/>
              </w:rPr>
            </w:pPr>
            <w:r w:rsidRPr="00801CBF">
              <w:rPr>
                <w:rFonts w:ascii="Arial Narrow" w:eastAsia="Calibri" w:hAnsi="Arial Narrow" w:cs="Arial Narrow"/>
                <w:iCs/>
                <w:sz w:val="20"/>
                <w:szCs w:val="20"/>
              </w:rPr>
              <w:t xml:space="preserve">Must be treated by a clinical immunologist </w:t>
            </w:r>
            <w:r w:rsidRPr="00801CBF">
              <w:rPr>
                <w:rFonts w:ascii="Arial Narrow" w:eastAsia="Calibri" w:hAnsi="Arial Narrow" w:cs="Arial Narrow"/>
                <w:sz w:val="20"/>
                <w:szCs w:val="20"/>
              </w:rPr>
              <w:t>or a specialist allergist</w:t>
            </w:r>
          </w:p>
        </w:tc>
      </w:tr>
      <w:tr w:rsidR="00DC6F5D" w:rsidRPr="00801CBF" w14:paraId="38EC64E2" w14:textId="77777777" w:rsidTr="00DC6F5D">
        <w:tc>
          <w:tcPr>
            <w:tcW w:w="553" w:type="pct"/>
            <w:vAlign w:val="center"/>
          </w:tcPr>
          <w:p w14:paraId="128CC1F2"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3CF90973"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b/>
                <w:bCs/>
                <w:color w:val="333333"/>
                <w:sz w:val="20"/>
                <w:szCs w:val="20"/>
              </w:rPr>
              <w:t>AND</w:t>
            </w:r>
          </w:p>
        </w:tc>
      </w:tr>
      <w:tr w:rsidR="00DC6F5D" w:rsidRPr="00801CBF" w14:paraId="75A75C76" w14:textId="77777777" w:rsidTr="00DC6F5D">
        <w:tc>
          <w:tcPr>
            <w:tcW w:w="553" w:type="pct"/>
            <w:vAlign w:val="center"/>
          </w:tcPr>
          <w:p w14:paraId="5FE6FF5A"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3BDF03F3"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b/>
                <w:bCs/>
                <w:color w:val="333333"/>
                <w:sz w:val="20"/>
                <w:szCs w:val="20"/>
              </w:rPr>
              <w:t>Clinical criteria:</w:t>
            </w:r>
          </w:p>
        </w:tc>
      </w:tr>
      <w:tr w:rsidR="00DC6F5D" w:rsidRPr="00801CBF" w14:paraId="1EB916D7" w14:textId="77777777" w:rsidTr="00DC6F5D">
        <w:trPr>
          <w:trHeight w:val="217"/>
        </w:trPr>
        <w:tc>
          <w:tcPr>
            <w:tcW w:w="553" w:type="pct"/>
            <w:vAlign w:val="center"/>
          </w:tcPr>
          <w:p w14:paraId="30931D3E" w14:textId="015F464D"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16D5AF77"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color w:val="333333"/>
                <w:sz w:val="20"/>
                <w:szCs w:val="20"/>
              </w:rPr>
              <w:t>Patient must have been receiving a C1-esterase inhibitor through the National Blood Authority as routine prophylaxis for hereditary angioedema immediately prior to receiving lanadelumab</w:t>
            </w:r>
          </w:p>
        </w:tc>
      </w:tr>
      <w:tr w:rsidR="00DC6F5D" w:rsidRPr="00801CBF" w14:paraId="093ED0F6" w14:textId="77777777" w:rsidTr="00DC6F5D">
        <w:tc>
          <w:tcPr>
            <w:tcW w:w="553" w:type="pct"/>
            <w:vAlign w:val="center"/>
          </w:tcPr>
          <w:p w14:paraId="3DADE8D5"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53CA0C18"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
                <w:bCs/>
                <w:color w:val="333333"/>
                <w:sz w:val="20"/>
                <w:szCs w:val="20"/>
              </w:rPr>
              <w:t>Clinical criteria:</w:t>
            </w:r>
          </w:p>
        </w:tc>
      </w:tr>
      <w:tr w:rsidR="00DC6F5D" w:rsidRPr="00801CBF" w14:paraId="732E02E1" w14:textId="77777777" w:rsidTr="00DC6F5D">
        <w:tc>
          <w:tcPr>
            <w:tcW w:w="553" w:type="pct"/>
            <w:vAlign w:val="center"/>
          </w:tcPr>
          <w:p w14:paraId="49E3117B"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27228AA7"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Cs/>
                <w:color w:val="333333"/>
                <w:sz w:val="20"/>
                <w:szCs w:val="20"/>
              </w:rPr>
              <w:t>The treatment must not be PBS-subsidised in combination with a C1-esterase inhibitor concentrate</w:t>
            </w:r>
          </w:p>
        </w:tc>
      </w:tr>
      <w:tr w:rsidR="00DC6F5D" w:rsidRPr="00801CBF" w14:paraId="41AF4906" w14:textId="77777777" w:rsidTr="00DC6F5D">
        <w:tc>
          <w:tcPr>
            <w:tcW w:w="553" w:type="pct"/>
            <w:vAlign w:val="center"/>
          </w:tcPr>
          <w:p w14:paraId="47316640" w14:textId="3F18A860"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4D2C9079"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
                <w:bCs/>
                <w:color w:val="333333"/>
                <w:sz w:val="20"/>
                <w:szCs w:val="20"/>
              </w:rPr>
              <w:t>Population criteria:</w:t>
            </w:r>
          </w:p>
        </w:tc>
      </w:tr>
      <w:tr w:rsidR="00DC6F5D" w:rsidRPr="00801CBF" w14:paraId="20ED7F16" w14:textId="77777777" w:rsidTr="00DC6F5D">
        <w:tc>
          <w:tcPr>
            <w:tcW w:w="553" w:type="pct"/>
            <w:vAlign w:val="center"/>
          </w:tcPr>
          <w:p w14:paraId="7C914790" w14:textId="300051C1"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6C735E17"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color w:val="333333"/>
                <w:sz w:val="20"/>
                <w:szCs w:val="20"/>
              </w:rPr>
              <w:t>Patient must be aged 12 years or older</w:t>
            </w:r>
          </w:p>
        </w:tc>
      </w:tr>
    </w:tbl>
    <w:tbl>
      <w:tblPr>
        <w:tblStyle w:val="TableGrid"/>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3"/>
        <w:gridCol w:w="7938"/>
      </w:tblGrid>
      <w:tr w:rsidR="00DF0829" w:rsidRPr="00801CBF" w14:paraId="2539D94E" w14:textId="77777777" w:rsidTr="004C2593">
        <w:tc>
          <w:tcPr>
            <w:tcW w:w="993" w:type="dxa"/>
          </w:tcPr>
          <w:p w14:paraId="523123AA" w14:textId="77777777" w:rsidR="00DF0829" w:rsidRPr="00801CBF" w:rsidRDefault="00DF0829" w:rsidP="004C2593">
            <w:pPr>
              <w:jc w:val="center"/>
              <w:rPr>
                <w:rFonts w:ascii="Arial Narrow" w:hAnsi="Arial Narrow"/>
                <w:bCs/>
                <w:sz w:val="20"/>
                <w:szCs w:val="20"/>
              </w:rPr>
            </w:pPr>
          </w:p>
          <w:p w14:paraId="11BDAB31" w14:textId="05E260C0" w:rsidR="00DF0829" w:rsidRPr="00801CBF" w:rsidRDefault="00DF0829" w:rsidP="004C2593">
            <w:pPr>
              <w:jc w:val="center"/>
              <w:rPr>
                <w:rFonts w:ascii="Arial Narrow" w:hAnsi="Arial Narrow"/>
                <w:bCs/>
                <w:sz w:val="20"/>
                <w:szCs w:val="20"/>
              </w:rPr>
            </w:pPr>
          </w:p>
        </w:tc>
        <w:tc>
          <w:tcPr>
            <w:tcW w:w="7938" w:type="dxa"/>
          </w:tcPr>
          <w:p w14:paraId="345D3092" w14:textId="77777777" w:rsidR="00DF0829" w:rsidRPr="00801CBF" w:rsidRDefault="00DF0829" w:rsidP="004C2593">
            <w:pPr>
              <w:ind w:left="-57"/>
              <w:rPr>
                <w:rFonts w:ascii="Arial Narrow" w:hAnsi="Arial Narrow"/>
                <w:b/>
                <w:bCs/>
                <w:sz w:val="20"/>
                <w:szCs w:val="20"/>
              </w:rPr>
            </w:pPr>
            <w:r w:rsidRPr="00801CBF">
              <w:rPr>
                <w:rFonts w:ascii="Arial Narrow" w:hAnsi="Arial Narrow"/>
                <w:b/>
                <w:bCs/>
                <w:sz w:val="20"/>
                <w:szCs w:val="20"/>
              </w:rPr>
              <w:t>Administrative advice:</w:t>
            </w:r>
          </w:p>
          <w:p w14:paraId="761D2C99"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Any queries concerning the arrangements to prescribe may be directed to Services Australia on 1800 700 270 (hours of operation 8 a.m. to 5 p.m. EST Monday to Friday).</w:t>
            </w:r>
          </w:p>
          <w:p w14:paraId="5844E86F"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6695D818"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1D8FEE88"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Or mailed to:</w:t>
            </w:r>
          </w:p>
          <w:p w14:paraId="35BE9AC5"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Services Australia</w:t>
            </w:r>
          </w:p>
          <w:p w14:paraId="6C44365B"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Complex Drugs</w:t>
            </w:r>
          </w:p>
          <w:p w14:paraId="0FE62325" w14:textId="77777777" w:rsidR="00DF0829" w:rsidRPr="00801CBF" w:rsidRDefault="00DF0829" w:rsidP="004C2593">
            <w:pPr>
              <w:ind w:left="-57"/>
              <w:rPr>
                <w:rFonts w:ascii="Arial Narrow" w:hAnsi="Arial Narrow"/>
                <w:bCs/>
                <w:sz w:val="20"/>
                <w:szCs w:val="20"/>
              </w:rPr>
            </w:pPr>
            <w:r w:rsidRPr="00801CBF">
              <w:rPr>
                <w:rFonts w:ascii="Arial Narrow" w:hAnsi="Arial Narrow"/>
                <w:bCs/>
                <w:sz w:val="20"/>
                <w:szCs w:val="20"/>
              </w:rPr>
              <w:t>Reply Paid 9826</w:t>
            </w:r>
          </w:p>
          <w:p w14:paraId="0ADEED14" w14:textId="77777777" w:rsidR="00DF0829" w:rsidRPr="00801CBF" w:rsidRDefault="00DF0829" w:rsidP="004C2593">
            <w:pPr>
              <w:ind w:left="-57"/>
              <w:rPr>
                <w:rFonts w:ascii="Arial Narrow" w:hAnsi="Arial Narrow"/>
                <w:b/>
                <w:bCs/>
                <w:sz w:val="20"/>
                <w:szCs w:val="20"/>
              </w:rPr>
            </w:pPr>
            <w:r w:rsidRPr="00801CBF">
              <w:rPr>
                <w:rFonts w:ascii="Arial Narrow" w:hAnsi="Arial Narrow"/>
                <w:bCs/>
                <w:sz w:val="20"/>
                <w:szCs w:val="20"/>
              </w:rPr>
              <w:t>HOBART TAS 7001</w:t>
            </w:r>
          </w:p>
        </w:tc>
      </w:tr>
    </w:tbl>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62095B03" w14:textId="77777777" w:rsidTr="00DC6F5D">
        <w:tc>
          <w:tcPr>
            <w:tcW w:w="553" w:type="pct"/>
            <w:vAlign w:val="center"/>
          </w:tcPr>
          <w:p w14:paraId="3752524A" w14:textId="58A657BA"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6C2BA943" w14:textId="77777777" w:rsidR="00DC6F5D" w:rsidRPr="00EA7B3F" w:rsidRDefault="00DC6F5D" w:rsidP="00DC6F5D">
            <w:pPr>
              <w:rPr>
                <w:rFonts w:ascii="Arial Narrow" w:hAnsi="Arial Narrow" w:cs="Times New Roman"/>
                <w:bCs/>
                <w:i/>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No increase in the maximum number of repeats may be authorised</w:t>
            </w:r>
          </w:p>
        </w:tc>
      </w:tr>
      <w:tr w:rsidR="00DC6F5D" w:rsidRPr="00EA7B3F" w14:paraId="79AA93A5" w14:textId="77777777" w:rsidTr="00DC6F5D">
        <w:tc>
          <w:tcPr>
            <w:tcW w:w="553" w:type="pct"/>
            <w:vAlign w:val="center"/>
          </w:tcPr>
          <w:p w14:paraId="1BF55CAE" w14:textId="00805A55"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EF149D7" w14:textId="77777777" w:rsidR="00DC6F5D" w:rsidRPr="00EA7B3F" w:rsidRDefault="00DC6F5D" w:rsidP="00DC6F5D">
            <w:pPr>
              <w:rPr>
                <w:rFonts w:ascii="Arial Narrow" w:hAnsi="Arial Narrow" w:cs="Times New Roman"/>
                <w:bCs/>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Special pricing arrangements apply</w:t>
            </w:r>
          </w:p>
        </w:tc>
      </w:tr>
    </w:tbl>
    <w:p w14:paraId="1FEF1947" w14:textId="77777777" w:rsidR="00DC6F5D" w:rsidRPr="00EA7B3F" w:rsidRDefault="00DC6F5D" w:rsidP="00DC6F5D">
      <w:pPr>
        <w:spacing w:after="200" w:line="276" w:lineRule="auto"/>
        <w:rPr>
          <w:rFonts w:ascii="Arial Narrow" w:eastAsia="Calibri" w:hAnsi="Arial Narrow" w:cs="Calibri"/>
          <w:sz w:val="20"/>
          <w:szCs w:val="20"/>
          <w:u w:val="single"/>
        </w:rPr>
      </w:pPr>
    </w:p>
    <w:p w14:paraId="32A987D8" w14:textId="77777777" w:rsidR="00DC6F5D" w:rsidRPr="00EA7B3F" w:rsidRDefault="00DC6F5D" w:rsidP="00DC6F5D">
      <w:pPr>
        <w:keepNext/>
        <w:spacing w:after="120"/>
        <w:rPr>
          <w:rFonts w:asciiTheme="minorHAnsi" w:eastAsia="Calibri" w:hAnsiTheme="minorHAnsi" w:cstheme="minorHAnsi"/>
          <w:u w:val="single"/>
        </w:rPr>
      </w:pPr>
      <w:r w:rsidRPr="00EA7B3F">
        <w:rPr>
          <w:rFonts w:asciiTheme="minorHAnsi" w:eastAsia="Calibri" w:hAnsiTheme="minorHAnsi" w:cstheme="minorHAnsi"/>
          <w:u w:val="single"/>
        </w:rPr>
        <w:t>Grandfather restriction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5E9E0A74" w14:textId="77777777" w:rsidTr="00DC6F5D">
        <w:tc>
          <w:tcPr>
            <w:tcW w:w="553" w:type="pct"/>
            <w:vMerge w:val="restart"/>
            <w:tcBorders>
              <w:top w:val="single" w:sz="4" w:space="0" w:color="auto"/>
              <w:left w:val="single" w:sz="4" w:space="0" w:color="auto"/>
              <w:right w:val="single" w:sz="4" w:space="0" w:color="auto"/>
            </w:tcBorders>
          </w:tcPr>
          <w:p w14:paraId="66A48B90" w14:textId="77777777" w:rsidR="00DC6F5D" w:rsidRPr="00EA7B3F" w:rsidRDefault="00DC6F5D" w:rsidP="00DC6F5D">
            <w:pPr>
              <w:rPr>
                <w:rFonts w:ascii="Arial Narrow" w:eastAsia="Calibri"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18B0DD2"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Category / Program:   </w:t>
            </w:r>
            <w:r w:rsidRPr="00EA7B3F">
              <w:rPr>
                <w:rFonts w:ascii="Arial Narrow" w:eastAsia="Calibri" w:hAnsi="Arial Narrow"/>
                <w:sz w:val="20"/>
                <w:szCs w:val="20"/>
              </w:rPr>
              <w:t xml:space="preserve">GENERAL – General Schedule (Code GE) </w:t>
            </w:r>
          </w:p>
        </w:tc>
      </w:tr>
      <w:tr w:rsidR="00DC6F5D" w:rsidRPr="00EA7B3F" w14:paraId="4279696C" w14:textId="77777777" w:rsidTr="00DC6F5D">
        <w:trPr>
          <w:trHeight w:val="116"/>
        </w:trPr>
        <w:tc>
          <w:tcPr>
            <w:tcW w:w="553" w:type="pct"/>
            <w:vMerge/>
            <w:tcBorders>
              <w:left w:val="single" w:sz="4" w:space="0" w:color="auto"/>
              <w:right w:val="single" w:sz="4" w:space="0" w:color="auto"/>
            </w:tcBorders>
          </w:tcPr>
          <w:p w14:paraId="7003E3D2"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047EDC4"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Prescriber type:  </w:t>
            </w:r>
            <w:r w:rsidRPr="00EA7B3F">
              <w:rPr>
                <w:rFonts w:ascii="Arial Narrow" w:eastAsia="Calibri" w:hAnsi="Arial Narrow"/>
                <w:sz w:val="20"/>
                <w:szCs w:val="20"/>
              </w:rPr>
              <w:fldChar w:fldCharType="begin">
                <w:ffData>
                  <w:name w:val=""/>
                  <w:enabled/>
                  <w:calcOnExit w:val="0"/>
                  <w:checkBox>
                    <w:sizeAuto/>
                    <w:default w:val="1"/>
                  </w:checkBox>
                </w:ffData>
              </w:fldChar>
            </w:r>
            <w:r w:rsidRPr="00EA7B3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EA7B3F">
              <w:rPr>
                <w:rFonts w:ascii="Arial Narrow" w:eastAsia="Calibri" w:hAnsi="Arial Narrow"/>
                <w:sz w:val="20"/>
                <w:szCs w:val="20"/>
              </w:rPr>
              <w:fldChar w:fldCharType="end"/>
            </w:r>
            <w:r w:rsidRPr="00EA7B3F">
              <w:rPr>
                <w:rFonts w:ascii="Arial Narrow" w:eastAsia="Calibri" w:hAnsi="Arial Narrow"/>
                <w:sz w:val="20"/>
                <w:szCs w:val="20"/>
              </w:rPr>
              <w:t xml:space="preserve">Medical Practitioners  </w:t>
            </w:r>
          </w:p>
        </w:tc>
      </w:tr>
      <w:tr w:rsidR="00DC6F5D" w:rsidRPr="00EA7B3F" w14:paraId="184931CF" w14:textId="77777777" w:rsidTr="00DC6F5D">
        <w:tc>
          <w:tcPr>
            <w:tcW w:w="553" w:type="pct"/>
            <w:vMerge/>
            <w:tcBorders>
              <w:left w:val="single" w:sz="4" w:space="0" w:color="auto"/>
              <w:bottom w:val="single" w:sz="4" w:space="0" w:color="auto"/>
              <w:right w:val="single" w:sz="4" w:space="0" w:color="auto"/>
            </w:tcBorders>
          </w:tcPr>
          <w:p w14:paraId="46CE1951"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BAE2465" w14:textId="77777777" w:rsidR="00DC6F5D" w:rsidRPr="00801CBF" w:rsidRDefault="00DC6F5D" w:rsidP="00DC6F5D">
            <w:pPr>
              <w:rPr>
                <w:rFonts w:ascii="Arial Narrow" w:eastAsia="Calibri" w:hAnsi="Arial Narrow"/>
                <w:b/>
                <w:sz w:val="20"/>
                <w:szCs w:val="20"/>
              </w:rPr>
            </w:pPr>
            <w:r w:rsidRPr="00801CBF">
              <w:rPr>
                <w:rFonts w:ascii="Arial Narrow" w:eastAsia="Calibri" w:hAnsi="Arial Narrow"/>
                <w:b/>
                <w:sz w:val="20"/>
                <w:szCs w:val="20"/>
              </w:rPr>
              <w:t>Restriction Level / Method:</w:t>
            </w:r>
          </w:p>
          <w:p w14:paraId="12B72D15" w14:textId="77777777" w:rsidR="00DC6F5D" w:rsidRPr="00801CBF" w:rsidRDefault="00DC6F5D" w:rsidP="00DC6F5D">
            <w:pPr>
              <w:rPr>
                <w:rFonts w:ascii="Arial Narrow" w:eastAsia="Calibri" w:hAnsi="Arial Narrow"/>
                <w:sz w:val="20"/>
                <w:szCs w:val="20"/>
              </w:rPr>
            </w:pPr>
            <w:r w:rsidRPr="00801CBF">
              <w:rPr>
                <w:rFonts w:ascii="Arial Narrow" w:eastAsia="Calibri" w:hAnsi="Arial Narrow"/>
                <w:sz w:val="20"/>
                <w:szCs w:val="20"/>
              </w:rPr>
              <w:fldChar w:fldCharType="begin">
                <w:ffData>
                  <w:name w:val=""/>
                  <w:enabled/>
                  <w:calcOnExit w:val="0"/>
                  <w:checkBox>
                    <w:sizeAuto/>
                    <w:default w:val="1"/>
                  </w:checkBox>
                </w:ffData>
              </w:fldChar>
            </w:r>
            <w:r w:rsidRPr="00801CB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801CBF">
              <w:rPr>
                <w:rFonts w:ascii="Arial Narrow" w:eastAsia="Calibri" w:hAnsi="Arial Narrow"/>
                <w:sz w:val="20"/>
                <w:szCs w:val="20"/>
              </w:rPr>
              <w:fldChar w:fldCharType="end"/>
            </w:r>
            <w:r w:rsidRPr="00801CBF">
              <w:rPr>
                <w:rFonts w:ascii="Arial Narrow" w:eastAsia="Calibri" w:hAnsi="Arial Narrow"/>
                <w:sz w:val="20"/>
                <w:szCs w:val="20"/>
              </w:rPr>
              <w:t xml:space="preserve">Authority Required – </w:t>
            </w:r>
            <w:r w:rsidR="00364D73" w:rsidRPr="00801CBF">
              <w:rPr>
                <w:rFonts w:ascii="Arial Narrow" w:eastAsia="Calibri" w:hAnsi="Arial Narrow"/>
                <w:sz w:val="20"/>
                <w:szCs w:val="20"/>
              </w:rPr>
              <w:t xml:space="preserve">(in writing)– Postal/HPOS Upload </w:t>
            </w:r>
          </w:p>
        </w:tc>
      </w:tr>
      <w:tr w:rsidR="00DC6F5D" w:rsidRPr="00EA7B3F" w14:paraId="01D00D52" w14:textId="77777777" w:rsidTr="00DC6F5D">
        <w:trPr>
          <w:trHeight w:val="156"/>
        </w:trPr>
        <w:tc>
          <w:tcPr>
            <w:tcW w:w="553" w:type="pct"/>
            <w:vAlign w:val="center"/>
          </w:tcPr>
          <w:p w14:paraId="4B0887FF"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1562B83"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
                <w:bCs/>
                <w:color w:val="333333"/>
                <w:sz w:val="20"/>
                <w:szCs w:val="20"/>
              </w:rPr>
              <w:t xml:space="preserve">Episodicity: </w:t>
            </w:r>
            <w:r w:rsidRPr="00801CBF">
              <w:rPr>
                <w:rFonts w:ascii="Arial Narrow" w:hAnsi="Arial Narrow" w:cs="Times New Roman"/>
                <w:bCs/>
                <w:color w:val="333333"/>
                <w:sz w:val="20"/>
                <w:szCs w:val="20"/>
              </w:rPr>
              <w:t>Chronic treatment of</w:t>
            </w:r>
          </w:p>
        </w:tc>
      </w:tr>
      <w:tr w:rsidR="00DC6F5D" w:rsidRPr="00EA7B3F" w14:paraId="2362F345" w14:textId="77777777" w:rsidTr="00DC6F5D">
        <w:trPr>
          <w:trHeight w:val="202"/>
        </w:trPr>
        <w:tc>
          <w:tcPr>
            <w:tcW w:w="553" w:type="pct"/>
            <w:vAlign w:val="center"/>
          </w:tcPr>
          <w:p w14:paraId="259BB644" w14:textId="77777777" w:rsidR="00DC6F5D" w:rsidRPr="00EA7B3F" w:rsidRDefault="00DC6F5D" w:rsidP="00DC6F5D">
            <w:pPr>
              <w:jc w:val="center"/>
              <w:rPr>
                <w:rFonts w:ascii="Arial Narrow" w:hAnsi="Arial Narrow" w:cs="Times New Roman"/>
                <w:color w:val="333333"/>
                <w:sz w:val="20"/>
                <w:szCs w:val="20"/>
              </w:rPr>
            </w:pPr>
          </w:p>
        </w:tc>
        <w:tc>
          <w:tcPr>
            <w:tcW w:w="4447" w:type="pct"/>
          </w:tcPr>
          <w:p w14:paraId="61AC2060" w14:textId="77777777" w:rsidR="00DC6F5D" w:rsidRPr="00801CBF" w:rsidRDefault="00DC6F5D" w:rsidP="00DC6F5D">
            <w:pPr>
              <w:rPr>
                <w:rFonts w:ascii="Arial Narrow" w:eastAsia="Calibri" w:hAnsi="Arial Narrow"/>
                <w:sz w:val="20"/>
                <w:szCs w:val="20"/>
              </w:rPr>
            </w:pPr>
            <w:r w:rsidRPr="00801CBF">
              <w:rPr>
                <w:rFonts w:ascii="Arial Narrow" w:eastAsia="Calibri" w:hAnsi="Arial Narrow"/>
                <w:b/>
                <w:bCs/>
                <w:sz w:val="20"/>
                <w:szCs w:val="20"/>
              </w:rPr>
              <w:t>Condition:</w:t>
            </w:r>
            <w:r w:rsidRPr="00801CBF">
              <w:rPr>
                <w:rFonts w:ascii="Arial Narrow" w:eastAsia="Calibri" w:hAnsi="Arial Narrow"/>
                <w:sz w:val="20"/>
                <w:szCs w:val="20"/>
              </w:rPr>
              <w:t xml:space="preserve"> hereditary angioedema Types 1 or 2</w:t>
            </w:r>
          </w:p>
        </w:tc>
      </w:tr>
      <w:tr w:rsidR="00DC6F5D" w:rsidRPr="00EA7B3F" w14:paraId="2319D036" w14:textId="77777777" w:rsidTr="00DC6F5D">
        <w:trPr>
          <w:trHeight w:val="202"/>
        </w:trPr>
        <w:tc>
          <w:tcPr>
            <w:tcW w:w="553" w:type="pct"/>
            <w:vAlign w:val="center"/>
          </w:tcPr>
          <w:p w14:paraId="261B633A" w14:textId="07FA05AF" w:rsidR="00DC6F5D" w:rsidRPr="00EA7B3F" w:rsidRDefault="00DC6F5D" w:rsidP="00DC6F5D">
            <w:pPr>
              <w:jc w:val="center"/>
              <w:rPr>
                <w:rFonts w:ascii="Arial Narrow" w:hAnsi="Arial Narrow" w:cs="Times New Roman"/>
                <w:color w:val="333333"/>
                <w:sz w:val="20"/>
                <w:szCs w:val="20"/>
              </w:rPr>
            </w:pPr>
          </w:p>
        </w:tc>
        <w:tc>
          <w:tcPr>
            <w:tcW w:w="4447" w:type="pct"/>
          </w:tcPr>
          <w:p w14:paraId="03BA74A7" w14:textId="77777777" w:rsidR="00DC6F5D" w:rsidRPr="00801CBF" w:rsidRDefault="00DC6F5D" w:rsidP="00DC6F5D">
            <w:pPr>
              <w:rPr>
                <w:rFonts w:ascii="Arial Narrow" w:eastAsia="Calibri" w:hAnsi="Arial Narrow"/>
                <w:sz w:val="20"/>
                <w:szCs w:val="20"/>
              </w:rPr>
            </w:pPr>
            <w:r w:rsidRPr="00801CBF">
              <w:rPr>
                <w:rFonts w:ascii="Arial Narrow" w:eastAsia="Calibri" w:hAnsi="Arial Narrow"/>
                <w:b/>
                <w:bCs/>
                <w:sz w:val="20"/>
                <w:szCs w:val="20"/>
              </w:rPr>
              <w:t>Indication</w:t>
            </w:r>
            <w:r w:rsidRPr="00801CBF">
              <w:rPr>
                <w:rFonts w:ascii="Arial Narrow" w:eastAsia="Calibri" w:hAnsi="Arial Narrow"/>
                <w:sz w:val="20"/>
                <w:szCs w:val="20"/>
              </w:rPr>
              <w:t>: Chronic treatment of hereditary angioedema Types 1 or 2</w:t>
            </w:r>
          </w:p>
        </w:tc>
      </w:tr>
      <w:tr w:rsidR="00DC6F5D" w:rsidRPr="00EA7B3F" w14:paraId="2F171346" w14:textId="77777777" w:rsidTr="00DC6F5D">
        <w:tc>
          <w:tcPr>
            <w:tcW w:w="553" w:type="pct"/>
            <w:vAlign w:val="center"/>
          </w:tcPr>
          <w:p w14:paraId="30555B2B"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55975943" w14:textId="77777777" w:rsidR="00DC6F5D" w:rsidRPr="00EA7B3F" w:rsidRDefault="00DC6F5D" w:rsidP="00DC6F5D">
            <w:pPr>
              <w:rPr>
                <w:rFonts w:ascii="Arial Narrow" w:eastAsia="Calibri" w:hAnsi="Arial Narrow" w:cs="Times New Roman"/>
                <w:sz w:val="20"/>
                <w:szCs w:val="20"/>
              </w:rPr>
            </w:pPr>
            <w:r w:rsidRPr="00EA7B3F">
              <w:rPr>
                <w:rFonts w:ascii="Arial Narrow" w:hAnsi="Arial Narrow" w:cs="Times New Roman"/>
                <w:b/>
                <w:bCs/>
                <w:color w:val="333333"/>
                <w:sz w:val="20"/>
                <w:szCs w:val="20"/>
              </w:rPr>
              <w:t>Treatment Phase:</w:t>
            </w:r>
            <w:r w:rsidRPr="00EA7B3F">
              <w:rPr>
                <w:rFonts w:ascii="Arial Narrow" w:eastAsia="Calibri" w:hAnsi="Arial Narrow" w:cs="Times New Roman"/>
                <w:sz w:val="20"/>
                <w:szCs w:val="20"/>
              </w:rPr>
              <w:t xml:space="preserve"> </w:t>
            </w:r>
          </w:p>
          <w:p w14:paraId="2A48349C" w14:textId="77777777" w:rsidR="00DC6F5D" w:rsidRPr="00EA7B3F" w:rsidRDefault="00DC6F5D" w:rsidP="00DC6F5D">
            <w:pPr>
              <w:rPr>
                <w:rFonts w:ascii="Arial Narrow" w:hAnsi="Arial Narrow" w:cs="Times New Roman"/>
                <w:iCs/>
                <w:color w:val="333333"/>
                <w:sz w:val="20"/>
                <w:szCs w:val="20"/>
              </w:rPr>
            </w:pPr>
            <w:r w:rsidRPr="00EA7B3F">
              <w:rPr>
                <w:rFonts w:ascii="Arial Narrow" w:hAnsi="Arial Narrow" w:cs="Times New Roman"/>
                <w:iCs/>
                <w:color w:val="333333"/>
                <w:sz w:val="20"/>
                <w:szCs w:val="20"/>
              </w:rPr>
              <w:t>Initial 3: Grandfather (commencing from non-PBS-subsidised treatment with this drug)</w:t>
            </w:r>
          </w:p>
        </w:tc>
      </w:tr>
      <w:tr w:rsidR="00DC6F5D" w:rsidRPr="00EA7B3F" w14:paraId="2CB92DBF" w14:textId="77777777" w:rsidTr="00DC6F5D">
        <w:tc>
          <w:tcPr>
            <w:tcW w:w="553" w:type="pct"/>
            <w:vAlign w:val="center"/>
          </w:tcPr>
          <w:p w14:paraId="234B2CAA"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15FD2D22"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Treatment criteria:</w:t>
            </w:r>
          </w:p>
        </w:tc>
      </w:tr>
      <w:tr w:rsidR="00DC6F5D" w:rsidRPr="00EA7B3F" w14:paraId="2DC5DBDF" w14:textId="77777777" w:rsidTr="00DC6F5D">
        <w:tc>
          <w:tcPr>
            <w:tcW w:w="553" w:type="pct"/>
            <w:vAlign w:val="center"/>
          </w:tcPr>
          <w:p w14:paraId="571CBB4C" w14:textId="1DB8B523"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044A3452" w14:textId="77777777" w:rsidR="00DC6F5D" w:rsidRPr="00EA7B3F" w:rsidRDefault="00DC6F5D" w:rsidP="00DC6F5D">
            <w:pPr>
              <w:autoSpaceDE w:val="0"/>
              <w:autoSpaceDN w:val="0"/>
              <w:adjustRightInd w:val="0"/>
              <w:rPr>
                <w:rFonts w:ascii="Arial Narrow" w:eastAsia="Calibri" w:hAnsi="Arial Narrow" w:cs="Arial Narrow"/>
                <w:i/>
                <w:iCs/>
                <w:sz w:val="20"/>
                <w:szCs w:val="20"/>
              </w:rPr>
            </w:pPr>
            <w:r w:rsidRPr="00EA7B3F">
              <w:rPr>
                <w:rFonts w:ascii="Arial Narrow" w:eastAsia="Calibri" w:hAnsi="Arial Narrow" w:cs="Arial Narrow"/>
                <w:iCs/>
                <w:sz w:val="20"/>
                <w:szCs w:val="20"/>
              </w:rPr>
              <w:t>Must be treated by a clinical immunologist or a specialist allergist</w:t>
            </w:r>
          </w:p>
        </w:tc>
      </w:tr>
      <w:tr w:rsidR="00DC6F5D" w:rsidRPr="00EA7B3F" w14:paraId="409D3354" w14:textId="77777777" w:rsidTr="00DC6F5D">
        <w:tc>
          <w:tcPr>
            <w:tcW w:w="553" w:type="pct"/>
            <w:vAlign w:val="center"/>
          </w:tcPr>
          <w:p w14:paraId="1A90C8B0"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F6FD723" w14:textId="77777777" w:rsidR="00DC6F5D" w:rsidRPr="00EA7B3F" w:rsidRDefault="00DC6F5D" w:rsidP="00DC6F5D">
            <w:pPr>
              <w:autoSpaceDE w:val="0"/>
              <w:autoSpaceDN w:val="0"/>
              <w:adjustRightInd w:val="0"/>
              <w:rPr>
                <w:rFonts w:ascii="Arial Narrow" w:eastAsia="Calibri" w:hAnsi="Arial Narrow" w:cs="Arial Narrow"/>
                <w:b/>
                <w:iCs/>
                <w:sz w:val="20"/>
                <w:szCs w:val="20"/>
              </w:rPr>
            </w:pPr>
            <w:r w:rsidRPr="00EA7B3F">
              <w:rPr>
                <w:rFonts w:ascii="Arial Narrow" w:eastAsia="Calibri" w:hAnsi="Arial Narrow" w:cs="Arial Narrow"/>
                <w:b/>
                <w:iCs/>
                <w:sz w:val="20"/>
                <w:szCs w:val="20"/>
              </w:rPr>
              <w:t>AND</w:t>
            </w:r>
          </w:p>
        </w:tc>
      </w:tr>
      <w:tr w:rsidR="00DC6F5D" w:rsidRPr="00EA7B3F" w14:paraId="05AB3CC5" w14:textId="77777777" w:rsidTr="00DC6F5D">
        <w:tc>
          <w:tcPr>
            <w:tcW w:w="553" w:type="pct"/>
            <w:vAlign w:val="center"/>
          </w:tcPr>
          <w:p w14:paraId="69C700A5"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12709FB2" w14:textId="77777777" w:rsidR="00DC6F5D" w:rsidRPr="00EA7B3F" w:rsidRDefault="00DC6F5D" w:rsidP="00DC6F5D">
            <w:pPr>
              <w:autoSpaceDE w:val="0"/>
              <w:autoSpaceDN w:val="0"/>
              <w:adjustRightInd w:val="0"/>
              <w:rPr>
                <w:rFonts w:ascii="Arial Narrow" w:eastAsia="Calibri" w:hAnsi="Arial Narrow" w:cs="Arial Narrow"/>
                <w:b/>
                <w:iCs/>
                <w:sz w:val="20"/>
                <w:szCs w:val="20"/>
              </w:rPr>
            </w:pPr>
            <w:r w:rsidRPr="00EA7B3F">
              <w:rPr>
                <w:rFonts w:ascii="Arial Narrow" w:eastAsia="Calibri" w:hAnsi="Arial Narrow" w:cs="Arial Narrow"/>
                <w:b/>
                <w:iCs/>
                <w:sz w:val="20"/>
                <w:szCs w:val="20"/>
              </w:rPr>
              <w:t>Clinical criteria:</w:t>
            </w:r>
          </w:p>
        </w:tc>
      </w:tr>
      <w:tr w:rsidR="00DC6F5D" w:rsidRPr="00EA7B3F" w14:paraId="349830A7" w14:textId="77777777" w:rsidTr="00DC6F5D">
        <w:trPr>
          <w:trHeight w:val="140"/>
        </w:trPr>
        <w:tc>
          <w:tcPr>
            <w:tcW w:w="553" w:type="pct"/>
            <w:vAlign w:val="center"/>
          </w:tcPr>
          <w:p w14:paraId="15470186"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60122EBF"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color w:val="333333"/>
                <w:sz w:val="20"/>
                <w:szCs w:val="20"/>
              </w:rPr>
              <w:t>Patient must have previously received non-PBS subsidised treatment with this drug as routine prophylaxis for hereditary angioedema prior to [listing date]</w:t>
            </w:r>
          </w:p>
        </w:tc>
      </w:tr>
      <w:tr w:rsidR="00DC6F5D" w:rsidRPr="00EA7B3F" w14:paraId="25836B96" w14:textId="77777777" w:rsidTr="00DC6F5D">
        <w:trPr>
          <w:trHeight w:val="160"/>
        </w:trPr>
        <w:tc>
          <w:tcPr>
            <w:tcW w:w="553" w:type="pct"/>
            <w:vAlign w:val="center"/>
          </w:tcPr>
          <w:p w14:paraId="4D8F3349"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09AF4F57"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bCs/>
                <w:color w:val="333333"/>
                <w:sz w:val="20"/>
                <w:szCs w:val="20"/>
              </w:rPr>
              <w:t>AND</w:t>
            </w:r>
          </w:p>
        </w:tc>
      </w:tr>
      <w:tr w:rsidR="00DC6F5D" w:rsidRPr="00EA7B3F" w14:paraId="58BB07D8" w14:textId="77777777" w:rsidTr="00DC6F5D">
        <w:trPr>
          <w:trHeight w:val="205"/>
        </w:trPr>
        <w:tc>
          <w:tcPr>
            <w:tcW w:w="553" w:type="pct"/>
            <w:vAlign w:val="center"/>
          </w:tcPr>
          <w:p w14:paraId="3DC32F10"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03F13CED"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bCs/>
                <w:color w:val="333333"/>
                <w:sz w:val="20"/>
                <w:szCs w:val="20"/>
              </w:rPr>
              <w:t>Clinical criteria:</w:t>
            </w:r>
          </w:p>
        </w:tc>
      </w:tr>
      <w:tr w:rsidR="00DC6F5D" w:rsidRPr="00EA7B3F" w14:paraId="3EC60108" w14:textId="77777777" w:rsidTr="00DC6F5D">
        <w:trPr>
          <w:trHeight w:val="308"/>
        </w:trPr>
        <w:tc>
          <w:tcPr>
            <w:tcW w:w="553" w:type="pct"/>
            <w:vAlign w:val="center"/>
          </w:tcPr>
          <w:p w14:paraId="1A28C8B5"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9A87610"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color w:val="333333"/>
                <w:sz w:val="20"/>
                <w:szCs w:val="20"/>
              </w:rPr>
              <w:t xml:space="preserve">Patient must have experienced at least 12 </w:t>
            </w:r>
            <w:r w:rsidRPr="00FB2A4F">
              <w:rPr>
                <w:rFonts w:ascii="Arial Narrow" w:hAnsi="Arial Narrow" w:cs="Times New Roman"/>
                <w:color w:val="333333"/>
                <w:sz w:val="20"/>
                <w:szCs w:val="20"/>
              </w:rPr>
              <w:t>treated</w:t>
            </w:r>
            <w:r w:rsidRPr="00EA7B3F">
              <w:rPr>
                <w:rFonts w:ascii="Arial Narrow" w:hAnsi="Arial Narrow" w:cs="Times New Roman"/>
                <w:color w:val="333333"/>
                <w:sz w:val="20"/>
                <w:szCs w:val="20"/>
              </w:rPr>
              <w:t xml:space="preserve"> acute attacks of hereditary angioedema within a 6 months period prior to commencing treatment with this drug</w:t>
            </w:r>
          </w:p>
        </w:tc>
      </w:tr>
      <w:tr w:rsidR="00DC6F5D" w:rsidRPr="00EA7B3F" w14:paraId="2FFB9A68" w14:textId="77777777" w:rsidTr="00DC6F5D">
        <w:trPr>
          <w:trHeight w:val="72"/>
        </w:trPr>
        <w:tc>
          <w:tcPr>
            <w:tcW w:w="553" w:type="pct"/>
            <w:vAlign w:val="center"/>
          </w:tcPr>
          <w:p w14:paraId="4D2252BE"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8CD1DC3" w14:textId="77777777" w:rsidR="00DC6F5D" w:rsidRPr="00EA7B3F" w:rsidRDefault="00DC6F5D" w:rsidP="00DC6F5D">
            <w:pPr>
              <w:rPr>
                <w:rFonts w:ascii="Arial Narrow" w:hAnsi="Arial Narrow" w:cs="Times New Roman"/>
                <w:b/>
                <w:color w:val="333333"/>
                <w:sz w:val="20"/>
                <w:szCs w:val="20"/>
              </w:rPr>
            </w:pPr>
            <w:r w:rsidRPr="00EA7B3F">
              <w:rPr>
                <w:rFonts w:ascii="Arial Narrow" w:hAnsi="Arial Narrow" w:cs="Times New Roman"/>
                <w:b/>
                <w:color w:val="333333"/>
                <w:sz w:val="20"/>
                <w:szCs w:val="20"/>
              </w:rPr>
              <w:t>AND</w:t>
            </w:r>
          </w:p>
        </w:tc>
      </w:tr>
      <w:tr w:rsidR="00DC6F5D" w:rsidRPr="00EA7B3F" w14:paraId="180FE28E" w14:textId="77777777" w:rsidTr="00DC6F5D">
        <w:trPr>
          <w:trHeight w:val="246"/>
        </w:trPr>
        <w:tc>
          <w:tcPr>
            <w:tcW w:w="553" w:type="pct"/>
            <w:vAlign w:val="center"/>
          </w:tcPr>
          <w:p w14:paraId="625F5614"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7E763659" w14:textId="77777777" w:rsidR="00DC6F5D" w:rsidRPr="00801CBF" w:rsidRDefault="00DC6F5D" w:rsidP="00DC6F5D">
            <w:pPr>
              <w:rPr>
                <w:rFonts w:ascii="Arial Narrow" w:hAnsi="Arial Narrow" w:cs="Times New Roman"/>
                <w:b/>
                <w:color w:val="333333"/>
                <w:sz w:val="20"/>
                <w:szCs w:val="20"/>
              </w:rPr>
            </w:pPr>
            <w:r w:rsidRPr="00801CBF">
              <w:rPr>
                <w:rFonts w:ascii="Arial Narrow" w:hAnsi="Arial Narrow" w:cs="Times New Roman"/>
                <w:b/>
                <w:color w:val="333333"/>
                <w:sz w:val="20"/>
                <w:szCs w:val="20"/>
              </w:rPr>
              <w:t>Clinical criteria:</w:t>
            </w:r>
          </w:p>
        </w:tc>
      </w:tr>
      <w:tr w:rsidR="00DF0829" w:rsidRPr="00EA7B3F" w14:paraId="152E4381" w14:textId="77777777" w:rsidTr="004C2593">
        <w:trPr>
          <w:trHeight w:val="108"/>
        </w:trPr>
        <w:tc>
          <w:tcPr>
            <w:tcW w:w="553" w:type="pct"/>
            <w:vAlign w:val="center"/>
          </w:tcPr>
          <w:p w14:paraId="34731C8E" w14:textId="77777777" w:rsidR="00DF0829" w:rsidRPr="00801CBF" w:rsidRDefault="00DF0829" w:rsidP="004C2593">
            <w:pPr>
              <w:jc w:val="center"/>
              <w:rPr>
                <w:rFonts w:ascii="Arial Narrow" w:hAnsi="Arial Narrow" w:cs="Times New Roman"/>
                <w:color w:val="333333"/>
                <w:sz w:val="20"/>
                <w:szCs w:val="20"/>
              </w:rPr>
            </w:pPr>
          </w:p>
        </w:tc>
        <w:tc>
          <w:tcPr>
            <w:tcW w:w="4447" w:type="pct"/>
            <w:vAlign w:val="center"/>
          </w:tcPr>
          <w:p w14:paraId="3F1B4B8D" w14:textId="77777777" w:rsidR="00DF0829" w:rsidRPr="00801CBF" w:rsidRDefault="00DF0829" w:rsidP="004C2593">
            <w:pPr>
              <w:rPr>
                <w:rFonts w:ascii="Arial Narrow" w:hAnsi="Arial Narrow" w:cs="Times New Roman"/>
                <w:color w:val="333333"/>
                <w:sz w:val="20"/>
                <w:szCs w:val="20"/>
              </w:rPr>
            </w:pPr>
            <w:r w:rsidRPr="00801CBF">
              <w:rPr>
                <w:rFonts w:ascii="Arial Narrow" w:hAnsi="Arial Narrow" w:cs="Times New Roman"/>
                <w:color w:val="333333"/>
                <w:sz w:val="20"/>
                <w:szCs w:val="20"/>
              </w:rPr>
              <w:t>The treatment must not be PBS-subsidised in combination with a C1-esterase inhibitor concentrate</w:t>
            </w:r>
          </w:p>
        </w:tc>
      </w:tr>
      <w:tr w:rsidR="00DC6F5D" w:rsidRPr="00EA7B3F" w14:paraId="18305777" w14:textId="77777777" w:rsidTr="00DC6F5D">
        <w:trPr>
          <w:trHeight w:val="108"/>
        </w:trPr>
        <w:tc>
          <w:tcPr>
            <w:tcW w:w="553" w:type="pct"/>
            <w:vAlign w:val="center"/>
          </w:tcPr>
          <w:p w14:paraId="2AE07931" w14:textId="5209B9C9"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009611AA"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b/>
                <w:bCs/>
                <w:color w:val="333333"/>
                <w:sz w:val="20"/>
                <w:szCs w:val="20"/>
              </w:rPr>
              <w:t>Population criteria:</w:t>
            </w:r>
          </w:p>
        </w:tc>
      </w:tr>
      <w:tr w:rsidR="00DC6F5D" w:rsidRPr="00EA7B3F" w14:paraId="4CC3836B" w14:textId="77777777" w:rsidTr="00DC6F5D">
        <w:trPr>
          <w:trHeight w:val="108"/>
        </w:trPr>
        <w:tc>
          <w:tcPr>
            <w:tcW w:w="553" w:type="pct"/>
            <w:vAlign w:val="center"/>
          </w:tcPr>
          <w:p w14:paraId="11982642" w14:textId="5A292517"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15006F88"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color w:val="333333"/>
                <w:sz w:val="20"/>
                <w:szCs w:val="20"/>
              </w:rPr>
              <w:t>Patient must be aged 12 years or older</w:t>
            </w:r>
          </w:p>
        </w:tc>
      </w:tr>
      <w:tr w:rsidR="00DC6F5D" w:rsidRPr="00EA7B3F" w14:paraId="54AA035E" w14:textId="77777777" w:rsidTr="00266831">
        <w:tc>
          <w:tcPr>
            <w:tcW w:w="553" w:type="pct"/>
            <w:vAlign w:val="center"/>
          </w:tcPr>
          <w:p w14:paraId="03957B40" w14:textId="7780D1B9" w:rsidR="00DC6F5D" w:rsidRPr="00801CBF" w:rsidRDefault="00DC6F5D" w:rsidP="00DC6F5D">
            <w:pPr>
              <w:jc w:val="center"/>
              <w:rPr>
                <w:rFonts w:ascii="Arial Narrow" w:hAnsi="Arial Narrow" w:cs="Times New Roman"/>
                <w:color w:val="333333"/>
                <w:sz w:val="20"/>
                <w:szCs w:val="20"/>
              </w:rPr>
            </w:pPr>
          </w:p>
        </w:tc>
        <w:tc>
          <w:tcPr>
            <w:tcW w:w="4447" w:type="pct"/>
            <w:vAlign w:val="center"/>
            <w:hideMark/>
          </w:tcPr>
          <w:p w14:paraId="18A5FA1A"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
                <w:bCs/>
                <w:color w:val="333333"/>
                <w:sz w:val="20"/>
                <w:szCs w:val="20"/>
              </w:rPr>
              <w:t xml:space="preserve">Prescribing Instructions: </w:t>
            </w:r>
          </w:p>
          <w:p w14:paraId="32788599"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color w:val="333333"/>
                <w:sz w:val="20"/>
                <w:szCs w:val="20"/>
              </w:rPr>
              <w:t xml:space="preserve">For the purposes of administering this restriction, acute attacks of hereditary angioedema are those of a severity necessitating immediate medical intervention </w:t>
            </w:r>
            <w:r w:rsidRPr="00801CBF">
              <w:rPr>
                <w:rFonts w:ascii="Arial Narrow" w:hAnsi="Arial Narrow" w:cs="Times New Roman"/>
                <w:sz w:val="20"/>
                <w:szCs w:val="20"/>
              </w:rPr>
              <w:t>with</w:t>
            </w:r>
            <w:r w:rsidR="007842F6" w:rsidRPr="00801CBF">
              <w:rPr>
                <w:rFonts w:ascii="Arial Narrow" w:hAnsi="Arial Narrow" w:cs="Times New Roman"/>
                <w:sz w:val="20"/>
                <w:szCs w:val="20"/>
              </w:rPr>
              <w:t xml:space="preserve"> either</w:t>
            </w:r>
            <w:r w:rsidRPr="00801CBF">
              <w:rPr>
                <w:rFonts w:ascii="Arial Narrow" w:hAnsi="Arial Narrow" w:cs="Times New Roman"/>
                <w:sz w:val="20"/>
                <w:szCs w:val="20"/>
              </w:rPr>
              <w:t xml:space="preserve"> (i) </w:t>
            </w:r>
            <w:r w:rsidRPr="00801CBF">
              <w:rPr>
                <w:rFonts w:ascii="Arial Narrow" w:hAnsi="Arial Narrow" w:cs="Times New Roman"/>
                <w:color w:val="333333"/>
                <w:sz w:val="20"/>
                <w:szCs w:val="20"/>
              </w:rPr>
              <w:t>icatibant,</w:t>
            </w:r>
            <w:r w:rsidR="007842F6" w:rsidRPr="00801CBF">
              <w:rPr>
                <w:rFonts w:ascii="Arial Narrow" w:hAnsi="Arial Narrow" w:cs="Times New Roman"/>
                <w:color w:val="333333"/>
                <w:sz w:val="20"/>
                <w:szCs w:val="20"/>
              </w:rPr>
              <w:t xml:space="preserve"> or</w:t>
            </w:r>
            <w:r w:rsidRPr="00801CBF">
              <w:rPr>
                <w:rFonts w:ascii="Arial Narrow" w:hAnsi="Arial Narrow" w:cs="Times New Roman"/>
                <w:color w:val="333333"/>
                <w:sz w:val="20"/>
                <w:szCs w:val="20"/>
              </w:rPr>
              <w:t xml:space="preserve"> (ii) C1-esterase inhibitor concentrate</w:t>
            </w:r>
          </w:p>
        </w:tc>
      </w:tr>
      <w:tr w:rsidR="00DC6F5D" w:rsidRPr="00EA7B3F" w14:paraId="4BF94C2E" w14:textId="77777777" w:rsidTr="00DC6F5D">
        <w:tc>
          <w:tcPr>
            <w:tcW w:w="553" w:type="pct"/>
            <w:vAlign w:val="center"/>
          </w:tcPr>
          <w:p w14:paraId="194FFD40" w14:textId="77777777" w:rsidR="00DC6F5D" w:rsidRPr="00EA7B3F" w:rsidRDefault="00DC6F5D" w:rsidP="00DC6F5D">
            <w:pPr>
              <w:jc w:val="center"/>
              <w:rPr>
                <w:rFonts w:ascii="Arial Narrow" w:hAnsi="Arial Narrow" w:cs="Times New Roman"/>
                <w:i/>
                <w:color w:val="333333"/>
                <w:sz w:val="20"/>
                <w:szCs w:val="20"/>
              </w:rPr>
            </w:pPr>
          </w:p>
        </w:tc>
        <w:tc>
          <w:tcPr>
            <w:tcW w:w="4447" w:type="pct"/>
            <w:vAlign w:val="center"/>
          </w:tcPr>
          <w:p w14:paraId="2CB33A65"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bCs/>
                <w:color w:val="333333"/>
                <w:sz w:val="20"/>
                <w:szCs w:val="20"/>
              </w:rPr>
              <w:t>Prescribing instructions:</w:t>
            </w:r>
          </w:p>
          <w:p w14:paraId="72D40CBB" w14:textId="77777777" w:rsidR="00DC6F5D" w:rsidRPr="00EA7B3F" w:rsidRDefault="00DC6F5D" w:rsidP="00DC6F5D">
            <w:pPr>
              <w:rPr>
                <w:rFonts w:ascii="Arial Narrow" w:hAnsi="Arial Narrow" w:cs="Times New Roman"/>
                <w:bCs/>
                <w:color w:val="333333"/>
                <w:sz w:val="20"/>
                <w:szCs w:val="20"/>
              </w:rPr>
            </w:pPr>
            <w:r w:rsidRPr="00EA7B3F">
              <w:rPr>
                <w:rFonts w:ascii="Arial Narrow" w:hAnsi="Arial Narrow" w:cs="Times New Roman"/>
                <w:bCs/>
                <w:color w:val="333333"/>
                <w:sz w:val="20"/>
                <w:szCs w:val="20"/>
              </w:rPr>
              <w:t xml:space="preserve">The baseline number of treated acute attacks of hereditary angioedema with the 6 months prior to initiating treatment must be </w:t>
            </w:r>
            <w:r w:rsidR="00FB2A4F">
              <w:rPr>
                <w:rFonts w:ascii="Arial Narrow" w:hAnsi="Arial Narrow" w:cs="Times New Roman"/>
                <w:bCs/>
                <w:color w:val="333333"/>
                <w:sz w:val="20"/>
                <w:szCs w:val="20"/>
              </w:rPr>
              <w:t xml:space="preserve">provided at the time of submitting this application. </w:t>
            </w:r>
          </w:p>
        </w:tc>
      </w:tr>
    </w:tbl>
    <w:tbl>
      <w:tblPr>
        <w:tblStyle w:val="TableGrid"/>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3"/>
        <w:gridCol w:w="7938"/>
      </w:tblGrid>
      <w:tr w:rsidR="00DF0829" w:rsidRPr="00EA7B3F" w14:paraId="6C3940C5" w14:textId="77777777" w:rsidTr="004C2593">
        <w:tc>
          <w:tcPr>
            <w:tcW w:w="993" w:type="dxa"/>
          </w:tcPr>
          <w:p w14:paraId="0BCBA391" w14:textId="5F42592C" w:rsidR="00DF0829" w:rsidRPr="00EA7B3F" w:rsidRDefault="00DF0829" w:rsidP="004C2593">
            <w:pPr>
              <w:jc w:val="center"/>
              <w:rPr>
                <w:rFonts w:ascii="Arial Narrow" w:hAnsi="Arial Narrow"/>
                <w:bCs/>
                <w:sz w:val="20"/>
                <w:szCs w:val="20"/>
              </w:rPr>
            </w:pPr>
            <w:bookmarkStart w:id="26" w:name="_GoBack" w:colFirst="0" w:colLast="2"/>
          </w:p>
        </w:tc>
        <w:tc>
          <w:tcPr>
            <w:tcW w:w="7938" w:type="dxa"/>
          </w:tcPr>
          <w:p w14:paraId="1E4E9E8F" w14:textId="77777777" w:rsidR="00DF0829" w:rsidRPr="00EA7B3F" w:rsidRDefault="00DF0829" w:rsidP="004C2593">
            <w:pPr>
              <w:ind w:left="-57"/>
              <w:rPr>
                <w:rFonts w:ascii="Arial Narrow" w:hAnsi="Arial Narrow"/>
                <w:b/>
                <w:bCs/>
                <w:sz w:val="20"/>
                <w:szCs w:val="20"/>
              </w:rPr>
            </w:pPr>
            <w:r w:rsidRPr="00EA7B3F">
              <w:rPr>
                <w:rFonts w:ascii="Arial Narrow" w:hAnsi="Arial Narrow"/>
                <w:b/>
                <w:bCs/>
                <w:sz w:val="20"/>
                <w:szCs w:val="20"/>
              </w:rPr>
              <w:t>Administrative advice:</w:t>
            </w:r>
          </w:p>
          <w:p w14:paraId="4925A638"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Any queries concerning the arrangements to prescribe may be directed to Services Australia on 1800 700 270 (hours of operation 8 a.m. to 5 p.m. EST Monday to Friday).</w:t>
            </w:r>
          </w:p>
          <w:p w14:paraId="44669D1E"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2FA65B85"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1C11CC12"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Or mailed to:</w:t>
            </w:r>
          </w:p>
          <w:p w14:paraId="71CE7E57"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Services Australia</w:t>
            </w:r>
          </w:p>
          <w:p w14:paraId="19D1CB77"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Complex Drugs</w:t>
            </w:r>
          </w:p>
          <w:p w14:paraId="20775173" w14:textId="77777777" w:rsidR="00DF0829" w:rsidRPr="00EA7B3F" w:rsidRDefault="00DF0829" w:rsidP="004C2593">
            <w:pPr>
              <w:ind w:left="-57"/>
              <w:rPr>
                <w:rFonts w:ascii="Arial Narrow" w:hAnsi="Arial Narrow"/>
                <w:bCs/>
                <w:sz w:val="20"/>
                <w:szCs w:val="20"/>
              </w:rPr>
            </w:pPr>
            <w:r w:rsidRPr="00EA7B3F">
              <w:rPr>
                <w:rFonts w:ascii="Arial Narrow" w:hAnsi="Arial Narrow"/>
                <w:bCs/>
                <w:sz w:val="20"/>
                <w:szCs w:val="20"/>
              </w:rPr>
              <w:t>Reply Paid 9826</w:t>
            </w:r>
          </w:p>
          <w:p w14:paraId="1C7C6B9E" w14:textId="77777777" w:rsidR="00DF0829" w:rsidRPr="00EA7B3F" w:rsidRDefault="00DF0829" w:rsidP="004C2593">
            <w:pPr>
              <w:ind w:left="-57"/>
              <w:rPr>
                <w:rFonts w:ascii="Arial Narrow" w:hAnsi="Arial Narrow"/>
                <w:b/>
                <w:bCs/>
                <w:sz w:val="20"/>
                <w:szCs w:val="20"/>
              </w:rPr>
            </w:pPr>
            <w:r w:rsidRPr="00EA7B3F">
              <w:rPr>
                <w:rFonts w:ascii="Arial Narrow" w:hAnsi="Arial Narrow"/>
                <w:bCs/>
                <w:sz w:val="20"/>
                <w:szCs w:val="20"/>
              </w:rPr>
              <w:t>HOBART TAS 7001</w:t>
            </w:r>
          </w:p>
        </w:tc>
      </w:tr>
      <w:bookmarkEnd w:id="26"/>
    </w:tbl>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7A6BFD39" w14:textId="77777777" w:rsidTr="00DC6F5D">
        <w:tc>
          <w:tcPr>
            <w:tcW w:w="553" w:type="pct"/>
            <w:vAlign w:val="center"/>
          </w:tcPr>
          <w:p w14:paraId="6B76C47E"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465D0A96"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color w:val="333333"/>
                <w:sz w:val="20"/>
                <w:szCs w:val="20"/>
              </w:rPr>
              <w:t>Administrative Advice:</w:t>
            </w:r>
            <w:r w:rsidRPr="00EA7B3F">
              <w:rPr>
                <w:rFonts w:ascii="Arial Narrow" w:hAnsi="Arial Narrow" w:cs="Times New Roman"/>
                <w:color w:val="333333"/>
                <w:sz w:val="20"/>
                <w:szCs w:val="20"/>
              </w:rPr>
              <w:t xml:space="preserve"> A patient may only qualify for PBS-subsidised treatment under this restriction once in a lifetime</w:t>
            </w:r>
          </w:p>
        </w:tc>
      </w:tr>
      <w:tr w:rsidR="00DC6F5D" w:rsidRPr="00EA7B3F" w14:paraId="463D05A8" w14:textId="77777777" w:rsidTr="00DC6F5D">
        <w:tc>
          <w:tcPr>
            <w:tcW w:w="553" w:type="pct"/>
            <w:vAlign w:val="center"/>
          </w:tcPr>
          <w:p w14:paraId="1BDE60A8"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D2EC4B4"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color w:val="333333"/>
                <w:sz w:val="20"/>
                <w:szCs w:val="20"/>
              </w:rPr>
              <w:t>Administrative Advice:</w:t>
            </w:r>
            <w:r w:rsidRPr="00EA7B3F">
              <w:rPr>
                <w:rFonts w:ascii="Arial Narrow" w:hAnsi="Arial Narrow" w:cs="Times New Roman"/>
                <w:color w:val="333333"/>
                <w:sz w:val="20"/>
                <w:szCs w:val="20"/>
              </w:rPr>
              <w:t xml:space="preserve"> This Grandfather restriction will cease to operate 12 months after the date specified in the clinical criteria</w:t>
            </w:r>
          </w:p>
        </w:tc>
      </w:tr>
      <w:tr w:rsidR="00DC6F5D" w:rsidRPr="00EA7B3F" w14:paraId="5762E37E" w14:textId="77777777" w:rsidTr="00DC6F5D">
        <w:tc>
          <w:tcPr>
            <w:tcW w:w="553" w:type="pct"/>
            <w:vAlign w:val="center"/>
          </w:tcPr>
          <w:p w14:paraId="2E0ED6D3" w14:textId="0F63D523"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0A54197F" w14:textId="77777777" w:rsidR="00DC6F5D" w:rsidRPr="00EA7B3F" w:rsidRDefault="00DC6F5D" w:rsidP="00DC6F5D">
            <w:pPr>
              <w:rPr>
                <w:rFonts w:ascii="Arial Narrow" w:hAnsi="Arial Narrow" w:cs="Times New Roman"/>
                <w:bCs/>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No increase in the maximum number of repeats may be authorised</w:t>
            </w:r>
          </w:p>
        </w:tc>
      </w:tr>
      <w:tr w:rsidR="00DC6F5D" w:rsidRPr="00EA7B3F" w14:paraId="4A9BE9C3" w14:textId="77777777" w:rsidTr="00DC6F5D">
        <w:tc>
          <w:tcPr>
            <w:tcW w:w="553" w:type="pct"/>
            <w:vAlign w:val="center"/>
          </w:tcPr>
          <w:p w14:paraId="07BE481F" w14:textId="03F465A0"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29E17D98" w14:textId="77777777" w:rsidR="00DC6F5D" w:rsidRPr="00EA7B3F" w:rsidRDefault="00DC6F5D" w:rsidP="00DC6F5D">
            <w:pPr>
              <w:rPr>
                <w:rFonts w:ascii="Arial Narrow" w:hAnsi="Arial Narrow" w:cs="Times New Roman"/>
                <w:bCs/>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Special pricing arrangements apply</w:t>
            </w:r>
          </w:p>
        </w:tc>
      </w:tr>
    </w:tbl>
    <w:p w14:paraId="5A63CADC" w14:textId="77777777" w:rsidR="00DC6F5D" w:rsidRPr="00EA7B3F" w:rsidRDefault="00DC6F5D" w:rsidP="00DC6F5D">
      <w:pPr>
        <w:rPr>
          <w:rFonts w:ascii="Arial Narrow" w:hAnsi="Arial Narrow"/>
          <w:color w:val="3366FF"/>
          <w:sz w:val="20"/>
          <w:szCs w:val="20"/>
        </w:rPr>
      </w:pPr>
    </w:p>
    <w:p w14:paraId="416A3EC7" w14:textId="77777777" w:rsidR="00DC6F5D" w:rsidRPr="00EA7B3F" w:rsidRDefault="00DC6F5D" w:rsidP="00DC6F5D">
      <w:pPr>
        <w:rPr>
          <w:rFonts w:ascii="Arial Narrow" w:hAnsi="Arial Narrow"/>
          <w:color w:val="3366FF"/>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134"/>
        <w:gridCol w:w="992"/>
        <w:gridCol w:w="1107"/>
        <w:gridCol w:w="1170"/>
        <w:gridCol w:w="1551"/>
      </w:tblGrid>
      <w:tr w:rsidR="00DC6F5D" w:rsidRPr="00EA7B3F" w14:paraId="3B8CCCC7" w14:textId="77777777" w:rsidTr="00DC6F5D">
        <w:trPr>
          <w:cantSplit/>
          <w:trHeight w:val="471"/>
        </w:trPr>
        <w:tc>
          <w:tcPr>
            <w:tcW w:w="2972" w:type="dxa"/>
          </w:tcPr>
          <w:p w14:paraId="23F71E81" w14:textId="77777777" w:rsidR="00DC6F5D" w:rsidRPr="00EA7B3F" w:rsidRDefault="00DC6F5D" w:rsidP="00DC6F5D">
            <w:pPr>
              <w:keepNext/>
              <w:ind w:left="-108"/>
              <w:rPr>
                <w:rFonts w:ascii="Arial Narrow" w:eastAsia="Calibri" w:hAnsi="Arial Narrow"/>
                <w:b/>
                <w:sz w:val="20"/>
                <w:szCs w:val="20"/>
              </w:rPr>
            </w:pPr>
            <w:r w:rsidRPr="00EA7B3F">
              <w:rPr>
                <w:rFonts w:ascii="Arial Narrow" w:eastAsia="Calibri" w:hAnsi="Arial Narrow"/>
                <w:b/>
                <w:sz w:val="20"/>
                <w:szCs w:val="20"/>
              </w:rPr>
              <w:t>Name, Restriction,</w:t>
            </w:r>
          </w:p>
          <w:p w14:paraId="5A59F5E8" w14:textId="77777777" w:rsidR="00DC6F5D" w:rsidRPr="00EA7B3F" w:rsidRDefault="00DC6F5D" w:rsidP="00DC6F5D">
            <w:pPr>
              <w:keepNext/>
              <w:ind w:left="-108"/>
              <w:rPr>
                <w:rFonts w:ascii="Arial Narrow" w:eastAsia="Calibri" w:hAnsi="Arial Narrow"/>
                <w:b/>
                <w:sz w:val="20"/>
                <w:szCs w:val="20"/>
              </w:rPr>
            </w:pPr>
            <w:r w:rsidRPr="00EA7B3F">
              <w:rPr>
                <w:rFonts w:ascii="Arial Narrow" w:eastAsia="Calibri" w:hAnsi="Arial Narrow"/>
                <w:b/>
                <w:sz w:val="20"/>
                <w:szCs w:val="20"/>
              </w:rPr>
              <w:t>Manner of administration and form</w:t>
            </w:r>
          </w:p>
        </w:tc>
        <w:tc>
          <w:tcPr>
            <w:tcW w:w="1134" w:type="dxa"/>
          </w:tcPr>
          <w:p w14:paraId="483BA437"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PBS item code</w:t>
            </w:r>
          </w:p>
        </w:tc>
        <w:tc>
          <w:tcPr>
            <w:tcW w:w="992" w:type="dxa"/>
          </w:tcPr>
          <w:p w14:paraId="3317B124"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Max. qty packs</w:t>
            </w:r>
          </w:p>
        </w:tc>
        <w:tc>
          <w:tcPr>
            <w:tcW w:w="1107" w:type="dxa"/>
          </w:tcPr>
          <w:p w14:paraId="2EF37FC8"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Max. qty units</w:t>
            </w:r>
          </w:p>
        </w:tc>
        <w:tc>
          <w:tcPr>
            <w:tcW w:w="1170" w:type="dxa"/>
          </w:tcPr>
          <w:p w14:paraId="4E79DCFE"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№.of</w:t>
            </w:r>
          </w:p>
          <w:p w14:paraId="341FE519" w14:textId="77777777" w:rsidR="00DC6F5D" w:rsidRPr="00EA7B3F" w:rsidRDefault="00DC6F5D" w:rsidP="00DC6F5D">
            <w:pPr>
              <w:keepNext/>
              <w:ind w:left="-108"/>
              <w:jc w:val="center"/>
              <w:rPr>
                <w:rFonts w:ascii="Arial Narrow" w:eastAsia="Calibri" w:hAnsi="Arial Narrow"/>
                <w:b/>
                <w:sz w:val="20"/>
                <w:szCs w:val="20"/>
              </w:rPr>
            </w:pPr>
            <w:r w:rsidRPr="00EA7B3F">
              <w:rPr>
                <w:rFonts w:ascii="Arial Narrow" w:eastAsia="Calibri" w:hAnsi="Arial Narrow"/>
                <w:b/>
                <w:sz w:val="20"/>
                <w:szCs w:val="20"/>
              </w:rPr>
              <w:t>Rpts</w:t>
            </w:r>
          </w:p>
        </w:tc>
        <w:tc>
          <w:tcPr>
            <w:tcW w:w="1551" w:type="dxa"/>
          </w:tcPr>
          <w:p w14:paraId="46A4CE57" w14:textId="77777777" w:rsidR="00DC6F5D" w:rsidRPr="00EA7B3F" w:rsidRDefault="00DC6F5D" w:rsidP="00DC6F5D">
            <w:pPr>
              <w:keepNext/>
              <w:rPr>
                <w:rFonts w:ascii="Arial Narrow" w:eastAsia="Calibri" w:hAnsi="Arial Narrow"/>
                <w:b/>
                <w:sz w:val="20"/>
                <w:szCs w:val="20"/>
              </w:rPr>
            </w:pPr>
            <w:r w:rsidRPr="00EA7B3F">
              <w:rPr>
                <w:rFonts w:ascii="Arial Narrow" w:eastAsia="Calibri" w:hAnsi="Arial Narrow"/>
                <w:b/>
                <w:sz w:val="20"/>
                <w:szCs w:val="20"/>
              </w:rPr>
              <w:t xml:space="preserve">Proprietary Name </w:t>
            </w:r>
          </w:p>
        </w:tc>
      </w:tr>
      <w:tr w:rsidR="00DC6F5D" w:rsidRPr="00EA7B3F" w14:paraId="3540092C" w14:textId="77777777" w:rsidTr="00DC6F5D">
        <w:trPr>
          <w:cantSplit/>
          <w:trHeight w:val="94"/>
        </w:trPr>
        <w:tc>
          <w:tcPr>
            <w:tcW w:w="8926" w:type="dxa"/>
            <w:gridSpan w:val="6"/>
          </w:tcPr>
          <w:p w14:paraId="2398BAB9" w14:textId="77777777" w:rsidR="00DC6F5D" w:rsidRPr="00801CBF" w:rsidRDefault="00DC6F5D" w:rsidP="00DC6F5D">
            <w:pPr>
              <w:keepNext/>
              <w:rPr>
                <w:rFonts w:ascii="Arial Narrow" w:eastAsia="Calibri" w:hAnsi="Arial Narrow"/>
                <w:sz w:val="20"/>
                <w:szCs w:val="20"/>
              </w:rPr>
            </w:pPr>
            <w:r w:rsidRPr="00801CBF">
              <w:rPr>
                <w:rFonts w:ascii="Arial Narrow" w:eastAsia="Calibri" w:hAnsi="Arial Narrow"/>
                <w:sz w:val="20"/>
                <w:szCs w:val="20"/>
              </w:rPr>
              <w:t xml:space="preserve">LANADELUMAB </w:t>
            </w:r>
          </w:p>
        </w:tc>
      </w:tr>
      <w:tr w:rsidR="00DC6F5D" w:rsidRPr="00EA7B3F" w14:paraId="41388729" w14:textId="77777777" w:rsidTr="00DC6F5D">
        <w:trPr>
          <w:cantSplit/>
          <w:trHeight w:val="347"/>
        </w:trPr>
        <w:tc>
          <w:tcPr>
            <w:tcW w:w="2972" w:type="dxa"/>
            <w:tcMar>
              <w:left w:w="170" w:type="dxa"/>
              <w:right w:w="170" w:type="dxa"/>
            </w:tcMar>
          </w:tcPr>
          <w:p w14:paraId="74ACBF23" w14:textId="77777777" w:rsidR="00DC6F5D" w:rsidRPr="00801CBF" w:rsidRDefault="00DC6F5D" w:rsidP="00DC6F5D">
            <w:pPr>
              <w:keepNext/>
              <w:ind w:left="-108"/>
              <w:rPr>
                <w:rFonts w:ascii="Arial Narrow" w:eastAsia="Calibri" w:hAnsi="Arial Narrow"/>
                <w:sz w:val="20"/>
                <w:szCs w:val="20"/>
              </w:rPr>
            </w:pPr>
            <w:r w:rsidRPr="00801CBF">
              <w:rPr>
                <w:rFonts w:ascii="Arial Narrow" w:eastAsia="Calibri" w:hAnsi="Arial Narrow"/>
                <w:sz w:val="20"/>
                <w:szCs w:val="20"/>
              </w:rPr>
              <w:t>lanadelumab 300 mg/2 mL injection</w:t>
            </w:r>
          </w:p>
          <w:p w14:paraId="222D9FF9" w14:textId="77777777" w:rsidR="00DC6F5D" w:rsidRPr="00801CBF" w:rsidRDefault="00DC6F5D" w:rsidP="00DC6F5D">
            <w:pPr>
              <w:keepNext/>
              <w:ind w:left="-108"/>
              <w:rPr>
                <w:rFonts w:ascii="Arial Narrow" w:eastAsia="Calibri" w:hAnsi="Arial Narrow"/>
                <w:sz w:val="20"/>
                <w:szCs w:val="20"/>
              </w:rPr>
            </w:pPr>
            <w:r w:rsidRPr="00801CBF">
              <w:rPr>
                <w:rFonts w:ascii="Arial Narrow" w:eastAsia="Calibri" w:hAnsi="Arial Narrow"/>
                <w:sz w:val="20"/>
                <w:szCs w:val="20"/>
              </w:rPr>
              <w:t xml:space="preserve">1 x 2 mL syringe </w:t>
            </w:r>
          </w:p>
        </w:tc>
        <w:tc>
          <w:tcPr>
            <w:tcW w:w="1134" w:type="dxa"/>
          </w:tcPr>
          <w:p w14:paraId="4B5EC97B" w14:textId="77777777" w:rsidR="00DC6F5D" w:rsidRPr="00801CBF" w:rsidRDefault="00DC6F5D" w:rsidP="00DC6F5D">
            <w:pPr>
              <w:keepNext/>
              <w:jc w:val="center"/>
              <w:rPr>
                <w:rFonts w:ascii="Arial Narrow" w:eastAsia="Calibri" w:hAnsi="Arial Narrow"/>
                <w:sz w:val="20"/>
                <w:szCs w:val="20"/>
              </w:rPr>
            </w:pPr>
            <w:r w:rsidRPr="00801CBF">
              <w:rPr>
                <w:rFonts w:ascii="Arial Narrow" w:eastAsia="Calibri" w:hAnsi="Arial Narrow"/>
                <w:sz w:val="20"/>
                <w:szCs w:val="20"/>
              </w:rPr>
              <w:t>NEW</w:t>
            </w:r>
          </w:p>
        </w:tc>
        <w:tc>
          <w:tcPr>
            <w:tcW w:w="992" w:type="dxa"/>
          </w:tcPr>
          <w:p w14:paraId="0E644C1A" w14:textId="77777777" w:rsidR="00DC6F5D" w:rsidRPr="00801CBF" w:rsidRDefault="00DC6F5D" w:rsidP="00DC6F5D">
            <w:pPr>
              <w:keepNext/>
              <w:jc w:val="center"/>
              <w:rPr>
                <w:rFonts w:ascii="Arial Narrow" w:eastAsia="Calibri" w:hAnsi="Arial Narrow"/>
                <w:sz w:val="20"/>
                <w:szCs w:val="20"/>
              </w:rPr>
            </w:pPr>
            <w:r w:rsidRPr="00801CBF">
              <w:rPr>
                <w:rFonts w:ascii="Arial Narrow" w:eastAsia="Calibri" w:hAnsi="Arial Narrow"/>
                <w:sz w:val="20"/>
                <w:szCs w:val="20"/>
              </w:rPr>
              <w:t>1</w:t>
            </w:r>
          </w:p>
        </w:tc>
        <w:tc>
          <w:tcPr>
            <w:tcW w:w="1107" w:type="dxa"/>
          </w:tcPr>
          <w:p w14:paraId="38C841CF" w14:textId="77777777" w:rsidR="00DC6F5D" w:rsidRPr="00801CBF" w:rsidRDefault="00DC6F5D" w:rsidP="00DC6F5D">
            <w:pPr>
              <w:keepNext/>
              <w:jc w:val="center"/>
              <w:rPr>
                <w:rFonts w:ascii="Arial Narrow" w:eastAsia="Calibri" w:hAnsi="Arial Narrow"/>
                <w:iCs/>
                <w:sz w:val="20"/>
                <w:szCs w:val="20"/>
              </w:rPr>
            </w:pPr>
            <w:r w:rsidRPr="00801CBF">
              <w:rPr>
                <w:rFonts w:ascii="Arial Narrow" w:eastAsia="Calibri" w:hAnsi="Arial Narrow"/>
                <w:iCs/>
                <w:sz w:val="20"/>
                <w:szCs w:val="20"/>
              </w:rPr>
              <w:t xml:space="preserve">1 </w:t>
            </w:r>
          </w:p>
        </w:tc>
        <w:tc>
          <w:tcPr>
            <w:tcW w:w="1170" w:type="dxa"/>
          </w:tcPr>
          <w:p w14:paraId="75917D29" w14:textId="77777777" w:rsidR="00DC6F5D" w:rsidRPr="00801CBF" w:rsidRDefault="00DC6F5D" w:rsidP="00DC6F5D">
            <w:pPr>
              <w:keepNext/>
              <w:jc w:val="center"/>
              <w:rPr>
                <w:rFonts w:ascii="Arial Narrow" w:eastAsia="Calibri" w:hAnsi="Arial Narrow"/>
                <w:sz w:val="20"/>
                <w:szCs w:val="20"/>
              </w:rPr>
            </w:pPr>
            <w:r w:rsidRPr="00801CBF">
              <w:rPr>
                <w:rFonts w:ascii="Arial Narrow" w:eastAsia="Calibri" w:hAnsi="Arial Narrow"/>
                <w:sz w:val="20"/>
                <w:szCs w:val="20"/>
              </w:rPr>
              <w:t>5</w:t>
            </w:r>
          </w:p>
        </w:tc>
        <w:tc>
          <w:tcPr>
            <w:tcW w:w="1551" w:type="dxa"/>
          </w:tcPr>
          <w:p w14:paraId="697B7B5D" w14:textId="77777777" w:rsidR="00DC6F5D" w:rsidRPr="00EA7B3F" w:rsidRDefault="00DC6F5D" w:rsidP="00DC6F5D">
            <w:pPr>
              <w:keepNext/>
              <w:rPr>
                <w:rFonts w:ascii="Arial Narrow" w:eastAsia="Calibri" w:hAnsi="Arial Narrow"/>
                <w:sz w:val="20"/>
                <w:szCs w:val="20"/>
              </w:rPr>
            </w:pPr>
            <w:r w:rsidRPr="00EA7B3F">
              <w:rPr>
                <w:rFonts w:ascii="Arial Narrow" w:eastAsia="Calibri" w:hAnsi="Arial Narrow"/>
                <w:sz w:val="20"/>
                <w:szCs w:val="20"/>
              </w:rPr>
              <w:t xml:space="preserve">Takhzyro </w:t>
            </w:r>
          </w:p>
        </w:tc>
      </w:tr>
    </w:tbl>
    <w:p w14:paraId="30A60AB5" w14:textId="77777777" w:rsidR="00DC6F5D" w:rsidRPr="00EA7B3F" w:rsidRDefault="00DC6F5D" w:rsidP="00DC6F5D">
      <w:pPr>
        <w:spacing w:before="240"/>
        <w:rPr>
          <w:rFonts w:ascii="Arial Narrow" w:eastAsia="Calibri" w:hAnsi="Arial Narrow" w:cs="Calibri"/>
          <w:sz w:val="20"/>
          <w:szCs w:val="20"/>
          <w:u w:val="single"/>
        </w:rPr>
      </w:pPr>
      <w:r w:rsidRPr="00EA7B3F">
        <w:rPr>
          <w:rFonts w:ascii="Arial Narrow" w:eastAsia="Calibri" w:hAnsi="Arial Narrow" w:cs="Calibri"/>
          <w:sz w:val="20"/>
          <w:szCs w:val="20"/>
          <w:u w:val="single"/>
        </w:rPr>
        <w:t>Continuing treatment Restriction Summary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DC6F5D" w:rsidRPr="00EA7B3F" w14:paraId="79453505" w14:textId="77777777" w:rsidTr="00DC6F5D">
        <w:tc>
          <w:tcPr>
            <w:tcW w:w="553" w:type="pct"/>
            <w:vMerge w:val="restart"/>
            <w:tcBorders>
              <w:top w:val="single" w:sz="4" w:space="0" w:color="auto"/>
              <w:left w:val="single" w:sz="4" w:space="0" w:color="auto"/>
              <w:right w:val="single" w:sz="4" w:space="0" w:color="auto"/>
            </w:tcBorders>
          </w:tcPr>
          <w:p w14:paraId="317D94B9" w14:textId="77777777" w:rsidR="00DC6F5D" w:rsidRPr="00EA7B3F" w:rsidRDefault="00DC6F5D" w:rsidP="00DC6F5D">
            <w:pPr>
              <w:rPr>
                <w:rFonts w:ascii="Arial Narrow" w:eastAsia="Calibri" w:hAnsi="Arial Narrow"/>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9BF419F"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Category / Program:   </w:t>
            </w:r>
            <w:r w:rsidRPr="00EA7B3F">
              <w:rPr>
                <w:rFonts w:ascii="Arial Narrow" w:eastAsia="Calibri" w:hAnsi="Arial Narrow"/>
                <w:sz w:val="20"/>
                <w:szCs w:val="20"/>
              </w:rPr>
              <w:t xml:space="preserve">GENERAL – General Schedule (Code GE) </w:t>
            </w:r>
          </w:p>
        </w:tc>
      </w:tr>
      <w:tr w:rsidR="00DC6F5D" w:rsidRPr="00EA7B3F" w14:paraId="55E98607" w14:textId="77777777" w:rsidTr="00DC6F5D">
        <w:trPr>
          <w:trHeight w:val="217"/>
        </w:trPr>
        <w:tc>
          <w:tcPr>
            <w:tcW w:w="553" w:type="pct"/>
            <w:vMerge/>
            <w:tcBorders>
              <w:left w:val="single" w:sz="4" w:space="0" w:color="auto"/>
              <w:right w:val="single" w:sz="4" w:space="0" w:color="auto"/>
            </w:tcBorders>
          </w:tcPr>
          <w:p w14:paraId="6F0FECDC"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0FEB16D"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b/>
                <w:sz w:val="20"/>
                <w:szCs w:val="20"/>
              </w:rPr>
              <w:t xml:space="preserve">Prescriber type:  </w:t>
            </w:r>
            <w:r w:rsidRPr="00EA7B3F">
              <w:rPr>
                <w:rFonts w:ascii="Arial Narrow" w:eastAsia="Calibri" w:hAnsi="Arial Narrow"/>
                <w:sz w:val="20"/>
                <w:szCs w:val="20"/>
              </w:rPr>
              <w:fldChar w:fldCharType="begin">
                <w:ffData>
                  <w:name w:val=""/>
                  <w:enabled/>
                  <w:calcOnExit w:val="0"/>
                  <w:checkBox>
                    <w:sizeAuto/>
                    <w:default w:val="1"/>
                  </w:checkBox>
                </w:ffData>
              </w:fldChar>
            </w:r>
            <w:r w:rsidRPr="00EA7B3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EA7B3F">
              <w:rPr>
                <w:rFonts w:ascii="Arial Narrow" w:eastAsia="Calibri" w:hAnsi="Arial Narrow"/>
                <w:sz w:val="20"/>
                <w:szCs w:val="20"/>
              </w:rPr>
              <w:fldChar w:fldCharType="end"/>
            </w:r>
            <w:r w:rsidRPr="00EA7B3F">
              <w:rPr>
                <w:rFonts w:ascii="Arial Narrow" w:eastAsia="Calibri" w:hAnsi="Arial Narrow"/>
                <w:sz w:val="20"/>
                <w:szCs w:val="20"/>
              </w:rPr>
              <w:t xml:space="preserve">Medical Practitioners  </w:t>
            </w:r>
          </w:p>
        </w:tc>
      </w:tr>
      <w:tr w:rsidR="00DC6F5D" w:rsidRPr="00EA7B3F" w14:paraId="4B72853D" w14:textId="77777777" w:rsidTr="00DC6F5D">
        <w:tc>
          <w:tcPr>
            <w:tcW w:w="553" w:type="pct"/>
            <w:vMerge/>
            <w:tcBorders>
              <w:left w:val="single" w:sz="4" w:space="0" w:color="auto"/>
              <w:right w:val="single" w:sz="4" w:space="0" w:color="auto"/>
            </w:tcBorders>
          </w:tcPr>
          <w:p w14:paraId="7AC795CD" w14:textId="77777777" w:rsidR="00DC6F5D" w:rsidRPr="00EA7B3F" w:rsidRDefault="00DC6F5D" w:rsidP="00DC6F5D">
            <w:pPr>
              <w:rPr>
                <w:rFonts w:ascii="Arial Narrow" w:eastAsia="Calibri"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5CAE2D1" w14:textId="77777777" w:rsidR="00DC6F5D" w:rsidRPr="00EA7B3F" w:rsidRDefault="00DC6F5D" w:rsidP="00DC6F5D">
            <w:pPr>
              <w:rPr>
                <w:rFonts w:ascii="Arial Narrow" w:eastAsia="Calibri" w:hAnsi="Arial Narrow"/>
                <w:b/>
                <w:sz w:val="20"/>
                <w:szCs w:val="20"/>
              </w:rPr>
            </w:pPr>
            <w:r w:rsidRPr="00EA7B3F">
              <w:rPr>
                <w:rFonts w:ascii="Arial Narrow" w:eastAsia="Calibri" w:hAnsi="Arial Narrow"/>
                <w:b/>
                <w:sz w:val="20"/>
                <w:szCs w:val="20"/>
              </w:rPr>
              <w:t>Restriction Level / Method:</w:t>
            </w:r>
          </w:p>
          <w:p w14:paraId="636C43D1" w14:textId="77777777" w:rsidR="00DC6F5D" w:rsidRPr="00EA7B3F" w:rsidRDefault="00DC6F5D" w:rsidP="00DC6F5D">
            <w:pPr>
              <w:rPr>
                <w:rFonts w:ascii="Arial Narrow" w:eastAsia="Calibri" w:hAnsi="Arial Narrow"/>
                <w:sz w:val="20"/>
                <w:szCs w:val="20"/>
              </w:rPr>
            </w:pPr>
            <w:r w:rsidRPr="00EA7B3F">
              <w:rPr>
                <w:rFonts w:ascii="Arial Narrow" w:eastAsia="Calibri" w:hAnsi="Arial Narrow"/>
                <w:sz w:val="20"/>
                <w:szCs w:val="20"/>
              </w:rPr>
              <w:fldChar w:fldCharType="begin">
                <w:ffData>
                  <w:name w:val=""/>
                  <w:enabled/>
                  <w:calcOnExit w:val="0"/>
                  <w:checkBox>
                    <w:sizeAuto/>
                    <w:default w:val="1"/>
                  </w:checkBox>
                </w:ffData>
              </w:fldChar>
            </w:r>
            <w:r w:rsidRPr="00EA7B3F">
              <w:rPr>
                <w:rFonts w:ascii="Arial Narrow" w:eastAsia="Calibri" w:hAnsi="Arial Narrow"/>
                <w:sz w:val="20"/>
                <w:szCs w:val="20"/>
              </w:rPr>
              <w:instrText xml:space="preserve"> FORMCHECKBOX </w:instrText>
            </w:r>
            <w:r w:rsidR="00024A2B">
              <w:rPr>
                <w:rFonts w:ascii="Arial Narrow" w:eastAsia="Calibri" w:hAnsi="Arial Narrow"/>
                <w:sz w:val="20"/>
                <w:szCs w:val="20"/>
              </w:rPr>
            </w:r>
            <w:r w:rsidR="00024A2B">
              <w:rPr>
                <w:rFonts w:ascii="Arial Narrow" w:eastAsia="Calibri" w:hAnsi="Arial Narrow"/>
                <w:sz w:val="20"/>
                <w:szCs w:val="20"/>
              </w:rPr>
              <w:fldChar w:fldCharType="separate"/>
            </w:r>
            <w:r w:rsidRPr="00EA7B3F">
              <w:rPr>
                <w:rFonts w:ascii="Arial Narrow" w:eastAsia="Calibri" w:hAnsi="Arial Narrow"/>
                <w:sz w:val="20"/>
                <w:szCs w:val="20"/>
              </w:rPr>
              <w:fldChar w:fldCharType="end"/>
            </w:r>
            <w:r w:rsidRPr="00EA7B3F">
              <w:rPr>
                <w:rFonts w:ascii="Arial Narrow" w:eastAsia="Calibri" w:hAnsi="Arial Narrow"/>
                <w:sz w:val="20"/>
                <w:szCs w:val="20"/>
              </w:rPr>
              <w:t xml:space="preserve">Authority </w:t>
            </w:r>
            <w:r w:rsidRPr="00801CBF">
              <w:rPr>
                <w:rFonts w:ascii="Arial Narrow" w:eastAsia="Calibri" w:hAnsi="Arial Narrow"/>
                <w:sz w:val="20"/>
                <w:szCs w:val="20"/>
              </w:rPr>
              <w:t>Required –</w:t>
            </w:r>
            <w:r w:rsidR="00801CBF" w:rsidRPr="00801CBF">
              <w:rPr>
                <w:rFonts w:ascii="Arial Narrow" w:eastAsia="Calibri" w:hAnsi="Arial Narrow"/>
                <w:strike/>
                <w:sz w:val="20"/>
                <w:szCs w:val="20"/>
              </w:rPr>
              <w:t xml:space="preserve"> </w:t>
            </w:r>
            <w:r w:rsidR="007842F6" w:rsidRPr="00801CBF">
              <w:rPr>
                <w:rFonts w:ascii="Arial Narrow" w:eastAsia="Calibri" w:hAnsi="Arial Narrow"/>
                <w:sz w:val="20"/>
                <w:szCs w:val="20"/>
              </w:rPr>
              <w:t>Telephone/OPA immediate assessment</w:t>
            </w:r>
          </w:p>
        </w:tc>
      </w:tr>
      <w:tr w:rsidR="00DC6F5D" w:rsidRPr="00EA7B3F" w14:paraId="29F5401F" w14:textId="77777777" w:rsidTr="00DC6F5D">
        <w:tc>
          <w:tcPr>
            <w:tcW w:w="553" w:type="pct"/>
            <w:vMerge/>
            <w:tcBorders>
              <w:left w:val="single" w:sz="4" w:space="0" w:color="auto"/>
              <w:right w:val="single" w:sz="4" w:space="0" w:color="auto"/>
            </w:tcBorders>
            <w:vAlign w:val="center"/>
          </w:tcPr>
          <w:p w14:paraId="036E469C" w14:textId="77777777" w:rsidR="00DC6F5D" w:rsidRPr="00EA7B3F" w:rsidRDefault="00DC6F5D" w:rsidP="00DC6F5D">
            <w:pPr>
              <w:jc w:val="center"/>
              <w:rPr>
                <w:rFonts w:ascii="Arial Narrow" w:hAnsi="Arial Narrow" w:cs="Times New Roman"/>
                <w:color w:val="333333"/>
                <w:sz w:val="20"/>
                <w:szCs w:val="20"/>
              </w:rPr>
            </w:pPr>
          </w:p>
        </w:tc>
        <w:tc>
          <w:tcPr>
            <w:tcW w:w="4447" w:type="pct"/>
            <w:tcBorders>
              <w:left w:val="single" w:sz="4" w:space="0" w:color="auto"/>
            </w:tcBorders>
            <w:vAlign w:val="center"/>
          </w:tcPr>
          <w:p w14:paraId="38979328"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bCs/>
                <w:color w:val="333333"/>
                <w:sz w:val="20"/>
                <w:szCs w:val="20"/>
              </w:rPr>
              <w:t xml:space="preserve">Episodicity: </w:t>
            </w:r>
            <w:r w:rsidRPr="00EA7B3F">
              <w:rPr>
                <w:rFonts w:ascii="Arial Narrow" w:hAnsi="Arial Narrow" w:cs="Times New Roman"/>
                <w:bCs/>
                <w:iCs/>
                <w:color w:val="333333"/>
                <w:sz w:val="20"/>
                <w:szCs w:val="20"/>
              </w:rPr>
              <w:t>Chronic treatment of</w:t>
            </w:r>
          </w:p>
        </w:tc>
      </w:tr>
      <w:tr w:rsidR="00DC6F5D" w:rsidRPr="00EA7B3F" w14:paraId="11C1D27D" w14:textId="77777777" w:rsidTr="00DC6F5D">
        <w:tc>
          <w:tcPr>
            <w:tcW w:w="553" w:type="pct"/>
            <w:vAlign w:val="center"/>
          </w:tcPr>
          <w:p w14:paraId="40A9AFE4"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48CD945F" w14:textId="77777777" w:rsidR="00DC6F5D" w:rsidRPr="00EA7B3F" w:rsidRDefault="00DC6F5D" w:rsidP="00DC6F5D">
            <w:pPr>
              <w:rPr>
                <w:rFonts w:ascii="Arial Narrow" w:hAnsi="Arial Narrow" w:cs="Times New Roman"/>
                <w:i/>
                <w:color w:val="333333"/>
                <w:sz w:val="20"/>
                <w:szCs w:val="20"/>
              </w:rPr>
            </w:pPr>
            <w:r w:rsidRPr="00EA7B3F">
              <w:rPr>
                <w:rFonts w:ascii="Arial Narrow" w:hAnsi="Arial Narrow" w:cs="Times New Roman"/>
                <w:b/>
                <w:bCs/>
                <w:iCs/>
                <w:color w:val="333333"/>
                <w:sz w:val="20"/>
                <w:szCs w:val="20"/>
              </w:rPr>
              <w:t>Condition</w:t>
            </w:r>
            <w:r w:rsidRPr="00EA7B3F">
              <w:rPr>
                <w:rFonts w:ascii="Arial Narrow" w:hAnsi="Arial Narrow" w:cs="Times New Roman"/>
                <w:b/>
                <w:bCs/>
                <w:color w:val="333333"/>
                <w:sz w:val="20"/>
                <w:szCs w:val="20"/>
              </w:rPr>
              <w:t xml:space="preserve">: </w:t>
            </w:r>
            <w:r w:rsidRPr="00EA7B3F">
              <w:rPr>
                <w:rFonts w:ascii="Arial Narrow" w:hAnsi="Arial Narrow" w:cs="Times New Roman"/>
                <w:bCs/>
                <w:color w:val="333333"/>
                <w:sz w:val="20"/>
                <w:szCs w:val="20"/>
              </w:rPr>
              <w:t>hereditary angioedema Types 1 or 2</w:t>
            </w:r>
          </w:p>
        </w:tc>
      </w:tr>
      <w:tr w:rsidR="00DC6F5D" w:rsidRPr="00EA7B3F" w14:paraId="776DEA10" w14:textId="77777777" w:rsidTr="00DC6F5D">
        <w:trPr>
          <w:trHeight w:val="202"/>
        </w:trPr>
        <w:tc>
          <w:tcPr>
            <w:tcW w:w="553" w:type="pct"/>
            <w:vAlign w:val="center"/>
          </w:tcPr>
          <w:p w14:paraId="53B4ADF2" w14:textId="53A93570"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55820104" w14:textId="77777777" w:rsidR="00DC6F5D" w:rsidRPr="00EA7B3F" w:rsidRDefault="00DC6F5D" w:rsidP="00DC6F5D">
            <w:pPr>
              <w:rPr>
                <w:rFonts w:ascii="Arial Narrow" w:hAnsi="Arial Narrow" w:cs="Times New Roman"/>
                <w:iCs/>
                <w:color w:val="333333"/>
                <w:sz w:val="20"/>
                <w:szCs w:val="20"/>
              </w:rPr>
            </w:pPr>
            <w:r w:rsidRPr="00EA7B3F">
              <w:rPr>
                <w:rFonts w:ascii="Arial Narrow" w:hAnsi="Arial Narrow" w:cs="Times New Roman"/>
                <w:b/>
                <w:bCs/>
                <w:iCs/>
                <w:color w:val="333333"/>
                <w:sz w:val="20"/>
                <w:szCs w:val="20"/>
              </w:rPr>
              <w:t xml:space="preserve">Indication: </w:t>
            </w:r>
            <w:r w:rsidRPr="00EA7B3F">
              <w:rPr>
                <w:rFonts w:ascii="Arial Narrow" w:hAnsi="Arial Narrow" w:cs="Times New Roman"/>
                <w:bCs/>
                <w:iCs/>
                <w:color w:val="333333"/>
                <w:sz w:val="20"/>
                <w:szCs w:val="20"/>
              </w:rPr>
              <w:t>Chronic treatment of</w:t>
            </w:r>
            <w:r w:rsidRPr="00EA7B3F">
              <w:rPr>
                <w:rFonts w:ascii="Arial Narrow" w:hAnsi="Arial Narrow" w:cs="Times New Roman"/>
                <w:b/>
                <w:bCs/>
                <w:iCs/>
                <w:color w:val="333333"/>
                <w:sz w:val="20"/>
                <w:szCs w:val="20"/>
              </w:rPr>
              <w:t xml:space="preserve"> </w:t>
            </w:r>
            <w:r w:rsidRPr="00EA7B3F">
              <w:rPr>
                <w:rFonts w:ascii="Arial Narrow" w:hAnsi="Arial Narrow" w:cs="Times New Roman"/>
                <w:bCs/>
                <w:iCs/>
                <w:color w:val="333333"/>
                <w:sz w:val="20"/>
                <w:szCs w:val="20"/>
              </w:rPr>
              <w:t>hereditary angioedema Types 1 or 2</w:t>
            </w:r>
          </w:p>
        </w:tc>
      </w:tr>
      <w:tr w:rsidR="00DC6F5D" w:rsidRPr="00EA7B3F" w14:paraId="166F6A90" w14:textId="77777777" w:rsidTr="00DC6F5D">
        <w:trPr>
          <w:trHeight w:val="104"/>
        </w:trPr>
        <w:tc>
          <w:tcPr>
            <w:tcW w:w="553" w:type="pct"/>
            <w:vAlign w:val="center"/>
          </w:tcPr>
          <w:p w14:paraId="4EB9726E"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3B67C14D" w14:textId="77777777" w:rsidR="00DC6F5D" w:rsidRPr="00EA7B3F" w:rsidRDefault="00DC6F5D" w:rsidP="00DC6F5D">
            <w:pPr>
              <w:rPr>
                <w:rFonts w:ascii="Arial Narrow" w:hAnsi="Arial Narrow" w:cs="Times New Roman"/>
                <w:i/>
                <w:color w:val="333333"/>
                <w:sz w:val="20"/>
                <w:szCs w:val="20"/>
              </w:rPr>
            </w:pPr>
            <w:r w:rsidRPr="00EA7B3F">
              <w:rPr>
                <w:rFonts w:ascii="Arial Narrow" w:hAnsi="Arial Narrow" w:cs="Times New Roman"/>
                <w:b/>
                <w:bCs/>
                <w:color w:val="333333"/>
                <w:sz w:val="20"/>
                <w:szCs w:val="20"/>
              </w:rPr>
              <w:t>Treatment Phase:</w:t>
            </w:r>
            <w:r w:rsidRPr="00EA7B3F">
              <w:rPr>
                <w:rFonts w:ascii="Arial Narrow" w:eastAsia="Calibri" w:hAnsi="Arial Narrow" w:cs="Times New Roman"/>
                <w:sz w:val="20"/>
                <w:szCs w:val="20"/>
              </w:rPr>
              <w:t xml:space="preserve"> </w:t>
            </w:r>
            <w:r w:rsidRPr="00EA7B3F">
              <w:rPr>
                <w:rFonts w:ascii="Arial Narrow" w:hAnsi="Arial Narrow" w:cs="Times New Roman"/>
                <w:bCs/>
                <w:color w:val="333333"/>
                <w:sz w:val="20"/>
                <w:szCs w:val="20"/>
              </w:rPr>
              <w:t>Continuing preventative treatment</w:t>
            </w:r>
            <w:r w:rsidRPr="00EA7B3F">
              <w:rPr>
                <w:rFonts w:ascii="Arial Narrow" w:hAnsi="Arial Narrow" w:cs="Times New Roman"/>
                <w:bCs/>
                <w:i/>
                <w:color w:val="333333"/>
                <w:sz w:val="20"/>
                <w:szCs w:val="20"/>
              </w:rPr>
              <w:t xml:space="preserve"> </w:t>
            </w:r>
          </w:p>
        </w:tc>
      </w:tr>
      <w:tr w:rsidR="00DC6F5D" w:rsidRPr="00EA7B3F" w14:paraId="7AE43370" w14:textId="77777777" w:rsidTr="00DC6F5D">
        <w:tc>
          <w:tcPr>
            <w:tcW w:w="553" w:type="pct"/>
            <w:vAlign w:val="center"/>
          </w:tcPr>
          <w:p w14:paraId="4B57C3A5" w14:textId="77777777" w:rsidR="00DC6F5D" w:rsidRPr="00EA7B3F" w:rsidRDefault="00DC6F5D" w:rsidP="00DC6F5D">
            <w:pPr>
              <w:jc w:val="center"/>
              <w:rPr>
                <w:rFonts w:ascii="Arial Narrow" w:hAnsi="Arial Narrow" w:cs="Times New Roman"/>
                <w:strike/>
                <w:color w:val="333333"/>
                <w:sz w:val="20"/>
                <w:szCs w:val="20"/>
              </w:rPr>
            </w:pPr>
          </w:p>
        </w:tc>
        <w:tc>
          <w:tcPr>
            <w:tcW w:w="4447" w:type="pct"/>
            <w:vAlign w:val="center"/>
            <w:hideMark/>
          </w:tcPr>
          <w:p w14:paraId="00F966AA"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Treatment criteria:</w:t>
            </w:r>
          </w:p>
        </w:tc>
      </w:tr>
      <w:tr w:rsidR="00DC6F5D" w:rsidRPr="00EA7B3F" w14:paraId="58175AC4" w14:textId="77777777" w:rsidTr="00DF0829">
        <w:trPr>
          <w:trHeight w:val="49"/>
        </w:trPr>
        <w:tc>
          <w:tcPr>
            <w:tcW w:w="553" w:type="pct"/>
            <w:vAlign w:val="center"/>
          </w:tcPr>
          <w:p w14:paraId="1F964BEC" w14:textId="1D73E57A"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63EB61E4" w14:textId="77777777" w:rsidR="00DC6F5D" w:rsidRPr="00EA7B3F" w:rsidRDefault="00DC6F5D" w:rsidP="00DC6F5D">
            <w:pPr>
              <w:autoSpaceDE w:val="0"/>
              <w:autoSpaceDN w:val="0"/>
              <w:adjustRightInd w:val="0"/>
              <w:rPr>
                <w:rFonts w:ascii="Arial Narrow" w:eastAsia="Calibri" w:hAnsi="Arial Narrow" w:cs="Arial Narrow"/>
                <w:sz w:val="20"/>
                <w:szCs w:val="20"/>
              </w:rPr>
            </w:pPr>
            <w:r w:rsidRPr="00EA7B3F">
              <w:rPr>
                <w:rFonts w:ascii="Arial Narrow" w:eastAsia="Calibri" w:hAnsi="Arial Narrow" w:cs="Arial Narrow"/>
                <w:sz w:val="20"/>
                <w:szCs w:val="20"/>
              </w:rPr>
              <w:t>Must be treated by</w:t>
            </w:r>
            <w:r w:rsidR="007842F6" w:rsidRPr="00EA7B3F">
              <w:rPr>
                <w:rFonts w:ascii="Arial Narrow" w:eastAsia="Calibri" w:hAnsi="Arial Narrow" w:cs="Arial Narrow"/>
                <w:sz w:val="20"/>
                <w:szCs w:val="20"/>
              </w:rPr>
              <w:t>,</w:t>
            </w:r>
            <w:r w:rsidRPr="00EA7B3F">
              <w:rPr>
                <w:rFonts w:ascii="Arial Narrow" w:eastAsia="Calibri" w:hAnsi="Arial Narrow" w:cs="Arial Narrow"/>
                <w:sz w:val="20"/>
                <w:szCs w:val="20"/>
              </w:rPr>
              <w:t xml:space="preserve"> or in consultation with</w:t>
            </w:r>
            <w:r w:rsidR="007842F6" w:rsidRPr="00EA7B3F">
              <w:rPr>
                <w:rFonts w:ascii="Arial Narrow" w:eastAsia="Calibri" w:hAnsi="Arial Narrow" w:cs="Arial Narrow"/>
                <w:sz w:val="20"/>
                <w:szCs w:val="20"/>
              </w:rPr>
              <w:t>,</w:t>
            </w:r>
            <w:r w:rsidRPr="00EA7B3F">
              <w:rPr>
                <w:rFonts w:ascii="Arial Narrow" w:eastAsia="Calibri" w:hAnsi="Arial Narrow" w:cs="Arial Narrow"/>
                <w:sz w:val="20"/>
                <w:szCs w:val="20"/>
              </w:rPr>
              <w:t xml:space="preserve"> a clinical immunologist or specialist allergist</w:t>
            </w:r>
          </w:p>
        </w:tc>
      </w:tr>
      <w:tr w:rsidR="00DC6F5D" w:rsidRPr="00EA7B3F" w14:paraId="2EBD0FDE" w14:textId="77777777" w:rsidTr="00DC6F5D">
        <w:tc>
          <w:tcPr>
            <w:tcW w:w="553" w:type="pct"/>
            <w:vAlign w:val="center"/>
          </w:tcPr>
          <w:p w14:paraId="13020379"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4F4BEC82"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AND</w:t>
            </w:r>
          </w:p>
        </w:tc>
      </w:tr>
      <w:tr w:rsidR="00DC6F5D" w:rsidRPr="00EA7B3F" w14:paraId="1D71D5B1" w14:textId="77777777" w:rsidTr="00DC6F5D">
        <w:tc>
          <w:tcPr>
            <w:tcW w:w="553" w:type="pct"/>
            <w:vAlign w:val="center"/>
          </w:tcPr>
          <w:p w14:paraId="26168CEB" w14:textId="0237405B"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4A28E1F8"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Clinical criteria:</w:t>
            </w:r>
          </w:p>
        </w:tc>
      </w:tr>
      <w:tr w:rsidR="00DC6F5D" w:rsidRPr="00EA7B3F" w14:paraId="12B08070" w14:textId="77777777" w:rsidTr="00DC6F5D">
        <w:trPr>
          <w:trHeight w:val="140"/>
        </w:trPr>
        <w:tc>
          <w:tcPr>
            <w:tcW w:w="553" w:type="pct"/>
            <w:vAlign w:val="center"/>
          </w:tcPr>
          <w:p w14:paraId="331F9EAD" w14:textId="1CAC9E08"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5F170F3D" w14:textId="77777777" w:rsidR="00DC6F5D" w:rsidRPr="00EA7B3F" w:rsidRDefault="00DC6F5D" w:rsidP="00DC6F5D">
            <w:pPr>
              <w:rPr>
                <w:rFonts w:ascii="Arial Narrow" w:hAnsi="Arial Narrow" w:cs="Times New Roman"/>
                <w:i/>
                <w:color w:val="333333"/>
                <w:sz w:val="20"/>
                <w:szCs w:val="20"/>
              </w:rPr>
            </w:pPr>
            <w:r w:rsidRPr="00EA7B3F">
              <w:rPr>
                <w:rFonts w:ascii="Arial Narrow" w:hAnsi="Arial Narrow" w:cs="Times New Roman"/>
                <w:color w:val="333333"/>
                <w:sz w:val="20"/>
                <w:szCs w:val="20"/>
              </w:rPr>
              <w:t xml:space="preserve">Patient must have previously received PBS-subsidised treatment </w:t>
            </w:r>
            <w:r w:rsidRPr="00EA7B3F">
              <w:rPr>
                <w:rFonts w:ascii="Arial Narrow" w:hAnsi="Arial Narrow" w:cs="Times New Roman"/>
                <w:iCs/>
                <w:color w:val="333333"/>
                <w:sz w:val="20"/>
                <w:szCs w:val="20"/>
              </w:rPr>
              <w:t>with this drug</w:t>
            </w:r>
            <w:r w:rsidRPr="00EA7B3F">
              <w:rPr>
                <w:rFonts w:ascii="Arial Narrow" w:hAnsi="Arial Narrow" w:cs="Times New Roman"/>
                <w:color w:val="333333"/>
                <w:sz w:val="20"/>
                <w:szCs w:val="20"/>
              </w:rPr>
              <w:t xml:space="preserve"> for this condition</w:t>
            </w:r>
          </w:p>
        </w:tc>
      </w:tr>
      <w:tr w:rsidR="00DC6F5D" w:rsidRPr="00EA7B3F" w14:paraId="564FFA5E" w14:textId="77777777" w:rsidTr="00266831">
        <w:tc>
          <w:tcPr>
            <w:tcW w:w="553" w:type="pct"/>
            <w:vAlign w:val="center"/>
          </w:tcPr>
          <w:p w14:paraId="183C0409" w14:textId="77777777" w:rsidR="00DC6F5D" w:rsidRPr="00EA7B3F" w:rsidRDefault="00DC6F5D" w:rsidP="00DC6F5D">
            <w:pPr>
              <w:jc w:val="center"/>
              <w:rPr>
                <w:rFonts w:ascii="Arial Narrow" w:hAnsi="Arial Narrow" w:cs="Times New Roman"/>
                <w:color w:val="333333"/>
                <w:sz w:val="20"/>
                <w:szCs w:val="20"/>
              </w:rPr>
            </w:pPr>
          </w:p>
        </w:tc>
        <w:tc>
          <w:tcPr>
            <w:tcW w:w="4447" w:type="pct"/>
            <w:vAlign w:val="center"/>
            <w:hideMark/>
          </w:tcPr>
          <w:p w14:paraId="51737B5A"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AND</w:t>
            </w:r>
          </w:p>
        </w:tc>
      </w:tr>
      <w:tr w:rsidR="00DC6F5D" w:rsidRPr="00EA7B3F" w14:paraId="1A90B111" w14:textId="77777777" w:rsidTr="00DC6F5D">
        <w:tc>
          <w:tcPr>
            <w:tcW w:w="553" w:type="pct"/>
            <w:vAlign w:val="center"/>
          </w:tcPr>
          <w:p w14:paraId="5544DDB6" w14:textId="25374A83"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4DFA68BB" w14:textId="77777777" w:rsidR="00DC6F5D" w:rsidRPr="00EA7B3F" w:rsidRDefault="00DC6F5D" w:rsidP="00DC6F5D">
            <w:pPr>
              <w:rPr>
                <w:rFonts w:ascii="Arial Narrow" w:hAnsi="Arial Narrow" w:cs="Times New Roman"/>
                <w:b/>
                <w:bCs/>
                <w:color w:val="333333"/>
                <w:sz w:val="20"/>
                <w:szCs w:val="20"/>
              </w:rPr>
            </w:pPr>
            <w:r w:rsidRPr="00EA7B3F">
              <w:rPr>
                <w:rFonts w:ascii="Arial Narrow" w:hAnsi="Arial Narrow" w:cs="Times New Roman"/>
                <w:b/>
                <w:bCs/>
                <w:color w:val="333333"/>
                <w:sz w:val="20"/>
                <w:szCs w:val="20"/>
              </w:rPr>
              <w:t>Clinical criteria:</w:t>
            </w:r>
          </w:p>
        </w:tc>
      </w:tr>
      <w:tr w:rsidR="00DC6F5D" w:rsidRPr="00EA7B3F" w14:paraId="073C0B9D" w14:textId="77777777" w:rsidTr="00DC6F5D">
        <w:tc>
          <w:tcPr>
            <w:tcW w:w="553" w:type="pct"/>
            <w:vAlign w:val="center"/>
          </w:tcPr>
          <w:p w14:paraId="3BE59891" w14:textId="55325782"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721ABFC6" w14:textId="77777777" w:rsidR="00DC6F5D" w:rsidRPr="00801CBF" w:rsidRDefault="00DC6F5D" w:rsidP="00DC6F5D">
            <w:pPr>
              <w:rPr>
                <w:rFonts w:ascii="Arial Narrow" w:hAnsi="Arial Narrow" w:cs="Times New Roman"/>
                <w:color w:val="333333"/>
                <w:sz w:val="20"/>
                <w:szCs w:val="20"/>
              </w:rPr>
            </w:pPr>
            <w:r w:rsidRPr="00801CBF">
              <w:rPr>
                <w:rFonts w:ascii="Arial Narrow" w:hAnsi="Arial Narrow" w:cs="Times New Roman"/>
                <w:color w:val="333333"/>
                <w:sz w:val="20"/>
                <w:szCs w:val="20"/>
              </w:rPr>
              <w:t>Patient must have demonstrated or sustained an adequate response to PBS-subsidised treatment with this drug for this condition, as judged by the treating clinician</w:t>
            </w:r>
          </w:p>
        </w:tc>
      </w:tr>
      <w:tr w:rsidR="00DC6F5D" w:rsidRPr="00EA7B3F" w14:paraId="5C2F5DBC" w14:textId="77777777" w:rsidTr="00DC6F5D">
        <w:tc>
          <w:tcPr>
            <w:tcW w:w="553" w:type="pct"/>
            <w:vAlign w:val="center"/>
          </w:tcPr>
          <w:p w14:paraId="2596431B" w14:textId="075400DA"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109917B6"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b/>
                <w:bCs/>
                <w:color w:val="333333"/>
                <w:sz w:val="20"/>
                <w:szCs w:val="20"/>
              </w:rPr>
              <w:t>Population criteria:</w:t>
            </w:r>
          </w:p>
        </w:tc>
      </w:tr>
      <w:tr w:rsidR="00DC6F5D" w:rsidRPr="00EA7B3F" w14:paraId="08D6DB4F" w14:textId="77777777" w:rsidTr="00DC6F5D">
        <w:tc>
          <w:tcPr>
            <w:tcW w:w="553" w:type="pct"/>
            <w:vAlign w:val="center"/>
          </w:tcPr>
          <w:p w14:paraId="202BCD1D" w14:textId="3CB170E1"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4B68A6E1"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color w:val="333333"/>
                <w:sz w:val="20"/>
                <w:szCs w:val="20"/>
              </w:rPr>
              <w:t>Patient must be aged 12 years or older</w:t>
            </w:r>
          </w:p>
        </w:tc>
      </w:tr>
      <w:tr w:rsidR="00DC6F5D" w:rsidRPr="00EA7B3F" w14:paraId="6E656E7E" w14:textId="77777777" w:rsidTr="00DC6F5D">
        <w:tc>
          <w:tcPr>
            <w:tcW w:w="553" w:type="pct"/>
            <w:vAlign w:val="center"/>
          </w:tcPr>
          <w:p w14:paraId="35A829CF" w14:textId="7E443EBA"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0F58C850"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b/>
                <w:bCs/>
                <w:iCs/>
                <w:color w:val="333333"/>
                <w:sz w:val="20"/>
                <w:szCs w:val="20"/>
              </w:rPr>
              <w:t>Prescriber instruction:</w:t>
            </w:r>
          </w:p>
          <w:p w14:paraId="5C095DEF" w14:textId="77777777" w:rsidR="00DC6F5D" w:rsidRPr="00801CBF" w:rsidRDefault="00DC6F5D" w:rsidP="00DC6F5D">
            <w:pPr>
              <w:rPr>
                <w:rFonts w:ascii="Arial Narrow" w:hAnsi="Arial Narrow" w:cs="Times New Roman"/>
                <w:bCs/>
                <w:iCs/>
                <w:color w:val="333333"/>
                <w:sz w:val="20"/>
                <w:szCs w:val="20"/>
              </w:rPr>
            </w:pPr>
            <w:r w:rsidRPr="00801CBF">
              <w:rPr>
                <w:rFonts w:ascii="Arial Narrow" w:hAnsi="Arial Narrow" w:cs="Times New Roman"/>
                <w:bCs/>
                <w:iCs/>
                <w:color w:val="333333"/>
                <w:sz w:val="20"/>
                <w:szCs w:val="20"/>
              </w:rPr>
              <w:t>Patients who have successfully transitioned to a lower dosing frequency should be reviewed every 6 months to ensure they continue to demonstrate a sustained response</w:t>
            </w:r>
          </w:p>
        </w:tc>
      </w:tr>
      <w:tr w:rsidR="00DC6F5D" w:rsidRPr="00EA7B3F" w14:paraId="71DD7FEA" w14:textId="77777777" w:rsidTr="00DC6F5D">
        <w:tc>
          <w:tcPr>
            <w:tcW w:w="553" w:type="pct"/>
            <w:vAlign w:val="center"/>
          </w:tcPr>
          <w:p w14:paraId="444CBB5A" w14:textId="77777777"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4EBC54F8"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
                <w:bCs/>
                <w:color w:val="333333"/>
                <w:sz w:val="20"/>
                <w:szCs w:val="20"/>
              </w:rPr>
              <w:t>Prescriber instruction:</w:t>
            </w:r>
          </w:p>
          <w:p w14:paraId="2A148FCD"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color w:val="333333"/>
                <w:sz w:val="20"/>
                <w:szCs w:val="20"/>
              </w:rPr>
              <w:t xml:space="preserve">For the purposes of administering this restriction, an adequate response is a reduction of </w:t>
            </w:r>
            <w:r w:rsidRPr="00801CBF">
              <w:rPr>
                <w:rFonts w:ascii="Arial Narrow" w:hAnsi="Arial Narrow" w:cs="Times New Roman"/>
                <w:sz w:val="20"/>
                <w:szCs w:val="20"/>
              </w:rPr>
              <w:t>the number of acute attacks of hereditary angioedema of a severity necessitating immediate medical intervention with</w:t>
            </w:r>
            <w:r w:rsidR="007842F6" w:rsidRPr="00801CBF">
              <w:rPr>
                <w:rFonts w:ascii="Arial Narrow" w:hAnsi="Arial Narrow" w:cs="Times New Roman"/>
                <w:sz w:val="20"/>
                <w:szCs w:val="20"/>
              </w:rPr>
              <w:t xml:space="preserve"> either</w:t>
            </w:r>
            <w:r w:rsidRPr="00801CBF">
              <w:rPr>
                <w:rFonts w:ascii="Arial Narrow" w:hAnsi="Arial Narrow" w:cs="Times New Roman"/>
                <w:sz w:val="20"/>
                <w:szCs w:val="20"/>
              </w:rPr>
              <w:t xml:space="preserve"> (i) icatibant, </w:t>
            </w:r>
            <w:r w:rsidR="007842F6" w:rsidRPr="00801CBF">
              <w:rPr>
                <w:rFonts w:ascii="Arial Narrow" w:hAnsi="Arial Narrow" w:cs="Times New Roman"/>
                <w:sz w:val="20"/>
                <w:szCs w:val="20"/>
              </w:rPr>
              <w:t xml:space="preserve">or </w:t>
            </w:r>
            <w:r w:rsidRPr="00801CBF">
              <w:rPr>
                <w:rFonts w:ascii="Arial Narrow" w:hAnsi="Arial Narrow" w:cs="Times New Roman"/>
                <w:sz w:val="20"/>
                <w:szCs w:val="20"/>
              </w:rPr>
              <w:t xml:space="preserve">(ii) C1-esterase inhibitor concentrate </w:t>
            </w:r>
            <w:r w:rsidR="007842F6" w:rsidRPr="00801CBF">
              <w:rPr>
                <w:rFonts w:ascii="Arial Narrow" w:hAnsi="Arial Narrow" w:cs="Times New Roman"/>
                <w:sz w:val="20"/>
                <w:szCs w:val="20"/>
              </w:rPr>
              <w:t xml:space="preserve">in comparison </w:t>
            </w:r>
            <w:r w:rsidRPr="00801CBF">
              <w:rPr>
                <w:rFonts w:ascii="Arial Narrow" w:hAnsi="Arial Narrow" w:cs="Times New Roman"/>
                <w:sz w:val="20"/>
                <w:szCs w:val="20"/>
              </w:rPr>
              <w:t>to baseline</w:t>
            </w:r>
            <w:r w:rsidR="00FB2A4F">
              <w:rPr>
                <w:rFonts w:ascii="Arial Narrow" w:hAnsi="Arial Narrow" w:cs="Times New Roman"/>
                <w:sz w:val="20"/>
                <w:szCs w:val="20"/>
              </w:rPr>
              <w:t>. The details of the reduction must be documented in the patient’s medical records for auditing purposes.</w:t>
            </w:r>
            <w:r w:rsidRPr="00801CBF">
              <w:rPr>
                <w:rFonts w:ascii="Arial Narrow" w:hAnsi="Arial Narrow" w:cs="Times New Roman"/>
                <w:sz w:val="20"/>
                <w:szCs w:val="20"/>
              </w:rPr>
              <w:t xml:space="preserve"> </w:t>
            </w:r>
          </w:p>
        </w:tc>
      </w:tr>
      <w:tr w:rsidR="00DC6F5D" w:rsidRPr="00EA7B3F" w14:paraId="0821963A" w14:textId="77777777" w:rsidTr="00DC6F5D">
        <w:tc>
          <w:tcPr>
            <w:tcW w:w="553" w:type="pct"/>
            <w:vAlign w:val="center"/>
          </w:tcPr>
          <w:p w14:paraId="5981290B" w14:textId="1B27615B" w:rsidR="00DC6F5D" w:rsidRPr="00801CBF" w:rsidRDefault="00DC6F5D" w:rsidP="00DC6F5D">
            <w:pPr>
              <w:jc w:val="center"/>
              <w:rPr>
                <w:rFonts w:ascii="Arial Narrow" w:hAnsi="Arial Narrow" w:cs="Times New Roman"/>
                <w:color w:val="333333"/>
                <w:sz w:val="20"/>
                <w:szCs w:val="20"/>
              </w:rPr>
            </w:pPr>
          </w:p>
        </w:tc>
        <w:tc>
          <w:tcPr>
            <w:tcW w:w="4447" w:type="pct"/>
            <w:vAlign w:val="center"/>
          </w:tcPr>
          <w:p w14:paraId="4B1080B5" w14:textId="77777777" w:rsidR="00DC6F5D" w:rsidRPr="00801CBF" w:rsidRDefault="00DC6F5D" w:rsidP="00DC6F5D">
            <w:pPr>
              <w:rPr>
                <w:rFonts w:ascii="Arial Narrow" w:hAnsi="Arial Narrow" w:cs="Times New Roman"/>
                <w:b/>
                <w:bCs/>
                <w:iCs/>
                <w:color w:val="333333"/>
                <w:sz w:val="20"/>
                <w:szCs w:val="20"/>
              </w:rPr>
            </w:pPr>
            <w:r w:rsidRPr="00801CBF">
              <w:rPr>
                <w:rFonts w:ascii="Arial Narrow" w:hAnsi="Arial Narrow" w:cs="Times New Roman"/>
                <w:b/>
                <w:bCs/>
                <w:iCs/>
                <w:color w:val="333333"/>
                <w:sz w:val="20"/>
                <w:szCs w:val="20"/>
              </w:rPr>
              <w:t>Administrative Advice: (applicable to telephone/online authority approvals)</w:t>
            </w:r>
          </w:p>
          <w:p w14:paraId="5326874E" w14:textId="77777777" w:rsidR="00DC6F5D" w:rsidRPr="00801CBF" w:rsidRDefault="00DC6F5D" w:rsidP="00DC6F5D">
            <w:pPr>
              <w:rPr>
                <w:rFonts w:ascii="Arial Narrow" w:hAnsi="Arial Narrow" w:cs="Times New Roman"/>
                <w:b/>
                <w:bCs/>
                <w:color w:val="333333"/>
                <w:sz w:val="20"/>
                <w:szCs w:val="20"/>
              </w:rPr>
            </w:pPr>
            <w:r w:rsidRPr="00801CBF">
              <w:rPr>
                <w:rFonts w:ascii="Arial Narrow" w:hAnsi="Arial Narrow" w:cs="Times New Roman"/>
                <w:bCs/>
                <w:iCs/>
                <w:color w:val="333333"/>
                <w:sz w:val="20"/>
                <w:szCs w:val="20"/>
              </w:rPr>
              <w:t>Applications for authorisation under this restriction may be made in real time using the Online PBS Authorities system (see www.servicesaustralia.gov.au/HPOS) or by telephone by contacting Services Australia on 1800 888 33</w:t>
            </w:r>
          </w:p>
        </w:tc>
      </w:tr>
      <w:tr w:rsidR="00DC6F5D" w:rsidRPr="00EA7B3F" w14:paraId="79A3B051" w14:textId="77777777" w:rsidTr="00DC6F5D">
        <w:tc>
          <w:tcPr>
            <w:tcW w:w="553" w:type="pct"/>
            <w:vAlign w:val="center"/>
          </w:tcPr>
          <w:p w14:paraId="0B8CEF36" w14:textId="50CE963B"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38C1B0AD"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No increase in the maximum number of repeats may be authorised</w:t>
            </w:r>
          </w:p>
        </w:tc>
      </w:tr>
      <w:tr w:rsidR="00DC6F5D" w:rsidRPr="00EA7B3F" w14:paraId="57D58BAC" w14:textId="77777777" w:rsidTr="00DC6F5D">
        <w:tc>
          <w:tcPr>
            <w:tcW w:w="553" w:type="pct"/>
            <w:vAlign w:val="center"/>
          </w:tcPr>
          <w:p w14:paraId="17AFFA9B" w14:textId="20663BCA" w:rsidR="00DC6F5D" w:rsidRPr="00EA7B3F" w:rsidRDefault="00DC6F5D" w:rsidP="00DC6F5D">
            <w:pPr>
              <w:jc w:val="center"/>
              <w:rPr>
                <w:rFonts w:ascii="Arial Narrow" w:hAnsi="Arial Narrow" w:cs="Times New Roman"/>
                <w:color w:val="333333"/>
                <w:sz w:val="20"/>
                <w:szCs w:val="20"/>
              </w:rPr>
            </w:pPr>
          </w:p>
        </w:tc>
        <w:tc>
          <w:tcPr>
            <w:tcW w:w="4447" w:type="pct"/>
            <w:vAlign w:val="center"/>
          </w:tcPr>
          <w:p w14:paraId="552DC46E" w14:textId="77777777" w:rsidR="00DC6F5D" w:rsidRPr="00EA7B3F" w:rsidRDefault="00DC6F5D" w:rsidP="00DC6F5D">
            <w:pPr>
              <w:rPr>
                <w:rFonts w:ascii="Arial Narrow" w:hAnsi="Arial Narrow" w:cs="Times New Roman"/>
                <w:color w:val="333333"/>
                <w:sz w:val="20"/>
                <w:szCs w:val="20"/>
              </w:rPr>
            </w:pPr>
            <w:r w:rsidRPr="00EA7B3F">
              <w:rPr>
                <w:rFonts w:ascii="Arial Narrow" w:hAnsi="Arial Narrow" w:cs="Times New Roman"/>
                <w:b/>
                <w:bCs/>
                <w:color w:val="333333"/>
                <w:sz w:val="20"/>
                <w:szCs w:val="20"/>
              </w:rPr>
              <w:t>Administrative Advice:</w:t>
            </w:r>
            <w:r w:rsidRPr="00EA7B3F">
              <w:rPr>
                <w:rFonts w:ascii="Arial Narrow" w:hAnsi="Arial Narrow" w:cs="Times New Roman"/>
                <w:color w:val="333333"/>
                <w:sz w:val="20"/>
                <w:szCs w:val="20"/>
              </w:rPr>
              <w:t xml:space="preserve"> Special pricing arrangements apply</w:t>
            </w:r>
          </w:p>
        </w:tc>
      </w:tr>
    </w:tbl>
    <w:p w14:paraId="365C2BEA" w14:textId="77777777" w:rsidR="00DC6F5D" w:rsidRPr="00EA7B3F" w:rsidRDefault="00DC6F5D" w:rsidP="00DC6F5D"/>
    <w:bookmarkEnd w:id="25"/>
    <w:p w14:paraId="090D6F1A" w14:textId="77777777" w:rsidR="005E0BE1" w:rsidRDefault="00815407" w:rsidP="00674AF4">
      <w:pPr>
        <w:jc w:val="left"/>
      </w:pPr>
      <w:r w:rsidRPr="001C6154">
        <w:rPr>
          <w:b/>
          <w:bCs/>
          <w:i/>
        </w:rPr>
        <w:t>This restriction may be subject to further review. Should there be any changes made to the restriction the Sponsor will be informed.</w:t>
      </w:r>
    </w:p>
    <w:p w14:paraId="636BE9AC" w14:textId="77777777" w:rsidR="005E0BE1" w:rsidRDefault="005E0BE1" w:rsidP="005E0BE1"/>
    <w:p w14:paraId="3DF05249" w14:textId="77777777" w:rsidR="005E0BE1" w:rsidRPr="005E0BE1" w:rsidRDefault="005E0BE1" w:rsidP="005E0BE1">
      <w:pPr>
        <w:pStyle w:val="2-SectionHeading"/>
        <w:numPr>
          <w:ilvl w:val="0"/>
          <w:numId w:val="1"/>
        </w:numPr>
        <w:ind w:left="709"/>
      </w:pPr>
      <w:r w:rsidRPr="00C07617">
        <w:t>Context for Decision</w:t>
      </w:r>
    </w:p>
    <w:p w14:paraId="47919C73" w14:textId="77777777" w:rsidR="005E0BE1" w:rsidRPr="007129F2" w:rsidRDefault="005E0BE1" w:rsidP="00D54FCE">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82BD121" w14:textId="77777777" w:rsidR="005E0BE1" w:rsidRPr="005E0BE1" w:rsidRDefault="005E0BE1" w:rsidP="005E0BE1">
      <w:pPr>
        <w:pStyle w:val="2-SectionHeading"/>
        <w:numPr>
          <w:ilvl w:val="0"/>
          <w:numId w:val="1"/>
        </w:numPr>
        <w:ind w:left="709"/>
      </w:pPr>
      <w:r>
        <w:t>Sponsor’s Comment</w:t>
      </w:r>
    </w:p>
    <w:p w14:paraId="73F2D74B" w14:textId="77777777" w:rsidR="005E0BE1" w:rsidRPr="001179AC" w:rsidRDefault="005E0BE1" w:rsidP="00D54FCE">
      <w:pPr>
        <w:spacing w:after="120"/>
        <w:ind w:firstLine="709"/>
        <w:rPr>
          <w:rFonts w:asciiTheme="minorHAnsi" w:hAnsiTheme="minorHAnsi"/>
          <w:bCs/>
        </w:rPr>
      </w:pPr>
      <w:r w:rsidRPr="00C07617">
        <w:rPr>
          <w:rFonts w:asciiTheme="minorHAnsi" w:hAnsiTheme="minorHAnsi"/>
          <w:bCs/>
        </w:rPr>
        <w:t>The sponsor had no comment.</w:t>
      </w:r>
    </w:p>
    <w:p w14:paraId="463A4DA9" w14:textId="77777777" w:rsidR="00F64B52" w:rsidRPr="005E0BE1" w:rsidRDefault="00F64B52" w:rsidP="005E0BE1"/>
    <w:sectPr w:rsidR="00F64B52" w:rsidRPr="005E0BE1" w:rsidSect="00BA5B39">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7B8B6" w14:textId="77777777" w:rsidR="006F5B4F" w:rsidRDefault="006F5B4F" w:rsidP="00124A51">
      <w:r>
        <w:separator/>
      </w:r>
    </w:p>
    <w:p w14:paraId="7BF5DF14" w14:textId="77777777" w:rsidR="006F5B4F" w:rsidRDefault="006F5B4F"/>
  </w:endnote>
  <w:endnote w:type="continuationSeparator" w:id="0">
    <w:p w14:paraId="077DC9B1" w14:textId="77777777" w:rsidR="006F5B4F" w:rsidRDefault="006F5B4F" w:rsidP="00124A51">
      <w:r>
        <w:continuationSeparator/>
      </w:r>
    </w:p>
    <w:p w14:paraId="7FAF37CE" w14:textId="77777777" w:rsidR="006F5B4F" w:rsidRDefault="006F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0528" w14:textId="77777777" w:rsidR="006F5B4F" w:rsidRDefault="006F5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872414"/>
      <w:docPartObj>
        <w:docPartGallery w:val="Page Numbers (Bottom of Page)"/>
        <w:docPartUnique/>
      </w:docPartObj>
    </w:sdtPr>
    <w:sdtEndPr>
      <w:rPr>
        <w:noProof/>
      </w:rPr>
    </w:sdtEndPr>
    <w:sdtContent>
      <w:p w14:paraId="6A0E48B5" w14:textId="77777777" w:rsidR="00FE2D73" w:rsidRDefault="00FE2D73" w:rsidP="00C738B9">
        <w:pPr>
          <w:pStyle w:val="Footer"/>
          <w:jc w:val="center"/>
        </w:pPr>
      </w:p>
      <w:p w14:paraId="41082CAF" w14:textId="4B440403" w:rsidR="00FE2D73" w:rsidRDefault="00FE2D73" w:rsidP="00C738B9">
        <w:pPr>
          <w:pStyle w:val="Footer"/>
          <w:jc w:val="center"/>
        </w:pPr>
        <w:r w:rsidRPr="00C738B9">
          <w:rPr>
            <w:b/>
          </w:rPr>
          <w:fldChar w:fldCharType="begin"/>
        </w:r>
        <w:r w:rsidRPr="00C738B9">
          <w:rPr>
            <w:b/>
          </w:rPr>
          <w:instrText xml:space="preserve"> PAGE   \* MERGEFORMAT </w:instrText>
        </w:r>
        <w:r w:rsidRPr="00C738B9">
          <w:rPr>
            <w:b/>
          </w:rPr>
          <w:fldChar w:fldCharType="separate"/>
        </w:r>
        <w:r w:rsidR="00024A2B">
          <w:rPr>
            <w:b/>
            <w:noProof/>
          </w:rPr>
          <w:t>36</w:t>
        </w:r>
        <w:r w:rsidRPr="00C738B9">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4647" w14:textId="77777777" w:rsidR="006F5B4F" w:rsidRDefault="006F5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0827" w14:textId="77777777" w:rsidR="006F5B4F" w:rsidRDefault="006F5B4F" w:rsidP="00124A51">
      <w:r>
        <w:separator/>
      </w:r>
    </w:p>
    <w:p w14:paraId="7DDA663A" w14:textId="77777777" w:rsidR="006F5B4F" w:rsidRDefault="006F5B4F"/>
  </w:footnote>
  <w:footnote w:type="continuationSeparator" w:id="0">
    <w:p w14:paraId="53992012" w14:textId="77777777" w:rsidR="006F5B4F" w:rsidRDefault="006F5B4F" w:rsidP="00124A51">
      <w:r>
        <w:continuationSeparator/>
      </w:r>
    </w:p>
    <w:p w14:paraId="34703166" w14:textId="77777777" w:rsidR="006F5B4F" w:rsidRDefault="006F5B4F"/>
  </w:footnote>
  <w:footnote w:id="1">
    <w:p w14:paraId="41A9A6DD" w14:textId="77777777" w:rsidR="00FE2D73" w:rsidRPr="00CA3CE0" w:rsidRDefault="00FE2D73">
      <w:pPr>
        <w:pStyle w:val="FootnoteText"/>
        <w:rPr>
          <w:lang w:val="en-US"/>
        </w:rPr>
      </w:pPr>
      <w:r>
        <w:rPr>
          <w:rStyle w:val="FootnoteReference"/>
        </w:rPr>
        <w:footnoteRef/>
      </w:r>
      <w:r>
        <w:t xml:space="preserve"> </w:t>
      </w:r>
      <w:r>
        <w:rPr>
          <w:lang w:val="en-US"/>
        </w:rPr>
        <w:t>The subcutaneous preparation of C1-INH (Berinert SC) is only registered on the Australian Register of Therapeutic Goods for the prevention of recurrent HAE attacks.</w:t>
      </w:r>
    </w:p>
  </w:footnote>
  <w:footnote w:id="2">
    <w:p w14:paraId="24734201" w14:textId="77777777" w:rsidR="00FE2D73" w:rsidRDefault="00FE2D73" w:rsidP="007C19DE">
      <w:pPr>
        <w:pStyle w:val="FootnoteText"/>
      </w:pPr>
      <w:r>
        <w:rPr>
          <w:rStyle w:val="FootnoteReference"/>
        </w:rPr>
        <w:footnoteRef/>
      </w:r>
      <w:r>
        <w:t xml:space="preserve"> U</w:t>
      </w:r>
      <w:r w:rsidRPr="00216C54">
        <w:t>nder the ‘National Blood Agreement’</w:t>
      </w:r>
      <w:r>
        <w:t>, there is joint funding by the Commonwealth and the States and Territories in agreed proportions (</w:t>
      </w:r>
      <w:r w:rsidRPr="005C7360">
        <w:t>https://www.blood.gov.au/national-blood-agreement</w:t>
      </w:r>
      <w:r w:rsidRPr="00216C54">
        <w:t>.</w:t>
      </w:r>
    </w:p>
  </w:footnote>
  <w:footnote w:id="3">
    <w:p w14:paraId="74B7F268" w14:textId="77777777" w:rsidR="00FE2D73" w:rsidRPr="00771F52" w:rsidRDefault="00FE2D73" w:rsidP="00635CD6">
      <w:pPr>
        <w:pStyle w:val="FootnoteText"/>
        <w:rPr>
          <w:lang w:val="en-US"/>
        </w:rPr>
      </w:pPr>
      <w:r>
        <w:rPr>
          <w:rStyle w:val="FootnoteReference"/>
        </w:rPr>
        <w:footnoteRef/>
      </w:r>
      <w:r>
        <w:t xml:space="preserve"> </w:t>
      </w:r>
      <w:r w:rsidRPr="00771F52">
        <w:t xml:space="preserve">ASCIA HAE Working Party. </w:t>
      </w:r>
      <w:r w:rsidRPr="00771F52">
        <w:rPr>
          <w:i/>
        </w:rPr>
        <w:t>Hereditary Angioedema (HAE) Position Paper</w:t>
      </w:r>
      <w:r w:rsidRPr="00771F52">
        <w:t>. 2020.</w:t>
      </w:r>
    </w:p>
  </w:footnote>
  <w:footnote w:id="4">
    <w:p w14:paraId="4FDB7C03" w14:textId="77777777" w:rsidR="00FE2D73" w:rsidRPr="00425FBE" w:rsidRDefault="00FE2D73" w:rsidP="00425FBE">
      <w:pPr>
        <w:pStyle w:val="FootnoteText"/>
        <w:ind w:left="142" w:hanging="142"/>
        <w:rPr>
          <w:lang w:val="en-US"/>
        </w:rPr>
      </w:pPr>
      <w:r>
        <w:rPr>
          <w:rStyle w:val="FootnoteReference"/>
        </w:rPr>
        <w:footnoteRef/>
      </w:r>
      <w:r>
        <w:t xml:space="preserve"> </w:t>
      </w:r>
      <w:r w:rsidRPr="00425FBE">
        <w:t>Nordenfelt P, Nilsson M</w:t>
      </w:r>
      <w:r w:rsidRPr="00425FBE">
        <w:rPr>
          <w:i/>
        </w:rPr>
        <w:t>, et al.</w:t>
      </w:r>
      <w:r w:rsidRPr="00425FBE">
        <w:t xml:space="preserve"> Health-related quality of life in relation to disease activity in adults with hereditary angioedema in Sweden. </w:t>
      </w:r>
      <w:r w:rsidRPr="00425FBE">
        <w:rPr>
          <w:i/>
        </w:rPr>
        <w:t>Allergy Asthma Proc</w:t>
      </w:r>
      <w:r w:rsidRPr="00425FBE">
        <w:t>. 2017; 38 (6):447-55.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4A5E" w14:textId="77777777" w:rsidR="006F5B4F" w:rsidRDefault="006F5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AC9B" w14:textId="77777777" w:rsidR="00FE2D73" w:rsidRPr="00C738B9" w:rsidRDefault="00FE2D73" w:rsidP="00BD7D5A">
    <w:pPr>
      <w:pStyle w:val="Header"/>
      <w:ind w:left="360"/>
      <w:rPr>
        <w:rFonts w:asciiTheme="minorHAnsi" w:hAnsiTheme="minorHAnsi"/>
        <w:i/>
      </w:rPr>
    </w:pPr>
    <w:r>
      <w:rPr>
        <w:rFonts w:asciiTheme="minorHAnsi" w:hAnsiTheme="minorHAnsi"/>
        <w:i/>
      </w:rPr>
      <w:t>Public Summary Document</w:t>
    </w:r>
    <w:r w:rsidRPr="00C738B9">
      <w:rPr>
        <w:rFonts w:asciiTheme="minorHAnsi" w:hAnsiTheme="minorHAnsi"/>
        <w:i/>
      </w:rPr>
      <w:t xml:space="preserve"> – July 2021 PBAC Meeting</w:t>
    </w:r>
  </w:p>
  <w:p w14:paraId="1B61A308" w14:textId="77777777" w:rsidR="00FE2D73" w:rsidRDefault="00FE2D73" w:rsidP="00C738B9">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5D09" w14:textId="77777777" w:rsidR="006F5B4F" w:rsidRDefault="006F5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F256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D3350"/>
    <w:multiLevelType w:val="hybridMultilevel"/>
    <w:tmpl w:val="718EBB36"/>
    <w:lvl w:ilvl="0" w:tplc="A8B6FE20">
      <w:start w:val="1"/>
      <w:numFmt w:val="bullet"/>
      <w:lvlText w:val="•"/>
      <w:lvlJc w:val="left"/>
      <w:pPr>
        <w:tabs>
          <w:tab w:val="num" w:pos="720"/>
        </w:tabs>
        <w:ind w:left="720" w:hanging="360"/>
      </w:pPr>
      <w:rPr>
        <w:rFonts w:ascii="Arial" w:hAnsi="Arial" w:hint="default"/>
      </w:rPr>
    </w:lvl>
    <w:lvl w:ilvl="1" w:tplc="D2BE7064">
      <w:start w:val="1"/>
      <w:numFmt w:val="bullet"/>
      <w:lvlText w:val="•"/>
      <w:lvlJc w:val="left"/>
      <w:pPr>
        <w:tabs>
          <w:tab w:val="num" w:pos="1440"/>
        </w:tabs>
        <w:ind w:left="1440" w:hanging="360"/>
      </w:pPr>
      <w:rPr>
        <w:rFonts w:ascii="Arial" w:hAnsi="Arial" w:hint="default"/>
      </w:rPr>
    </w:lvl>
    <w:lvl w:ilvl="2" w:tplc="17BCD9B8" w:tentative="1">
      <w:start w:val="1"/>
      <w:numFmt w:val="bullet"/>
      <w:lvlText w:val="•"/>
      <w:lvlJc w:val="left"/>
      <w:pPr>
        <w:tabs>
          <w:tab w:val="num" w:pos="2160"/>
        </w:tabs>
        <w:ind w:left="2160" w:hanging="360"/>
      </w:pPr>
      <w:rPr>
        <w:rFonts w:ascii="Arial" w:hAnsi="Arial" w:hint="default"/>
      </w:rPr>
    </w:lvl>
    <w:lvl w:ilvl="3" w:tplc="F4FC1DE6" w:tentative="1">
      <w:start w:val="1"/>
      <w:numFmt w:val="bullet"/>
      <w:lvlText w:val="•"/>
      <w:lvlJc w:val="left"/>
      <w:pPr>
        <w:tabs>
          <w:tab w:val="num" w:pos="2880"/>
        </w:tabs>
        <w:ind w:left="2880" w:hanging="360"/>
      </w:pPr>
      <w:rPr>
        <w:rFonts w:ascii="Arial" w:hAnsi="Arial" w:hint="default"/>
      </w:rPr>
    </w:lvl>
    <w:lvl w:ilvl="4" w:tplc="732E2024" w:tentative="1">
      <w:start w:val="1"/>
      <w:numFmt w:val="bullet"/>
      <w:lvlText w:val="•"/>
      <w:lvlJc w:val="left"/>
      <w:pPr>
        <w:tabs>
          <w:tab w:val="num" w:pos="3600"/>
        </w:tabs>
        <w:ind w:left="3600" w:hanging="360"/>
      </w:pPr>
      <w:rPr>
        <w:rFonts w:ascii="Arial" w:hAnsi="Arial" w:hint="default"/>
      </w:rPr>
    </w:lvl>
    <w:lvl w:ilvl="5" w:tplc="8224071C" w:tentative="1">
      <w:start w:val="1"/>
      <w:numFmt w:val="bullet"/>
      <w:lvlText w:val="•"/>
      <w:lvlJc w:val="left"/>
      <w:pPr>
        <w:tabs>
          <w:tab w:val="num" w:pos="4320"/>
        </w:tabs>
        <w:ind w:left="4320" w:hanging="360"/>
      </w:pPr>
      <w:rPr>
        <w:rFonts w:ascii="Arial" w:hAnsi="Arial" w:hint="default"/>
      </w:rPr>
    </w:lvl>
    <w:lvl w:ilvl="6" w:tplc="41D84F0C" w:tentative="1">
      <w:start w:val="1"/>
      <w:numFmt w:val="bullet"/>
      <w:lvlText w:val="•"/>
      <w:lvlJc w:val="left"/>
      <w:pPr>
        <w:tabs>
          <w:tab w:val="num" w:pos="5040"/>
        </w:tabs>
        <w:ind w:left="5040" w:hanging="360"/>
      </w:pPr>
      <w:rPr>
        <w:rFonts w:ascii="Arial" w:hAnsi="Arial" w:hint="default"/>
      </w:rPr>
    </w:lvl>
    <w:lvl w:ilvl="7" w:tplc="0AFCCC40" w:tentative="1">
      <w:start w:val="1"/>
      <w:numFmt w:val="bullet"/>
      <w:lvlText w:val="•"/>
      <w:lvlJc w:val="left"/>
      <w:pPr>
        <w:tabs>
          <w:tab w:val="num" w:pos="5760"/>
        </w:tabs>
        <w:ind w:left="5760" w:hanging="360"/>
      </w:pPr>
      <w:rPr>
        <w:rFonts w:ascii="Arial" w:hAnsi="Arial" w:hint="default"/>
      </w:rPr>
    </w:lvl>
    <w:lvl w:ilvl="8" w:tplc="4CFCD5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B5ED5"/>
    <w:multiLevelType w:val="hybridMultilevel"/>
    <w:tmpl w:val="9522D81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343222"/>
    <w:multiLevelType w:val="multilevel"/>
    <w:tmpl w:val="F97CA87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63764"/>
    <w:multiLevelType w:val="multilevel"/>
    <w:tmpl w:val="6492C70C"/>
    <w:lvl w:ilvl="0">
      <w:start w:val="1"/>
      <w:numFmt w:val="bullet"/>
      <w:lvlText w:val="o"/>
      <w:lvlJc w:val="left"/>
      <w:pPr>
        <w:ind w:left="1440" w:hanging="720"/>
      </w:pPr>
      <w:rPr>
        <w:rFonts w:ascii="Courier New" w:hAnsi="Courier New" w:hint="default"/>
        <w:b/>
      </w:rPr>
    </w:lvl>
    <w:lvl w:ilvl="1">
      <w:start w:val="1"/>
      <w:numFmt w:val="decimal"/>
      <w:lvlText w:val="%1.%2"/>
      <w:lvlJc w:val="left"/>
      <w:pPr>
        <w:ind w:left="144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0E4A628E"/>
    <w:multiLevelType w:val="hybridMultilevel"/>
    <w:tmpl w:val="4B42AB44"/>
    <w:lvl w:ilvl="0" w:tplc="D11EF44C">
      <w:start w:val="1"/>
      <w:numFmt w:val="bullet"/>
      <w:lvlText w:val="•"/>
      <w:lvlJc w:val="left"/>
      <w:pPr>
        <w:tabs>
          <w:tab w:val="num" w:pos="360"/>
        </w:tabs>
        <w:ind w:left="360" w:hanging="360"/>
      </w:pPr>
      <w:rPr>
        <w:rFonts w:ascii="Arial" w:hAnsi="Arial" w:hint="default"/>
      </w:rPr>
    </w:lvl>
    <w:lvl w:ilvl="1" w:tplc="D0BE8F56">
      <w:start w:val="1"/>
      <w:numFmt w:val="bullet"/>
      <w:lvlText w:val="•"/>
      <w:lvlJc w:val="left"/>
      <w:pPr>
        <w:tabs>
          <w:tab w:val="num" w:pos="1080"/>
        </w:tabs>
        <w:ind w:left="1080" w:hanging="360"/>
      </w:pPr>
      <w:rPr>
        <w:rFonts w:ascii="Arial" w:hAnsi="Arial" w:hint="default"/>
      </w:rPr>
    </w:lvl>
    <w:lvl w:ilvl="2" w:tplc="5EF4366E" w:tentative="1">
      <w:start w:val="1"/>
      <w:numFmt w:val="bullet"/>
      <w:lvlText w:val="•"/>
      <w:lvlJc w:val="left"/>
      <w:pPr>
        <w:tabs>
          <w:tab w:val="num" w:pos="1800"/>
        </w:tabs>
        <w:ind w:left="1800" w:hanging="360"/>
      </w:pPr>
      <w:rPr>
        <w:rFonts w:ascii="Arial" w:hAnsi="Arial" w:hint="default"/>
      </w:rPr>
    </w:lvl>
    <w:lvl w:ilvl="3" w:tplc="958A6238" w:tentative="1">
      <w:start w:val="1"/>
      <w:numFmt w:val="bullet"/>
      <w:lvlText w:val="•"/>
      <w:lvlJc w:val="left"/>
      <w:pPr>
        <w:tabs>
          <w:tab w:val="num" w:pos="2520"/>
        </w:tabs>
        <w:ind w:left="2520" w:hanging="360"/>
      </w:pPr>
      <w:rPr>
        <w:rFonts w:ascii="Arial" w:hAnsi="Arial" w:hint="default"/>
      </w:rPr>
    </w:lvl>
    <w:lvl w:ilvl="4" w:tplc="63FC5052" w:tentative="1">
      <w:start w:val="1"/>
      <w:numFmt w:val="bullet"/>
      <w:lvlText w:val="•"/>
      <w:lvlJc w:val="left"/>
      <w:pPr>
        <w:tabs>
          <w:tab w:val="num" w:pos="3240"/>
        </w:tabs>
        <w:ind w:left="3240" w:hanging="360"/>
      </w:pPr>
      <w:rPr>
        <w:rFonts w:ascii="Arial" w:hAnsi="Arial" w:hint="default"/>
      </w:rPr>
    </w:lvl>
    <w:lvl w:ilvl="5" w:tplc="D53E68F4" w:tentative="1">
      <w:start w:val="1"/>
      <w:numFmt w:val="bullet"/>
      <w:lvlText w:val="•"/>
      <w:lvlJc w:val="left"/>
      <w:pPr>
        <w:tabs>
          <w:tab w:val="num" w:pos="3960"/>
        </w:tabs>
        <w:ind w:left="3960" w:hanging="360"/>
      </w:pPr>
      <w:rPr>
        <w:rFonts w:ascii="Arial" w:hAnsi="Arial" w:hint="default"/>
      </w:rPr>
    </w:lvl>
    <w:lvl w:ilvl="6" w:tplc="CAD03C28" w:tentative="1">
      <w:start w:val="1"/>
      <w:numFmt w:val="bullet"/>
      <w:lvlText w:val="•"/>
      <w:lvlJc w:val="left"/>
      <w:pPr>
        <w:tabs>
          <w:tab w:val="num" w:pos="4680"/>
        </w:tabs>
        <w:ind w:left="4680" w:hanging="360"/>
      </w:pPr>
      <w:rPr>
        <w:rFonts w:ascii="Arial" w:hAnsi="Arial" w:hint="default"/>
      </w:rPr>
    </w:lvl>
    <w:lvl w:ilvl="7" w:tplc="1B6EB962" w:tentative="1">
      <w:start w:val="1"/>
      <w:numFmt w:val="bullet"/>
      <w:lvlText w:val="•"/>
      <w:lvlJc w:val="left"/>
      <w:pPr>
        <w:tabs>
          <w:tab w:val="num" w:pos="5400"/>
        </w:tabs>
        <w:ind w:left="5400" w:hanging="360"/>
      </w:pPr>
      <w:rPr>
        <w:rFonts w:ascii="Arial" w:hAnsi="Arial" w:hint="default"/>
      </w:rPr>
    </w:lvl>
    <w:lvl w:ilvl="8" w:tplc="9224DCD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0F1974C7"/>
    <w:multiLevelType w:val="hybridMultilevel"/>
    <w:tmpl w:val="A3A6B0B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5081385"/>
    <w:multiLevelType w:val="hybridMultilevel"/>
    <w:tmpl w:val="F5DCA596"/>
    <w:lvl w:ilvl="0" w:tplc="029438DA">
      <w:start w:val="1"/>
      <w:numFmt w:val="lowerLetter"/>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BF0072B"/>
    <w:multiLevelType w:val="hybridMultilevel"/>
    <w:tmpl w:val="341680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160FE"/>
    <w:multiLevelType w:val="hybridMultilevel"/>
    <w:tmpl w:val="684A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EA374F"/>
    <w:multiLevelType w:val="hybridMultilevel"/>
    <w:tmpl w:val="38545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88032D"/>
    <w:multiLevelType w:val="hybridMultilevel"/>
    <w:tmpl w:val="0AF84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4155A"/>
    <w:multiLevelType w:val="hybridMultilevel"/>
    <w:tmpl w:val="998CFE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82678"/>
    <w:multiLevelType w:val="hybridMultilevel"/>
    <w:tmpl w:val="14BE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2D77E6"/>
    <w:multiLevelType w:val="hybridMultilevel"/>
    <w:tmpl w:val="1166E1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F6297"/>
    <w:multiLevelType w:val="multilevel"/>
    <w:tmpl w:val="08FE7386"/>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C5FFD"/>
    <w:multiLevelType w:val="multilevel"/>
    <w:tmpl w:val="6862E47A"/>
    <w:lvl w:ilvl="0">
      <w:start w:val="1"/>
      <w:numFmt w:val="decimal"/>
      <w:lvlText w:val="%1"/>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059085F"/>
    <w:multiLevelType w:val="hybridMultilevel"/>
    <w:tmpl w:val="C4A68D66"/>
    <w:lvl w:ilvl="0" w:tplc="02AE2BB4">
      <w:start w:val="1"/>
      <w:numFmt w:val="lowerLetter"/>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51636EF"/>
    <w:multiLevelType w:val="hybridMultilevel"/>
    <w:tmpl w:val="454A80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D60F9A"/>
    <w:multiLevelType w:val="multilevel"/>
    <w:tmpl w:val="67C45750"/>
    <w:lvl w:ilvl="0">
      <w:start w:val="1"/>
      <w:numFmt w:val="bullet"/>
      <w:lvlText w:val="o"/>
      <w:lvlJc w:val="left"/>
      <w:pPr>
        <w:ind w:left="1077" w:hanging="720"/>
      </w:pPr>
      <w:rPr>
        <w:rFonts w:ascii="Courier New" w:hAnsi="Courier New" w:cs="Courier New" w:hint="default"/>
        <w:b/>
      </w:rPr>
    </w:lvl>
    <w:lvl w:ilvl="1">
      <w:start w:val="1"/>
      <w:numFmt w:val="decimal"/>
      <w:lvlText w:val="%1.%2"/>
      <w:lvlJc w:val="left"/>
      <w:pPr>
        <w:ind w:left="107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7"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797" w:hanging="144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2157" w:hanging="1800"/>
      </w:pPr>
      <w:rPr>
        <w:rFonts w:hint="default"/>
      </w:rPr>
    </w:lvl>
    <w:lvl w:ilvl="8">
      <w:start w:val="1"/>
      <w:numFmt w:val="decimal"/>
      <w:lvlText w:val="%1.%2.%3.%4.%5.%6.%7.%8.%9"/>
      <w:lvlJc w:val="left"/>
      <w:pPr>
        <w:ind w:left="2157" w:hanging="1800"/>
      </w:pPr>
      <w:rPr>
        <w:rFonts w:hint="default"/>
      </w:rPr>
    </w:lvl>
  </w:abstractNum>
  <w:abstractNum w:abstractNumId="33" w15:restartNumberingAfterBreak="0">
    <w:nsid w:val="6A0623C2"/>
    <w:multiLevelType w:val="hybridMultilevel"/>
    <w:tmpl w:val="28D83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45FC285E"/>
    <w:lvl w:ilvl="0">
      <w:start w:val="1"/>
      <w:numFmt w:val="decimal"/>
      <w:pStyle w:val="2-SectionHeading"/>
      <w:lvlText w:val="%1"/>
      <w:lvlJc w:val="left"/>
      <w:pPr>
        <w:ind w:left="5964"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433CC"/>
    <w:multiLevelType w:val="multilevel"/>
    <w:tmpl w:val="8BE08D0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2"/>
  </w:num>
  <w:num w:numId="4">
    <w:abstractNumId w:val="0"/>
  </w:num>
  <w:num w:numId="5">
    <w:abstractNumId w:val="34"/>
  </w:num>
  <w:num w:numId="6">
    <w:abstractNumId w:val="36"/>
  </w:num>
  <w:num w:numId="7">
    <w:abstractNumId w:val="19"/>
  </w:num>
  <w:num w:numId="8">
    <w:abstractNumId w:val="18"/>
  </w:num>
  <w:num w:numId="9">
    <w:abstractNumId w:val="33"/>
  </w:num>
  <w:num w:numId="10">
    <w:abstractNumId w:val="12"/>
  </w:num>
  <w:num w:numId="11">
    <w:abstractNumId w:val="24"/>
  </w:num>
  <w:num w:numId="12">
    <w:abstractNumId w:val="30"/>
  </w:num>
  <w:num w:numId="13">
    <w:abstractNumId w:val="9"/>
  </w:num>
  <w:num w:numId="14">
    <w:abstractNumId w:val="10"/>
  </w:num>
  <w:num w:numId="15">
    <w:abstractNumId w:val="7"/>
  </w:num>
  <w:num w:numId="16">
    <w:abstractNumId w:val="14"/>
  </w:num>
  <w:num w:numId="17">
    <w:abstractNumId w:val="21"/>
  </w:num>
  <w:num w:numId="18">
    <w:abstractNumId w:val="23"/>
  </w:num>
  <w:num w:numId="19">
    <w:abstractNumId w:val="17"/>
  </w:num>
  <w:num w:numId="20">
    <w:abstractNumId w:val="4"/>
  </w:num>
  <w:num w:numId="21">
    <w:abstractNumId w:val="26"/>
  </w:num>
  <w:num w:numId="22">
    <w:abstractNumId w:val="3"/>
  </w:num>
  <w:num w:numId="23">
    <w:abstractNumId w:val="8"/>
  </w:num>
  <w:num w:numId="24">
    <w:abstractNumId w:val="25"/>
  </w:num>
  <w:num w:numId="25">
    <w:abstractNumId w:val="31"/>
  </w:num>
  <w:num w:numId="26">
    <w:abstractNumId w:val="32"/>
  </w:num>
  <w:num w:numId="27">
    <w:abstractNumId w:val="11"/>
  </w:num>
  <w:num w:numId="28">
    <w:abstractNumId w:val="5"/>
  </w:num>
  <w:num w:numId="29">
    <w:abstractNumId w:val="27"/>
  </w:num>
  <w:num w:numId="30">
    <w:abstractNumId w:val="6"/>
  </w:num>
  <w:num w:numId="31">
    <w:abstractNumId w:val="1"/>
  </w:num>
  <w:num w:numId="32">
    <w:abstractNumId w:val="15"/>
  </w:num>
  <w:num w:numId="33">
    <w:abstractNumId w:val="16"/>
  </w:num>
  <w:num w:numId="34">
    <w:abstractNumId w:val="13"/>
  </w:num>
  <w:num w:numId="3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5"/>
  </w:num>
  <w:num w:numId="38">
    <w:abstractNumId w:val="2"/>
  </w:num>
  <w:num w:numId="39">
    <w:abstractNumId w:val="34"/>
  </w:num>
  <w:num w:numId="40">
    <w:abstractNumId w:val="34"/>
  </w:num>
  <w:num w:numId="41">
    <w:abstractNumId w:val="34"/>
  </w:num>
  <w:num w:numId="42">
    <w:abstractNumId w:val="34"/>
  </w:num>
  <w:num w:numId="4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pwe0t5aza2v3ewwaz5srew2fpzdpazzfwv&quot;&gt;Lana-Converted&lt;record-ids&gt;&lt;item&gt;71&lt;/item&gt;&lt;item&gt;72&lt;/item&gt;&lt;item&gt;113&lt;/item&gt;&lt;/record-ids&gt;&lt;/item&gt;&lt;/Libraries&gt;"/>
  </w:docVars>
  <w:rsids>
    <w:rsidRoot w:val="00E65E79"/>
    <w:rsid w:val="00000790"/>
    <w:rsid w:val="0000110B"/>
    <w:rsid w:val="0000182A"/>
    <w:rsid w:val="00002097"/>
    <w:rsid w:val="00003499"/>
    <w:rsid w:val="0000382F"/>
    <w:rsid w:val="000039B7"/>
    <w:rsid w:val="00003FA6"/>
    <w:rsid w:val="00004756"/>
    <w:rsid w:val="00005A9C"/>
    <w:rsid w:val="00005D7D"/>
    <w:rsid w:val="0000639A"/>
    <w:rsid w:val="000069AA"/>
    <w:rsid w:val="00007191"/>
    <w:rsid w:val="0000755E"/>
    <w:rsid w:val="00013247"/>
    <w:rsid w:val="00013A35"/>
    <w:rsid w:val="00015886"/>
    <w:rsid w:val="000162EF"/>
    <w:rsid w:val="000178EE"/>
    <w:rsid w:val="000207C9"/>
    <w:rsid w:val="0002224D"/>
    <w:rsid w:val="0002225F"/>
    <w:rsid w:val="00023763"/>
    <w:rsid w:val="00023DD6"/>
    <w:rsid w:val="000242D8"/>
    <w:rsid w:val="00024783"/>
    <w:rsid w:val="00024A2B"/>
    <w:rsid w:val="000252BE"/>
    <w:rsid w:val="0002591D"/>
    <w:rsid w:val="00026E17"/>
    <w:rsid w:val="000274B8"/>
    <w:rsid w:val="00027E29"/>
    <w:rsid w:val="0003192C"/>
    <w:rsid w:val="00033863"/>
    <w:rsid w:val="00033D1B"/>
    <w:rsid w:val="0003403D"/>
    <w:rsid w:val="00034C31"/>
    <w:rsid w:val="00035DC0"/>
    <w:rsid w:val="00036829"/>
    <w:rsid w:val="00037B70"/>
    <w:rsid w:val="00040895"/>
    <w:rsid w:val="000435EE"/>
    <w:rsid w:val="00043C37"/>
    <w:rsid w:val="00045017"/>
    <w:rsid w:val="00045A2B"/>
    <w:rsid w:val="000468E3"/>
    <w:rsid w:val="0004698F"/>
    <w:rsid w:val="00047C78"/>
    <w:rsid w:val="0005035F"/>
    <w:rsid w:val="000512FC"/>
    <w:rsid w:val="00051ABE"/>
    <w:rsid w:val="000532CD"/>
    <w:rsid w:val="000537C8"/>
    <w:rsid w:val="000539D0"/>
    <w:rsid w:val="00054621"/>
    <w:rsid w:val="000546D7"/>
    <w:rsid w:val="00055221"/>
    <w:rsid w:val="00055D2F"/>
    <w:rsid w:val="00056EC8"/>
    <w:rsid w:val="00056ECF"/>
    <w:rsid w:val="0006031D"/>
    <w:rsid w:val="000604DF"/>
    <w:rsid w:val="000616BD"/>
    <w:rsid w:val="00062E84"/>
    <w:rsid w:val="000632C5"/>
    <w:rsid w:val="00063331"/>
    <w:rsid w:val="000640BC"/>
    <w:rsid w:val="00064E5E"/>
    <w:rsid w:val="000653B5"/>
    <w:rsid w:val="000654F2"/>
    <w:rsid w:val="00066360"/>
    <w:rsid w:val="00066AF8"/>
    <w:rsid w:val="00070212"/>
    <w:rsid w:val="000708EA"/>
    <w:rsid w:val="00071248"/>
    <w:rsid w:val="000720B9"/>
    <w:rsid w:val="00072F1C"/>
    <w:rsid w:val="000732AC"/>
    <w:rsid w:val="000737F7"/>
    <w:rsid w:val="00074334"/>
    <w:rsid w:val="0007559D"/>
    <w:rsid w:val="00076222"/>
    <w:rsid w:val="0007672F"/>
    <w:rsid w:val="00076784"/>
    <w:rsid w:val="00076B54"/>
    <w:rsid w:val="000774F0"/>
    <w:rsid w:val="00080909"/>
    <w:rsid w:val="000812CA"/>
    <w:rsid w:val="00081E63"/>
    <w:rsid w:val="0008258D"/>
    <w:rsid w:val="0008298D"/>
    <w:rsid w:val="00083E99"/>
    <w:rsid w:val="00084FA8"/>
    <w:rsid w:val="000856C5"/>
    <w:rsid w:val="00085C31"/>
    <w:rsid w:val="00087441"/>
    <w:rsid w:val="000875BC"/>
    <w:rsid w:val="000902D9"/>
    <w:rsid w:val="00090AB9"/>
    <w:rsid w:val="00090C7E"/>
    <w:rsid w:val="00092600"/>
    <w:rsid w:val="0009262B"/>
    <w:rsid w:val="00092E29"/>
    <w:rsid w:val="00092E65"/>
    <w:rsid w:val="00093310"/>
    <w:rsid w:val="00093904"/>
    <w:rsid w:val="000943E4"/>
    <w:rsid w:val="0009445C"/>
    <w:rsid w:val="000949C6"/>
    <w:rsid w:val="00095200"/>
    <w:rsid w:val="00095FE5"/>
    <w:rsid w:val="00096284"/>
    <w:rsid w:val="00096345"/>
    <w:rsid w:val="000A15D5"/>
    <w:rsid w:val="000A1BC0"/>
    <w:rsid w:val="000A3524"/>
    <w:rsid w:val="000A41CF"/>
    <w:rsid w:val="000A4BDA"/>
    <w:rsid w:val="000A4F70"/>
    <w:rsid w:val="000A5B80"/>
    <w:rsid w:val="000A6039"/>
    <w:rsid w:val="000A61E7"/>
    <w:rsid w:val="000A6798"/>
    <w:rsid w:val="000A732E"/>
    <w:rsid w:val="000A7453"/>
    <w:rsid w:val="000A7D08"/>
    <w:rsid w:val="000B0121"/>
    <w:rsid w:val="000B0670"/>
    <w:rsid w:val="000B0E75"/>
    <w:rsid w:val="000B13FA"/>
    <w:rsid w:val="000B21E1"/>
    <w:rsid w:val="000B2DCB"/>
    <w:rsid w:val="000B31A7"/>
    <w:rsid w:val="000B3DB3"/>
    <w:rsid w:val="000B47AD"/>
    <w:rsid w:val="000B5CE0"/>
    <w:rsid w:val="000B641A"/>
    <w:rsid w:val="000B6CAC"/>
    <w:rsid w:val="000B703D"/>
    <w:rsid w:val="000B73F9"/>
    <w:rsid w:val="000B7612"/>
    <w:rsid w:val="000B78AE"/>
    <w:rsid w:val="000C079B"/>
    <w:rsid w:val="000C179B"/>
    <w:rsid w:val="000C3DF9"/>
    <w:rsid w:val="000C5522"/>
    <w:rsid w:val="000C55AF"/>
    <w:rsid w:val="000C6713"/>
    <w:rsid w:val="000C7EE9"/>
    <w:rsid w:val="000D1BFC"/>
    <w:rsid w:val="000D1D5D"/>
    <w:rsid w:val="000D1FEC"/>
    <w:rsid w:val="000D281A"/>
    <w:rsid w:val="000D2848"/>
    <w:rsid w:val="000D2936"/>
    <w:rsid w:val="000D326A"/>
    <w:rsid w:val="000D38FB"/>
    <w:rsid w:val="000D51FB"/>
    <w:rsid w:val="000D5EE9"/>
    <w:rsid w:val="000E0640"/>
    <w:rsid w:val="000E0C24"/>
    <w:rsid w:val="000E135D"/>
    <w:rsid w:val="000E266D"/>
    <w:rsid w:val="000E29F2"/>
    <w:rsid w:val="000E584E"/>
    <w:rsid w:val="000E69D3"/>
    <w:rsid w:val="000E7566"/>
    <w:rsid w:val="000F00BA"/>
    <w:rsid w:val="000F316A"/>
    <w:rsid w:val="000F3C74"/>
    <w:rsid w:val="000F47AA"/>
    <w:rsid w:val="000F4BB8"/>
    <w:rsid w:val="000F4FA9"/>
    <w:rsid w:val="000F53FB"/>
    <w:rsid w:val="000F5E41"/>
    <w:rsid w:val="000F6035"/>
    <w:rsid w:val="000F7127"/>
    <w:rsid w:val="000F7B54"/>
    <w:rsid w:val="001008E1"/>
    <w:rsid w:val="00100F74"/>
    <w:rsid w:val="00100F8A"/>
    <w:rsid w:val="0010452E"/>
    <w:rsid w:val="00105328"/>
    <w:rsid w:val="00105AE2"/>
    <w:rsid w:val="001060C6"/>
    <w:rsid w:val="00106B80"/>
    <w:rsid w:val="00106BDE"/>
    <w:rsid w:val="0011032E"/>
    <w:rsid w:val="00110DA6"/>
    <w:rsid w:val="00112B99"/>
    <w:rsid w:val="0011348B"/>
    <w:rsid w:val="00115982"/>
    <w:rsid w:val="001162DE"/>
    <w:rsid w:val="00116C53"/>
    <w:rsid w:val="00117408"/>
    <w:rsid w:val="0011775A"/>
    <w:rsid w:val="00121799"/>
    <w:rsid w:val="001222FC"/>
    <w:rsid w:val="00123902"/>
    <w:rsid w:val="00123D40"/>
    <w:rsid w:val="00124A51"/>
    <w:rsid w:val="001265B6"/>
    <w:rsid w:val="00126621"/>
    <w:rsid w:val="00126858"/>
    <w:rsid w:val="00126B1D"/>
    <w:rsid w:val="001276F8"/>
    <w:rsid w:val="00127FBD"/>
    <w:rsid w:val="001301E9"/>
    <w:rsid w:val="00130FD8"/>
    <w:rsid w:val="00131469"/>
    <w:rsid w:val="00131D82"/>
    <w:rsid w:val="00132B22"/>
    <w:rsid w:val="00133834"/>
    <w:rsid w:val="00133D36"/>
    <w:rsid w:val="00133E5C"/>
    <w:rsid w:val="00134156"/>
    <w:rsid w:val="0013441E"/>
    <w:rsid w:val="00135093"/>
    <w:rsid w:val="00135753"/>
    <w:rsid w:val="00137645"/>
    <w:rsid w:val="0014015A"/>
    <w:rsid w:val="00140E99"/>
    <w:rsid w:val="00141B40"/>
    <w:rsid w:val="00142192"/>
    <w:rsid w:val="00143F67"/>
    <w:rsid w:val="001445B4"/>
    <w:rsid w:val="00145540"/>
    <w:rsid w:val="001456B0"/>
    <w:rsid w:val="00145B11"/>
    <w:rsid w:val="00145D16"/>
    <w:rsid w:val="001462B0"/>
    <w:rsid w:val="0014753F"/>
    <w:rsid w:val="00151AAB"/>
    <w:rsid w:val="00151C1A"/>
    <w:rsid w:val="00153955"/>
    <w:rsid w:val="00153F52"/>
    <w:rsid w:val="00154CD3"/>
    <w:rsid w:val="00155B38"/>
    <w:rsid w:val="00156F8F"/>
    <w:rsid w:val="00157130"/>
    <w:rsid w:val="001575DC"/>
    <w:rsid w:val="001576B1"/>
    <w:rsid w:val="001603B5"/>
    <w:rsid w:val="0016047B"/>
    <w:rsid w:val="00160961"/>
    <w:rsid w:val="00160A4C"/>
    <w:rsid w:val="00162913"/>
    <w:rsid w:val="00162ADF"/>
    <w:rsid w:val="00163431"/>
    <w:rsid w:val="001639DC"/>
    <w:rsid w:val="00163EFF"/>
    <w:rsid w:val="00163F66"/>
    <w:rsid w:val="00163FC6"/>
    <w:rsid w:val="00164713"/>
    <w:rsid w:val="001661FB"/>
    <w:rsid w:val="00166AF0"/>
    <w:rsid w:val="00166D56"/>
    <w:rsid w:val="001671A0"/>
    <w:rsid w:val="0016767F"/>
    <w:rsid w:val="00167B7D"/>
    <w:rsid w:val="00167F5C"/>
    <w:rsid w:val="0017162A"/>
    <w:rsid w:val="00171D7E"/>
    <w:rsid w:val="00172C70"/>
    <w:rsid w:val="00173565"/>
    <w:rsid w:val="00173B07"/>
    <w:rsid w:val="00174F42"/>
    <w:rsid w:val="001751FA"/>
    <w:rsid w:val="00177077"/>
    <w:rsid w:val="00181AD2"/>
    <w:rsid w:val="00181D9C"/>
    <w:rsid w:val="00182F55"/>
    <w:rsid w:val="00183DEE"/>
    <w:rsid w:val="0018442A"/>
    <w:rsid w:val="00184B0E"/>
    <w:rsid w:val="00184D05"/>
    <w:rsid w:val="00186437"/>
    <w:rsid w:val="0018752F"/>
    <w:rsid w:val="001900DD"/>
    <w:rsid w:val="0019197F"/>
    <w:rsid w:val="001920BF"/>
    <w:rsid w:val="001927FE"/>
    <w:rsid w:val="00193383"/>
    <w:rsid w:val="00193838"/>
    <w:rsid w:val="00194AD8"/>
    <w:rsid w:val="00195222"/>
    <w:rsid w:val="00195278"/>
    <w:rsid w:val="00195966"/>
    <w:rsid w:val="001972C4"/>
    <w:rsid w:val="001975D8"/>
    <w:rsid w:val="001A015C"/>
    <w:rsid w:val="001A061A"/>
    <w:rsid w:val="001A0AF0"/>
    <w:rsid w:val="001A178E"/>
    <w:rsid w:val="001A1ED4"/>
    <w:rsid w:val="001A40C2"/>
    <w:rsid w:val="001A43FA"/>
    <w:rsid w:val="001A47C5"/>
    <w:rsid w:val="001A59FB"/>
    <w:rsid w:val="001A5A17"/>
    <w:rsid w:val="001A5E9E"/>
    <w:rsid w:val="001A5F6B"/>
    <w:rsid w:val="001A6354"/>
    <w:rsid w:val="001A6366"/>
    <w:rsid w:val="001A640C"/>
    <w:rsid w:val="001A733C"/>
    <w:rsid w:val="001A75D8"/>
    <w:rsid w:val="001A7A20"/>
    <w:rsid w:val="001A7AE8"/>
    <w:rsid w:val="001A7C67"/>
    <w:rsid w:val="001B04C2"/>
    <w:rsid w:val="001B204E"/>
    <w:rsid w:val="001B2372"/>
    <w:rsid w:val="001B3443"/>
    <w:rsid w:val="001B46A1"/>
    <w:rsid w:val="001B4A16"/>
    <w:rsid w:val="001B4D20"/>
    <w:rsid w:val="001B523C"/>
    <w:rsid w:val="001B74AC"/>
    <w:rsid w:val="001C1C9C"/>
    <w:rsid w:val="001C2A9B"/>
    <w:rsid w:val="001C3707"/>
    <w:rsid w:val="001C4299"/>
    <w:rsid w:val="001C4572"/>
    <w:rsid w:val="001C4874"/>
    <w:rsid w:val="001C56C3"/>
    <w:rsid w:val="001C5F94"/>
    <w:rsid w:val="001C6B4D"/>
    <w:rsid w:val="001C6E66"/>
    <w:rsid w:val="001D00AC"/>
    <w:rsid w:val="001D0571"/>
    <w:rsid w:val="001D1100"/>
    <w:rsid w:val="001D1391"/>
    <w:rsid w:val="001D1FAF"/>
    <w:rsid w:val="001D2115"/>
    <w:rsid w:val="001D25D7"/>
    <w:rsid w:val="001D2947"/>
    <w:rsid w:val="001D2A7B"/>
    <w:rsid w:val="001D3A3C"/>
    <w:rsid w:val="001D449A"/>
    <w:rsid w:val="001D4A5F"/>
    <w:rsid w:val="001D50B2"/>
    <w:rsid w:val="001D60EE"/>
    <w:rsid w:val="001D616D"/>
    <w:rsid w:val="001D7645"/>
    <w:rsid w:val="001E021B"/>
    <w:rsid w:val="001E0CA4"/>
    <w:rsid w:val="001E1527"/>
    <w:rsid w:val="001E1E86"/>
    <w:rsid w:val="001E238E"/>
    <w:rsid w:val="001E2407"/>
    <w:rsid w:val="001E2483"/>
    <w:rsid w:val="001E28CA"/>
    <w:rsid w:val="001E2B1E"/>
    <w:rsid w:val="001E2B4B"/>
    <w:rsid w:val="001E2CFF"/>
    <w:rsid w:val="001E2F24"/>
    <w:rsid w:val="001E30D4"/>
    <w:rsid w:val="001E34DF"/>
    <w:rsid w:val="001E35F5"/>
    <w:rsid w:val="001E3F26"/>
    <w:rsid w:val="001E4C36"/>
    <w:rsid w:val="001E52EB"/>
    <w:rsid w:val="001E5997"/>
    <w:rsid w:val="001E61D2"/>
    <w:rsid w:val="001E740C"/>
    <w:rsid w:val="001E7A3A"/>
    <w:rsid w:val="001F1235"/>
    <w:rsid w:val="001F1CB3"/>
    <w:rsid w:val="001F20EC"/>
    <w:rsid w:val="001F321D"/>
    <w:rsid w:val="001F38B5"/>
    <w:rsid w:val="001F4081"/>
    <w:rsid w:val="001F4282"/>
    <w:rsid w:val="001F7361"/>
    <w:rsid w:val="001F7988"/>
    <w:rsid w:val="002001A4"/>
    <w:rsid w:val="00201020"/>
    <w:rsid w:val="002011B0"/>
    <w:rsid w:val="00202573"/>
    <w:rsid w:val="00203181"/>
    <w:rsid w:val="00203783"/>
    <w:rsid w:val="0020385F"/>
    <w:rsid w:val="00204A09"/>
    <w:rsid w:val="002068A0"/>
    <w:rsid w:val="00206D66"/>
    <w:rsid w:val="00207021"/>
    <w:rsid w:val="0020732F"/>
    <w:rsid w:val="00207D00"/>
    <w:rsid w:val="002104AE"/>
    <w:rsid w:val="002105C1"/>
    <w:rsid w:val="00211DA3"/>
    <w:rsid w:val="0021235F"/>
    <w:rsid w:val="00213B8A"/>
    <w:rsid w:val="00213C43"/>
    <w:rsid w:val="00213EF5"/>
    <w:rsid w:val="002152D3"/>
    <w:rsid w:val="00215ACB"/>
    <w:rsid w:val="00215D44"/>
    <w:rsid w:val="00216BF5"/>
    <w:rsid w:val="00217B64"/>
    <w:rsid w:val="00217C7B"/>
    <w:rsid w:val="00220069"/>
    <w:rsid w:val="00221862"/>
    <w:rsid w:val="00222916"/>
    <w:rsid w:val="00222BD5"/>
    <w:rsid w:val="00222EF8"/>
    <w:rsid w:val="00223B49"/>
    <w:rsid w:val="00223B61"/>
    <w:rsid w:val="00223B88"/>
    <w:rsid w:val="00223D5A"/>
    <w:rsid w:val="00224264"/>
    <w:rsid w:val="002247D2"/>
    <w:rsid w:val="00224DD4"/>
    <w:rsid w:val="00224DF3"/>
    <w:rsid w:val="00225128"/>
    <w:rsid w:val="00225373"/>
    <w:rsid w:val="002278A0"/>
    <w:rsid w:val="002309CC"/>
    <w:rsid w:val="00230C81"/>
    <w:rsid w:val="0023209F"/>
    <w:rsid w:val="00232145"/>
    <w:rsid w:val="00232ADA"/>
    <w:rsid w:val="002337F1"/>
    <w:rsid w:val="00233C01"/>
    <w:rsid w:val="0023413C"/>
    <w:rsid w:val="0023444A"/>
    <w:rsid w:val="002344F0"/>
    <w:rsid w:val="002346F0"/>
    <w:rsid w:val="0023566B"/>
    <w:rsid w:val="00235921"/>
    <w:rsid w:val="002360ED"/>
    <w:rsid w:val="0023629D"/>
    <w:rsid w:val="002362C4"/>
    <w:rsid w:val="00237255"/>
    <w:rsid w:val="0024183B"/>
    <w:rsid w:val="002424AF"/>
    <w:rsid w:val="0024267E"/>
    <w:rsid w:val="002439DC"/>
    <w:rsid w:val="002441D2"/>
    <w:rsid w:val="00244DC8"/>
    <w:rsid w:val="002458BA"/>
    <w:rsid w:val="00245CE9"/>
    <w:rsid w:val="00246066"/>
    <w:rsid w:val="0024636C"/>
    <w:rsid w:val="0024686A"/>
    <w:rsid w:val="00247925"/>
    <w:rsid w:val="00251006"/>
    <w:rsid w:val="00251493"/>
    <w:rsid w:val="002514C2"/>
    <w:rsid w:val="002524D5"/>
    <w:rsid w:val="00253B1D"/>
    <w:rsid w:val="00253EC5"/>
    <w:rsid w:val="00254DCF"/>
    <w:rsid w:val="0025534B"/>
    <w:rsid w:val="00255BB7"/>
    <w:rsid w:val="00256C7B"/>
    <w:rsid w:val="00257541"/>
    <w:rsid w:val="00257856"/>
    <w:rsid w:val="00257934"/>
    <w:rsid w:val="00257A39"/>
    <w:rsid w:val="00257AC4"/>
    <w:rsid w:val="00260D08"/>
    <w:rsid w:val="00261C68"/>
    <w:rsid w:val="00261EEF"/>
    <w:rsid w:val="00262A1A"/>
    <w:rsid w:val="00262A87"/>
    <w:rsid w:val="00264D26"/>
    <w:rsid w:val="00265EF9"/>
    <w:rsid w:val="00266831"/>
    <w:rsid w:val="00267642"/>
    <w:rsid w:val="00267AEA"/>
    <w:rsid w:val="002700E6"/>
    <w:rsid w:val="00270103"/>
    <w:rsid w:val="00270573"/>
    <w:rsid w:val="0027294B"/>
    <w:rsid w:val="00273EB4"/>
    <w:rsid w:val="0027455E"/>
    <w:rsid w:val="00274682"/>
    <w:rsid w:val="00275C5A"/>
    <w:rsid w:val="00277441"/>
    <w:rsid w:val="00277E2A"/>
    <w:rsid w:val="00280D05"/>
    <w:rsid w:val="00281014"/>
    <w:rsid w:val="002817C3"/>
    <w:rsid w:val="002845A2"/>
    <w:rsid w:val="002848FC"/>
    <w:rsid w:val="0028665D"/>
    <w:rsid w:val="0029144E"/>
    <w:rsid w:val="00292C9B"/>
    <w:rsid w:val="00292D0B"/>
    <w:rsid w:val="00292D3F"/>
    <w:rsid w:val="00293A39"/>
    <w:rsid w:val="00295812"/>
    <w:rsid w:val="00296898"/>
    <w:rsid w:val="00297417"/>
    <w:rsid w:val="002975E0"/>
    <w:rsid w:val="0029782D"/>
    <w:rsid w:val="002A00C4"/>
    <w:rsid w:val="002A0124"/>
    <w:rsid w:val="002A0D85"/>
    <w:rsid w:val="002A14AB"/>
    <w:rsid w:val="002A1D58"/>
    <w:rsid w:val="002A2ADE"/>
    <w:rsid w:val="002A2F50"/>
    <w:rsid w:val="002A5430"/>
    <w:rsid w:val="002A5E69"/>
    <w:rsid w:val="002A731A"/>
    <w:rsid w:val="002B05A1"/>
    <w:rsid w:val="002B09A4"/>
    <w:rsid w:val="002B112E"/>
    <w:rsid w:val="002B1C1F"/>
    <w:rsid w:val="002B2DB6"/>
    <w:rsid w:val="002B2F77"/>
    <w:rsid w:val="002B3579"/>
    <w:rsid w:val="002B42B7"/>
    <w:rsid w:val="002B432F"/>
    <w:rsid w:val="002B4402"/>
    <w:rsid w:val="002B500A"/>
    <w:rsid w:val="002B62B3"/>
    <w:rsid w:val="002B6754"/>
    <w:rsid w:val="002B6CCE"/>
    <w:rsid w:val="002B7E45"/>
    <w:rsid w:val="002C1477"/>
    <w:rsid w:val="002C2510"/>
    <w:rsid w:val="002C2775"/>
    <w:rsid w:val="002C27C1"/>
    <w:rsid w:val="002C4EF1"/>
    <w:rsid w:val="002C5099"/>
    <w:rsid w:val="002C5889"/>
    <w:rsid w:val="002C598A"/>
    <w:rsid w:val="002C71CE"/>
    <w:rsid w:val="002D08F8"/>
    <w:rsid w:val="002D0E52"/>
    <w:rsid w:val="002D1C2B"/>
    <w:rsid w:val="002D288F"/>
    <w:rsid w:val="002D3F5D"/>
    <w:rsid w:val="002D47A6"/>
    <w:rsid w:val="002D577C"/>
    <w:rsid w:val="002D64F5"/>
    <w:rsid w:val="002D65F3"/>
    <w:rsid w:val="002D729C"/>
    <w:rsid w:val="002E059B"/>
    <w:rsid w:val="002E1071"/>
    <w:rsid w:val="002E15B9"/>
    <w:rsid w:val="002E1E40"/>
    <w:rsid w:val="002E2003"/>
    <w:rsid w:val="002E2158"/>
    <w:rsid w:val="002E27E7"/>
    <w:rsid w:val="002E2F3E"/>
    <w:rsid w:val="002E2FB5"/>
    <w:rsid w:val="002E360F"/>
    <w:rsid w:val="002E43B0"/>
    <w:rsid w:val="002E4F02"/>
    <w:rsid w:val="002E4F1D"/>
    <w:rsid w:val="002E562A"/>
    <w:rsid w:val="002E7722"/>
    <w:rsid w:val="002E7730"/>
    <w:rsid w:val="002F07BA"/>
    <w:rsid w:val="002F0B3B"/>
    <w:rsid w:val="002F0DA9"/>
    <w:rsid w:val="002F1014"/>
    <w:rsid w:val="002F554E"/>
    <w:rsid w:val="002F605A"/>
    <w:rsid w:val="002F643C"/>
    <w:rsid w:val="002F6E3C"/>
    <w:rsid w:val="002F71C0"/>
    <w:rsid w:val="002F74F1"/>
    <w:rsid w:val="002F7CA4"/>
    <w:rsid w:val="00301017"/>
    <w:rsid w:val="0030122A"/>
    <w:rsid w:val="0030155F"/>
    <w:rsid w:val="003018B7"/>
    <w:rsid w:val="00301BE9"/>
    <w:rsid w:val="0030281F"/>
    <w:rsid w:val="00304674"/>
    <w:rsid w:val="003049CB"/>
    <w:rsid w:val="00304BE6"/>
    <w:rsid w:val="00304C25"/>
    <w:rsid w:val="003056DD"/>
    <w:rsid w:val="0030587B"/>
    <w:rsid w:val="003069C9"/>
    <w:rsid w:val="00306D98"/>
    <w:rsid w:val="00306DF7"/>
    <w:rsid w:val="0030703F"/>
    <w:rsid w:val="0030786C"/>
    <w:rsid w:val="00307C60"/>
    <w:rsid w:val="003102B1"/>
    <w:rsid w:val="0031031A"/>
    <w:rsid w:val="00310981"/>
    <w:rsid w:val="0031134F"/>
    <w:rsid w:val="003120F5"/>
    <w:rsid w:val="003124D9"/>
    <w:rsid w:val="00312594"/>
    <w:rsid w:val="0031300D"/>
    <w:rsid w:val="0031445F"/>
    <w:rsid w:val="00314918"/>
    <w:rsid w:val="00315498"/>
    <w:rsid w:val="00316474"/>
    <w:rsid w:val="0031783E"/>
    <w:rsid w:val="0032007A"/>
    <w:rsid w:val="00320457"/>
    <w:rsid w:val="00320488"/>
    <w:rsid w:val="00322107"/>
    <w:rsid w:val="00322231"/>
    <w:rsid w:val="00322355"/>
    <w:rsid w:val="00322846"/>
    <w:rsid w:val="00323CE5"/>
    <w:rsid w:val="003249E5"/>
    <w:rsid w:val="00326D55"/>
    <w:rsid w:val="00326DA7"/>
    <w:rsid w:val="003270E4"/>
    <w:rsid w:val="003300D5"/>
    <w:rsid w:val="00330DAA"/>
    <w:rsid w:val="00330F5C"/>
    <w:rsid w:val="003317BE"/>
    <w:rsid w:val="00332247"/>
    <w:rsid w:val="00333735"/>
    <w:rsid w:val="003343C5"/>
    <w:rsid w:val="00334558"/>
    <w:rsid w:val="003346C5"/>
    <w:rsid w:val="00335F46"/>
    <w:rsid w:val="003366C9"/>
    <w:rsid w:val="00336A8E"/>
    <w:rsid w:val="003371B0"/>
    <w:rsid w:val="00340DF1"/>
    <w:rsid w:val="00342C92"/>
    <w:rsid w:val="00343A32"/>
    <w:rsid w:val="00345268"/>
    <w:rsid w:val="0034708A"/>
    <w:rsid w:val="00347AA4"/>
    <w:rsid w:val="00350E89"/>
    <w:rsid w:val="00351591"/>
    <w:rsid w:val="003517F9"/>
    <w:rsid w:val="00351BA9"/>
    <w:rsid w:val="003522FF"/>
    <w:rsid w:val="003527AB"/>
    <w:rsid w:val="0035491B"/>
    <w:rsid w:val="00354C2C"/>
    <w:rsid w:val="00354F64"/>
    <w:rsid w:val="0035620E"/>
    <w:rsid w:val="00356612"/>
    <w:rsid w:val="00357C7E"/>
    <w:rsid w:val="00360033"/>
    <w:rsid w:val="00360345"/>
    <w:rsid w:val="00361A05"/>
    <w:rsid w:val="003624C4"/>
    <w:rsid w:val="00363B00"/>
    <w:rsid w:val="00363EF4"/>
    <w:rsid w:val="00364D73"/>
    <w:rsid w:val="00364FF0"/>
    <w:rsid w:val="003654AC"/>
    <w:rsid w:val="00367A30"/>
    <w:rsid w:val="003710CF"/>
    <w:rsid w:val="00372143"/>
    <w:rsid w:val="0037358A"/>
    <w:rsid w:val="003744BA"/>
    <w:rsid w:val="0037494F"/>
    <w:rsid w:val="003750F6"/>
    <w:rsid w:val="00375CA2"/>
    <w:rsid w:val="003760FC"/>
    <w:rsid w:val="00377975"/>
    <w:rsid w:val="00382311"/>
    <w:rsid w:val="003829DD"/>
    <w:rsid w:val="0038365C"/>
    <w:rsid w:val="0038369B"/>
    <w:rsid w:val="00383B78"/>
    <w:rsid w:val="003849B8"/>
    <w:rsid w:val="00385A9D"/>
    <w:rsid w:val="00385D00"/>
    <w:rsid w:val="003902B1"/>
    <w:rsid w:val="0039076C"/>
    <w:rsid w:val="0039179C"/>
    <w:rsid w:val="00391FF7"/>
    <w:rsid w:val="00392C6F"/>
    <w:rsid w:val="0039444F"/>
    <w:rsid w:val="00394A89"/>
    <w:rsid w:val="00394F92"/>
    <w:rsid w:val="00396552"/>
    <w:rsid w:val="00396896"/>
    <w:rsid w:val="00396FD0"/>
    <w:rsid w:val="003A1A5B"/>
    <w:rsid w:val="003A1A7A"/>
    <w:rsid w:val="003A22A1"/>
    <w:rsid w:val="003A2392"/>
    <w:rsid w:val="003A2831"/>
    <w:rsid w:val="003A2942"/>
    <w:rsid w:val="003A2993"/>
    <w:rsid w:val="003A2B07"/>
    <w:rsid w:val="003A30BB"/>
    <w:rsid w:val="003A3CB6"/>
    <w:rsid w:val="003A3EB6"/>
    <w:rsid w:val="003A3ED1"/>
    <w:rsid w:val="003A44DB"/>
    <w:rsid w:val="003A5564"/>
    <w:rsid w:val="003B111C"/>
    <w:rsid w:val="003B18AE"/>
    <w:rsid w:val="003B1AFE"/>
    <w:rsid w:val="003B21CB"/>
    <w:rsid w:val="003B3971"/>
    <w:rsid w:val="003B4728"/>
    <w:rsid w:val="003B4E94"/>
    <w:rsid w:val="003B55D1"/>
    <w:rsid w:val="003B5B61"/>
    <w:rsid w:val="003B5BB3"/>
    <w:rsid w:val="003B6203"/>
    <w:rsid w:val="003B6A10"/>
    <w:rsid w:val="003B701A"/>
    <w:rsid w:val="003B7D1B"/>
    <w:rsid w:val="003C0E11"/>
    <w:rsid w:val="003C1654"/>
    <w:rsid w:val="003C168D"/>
    <w:rsid w:val="003C335F"/>
    <w:rsid w:val="003C5542"/>
    <w:rsid w:val="003C66C1"/>
    <w:rsid w:val="003C6ABA"/>
    <w:rsid w:val="003C79AD"/>
    <w:rsid w:val="003C7D19"/>
    <w:rsid w:val="003C7D2F"/>
    <w:rsid w:val="003D06F1"/>
    <w:rsid w:val="003D1828"/>
    <w:rsid w:val="003D1B63"/>
    <w:rsid w:val="003D1DE4"/>
    <w:rsid w:val="003D1E9A"/>
    <w:rsid w:val="003D2122"/>
    <w:rsid w:val="003D2164"/>
    <w:rsid w:val="003D2422"/>
    <w:rsid w:val="003D2942"/>
    <w:rsid w:val="003D2C44"/>
    <w:rsid w:val="003D3825"/>
    <w:rsid w:val="003D39A1"/>
    <w:rsid w:val="003D3FBF"/>
    <w:rsid w:val="003D4A30"/>
    <w:rsid w:val="003D4CEF"/>
    <w:rsid w:val="003D51EB"/>
    <w:rsid w:val="003D5212"/>
    <w:rsid w:val="003D619A"/>
    <w:rsid w:val="003D695D"/>
    <w:rsid w:val="003D72FC"/>
    <w:rsid w:val="003D7452"/>
    <w:rsid w:val="003D79BB"/>
    <w:rsid w:val="003D7C98"/>
    <w:rsid w:val="003D7D9D"/>
    <w:rsid w:val="003E0543"/>
    <w:rsid w:val="003E0A16"/>
    <w:rsid w:val="003E1E6F"/>
    <w:rsid w:val="003E749E"/>
    <w:rsid w:val="003F1B18"/>
    <w:rsid w:val="003F330D"/>
    <w:rsid w:val="003F4156"/>
    <w:rsid w:val="003F5491"/>
    <w:rsid w:val="003F5ADF"/>
    <w:rsid w:val="003F7650"/>
    <w:rsid w:val="003F78DE"/>
    <w:rsid w:val="00400B29"/>
    <w:rsid w:val="00401A25"/>
    <w:rsid w:val="004034B1"/>
    <w:rsid w:val="0040391F"/>
    <w:rsid w:val="004040EE"/>
    <w:rsid w:val="0040443E"/>
    <w:rsid w:val="00404D80"/>
    <w:rsid w:val="0040504B"/>
    <w:rsid w:val="00405410"/>
    <w:rsid w:val="004059F4"/>
    <w:rsid w:val="00407B7C"/>
    <w:rsid w:val="00407FE5"/>
    <w:rsid w:val="004101B0"/>
    <w:rsid w:val="00410326"/>
    <w:rsid w:val="00410708"/>
    <w:rsid w:val="00410945"/>
    <w:rsid w:val="00410EC7"/>
    <w:rsid w:val="00411B39"/>
    <w:rsid w:val="00411B96"/>
    <w:rsid w:val="004127A7"/>
    <w:rsid w:val="00413167"/>
    <w:rsid w:val="00413216"/>
    <w:rsid w:val="00413A1E"/>
    <w:rsid w:val="00414476"/>
    <w:rsid w:val="00414C2E"/>
    <w:rsid w:val="00414CD6"/>
    <w:rsid w:val="00414DC3"/>
    <w:rsid w:val="004151CF"/>
    <w:rsid w:val="00416295"/>
    <w:rsid w:val="00416364"/>
    <w:rsid w:val="00416621"/>
    <w:rsid w:val="0042047F"/>
    <w:rsid w:val="00420AA6"/>
    <w:rsid w:val="00420B9F"/>
    <w:rsid w:val="0042192C"/>
    <w:rsid w:val="00422260"/>
    <w:rsid w:val="00422E4A"/>
    <w:rsid w:val="0042413F"/>
    <w:rsid w:val="00425FBE"/>
    <w:rsid w:val="004274EE"/>
    <w:rsid w:val="004279DB"/>
    <w:rsid w:val="00430E2D"/>
    <w:rsid w:val="00431595"/>
    <w:rsid w:val="004319F8"/>
    <w:rsid w:val="00431E55"/>
    <w:rsid w:val="004321F6"/>
    <w:rsid w:val="00433044"/>
    <w:rsid w:val="00433ADF"/>
    <w:rsid w:val="00434088"/>
    <w:rsid w:val="00435027"/>
    <w:rsid w:val="00437467"/>
    <w:rsid w:val="004375B9"/>
    <w:rsid w:val="00437A32"/>
    <w:rsid w:val="00437AF4"/>
    <w:rsid w:val="00440440"/>
    <w:rsid w:val="0044149D"/>
    <w:rsid w:val="004428D0"/>
    <w:rsid w:val="00444185"/>
    <w:rsid w:val="004443A7"/>
    <w:rsid w:val="0044442C"/>
    <w:rsid w:val="00445941"/>
    <w:rsid w:val="00445CE7"/>
    <w:rsid w:val="0044645C"/>
    <w:rsid w:val="004464EB"/>
    <w:rsid w:val="0044716A"/>
    <w:rsid w:val="00447D26"/>
    <w:rsid w:val="00447DFC"/>
    <w:rsid w:val="0045095A"/>
    <w:rsid w:val="00453B9C"/>
    <w:rsid w:val="00454EEF"/>
    <w:rsid w:val="004557E2"/>
    <w:rsid w:val="00455D45"/>
    <w:rsid w:val="004563F2"/>
    <w:rsid w:val="00460280"/>
    <w:rsid w:val="00460607"/>
    <w:rsid w:val="00461314"/>
    <w:rsid w:val="00464513"/>
    <w:rsid w:val="00464595"/>
    <w:rsid w:val="004658B5"/>
    <w:rsid w:val="00465F95"/>
    <w:rsid w:val="00466187"/>
    <w:rsid w:val="004667FD"/>
    <w:rsid w:val="004668CC"/>
    <w:rsid w:val="004701A4"/>
    <w:rsid w:val="00471EA5"/>
    <w:rsid w:val="004721D6"/>
    <w:rsid w:val="00472A79"/>
    <w:rsid w:val="004733BD"/>
    <w:rsid w:val="00473F19"/>
    <w:rsid w:val="00475E22"/>
    <w:rsid w:val="00476053"/>
    <w:rsid w:val="00476C28"/>
    <w:rsid w:val="0048088E"/>
    <w:rsid w:val="00480F2B"/>
    <w:rsid w:val="00481AB2"/>
    <w:rsid w:val="0048201F"/>
    <w:rsid w:val="00482720"/>
    <w:rsid w:val="004835E7"/>
    <w:rsid w:val="00483802"/>
    <w:rsid w:val="00483E8A"/>
    <w:rsid w:val="004840F2"/>
    <w:rsid w:val="00486391"/>
    <w:rsid w:val="004867E2"/>
    <w:rsid w:val="00490B17"/>
    <w:rsid w:val="00491B3A"/>
    <w:rsid w:val="0049245D"/>
    <w:rsid w:val="004928B9"/>
    <w:rsid w:val="00492AD3"/>
    <w:rsid w:val="00492CFD"/>
    <w:rsid w:val="00494207"/>
    <w:rsid w:val="00494D74"/>
    <w:rsid w:val="00494DD5"/>
    <w:rsid w:val="00495B8D"/>
    <w:rsid w:val="004962D2"/>
    <w:rsid w:val="00496BD3"/>
    <w:rsid w:val="0049720F"/>
    <w:rsid w:val="00497AB0"/>
    <w:rsid w:val="004A0DA1"/>
    <w:rsid w:val="004A13D6"/>
    <w:rsid w:val="004A1A7C"/>
    <w:rsid w:val="004A29E0"/>
    <w:rsid w:val="004A2A24"/>
    <w:rsid w:val="004A2C2D"/>
    <w:rsid w:val="004A52E9"/>
    <w:rsid w:val="004A6040"/>
    <w:rsid w:val="004A6251"/>
    <w:rsid w:val="004A6597"/>
    <w:rsid w:val="004A7848"/>
    <w:rsid w:val="004A7863"/>
    <w:rsid w:val="004A7A9B"/>
    <w:rsid w:val="004B00B9"/>
    <w:rsid w:val="004B1C3C"/>
    <w:rsid w:val="004B1CB4"/>
    <w:rsid w:val="004B2D7A"/>
    <w:rsid w:val="004B2DDF"/>
    <w:rsid w:val="004B2F18"/>
    <w:rsid w:val="004B315C"/>
    <w:rsid w:val="004B3DDB"/>
    <w:rsid w:val="004B3E48"/>
    <w:rsid w:val="004B44FD"/>
    <w:rsid w:val="004B5B8A"/>
    <w:rsid w:val="004B5CFC"/>
    <w:rsid w:val="004B68BB"/>
    <w:rsid w:val="004B6F79"/>
    <w:rsid w:val="004B774D"/>
    <w:rsid w:val="004B7B4A"/>
    <w:rsid w:val="004C2593"/>
    <w:rsid w:val="004C3A74"/>
    <w:rsid w:val="004C3C85"/>
    <w:rsid w:val="004C3E9B"/>
    <w:rsid w:val="004C3FEC"/>
    <w:rsid w:val="004C49A8"/>
    <w:rsid w:val="004C4AED"/>
    <w:rsid w:val="004C5F5B"/>
    <w:rsid w:val="004C621E"/>
    <w:rsid w:val="004C6AAE"/>
    <w:rsid w:val="004C74B9"/>
    <w:rsid w:val="004D2B81"/>
    <w:rsid w:val="004D2C2D"/>
    <w:rsid w:val="004D3096"/>
    <w:rsid w:val="004D373C"/>
    <w:rsid w:val="004D4CC9"/>
    <w:rsid w:val="004D606F"/>
    <w:rsid w:val="004D69B5"/>
    <w:rsid w:val="004D7227"/>
    <w:rsid w:val="004E020D"/>
    <w:rsid w:val="004E0E7F"/>
    <w:rsid w:val="004E0EB8"/>
    <w:rsid w:val="004E18E9"/>
    <w:rsid w:val="004E2ADC"/>
    <w:rsid w:val="004E40D0"/>
    <w:rsid w:val="004E43B2"/>
    <w:rsid w:val="004E4670"/>
    <w:rsid w:val="004E4B11"/>
    <w:rsid w:val="004E5E94"/>
    <w:rsid w:val="004E7289"/>
    <w:rsid w:val="004F029A"/>
    <w:rsid w:val="004F1D02"/>
    <w:rsid w:val="004F1F2D"/>
    <w:rsid w:val="004F2679"/>
    <w:rsid w:val="004F2F21"/>
    <w:rsid w:val="004F3DE5"/>
    <w:rsid w:val="004F64B7"/>
    <w:rsid w:val="004F6913"/>
    <w:rsid w:val="004F6C9D"/>
    <w:rsid w:val="004F7692"/>
    <w:rsid w:val="004F7865"/>
    <w:rsid w:val="00500468"/>
    <w:rsid w:val="005005B7"/>
    <w:rsid w:val="0050063B"/>
    <w:rsid w:val="0050174E"/>
    <w:rsid w:val="00501854"/>
    <w:rsid w:val="00501A6F"/>
    <w:rsid w:val="0050219B"/>
    <w:rsid w:val="00503A50"/>
    <w:rsid w:val="00503B27"/>
    <w:rsid w:val="00503F17"/>
    <w:rsid w:val="00504DDF"/>
    <w:rsid w:val="0050508D"/>
    <w:rsid w:val="00506928"/>
    <w:rsid w:val="00506EE4"/>
    <w:rsid w:val="005077EF"/>
    <w:rsid w:val="00511AD5"/>
    <w:rsid w:val="00511D42"/>
    <w:rsid w:val="00511DC7"/>
    <w:rsid w:val="0051310C"/>
    <w:rsid w:val="005142C5"/>
    <w:rsid w:val="0051501B"/>
    <w:rsid w:val="005152B5"/>
    <w:rsid w:val="00516689"/>
    <w:rsid w:val="00520523"/>
    <w:rsid w:val="00520A8B"/>
    <w:rsid w:val="0052123C"/>
    <w:rsid w:val="00521319"/>
    <w:rsid w:val="005213B9"/>
    <w:rsid w:val="00521CCA"/>
    <w:rsid w:val="0052269B"/>
    <w:rsid w:val="0052285B"/>
    <w:rsid w:val="00522BC8"/>
    <w:rsid w:val="0052361B"/>
    <w:rsid w:val="00523C28"/>
    <w:rsid w:val="0052458C"/>
    <w:rsid w:val="005255BC"/>
    <w:rsid w:val="00527E70"/>
    <w:rsid w:val="0053077C"/>
    <w:rsid w:val="0053176B"/>
    <w:rsid w:val="0053658B"/>
    <w:rsid w:val="00536F42"/>
    <w:rsid w:val="00537029"/>
    <w:rsid w:val="00537182"/>
    <w:rsid w:val="005409E7"/>
    <w:rsid w:val="00541EDD"/>
    <w:rsid w:val="00542311"/>
    <w:rsid w:val="005426ED"/>
    <w:rsid w:val="00542743"/>
    <w:rsid w:val="00542C2D"/>
    <w:rsid w:val="00543F63"/>
    <w:rsid w:val="005460AC"/>
    <w:rsid w:val="005465A4"/>
    <w:rsid w:val="005478BD"/>
    <w:rsid w:val="005479E3"/>
    <w:rsid w:val="005504C5"/>
    <w:rsid w:val="005513B1"/>
    <w:rsid w:val="00551445"/>
    <w:rsid w:val="00551985"/>
    <w:rsid w:val="00552BD3"/>
    <w:rsid w:val="005532A0"/>
    <w:rsid w:val="00553A1A"/>
    <w:rsid w:val="00555109"/>
    <w:rsid w:val="0055555B"/>
    <w:rsid w:val="00556385"/>
    <w:rsid w:val="00556B35"/>
    <w:rsid w:val="0055741A"/>
    <w:rsid w:val="00560DC2"/>
    <w:rsid w:val="005611B7"/>
    <w:rsid w:val="005618D4"/>
    <w:rsid w:val="0056484A"/>
    <w:rsid w:val="00565939"/>
    <w:rsid w:val="00565DF0"/>
    <w:rsid w:val="00566401"/>
    <w:rsid w:val="0056696F"/>
    <w:rsid w:val="00566AA7"/>
    <w:rsid w:val="005673B7"/>
    <w:rsid w:val="00567AC7"/>
    <w:rsid w:val="00570F53"/>
    <w:rsid w:val="00571195"/>
    <w:rsid w:val="00572269"/>
    <w:rsid w:val="0057244A"/>
    <w:rsid w:val="00572F26"/>
    <w:rsid w:val="00573AE8"/>
    <w:rsid w:val="005750C5"/>
    <w:rsid w:val="005752DE"/>
    <w:rsid w:val="00575D8D"/>
    <w:rsid w:val="0057633C"/>
    <w:rsid w:val="00576972"/>
    <w:rsid w:val="00577CF1"/>
    <w:rsid w:val="00580B22"/>
    <w:rsid w:val="00581397"/>
    <w:rsid w:val="005833CE"/>
    <w:rsid w:val="0058342A"/>
    <w:rsid w:val="00583699"/>
    <w:rsid w:val="00584A97"/>
    <w:rsid w:val="00584D78"/>
    <w:rsid w:val="00584FA1"/>
    <w:rsid w:val="00585CDD"/>
    <w:rsid w:val="00585DD7"/>
    <w:rsid w:val="005864A8"/>
    <w:rsid w:val="00587058"/>
    <w:rsid w:val="0058763A"/>
    <w:rsid w:val="00590A76"/>
    <w:rsid w:val="00591957"/>
    <w:rsid w:val="00592376"/>
    <w:rsid w:val="005930D5"/>
    <w:rsid w:val="00595691"/>
    <w:rsid w:val="00595992"/>
    <w:rsid w:val="005959C9"/>
    <w:rsid w:val="00597A26"/>
    <w:rsid w:val="00597BF9"/>
    <w:rsid w:val="005A04BD"/>
    <w:rsid w:val="005A11EE"/>
    <w:rsid w:val="005A2BEA"/>
    <w:rsid w:val="005A2E82"/>
    <w:rsid w:val="005A309A"/>
    <w:rsid w:val="005A3674"/>
    <w:rsid w:val="005A373D"/>
    <w:rsid w:val="005B05E6"/>
    <w:rsid w:val="005B0B39"/>
    <w:rsid w:val="005B0B58"/>
    <w:rsid w:val="005B2080"/>
    <w:rsid w:val="005B211E"/>
    <w:rsid w:val="005B3667"/>
    <w:rsid w:val="005B4E53"/>
    <w:rsid w:val="005B5857"/>
    <w:rsid w:val="005B5D41"/>
    <w:rsid w:val="005B68A3"/>
    <w:rsid w:val="005B6D33"/>
    <w:rsid w:val="005B7886"/>
    <w:rsid w:val="005C01BB"/>
    <w:rsid w:val="005C1440"/>
    <w:rsid w:val="005C1B83"/>
    <w:rsid w:val="005C25FF"/>
    <w:rsid w:val="005C27C6"/>
    <w:rsid w:val="005C2D55"/>
    <w:rsid w:val="005C346B"/>
    <w:rsid w:val="005C51E7"/>
    <w:rsid w:val="005C5EBF"/>
    <w:rsid w:val="005C61BE"/>
    <w:rsid w:val="005C70E0"/>
    <w:rsid w:val="005C7357"/>
    <w:rsid w:val="005C79B0"/>
    <w:rsid w:val="005D044D"/>
    <w:rsid w:val="005D056F"/>
    <w:rsid w:val="005D0ABD"/>
    <w:rsid w:val="005D0C96"/>
    <w:rsid w:val="005D18AD"/>
    <w:rsid w:val="005D20F2"/>
    <w:rsid w:val="005D26B4"/>
    <w:rsid w:val="005D2C32"/>
    <w:rsid w:val="005D4382"/>
    <w:rsid w:val="005D4B22"/>
    <w:rsid w:val="005D6C76"/>
    <w:rsid w:val="005D73CC"/>
    <w:rsid w:val="005E02AD"/>
    <w:rsid w:val="005E0BE1"/>
    <w:rsid w:val="005E0EF0"/>
    <w:rsid w:val="005E1001"/>
    <w:rsid w:val="005E1061"/>
    <w:rsid w:val="005E26F3"/>
    <w:rsid w:val="005E2D97"/>
    <w:rsid w:val="005E3E9C"/>
    <w:rsid w:val="005E5CB0"/>
    <w:rsid w:val="005E5D8F"/>
    <w:rsid w:val="005E6CBC"/>
    <w:rsid w:val="005E72FF"/>
    <w:rsid w:val="005E73C0"/>
    <w:rsid w:val="005E7DDB"/>
    <w:rsid w:val="005F01C0"/>
    <w:rsid w:val="005F0B68"/>
    <w:rsid w:val="005F1616"/>
    <w:rsid w:val="005F2706"/>
    <w:rsid w:val="005F4269"/>
    <w:rsid w:val="005F45A0"/>
    <w:rsid w:val="005F535B"/>
    <w:rsid w:val="005F55BA"/>
    <w:rsid w:val="005F6599"/>
    <w:rsid w:val="005F6A8F"/>
    <w:rsid w:val="005F6BB7"/>
    <w:rsid w:val="005F73B3"/>
    <w:rsid w:val="005F7588"/>
    <w:rsid w:val="005F7822"/>
    <w:rsid w:val="005F7B01"/>
    <w:rsid w:val="00600F0E"/>
    <w:rsid w:val="006010E6"/>
    <w:rsid w:val="0060145E"/>
    <w:rsid w:val="00601855"/>
    <w:rsid w:val="00601B83"/>
    <w:rsid w:val="00602A4F"/>
    <w:rsid w:val="00602B10"/>
    <w:rsid w:val="0060373E"/>
    <w:rsid w:val="00603BF7"/>
    <w:rsid w:val="00603DB9"/>
    <w:rsid w:val="00603DD5"/>
    <w:rsid w:val="00606AAC"/>
    <w:rsid w:val="00606E32"/>
    <w:rsid w:val="00606FBA"/>
    <w:rsid w:val="00607669"/>
    <w:rsid w:val="006076F4"/>
    <w:rsid w:val="00607924"/>
    <w:rsid w:val="00607AFD"/>
    <w:rsid w:val="00610D2C"/>
    <w:rsid w:val="00611AB4"/>
    <w:rsid w:val="00612323"/>
    <w:rsid w:val="00612A42"/>
    <w:rsid w:val="00612F97"/>
    <w:rsid w:val="0061345D"/>
    <w:rsid w:val="006138C0"/>
    <w:rsid w:val="00614396"/>
    <w:rsid w:val="0061549B"/>
    <w:rsid w:val="00616802"/>
    <w:rsid w:val="0061758D"/>
    <w:rsid w:val="00617E12"/>
    <w:rsid w:val="00620C25"/>
    <w:rsid w:val="00621477"/>
    <w:rsid w:val="006219C4"/>
    <w:rsid w:val="00621ADA"/>
    <w:rsid w:val="00621EAB"/>
    <w:rsid w:val="00623764"/>
    <w:rsid w:val="00623F7B"/>
    <w:rsid w:val="0062428B"/>
    <w:rsid w:val="00627372"/>
    <w:rsid w:val="00627A5D"/>
    <w:rsid w:val="006303A6"/>
    <w:rsid w:val="00630A5B"/>
    <w:rsid w:val="0063158F"/>
    <w:rsid w:val="00631D6B"/>
    <w:rsid w:val="006320AF"/>
    <w:rsid w:val="00632183"/>
    <w:rsid w:val="006325E3"/>
    <w:rsid w:val="006330A1"/>
    <w:rsid w:val="006333AA"/>
    <w:rsid w:val="00634483"/>
    <w:rsid w:val="0063479F"/>
    <w:rsid w:val="006353F0"/>
    <w:rsid w:val="0063574C"/>
    <w:rsid w:val="006357B5"/>
    <w:rsid w:val="00635CD6"/>
    <w:rsid w:val="0063643C"/>
    <w:rsid w:val="006364A1"/>
    <w:rsid w:val="0063678E"/>
    <w:rsid w:val="00637BFD"/>
    <w:rsid w:val="00640D6E"/>
    <w:rsid w:val="00640DD2"/>
    <w:rsid w:val="0064124C"/>
    <w:rsid w:val="0064189F"/>
    <w:rsid w:val="00641C4E"/>
    <w:rsid w:val="00641FB3"/>
    <w:rsid w:val="00642888"/>
    <w:rsid w:val="00643A0C"/>
    <w:rsid w:val="006442E2"/>
    <w:rsid w:val="0064434C"/>
    <w:rsid w:val="00644576"/>
    <w:rsid w:val="00644659"/>
    <w:rsid w:val="006464FE"/>
    <w:rsid w:val="0064666D"/>
    <w:rsid w:val="00646E6B"/>
    <w:rsid w:val="006471CC"/>
    <w:rsid w:val="006472CA"/>
    <w:rsid w:val="00647581"/>
    <w:rsid w:val="00647A29"/>
    <w:rsid w:val="00647BD3"/>
    <w:rsid w:val="00650008"/>
    <w:rsid w:val="006501B4"/>
    <w:rsid w:val="0065079F"/>
    <w:rsid w:val="006512DE"/>
    <w:rsid w:val="00651C28"/>
    <w:rsid w:val="00652364"/>
    <w:rsid w:val="00652A28"/>
    <w:rsid w:val="00653091"/>
    <w:rsid w:val="0065379F"/>
    <w:rsid w:val="00654EA6"/>
    <w:rsid w:val="00654F79"/>
    <w:rsid w:val="00656188"/>
    <w:rsid w:val="006563CC"/>
    <w:rsid w:val="00656E4B"/>
    <w:rsid w:val="0065715A"/>
    <w:rsid w:val="006578F2"/>
    <w:rsid w:val="006602EA"/>
    <w:rsid w:val="00660C1F"/>
    <w:rsid w:val="006610F1"/>
    <w:rsid w:val="006613C8"/>
    <w:rsid w:val="00661C6B"/>
    <w:rsid w:val="00662797"/>
    <w:rsid w:val="00663FCD"/>
    <w:rsid w:val="0066436D"/>
    <w:rsid w:val="00671004"/>
    <w:rsid w:val="00671AAB"/>
    <w:rsid w:val="006724B1"/>
    <w:rsid w:val="00672646"/>
    <w:rsid w:val="00672809"/>
    <w:rsid w:val="00672F30"/>
    <w:rsid w:val="00673DD0"/>
    <w:rsid w:val="00674AF4"/>
    <w:rsid w:val="00674E42"/>
    <w:rsid w:val="00677238"/>
    <w:rsid w:val="006773D6"/>
    <w:rsid w:val="006809A1"/>
    <w:rsid w:val="006813F8"/>
    <w:rsid w:val="00682112"/>
    <w:rsid w:val="00682BA6"/>
    <w:rsid w:val="00683F6D"/>
    <w:rsid w:val="00685090"/>
    <w:rsid w:val="00685429"/>
    <w:rsid w:val="006857A2"/>
    <w:rsid w:val="00686957"/>
    <w:rsid w:val="006872BA"/>
    <w:rsid w:val="0068762D"/>
    <w:rsid w:val="00690795"/>
    <w:rsid w:val="00690D58"/>
    <w:rsid w:val="00691648"/>
    <w:rsid w:val="006917D7"/>
    <w:rsid w:val="00691881"/>
    <w:rsid w:val="0069204D"/>
    <w:rsid w:val="006925DF"/>
    <w:rsid w:val="00692EC1"/>
    <w:rsid w:val="00692EEB"/>
    <w:rsid w:val="00692EF8"/>
    <w:rsid w:val="00693FB1"/>
    <w:rsid w:val="0069434C"/>
    <w:rsid w:val="00694AF4"/>
    <w:rsid w:val="00694D9D"/>
    <w:rsid w:val="00694F44"/>
    <w:rsid w:val="006951C4"/>
    <w:rsid w:val="00696F51"/>
    <w:rsid w:val="006979A5"/>
    <w:rsid w:val="00697BC9"/>
    <w:rsid w:val="006A0AA9"/>
    <w:rsid w:val="006A119E"/>
    <w:rsid w:val="006A5A22"/>
    <w:rsid w:val="006A5F2D"/>
    <w:rsid w:val="006A6B99"/>
    <w:rsid w:val="006A7D16"/>
    <w:rsid w:val="006A7E5F"/>
    <w:rsid w:val="006B121A"/>
    <w:rsid w:val="006B261B"/>
    <w:rsid w:val="006B2C90"/>
    <w:rsid w:val="006B35B3"/>
    <w:rsid w:val="006B35E6"/>
    <w:rsid w:val="006B3AE2"/>
    <w:rsid w:val="006B465A"/>
    <w:rsid w:val="006B4D51"/>
    <w:rsid w:val="006B572C"/>
    <w:rsid w:val="006B5CC9"/>
    <w:rsid w:val="006B5D13"/>
    <w:rsid w:val="006B6AC5"/>
    <w:rsid w:val="006B6DD0"/>
    <w:rsid w:val="006C00DE"/>
    <w:rsid w:val="006C0399"/>
    <w:rsid w:val="006C06A7"/>
    <w:rsid w:val="006C2337"/>
    <w:rsid w:val="006C2A8E"/>
    <w:rsid w:val="006C30EF"/>
    <w:rsid w:val="006C3255"/>
    <w:rsid w:val="006C3F26"/>
    <w:rsid w:val="006C540A"/>
    <w:rsid w:val="006C6816"/>
    <w:rsid w:val="006C6F55"/>
    <w:rsid w:val="006C76F4"/>
    <w:rsid w:val="006D0D17"/>
    <w:rsid w:val="006D1E2C"/>
    <w:rsid w:val="006D1E33"/>
    <w:rsid w:val="006D200F"/>
    <w:rsid w:val="006D2571"/>
    <w:rsid w:val="006D2FBF"/>
    <w:rsid w:val="006D3C7D"/>
    <w:rsid w:val="006D4659"/>
    <w:rsid w:val="006D4A98"/>
    <w:rsid w:val="006D4A9B"/>
    <w:rsid w:val="006D4D2C"/>
    <w:rsid w:val="006D5D5F"/>
    <w:rsid w:val="006D5E92"/>
    <w:rsid w:val="006D68FB"/>
    <w:rsid w:val="006D759F"/>
    <w:rsid w:val="006E0633"/>
    <w:rsid w:val="006E0DB1"/>
    <w:rsid w:val="006E15C0"/>
    <w:rsid w:val="006E207B"/>
    <w:rsid w:val="006E2868"/>
    <w:rsid w:val="006E4C4E"/>
    <w:rsid w:val="006E4EEC"/>
    <w:rsid w:val="006E6600"/>
    <w:rsid w:val="006E69D5"/>
    <w:rsid w:val="006E6D89"/>
    <w:rsid w:val="006F1A77"/>
    <w:rsid w:val="006F2C1B"/>
    <w:rsid w:val="006F306C"/>
    <w:rsid w:val="006F5B4F"/>
    <w:rsid w:val="006F609A"/>
    <w:rsid w:val="006F63A5"/>
    <w:rsid w:val="00700224"/>
    <w:rsid w:val="00701245"/>
    <w:rsid w:val="0070142B"/>
    <w:rsid w:val="0070159C"/>
    <w:rsid w:val="0070276E"/>
    <w:rsid w:val="00702B44"/>
    <w:rsid w:val="00702F53"/>
    <w:rsid w:val="00702F8F"/>
    <w:rsid w:val="007033CE"/>
    <w:rsid w:val="00704001"/>
    <w:rsid w:val="0070464A"/>
    <w:rsid w:val="00705779"/>
    <w:rsid w:val="00705825"/>
    <w:rsid w:val="007079FC"/>
    <w:rsid w:val="00711A36"/>
    <w:rsid w:val="00714B2C"/>
    <w:rsid w:val="00714C26"/>
    <w:rsid w:val="007150A5"/>
    <w:rsid w:val="0071528D"/>
    <w:rsid w:val="0071529C"/>
    <w:rsid w:val="00716816"/>
    <w:rsid w:val="007170DA"/>
    <w:rsid w:val="007172AD"/>
    <w:rsid w:val="007178F0"/>
    <w:rsid w:val="00720801"/>
    <w:rsid w:val="00720E89"/>
    <w:rsid w:val="00721950"/>
    <w:rsid w:val="00722339"/>
    <w:rsid w:val="00722B1B"/>
    <w:rsid w:val="0072416F"/>
    <w:rsid w:val="00727C94"/>
    <w:rsid w:val="0073109A"/>
    <w:rsid w:val="00731B0A"/>
    <w:rsid w:val="00731EAE"/>
    <w:rsid w:val="0073223F"/>
    <w:rsid w:val="007328AC"/>
    <w:rsid w:val="00732C95"/>
    <w:rsid w:val="00733073"/>
    <w:rsid w:val="00733BC7"/>
    <w:rsid w:val="00733CF5"/>
    <w:rsid w:val="00735033"/>
    <w:rsid w:val="00735328"/>
    <w:rsid w:val="007356DD"/>
    <w:rsid w:val="00736646"/>
    <w:rsid w:val="0073685B"/>
    <w:rsid w:val="0074025B"/>
    <w:rsid w:val="00740F74"/>
    <w:rsid w:val="00742DCE"/>
    <w:rsid w:val="00744336"/>
    <w:rsid w:val="007449BF"/>
    <w:rsid w:val="00745166"/>
    <w:rsid w:val="00746BC0"/>
    <w:rsid w:val="007510B4"/>
    <w:rsid w:val="00752142"/>
    <w:rsid w:val="007523F9"/>
    <w:rsid w:val="0075357E"/>
    <w:rsid w:val="007573E8"/>
    <w:rsid w:val="00760C4E"/>
    <w:rsid w:val="00760D05"/>
    <w:rsid w:val="00760F9E"/>
    <w:rsid w:val="007627BE"/>
    <w:rsid w:val="00763E6F"/>
    <w:rsid w:val="00764F03"/>
    <w:rsid w:val="00765B1A"/>
    <w:rsid w:val="007668A9"/>
    <w:rsid w:val="007668C1"/>
    <w:rsid w:val="007672E1"/>
    <w:rsid w:val="00767FF0"/>
    <w:rsid w:val="007707D1"/>
    <w:rsid w:val="00771F52"/>
    <w:rsid w:val="00774477"/>
    <w:rsid w:val="00774C41"/>
    <w:rsid w:val="0077522D"/>
    <w:rsid w:val="00777335"/>
    <w:rsid w:val="00780215"/>
    <w:rsid w:val="00780A22"/>
    <w:rsid w:val="00780F38"/>
    <w:rsid w:val="0078166A"/>
    <w:rsid w:val="00781C71"/>
    <w:rsid w:val="007824C7"/>
    <w:rsid w:val="007842F6"/>
    <w:rsid w:val="007843F2"/>
    <w:rsid w:val="00784E04"/>
    <w:rsid w:val="007855C1"/>
    <w:rsid w:val="00785A9F"/>
    <w:rsid w:val="007864E1"/>
    <w:rsid w:val="00792133"/>
    <w:rsid w:val="00792284"/>
    <w:rsid w:val="007925DF"/>
    <w:rsid w:val="00793F07"/>
    <w:rsid w:val="00794A74"/>
    <w:rsid w:val="007953C2"/>
    <w:rsid w:val="007967C7"/>
    <w:rsid w:val="007A08AA"/>
    <w:rsid w:val="007A0A12"/>
    <w:rsid w:val="007A0D95"/>
    <w:rsid w:val="007A132D"/>
    <w:rsid w:val="007A1345"/>
    <w:rsid w:val="007A2DDB"/>
    <w:rsid w:val="007A3D50"/>
    <w:rsid w:val="007A3DCE"/>
    <w:rsid w:val="007A42E8"/>
    <w:rsid w:val="007A4868"/>
    <w:rsid w:val="007A6FD3"/>
    <w:rsid w:val="007A70BA"/>
    <w:rsid w:val="007A7EEB"/>
    <w:rsid w:val="007B0D68"/>
    <w:rsid w:val="007B1D8A"/>
    <w:rsid w:val="007B251D"/>
    <w:rsid w:val="007B2682"/>
    <w:rsid w:val="007B4108"/>
    <w:rsid w:val="007B4E71"/>
    <w:rsid w:val="007B4F58"/>
    <w:rsid w:val="007B528D"/>
    <w:rsid w:val="007B5F18"/>
    <w:rsid w:val="007B63CA"/>
    <w:rsid w:val="007B6B81"/>
    <w:rsid w:val="007B77D1"/>
    <w:rsid w:val="007C07C7"/>
    <w:rsid w:val="007C1986"/>
    <w:rsid w:val="007C19DE"/>
    <w:rsid w:val="007C1CD9"/>
    <w:rsid w:val="007C22AA"/>
    <w:rsid w:val="007C2CDE"/>
    <w:rsid w:val="007C32EF"/>
    <w:rsid w:val="007C361D"/>
    <w:rsid w:val="007C4B84"/>
    <w:rsid w:val="007C70FF"/>
    <w:rsid w:val="007C7373"/>
    <w:rsid w:val="007C7902"/>
    <w:rsid w:val="007C7C25"/>
    <w:rsid w:val="007D004F"/>
    <w:rsid w:val="007D09F1"/>
    <w:rsid w:val="007D0B38"/>
    <w:rsid w:val="007D302A"/>
    <w:rsid w:val="007D461E"/>
    <w:rsid w:val="007D4E1B"/>
    <w:rsid w:val="007D4F00"/>
    <w:rsid w:val="007D5440"/>
    <w:rsid w:val="007D61ED"/>
    <w:rsid w:val="007D69EB"/>
    <w:rsid w:val="007D7684"/>
    <w:rsid w:val="007E128F"/>
    <w:rsid w:val="007E3A46"/>
    <w:rsid w:val="007E5CC9"/>
    <w:rsid w:val="007E5FC0"/>
    <w:rsid w:val="007E6535"/>
    <w:rsid w:val="007E6FE0"/>
    <w:rsid w:val="007E7145"/>
    <w:rsid w:val="007F0622"/>
    <w:rsid w:val="007F0F75"/>
    <w:rsid w:val="007F1017"/>
    <w:rsid w:val="007F101B"/>
    <w:rsid w:val="007F4A3F"/>
    <w:rsid w:val="007F4A61"/>
    <w:rsid w:val="007F4EE7"/>
    <w:rsid w:val="007F5255"/>
    <w:rsid w:val="007F56CC"/>
    <w:rsid w:val="007F58CF"/>
    <w:rsid w:val="007F61C2"/>
    <w:rsid w:val="00800307"/>
    <w:rsid w:val="00800735"/>
    <w:rsid w:val="008008CE"/>
    <w:rsid w:val="00800D36"/>
    <w:rsid w:val="008015BE"/>
    <w:rsid w:val="00801CBF"/>
    <w:rsid w:val="008030AA"/>
    <w:rsid w:val="00803926"/>
    <w:rsid w:val="00805142"/>
    <w:rsid w:val="00805FCE"/>
    <w:rsid w:val="00807268"/>
    <w:rsid w:val="00807A8B"/>
    <w:rsid w:val="00811383"/>
    <w:rsid w:val="00811A63"/>
    <w:rsid w:val="00812149"/>
    <w:rsid w:val="00812CAC"/>
    <w:rsid w:val="00813F7C"/>
    <w:rsid w:val="00815253"/>
    <w:rsid w:val="00815407"/>
    <w:rsid w:val="00816361"/>
    <w:rsid w:val="008166EF"/>
    <w:rsid w:val="008166F3"/>
    <w:rsid w:val="00816FEF"/>
    <w:rsid w:val="008201F3"/>
    <w:rsid w:val="00820A8C"/>
    <w:rsid w:val="00820EF7"/>
    <w:rsid w:val="008215FB"/>
    <w:rsid w:val="00822159"/>
    <w:rsid w:val="0082228E"/>
    <w:rsid w:val="00823036"/>
    <w:rsid w:val="00823174"/>
    <w:rsid w:val="008232D3"/>
    <w:rsid w:val="00825751"/>
    <w:rsid w:val="00825FD5"/>
    <w:rsid w:val="008264EB"/>
    <w:rsid w:val="0082712C"/>
    <w:rsid w:val="00827224"/>
    <w:rsid w:val="008276E2"/>
    <w:rsid w:val="0083031D"/>
    <w:rsid w:val="00832551"/>
    <w:rsid w:val="008331BB"/>
    <w:rsid w:val="00833B05"/>
    <w:rsid w:val="00834FCF"/>
    <w:rsid w:val="008362B4"/>
    <w:rsid w:val="00836D18"/>
    <w:rsid w:val="00837B51"/>
    <w:rsid w:val="00840CA2"/>
    <w:rsid w:val="008429C7"/>
    <w:rsid w:val="0084374F"/>
    <w:rsid w:val="00844A22"/>
    <w:rsid w:val="00845A59"/>
    <w:rsid w:val="00845B46"/>
    <w:rsid w:val="00846AE9"/>
    <w:rsid w:val="00847703"/>
    <w:rsid w:val="00847DF5"/>
    <w:rsid w:val="0085252E"/>
    <w:rsid w:val="0085309D"/>
    <w:rsid w:val="0085386D"/>
    <w:rsid w:val="00853C66"/>
    <w:rsid w:val="00853CFB"/>
    <w:rsid w:val="0085405D"/>
    <w:rsid w:val="00854151"/>
    <w:rsid w:val="00854BBE"/>
    <w:rsid w:val="00856897"/>
    <w:rsid w:val="00856E9A"/>
    <w:rsid w:val="0085732C"/>
    <w:rsid w:val="00857949"/>
    <w:rsid w:val="008601B7"/>
    <w:rsid w:val="0086075D"/>
    <w:rsid w:val="008608BD"/>
    <w:rsid w:val="00861F73"/>
    <w:rsid w:val="00862502"/>
    <w:rsid w:val="00862B04"/>
    <w:rsid w:val="00862CC1"/>
    <w:rsid w:val="0086316B"/>
    <w:rsid w:val="0086327F"/>
    <w:rsid w:val="008636BE"/>
    <w:rsid w:val="0086525A"/>
    <w:rsid w:val="008660D4"/>
    <w:rsid w:val="00871FA9"/>
    <w:rsid w:val="00872404"/>
    <w:rsid w:val="008728E9"/>
    <w:rsid w:val="00872CE1"/>
    <w:rsid w:val="00873493"/>
    <w:rsid w:val="00874346"/>
    <w:rsid w:val="00876BFB"/>
    <w:rsid w:val="008779B4"/>
    <w:rsid w:val="00882874"/>
    <w:rsid w:val="00882E3C"/>
    <w:rsid w:val="00883787"/>
    <w:rsid w:val="00884434"/>
    <w:rsid w:val="00884492"/>
    <w:rsid w:val="008855E4"/>
    <w:rsid w:val="00885F97"/>
    <w:rsid w:val="00886CD2"/>
    <w:rsid w:val="00890069"/>
    <w:rsid w:val="00890B86"/>
    <w:rsid w:val="00890C35"/>
    <w:rsid w:val="00890E9A"/>
    <w:rsid w:val="00891437"/>
    <w:rsid w:val="00891E6F"/>
    <w:rsid w:val="0089275D"/>
    <w:rsid w:val="008927A4"/>
    <w:rsid w:val="008929DF"/>
    <w:rsid w:val="00892A36"/>
    <w:rsid w:val="00893239"/>
    <w:rsid w:val="00893E2E"/>
    <w:rsid w:val="00894489"/>
    <w:rsid w:val="00895163"/>
    <w:rsid w:val="008963A5"/>
    <w:rsid w:val="00896D5D"/>
    <w:rsid w:val="00897EDC"/>
    <w:rsid w:val="008A0674"/>
    <w:rsid w:val="008A0E81"/>
    <w:rsid w:val="008A1A9F"/>
    <w:rsid w:val="008A2C24"/>
    <w:rsid w:val="008A2E40"/>
    <w:rsid w:val="008A3363"/>
    <w:rsid w:val="008A3371"/>
    <w:rsid w:val="008A3C3E"/>
    <w:rsid w:val="008A44F0"/>
    <w:rsid w:val="008A459F"/>
    <w:rsid w:val="008A4722"/>
    <w:rsid w:val="008A4878"/>
    <w:rsid w:val="008A6AEF"/>
    <w:rsid w:val="008A70A5"/>
    <w:rsid w:val="008A79DE"/>
    <w:rsid w:val="008B1757"/>
    <w:rsid w:val="008B52BF"/>
    <w:rsid w:val="008B5ECC"/>
    <w:rsid w:val="008B7713"/>
    <w:rsid w:val="008B7992"/>
    <w:rsid w:val="008B7D7E"/>
    <w:rsid w:val="008C111F"/>
    <w:rsid w:val="008C192D"/>
    <w:rsid w:val="008C284D"/>
    <w:rsid w:val="008C36FD"/>
    <w:rsid w:val="008C5610"/>
    <w:rsid w:val="008C5739"/>
    <w:rsid w:val="008C5DE3"/>
    <w:rsid w:val="008C67EC"/>
    <w:rsid w:val="008C7ECB"/>
    <w:rsid w:val="008D15B3"/>
    <w:rsid w:val="008D2CD1"/>
    <w:rsid w:val="008D33FE"/>
    <w:rsid w:val="008D3B86"/>
    <w:rsid w:val="008D3F1D"/>
    <w:rsid w:val="008D3F91"/>
    <w:rsid w:val="008D4755"/>
    <w:rsid w:val="008D4C3D"/>
    <w:rsid w:val="008D4E73"/>
    <w:rsid w:val="008D5898"/>
    <w:rsid w:val="008D5AA5"/>
    <w:rsid w:val="008D6CDE"/>
    <w:rsid w:val="008D7229"/>
    <w:rsid w:val="008D743C"/>
    <w:rsid w:val="008D7A9E"/>
    <w:rsid w:val="008E0D3C"/>
    <w:rsid w:val="008E1B9E"/>
    <w:rsid w:val="008E293B"/>
    <w:rsid w:val="008E2B25"/>
    <w:rsid w:val="008E3C28"/>
    <w:rsid w:val="008E55AB"/>
    <w:rsid w:val="008E5CDF"/>
    <w:rsid w:val="008E66AD"/>
    <w:rsid w:val="008E76FA"/>
    <w:rsid w:val="008E7757"/>
    <w:rsid w:val="008E7962"/>
    <w:rsid w:val="008F10E5"/>
    <w:rsid w:val="008F120A"/>
    <w:rsid w:val="008F14EA"/>
    <w:rsid w:val="008F27E0"/>
    <w:rsid w:val="008F32BB"/>
    <w:rsid w:val="008F48EB"/>
    <w:rsid w:val="008F4BF9"/>
    <w:rsid w:val="008F4F0B"/>
    <w:rsid w:val="00900896"/>
    <w:rsid w:val="009036CA"/>
    <w:rsid w:val="009038E1"/>
    <w:rsid w:val="009046C4"/>
    <w:rsid w:val="0090498A"/>
    <w:rsid w:val="0090535A"/>
    <w:rsid w:val="009062A5"/>
    <w:rsid w:val="0090776B"/>
    <w:rsid w:val="00910FA7"/>
    <w:rsid w:val="00911272"/>
    <w:rsid w:val="009133F8"/>
    <w:rsid w:val="009135D6"/>
    <w:rsid w:val="00913D17"/>
    <w:rsid w:val="00914C3C"/>
    <w:rsid w:val="00914C77"/>
    <w:rsid w:val="00914D53"/>
    <w:rsid w:val="00915997"/>
    <w:rsid w:val="00915CC8"/>
    <w:rsid w:val="0092026A"/>
    <w:rsid w:val="00921ACB"/>
    <w:rsid w:val="00921AEF"/>
    <w:rsid w:val="00921E5F"/>
    <w:rsid w:val="00922D63"/>
    <w:rsid w:val="0092369B"/>
    <w:rsid w:val="0092374C"/>
    <w:rsid w:val="00923BE7"/>
    <w:rsid w:val="00926962"/>
    <w:rsid w:val="00926FF3"/>
    <w:rsid w:val="00927D24"/>
    <w:rsid w:val="0093019F"/>
    <w:rsid w:val="00930B3F"/>
    <w:rsid w:val="00931173"/>
    <w:rsid w:val="00931360"/>
    <w:rsid w:val="00931775"/>
    <w:rsid w:val="00932FF7"/>
    <w:rsid w:val="00934988"/>
    <w:rsid w:val="00934C12"/>
    <w:rsid w:val="00935C61"/>
    <w:rsid w:val="00936D74"/>
    <w:rsid w:val="00937089"/>
    <w:rsid w:val="0094102A"/>
    <w:rsid w:val="00941738"/>
    <w:rsid w:val="00944F8A"/>
    <w:rsid w:val="00946B76"/>
    <w:rsid w:val="00946BC5"/>
    <w:rsid w:val="0094776D"/>
    <w:rsid w:val="00950A75"/>
    <w:rsid w:val="009510A2"/>
    <w:rsid w:val="00951A1F"/>
    <w:rsid w:val="0095229A"/>
    <w:rsid w:val="00953257"/>
    <w:rsid w:val="009541D8"/>
    <w:rsid w:val="0095474C"/>
    <w:rsid w:val="00954EC5"/>
    <w:rsid w:val="00955F14"/>
    <w:rsid w:val="0096054F"/>
    <w:rsid w:val="009619E8"/>
    <w:rsid w:val="00962CB9"/>
    <w:rsid w:val="009641DC"/>
    <w:rsid w:val="00964312"/>
    <w:rsid w:val="0096431B"/>
    <w:rsid w:val="00965B8A"/>
    <w:rsid w:val="00965DA9"/>
    <w:rsid w:val="00966D56"/>
    <w:rsid w:val="0097071F"/>
    <w:rsid w:val="00970B1A"/>
    <w:rsid w:val="009717AC"/>
    <w:rsid w:val="009720BE"/>
    <w:rsid w:val="009744CC"/>
    <w:rsid w:val="009749C6"/>
    <w:rsid w:val="00974B95"/>
    <w:rsid w:val="009751C1"/>
    <w:rsid w:val="00975367"/>
    <w:rsid w:val="009763F9"/>
    <w:rsid w:val="0097682F"/>
    <w:rsid w:val="009811F1"/>
    <w:rsid w:val="00981B2C"/>
    <w:rsid w:val="00982BAB"/>
    <w:rsid w:val="00983E57"/>
    <w:rsid w:val="009852EA"/>
    <w:rsid w:val="00985DE2"/>
    <w:rsid w:val="00986430"/>
    <w:rsid w:val="0098675D"/>
    <w:rsid w:val="00987777"/>
    <w:rsid w:val="009910FE"/>
    <w:rsid w:val="009926E0"/>
    <w:rsid w:val="00994334"/>
    <w:rsid w:val="0099451E"/>
    <w:rsid w:val="0099594E"/>
    <w:rsid w:val="0099656B"/>
    <w:rsid w:val="00996B1A"/>
    <w:rsid w:val="0099719C"/>
    <w:rsid w:val="009A05F6"/>
    <w:rsid w:val="009A09EE"/>
    <w:rsid w:val="009A2409"/>
    <w:rsid w:val="009A2DCC"/>
    <w:rsid w:val="009A47D7"/>
    <w:rsid w:val="009A5ABC"/>
    <w:rsid w:val="009A6399"/>
    <w:rsid w:val="009A6608"/>
    <w:rsid w:val="009A7565"/>
    <w:rsid w:val="009A7F10"/>
    <w:rsid w:val="009B1C2F"/>
    <w:rsid w:val="009B233A"/>
    <w:rsid w:val="009B2749"/>
    <w:rsid w:val="009B2799"/>
    <w:rsid w:val="009B3B0A"/>
    <w:rsid w:val="009B3DCF"/>
    <w:rsid w:val="009B3E26"/>
    <w:rsid w:val="009B4137"/>
    <w:rsid w:val="009B420F"/>
    <w:rsid w:val="009B45CA"/>
    <w:rsid w:val="009B4F9E"/>
    <w:rsid w:val="009C01E6"/>
    <w:rsid w:val="009C36B6"/>
    <w:rsid w:val="009C3706"/>
    <w:rsid w:val="009C3810"/>
    <w:rsid w:val="009C3A3A"/>
    <w:rsid w:val="009C585D"/>
    <w:rsid w:val="009C654B"/>
    <w:rsid w:val="009C6CEA"/>
    <w:rsid w:val="009C70AB"/>
    <w:rsid w:val="009C729E"/>
    <w:rsid w:val="009C7B85"/>
    <w:rsid w:val="009C7E7A"/>
    <w:rsid w:val="009D0254"/>
    <w:rsid w:val="009D1A64"/>
    <w:rsid w:val="009D1C15"/>
    <w:rsid w:val="009D371F"/>
    <w:rsid w:val="009D40B4"/>
    <w:rsid w:val="009D4653"/>
    <w:rsid w:val="009D5B91"/>
    <w:rsid w:val="009D792E"/>
    <w:rsid w:val="009E0DFE"/>
    <w:rsid w:val="009E2043"/>
    <w:rsid w:val="009E285C"/>
    <w:rsid w:val="009E31F6"/>
    <w:rsid w:val="009E4C07"/>
    <w:rsid w:val="009E5C5D"/>
    <w:rsid w:val="009E7F66"/>
    <w:rsid w:val="009F1346"/>
    <w:rsid w:val="009F22FB"/>
    <w:rsid w:val="009F3AF7"/>
    <w:rsid w:val="009F3E3E"/>
    <w:rsid w:val="009F50CC"/>
    <w:rsid w:val="009F57EA"/>
    <w:rsid w:val="009F7301"/>
    <w:rsid w:val="00A000B3"/>
    <w:rsid w:val="00A01184"/>
    <w:rsid w:val="00A01FD8"/>
    <w:rsid w:val="00A0249E"/>
    <w:rsid w:val="00A036E2"/>
    <w:rsid w:val="00A037C2"/>
    <w:rsid w:val="00A03D43"/>
    <w:rsid w:val="00A04380"/>
    <w:rsid w:val="00A05472"/>
    <w:rsid w:val="00A05C32"/>
    <w:rsid w:val="00A05C6F"/>
    <w:rsid w:val="00A0653F"/>
    <w:rsid w:val="00A06EB6"/>
    <w:rsid w:val="00A072A2"/>
    <w:rsid w:val="00A10258"/>
    <w:rsid w:val="00A11CD0"/>
    <w:rsid w:val="00A11DEE"/>
    <w:rsid w:val="00A11E7F"/>
    <w:rsid w:val="00A121D7"/>
    <w:rsid w:val="00A12F2A"/>
    <w:rsid w:val="00A13948"/>
    <w:rsid w:val="00A140E7"/>
    <w:rsid w:val="00A14BC9"/>
    <w:rsid w:val="00A14E6F"/>
    <w:rsid w:val="00A1555B"/>
    <w:rsid w:val="00A155C5"/>
    <w:rsid w:val="00A157F3"/>
    <w:rsid w:val="00A15AEF"/>
    <w:rsid w:val="00A16AD8"/>
    <w:rsid w:val="00A17A06"/>
    <w:rsid w:val="00A217A9"/>
    <w:rsid w:val="00A21C95"/>
    <w:rsid w:val="00A21CF3"/>
    <w:rsid w:val="00A24813"/>
    <w:rsid w:val="00A25413"/>
    <w:rsid w:val="00A26CE3"/>
    <w:rsid w:val="00A2796E"/>
    <w:rsid w:val="00A27AEC"/>
    <w:rsid w:val="00A3071D"/>
    <w:rsid w:val="00A30C41"/>
    <w:rsid w:val="00A314B9"/>
    <w:rsid w:val="00A31C41"/>
    <w:rsid w:val="00A31CE1"/>
    <w:rsid w:val="00A320DB"/>
    <w:rsid w:val="00A326CE"/>
    <w:rsid w:val="00A33F8C"/>
    <w:rsid w:val="00A349F6"/>
    <w:rsid w:val="00A35293"/>
    <w:rsid w:val="00A35D16"/>
    <w:rsid w:val="00A37089"/>
    <w:rsid w:val="00A371C5"/>
    <w:rsid w:val="00A37BCD"/>
    <w:rsid w:val="00A37DBB"/>
    <w:rsid w:val="00A41689"/>
    <w:rsid w:val="00A42592"/>
    <w:rsid w:val="00A42A24"/>
    <w:rsid w:val="00A42F9B"/>
    <w:rsid w:val="00A43C59"/>
    <w:rsid w:val="00A44FF5"/>
    <w:rsid w:val="00A46712"/>
    <w:rsid w:val="00A46A2E"/>
    <w:rsid w:val="00A476C6"/>
    <w:rsid w:val="00A47A41"/>
    <w:rsid w:val="00A503BC"/>
    <w:rsid w:val="00A50ECD"/>
    <w:rsid w:val="00A518F3"/>
    <w:rsid w:val="00A51ADC"/>
    <w:rsid w:val="00A51CE5"/>
    <w:rsid w:val="00A51F38"/>
    <w:rsid w:val="00A52729"/>
    <w:rsid w:val="00A527C0"/>
    <w:rsid w:val="00A53675"/>
    <w:rsid w:val="00A5460E"/>
    <w:rsid w:val="00A564D7"/>
    <w:rsid w:val="00A5651C"/>
    <w:rsid w:val="00A56B6A"/>
    <w:rsid w:val="00A56D8C"/>
    <w:rsid w:val="00A572F7"/>
    <w:rsid w:val="00A578DC"/>
    <w:rsid w:val="00A608B1"/>
    <w:rsid w:val="00A60E02"/>
    <w:rsid w:val="00A60FC2"/>
    <w:rsid w:val="00A618A0"/>
    <w:rsid w:val="00A6283F"/>
    <w:rsid w:val="00A62DE3"/>
    <w:rsid w:val="00A640E2"/>
    <w:rsid w:val="00A64662"/>
    <w:rsid w:val="00A647AA"/>
    <w:rsid w:val="00A64D65"/>
    <w:rsid w:val="00A65EA6"/>
    <w:rsid w:val="00A66A41"/>
    <w:rsid w:val="00A67186"/>
    <w:rsid w:val="00A6725B"/>
    <w:rsid w:val="00A6732F"/>
    <w:rsid w:val="00A70605"/>
    <w:rsid w:val="00A707C2"/>
    <w:rsid w:val="00A711B3"/>
    <w:rsid w:val="00A73134"/>
    <w:rsid w:val="00A76001"/>
    <w:rsid w:val="00A777B2"/>
    <w:rsid w:val="00A77805"/>
    <w:rsid w:val="00A81636"/>
    <w:rsid w:val="00A81A12"/>
    <w:rsid w:val="00A825D4"/>
    <w:rsid w:val="00A828F6"/>
    <w:rsid w:val="00A82B73"/>
    <w:rsid w:val="00A8361E"/>
    <w:rsid w:val="00A84FF9"/>
    <w:rsid w:val="00A860BD"/>
    <w:rsid w:val="00A86299"/>
    <w:rsid w:val="00A86789"/>
    <w:rsid w:val="00A86E8B"/>
    <w:rsid w:val="00A87164"/>
    <w:rsid w:val="00A902B6"/>
    <w:rsid w:val="00A90EC4"/>
    <w:rsid w:val="00A93072"/>
    <w:rsid w:val="00A938BD"/>
    <w:rsid w:val="00A93953"/>
    <w:rsid w:val="00A93CE2"/>
    <w:rsid w:val="00A93F1D"/>
    <w:rsid w:val="00A94FCE"/>
    <w:rsid w:val="00A959D8"/>
    <w:rsid w:val="00A9636E"/>
    <w:rsid w:val="00A97336"/>
    <w:rsid w:val="00AA113D"/>
    <w:rsid w:val="00AA2D15"/>
    <w:rsid w:val="00AA3772"/>
    <w:rsid w:val="00AA3DDE"/>
    <w:rsid w:val="00AA3E2C"/>
    <w:rsid w:val="00AA6BD5"/>
    <w:rsid w:val="00AA6BD8"/>
    <w:rsid w:val="00AA6C7D"/>
    <w:rsid w:val="00AA7FD6"/>
    <w:rsid w:val="00AB00A3"/>
    <w:rsid w:val="00AB042A"/>
    <w:rsid w:val="00AB19EF"/>
    <w:rsid w:val="00AB2D34"/>
    <w:rsid w:val="00AB321F"/>
    <w:rsid w:val="00AB3430"/>
    <w:rsid w:val="00AB37B9"/>
    <w:rsid w:val="00AB388E"/>
    <w:rsid w:val="00AB4AD1"/>
    <w:rsid w:val="00AB4AFA"/>
    <w:rsid w:val="00AB4D85"/>
    <w:rsid w:val="00AB5651"/>
    <w:rsid w:val="00AB5E07"/>
    <w:rsid w:val="00AB6103"/>
    <w:rsid w:val="00AB61C4"/>
    <w:rsid w:val="00AB7CFA"/>
    <w:rsid w:val="00AC1708"/>
    <w:rsid w:val="00AC2488"/>
    <w:rsid w:val="00AC2499"/>
    <w:rsid w:val="00AC2671"/>
    <w:rsid w:val="00AC2EE6"/>
    <w:rsid w:val="00AC32C2"/>
    <w:rsid w:val="00AC343A"/>
    <w:rsid w:val="00AC3709"/>
    <w:rsid w:val="00AC5166"/>
    <w:rsid w:val="00AC5B48"/>
    <w:rsid w:val="00AC5EF4"/>
    <w:rsid w:val="00AC788C"/>
    <w:rsid w:val="00AC7A6D"/>
    <w:rsid w:val="00AD050F"/>
    <w:rsid w:val="00AD0BF6"/>
    <w:rsid w:val="00AD1450"/>
    <w:rsid w:val="00AD2DDC"/>
    <w:rsid w:val="00AD3336"/>
    <w:rsid w:val="00AD4263"/>
    <w:rsid w:val="00AD6502"/>
    <w:rsid w:val="00AD6780"/>
    <w:rsid w:val="00AE0695"/>
    <w:rsid w:val="00AE142E"/>
    <w:rsid w:val="00AE1980"/>
    <w:rsid w:val="00AE1A90"/>
    <w:rsid w:val="00AE2523"/>
    <w:rsid w:val="00AE3E7E"/>
    <w:rsid w:val="00AE6EA9"/>
    <w:rsid w:val="00AE7348"/>
    <w:rsid w:val="00AF1315"/>
    <w:rsid w:val="00AF19BF"/>
    <w:rsid w:val="00AF2278"/>
    <w:rsid w:val="00AF269C"/>
    <w:rsid w:val="00AF2DC3"/>
    <w:rsid w:val="00AF4A0D"/>
    <w:rsid w:val="00AF4DAB"/>
    <w:rsid w:val="00AF7CE5"/>
    <w:rsid w:val="00B002EF"/>
    <w:rsid w:val="00B00CD5"/>
    <w:rsid w:val="00B02095"/>
    <w:rsid w:val="00B033E5"/>
    <w:rsid w:val="00B03A63"/>
    <w:rsid w:val="00B04A4D"/>
    <w:rsid w:val="00B04EE3"/>
    <w:rsid w:val="00B0504C"/>
    <w:rsid w:val="00B06E36"/>
    <w:rsid w:val="00B0771C"/>
    <w:rsid w:val="00B10B0D"/>
    <w:rsid w:val="00B1346C"/>
    <w:rsid w:val="00B13566"/>
    <w:rsid w:val="00B16321"/>
    <w:rsid w:val="00B17E3B"/>
    <w:rsid w:val="00B17FBB"/>
    <w:rsid w:val="00B201A4"/>
    <w:rsid w:val="00B201D1"/>
    <w:rsid w:val="00B213A6"/>
    <w:rsid w:val="00B21C54"/>
    <w:rsid w:val="00B235B0"/>
    <w:rsid w:val="00B23902"/>
    <w:rsid w:val="00B24DF6"/>
    <w:rsid w:val="00B251B6"/>
    <w:rsid w:val="00B25493"/>
    <w:rsid w:val="00B263FD"/>
    <w:rsid w:val="00B27B56"/>
    <w:rsid w:val="00B30212"/>
    <w:rsid w:val="00B30719"/>
    <w:rsid w:val="00B33A88"/>
    <w:rsid w:val="00B34FE2"/>
    <w:rsid w:val="00B35166"/>
    <w:rsid w:val="00B357D8"/>
    <w:rsid w:val="00B360F4"/>
    <w:rsid w:val="00B36A00"/>
    <w:rsid w:val="00B37BFC"/>
    <w:rsid w:val="00B40358"/>
    <w:rsid w:val="00B41614"/>
    <w:rsid w:val="00B42851"/>
    <w:rsid w:val="00B42F80"/>
    <w:rsid w:val="00B435CB"/>
    <w:rsid w:val="00B436EA"/>
    <w:rsid w:val="00B4753C"/>
    <w:rsid w:val="00B50481"/>
    <w:rsid w:val="00B504CD"/>
    <w:rsid w:val="00B505C8"/>
    <w:rsid w:val="00B50DB8"/>
    <w:rsid w:val="00B51241"/>
    <w:rsid w:val="00B514AE"/>
    <w:rsid w:val="00B522DD"/>
    <w:rsid w:val="00B52FF9"/>
    <w:rsid w:val="00B53654"/>
    <w:rsid w:val="00B53905"/>
    <w:rsid w:val="00B541D2"/>
    <w:rsid w:val="00B545F1"/>
    <w:rsid w:val="00B54B5B"/>
    <w:rsid w:val="00B54C25"/>
    <w:rsid w:val="00B54E7E"/>
    <w:rsid w:val="00B5562E"/>
    <w:rsid w:val="00B55D65"/>
    <w:rsid w:val="00B56640"/>
    <w:rsid w:val="00B57000"/>
    <w:rsid w:val="00B603F0"/>
    <w:rsid w:val="00B60939"/>
    <w:rsid w:val="00B60AFD"/>
    <w:rsid w:val="00B61552"/>
    <w:rsid w:val="00B62715"/>
    <w:rsid w:val="00B62AB6"/>
    <w:rsid w:val="00B62BE7"/>
    <w:rsid w:val="00B650C1"/>
    <w:rsid w:val="00B65611"/>
    <w:rsid w:val="00B70E8E"/>
    <w:rsid w:val="00B72693"/>
    <w:rsid w:val="00B72C72"/>
    <w:rsid w:val="00B730A5"/>
    <w:rsid w:val="00B7653A"/>
    <w:rsid w:val="00B76C92"/>
    <w:rsid w:val="00B76CBC"/>
    <w:rsid w:val="00B76E8B"/>
    <w:rsid w:val="00B77246"/>
    <w:rsid w:val="00B77B2D"/>
    <w:rsid w:val="00B818A4"/>
    <w:rsid w:val="00B81CAC"/>
    <w:rsid w:val="00B836E6"/>
    <w:rsid w:val="00B838AE"/>
    <w:rsid w:val="00B84088"/>
    <w:rsid w:val="00B84117"/>
    <w:rsid w:val="00B858F0"/>
    <w:rsid w:val="00B85AA2"/>
    <w:rsid w:val="00B8649C"/>
    <w:rsid w:val="00B8695D"/>
    <w:rsid w:val="00B86F00"/>
    <w:rsid w:val="00B872E7"/>
    <w:rsid w:val="00B87F0A"/>
    <w:rsid w:val="00B91070"/>
    <w:rsid w:val="00B9266C"/>
    <w:rsid w:val="00B92D0B"/>
    <w:rsid w:val="00B94945"/>
    <w:rsid w:val="00B94B01"/>
    <w:rsid w:val="00B94DD6"/>
    <w:rsid w:val="00B95B1E"/>
    <w:rsid w:val="00B960E7"/>
    <w:rsid w:val="00B965CD"/>
    <w:rsid w:val="00BA0277"/>
    <w:rsid w:val="00BA09C4"/>
    <w:rsid w:val="00BA322D"/>
    <w:rsid w:val="00BA3412"/>
    <w:rsid w:val="00BA5B39"/>
    <w:rsid w:val="00BA63FA"/>
    <w:rsid w:val="00BB00B3"/>
    <w:rsid w:val="00BB0BDD"/>
    <w:rsid w:val="00BB1443"/>
    <w:rsid w:val="00BB176C"/>
    <w:rsid w:val="00BB1F73"/>
    <w:rsid w:val="00BB2A73"/>
    <w:rsid w:val="00BB3A45"/>
    <w:rsid w:val="00BB4ACC"/>
    <w:rsid w:val="00BB703E"/>
    <w:rsid w:val="00BB732D"/>
    <w:rsid w:val="00BB7405"/>
    <w:rsid w:val="00BB74A1"/>
    <w:rsid w:val="00BC013E"/>
    <w:rsid w:val="00BC318A"/>
    <w:rsid w:val="00BC3631"/>
    <w:rsid w:val="00BC591F"/>
    <w:rsid w:val="00BC5CEB"/>
    <w:rsid w:val="00BC6B47"/>
    <w:rsid w:val="00BC7C3F"/>
    <w:rsid w:val="00BC7D6D"/>
    <w:rsid w:val="00BD0424"/>
    <w:rsid w:val="00BD0E69"/>
    <w:rsid w:val="00BD2108"/>
    <w:rsid w:val="00BD2FA2"/>
    <w:rsid w:val="00BD34EE"/>
    <w:rsid w:val="00BD4305"/>
    <w:rsid w:val="00BD4F63"/>
    <w:rsid w:val="00BD54FE"/>
    <w:rsid w:val="00BD68A3"/>
    <w:rsid w:val="00BD6938"/>
    <w:rsid w:val="00BD6CF3"/>
    <w:rsid w:val="00BD6D99"/>
    <w:rsid w:val="00BD7D5A"/>
    <w:rsid w:val="00BD7DE9"/>
    <w:rsid w:val="00BE0ECA"/>
    <w:rsid w:val="00BE2180"/>
    <w:rsid w:val="00BE21F2"/>
    <w:rsid w:val="00BE2F93"/>
    <w:rsid w:val="00BE4275"/>
    <w:rsid w:val="00BE5FAE"/>
    <w:rsid w:val="00BE6523"/>
    <w:rsid w:val="00BE65D9"/>
    <w:rsid w:val="00BE6E51"/>
    <w:rsid w:val="00BF06AE"/>
    <w:rsid w:val="00BF0A18"/>
    <w:rsid w:val="00BF0F95"/>
    <w:rsid w:val="00BF131A"/>
    <w:rsid w:val="00BF1D39"/>
    <w:rsid w:val="00BF2433"/>
    <w:rsid w:val="00BF29B2"/>
    <w:rsid w:val="00BF43C4"/>
    <w:rsid w:val="00BF4965"/>
    <w:rsid w:val="00BF4D8D"/>
    <w:rsid w:val="00BF61C9"/>
    <w:rsid w:val="00BF6C94"/>
    <w:rsid w:val="00C00424"/>
    <w:rsid w:val="00C00664"/>
    <w:rsid w:val="00C02E53"/>
    <w:rsid w:val="00C03851"/>
    <w:rsid w:val="00C047A9"/>
    <w:rsid w:val="00C04D04"/>
    <w:rsid w:val="00C05DE3"/>
    <w:rsid w:val="00C06F35"/>
    <w:rsid w:val="00C07F0A"/>
    <w:rsid w:val="00C108DC"/>
    <w:rsid w:val="00C1095F"/>
    <w:rsid w:val="00C1179F"/>
    <w:rsid w:val="00C11DD2"/>
    <w:rsid w:val="00C12C14"/>
    <w:rsid w:val="00C137FE"/>
    <w:rsid w:val="00C1390B"/>
    <w:rsid w:val="00C1417E"/>
    <w:rsid w:val="00C15F04"/>
    <w:rsid w:val="00C1643C"/>
    <w:rsid w:val="00C169AC"/>
    <w:rsid w:val="00C179B3"/>
    <w:rsid w:val="00C17C4F"/>
    <w:rsid w:val="00C17E3F"/>
    <w:rsid w:val="00C200AA"/>
    <w:rsid w:val="00C227ED"/>
    <w:rsid w:val="00C23485"/>
    <w:rsid w:val="00C236DD"/>
    <w:rsid w:val="00C237ED"/>
    <w:rsid w:val="00C24632"/>
    <w:rsid w:val="00C24A07"/>
    <w:rsid w:val="00C25418"/>
    <w:rsid w:val="00C25D9C"/>
    <w:rsid w:val="00C25E63"/>
    <w:rsid w:val="00C26A51"/>
    <w:rsid w:val="00C26BBB"/>
    <w:rsid w:val="00C2747B"/>
    <w:rsid w:val="00C2778B"/>
    <w:rsid w:val="00C3031B"/>
    <w:rsid w:val="00C303A1"/>
    <w:rsid w:val="00C303C8"/>
    <w:rsid w:val="00C31649"/>
    <w:rsid w:val="00C3195C"/>
    <w:rsid w:val="00C32E9C"/>
    <w:rsid w:val="00C332CD"/>
    <w:rsid w:val="00C333BB"/>
    <w:rsid w:val="00C3434C"/>
    <w:rsid w:val="00C40385"/>
    <w:rsid w:val="00C41768"/>
    <w:rsid w:val="00C4281D"/>
    <w:rsid w:val="00C43892"/>
    <w:rsid w:val="00C439D8"/>
    <w:rsid w:val="00C43DB7"/>
    <w:rsid w:val="00C4468D"/>
    <w:rsid w:val="00C44C73"/>
    <w:rsid w:val="00C45E69"/>
    <w:rsid w:val="00C46A95"/>
    <w:rsid w:val="00C46DEE"/>
    <w:rsid w:val="00C475AA"/>
    <w:rsid w:val="00C475B3"/>
    <w:rsid w:val="00C475E1"/>
    <w:rsid w:val="00C47CBD"/>
    <w:rsid w:val="00C53C98"/>
    <w:rsid w:val="00C54787"/>
    <w:rsid w:val="00C54BD4"/>
    <w:rsid w:val="00C54C1C"/>
    <w:rsid w:val="00C55B9E"/>
    <w:rsid w:val="00C56107"/>
    <w:rsid w:val="00C56FCF"/>
    <w:rsid w:val="00C57B6C"/>
    <w:rsid w:val="00C57FCB"/>
    <w:rsid w:val="00C6097D"/>
    <w:rsid w:val="00C614E6"/>
    <w:rsid w:val="00C628A6"/>
    <w:rsid w:val="00C6360F"/>
    <w:rsid w:val="00C6361E"/>
    <w:rsid w:val="00C64344"/>
    <w:rsid w:val="00C644C8"/>
    <w:rsid w:val="00C64C51"/>
    <w:rsid w:val="00C65108"/>
    <w:rsid w:val="00C65576"/>
    <w:rsid w:val="00C657D2"/>
    <w:rsid w:val="00C658C5"/>
    <w:rsid w:val="00C66087"/>
    <w:rsid w:val="00C66165"/>
    <w:rsid w:val="00C666F4"/>
    <w:rsid w:val="00C66C6E"/>
    <w:rsid w:val="00C6752B"/>
    <w:rsid w:val="00C7007F"/>
    <w:rsid w:val="00C7060A"/>
    <w:rsid w:val="00C71125"/>
    <w:rsid w:val="00C7151A"/>
    <w:rsid w:val="00C7159D"/>
    <w:rsid w:val="00C717E3"/>
    <w:rsid w:val="00C71AEC"/>
    <w:rsid w:val="00C71F60"/>
    <w:rsid w:val="00C72241"/>
    <w:rsid w:val="00C72790"/>
    <w:rsid w:val="00C738B9"/>
    <w:rsid w:val="00C750C8"/>
    <w:rsid w:val="00C7560F"/>
    <w:rsid w:val="00C80A0E"/>
    <w:rsid w:val="00C8213F"/>
    <w:rsid w:val="00C825AC"/>
    <w:rsid w:val="00C827B0"/>
    <w:rsid w:val="00C848C6"/>
    <w:rsid w:val="00C85154"/>
    <w:rsid w:val="00C8797A"/>
    <w:rsid w:val="00C900B8"/>
    <w:rsid w:val="00C908CD"/>
    <w:rsid w:val="00C90C71"/>
    <w:rsid w:val="00C90E8D"/>
    <w:rsid w:val="00C916D3"/>
    <w:rsid w:val="00C91FD1"/>
    <w:rsid w:val="00C930AA"/>
    <w:rsid w:val="00C931CF"/>
    <w:rsid w:val="00C938CF"/>
    <w:rsid w:val="00C93AE4"/>
    <w:rsid w:val="00C93EDC"/>
    <w:rsid w:val="00C94053"/>
    <w:rsid w:val="00C94AE2"/>
    <w:rsid w:val="00C94C76"/>
    <w:rsid w:val="00C9539E"/>
    <w:rsid w:val="00C953D5"/>
    <w:rsid w:val="00C9624D"/>
    <w:rsid w:val="00C969DA"/>
    <w:rsid w:val="00C97BD0"/>
    <w:rsid w:val="00C97E09"/>
    <w:rsid w:val="00CA1ACB"/>
    <w:rsid w:val="00CA2C77"/>
    <w:rsid w:val="00CA3CE0"/>
    <w:rsid w:val="00CA444F"/>
    <w:rsid w:val="00CA48EA"/>
    <w:rsid w:val="00CA5245"/>
    <w:rsid w:val="00CA5893"/>
    <w:rsid w:val="00CA5DDB"/>
    <w:rsid w:val="00CA66DA"/>
    <w:rsid w:val="00CA693A"/>
    <w:rsid w:val="00CA71F4"/>
    <w:rsid w:val="00CA758F"/>
    <w:rsid w:val="00CA7B09"/>
    <w:rsid w:val="00CB0385"/>
    <w:rsid w:val="00CB12A5"/>
    <w:rsid w:val="00CB1CAC"/>
    <w:rsid w:val="00CB2F2A"/>
    <w:rsid w:val="00CB30DE"/>
    <w:rsid w:val="00CB3EED"/>
    <w:rsid w:val="00CB3EF1"/>
    <w:rsid w:val="00CB44D1"/>
    <w:rsid w:val="00CB461E"/>
    <w:rsid w:val="00CB5B1A"/>
    <w:rsid w:val="00CB65DD"/>
    <w:rsid w:val="00CB6B22"/>
    <w:rsid w:val="00CB7F5F"/>
    <w:rsid w:val="00CC1A16"/>
    <w:rsid w:val="00CC1B39"/>
    <w:rsid w:val="00CC2B6B"/>
    <w:rsid w:val="00CC35EA"/>
    <w:rsid w:val="00CC3848"/>
    <w:rsid w:val="00CC44D2"/>
    <w:rsid w:val="00CD1CA9"/>
    <w:rsid w:val="00CD1D0A"/>
    <w:rsid w:val="00CD2749"/>
    <w:rsid w:val="00CD2F0B"/>
    <w:rsid w:val="00CD3F77"/>
    <w:rsid w:val="00CD5B17"/>
    <w:rsid w:val="00CD6ADC"/>
    <w:rsid w:val="00CD7193"/>
    <w:rsid w:val="00CD738E"/>
    <w:rsid w:val="00CE15F6"/>
    <w:rsid w:val="00CE190A"/>
    <w:rsid w:val="00CE1A77"/>
    <w:rsid w:val="00CE221B"/>
    <w:rsid w:val="00CE38C8"/>
    <w:rsid w:val="00CE3A6E"/>
    <w:rsid w:val="00CE5806"/>
    <w:rsid w:val="00CE5E1C"/>
    <w:rsid w:val="00CE6274"/>
    <w:rsid w:val="00CE675F"/>
    <w:rsid w:val="00CE77B6"/>
    <w:rsid w:val="00CF2B8D"/>
    <w:rsid w:val="00CF2CED"/>
    <w:rsid w:val="00CF405A"/>
    <w:rsid w:val="00CF456B"/>
    <w:rsid w:val="00CF47BE"/>
    <w:rsid w:val="00CF59FF"/>
    <w:rsid w:val="00CF5A22"/>
    <w:rsid w:val="00CF5A64"/>
    <w:rsid w:val="00CF5F91"/>
    <w:rsid w:val="00CF6842"/>
    <w:rsid w:val="00CF6F16"/>
    <w:rsid w:val="00CF7EFE"/>
    <w:rsid w:val="00D003B7"/>
    <w:rsid w:val="00D0125B"/>
    <w:rsid w:val="00D0262E"/>
    <w:rsid w:val="00D0327A"/>
    <w:rsid w:val="00D05DF4"/>
    <w:rsid w:val="00D05E3D"/>
    <w:rsid w:val="00D06139"/>
    <w:rsid w:val="00D06B0E"/>
    <w:rsid w:val="00D07C2C"/>
    <w:rsid w:val="00D10CD7"/>
    <w:rsid w:val="00D10DA9"/>
    <w:rsid w:val="00D10F4A"/>
    <w:rsid w:val="00D110BD"/>
    <w:rsid w:val="00D1208A"/>
    <w:rsid w:val="00D127E1"/>
    <w:rsid w:val="00D13675"/>
    <w:rsid w:val="00D141E1"/>
    <w:rsid w:val="00D15314"/>
    <w:rsid w:val="00D17D6C"/>
    <w:rsid w:val="00D2155B"/>
    <w:rsid w:val="00D21DBD"/>
    <w:rsid w:val="00D22014"/>
    <w:rsid w:val="00D22DB3"/>
    <w:rsid w:val="00D22EDE"/>
    <w:rsid w:val="00D2376E"/>
    <w:rsid w:val="00D23D11"/>
    <w:rsid w:val="00D240BF"/>
    <w:rsid w:val="00D244B6"/>
    <w:rsid w:val="00D25ED7"/>
    <w:rsid w:val="00D27447"/>
    <w:rsid w:val="00D2754D"/>
    <w:rsid w:val="00D27B27"/>
    <w:rsid w:val="00D30075"/>
    <w:rsid w:val="00D30CCB"/>
    <w:rsid w:val="00D33602"/>
    <w:rsid w:val="00D33BE9"/>
    <w:rsid w:val="00D33F93"/>
    <w:rsid w:val="00D348FE"/>
    <w:rsid w:val="00D35731"/>
    <w:rsid w:val="00D357FF"/>
    <w:rsid w:val="00D35FE6"/>
    <w:rsid w:val="00D36109"/>
    <w:rsid w:val="00D3648D"/>
    <w:rsid w:val="00D36F81"/>
    <w:rsid w:val="00D41636"/>
    <w:rsid w:val="00D41AA6"/>
    <w:rsid w:val="00D41C8B"/>
    <w:rsid w:val="00D424C7"/>
    <w:rsid w:val="00D43B2A"/>
    <w:rsid w:val="00D43D83"/>
    <w:rsid w:val="00D45F1C"/>
    <w:rsid w:val="00D46177"/>
    <w:rsid w:val="00D46DD4"/>
    <w:rsid w:val="00D47575"/>
    <w:rsid w:val="00D4785F"/>
    <w:rsid w:val="00D514E6"/>
    <w:rsid w:val="00D52379"/>
    <w:rsid w:val="00D5243B"/>
    <w:rsid w:val="00D52C3F"/>
    <w:rsid w:val="00D53209"/>
    <w:rsid w:val="00D533EC"/>
    <w:rsid w:val="00D54FCE"/>
    <w:rsid w:val="00D56536"/>
    <w:rsid w:val="00D56A95"/>
    <w:rsid w:val="00D56D37"/>
    <w:rsid w:val="00D57974"/>
    <w:rsid w:val="00D57ECC"/>
    <w:rsid w:val="00D60704"/>
    <w:rsid w:val="00D625BA"/>
    <w:rsid w:val="00D7098B"/>
    <w:rsid w:val="00D70F16"/>
    <w:rsid w:val="00D726BE"/>
    <w:rsid w:val="00D72F57"/>
    <w:rsid w:val="00D730E0"/>
    <w:rsid w:val="00D734E6"/>
    <w:rsid w:val="00D748D0"/>
    <w:rsid w:val="00D76A44"/>
    <w:rsid w:val="00D80FC5"/>
    <w:rsid w:val="00D81123"/>
    <w:rsid w:val="00D815EF"/>
    <w:rsid w:val="00D81655"/>
    <w:rsid w:val="00D81F26"/>
    <w:rsid w:val="00D82B00"/>
    <w:rsid w:val="00D84DF4"/>
    <w:rsid w:val="00D86231"/>
    <w:rsid w:val="00D91923"/>
    <w:rsid w:val="00D93753"/>
    <w:rsid w:val="00D938A5"/>
    <w:rsid w:val="00D948F8"/>
    <w:rsid w:val="00D94EAE"/>
    <w:rsid w:val="00D97670"/>
    <w:rsid w:val="00DA0E92"/>
    <w:rsid w:val="00DA17EA"/>
    <w:rsid w:val="00DA3167"/>
    <w:rsid w:val="00DA45F2"/>
    <w:rsid w:val="00DA49D0"/>
    <w:rsid w:val="00DA4AAA"/>
    <w:rsid w:val="00DA4DC3"/>
    <w:rsid w:val="00DA51D0"/>
    <w:rsid w:val="00DA56CA"/>
    <w:rsid w:val="00DA656D"/>
    <w:rsid w:val="00DA6E7B"/>
    <w:rsid w:val="00DA77A5"/>
    <w:rsid w:val="00DB0310"/>
    <w:rsid w:val="00DB0C1F"/>
    <w:rsid w:val="00DB3C44"/>
    <w:rsid w:val="00DB3DBF"/>
    <w:rsid w:val="00DB484F"/>
    <w:rsid w:val="00DB4B05"/>
    <w:rsid w:val="00DB5315"/>
    <w:rsid w:val="00DB6A04"/>
    <w:rsid w:val="00DC04F6"/>
    <w:rsid w:val="00DC05F7"/>
    <w:rsid w:val="00DC0690"/>
    <w:rsid w:val="00DC1D65"/>
    <w:rsid w:val="00DC1EA9"/>
    <w:rsid w:val="00DC2B20"/>
    <w:rsid w:val="00DC2E72"/>
    <w:rsid w:val="00DC3AB0"/>
    <w:rsid w:val="00DC3C57"/>
    <w:rsid w:val="00DC4FF0"/>
    <w:rsid w:val="00DC5501"/>
    <w:rsid w:val="00DC5571"/>
    <w:rsid w:val="00DC6F5D"/>
    <w:rsid w:val="00DC7154"/>
    <w:rsid w:val="00DC7E8A"/>
    <w:rsid w:val="00DD0F78"/>
    <w:rsid w:val="00DD273C"/>
    <w:rsid w:val="00DD3F28"/>
    <w:rsid w:val="00DD4537"/>
    <w:rsid w:val="00DD4C22"/>
    <w:rsid w:val="00DD4E15"/>
    <w:rsid w:val="00DD4EEF"/>
    <w:rsid w:val="00DD68A5"/>
    <w:rsid w:val="00DD7497"/>
    <w:rsid w:val="00DE0DFC"/>
    <w:rsid w:val="00DE2304"/>
    <w:rsid w:val="00DE24E9"/>
    <w:rsid w:val="00DE3138"/>
    <w:rsid w:val="00DE37F8"/>
    <w:rsid w:val="00DE4147"/>
    <w:rsid w:val="00DE4FCB"/>
    <w:rsid w:val="00DE5D07"/>
    <w:rsid w:val="00DE5E84"/>
    <w:rsid w:val="00DE72A7"/>
    <w:rsid w:val="00DE77C9"/>
    <w:rsid w:val="00DE7832"/>
    <w:rsid w:val="00DE78A9"/>
    <w:rsid w:val="00DF0829"/>
    <w:rsid w:val="00DF096A"/>
    <w:rsid w:val="00DF1309"/>
    <w:rsid w:val="00DF18FC"/>
    <w:rsid w:val="00DF1CFA"/>
    <w:rsid w:val="00DF392E"/>
    <w:rsid w:val="00DF434E"/>
    <w:rsid w:val="00DF56C9"/>
    <w:rsid w:val="00DF5D2B"/>
    <w:rsid w:val="00DF797F"/>
    <w:rsid w:val="00DF7E0A"/>
    <w:rsid w:val="00E00494"/>
    <w:rsid w:val="00E004EC"/>
    <w:rsid w:val="00E00722"/>
    <w:rsid w:val="00E00BC9"/>
    <w:rsid w:val="00E00D50"/>
    <w:rsid w:val="00E00E8E"/>
    <w:rsid w:val="00E0148F"/>
    <w:rsid w:val="00E05273"/>
    <w:rsid w:val="00E05630"/>
    <w:rsid w:val="00E05841"/>
    <w:rsid w:val="00E05F80"/>
    <w:rsid w:val="00E06DBB"/>
    <w:rsid w:val="00E07597"/>
    <w:rsid w:val="00E075EA"/>
    <w:rsid w:val="00E07684"/>
    <w:rsid w:val="00E10149"/>
    <w:rsid w:val="00E11340"/>
    <w:rsid w:val="00E118E7"/>
    <w:rsid w:val="00E122A1"/>
    <w:rsid w:val="00E14718"/>
    <w:rsid w:val="00E14980"/>
    <w:rsid w:val="00E15E29"/>
    <w:rsid w:val="00E15ED5"/>
    <w:rsid w:val="00E16330"/>
    <w:rsid w:val="00E16372"/>
    <w:rsid w:val="00E206F0"/>
    <w:rsid w:val="00E20E4D"/>
    <w:rsid w:val="00E20ED6"/>
    <w:rsid w:val="00E20FD3"/>
    <w:rsid w:val="00E21358"/>
    <w:rsid w:val="00E2249B"/>
    <w:rsid w:val="00E22A0D"/>
    <w:rsid w:val="00E233F0"/>
    <w:rsid w:val="00E23E8B"/>
    <w:rsid w:val="00E244F6"/>
    <w:rsid w:val="00E24504"/>
    <w:rsid w:val="00E25998"/>
    <w:rsid w:val="00E2771E"/>
    <w:rsid w:val="00E30D49"/>
    <w:rsid w:val="00E311EF"/>
    <w:rsid w:val="00E32180"/>
    <w:rsid w:val="00E337AE"/>
    <w:rsid w:val="00E34948"/>
    <w:rsid w:val="00E34F13"/>
    <w:rsid w:val="00E37569"/>
    <w:rsid w:val="00E401B2"/>
    <w:rsid w:val="00E4175C"/>
    <w:rsid w:val="00E41E30"/>
    <w:rsid w:val="00E424AB"/>
    <w:rsid w:val="00E42AF9"/>
    <w:rsid w:val="00E42D81"/>
    <w:rsid w:val="00E42F73"/>
    <w:rsid w:val="00E43D70"/>
    <w:rsid w:val="00E460F8"/>
    <w:rsid w:val="00E462EB"/>
    <w:rsid w:val="00E466F3"/>
    <w:rsid w:val="00E47B2C"/>
    <w:rsid w:val="00E50219"/>
    <w:rsid w:val="00E50C44"/>
    <w:rsid w:val="00E51560"/>
    <w:rsid w:val="00E5200D"/>
    <w:rsid w:val="00E5270C"/>
    <w:rsid w:val="00E52A53"/>
    <w:rsid w:val="00E53B1C"/>
    <w:rsid w:val="00E53FC8"/>
    <w:rsid w:val="00E54347"/>
    <w:rsid w:val="00E54A92"/>
    <w:rsid w:val="00E54D5F"/>
    <w:rsid w:val="00E55424"/>
    <w:rsid w:val="00E55915"/>
    <w:rsid w:val="00E55940"/>
    <w:rsid w:val="00E55BB5"/>
    <w:rsid w:val="00E55FAA"/>
    <w:rsid w:val="00E573F6"/>
    <w:rsid w:val="00E57BC9"/>
    <w:rsid w:val="00E62148"/>
    <w:rsid w:val="00E63689"/>
    <w:rsid w:val="00E6408F"/>
    <w:rsid w:val="00E64C92"/>
    <w:rsid w:val="00E65E79"/>
    <w:rsid w:val="00E6672B"/>
    <w:rsid w:val="00E66BA2"/>
    <w:rsid w:val="00E67416"/>
    <w:rsid w:val="00E718B6"/>
    <w:rsid w:val="00E71EAC"/>
    <w:rsid w:val="00E723BA"/>
    <w:rsid w:val="00E73581"/>
    <w:rsid w:val="00E742F6"/>
    <w:rsid w:val="00E74519"/>
    <w:rsid w:val="00E74A5B"/>
    <w:rsid w:val="00E77D32"/>
    <w:rsid w:val="00E80D2B"/>
    <w:rsid w:val="00E80F87"/>
    <w:rsid w:val="00E80F97"/>
    <w:rsid w:val="00E826FA"/>
    <w:rsid w:val="00E833F7"/>
    <w:rsid w:val="00E83BDF"/>
    <w:rsid w:val="00E8494F"/>
    <w:rsid w:val="00E8533A"/>
    <w:rsid w:val="00E87515"/>
    <w:rsid w:val="00E87A1D"/>
    <w:rsid w:val="00E9094A"/>
    <w:rsid w:val="00E91317"/>
    <w:rsid w:val="00E91D35"/>
    <w:rsid w:val="00E926A5"/>
    <w:rsid w:val="00E9394B"/>
    <w:rsid w:val="00E93F0C"/>
    <w:rsid w:val="00E94CFA"/>
    <w:rsid w:val="00E950A3"/>
    <w:rsid w:val="00E97139"/>
    <w:rsid w:val="00EA17C3"/>
    <w:rsid w:val="00EA20D7"/>
    <w:rsid w:val="00EA2392"/>
    <w:rsid w:val="00EA2CAA"/>
    <w:rsid w:val="00EA3864"/>
    <w:rsid w:val="00EA486C"/>
    <w:rsid w:val="00EA54A7"/>
    <w:rsid w:val="00EA580F"/>
    <w:rsid w:val="00EA6210"/>
    <w:rsid w:val="00EA6EFF"/>
    <w:rsid w:val="00EA7B3F"/>
    <w:rsid w:val="00EA7F1C"/>
    <w:rsid w:val="00EB0ADB"/>
    <w:rsid w:val="00EB15B6"/>
    <w:rsid w:val="00EB283D"/>
    <w:rsid w:val="00EB3A64"/>
    <w:rsid w:val="00EB3D06"/>
    <w:rsid w:val="00EB3D9B"/>
    <w:rsid w:val="00EB46BA"/>
    <w:rsid w:val="00EB4916"/>
    <w:rsid w:val="00EC00C9"/>
    <w:rsid w:val="00EC0DD9"/>
    <w:rsid w:val="00EC175A"/>
    <w:rsid w:val="00EC2514"/>
    <w:rsid w:val="00EC2649"/>
    <w:rsid w:val="00EC31ED"/>
    <w:rsid w:val="00EC3323"/>
    <w:rsid w:val="00EC4E22"/>
    <w:rsid w:val="00EC5836"/>
    <w:rsid w:val="00EC62B8"/>
    <w:rsid w:val="00EC688C"/>
    <w:rsid w:val="00ED0037"/>
    <w:rsid w:val="00ED094D"/>
    <w:rsid w:val="00ED1163"/>
    <w:rsid w:val="00ED15F8"/>
    <w:rsid w:val="00ED3614"/>
    <w:rsid w:val="00ED380E"/>
    <w:rsid w:val="00ED57D0"/>
    <w:rsid w:val="00ED57EA"/>
    <w:rsid w:val="00ED5BD4"/>
    <w:rsid w:val="00ED695D"/>
    <w:rsid w:val="00ED6DCA"/>
    <w:rsid w:val="00EE07D3"/>
    <w:rsid w:val="00EE1996"/>
    <w:rsid w:val="00EE1C01"/>
    <w:rsid w:val="00EE22AF"/>
    <w:rsid w:val="00EE242F"/>
    <w:rsid w:val="00EE3766"/>
    <w:rsid w:val="00EE44EB"/>
    <w:rsid w:val="00EE6AE0"/>
    <w:rsid w:val="00EE6C27"/>
    <w:rsid w:val="00EF0171"/>
    <w:rsid w:val="00EF1B25"/>
    <w:rsid w:val="00EF1DA0"/>
    <w:rsid w:val="00EF22EA"/>
    <w:rsid w:val="00EF3346"/>
    <w:rsid w:val="00EF4632"/>
    <w:rsid w:val="00EF4747"/>
    <w:rsid w:val="00EF4BF8"/>
    <w:rsid w:val="00EF7902"/>
    <w:rsid w:val="00F00014"/>
    <w:rsid w:val="00F02253"/>
    <w:rsid w:val="00F03C2E"/>
    <w:rsid w:val="00F0437D"/>
    <w:rsid w:val="00F04A66"/>
    <w:rsid w:val="00F04B4B"/>
    <w:rsid w:val="00F0516C"/>
    <w:rsid w:val="00F0535B"/>
    <w:rsid w:val="00F0547F"/>
    <w:rsid w:val="00F067A2"/>
    <w:rsid w:val="00F06843"/>
    <w:rsid w:val="00F07236"/>
    <w:rsid w:val="00F07B9E"/>
    <w:rsid w:val="00F07C5B"/>
    <w:rsid w:val="00F10DC3"/>
    <w:rsid w:val="00F1116F"/>
    <w:rsid w:val="00F1263A"/>
    <w:rsid w:val="00F12644"/>
    <w:rsid w:val="00F135B2"/>
    <w:rsid w:val="00F15377"/>
    <w:rsid w:val="00F15B77"/>
    <w:rsid w:val="00F16F88"/>
    <w:rsid w:val="00F203CB"/>
    <w:rsid w:val="00F20A78"/>
    <w:rsid w:val="00F21023"/>
    <w:rsid w:val="00F22AFD"/>
    <w:rsid w:val="00F233A4"/>
    <w:rsid w:val="00F239C4"/>
    <w:rsid w:val="00F24837"/>
    <w:rsid w:val="00F25565"/>
    <w:rsid w:val="00F2575F"/>
    <w:rsid w:val="00F25894"/>
    <w:rsid w:val="00F26E46"/>
    <w:rsid w:val="00F270FA"/>
    <w:rsid w:val="00F27340"/>
    <w:rsid w:val="00F27565"/>
    <w:rsid w:val="00F304B9"/>
    <w:rsid w:val="00F306F7"/>
    <w:rsid w:val="00F30BF6"/>
    <w:rsid w:val="00F310D4"/>
    <w:rsid w:val="00F31D5A"/>
    <w:rsid w:val="00F32581"/>
    <w:rsid w:val="00F33975"/>
    <w:rsid w:val="00F33DE9"/>
    <w:rsid w:val="00F34EFD"/>
    <w:rsid w:val="00F35E6D"/>
    <w:rsid w:val="00F3619A"/>
    <w:rsid w:val="00F368E5"/>
    <w:rsid w:val="00F37679"/>
    <w:rsid w:val="00F37C56"/>
    <w:rsid w:val="00F37E83"/>
    <w:rsid w:val="00F4016E"/>
    <w:rsid w:val="00F40AAA"/>
    <w:rsid w:val="00F40BA7"/>
    <w:rsid w:val="00F40F9D"/>
    <w:rsid w:val="00F41ACD"/>
    <w:rsid w:val="00F423D8"/>
    <w:rsid w:val="00F42F90"/>
    <w:rsid w:val="00F43F5D"/>
    <w:rsid w:val="00F45098"/>
    <w:rsid w:val="00F46C9A"/>
    <w:rsid w:val="00F46CB6"/>
    <w:rsid w:val="00F4756D"/>
    <w:rsid w:val="00F47A56"/>
    <w:rsid w:val="00F47DE8"/>
    <w:rsid w:val="00F53596"/>
    <w:rsid w:val="00F542C1"/>
    <w:rsid w:val="00F55DD2"/>
    <w:rsid w:val="00F55E73"/>
    <w:rsid w:val="00F55EDA"/>
    <w:rsid w:val="00F55F69"/>
    <w:rsid w:val="00F56C80"/>
    <w:rsid w:val="00F56D73"/>
    <w:rsid w:val="00F60092"/>
    <w:rsid w:val="00F60C6D"/>
    <w:rsid w:val="00F61079"/>
    <w:rsid w:val="00F617A2"/>
    <w:rsid w:val="00F61C18"/>
    <w:rsid w:val="00F61F61"/>
    <w:rsid w:val="00F63D4D"/>
    <w:rsid w:val="00F641AA"/>
    <w:rsid w:val="00F641FA"/>
    <w:rsid w:val="00F64B52"/>
    <w:rsid w:val="00F65039"/>
    <w:rsid w:val="00F65F4B"/>
    <w:rsid w:val="00F66125"/>
    <w:rsid w:val="00F67A69"/>
    <w:rsid w:val="00F70BFF"/>
    <w:rsid w:val="00F70C9D"/>
    <w:rsid w:val="00F71D38"/>
    <w:rsid w:val="00F74CD9"/>
    <w:rsid w:val="00F7561C"/>
    <w:rsid w:val="00F7581B"/>
    <w:rsid w:val="00F764F4"/>
    <w:rsid w:val="00F77F18"/>
    <w:rsid w:val="00F80A7B"/>
    <w:rsid w:val="00F80E5D"/>
    <w:rsid w:val="00F81D1E"/>
    <w:rsid w:val="00F81E78"/>
    <w:rsid w:val="00F821B8"/>
    <w:rsid w:val="00F83207"/>
    <w:rsid w:val="00F837FF"/>
    <w:rsid w:val="00F83EB4"/>
    <w:rsid w:val="00F851CE"/>
    <w:rsid w:val="00F85E31"/>
    <w:rsid w:val="00F876CB"/>
    <w:rsid w:val="00F87E1E"/>
    <w:rsid w:val="00F87F25"/>
    <w:rsid w:val="00F90C00"/>
    <w:rsid w:val="00F90F4A"/>
    <w:rsid w:val="00F91219"/>
    <w:rsid w:val="00F92444"/>
    <w:rsid w:val="00F9393E"/>
    <w:rsid w:val="00F93DA9"/>
    <w:rsid w:val="00F93E30"/>
    <w:rsid w:val="00F943C1"/>
    <w:rsid w:val="00F94BB2"/>
    <w:rsid w:val="00F960D6"/>
    <w:rsid w:val="00F96FD0"/>
    <w:rsid w:val="00F97A78"/>
    <w:rsid w:val="00FA00FA"/>
    <w:rsid w:val="00FA033E"/>
    <w:rsid w:val="00FA0B20"/>
    <w:rsid w:val="00FA24E7"/>
    <w:rsid w:val="00FA2CD3"/>
    <w:rsid w:val="00FA347E"/>
    <w:rsid w:val="00FA3DF6"/>
    <w:rsid w:val="00FA5174"/>
    <w:rsid w:val="00FA5EE6"/>
    <w:rsid w:val="00FA652F"/>
    <w:rsid w:val="00FA6C4B"/>
    <w:rsid w:val="00FA7956"/>
    <w:rsid w:val="00FB2A4F"/>
    <w:rsid w:val="00FB2FCB"/>
    <w:rsid w:val="00FB5A19"/>
    <w:rsid w:val="00FB63B1"/>
    <w:rsid w:val="00FB6877"/>
    <w:rsid w:val="00FB7C55"/>
    <w:rsid w:val="00FC09BA"/>
    <w:rsid w:val="00FC1074"/>
    <w:rsid w:val="00FC1741"/>
    <w:rsid w:val="00FC1884"/>
    <w:rsid w:val="00FC1CD1"/>
    <w:rsid w:val="00FC1EE3"/>
    <w:rsid w:val="00FC2DDC"/>
    <w:rsid w:val="00FC371D"/>
    <w:rsid w:val="00FC4697"/>
    <w:rsid w:val="00FC58FA"/>
    <w:rsid w:val="00FC5F0B"/>
    <w:rsid w:val="00FC60EF"/>
    <w:rsid w:val="00FC6EB3"/>
    <w:rsid w:val="00FC7625"/>
    <w:rsid w:val="00FC7E84"/>
    <w:rsid w:val="00FD2100"/>
    <w:rsid w:val="00FD436C"/>
    <w:rsid w:val="00FD446D"/>
    <w:rsid w:val="00FD4DD4"/>
    <w:rsid w:val="00FD4F2C"/>
    <w:rsid w:val="00FD6394"/>
    <w:rsid w:val="00FD757C"/>
    <w:rsid w:val="00FE0E6C"/>
    <w:rsid w:val="00FE1CDC"/>
    <w:rsid w:val="00FE2D1E"/>
    <w:rsid w:val="00FE2D73"/>
    <w:rsid w:val="00FE3213"/>
    <w:rsid w:val="00FE46F8"/>
    <w:rsid w:val="00FE4F2C"/>
    <w:rsid w:val="00FE5FDC"/>
    <w:rsid w:val="00FE70C3"/>
    <w:rsid w:val="00FE75A6"/>
    <w:rsid w:val="00FF037A"/>
    <w:rsid w:val="00FF18E6"/>
    <w:rsid w:val="00FF1BA4"/>
    <w:rsid w:val="00FF2AD9"/>
    <w:rsid w:val="00FF311F"/>
    <w:rsid w:val="00FF359F"/>
    <w:rsid w:val="00FF39EC"/>
    <w:rsid w:val="00FF3DCF"/>
    <w:rsid w:val="00FF41FB"/>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3A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aliases w:val="title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Comment Text Char1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omment Text Char1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A42A24"/>
    <w:rPr>
      <w:sz w:val="20"/>
      <w:szCs w:val="20"/>
    </w:rPr>
  </w:style>
  <w:style w:type="character" w:customStyle="1" w:styleId="FootnoteTextChar">
    <w:name w:val="Footnote Text Char"/>
    <w:basedOn w:val="DefaultParagraphFont"/>
    <w:link w:val="FootnoteText"/>
    <w:rsid w:val="00A42A24"/>
    <w:rPr>
      <w:rFonts w:ascii="Calibri" w:hAnsi="Calibri" w:cs="Arial"/>
    </w:rPr>
  </w:style>
  <w:style w:type="character" w:styleId="FootnoteReference">
    <w:name w:val="footnote reference"/>
    <w:basedOn w:val="DefaultParagraphFont"/>
    <w:semiHidden/>
    <w:unhideWhenUsed/>
    <w:rsid w:val="00A42A24"/>
    <w:rPr>
      <w:vertAlign w:val="superscript"/>
    </w:rPr>
  </w:style>
  <w:style w:type="character" w:styleId="Emphasis">
    <w:name w:val="Emphasis"/>
    <w:basedOn w:val="DefaultParagraphFont"/>
    <w:uiPriority w:val="20"/>
    <w:rsid w:val="00153955"/>
    <w:rPr>
      <w:i/>
      <w:iCs/>
    </w:rPr>
  </w:style>
  <w:style w:type="paragraph" w:customStyle="1" w:styleId="EndNoteBibliographyTitle">
    <w:name w:val="EndNote Bibliography Title"/>
    <w:basedOn w:val="Normal"/>
    <w:link w:val="EndNoteBibliographyTitleChar"/>
    <w:rsid w:val="00771F52"/>
    <w:pPr>
      <w:jc w:val="center"/>
    </w:pPr>
    <w:rPr>
      <w:rFonts w:cs="Calibri"/>
      <w:noProof/>
    </w:rPr>
  </w:style>
  <w:style w:type="character" w:customStyle="1" w:styleId="EndNoteBibliographyTitleChar">
    <w:name w:val="EndNote Bibliography Title Char"/>
    <w:basedOn w:val="3-BodyTextChar"/>
    <w:link w:val="EndNoteBibliographyTitle"/>
    <w:rsid w:val="00771F52"/>
    <w:rPr>
      <w:rFonts w:ascii="Calibri" w:hAnsi="Calibri" w:cs="Calibri"/>
      <w:noProof/>
      <w:snapToGrid/>
      <w:sz w:val="24"/>
      <w:szCs w:val="24"/>
    </w:rPr>
  </w:style>
  <w:style w:type="paragraph" w:customStyle="1" w:styleId="EndNoteBibliography">
    <w:name w:val="EndNote Bibliography"/>
    <w:basedOn w:val="Normal"/>
    <w:link w:val="EndNoteBibliographyChar"/>
    <w:rsid w:val="00771F52"/>
    <w:rPr>
      <w:rFonts w:cs="Calibri"/>
      <w:noProof/>
    </w:rPr>
  </w:style>
  <w:style w:type="character" w:customStyle="1" w:styleId="EndNoteBibliographyChar">
    <w:name w:val="EndNote Bibliography Char"/>
    <w:basedOn w:val="3-BodyTextChar"/>
    <w:link w:val="EndNoteBibliography"/>
    <w:rsid w:val="00771F52"/>
    <w:rPr>
      <w:rFonts w:ascii="Calibri" w:hAnsi="Calibri" w:cs="Calibri"/>
      <w:noProof/>
      <w:snapToGrid/>
      <w:sz w:val="24"/>
      <w:szCs w:val="24"/>
    </w:rPr>
  </w:style>
  <w:style w:type="paragraph" w:customStyle="1" w:styleId="Tabletextleft">
    <w:name w:val="Table text left"/>
    <w:basedOn w:val="Normal"/>
    <w:link w:val="TabletextleftChar"/>
    <w:qFormat/>
    <w:rsid w:val="0058342A"/>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58342A"/>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795257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2579078">
      <w:bodyDiv w:val="1"/>
      <w:marLeft w:val="0"/>
      <w:marRight w:val="0"/>
      <w:marTop w:val="0"/>
      <w:marBottom w:val="0"/>
      <w:divBdr>
        <w:top w:val="none" w:sz="0" w:space="0" w:color="auto"/>
        <w:left w:val="none" w:sz="0" w:space="0" w:color="auto"/>
        <w:bottom w:val="none" w:sz="0" w:space="0" w:color="auto"/>
        <w:right w:val="none" w:sz="0" w:space="0" w:color="auto"/>
      </w:divBdr>
      <w:divsChild>
        <w:div w:id="138151433">
          <w:marLeft w:val="1080"/>
          <w:marRight w:val="0"/>
          <w:marTop w:val="100"/>
          <w:marBottom w:val="0"/>
          <w:divBdr>
            <w:top w:val="none" w:sz="0" w:space="0" w:color="auto"/>
            <w:left w:val="none" w:sz="0" w:space="0" w:color="auto"/>
            <w:bottom w:val="none" w:sz="0" w:space="0" w:color="auto"/>
            <w:right w:val="none" w:sz="0" w:space="0" w:color="auto"/>
          </w:divBdr>
        </w:div>
      </w:divsChild>
    </w:div>
    <w:div w:id="636880618">
      <w:bodyDiv w:val="1"/>
      <w:marLeft w:val="0"/>
      <w:marRight w:val="0"/>
      <w:marTop w:val="0"/>
      <w:marBottom w:val="0"/>
      <w:divBdr>
        <w:top w:val="none" w:sz="0" w:space="0" w:color="auto"/>
        <w:left w:val="none" w:sz="0" w:space="0" w:color="auto"/>
        <w:bottom w:val="none" w:sz="0" w:space="0" w:color="auto"/>
        <w:right w:val="none" w:sz="0" w:space="0" w:color="auto"/>
      </w:divBdr>
    </w:div>
    <w:div w:id="911163715">
      <w:bodyDiv w:val="1"/>
      <w:marLeft w:val="0"/>
      <w:marRight w:val="0"/>
      <w:marTop w:val="0"/>
      <w:marBottom w:val="0"/>
      <w:divBdr>
        <w:top w:val="none" w:sz="0" w:space="0" w:color="auto"/>
        <w:left w:val="none" w:sz="0" w:space="0" w:color="auto"/>
        <w:bottom w:val="none" w:sz="0" w:space="0" w:color="auto"/>
        <w:right w:val="none" w:sz="0" w:space="0" w:color="auto"/>
      </w:divBdr>
    </w:div>
    <w:div w:id="1041442542">
      <w:bodyDiv w:val="1"/>
      <w:marLeft w:val="0"/>
      <w:marRight w:val="0"/>
      <w:marTop w:val="0"/>
      <w:marBottom w:val="0"/>
      <w:divBdr>
        <w:top w:val="none" w:sz="0" w:space="0" w:color="auto"/>
        <w:left w:val="none" w:sz="0" w:space="0" w:color="auto"/>
        <w:bottom w:val="none" w:sz="0" w:space="0" w:color="auto"/>
        <w:right w:val="none" w:sz="0" w:space="0" w:color="auto"/>
      </w:divBdr>
    </w:div>
    <w:div w:id="1150096357">
      <w:bodyDiv w:val="1"/>
      <w:marLeft w:val="0"/>
      <w:marRight w:val="0"/>
      <w:marTop w:val="0"/>
      <w:marBottom w:val="0"/>
      <w:divBdr>
        <w:top w:val="none" w:sz="0" w:space="0" w:color="auto"/>
        <w:left w:val="none" w:sz="0" w:space="0" w:color="auto"/>
        <w:bottom w:val="none" w:sz="0" w:space="0" w:color="auto"/>
        <w:right w:val="none" w:sz="0" w:space="0" w:color="auto"/>
      </w:divBdr>
      <w:divsChild>
        <w:div w:id="466821941">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688">
      <w:bodyDiv w:val="1"/>
      <w:marLeft w:val="0"/>
      <w:marRight w:val="0"/>
      <w:marTop w:val="0"/>
      <w:marBottom w:val="0"/>
      <w:divBdr>
        <w:top w:val="none" w:sz="0" w:space="0" w:color="auto"/>
        <w:left w:val="none" w:sz="0" w:space="0" w:color="auto"/>
        <w:bottom w:val="none" w:sz="0" w:space="0" w:color="auto"/>
        <w:right w:val="none" w:sz="0" w:space="0" w:color="auto"/>
      </w:divBdr>
    </w:div>
    <w:div w:id="176930450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8C48-B958-4FE8-B234-0EF047DD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15060</Words>
  <Characters>85914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2021-10-26T04:59:00Z</dcterms:created>
  <dcterms:modified xsi:type="dcterms:W3CDTF">2021-10-26T04:59:00Z</dcterms:modified>
</cp:coreProperties>
</file>