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03" w:rsidRPr="0058368C" w:rsidRDefault="00361103" w:rsidP="004A6760">
      <w:pPr>
        <w:pStyle w:val="1MainTitle"/>
        <w:ind w:left="1134" w:hanging="1134"/>
        <w:jc w:val="left"/>
        <w:rPr>
          <w:rFonts w:asciiTheme="minorHAnsi" w:eastAsia="Calibri" w:hAnsiTheme="minorHAnsi" w:cstheme="minorHAnsi"/>
          <w:lang w:eastAsia="en-US"/>
        </w:rPr>
      </w:pPr>
      <w:r w:rsidRPr="0058368C">
        <w:rPr>
          <w:rFonts w:asciiTheme="minorHAnsi" w:eastAsia="Calibri" w:hAnsiTheme="minorHAnsi" w:cstheme="minorHAnsi"/>
          <w:lang w:eastAsia="en-US"/>
        </w:rPr>
        <w:t>6.21</w:t>
      </w:r>
      <w:r w:rsidRPr="0058368C">
        <w:rPr>
          <w:rFonts w:asciiTheme="minorHAnsi" w:eastAsia="Calibri" w:hAnsiTheme="minorHAnsi" w:cstheme="minorHAnsi"/>
          <w:lang w:eastAsia="en-US"/>
        </w:rPr>
        <w:tab/>
        <w:t xml:space="preserve">HYPROMELLOSE, </w:t>
      </w:r>
      <w:r w:rsidRPr="0058368C">
        <w:rPr>
          <w:rFonts w:asciiTheme="minorHAnsi" w:eastAsia="Calibri" w:hAnsiTheme="minorHAnsi" w:cstheme="minorHAnsi"/>
          <w:lang w:eastAsia="en-US"/>
        </w:rPr>
        <w:br/>
        <w:t>Eye drops 3 mg per mL, 10 mL,</w:t>
      </w:r>
      <w:r w:rsidRPr="0058368C">
        <w:rPr>
          <w:rFonts w:asciiTheme="minorHAnsi" w:eastAsia="Calibri" w:hAnsiTheme="minorHAnsi" w:cstheme="minorHAnsi"/>
          <w:lang w:eastAsia="en-US"/>
        </w:rPr>
        <w:br/>
        <w:t>Revive Tears</w:t>
      </w:r>
      <w:r w:rsidR="00620D44" w:rsidRPr="0058368C">
        <w:rPr>
          <w:rFonts w:asciiTheme="minorHAnsi" w:eastAsia="Calibri" w:hAnsiTheme="minorHAnsi" w:cstheme="minorHAnsi"/>
          <w:lang w:eastAsia="en-US"/>
        </w:rPr>
        <w:t>®</w:t>
      </w:r>
      <w:r w:rsidRPr="0058368C">
        <w:rPr>
          <w:rFonts w:asciiTheme="minorHAnsi" w:eastAsia="Calibri" w:hAnsiTheme="minorHAnsi" w:cstheme="minorHAnsi"/>
          <w:lang w:eastAsia="en-US"/>
        </w:rPr>
        <w:t>,</w:t>
      </w:r>
      <w:r w:rsidRPr="0058368C">
        <w:rPr>
          <w:rFonts w:asciiTheme="minorHAnsi" w:eastAsia="Calibri" w:hAnsiTheme="minorHAnsi" w:cstheme="minorHAnsi"/>
          <w:lang w:eastAsia="en-US"/>
        </w:rPr>
        <w:br/>
        <w:t>Petrus Pharmaceuticals Pty Ltd</w:t>
      </w:r>
    </w:p>
    <w:p w:rsidR="00361103" w:rsidRPr="0058368C" w:rsidRDefault="00361103" w:rsidP="004A6760">
      <w:pPr>
        <w:pStyle w:val="2-SectionHeading"/>
      </w:pPr>
      <w:r w:rsidRPr="0058368C">
        <w:t xml:space="preserve">Purpose of Application </w:t>
      </w:r>
    </w:p>
    <w:p w:rsidR="00361103" w:rsidRPr="0058368C" w:rsidRDefault="00361103" w:rsidP="004A6760">
      <w:pPr>
        <w:pStyle w:val="3Bodytext"/>
      </w:pPr>
      <w:r w:rsidRPr="0058368C">
        <w:t xml:space="preserve">The </w:t>
      </w:r>
      <w:r w:rsidR="00EE720A" w:rsidRPr="0058368C">
        <w:rPr>
          <w:rFonts w:cstheme="minorHAnsi"/>
        </w:rPr>
        <w:t>C</w:t>
      </w:r>
      <w:r w:rsidR="00B33C86" w:rsidRPr="0058368C">
        <w:rPr>
          <w:rFonts w:cstheme="minorHAnsi"/>
        </w:rPr>
        <w:t xml:space="preserve">ommittee </w:t>
      </w:r>
      <w:r w:rsidR="00EE720A" w:rsidRPr="0058368C">
        <w:rPr>
          <w:rFonts w:cstheme="minorHAnsi"/>
        </w:rPr>
        <w:t>S</w:t>
      </w:r>
      <w:r w:rsidR="00B33C86" w:rsidRPr="0058368C">
        <w:rPr>
          <w:rFonts w:cstheme="minorHAnsi"/>
        </w:rPr>
        <w:t xml:space="preserve">ecretariat </w:t>
      </w:r>
      <w:r w:rsidRPr="0058368C">
        <w:t xml:space="preserve">submission sought </w:t>
      </w:r>
      <w:r w:rsidR="00B33C86" w:rsidRPr="0058368C">
        <w:t xml:space="preserve">a </w:t>
      </w:r>
      <w:r w:rsidR="00E9360F" w:rsidRPr="0058368C">
        <w:t>R</w:t>
      </w:r>
      <w:r w:rsidR="00005CD6" w:rsidRPr="0058368C">
        <w:t xml:space="preserve">estricted </w:t>
      </w:r>
      <w:r w:rsidR="00E9360F" w:rsidRPr="0058368C">
        <w:t>B</w:t>
      </w:r>
      <w:r w:rsidR="00005CD6" w:rsidRPr="0058368C">
        <w:t xml:space="preserve">enefit listing </w:t>
      </w:r>
      <w:r w:rsidR="00E9360F" w:rsidRPr="0058368C">
        <w:t xml:space="preserve">for a new generic brand </w:t>
      </w:r>
      <w:r w:rsidR="00005CD6" w:rsidRPr="0058368C">
        <w:t>of</w:t>
      </w:r>
      <w:r w:rsidR="00B33C86" w:rsidRPr="0058368C">
        <w:t xml:space="preserve"> h</w:t>
      </w:r>
      <w:r w:rsidR="000A71C7" w:rsidRPr="0058368C">
        <w:t xml:space="preserve">ypromellose 3 mg per </w:t>
      </w:r>
      <w:r w:rsidR="00B33C86" w:rsidRPr="0058368C">
        <w:t xml:space="preserve">mL </w:t>
      </w:r>
      <w:r w:rsidR="00005CD6" w:rsidRPr="0058368C">
        <w:t xml:space="preserve">eye drops </w:t>
      </w:r>
      <w:r w:rsidR="00021250" w:rsidRPr="0058368C">
        <w:t>(Revive Tears</w:t>
      </w:r>
      <w:r w:rsidR="002B277A" w:rsidRPr="0058368C">
        <w:t>®</w:t>
      </w:r>
      <w:r w:rsidR="00B33C86" w:rsidRPr="0058368C">
        <w:t>)</w:t>
      </w:r>
      <w:r w:rsidR="00E9360F" w:rsidRPr="0058368C">
        <w:t>.</w:t>
      </w:r>
      <w:r w:rsidR="00B33C86" w:rsidRPr="0058368C">
        <w:t xml:space="preserve"> </w:t>
      </w:r>
    </w:p>
    <w:p w:rsidR="00361103" w:rsidRPr="0058368C" w:rsidRDefault="00361103" w:rsidP="004A6760">
      <w:pPr>
        <w:pStyle w:val="2-SectionHeading"/>
      </w:pPr>
      <w:r w:rsidRPr="0058368C">
        <w:t xml:space="preserve">Background </w:t>
      </w:r>
    </w:p>
    <w:p w:rsidR="00361103" w:rsidRPr="0058368C" w:rsidRDefault="00361103" w:rsidP="004A6760">
      <w:pPr>
        <w:pStyle w:val="4-SubsectionHeading"/>
        <w:rPr>
          <w:rFonts w:asciiTheme="minorHAnsi" w:hAnsiTheme="minorHAnsi" w:cstheme="minorHAnsi"/>
        </w:rPr>
      </w:pPr>
      <w:r w:rsidRPr="0058368C">
        <w:rPr>
          <w:rFonts w:asciiTheme="minorHAnsi" w:hAnsiTheme="minorHAnsi" w:cstheme="minorHAnsi"/>
        </w:rPr>
        <w:t>Registration status</w:t>
      </w:r>
    </w:p>
    <w:p w:rsidR="002902B2" w:rsidRPr="0058368C" w:rsidRDefault="002C2FA7" w:rsidP="004A6760">
      <w:pPr>
        <w:pStyle w:val="3Bodytext"/>
        <w:jc w:val="both"/>
      </w:pPr>
      <w:r w:rsidRPr="0058368C">
        <w:t>Revive Tears</w:t>
      </w:r>
      <w:r w:rsidR="00361103" w:rsidRPr="0058368C">
        <w:t xml:space="preserve"> was</w:t>
      </w:r>
      <w:r w:rsidR="002902B2" w:rsidRPr="0058368C">
        <w:t xml:space="preserve"> </w:t>
      </w:r>
      <w:r w:rsidR="007524FE" w:rsidRPr="0058368C">
        <w:t>registered on the ARTG</w:t>
      </w:r>
      <w:r w:rsidR="002902B2" w:rsidRPr="0058368C">
        <w:t xml:space="preserve"> </w:t>
      </w:r>
      <w:r w:rsidR="00361103" w:rsidRPr="0058368C">
        <w:t xml:space="preserve">on </w:t>
      </w:r>
      <w:r w:rsidRPr="0058368C">
        <w:t>16 December 2020</w:t>
      </w:r>
      <w:r w:rsidR="007524FE" w:rsidRPr="0058368C">
        <w:t xml:space="preserve"> as a medical device (eye lubricant)</w:t>
      </w:r>
      <w:r w:rsidR="009B306F" w:rsidRPr="0058368C">
        <w:t xml:space="preserve"> with an intended purpose that includes the temporary relief of symptoms due to dry eye (e.g. burning, irritation and discomfort)</w:t>
      </w:r>
      <w:r w:rsidR="002902B2" w:rsidRPr="0058368C">
        <w:t>.</w:t>
      </w:r>
      <w:r w:rsidR="009B306F" w:rsidRPr="0058368C">
        <w:t xml:space="preserve"> The product is also suitable for use with contact lenses. </w:t>
      </w:r>
    </w:p>
    <w:p w:rsidR="007524FE" w:rsidRPr="0058368C" w:rsidRDefault="007524FE" w:rsidP="004A6760">
      <w:pPr>
        <w:pStyle w:val="3Bodytext"/>
        <w:jc w:val="both"/>
      </w:pPr>
      <w:r w:rsidRPr="0058368C">
        <w:t>The submission stated that solutions</w:t>
      </w:r>
      <w:r w:rsidR="00EF4F2D" w:rsidRPr="0058368C">
        <w:t xml:space="preserve"> such as ‘artificial tears’</w:t>
      </w:r>
      <w:r w:rsidRPr="0058368C">
        <w:t xml:space="preserve"> that do not contain pharmacologically active ingredients do not require bioequivalence studies; it is therefore not possible for the TGA to provide an equivalence statement for such a product. </w:t>
      </w:r>
    </w:p>
    <w:p w:rsidR="00303127" w:rsidRPr="0058368C" w:rsidRDefault="002902B2" w:rsidP="004A6760">
      <w:pPr>
        <w:pStyle w:val="4-SubsectionHeading"/>
        <w:rPr>
          <w:rFonts w:asciiTheme="minorHAnsi" w:hAnsiTheme="minorHAnsi" w:cstheme="minorHAnsi"/>
        </w:rPr>
      </w:pPr>
      <w:r w:rsidRPr="0058368C">
        <w:rPr>
          <w:rFonts w:asciiTheme="minorHAnsi" w:hAnsiTheme="minorHAnsi" w:cstheme="minorHAnsi"/>
        </w:rPr>
        <w:t>Previous PBAC consideration</w:t>
      </w:r>
    </w:p>
    <w:p w:rsidR="002B61C6" w:rsidRPr="0058368C" w:rsidRDefault="00CD12F7" w:rsidP="004A6760">
      <w:pPr>
        <w:pStyle w:val="3Bodytext"/>
        <w:rPr>
          <w:i/>
        </w:rPr>
      </w:pPr>
      <w:r w:rsidRPr="0058368C">
        <w:t xml:space="preserve">The PBAC has not previously considered </w:t>
      </w:r>
      <w:r w:rsidR="002902B2" w:rsidRPr="0058368C">
        <w:t xml:space="preserve">a submission for </w:t>
      </w:r>
      <w:r w:rsidRPr="0058368C">
        <w:t>Revive Tears</w:t>
      </w:r>
      <w:r w:rsidR="00FC4160" w:rsidRPr="0058368C">
        <w:t xml:space="preserve">. </w:t>
      </w:r>
      <w:bookmarkStart w:id="0" w:name="_Hlk76375324"/>
    </w:p>
    <w:p w:rsidR="002B61C6" w:rsidRPr="0058368C" w:rsidRDefault="002B61C6" w:rsidP="004A6760">
      <w:pPr>
        <w:ind w:firstLine="709"/>
        <w:rPr>
          <w:rFonts w:asciiTheme="minorHAnsi" w:hAnsiTheme="minorHAnsi"/>
          <w:i/>
        </w:rPr>
      </w:pPr>
      <w:r w:rsidRPr="0058368C">
        <w:rPr>
          <w:rFonts w:asciiTheme="minorHAnsi" w:hAnsiTheme="minorHAnsi"/>
          <w:i/>
        </w:rPr>
        <w:t>For more detail on PBAC’s view, see section 5 PBAC outcome.</w:t>
      </w:r>
      <w:bookmarkEnd w:id="0"/>
    </w:p>
    <w:p w:rsidR="00361103" w:rsidRPr="0058368C" w:rsidRDefault="00361103" w:rsidP="004A6760">
      <w:pPr>
        <w:pStyle w:val="2-SectionHeading"/>
      </w:pPr>
      <w:r w:rsidRPr="0058368C">
        <w:t xml:space="preserve">Requested listing </w:t>
      </w:r>
    </w:p>
    <w:p w:rsidR="009B7E8B" w:rsidRPr="0058368C" w:rsidRDefault="00361103" w:rsidP="004A6760">
      <w:pPr>
        <w:pStyle w:val="3Bodytext"/>
        <w:jc w:val="both"/>
      </w:pPr>
      <w:r w:rsidRPr="0058368C">
        <w:t xml:space="preserve">The </w:t>
      </w:r>
      <w:r w:rsidR="005B4062" w:rsidRPr="0058368C">
        <w:t xml:space="preserve">submission requested </w:t>
      </w:r>
      <w:r w:rsidR="007524FE" w:rsidRPr="0058368C">
        <w:t xml:space="preserve">that </w:t>
      </w:r>
      <w:r w:rsidR="005B4062" w:rsidRPr="0058368C">
        <w:t xml:space="preserve">Revive Tears be made available through the PBS under the same circumstances as the </w:t>
      </w:r>
      <w:r w:rsidR="007524FE" w:rsidRPr="0058368C">
        <w:t>existing</w:t>
      </w:r>
      <w:r w:rsidR="005B4062" w:rsidRPr="0058368C">
        <w:t xml:space="preserve"> PBS-listed</w:t>
      </w:r>
      <w:r w:rsidR="007524FE" w:rsidRPr="0058368C">
        <w:t xml:space="preserve"> brands</w:t>
      </w:r>
      <w:r w:rsidR="00CD12F7" w:rsidRPr="0058368C">
        <w:t>, Genteal</w:t>
      </w:r>
      <w:r w:rsidR="009858BB" w:rsidRPr="0058368C">
        <w:t>®</w:t>
      </w:r>
      <w:r w:rsidR="00A3228C" w:rsidRPr="0058368C">
        <w:t xml:space="preserve"> and In a</w:t>
      </w:r>
      <w:r w:rsidR="00CD12F7" w:rsidRPr="0058368C">
        <w:t xml:space="preserve"> Wink</w:t>
      </w:r>
      <w:r w:rsidR="007524FE" w:rsidRPr="0058368C">
        <w:t xml:space="preserve"> Moisturising</w:t>
      </w:r>
      <w:r w:rsidR="009858BB" w:rsidRPr="0058368C">
        <w:t>®</w:t>
      </w:r>
      <w:r w:rsidR="007524FE" w:rsidRPr="0058368C">
        <w:t>,</w:t>
      </w:r>
      <w:r w:rsidR="00CA2A73" w:rsidRPr="0058368C">
        <w:t xml:space="preserve"> as a </w:t>
      </w:r>
      <w:r w:rsidR="00FB3672" w:rsidRPr="0058368C">
        <w:t>R</w:t>
      </w:r>
      <w:r w:rsidR="00CA2A73" w:rsidRPr="0058368C">
        <w:t xml:space="preserve">estricted </w:t>
      </w:r>
      <w:r w:rsidR="00FB3672" w:rsidRPr="0058368C">
        <w:t>B</w:t>
      </w:r>
      <w:r w:rsidR="00CA2A73" w:rsidRPr="0058368C">
        <w:t>enefit</w:t>
      </w:r>
      <w:r w:rsidR="007524FE" w:rsidRPr="0058368C">
        <w:t xml:space="preserve"> for the treatment of severe dry eye syndrome (including Sjogren’s syndrome). </w:t>
      </w:r>
    </w:p>
    <w:p w:rsidR="003B07D7" w:rsidRDefault="003B07D7">
      <w:r>
        <w:br w:type="page"/>
      </w:r>
      <w:bookmarkStart w:id="1" w:name="_GoBack"/>
      <w:bookmarkEnd w:id="1"/>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
        <w:gridCol w:w="1700"/>
        <w:gridCol w:w="1285"/>
        <w:gridCol w:w="860"/>
        <w:gridCol w:w="859"/>
        <w:gridCol w:w="716"/>
        <w:gridCol w:w="2374"/>
      </w:tblGrid>
      <w:tr w:rsidR="00B60472" w:rsidRPr="0058368C" w:rsidTr="009B7E8B">
        <w:trPr>
          <w:cantSplit/>
          <w:trHeight w:val="471"/>
        </w:trPr>
        <w:tc>
          <w:tcPr>
            <w:tcW w:w="1586" w:type="pct"/>
            <w:gridSpan w:val="2"/>
          </w:tcPr>
          <w:p w:rsidR="00B60472" w:rsidRPr="0058368C" w:rsidRDefault="00B60472" w:rsidP="004A6760">
            <w:pPr>
              <w:keepNext/>
              <w:ind w:left="-108"/>
              <w:rPr>
                <w:rFonts w:ascii="Arial Narrow" w:hAnsi="Arial Narrow" w:cs="Arial"/>
                <w:b/>
                <w:sz w:val="18"/>
                <w:szCs w:val="18"/>
              </w:rPr>
            </w:pPr>
            <w:r w:rsidRPr="0058368C">
              <w:rPr>
                <w:rFonts w:ascii="Arial Narrow" w:hAnsi="Arial Narrow" w:cs="Arial"/>
                <w:b/>
                <w:sz w:val="18"/>
                <w:szCs w:val="18"/>
              </w:rPr>
              <w:lastRenderedPageBreak/>
              <w:t>MEDICINAL PRODUCT</w:t>
            </w:r>
          </w:p>
          <w:p w:rsidR="00B60472" w:rsidRPr="0058368C" w:rsidRDefault="00B60472" w:rsidP="004A6760">
            <w:pPr>
              <w:keepNext/>
              <w:ind w:left="-108"/>
              <w:rPr>
                <w:rFonts w:ascii="Arial Narrow" w:hAnsi="Arial Narrow" w:cs="Arial"/>
                <w:b/>
                <w:sz w:val="18"/>
                <w:szCs w:val="18"/>
              </w:rPr>
            </w:pPr>
            <w:r w:rsidRPr="0058368C">
              <w:rPr>
                <w:rFonts w:ascii="Arial Narrow" w:hAnsi="Arial Narrow" w:cs="Arial"/>
                <w:b/>
                <w:sz w:val="18"/>
                <w:szCs w:val="18"/>
              </w:rPr>
              <w:t>Medicinal Product Pack</w:t>
            </w:r>
          </w:p>
        </w:tc>
        <w:tc>
          <w:tcPr>
            <w:tcW w:w="720" w:type="pct"/>
          </w:tcPr>
          <w:p w:rsidR="00B60472" w:rsidRPr="0058368C" w:rsidRDefault="00B60472" w:rsidP="004A6760">
            <w:pPr>
              <w:keepNext/>
              <w:ind w:left="-108"/>
              <w:jc w:val="center"/>
              <w:rPr>
                <w:rFonts w:ascii="Arial Narrow" w:hAnsi="Arial Narrow" w:cs="Arial"/>
                <w:b/>
                <w:sz w:val="18"/>
                <w:szCs w:val="18"/>
              </w:rPr>
            </w:pPr>
            <w:r w:rsidRPr="0058368C">
              <w:rPr>
                <w:rFonts w:ascii="Arial Narrow" w:hAnsi="Arial Narrow" w:cs="Arial"/>
                <w:b/>
                <w:sz w:val="18"/>
                <w:szCs w:val="18"/>
              </w:rPr>
              <w:t>PBS item code</w:t>
            </w:r>
          </w:p>
        </w:tc>
        <w:tc>
          <w:tcPr>
            <w:tcW w:w="482" w:type="pct"/>
          </w:tcPr>
          <w:p w:rsidR="00B60472" w:rsidRPr="0058368C" w:rsidRDefault="00B60472" w:rsidP="004A6760">
            <w:pPr>
              <w:keepNext/>
              <w:ind w:left="-108"/>
              <w:jc w:val="center"/>
              <w:rPr>
                <w:rFonts w:ascii="Arial Narrow" w:hAnsi="Arial Narrow" w:cs="Arial"/>
                <w:b/>
                <w:sz w:val="18"/>
                <w:szCs w:val="18"/>
              </w:rPr>
            </w:pPr>
            <w:r w:rsidRPr="0058368C">
              <w:rPr>
                <w:rFonts w:ascii="Arial Narrow" w:hAnsi="Arial Narrow" w:cs="Arial"/>
                <w:b/>
                <w:sz w:val="18"/>
                <w:szCs w:val="18"/>
              </w:rPr>
              <w:t>Max. qty packs</w:t>
            </w:r>
          </w:p>
        </w:tc>
        <w:tc>
          <w:tcPr>
            <w:tcW w:w="481" w:type="pct"/>
          </w:tcPr>
          <w:p w:rsidR="00B60472" w:rsidRPr="0058368C" w:rsidRDefault="00B60472" w:rsidP="004A6760">
            <w:pPr>
              <w:keepNext/>
              <w:ind w:left="-108"/>
              <w:jc w:val="center"/>
              <w:rPr>
                <w:rFonts w:ascii="Arial Narrow" w:hAnsi="Arial Narrow" w:cs="Arial"/>
                <w:b/>
                <w:sz w:val="18"/>
                <w:szCs w:val="18"/>
              </w:rPr>
            </w:pPr>
            <w:r w:rsidRPr="0058368C">
              <w:rPr>
                <w:rFonts w:ascii="Arial Narrow" w:hAnsi="Arial Narrow" w:cs="Arial"/>
                <w:b/>
                <w:sz w:val="18"/>
                <w:szCs w:val="18"/>
              </w:rPr>
              <w:t>Max. qty units</w:t>
            </w:r>
          </w:p>
        </w:tc>
        <w:tc>
          <w:tcPr>
            <w:tcW w:w="401" w:type="pct"/>
          </w:tcPr>
          <w:p w:rsidR="00B60472" w:rsidRPr="0058368C" w:rsidRDefault="00B60472" w:rsidP="004A6760">
            <w:pPr>
              <w:keepNext/>
              <w:ind w:left="-108"/>
              <w:jc w:val="center"/>
              <w:rPr>
                <w:rFonts w:ascii="Arial Narrow" w:hAnsi="Arial Narrow" w:cs="Arial"/>
                <w:b/>
                <w:sz w:val="18"/>
                <w:szCs w:val="18"/>
              </w:rPr>
            </w:pPr>
            <w:r w:rsidRPr="0058368C">
              <w:rPr>
                <w:rFonts w:ascii="Arial Narrow" w:hAnsi="Arial Narrow" w:cs="Arial"/>
                <w:b/>
                <w:sz w:val="18"/>
                <w:szCs w:val="18"/>
              </w:rPr>
              <w:t>№.of</w:t>
            </w:r>
          </w:p>
          <w:p w:rsidR="00B60472" w:rsidRPr="0058368C" w:rsidRDefault="00B60472" w:rsidP="004A6760">
            <w:pPr>
              <w:keepNext/>
              <w:ind w:left="-108"/>
              <w:jc w:val="center"/>
              <w:rPr>
                <w:rFonts w:ascii="Arial Narrow" w:hAnsi="Arial Narrow" w:cs="Arial"/>
                <w:b/>
                <w:sz w:val="18"/>
                <w:szCs w:val="18"/>
              </w:rPr>
            </w:pPr>
            <w:r w:rsidRPr="0058368C">
              <w:rPr>
                <w:rFonts w:ascii="Arial Narrow" w:hAnsi="Arial Narrow" w:cs="Arial"/>
                <w:b/>
                <w:sz w:val="18"/>
                <w:szCs w:val="18"/>
              </w:rPr>
              <w:t>Rpts</w:t>
            </w:r>
          </w:p>
        </w:tc>
        <w:tc>
          <w:tcPr>
            <w:tcW w:w="1330" w:type="pct"/>
          </w:tcPr>
          <w:p w:rsidR="00B60472" w:rsidRPr="0058368C" w:rsidRDefault="00B60472" w:rsidP="004A6760">
            <w:pPr>
              <w:keepNext/>
              <w:jc w:val="left"/>
              <w:rPr>
                <w:rFonts w:ascii="Arial Narrow" w:hAnsi="Arial Narrow" w:cs="Arial"/>
                <w:b/>
                <w:sz w:val="18"/>
                <w:szCs w:val="18"/>
              </w:rPr>
            </w:pPr>
            <w:r w:rsidRPr="0058368C">
              <w:rPr>
                <w:rFonts w:ascii="Arial Narrow" w:hAnsi="Arial Narrow" w:cs="Arial"/>
                <w:b/>
                <w:sz w:val="18"/>
                <w:szCs w:val="18"/>
              </w:rPr>
              <w:t>Available brands</w:t>
            </w:r>
          </w:p>
        </w:tc>
      </w:tr>
      <w:tr w:rsidR="00B60472" w:rsidRPr="0058368C" w:rsidTr="009B7E8B">
        <w:trPr>
          <w:cantSplit/>
          <w:trHeight w:val="761"/>
        </w:trPr>
        <w:tc>
          <w:tcPr>
            <w:tcW w:w="1586" w:type="pct"/>
            <w:gridSpan w:val="2"/>
          </w:tcPr>
          <w:p w:rsidR="00F32B1D" w:rsidRPr="0058368C" w:rsidRDefault="00B60472" w:rsidP="004A6760">
            <w:pPr>
              <w:keepNext/>
              <w:ind w:left="-108"/>
              <w:rPr>
                <w:rFonts w:ascii="Arial Narrow" w:hAnsi="Arial Narrow" w:cs="Arial"/>
                <w:sz w:val="18"/>
                <w:szCs w:val="18"/>
              </w:rPr>
            </w:pPr>
            <w:r w:rsidRPr="0058368C">
              <w:rPr>
                <w:rFonts w:ascii="Arial Narrow" w:hAnsi="Arial Narrow" w:cs="Arial"/>
                <w:sz w:val="18"/>
                <w:szCs w:val="18"/>
              </w:rPr>
              <w:t xml:space="preserve">HYPROMELLOSE </w:t>
            </w:r>
          </w:p>
          <w:p w:rsidR="00B60472" w:rsidRPr="0058368C" w:rsidRDefault="00B60472" w:rsidP="004A6760">
            <w:pPr>
              <w:keepNext/>
              <w:ind w:left="-108"/>
              <w:rPr>
                <w:rFonts w:ascii="Arial Narrow" w:hAnsi="Arial Narrow" w:cs="Arial"/>
                <w:sz w:val="18"/>
                <w:szCs w:val="18"/>
              </w:rPr>
            </w:pPr>
            <w:r w:rsidRPr="0058368C">
              <w:rPr>
                <w:rFonts w:ascii="Arial Narrow" w:hAnsi="Arial Narrow" w:cs="Arial"/>
                <w:sz w:val="18"/>
                <w:szCs w:val="18"/>
              </w:rPr>
              <w:t>hypromellose 0.3% w/w eye drops, 10 mL</w:t>
            </w:r>
          </w:p>
        </w:tc>
        <w:tc>
          <w:tcPr>
            <w:tcW w:w="720" w:type="pct"/>
          </w:tcPr>
          <w:p w:rsidR="00B60472" w:rsidRPr="0058368C" w:rsidRDefault="00B60472" w:rsidP="004A6760">
            <w:pPr>
              <w:keepNext/>
              <w:jc w:val="center"/>
              <w:rPr>
                <w:rFonts w:ascii="Arial Narrow" w:hAnsi="Arial Narrow" w:cs="Arial"/>
                <w:i/>
                <w:sz w:val="18"/>
                <w:szCs w:val="18"/>
              </w:rPr>
            </w:pPr>
          </w:p>
          <w:p w:rsidR="00B60472" w:rsidRPr="0058368C" w:rsidRDefault="00B60472" w:rsidP="004A6760">
            <w:pPr>
              <w:keepNext/>
              <w:ind w:left="-108"/>
              <w:jc w:val="center"/>
              <w:rPr>
                <w:rFonts w:ascii="Arial Narrow" w:hAnsi="Arial Narrow" w:cs="Arial"/>
                <w:sz w:val="18"/>
                <w:szCs w:val="18"/>
              </w:rPr>
            </w:pPr>
            <w:r w:rsidRPr="0058368C">
              <w:rPr>
                <w:rFonts w:ascii="Arial Narrow" w:hAnsi="Arial Narrow" w:cs="Arial"/>
                <w:sz w:val="18"/>
                <w:szCs w:val="18"/>
              </w:rPr>
              <w:t>11625W</w:t>
            </w:r>
          </w:p>
          <w:p w:rsidR="00B60472" w:rsidRPr="0058368C" w:rsidRDefault="00B60472" w:rsidP="004A6760">
            <w:pPr>
              <w:keepNext/>
              <w:ind w:left="-108"/>
              <w:jc w:val="center"/>
              <w:rPr>
                <w:rFonts w:ascii="Arial Narrow" w:hAnsi="Arial Narrow" w:cs="Arial"/>
                <w:sz w:val="18"/>
                <w:szCs w:val="18"/>
              </w:rPr>
            </w:pPr>
            <w:r w:rsidRPr="0058368C">
              <w:rPr>
                <w:rFonts w:ascii="Arial Narrow" w:hAnsi="Arial Narrow" w:cs="Arial"/>
                <w:sz w:val="18"/>
                <w:szCs w:val="18"/>
              </w:rPr>
              <w:t>11634H</w:t>
            </w:r>
          </w:p>
        </w:tc>
        <w:tc>
          <w:tcPr>
            <w:tcW w:w="482" w:type="pct"/>
          </w:tcPr>
          <w:p w:rsidR="00B60472" w:rsidRPr="0058368C" w:rsidRDefault="00B60472" w:rsidP="004A6760">
            <w:pPr>
              <w:keepNext/>
              <w:rPr>
                <w:rFonts w:ascii="Arial Narrow" w:hAnsi="Arial Narrow" w:cs="Arial"/>
                <w:sz w:val="18"/>
                <w:szCs w:val="18"/>
              </w:rPr>
            </w:pPr>
          </w:p>
          <w:p w:rsidR="00B60472" w:rsidRPr="0058368C" w:rsidRDefault="00B60472" w:rsidP="004A6760">
            <w:pPr>
              <w:keepNext/>
              <w:jc w:val="center"/>
              <w:rPr>
                <w:rFonts w:ascii="Arial Narrow" w:hAnsi="Arial Narrow" w:cs="Arial"/>
                <w:sz w:val="18"/>
                <w:szCs w:val="18"/>
              </w:rPr>
            </w:pPr>
            <w:r w:rsidRPr="0058368C">
              <w:rPr>
                <w:rFonts w:ascii="Arial Narrow" w:hAnsi="Arial Narrow" w:cs="Arial"/>
                <w:sz w:val="18"/>
                <w:szCs w:val="18"/>
              </w:rPr>
              <w:t>1</w:t>
            </w:r>
          </w:p>
        </w:tc>
        <w:tc>
          <w:tcPr>
            <w:tcW w:w="481" w:type="pct"/>
          </w:tcPr>
          <w:p w:rsidR="00B60472" w:rsidRPr="0058368C" w:rsidRDefault="00B60472" w:rsidP="004A6760">
            <w:pPr>
              <w:keepNext/>
              <w:ind w:left="-108"/>
              <w:rPr>
                <w:rFonts w:ascii="Arial Narrow" w:hAnsi="Arial Narrow" w:cs="Arial"/>
                <w:sz w:val="18"/>
                <w:szCs w:val="18"/>
              </w:rPr>
            </w:pPr>
          </w:p>
          <w:p w:rsidR="00B60472" w:rsidRPr="0058368C" w:rsidRDefault="00B60472" w:rsidP="004A6760">
            <w:pPr>
              <w:keepNext/>
              <w:jc w:val="center"/>
              <w:rPr>
                <w:rFonts w:ascii="Arial Narrow" w:hAnsi="Arial Narrow" w:cs="Arial"/>
                <w:sz w:val="18"/>
                <w:szCs w:val="18"/>
              </w:rPr>
            </w:pPr>
            <w:r w:rsidRPr="0058368C">
              <w:rPr>
                <w:rFonts w:ascii="Arial Narrow" w:hAnsi="Arial Narrow" w:cs="Arial"/>
                <w:sz w:val="18"/>
                <w:szCs w:val="18"/>
              </w:rPr>
              <w:t>1</w:t>
            </w:r>
          </w:p>
        </w:tc>
        <w:tc>
          <w:tcPr>
            <w:tcW w:w="401" w:type="pct"/>
          </w:tcPr>
          <w:p w:rsidR="00B60472" w:rsidRPr="0058368C" w:rsidRDefault="00B60472" w:rsidP="004A6760">
            <w:pPr>
              <w:keepNext/>
              <w:ind w:left="-108"/>
              <w:rPr>
                <w:rFonts w:ascii="Arial Narrow" w:hAnsi="Arial Narrow" w:cs="Arial"/>
                <w:sz w:val="18"/>
                <w:szCs w:val="18"/>
              </w:rPr>
            </w:pPr>
          </w:p>
          <w:p w:rsidR="00B60472" w:rsidRPr="0058368C" w:rsidRDefault="00B60472" w:rsidP="004A6760">
            <w:pPr>
              <w:keepNext/>
              <w:jc w:val="center"/>
              <w:rPr>
                <w:rFonts w:ascii="Arial Narrow" w:hAnsi="Arial Narrow" w:cs="Arial"/>
                <w:sz w:val="18"/>
                <w:szCs w:val="18"/>
              </w:rPr>
            </w:pPr>
            <w:r w:rsidRPr="0058368C">
              <w:rPr>
                <w:rFonts w:ascii="Arial Narrow" w:hAnsi="Arial Narrow" w:cs="Arial"/>
                <w:sz w:val="18"/>
                <w:szCs w:val="18"/>
              </w:rPr>
              <w:t>5</w:t>
            </w:r>
          </w:p>
        </w:tc>
        <w:tc>
          <w:tcPr>
            <w:tcW w:w="1330" w:type="pct"/>
          </w:tcPr>
          <w:p w:rsidR="003306FC" w:rsidRPr="0058368C" w:rsidRDefault="003306FC" w:rsidP="004A6760">
            <w:pPr>
              <w:keepNext/>
              <w:rPr>
                <w:rFonts w:ascii="Arial Narrow" w:hAnsi="Arial Narrow" w:cs="Arial"/>
                <w:sz w:val="18"/>
                <w:szCs w:val="18"/>
              </w:rPr>
            </w:pPr>
          </w:p>
          <w:p w:rsidR="003306FC" w:rsidRPr="0058368C" w:rsidRDefault="003306FC" w:rsidP="004A6760">
            <w:pPr>
              <w:keepNext/>
              <w:rPr>
                <w:rFonts w:ascii="Arial Narrow" w:hAnsi="Arial Narrow" w:cs="Arial"/>
                <w:sz w:val="18"/>
                <w:szCs w:val="18"/>
              </w:rPr>
            </w:pPr>
            <w:r w:rsidRPr="0058368C">
              <w:rPr>
                <w:rFonts w:ascii="Arial Narrow" w:hAnsi="Arial Narrow" w:cs="Arial"/>
                <w:sz w:val="18"/>
                <w:szCs w:val="18"/>
              </w:rPr>
              <w:t>Revive Tears</w:t>
            </w:r>
          </w:p>
        </w:tc>
      </w:tr>
      <w:tr w:rsidR="00B60472" w:rsidRPr="0058368C" w:rsidTr="00F32B1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B60472" w:rsidRPr="0058368C" w:rsidRDefault="00B60472" w:rsidP="004A6760">
            <w:pPr>
              <w:rPr>
                <w:rFonts w:ascii="Arial Narrow" w:hAnsi="Arial Narrow" w:cs="Arial"/>
                <w:b/>
                <w:sz w:val="18"/>
                <w:szCs w:val="18"/>
              </w:rPr>
            </w:pPr>
          </w:p>
        </w:tc>
      </w:tr>
      <w:tr w:rsidR="00B60472" w:rsidRPr="0058368C" w:rsidTr="00F32B1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B60472" w:rsidRPr="0058368C" w:rsidRDefault="00B60472" w:rsidP="004A6760">
            <w:pPr>
              <w:rPr>
                <w:rFonts w:ascii="Arial Narrow" w:hAnsi="Arial Narrow" w:cs="Arial"/>
                <w:b/>
                <w:sz w:val="18"/>
                <w:szCs w:val="18"/>
              </w:rPr>
            </w:pPr>
            <w:r w:rsidRPr="0058368C">
              <w:rPr>
                <w:rFonts w:ascii="Arial Narrow" w:hAnsi="Arial Narrow"/>
                <w:b/>
                <w:sz w:val="18"/>
                <w:szCs w:val="18"/>
              </w:rPr>
              <w:t xml:space="preserve">Restriction Summary [6073] / Treatment of Concept: [6073] </w:t>
            </w:r>
          </w:p>
        </w:tc>
      </w:tr>
      <w:tr w:rsidR="00B60472" w:rsidRPr="0058368C" w:rsidTr="009B7E8B">
        <w:tblPrEx>
          <w:tblCellMar>
            <w:top w:w="15" w:type="dxa"/>
            <w:left w:w="15" w:type="dxa"/>
            <w:bottom w:w="15" w:type="dxa"/>
            <w:right w:w="15" w:type="dxa"/>
          </w:tblCellMar>
          <w:tblLook w:val="04A0" w:firstRow="1" w:lastRow="0" w:firstColumn="1" w:lastColumn="0" w:noHBand="0" w:noVBand="1"/>
        </w:tblPrEx>
        <w:trPr>
          <w:trHeight w:val="268"/>
        </w:trPr>
        <w:tc>
          <w:tcPr>
            <w:tcW w:w="634" w:type="pct"/>
            <w:vMerge w:val="restart"/>
            <w:tcBorders>
              <w:top w:val="single" w:sz="4" w:space="0" w:color="auto"/>
              <w:left w:val="single" w:sz="4" w:space="0" w:color="auto"/>
              <w:right w:val="single" w:sz="4" w:space="0" w:color="auto"/>
            </w:tcBorders>
          </w:tcPr>
          <w:p w:rsidR="00B60472" w:rsidRPr="0058368C" w:rsidRDefault="00B60472" w:rsidP="004A6760">
            <w:pPr>
              <w:rPr>
                <w:rFonts w:ascii="Arial Narrow" w:hAnsi="Arial Narrow" w:cs="Arial"/>
                <w:sz w:val="18"/>
                <w:szCs w:val="18"/>
              </w:rPr>
            </w:pPr>
          </w:p>
        </w:tc>
        <w:tc>
          <w:tcPr>
            <w:tcW w:w="4366" w:type="pct"/>
            <w:gridSpan w:val="6"/>
            <w:tcBorders>
              <w:top w:val="single" w:sz="4" w:space="0" w:color="auto"/>
              <w:left w:val="single" w:sz="4" w:space="0" w:color="auto"/>
              <w:bottom w:val="single" w:sz="4" w:space="0" w:color="auto"/>
              <w:right w:val="single" w:sz="4" w:space="0" w:color="auto"/>
            </w:tcBorders>
          </w:tcPr>
          <w:p w:rsidR="00B60472" w:rsidRPr="0058368C" w:rsidRDefault="00B60472" w:rsidP="004A6760">
            <w:pPr>
              <w:rPr>
                <w:rFonts w:ascii="Arial Narrow" w:hAnsi="Arial Narrow" w:cs="Arial"/>
                <w:sz w:val="18"/>
                <w:szCs w:val="18"/>
              </w:rPr>
            </w:pPr>
            <w:r w:rsidRPr="0058368C">
              <w:rPr>
                <w:rFonts w:ascii="Arial Narrow" w:hAnsi="Arial Narrow" w:cs="Arial"/>
                <w:b/>
                <w:sz w:val="18"/>
                <w:szCs w:val="18"/>
              </w:rPr>
              <w:t xml:space="preserve">Category / Program:   </w:t>
            </w:r>
            <w:r w:rsidRPr="0058368C">
              <w:rPr>
                <w:rFonts w:ascii="Arial Narrow" w:hAnsi="Arial Narrow" w:cs="Arial"/>
                <w:sz w:val="18"/>
                <w:szCs w:val="18"/>
              </w:rPr>
              <w:t>GENERAL – General Schedule (Code GE)</w:t>
            </w:r>
          </w:p>
        </w:tc>
      </w:tr>
      <w:tr w:rsidR="00B60472" w:rsidRPr="0058368C" w:rsidTr="009B7E8B">
        <w:tblPrEx>
          <w:tblCellMar>
            <w:top w:w="15" w:type="dxa"/>
            <w:left w:w="15" w:type="dxa"/>
            <w:bottom w:w="15" w:type="dxa"/>
            <w:right w:w="15" w:type="dxa"/>
          </w:tblCellMar>
          <w:tblLook w:val="04A0" w:firstRow="1" w:lastRow="0" w:firstColumn="1" w:lastColumn="0" w:noHBand="0" w:noVBand="1"/>
        </w:tblPrEx>
        <w:trPr>
          <w:trHeight w:val="240"/>
        </w:trPr>
        <w:tc>
          <w:tcPr>
            <w:tcW w:w="634" w:type="pct"/>
            <w:vMerge/>
            <w:tcBorders>
              <w:left w:val="single" w:sz="4" w:space="0" w:color="auto"/>
              <w:right w:val="single" w:sz="4" w:space="0" w:color="auto"/>
            </w:tcBorders>
          </w:tcPr>
          <w:p w:rsidR="00B60472" w:rsidRPr="0058368C" w:rsidRDefault="00B60472" w:rsidP="004A6760">
            <w:pPr>
              <w:rPr>
                <w:rFonts w:ascii="Arial Narrow" w:hAnsi="Arial Narrow" w:cs="Arial"/>
                <w:b/>
                <w:sz w:val="18"/>
                <w:szCs w:val="18"/>
              </w:rPr>
            </w:pPr>
          </w:p>
        </w:tc>
        <w:tc>
          <w:tcPr>
            <w:tcW w:w="4366" w:type="pct"/>
            <w:gridSpan w:val="6"/>
            <w:tcBorders>
              <w:top w:val="single" w:sz="4" w:space="0" w:color="auto"/>
              <w:left w:val="single" w:sz="4" w:space="0" w:color="auto"/>
              <w:bottom w:val="single" w:sz="4" w:space="0" w:color="auto"/>
              <w:right w:val="single" w:sz="4" w:space="0" w:color="auto"/>
            </w:tcBorders>
          </w:tcPr>
          <w:p w:rsidR="00B60472" w:rsidRPr="0058368C" w:rsidRDefault="00B60472" w:rsidP="004A6760">
            <w:pPr>
              <w:rPr>
                <w:rFonts w:ascii="Arial Narrow" w:hAnsi="Arial Narrow" w:cs="Arial"/>
                <w:b/>
                <w:sz w:val="18"/>
                <w:szCs w:val="18"/>
              </w:rPr>
            </w:pPr>
            <w:r w:rsidRPr="0058368C">
              <w:rPr>
                <w:rFonts w:ascii="Arial Narrow" w:hAnsi="Arial Narrow" w:cs="Arial"/>
                <w:b/>
                <w:sz w:val="18"/>
                <w:szCs w:val="18"/>
              </w:rPr>
              <w:t xml:space="preserve">Prescriber type:   </w:t>
            </w:r>
            <w:r w:rsidRPr="0058368C">
              <w:rPr>
                <w:rFonts w:ascii="Arial Narrow" w:hAnsi="Arial Narrow" w:cs="Arial"/>
                <w:sz w:val="18"/>
                <w:szCs w:val="18"/>
              </w:rPr>
              <w:fldChar w:fldCharType="begin">
                <w:ffData>
                  <w:name w:val="Check1"/>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 xml:space="preserve">Dental    </w:t>
            </w:r>
            <w:r w:rsidRPr="0058368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 xml:space="preserve">Medical Practitioners    </w:t>
            </w:r>
            <w:r w:rsidRPr="0058368C">
              <w:rPr>
                <w:rFonts w:ascii="Arial Narrow" w:hAnsi="Arial Narrow" w:cs="Arial"/>
                <w:sz w:val="18"/>
                <w:szCs w:val="18"/>
              </w:rPr>
              <w:fldChar w:fldCharType="begin">
                <w:ffData>
                  <w:name w:val="Check3"/>
                  <w:enabled/>
                  <w:calcOnExit w:val="0"/>
                  <w:checkBox>
                    <w:sizeAuto/>
                    <w:default w:val="1"/>
                  </w:checkBox>
                </w:ffData>
              </w:fldChar>
            </w:r>
            <w:bookmarkStart w:id="2" w:name="Check3"/>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bookmarkEnd w:id="2"/>
            <w:r w:rsidRPr="0058368C">
              <w:rPr>
                <w:rFonts w:ascii="Arial Narrow" w:hAnsi="Arial Narrow" w:cs="Arial"/>
                <w:sz w:val="18"/>
                <w:szCs w:val="18"/>
              </w:rPr>
              <w:t xml:space="preserve">Nurse practitioners     </w:t>
            </w:r>
            <w:r w:rsidRPr="0058368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 xml:space="preserve">Optometrists    </w:t>
            </w:r>
            <w:r w:rsidRPr="0058368C">
              <w:rPr>
                <w:rFonts w:ascii="Arial Narrow" w:hAnsi="Arial Narrow" w:cs="Arial"/>
                <w:sz w:val="18"/>
                <w:szCs w:val="18"/>
              </w:rPr>
              <w:fldChar w:fldCharType="begin">
                <w:ffData>
                  <w:name w:val="Check5"/>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Midwives</w:t>
            </w:r>
          </w:p>
        </w:tc>
      </w:tr>
      <w:tr w:rsidR="00B60472" w:rsidRPr="0058368C" w:rsidTr="009B7E8B">
        <w:tblPrEx>
          <w:tblCellMar>
            <w:top w:w="15" w:type="dxa"/>
            <w:left w:w="15" w:type="dxa"/>
            <w:bottom w:w="15" w:type="dxa"/>
            <w:right w:w="15" w:type="dxa"/>
          </w:tblCellMar>
          <w:tblLook w:val="04A0" w:firstRow="1" w:lastRow="0" w:firstColumn="1" w:lastColumn="0" w:noHBand="0" w:noVBand="1"/>
        </w:tblPrEx>
        <w:tc>
          <w:tcPr>
            <w:tcW w:w="634" w:type="pct"/>
            <w:vMerge/>
            <w:tcBorders>
              <w:left w:val="single" w:sz="4" w:space="0" w:color="auto"/>
              <w:bottom w:val="single" w:sz="4" w:space="0" w:color="auto"/>
              <w:right w:val="single" w:sz="4" w:space="0" w:color="auto"/>
            </w:tcBorders>
          </w:tcPr>
          <w:p w:rsidR="00B60472" w:rsidRPr="0058368C" w:rsidRDefault="00B60472" w:rsidP="004A6760">
            <w:pPr>
              <w:rPr>
                <w:rFonts w:ascii="Arial Narrow" w:hAnsi="Arial Narrow" w:cs="Arial"/>
                <w:sz w:val="18"/>
                <w:szCs w:val="18"/>
              </w:rPr>
            </w:pPr>
          </w:p>
        </w:tc>
        <w:tc>
          <w:tcPr>
            <w:tcW w:w="4366" w:type="pct"/>
            <w:gridSpan w:val="6"/>
            <w:tcBorders>
              <w:top w:val="single" w:sz="4" w:space="0" w:color="auto"/>
              <w:left w:val="single" w:sz="4" w:space="0" w:color="auto"/>
              <w:bottom w:val="single" w:sz="4" w:space="0" w:color="auto"/>
              <w:right w:val="single" w:sz="4" w:space="0" w:color="auto"/>
            </w:tcBorders>
          </w:tcPr>
          <w:p w:rsidR="00B60472" w:rsidRPr="0058368C" w:rsidRDefault="00B60472" w:rsidP="004A6760">
            <w:pPr>
              <w:rPr>
                <w:rFonts w:ascii="Arial Narrow" w:hAnsi="Arial Narrow" w:cs="Arial"/>
                <w:sz w:val="18"/>
                <w:szCs w:val="18"/>
              </w:rPr>
            </w:pPr>
            <w:r w:rsidRPr="0058368C">
              <w:rPr>
                <w:rFonts w:ascii="Arial Narrow" w:hAnsi="Arial Narrow" w:cs="Arial"/>
                <w:b/>
                <w:sz w:val="18"/>
                <w:szCs w:val="18"/>
              </w:rPr>
              <w:t>Restriction Level / Method:</w:t>
            </w:r>
            <w:r w:rsidRPr="0058368C">
              <w:rPr>
                <w:rFonts w:ascii="Arial Narrow" w:hAnsi="Arial Narrow" w:cs="Arial"/>
                <w:sz w:val="18"/>
                <w:szCs w:val="18"/>
              </w:rPr>
              <w:t xml:space="preserve"> </w:t>
            </w:r>
          </w:p>
          <w:p w:rsidR="00B60472" w:rsidRPr="0058368C" w:rsidRDefault="00B60472" w:rsidP="004A6760">
            <w:pPr>
              <w:rPr>
                <w:rFonts w:ascii="Arial Narrow" w:hAnsi="Arial Narrow" w:cs="Arial"/>
                <w:b/>
                <w:sz w:val="18"/>
                <w:szCs w:val="18"/>
              </w:rPr>
            </w:pPr>
            <w:r w:rsidRPr="0058368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Restricted benefit</w:t>
            </w:r>
          </w:p>
        </w:tc>
      </w:tr>
      <w:tr w:rsidR="00B60472" w:rsidRPr="0058368C" w:rsidTr="009B7E8B">
        <w:tblPrEx>
          <w:tblCellMar>
            <w:top w:w="15" w:type="dxa"/>
            <w:left w:w="15" w:type="dxa"/>
            <w:bottom w:w="15" w:type="dxa"/>
            <w:right w:w="15" w:type="dxa"/>
          </w:tblCellMar>
          <w:tblLook w:val="04A0" w:firstRow="1" w:lastRow="0" w:firstColumn="1" w:lastColumn="0" w:noHBand="0" w:noVBand="1"/>
        </w:tblPrEx>
        <w:tc>
          <w:tcPr>
            <w:tcW w:w="634" w:type="pct"/>
            <w:vAlign w:val="center"/>
          </w:tcPr>
          <w:p w:rsidR="00B60472" w:rsidRPr="0058368C" w:rsidRDefault="00B60472" w:rsidP="004A6760">
            <w:pPr>
              <w:jc w:val="center"/>
              <w:rPr>
                <w:rFonts w:ascii="Arial Narrow" w:hAnsi="Arial Narrow"/>
                <w:color w:val="333333"/>
                <w:sz w:val="18"/>
                <w:szCs w:val="18"/>
              </w:rPr>
            </w:pPr>
          </w:p>
        </w:tc>
        <w:tc>
          <w:tcPr>
            <w:tcW w:w="4366" w:type="pct"/>
            <w:gridSpan w:val="6"/>
            <w:vAlign w:val="center"/>
          </w:tcPr>
          <w:p w:rsidR="00B60472" w:rsidRPr="0058368C" w:rsidRDefault="00B60472" w:rsidP="004A6760">
            <w:pPr>
              <w:rPr>
                <w:rFonts w:ascii="Arial Narrow" w:hAnsi="Arial Narrow"/>
                <w:color w:val="333333"/>
                <w:sz w:val="18"/>
                <w:szCs w:val="18"/>
              </w:rPr>
            </w:pPr>
            <w:r w:rsidRPr="0058368C">
              <w:rPr>
                <w:rFonts w:ascii="Arial Narrow" w:hAnsi="Arial Narrow"/>
                <w:b/>
                <w:bCs/>
                <w:sz w:val="18"/>
                <w:szCs w:val="18"/>
              </w:rPr>
              <w:t>Indication:</w:t>
            </w:r>
            <w:r w:rsidRPr="0058368C">
              <w:rPr>
                <w:rFonts w:ascii="Arial Narrow" w:hAnsi="Arial Narrow"/>
                <w:sz w:val="18"/>
                <w:szCs w:val="18"/>
              </w:rPr>
              <w:t xml:space="preserve"> Severe dry eye syndrome, including Sjogren's syndrome</w:t>
            </w:r>
          </w:p>
        </w:tc>
      </w:tr>
    </w:tbl>
    <w:p w:rsidR="00B13700" w:rsidRPr="0058368C" w:rsidRDefault="00B13700" w:rsidP="004A6760">
      <w:pPr>
        <w:spacing w:after="120"/>
        <w:rPr>
          <w:rFonts w:asciiTheme="minorHAnsi" w:hAnsiTheme="minorHAnsi" w:cstheme="minorHAnsi"/>
          <w:i/>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725"/>
        <w:gridCol w:w="1287"/>
        <w:gridCol w:w="860"/>
        <w:gridCol w:w="857"/>
        <w:gridCol w:w="716"/>
        <w:gridCol w:w="2353"/>
      </w:tblGrid>
      <w:tr w:rsidR="00B22B97" w:rsidRPr="0058368C" w:rsidTr="00F32B1D">
        <w:trPr>
          <w:cantSplit/>
          <w:trHeight w:val="471"/>
        </w:trPr>
        <w:tc>
          <w:tcPr>
            <w:tcW w:w="1598" w:type="pct"/>
            <w:gridSpan w:val="2"/>
          </w:tcPr>
          <w:p w:rsidR="00B60472" w:rsidRPr="0058368C" w:rsidRDefault="00B60472" w:rsidP="004A6760">
            <w:pPr>
              <w:keepNext/>
              <w:ind w:left="-108"/>
              <w:rPr>
                <w:rFonts w:ascii="Arial Narrow" w:hAnsi="Arial Narrow" w:cs="Arial"/>
                <w:b/>
                <w:sz w:val="18"/>
                <w:szCs w:val="18"/>
              </w:rPr>
            </w:pPr>
            <w:r w:rsidRPr="0058368C">
              <w:rPr>
                <w:rFonts w:ascii="Arial Narrow" w:hAnsi="Arial Narrow" w:cs="Arial"/>
                <w:b/>
                <w:sz w:val="18"/>
                <w:szCs w:val="18"/>
              </w:rPr>
              <w:t>MEDICINAL PRODUCT</w:t>
            </w:r>
          </w:p>
          <w:p w:rsidR="00B22B97" w:rsidRPr="0058368C" w:rsidRDefault="00B60472" w:rsidP="004A6760">
            <w:pPr>
              <w:keepNext/>
              <w:ind w:left="-108"/>
              <w:rPr>
                <w:rFonts w:ascii="Arial Narrow" w:hAnsi="Arial Narrow" w:cs="Arial"/>
                <w:b/>
                <w:sz w:val="18"/>
                <w:szCs w:val="18"/>
              </w:rPr>
            </w:pPr>
            <w:r w:rsidRPr="0058368C">
              <w:rPr>
                <w:rFonts w:ascii="Arial Narrow" w:hAnsi="Arial Narrow" w:cs="Arial"/>
                <w:b/>
                <w:sz w:val="18"/>
                <w:szCs w:val="18"/>
              </w:rPr>
              <w:t>Medicinal Product Pack</w:t>
            </w:r>
          </w:p>
        </w:tc>
        <w:tc>
          <w:tcPr>
            <w:tcW w:w="721" w:type="pct"/>
          </w:tcPr>
          <w:p w:rsidR="00B22B97" w:rsidRPr="0058368C" w:rsidRDefault="00B22B97" w:rsidP="004A6760">
            <w:pPr>
              <w:keepNext/>
              <w:ind w:left="-108"/>
              <w:jc w:val="center"/>
              <w:rPr>
                <w:rFonts w:ascii="Arial Narrow" w:hAnsi="Arial Narrow" w:cs="Arial"/>
                <w:b/>
                <w:sz w:val="18"/>
                <w:szCs w:val="18"/>
              </w:rPr>
            </w:pPr>
            <w:r w:rsidRPr="0058368C">
              <w:rPr>
                <w:rFonts w:ascii="Arial Narrow" w:hAnsi="Arial Narrow" w:cs="Arial"/>
                <w:b/>
                <w:sz w:val="18"/>
                <w:szCs w:val="18"/>
              </w:rPr>
              <w:t>PBS item code</w:t>
            </w:r>
          </w:p>
        </w:tc>
        <w:tc>
          <w:tcPr>
            <w:tcW w:w="482" w:type="pct"/>
          </w:tcPr>
          <w:p w:rsidR="00B22B97" w:rsidRPr="0058368C" w:rsidRDefault="00B22B97" w:rsidP="004A6760">
            <w:pPr>
              <w:keepNext/>
              <w:ind w:left="-108"/>
              <w:jc w:val="center"/>
              <w:rPr>
                <w:rFonts w:ascii="Arial Narrow" w:hAnsi="Arial Narrow" w:cs="Arial"/>
                <w:b/>
                <w:sz w:val="18"/>
                <w:szCs w:val="18"/>
              </w:rPr>
            </w:pPr>
            <w:r w:rsidRPr="0058368C">
              <w:rPr>
                <w:rFonts w:ascii="Arial Narrow" w:hAnsi="Arial Narrow" w:cs="Arial"/>
                <w:b/>
                <w:sz w:val="18"/>
                <w:szCs w:val="18"/>
              </w:rPr>
              <w:t>Max. qty packs</w:t>
            </w:r>
          </w:p>
        </w:tc>
        <w:tc>
          <w:tcPr>
            <w:tcW w:w="480" w:type="pct"/>
          </w:tcPr>
          <w:p w:rsidR="00B22B97" w:rsidRPr="0058368C" w:rsidRDefault="00B22B97" w:rsidP="004A6760">
            <w:pPr>
              <w:keepNext/>
              <w:ind w:left="-108"/>
              <w:jc w:val="center"/>
              <w:rPr>
                <w:rFonts w:ascii="Arial Narrow" w:hAnsi="Arial Narrow" w:cs="Arial"/>
                <w:b/>
                <w:sz w:val="18"/>
                <w:szCs w:val="18"/>
              </w:rPr>
            </w:pPr>
            <w:r w:rsidRPr="0058368C">
              <w:rPr>
                <w:rFonts w:ascii="Arial Narrow" w:hAnsi="Arial Narrow" w:cs="Arial"/>
                <w:b/>
                <w:sz w:val="18"/>
                <w:szCs w:val="18"/>
              </w:rPr>
              <w:t>Max. qty units</w:t>
            </w:r>
          </w:p>
        </w:tc>
        <w:tc>
          <w:tcPr>
            <w:tcW w:w="401" w:type="pct"/>
          </w:tcPr>
          <w:p w:rsidR="00B22B97" w:rsidRPr="0058368C" w:rsidRDefault="00B22B97" w:rsidP="004A6760">
            <w:pPr>
              <w:keepNext/>
              <w:ind w:left="-108"/>
              <w:jc w:val="center"/>
              <w:rPr>
                <w:rFonts w:ascii="Arial Narrow" w:hAnsi="Arial Narrow" w:cs="Arial"/>
                <w:b/>
                <w:sz w:val="18"/>
                <w:szCs w:val="18"/>
              </w:rPr>
            </w:pPr>
            <w:r w:rsidRPr="0058368C">
              <w:rPr>
                <w:rFonts w:ascii="Arial Narrow" w:hAnsi="Arial Narrow" w:cs="Arial"/>
                <w:b/>
                <w:sz w:val="18"/>
                <w:szCs w:val="18"/>
              </w:rPr>
              <w:t>№.of</w:t>
            </w:r>
          </w:p>
          <w:p w:rsidR="00B22B97" w:rsidRPr="0058368C" w:rsidRDefault="00B22B97" w:rsidP="004A6760">
            <w:pPr>
              <w:keepNext/>
              <w:ind w:left="-108"/>
              <w:jc w:val="center"/>
              <w:rPr>
                <w:rFonts w:ascii="Arial Narrow" w:hAnsi="Arial Narrow" w:cs="Arial"/>
                <w:b/>
                <w:sz w:val="18"/>
                <w:szCs w:val="18"/>
              </w:rPr>
            </w:pPr>
            <w:r w:rsidRPr="0058368C">
              <w:rPr>
                <w:rFonts w:ascii="Arial Narrow" w:hAnsi="Arial Narrow" w:cs="Arial"/>
                <w:b/>
                <w:sz w:val="18"/>
                <w:szCs w:val="18"/>
              </w:rPr>
              <w:t>Rpts</w:t>
            </w:r>
          </w:p>
        </w:tc>
        <w:tc>
          <w:tcPr>
            <w:tcW w:w="1318" w:type="pct"/>
          </w:tcPr>
          <w:p w:rsidR="00B22B97" w:rsidRPr="0058368C" w:rsidRDefault="00B22B97" w:rsidP="004A6760">
            <w:pPr>
              <w:keepNext/>
              <w:rPr>
                <w:rFonts w:ascii="Arial Narrow" w:hAnsi="Arial Narrow" w:cs="Arial"/>
                <w:b/>
                <w:sz w:val="18"/>
                <w:szCs w:val="18"/>
              </w:rPr>
            </w:pPr>
            <w:r w:rsidRPr="0058368C">
              <w:rPr>
                <w:rFonts w:ascii="Arial Narrow" w:hAnsi="Arial Narrow" w:cs="Arial"/>
                <w:b/>
                <w:sz w:val="18"/>
                <w:szCs w:val="18"/>
              </w:rPr>
              <w:t>Available brands</w:t>
            </w:r>
          </w:p>
        </w:tc>
      </w:tr>
      <w:tr w:rsidR="00B22B97" w:rsidRPr="0058368C" w:rsidTr="00F32B1D">
        <w:trPr>
          <w:cantSplit/>
          <w:trHeight w:val="690"/>
        </w:trPr>
        <w:tc>
          <w:tcPr>
            <w:tcW w:w="1598" w:type="pct"/>
            <w:gridSpan w:val="2"/>
          </w:tcPr>
          <w:p w:rsidR="00B22B97" w:rsidRPr="0058368C" w:rsidRDefault="00B22B97" w:rsidP="004A6760">
            <w:pPr>
              <w:keepNext/>
              <w:ind w:left="-108"/>
              <w:rPr>
                <w:rFonts w:ascii="Arial Narrow" w:hAnsi="Arial Narrow" w:cs="Arial"/>
                <w:sz w:val="18"/>
                <w:szCs w:val="18"/>
              </w:rPr>
            </w:pPr>
            <w:r w:rsidRPr="0058368C">
              <w:rPr>
                <w:rFonts w:ascii="Arial Narrow" w:hAnsi="Arial Narrow" w:cs="Arial"/>
                <w:sz w:val="18"/>
                <w:szCs w:val="18"/>
              </w:rPr>
              <w:t xml:space="preserve">HYPROMELLOSE </w:t>
            </w:r>
          </w:p>
          <w:p w:rsidR="00B22B97" w:rsidRPr="0058368C" w:rsidRDefault="00330CB8" w:rsidP="004A6760">
            <w:pPr>
              <w:keepNext/>
              <w:ind w:left="-108"/>
              <w:rPr>
                <w:rFonts w:ascii="Arial Narrow" w:hAnsi="Arial Narrow" w:cs="Arial"/>
                <w:sz w:val="18"/>
                <w:szCs w:val="18"/>
              </w:rPr>
            </w:pPr>
            <w:r w:rsidRPr="0058368C">
              <w:rPr>
                <w:rStyle w:val="form-strength"/>
                <w:rFonts w:ascii="Arial Narrow" w:hAnsi="Arial Narrow" w:cs="Arial"/>
                <w:color w:val="333333"/>
                <w:sz w:val="18"/>
                <w:szCs w:val="18"/>
              </w:rPr>
              <w:t>hypromellose 0.3% w/w eye drops, 10 mL</w:t>
            </w:r>
          </w:p>
        </w:tc>
        <w:tc>
          <w:tcPr>
            <w:tcW w:w="721" w:type="pct"/>
          </w:tcPr>
          <w:p w:rsidR="00F32B1D" w:rsidRPr="0058368C" w:rsidRDefault="00F32B1D" w:rsidP="004A6760">
            <w:pPr>
              <w:keepNext/>
              <w:jc w:val="center"/>
              <w:rPr>
                <w:rFonts w:ascii="Arial Narrow" w:hAnsi="Arial Narrow" w:cs="Arial"/>
                <w:sz w:val="18"/>
                <w:szCs w:val="18"/>
              </w:rPr>
            </w:pPr>
          </w:p>
          <w:p w:rsidR="00B22B97" w:rsidRPr="0058368C" w:rsidRDefault="00B22B97" w:rsidP="004A6760">
            <w:pPr>
              <w:keepNext/>
              <w:jc w:val="center"/>
              <w:rPr>
                <w:rFonts w:ascii="Arial Narrow" w:hAnsi="Arial Narrow" w:cs="Arial"/>
                <w:sz w:val="18"/>
                <w:szCs w:val="18"/>
              </w:rPr>
            </w:pPr>
            <w:r w:rsidRPr="0058368C">
              <w:rPr>
                <w:rFonts w:ascii="Arial Narrow" w:hAnsi="Arial Narrow" w:cs="Arial"/>
                <w:sz w:val="18"/>
                <w:szCs w:val="18"/>
              </w:rPr>
              <w:t>11643T</w:t>
            </w:r>
          </w:p>
        </w:tc>
        <w:tc>
          <w:tcPr>
            <w:tcW w:w="482" w:type="pct"/>
          </w:tcPr>
          <w:p w:rsidR="00B22B97" w:rsidRPr="0058368C" w:rsidRDefault="00B22B97" w:rsidP="004A6760">
            <w:pPr>
              <w:keepNext/>
              <w:rPr>
                <w:rFonts w:ascii="Arial Narrow" w:hAnsi="Arial Narrow" w:cs="Arial"/>
                <w:sz w:val="18"/>
                <w:szCs w:val="18"/>
              </w:rPr>
            </w:pPr>
          </w:p>
          <w:p w:rsidR="00B22B97" w:rsidRPr="0058368C" w:rsidRDefault="00B22B97" w:rsidP="004A6760">
            <w:pPr>
              <w:keepNext/>
              <w:jc w:val="center"/>
              <w:rPr>
                <w:rFonts w:ascii="Arial Narrow" w:hAnsi="Arial Narrow" w:cs="Arial"/>
                <w:sz w:val="18"/>
                <w:szCs w:val="18"/>
              </w:rPr>
            </w:pPr>
            <w:r w:rsidRPr="0058368C">
              <w:rPr>
                <w:rFonts w:ascii="Arial Narrow" w:hAnsi="Arial Narrow" w:cs="Arial"/>
                <w:sz w:val="18"/>
                <w:szCs w:val="18"/>
              </w:rPr>
              <w:t>1</w:t>
            </w:r>
          </w:p>
        </w:tc>
        <w:tc>
          <w:tcPr>
            <w:tcW w:w="480" w:type="pct"/>
          </w:tcPr>
          <w:p w:rsidR="00B22B97" w:rsidRPr="0058368C" w:rsidRDefault="00B22B97" w:rsidP="004A6760">
            <w:pPr>
              <w:keepNext/>
              <w:rPr>
                <w:rFonts w:ascii="Arial Narrow" w:hAnsi="Arial Narrow" w:cs="Arial"/>
                <w:sz w:val="18"/>
                <w:szCs w:val="18"/>
              </w:rPr>
            </w:pPr>
          </w:p>
          <w:p w:rsidR="00B22B97" w:rsidRPr="0058368C" w:rsidRDefault="00B22B97" w:rsidP="004A6760">
            <w:pPr>
              <w:keepNext/>
              <w:ind w:left="-108"/>
              <w:jc w:val="center"/>
              <w:rPr>
                <w:rFonts w:ascii="Arial Narrow" w:hAnsi="Arial Narrow" w:cs="Arial"/>
                <w:sz w:val="18"/>
                <w:szCs w:val="18"/>
              </w:rPr>
            </w:pPr>
            <w:r w:rsidRPr="0058368C">
              <w:rPr>
                <w:rFonts w:ascii="Arial Narrow" w:hAnsi="Arial Narrow" w:cs="Arial"/>
                <w:sz w:val="18"/>
                <w:szCs w:val="18"/>
              </w:rPr>
              <w:t>1</w:t>
            </w:r>
          </w:p>
        </w:tc>
        <w:tc>
          <w:tcPr>
            <w:tcW w:w="401" w:type="pct"/>
          </w:tcPr>
          <w:p w:rsidR="00B22B97" w:rsidRPr="0058368C" w:rsidRDefault="00B22B97" w:rsidP="004A6760">
            <w:pPr>
              <w:keepNext/>
              <w:rPr>
                <w:rFonts w:ascii="Arial Narrow" w:hAnsi="Arial Narrow" w:cs="Arial"/>
                <w:sz w:val="18"/>
                <w:szCs w:val="18"/>
              </w:rPr>
            </w:pPr>
          </w:p>
          <w:p w:rsidR="00B22B97" w:rsidRPr="0058368C" w:rsidRDefault="00B22B97" w:rsidP="004A6760">
            <w:pPr>
              <w:keepNext/>
              <w:ind w:left="-108"/>
              <w:jc w:val="center"/>
              <w:rPr>
                <w:rFonts w:ascii="Arial Narrow" w:hAnsi="Arial Narrow" w:cs="Arial"/>
                <w:sz w:val="18"/>
                <w:szCs w:val="18"/>
              </w:rPr>
            </w:pPr>
            <w:r w:rsidRPr="0058368C">
              <w:rPr>
                <w:rFonts w:ascii="Arial Narrow" w:hAnsi="Arial Narrow" w:cs="Arial"/>
                <w:sz w:val="18"/>
                <w:szCs w:val="18"/>
              </w:rPr>
              <w:t>11</w:t>
            </w:r>
          </w:p>
        </w:tc>
        <w:tc>
          <w:tcPr>
            <w:tcW w:w="1318" w:type="pct"/>
          </w:tcPr>
          <w:p w:rsidR="00B22B97" w:rsidRPr="0058368C" w:rsidRDefault="00B22B97" w:rsidP="004A6760">
            <w:pPr>
              <w:keepNext/>
              <w:rPr>
                <w:rFonts w:ascii="Arial Narrow" w:hAnsi="Arial Narrow" w:cs="Arial"/>
                <w:sz w:val="18"/>
                <w:szCs w:val="18"/>
              </w:rPr>
            </w:pPr>
          </w:p>
          <w:p w:rsidR="00B22B97" w:rsidRPr="0058368C" w:rsidRDefault="003306FC" w:rsidP="004A6760">
            <w:pPr>
              <w:keepNext/>
              <w:rPr>
                <w:rFonts w:ascii="Arial Narrow" w:hAnsi="Arial Narrow" w:cs="Arial"/>
                <w:sz w:val="18"/>
                <w:szCs w:val="18"/>
              </w:rPr>
            </w:pPr>
            <w:r w:rsidRPr="0058368C">
              <w:rPr>
                <w:rFonts w:ascii="Arial Narrow" w:hAnsi="Arial Narrow" w:cs="Arial"/>
                <w:sz w:val="18"/>
                <w:szCs w:val="18"/>
              </w:rPr>
              <w:t>Revive Tears</w:t>
            </w:r>
          </w:p>
        </w:tc>
      </w:tr>
      <w:tr w:rsidR="00D82C10" w:rsidRPr="0058368C" w:rsidTr="00F32B1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D82C10" w:rsidRPr="0058368C" w:rsidRDefault="00D82C10" w:rsidP="004A6760">
            <w:pPr>
              <w:rPr>
                <w:rFonts w:ascii="Arial Narrow" w:hAnsi="Arial Narrow" w:cs="Arial"/>
                <w:b/>
                <w:sz w:val="18"/>
                <w:szCs w:val="18"/>
              </w:rPr>
            </w:pPr>
          </w:p>
        </w:tc>
      </w:tr>
      <w:tr w:rsidR="00D82C10" w:rsidRPr="0058368C" w:rsidTr="00F32B1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D82C10" w:rsidRPr="0058368C" w:rsidRDefault="004B3A65" w:rsidP="004A6760">
            <w:pPr>
              <w:rPr>
                <w:rFonts w:ascii="Arial Narrow" w:hAnsi="Arial Narrow" w:cs="Arial"/>
                <w:b/>
                <w:sz w:val="18"/>
                <w:szCs w:val="18"/>
              </w:rPr>
            </w:pPr>
            <w:r w:rsidRPr="0058368C">
              <w:rPr>
                <w:rFonts w:ascii="Arial Narrow" w:hAnsi="Arial Narrow"/>
                <w:b/>
                <w:sz w:val="18"/>
                <w:szCs w:val="18"/>
              </w:rPr>
              <w:t>Restriction Summary [</w:t>
            </w:r>
            <w:r w:rsidR="002227CC" w:rsidRPr="0058368C">
              <w:rPr>
                <w:rFonts w:ascii="Arial Narrow" w:hAnsi="Arial Narrow"/>
                <w:b/>
                <w:sz w:val="18"/>
                <w:szCs w:val="18"/>
              </w:rPr>
              <w:t>6098</w:t>
            </w:r>
            <w:r w:rsidR="00D82C10" w:rsidRPr="0058368C">
              <w:rPr>
                <w:rFonts w:ascii="Arial Narrow" w:hAnsi="Arial Narrow"/>
                <w:b/>
                <w:sz w:val="18"/>
                <w:szCs w:val="18"/>
              </w:rPr>
              <w:t>]</w:t>
            </w:r>
            <w:r w:rsidR="002227CC" w:rsidRPr="0058368C">
              <w:rPr>
                <w:rFonts w:ascii="Arial Narrow" w:hAnsi="Arial Narrow"/>
                <w:b/>
                <w:sz w:val="18"/>
                <w:szCs w:val="18"/>
              </w:rPr>
              <w:t xml:space="preserve"> / Treatment of Concept: [6098</w:t>
            </w:r>
            <w:r w:rsidR="00D82C10" w:rsidRPr="0058368C">
              <w:rPr>
                <w:rFonts w:ascii="Arial Narrow" w:hAnsi="Arial Narrow"/>
                <w:b/>
                <w:sz w:val="18"/>
                <w:szCs w:val="18"/>
              </w:rPr>
              <w:t>]</w:t>
            </w:r>
            <w:r w:rsidRPr="0058368C">
              <w:rPr>
                <w:rFonts w:ascii="Arial Narrow" w:hAnsi="Arial Narrow"/>
                <w:b/>
                <w:sz w:val="18"/>
                <w:szCs w:val="18"/>
              </w:rPr>
              <w:t xml:space="preserve"> </w:t>
            </w:r>
          </w:p>
        </w:tc>
      </w:tr>
      <w:tr w:rsidR="00D82C10" w:rsidRPr="0058368C" w:rsidTr="00F32B1D">
        <w:tblPrEx>
          <w:tblCellMar>
            <w:top w:w="15" w:type="dxa"/>
            <w:left w:w="15" w:type="dxa"/>
            <w:bottom w:w="15" w:type="dxa"/>
            <w:right w:w="15" w:type="dxa"/>
          </w:tblCellMar>
          <w:tblLook w:val="04A0" w:firstRow="1" w:lastRow="0" w:firstColumn="1" w:lastColumn="0" w:noHBand="0" w:noVBand="1"/>
        </w:tblPrEx>
        <w:tc>
          <w:tcPr>
            <w:tcW w:w="632" w:type="pct"/>
            <w:vMerge w:val="restart"/>
            <w:tcBorders>
              <w:top w:val="single" w:sz="4" w:space="0" w:color="auto"/>
              <w:left w:val="single" w:sz="4" w:space="0" w:color="auto"/>
              <w:right w:val="single" w:sz="4" w:space="0" w:color="auto"/>
            </w:tcBorders>
          </w:tcPr>
          <w:p w:rsidR="00D82C10" w:rsidRPr="0058368C" w:rsidRDefault="00D82C10" w:rsidP="004A6760">
            <w:pPr>
              <w:rPr>
                <w:rFonts w:ascii="Arial Narrow" w:hAnsi="Arial Narrow" w:cs="Arial"/>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rsidR="00D82C10" w:rsidRPr="0058368C" w:rsidRDefault="00D82C10" w:rsidP="004A6760">
            <w:pPr>
              <w:rPr>
                <w:rFonts w:ascii="Arial Narrow" w:hAnsi="Arial Narrow" w:cs="Arial"/>
                <w:sz w:val="18"/>
                <w:szCs w:val="18"/>
              </w:rPr>
            </w:pPr>
            <w:r w:rsidRPr="0058368C">
              <w:rPr>
                <w:rFonts w:ascii="Arial Narrow" w:hAnsi="Arial Narrow" w:cs="Arial"/>
                <w:b/>
                <w:sz w:val="18"/>
                <w:szCs w:val="18"/>
              </w:rPr>
              <w:t xml:space="preserve">Category / Program:   </w:t>
            </w:r>
            <w:r w:rsidRPr="0058368C">
              <w:rPr>
                <w:rFonts w:ascii="Arial Narrow" w:hAnsi="Arial Narrow" w:cs="Arial"/>
                <w:sz w:val="18"/>
                <w:szCs w:val="18"/>
              </w:rPr>
              <w:t>GENERAL – General Schedule (Code GE)</w:t>
            </w:r>
          </w:p>
        </w:tc>
      </w:tr>
      <w:tr w:rsidR="00D82C10" w:rsidRPr="0058368C" w:rsidTr="00F32B1D">
        <w:tblPrEx>
          <w:tblCellMar>
            <w:top w:w="15" w:type="dxa"/>
            <w:left w:w="15" w:type="dxa"/>
            <w:bottom w:w="15" w:type="dxa"/>
            <w:right w:w="15" w:type="dxa"/>
          </w:tblCellMar>
          <w:tblLook w:val="04A0" w:firstRow="1" w:lastRow="0" w:firstColumn="1" w:lastColumn="0" w:noHBand="0" w:noVBand="1"/>
        </w:tblPrEx>
        <w:trPr>
          <w:trHeight w:val="240"/>
        </w:trPr>
        <w:tc>
          <w:tcPr>
            <w:tcW w:w="632" w:type="pct"/>
            <w:vMerge/>
            <w:tcBorders>
              <w:left w:val="single" w:sz="4" w:space="0" w:color="auto"/>
              <w:right w:val="single" w:sz="4" w:space="0" w:color="auto"/>
            </w:tcBorders>
          </w:tcPr>
          <w:p w:rsidR="00D82C10" w:rsidRPr="0058368C" w:rsidRDefault="00D82C10" w:rsidP="004A6760">
            <w:pPr>
              <w:rPr>
                <w:rFonts w:ascii="Arial Narrow" w:hAnsi="Arial Narrow" w:cs="Arial"/>
                <w:b/>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rsidR="00D82C10" w:rsidRPr="0058368C" w:rsidRDefault="00D82C10" w:rsidP="004A6760">
            <w:pPr>
              <w:rPr>
                <w:rFonts w:ascii="Arial Narrow" w:hAnsi="Arial Narrow" w:cs="Arial"/>
                <w:b/>
                <w:sz w:val="18"/>
                <w:szCs w:val="18"/>
              </w:rPr>
            </w:pPr>
            <w:r w:rsidRPr="0058368C">
              <w:rPr>
                <w:rFonts w:ascii="Arial Narrow" w:hAnsi="Arial Narrow" w:cs="Arial"/>
                <w:b/>
                <w:sz w:val="18"/>
                <w:szCs w:val="18"/>
              </w:rPr>
              <w:t xml:space="preserve">Prescriber type:   </w:t>
            </w:r>
            <w:r w:rsidRPr="0058368C">
              <w:rPr>
                <w:rFonts w:ascii="Arial Narrow" w:hAnsi="Arial Narrow" w:cs="Arial"/>
                <w:sz w:val="18"/>
                <w:szCs w:val="18"/>
              </w:rPr>
              <w:fldChar w:fldCharType="begin">
                <w:ffData>
                  <w:name w:val="Check1"/>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 xml:space="preserve">Dental    </w:t>
            </w:r>
            <w:r w:rsidRPr="0058368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 xml:space="preserve">Medical Practitioners    </w:t>
            </w:r>
            <w:r w:rsidRPr="0058368C">
              <w:rPr>
                <w:rFonts w:ascii="Arial Narrow" w:hAnsi="Arial Narrow" w:cs="Arial"/>
                <w:sz w:val="18"/>
                <w:szCs w:val="18"/>
              </w:rPr>
              <w:fldChar w:fldCharType="begin">
                <w:ffData>
                  <w:name w:val=""/>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 xml:space="preserve">Nurse practitioners     </w:t>
            </w:r>
            <w:r w:rsidRPr="0058368C">
              <w:rPr>
                <w:rFonts w:ascii="Arial Narrow" w:hAnsi="Arial Narrow" w:cs="Arial"/>
                <w:sz w:val="18"/>
                <w:szCs w:val="18"/>
              </w:rPr>
              <w:fldChar w:fldCharType="begin">
                <w:ffData>
                  <w:name w:val=""/>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 xml:space="preserve">Optometrists    </w:t>
            </w:r>
            <w:r w:rsidRPr="0058368C">
              <w:rPr>
                <w:rFonts w:ascii="Arial Narrow" w:hAnsi="Arial Narrow" w:cs="Arial"/>
                <w:sz w:val="18"/>
                <w:szCs w:val="18"/>
              </w:rPr>
              <w:fldChar w:fldCharType="begin">
                <w:ffData>
                  <w:name w:val="Check5"/>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Midwives</w:t>
            </w:r>
          </w:p>
        </w:tc>
      </w:tr>
      <w:tr w:rsidR="00D82C10" w:rsidRPr="0058368C" w:rsidTr="00F32B1D">
        <w:tblPrEx>
          <w:tblCellMar>
            <w:top w:w="15" w:type="dxa"/>
            <w:left w:w="15" w:type="dxa"/>
            <w:bottom w:w="15" w:type="dxa"/>
            <w:right w:w="15" w:type="dxa"/>
          </w:tblCellMar>
          <w:tblLook w:val="04A0" w:firstRow="1" w:lastRow="0" w:firstColumn="1" w:lastColumn="0" w:noHBand="0" w:noVBand="1"/>
        </w:tblPrEx>
        <w:tc>
          <w:tcPr>
            <w:tcW w:w="632" w:type="pct"/>
            <w:vMerge/>
            <w:tcBorders>
              <w:left w:val="single" w:sz="4" w:space="0" w:color="auto"/>
              <w:bottom w:val="single" w:sz="4" w:space="0" w:color="auto"/>
              <w:right w:val="single" w:sz="4" w:space="0" w:color="auto"/>
            </w:tcBorders>
          </w:tcPr>
          <w:p w:rsidR="00D82C10" w:rsidRPr="0058368C" w:rsidRDefault="00D82C10" w:rsidP="004A6760">
            <w:pPr>
              <w:rPr>
                <w:rFonts w:ascii="Arial Narrow" w:hAnsi="Arial Narrow" w:cs="Arial"/>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rsidR="00D82C10" w:rsidRPr="0058368C" w:rsidRDefault="00D82C10" w:rsidP="004A6760">
            <w:pPr>
              <w:rPr>
                <w:rFonts w:ascii="Arial Narrow" w:hAnsi="Arial Narrow" w:cs="Arial"/>
                <w:b/>
                <w:sz w:val="18"/>
                <w:szCs w:val="18"/>
              </w:rPr>
            </w:pPr>
            <w:r w:rsidRPr="0058368C">
              <w:rPr>
                <w:rFonts w:ascii="Arial Narrow" w:hAnsi="Arial Narrow" w:cs="Arial"/>
                <w:b/>
                <w:sz w:val="18"/>
                <w:szCs w:val="18"/>
              </w:rPr>
              <w:t>Restriction Level / Method:</w:t>
            </w:r>
          </w:p>
          <w:p w:rsidR="00D82C10" w:rsidRPr="0058368C" w:rsidRDefault="00D82C10" w:rsidP="004A6760">
            <w:pPr>
              <w:rPr>
                <w:rFonts w:ascii="Arial Narrow" w:hAnsi="Arial Narrow" w:cs="Arial"/>
                <w:sz w:val="18"/>
                <w:szCs w:val="18"/>
              </w:rPr>
            </w:pPr>
            <w:r w:rsidRPr="0058368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58368C">
              <w:rPr>
                <w:rFonts w:ascii="Arial Narrow" w:hAnsi="Arial Narrow" w:cs="Arial"/>
                <w:sz w:val="18"/>
                <w:szCs w:val="18"/>
              </w:rPr>
              <w:fldChar w:fldCharType="end"/>
            </w:r>
            <w:r w:rsidRPr="0058368C">
              <w:rPr>
                <w:rFonts w:ascii="Arial Narrow" w:hAnsi="Arial Narrow" w:cs="Arial"/>
                <w:sz w:val="18"/>
                <w:szCs w:val="18"/>
              </w:rPr>
              <w:t>Restricted benefit</w:t>
            </w:r>
          </w:p>
        </w:tc>
      </w:tr>
      <w:tr w:rsidR="00B510A2" w:rsidRPr="0058368C" w:rsidTr="003B07D7">
        <w:tblPrEx>
          <w:tblCellMar>
            <w:top w:w="15" w:type="dxa"/>
            <w:left w:w="15" w:type="dxa"/>
            <w:bottom w:w="15" w:type="dxa"/>
            <w:right w:w="15" w:type="dxa"/>
          </w:tblCellMar>
        </w:tblPrEx>
        <w:tc>
          <w:tcPr>
            <w:tcW w:w="632" w:type="pct"/>
            <w:vAlign w:val="center"/>
          </w:tcPr>
          <w:p w:rsidR="00B510A2" w:rsidRPr="0058368C" w:rsidRDefault="00B510A2" w:rsidP="004A6760">
            <w:pPr>
              <w:jc w:val="center"/>
              <w:rPr>
                <w:rFonts w:ascii="Arial Narrow" w:hAnsi="Arial Narrow"/>
                <w:color w:val="333333"/>
                <w:sz w:val="18"/>
                <w:szCs w:val="18"/>
              </w:rPr>
            </w:pPr>
          </w:p>
        </w:tc>
        <w:tc>
          <w:tcPr>
            <w:tcW w:w="4368" w:type="pct"/>
            <w:gridSpan w:val="6"/>
            <w:vAlign w:val="center"/>
          </w:tcPr>
          <w:p w:rsidR="00B510A2" w:rsidRPr="0058368C" w:rsidRDefault="00B510A2" w:rsidP="004A6760">
            <w:pPr>
              <w:rPr>
                <w:rFonts w:ascii="Arial Narrow" w:hAnsi="Arial Narrow"/>
                <w:color w:val="333333"/>
                <w:sz w:val="18"/>
                <w:szCs w:val="18"/>
              </w:rPr>
            </w:pPr>
            <w:r w:rsidRPr="0058368C">
              <w:rPr>
                <w:rFonts w:ascii="Arial Narrow" w:hAnsi="Arial Narrow"/>
                <w:b/>
                <w:bCs/>
                <w:sz w:val="18"/>
                <w:szCs w:val="18"/>
              </w:rPr>
              <w:t>Indication:</w:t>
            </w:r>
            <w:r w:rsidRPr="0058368C">
              <w:rPr>
                <w:rFonts w:ascii="Arial Narrow" w:hAnsi="Arial Narrow"/>
                <w:sz w:val="18"/>
                <w:szCs w:val="18"/>
              </w:rPr>
              <w:t xml:space="preserve"> Severe dry eye syndrome, including Sjogren's syndrome</w:t>
            </w:r>
          </w:p>
        </w:tc>
      </w:tr>
      <w:tr w:rsidR="00B510A2" w:rsidRPr="0058368C" w:rsidTr="00F32B1D">
        <w:tblPrEx>
          <w:tblCellMar>
            <w:top w:w="15" w:type="dxa"/>
            <w:left w:w="15" w:type="dxa"/>
            <w:bottom w:w="15" w:type="dxa"/>
            <w:right w:w="15" w:type="dxa"/>
          </w:tblCellMar>
          <w:tblLook w:val="04A0" w:firstRow="1" w:lastRow="0" w:firstColumn="1" w:lastColumn="0" w:noHBand="0" w:noVBand="1"/>
        </w:tblPrEx>
        <w:tc>
          <w:tcPr>
            <w:tcW w:w="632" w:type="pct"/>
            <w:vAlign w:val="center"/>
          </w:tcPr>
          <w:p w:rsidR="00B510A2" w:rsidRPr="0058368C" w:rsidRDefault="00B510A2" w:rsidP="004A6760">
            <w:pPr>
              <w:jc w:val="center"/>
              <w:rPr>
                <w:rFonts w:ascii="Arial Narrow" w:hAnsi="Arial Narrow"/>
                <w:bCs/>
                <w:sz w:val="18"/>
                <w:szCs w:val="18"/>
              </w:rPr>
            </w:pPr>
          </w:p>
        </w:tc>
        <w:tc>
          <w:tcPr>
            <w:tcW w:w="4368" w:type="pct"/>
            <w:gridSpan w:val="6"/>
            <w:vAlign w:val="center"/>
          </w:tcPr>
          <w:p w:rsidR="00B510A2" w:rsidRPr="0058368C" w:rsidRDefault="00B510A2" w:rsidP="004A6760">
            <w:pPr>
              <w:rPr>
                <w:rFonts w:ascii="Arial Narrow" w:hAnsi="Arial Narrow"/>
                <w:bCs/>
                <w:sz w:val="18"/>
                <w:szCs w:val="18"/>
              </w:rPr>
            </w:pPr>
            <w:r w:rsidRPr="0058368C">
              <w:rPr>
                <w:rFonts w:ascii="Arial Narrow" w:hAnsi="Arial Narrow"/>
                <w:b/>
                <w:bCs/>
                <w:sz w:val="18"/>
                <w:szCs w:val="18"/>
              </w:rPr>
              <w:t xml:space="preserve">Clinical criteria: </w:t>
            </w:r>
          </w:p>
        </w:tc>
      </w:tr>
      <w:tr w:rsidR="00D82C10" w:rsidRPr="0058368C" w:rsidTr="00F32B1D">
        <w:tblPrEx>
          <w:tblCellMar>
            <w:top w:w="15" w:type="dxa"/>
            <w:left w:w="15" w:type="dxa"/>
            <w:bottom w:w="15" w:type="dxa"/>
            <w:right w:w="15" w:type="dxa"/>
          </w:tblCellMar>
          <w:tblLook w:val="04A0" w:firstRow="1" w:lastRow="0" w:firstColumn="1" w:lastColumn="0" w:noHBand="0" w:noVBand="1"/>
        </w:tblPrEx>
        <w:tc>
          <w:tcPr>
            <w:tcW w:w="632" w:type="pct"/>
            <w:vAlign w:val="center"/>
          </w:tcPr>
          <w:p w:rsidR="00D82C10" w:rsidRPr="0058368C" w:rsidRDefault="00D82C10" w:rsidP="004A6760">
            <w:pPr>
              <w:jc w:val="center"/>
              <w:rPr>
                <w:rFonts w:ascii="Arial Narrow" w:hAnsi="Arial Narrow"/>
                <w:bCs/>
                <w:sz w:val="18"/>
                <w:szCs w:val="18"/>
              </w:rPr>
            </w:pPr>
          </w:p>
        </w:tc>
        <w:tc>
          <w:tcPr>
            <w:tcW w:w="4368" w:type="pct"/>
            <w:gridSpan w:val="6"/>
            <w:vAlign w:val="center"/>
          </w:tcPr>
          <w:p w:rsidR="00D82C10" w:rsidRPr="0058368C" w:rsidRDefault="00D82C10" w:rsidP="004A6760">
            <w:pPr>
              <w:rPr>
                <w:rFonts w:ascii="Arial Narrow" w:hAnsi="Arial Narrow"/>
                <w:b/>
                <w:bCs/>
                <w:sz w:val="18"/>
                <w:szCs w:val="18"/>
              </w:rPr>
            </w:pPr>
            <w:r w:rsidRPr="0058368C">
              <w:rPr>
                <w:rFonts w:ascii="Arial Narrow" w:hAnsi="Arial Narrow"/>
                <w:bCs/>
                <w:sz w:val="18"/>
                <w:szCs w:val="18"/>
              </w:rPr>
              <w:t>Patient must be receiving treatment under a GP Management Plan or Team Care Arrangements where Medicare benefits were or are payable for the preparation of the plan or coordination of the arrangements.</w:t>
            </w:r>
          </w:p>
        </w:tc>
      </w:tr>
      <w:tr w:rsidR="00D82C10" w:rsidRPr="0058368C" w:rsidTr="00F32B1D">
        <w:tblPrEx>
          <w:tblCellMar>
            <w:top w:w="15" w:type="dxa"/>
            <w:left w:w="15" w:type="dxa"/>
            <w:bottom w:w="15" w:type="dxa"/>
            <w:right w:w="15" w:type="dxa"/>
          </w:tblCellMar>
          <w:tblLook w:val="04A0" w:firstRow="1" w:lastRow="0" w:firstColumn="1" w:lastColumn="0" w:noHBand="0" w:noVBand="1"/>
        </w:tblPrEx>
        <w:tc>
          <w:tcPr>
            <w:tcW w:w="632" w:type="pct"/>
            <w:vAlign w:val="center"/>
          </w:tcPr>
          <w:p w:rsidR="00D82C10" w:rsidRPr="0058368C" w:rsidRDefault="00D82C10" w:rsidP="004A6760">
            <w:pPr>
              <w:jc w:val="center"/>
              <w:rPr>
                <w:rFonts w:ascii="Arial Narrow" w:hAnsi="Arial Narrow"/>
                <w:bCs/>
                <w:sz w:val="18"/>
                <w:szCs w:val="18"/>
              </w:rPr>
            </w:pPr>
          </w:p>
        </w:tc>
        <w:tc>
          <w:tcPr>
            <w:tcW w:w="4368" w:type="pct"/>
            <w:gridSpan w:val="6"/>
            <w:vAlign w:val="center"/>
          </w:tcPr>
          <w:p w:rsidR="00D82C10" w:rsidRPr="0058368C" w:rsidRDefault="00D82C10" w:rsidP="004A6760">
            <w:pPr>
              <w:rPr>
                <w:rFonts w:ascii="Arial Narrow" w:hAnsi="Arial Narrow"/>
                <w:b/>
                <w:bCs/>
                <w:sz w:val="18"/>
                <w:szCs w:val="18"/>
              </w:rPr>
            </w:pPr>
            <w:r w:rsidRPr="0058368C">
              <w:rPr>
                <w:rFonts w:ascii="Arial Narrow" w:hAnsi="Arial Narrow"/>
                <w:b/>
                <w:bCs/>
                <w:sz w:val="18"/>
                <w:szCs w:val="18"/>
              </w:rPr>
              <w:t xml:space="preserve">Administrative Advice: </w:t>
            </w:r>
          </w:p>
          <w:p w:rsidR="00D82C10" w:rsidRPr="0058368C" w:rsidRDefault="00D82C10" w:rsidP="004A6760">
            <w:pPr>
              <w:rPr>
                <w:rFonts w:ascii="Arial Narrow" w:hAnsi="Arial Narrow"/>
                <w:bCs/>
                <w:sz w:val="18"/>
                <w:szCs w:val="18"/>
              </w:rPr>
            </w:pPr>
            <w:r w:rsidRPr="0058368C">
              <w:rPr>
                <w:rFonts w:ascii="Arial Narrow" w:hAnsi="Arial Narrow"/>
                <w:bCs/>
                <w:sz w:val="18"/>
                <w:szCs w:val="18"/>
              </w:rPr>
              <w:t>No increase in the maximum quantity or number of units</w:t>
            </w:r>
            <w:r w:rsidR="002227CC" w:rsidRPr="0058368C">
              <w:rPr>
                <w:rFonts w:ascii="Arial Narrow" w:hAnsi="Arial Narrow"/>
                <w:bCs/>
                <w:sz w:val="18"/>
                <w:szCs w:val="18"/>
              </w:rPr>
              <w:t xml:space="preserve"> </w:t>
            </w:r>
            <w:r w:rsidRPr="0058368C">
              <w:rPr>
                <w:rFonts w:ascii="Arial Narrow" w:hAnsi="Arial Narrow"/>
                <w:bCs/>
                <w:sz w:val="18"/>
                <w:szCs w:val="18"/>
              </w:rPr>
              <w:t>may be authorised.</w:t>
            </w:r>
          </w:p>
        </w:tc>
      </w:tr>
      <w:tr w:rsidR="00D82C10" w:rsidRPr="0058368C" w:rsidTr="00F32B1D">
        <w:tblPrEx>
          <w:tblCellMar>
            <w:top w:w="15" w:type="dxa"/>
            <w:left w:w="15" w:type="dxa"/>
            <w:bottom w:w="15" w:type="dxa"/>
            <w:right w:w="15" w:type="dxa"/>
          </w:tblCellMar>
          <w:tblLook w:val="04A0" w:firstRow="1" w:lastRow="0" w:firstColumn="1" w:lastColumn="0" w:noHBand="0" w:noVBand="1"/>
        </w:tblPrEx>
        <w:tc>
          <w:tcPr>
            <w:tcW w:w="632" w:type="pct"/>
            <w:vAlign w:val="center"/>
          </w:tcPr>
          <w:p w:rsidR="00D82C10" w:rsidRPr="0058368C" w:rsidRDefault="00D82C10" w:rsidP="004A6760">
            <w:pPr>
              <w:jc w:val="center"/>
              <w:rPr>
                <w:rFonts w:ascii="Arial Narrow" w:hAnsi="Arial Narrow"/>
                <w:bCs/>
                <w:sz w:val="18"/>
                <w:szCs w:val="18"/>
              </w:rPr>
            </w:pPr>
          </w:p>
        </w:tc>
        <w:tc>
          <w:tcPr>
            <w:tcW w:w="4368" w:type="pct"/>
            <w:gridSpan w:val="6"/>
            <w:vAlign w:val="center"/>
          </w:tcPr>
          <w:p w:rsidR="00D82C10" w:rsidRPr="0058368C" w:rsidRDefault="00D82C10" w:rsidP="004A6760">
            <w:pPr>
              <w:rPr>
                <w:rFonts w:ascii="Arial Narrow" w:hAnsi="Arial Narrow"/>
                <w:b/>
                <w:bCs/>
                <w:sz w:val="18"/>
                <w:szCs w:val="18"/>
              </w:rPr>
            </w:pPr>
            <w:r w:rsidRPr="0058368C">
              <w:rPr>
                <w:rFonts w:ascii="Arial Narrow" w:hAnsi="Arial Narrow"/>
                <w:b/>
                <w:bCs/>
                <w:sz w:val="18"/>
                <w:szCs w:val="18"/>
              </w:rPr>
              <w:t>Administrative Advice:</w:t>
            </w:r>
          </w:p>
          <w:p w:rsidR="00D82C10" w:rsidRPr="0058368C" w:rsidRDefault="00D82C10" w:rsidP="004A6760">
            <w:pPr>
              <w:rPr>
                <w:rFonts w:ascii="Arial Narrow" w:hAnsi="Arial Narrow"/>
                <w:bCs/>
                <w:sz w:val="18"/>
                <w:szCs w:val="18"/>
              </w:rPr>
            </w:pPr>
            <w:r w:rsidRPr="0058368C">
              <w:rPr>
                <w:rFonts w:ascii="Arial Narrow" w:hAnsi="Arial Narrow"/>
                <w:bCs/>
                <w:sz w:val="18"/>
                <w:szCs w:val="18"/>
              </w:rPr>
              <w:t>No increase in the maximum number of repeats may be authorised</w:t>
            </w:r>
            <w:r w:rsidR="00FC4160" w:rsidRPr="0058368C">
              <w:rPr>
                <w:rFonts w:ascii="Arial Narrow" w:hAnsi="Arial Narrow"/>
                <w:bCs/>
                <w:sz w:val="18"/>
                <w:szCs w:val="18"/>
              </w:rPr>
              <w:t xml:space="preserve">. </w:t>
            </w:r>
          </w:p>
        </w:tc>
      </w:tr>
    </w:tbl>
    <w:p w:rsidR="002B61C6" w:rsidRPr="0058368C" w:rsidRDefault="002B61C6" w:rsidP="004A6760">
      <w:pPr>
        <w:spacing w:after="120"/>
        <w:ind w:firstLine="709"/>
        <w:rPr>
          <w:i/>
          <w:lang w:eastAsia="en-US"/>
        </w:rPr>
      </w:pPr>
    </w:p>
    <w:p w:rsidR="00361103" w:rsidRPr="0058368C" w:rsidRDefault="002B61C6" w:rsidP="004A6760">
      <w:pPr>
        <w:spacing w:after="120"/>
        <w:ind w:firstLine="709"/>
        <w:rPr>
          <w:i/>
          <w:lang w:eastAsia="en-US"/>
        </w:rPr>
      </w:pPr>
      <w:r w:rsidRPr="0058368C">
        <w:rPr>
          <w:i/>
          <w:lang w:eastAsia="en-US"/>
        </w:rPr>
        <w:t>For more detail on PBAC’s view, see section 5 PBAC outcome.</w:t>
      </w:r>
    </w:p>
    <w:p w:rsidR="00361103" w:rsidRPr="0058368C" w:rsidRDefault="00361103" w:rsidP="004A6760">
      <w:pPr>
        <w:pStyle w:val="Heading1"/>
        <w:keepLines/>
        <w:numPr>
          <w:ilvl w:val="0"/>
          <w:numId w:val="3"/>
        </w:numPr>
        <w:spacing w:before="240"/>
        <w:ind w:left="709" w:hanging="709"/>
        <w:rPr>
          <w:sz w:val="32"/>
          <w:szCs w:val="32"/>
        </w:rPr>
      </w:pPr>
      <w:r w:rsidRPr="0058368C">
        <w:rPr>
          <w:sz w:val="32"/>
          <w:szCs w:val="32"/>
        </w:rPr>
        <w:t>Consideration of the evidence</w:t>
      </w:r>
    </w:p>
    <w:p w:rsidR="002B61C6" w:rsidRPr="0058368C" w:rsidRDefault="002B61C6" w:rsidP="004A6760">
      <w:pPr>
        <w:pStyle w:val="4-SubsectionHeading"/>
        <w:rPr>
          <w:rFonts w:asciiTheme="minorHAnsi" w:hAnsiTheme="minorHAnsi" w:cstheme="minorHAnsi"/>
          <w:lang w:eastAsia="en-US"/>
        </w:rPr>
      </w:pPr>
      <w:r w:rsidRPr="0058368C">
        <w:rPr>
          <w:rFonts w:asciiTheme="minorHAnsi" w:hAnsiTheme="minorHAnsi" w:cstheme="minorHAnsi"/>
          <w:lang w:eastAsia="en-US"/>
        </w:rPr>
        <w:t>Sponsor hearing</w:t>
      </w:r>
    </w:p>
    <w:p w:rsidR="002B61C6" w:rsidRPr="0058368C" w:rsidRDefault="002B61C6" w:rsidP="004A6760">
      <w:pPr>
        <w:pStyle w:val="3Bodytext"/>
        <w:jc w:val="both"/>
      </w:pPr>
      <w:r w:rsidRPr="0058368C">
        <w:t>There was no hearing for this item.</w:t>
      </w:r>
    </w:p>
    <w:p w:rsidR="002B61C6" w:rsidRPr="0058368C" w:rsidRDefault="002B61C6" w:rsidP="004A6760">
      <w:pPr>
        <w:pStyle w:val="4-SubsectionHeading"/>
        <w:rPr>
          <w:rFonts w:asciiTheme="minorHAnsi" w:hAnsiTheme="minorHAnsi" w:cstheme="minorHAnsi"/>
          <w:lang w:eastAsia="en-US"/>
        </w:rPr>
      </w:pPr>
      <w:r w:rsidRPr="0058368C">
        <w:rPr>
          <w:rFonts w:asciiTheme="minorHAnsi" w:hAnsiTheme="minorHAnsi" w:cstheme="minorHAnsi"/>
          <w:lang w:eastAsia="en-US"/>
        </w:rPr>
        <w:t>Consumer comments</w:t>
      </w:r>
    </w:p>
    <w:p w:rsidR="002B61C6" w:rsidRPr="0058368C" w:rsidRDefault="002B61C6" w:rsidP="004A6760">
      <w:pPr>
        <w:pStyle w:val="3Bodytext"/>
        <w:jc w:val="both"/>
      </w:pPr>
      <w:r w:rsidRPr="0058368C">
        <w:t xml:space="preserve">The PBAC noted that </w:t>
      </w:r>
      <w:r w:rsidR="0058368C">
        <w:t xml:space="preserve">this item received </w:t>
      </w:r>
      <w:r w:rsidRPr="0058368C">
        <w:t>no consumer comments.</w:t>
      </w:r>
    </w:p>
    <w:p w:rsidR="00361103" w:rsidRPr="0058368C" w:rsidRDefault="00361103" w:rsidP="004A6760">
      <w:pPr>
        <w:pStyle w:val="4-SubsectionHeading"/>
        <w:rPr>
          <w:rFonts w:asciiTheme="minorHAnsi" w:hAnsiTheme="minorHAnsi" w:cstheme="minorHAnsi"/>
          <w:lang w:eastAsia="en-US"/>
        </w:rPr>
      </w:pPr>
      <w:r w:rsidRPr="0058368C">
        <w:rPr>
          <w:rFonts w:asciiTheme="minorHAnsi" w:hAnsiTheme="minorHAnsi" w:cstheme="minorHAnsi"/>
          <w:lang w:eastAsia="en-US"/>
        </w:rPr>
        <w:t>Clinical claim</w:t>
      </w:r>
    </w:p>
    <w:p w:rsidR="00361103" w:rsidRPr="0058368C" w:rsidRDefault="00322BBB" w:rsidP="004A6760">
      <w:pPr>
        <w:pStyle w:val="3Bodytext"/>
        <w:jc w:val="both"/>
      </w:pPr>
      <w:r w:rsidRPr="0058368C">
        <w:t xml:space="preserve">The submission </w:t>
      </w:r>
      <w:r w:rsidR="00702C80" w:rsidRPr="0058368C">
        <w:t>included</w:t>
      </w:r>
      <w:r w:rsidR="00AD7CBC" w:rsidRPr="0058368C">
        <w:t xml:space="preserve"> the ARTG certificate, ARTG record summary and product </w:t>
      </w:r>
      <w:r w:rsidR="00702C80" w:rsidRPr="0058368C">
        <w:t xml:space="preserve">leaflet for Revive Tears. The sponsor claimed that Revive Tears is </w:t>
      </w:r>
      <w:r w:rsidR="00CB2894" w:rsidRPr="0058368C">
        <w:t>pharmaceutical</w:t>
      </w:r>
      <w:r w:rsidR="00702C80" w:rsidRPr="0058368C">
        <w:t>ly</w:t>
      </w:r>
      <w:r w:rsidR="00CB2894" w:rsidRPr="0058368C">
        <w:t xml:space="preserve"> equivalen</w:t>
      </w:r>
      <w:r w:rsidR="00702C80" w:rsidRPr="0058368C">
        <w:t>t</w:t>
      </w:r>
      <w:r w:rsidR="00900CD7" w:rsidRPr="0058368C">
        <w:t xml:space="preserve"> </w:t>
      </w:r>
      <w:r w:rsidR="00702C80" w:rsidRPr="0058368C">
        <w:t xml:space="preserve">to Genteal and In </w:t>
      </w:r>
      <w:r w:rsidR="00A3228C" w:rsidRPr="0058368C">
        <w:t>a</w:t>
      </w:r>
      <w:r w:rsidR="00702C80" w:rsidRPr="0058368C">
        <w:t xml:space="preserve"> Wink Moisturising. </w:t>
      </w:r>
    </w:p>
    <w:p w:rsidR="005C42F4" w:rsidRPr="0058368C" w:rsidRDefault="005C42F4" w:rsidP="004A6760">
      <w:pPr>
        <w:pStyle w:val="4-SubsectionHeading"/>
        <w:rPr>
          <w:rFonts w:asciiTheme="minorHAnsi" w:hAnsiTheme="minorHAnsi" w:cstheme="minorHAnsi"/>
          <w:lang w:eastAsia="en-US"/>
        </w:rPr>
      </w:pPr>
      <w:r w:rsidRPr="0058368C">
        <w:rPr>
          <w:rFonts w:asciiTheme="minorHAnsi" w:hAnsiTheme="minorHAnsi" w:cstheme="minorHAnsi"/>
          <w:lang w:eastAsia="en-US"/>
        </w:rPr>
        <w:lastRenderedPageBreak/>
        <w:t xml:space="preserve">Pricing considerations </w:t>
      </w:r>
    </w:p>
    <w:p w:rsidR="002A084B" w:rsidRPr="0058368C" w:rsidRDefault="005C42F4" w:rsidP="004A6760">
      <w:pPr>
        <w:pStyle w:val="3Bodytext"/>
        <w:jc w:val="both"/>
        <w:rPr>
          <w:rFonts w:cs="Calibri"/>
        </w:rPr>
      </w:pPr>
      <w:r w:rsidRPr="0058368C">
        <w:rPr>
          <w:rFonts w:cs="Calibri"/>
        </w:rPr>
        <w:t>The submiss</w:t>
      </w:r>
      <w:r w:rsidR="00BA0034" w:rsidRPr="0058368C">
        <w:rPr>
          <w:rFonts w:cs="Calibri"/>
        </w:rPr>
        <w:t xml:space="preserve">ion requested an </w:t>
      </w:r>
      <w:r w:rsidR="005362CF" w:rsidRPr="0058368C">
        <w:rPr>
          <w:rFonts w:cs="Calibri"/>
        </w:rPr>
        <w:t>approved ex-manufacturer price (</w:t>
      </w:r>
      <w:r w:rsidR="00BA0034" w:rsidRPr="0058368C">
        <w:rPr>
          <w:rFonts w:cs="Calibri"/>
        </w:rPr>
        <w:t>AEMP</w:t>
      </w:r>
      <w:r w:rsidR="005362CF" w:rsidRPr="0058368C">
        <w:rPr>
          <w:rFonts w:cs="Calibri"/>
        </w:rPr>
        <w:t>)</w:t>
      </w:r>
      <w:r w:rsidR="00BA0034" w:rsidRPr="0058368C">
        <w:rPr>
          <w:rFonts w:cs="Calibri"/>
        </w:rPr>
        <w:t xml:space="preserve"> of $</w:t>
      </w:r>
      <w:r w:rsidR="00D20DF7">
        <w:rPr>
          <w:rFonts w:cs="Calibri"/>
          <w:noProof/>
          <w:color w:val="000000"/>
          <w:highlight w:val="black"/>
        </w:rPr>
        <w:t xml:space="preserve">'''''''' </w:t>
      </w:r>
      <w:r w:rsidRPr="0058368C">
        <w:rPr>
          <w:rFonts w:cs="Calibri"/>
        </w:rPr>
        <w:t xml:space="preserve">and </w:t>
      </w:r>
      <w:r w:rsidR="00BA0034" w:rsidRPr="0058368C">
        <w:rPr>
          <w:rFonts w:cs="Calibri"/>
        </w:rPr>
        <w:t xml:space="preserve">a </w:t>
      </w:r>
      <w:r w:rsidR="005362CF" w:rsidRPr="0058368C">
        <w:rPr>
          <w:rFonts w:cs="Calibri"/>
        </w:rPr>
        <w:t>dispensed price for maximum quantity (</w:t>
      </w:r>
      <w:r w:rsidR="00F866A4" w:rsidRPr="0058368C">
        <w:rPr>
          <w:rFonts w:cs="Calibri"/>
        </w:rPr>
        <w:t>DPMQ</w:t>
      </w:r>
      <w:r w:rsidR="005362CF" w:rsidRPr="0058368C">
        <w:rPr>
          <w:rFonts w:cs="Calibri"/>
        </w:rPr>
        <w:t>)</w:t>
      </w:r>
      <w:r w:rsidR="00F866A4" w:rsidRPr="0058368C">
        <w:rPr>
          <w:rFonts w:cs="Calibri"/>
        </w:rPr>
        <w:t xml:space="preserve"> of $</w:t>
      </w:r>
      <w:r w:rsidR="00D20DF7">
        <w:rPr>
          <w:rFonts w:cs="Calibri"/>
          <w:noProof/>
          <w:color w:val="000000"/>
          <w:highlight w:val="black"/>
        </w:rPr>
        <w:t>''''''''''</w:t>
      </w:r>
      <w:r w:rsidRPr="0058368C">
        <w:rPr>
          <w:rFonts w:cs="Calibri"/>
        </w:rPr>
        <w:t xml:space="preserve">. The </w:t>
      </w:r>
      <w:r w:rsidR="002D3413" w:rsidRPr="0058368C">
        <w:rPr>
          <w:rFonts w:cs="Calibri"/>
        </w:rPr>
        <w:t>PBAC</w:t>
      </w:r>
      <w:r w:rsidR="00B474F6" w:rsidRPr="0058368C">
        <w:rPr>
          <w:rFonts w:cs="Calibri"/>
        </w:rPr>
        <w:t xml:space="preserve"> noted that the AEMP for the existing brands is</w:t>
      </w:r>
      <w:r w:rsidRPr="0058368C">
        <w:rPr>
          <w:rFonts w:cs="Calibri"/>
        </w:rPr>
        <w:t xml:space="preserve"> slightly higher at $2.08</w:t>
      </w:r>
      <w:r w:rsidR="00B474F6" w:rsidRPr="0058368C">
        <w:rPr>
          <w:rFonts w:cs="Calibri"/>
        </w:rPr>
        <w:t xml:space="preserve">; the DPMQ for In a Wink Moisturising is $14.51, while Genteal has a brand price premium (DPMQ </w:t>
      </w:r>
      <w:r w:rsidR="00FC4160" w:rsidRPr="0058368C">
        <w:rPr>
          <w:rFonts w:cs="Calibri"/>
        </w:rPr>
        <w:t>is</w:t>
      </w:r>
      <w:r w:rsidR="00B474F6" w:rsidRPr="0058368C">
        <w:rPr>
          <w:rFonts w:cs="Calibri"/>
        </w:rPr>
        <w:t xml:space="preserve"> $18</w:t>
      </w:r>
      <w:r w:rsidR="002A084B" w:rsidRPr="0058368C">
        <w:rPr>
          <w:rFonts w:cs="Calibri"/>
        </w:rPr>
        <w:t>.</w:t>
      </w:r>
      <w:r w:rsidR="00B474F6" w:rsidRPr="0058368C">
        <w:rPr>
          <w:rFonts w:cs="Calibri"/>
        </w:rPr>
        <w:t>60)</w:t>
      </w:r>
      <w:r w:rsidR="00FC4160" w:rsidRPr="0058368C">
        <w:rPr>
          <w:rFonts w:cs="Calibri"/>
        </w:rPr>
        <w:t>.</w:t>
      </w:r>
      <w:r w:rsidR="00FC4160" w:rsidRPr="0058368C">
        <w:rPr>
          <w:rFonts w:cs="Calibri"/>
          <w:i/>
        </w:rPr>
        <w:t xml:space="preserve"> </w:t>
      </w:r>
    </w:p>
    <w:p w:rsidR="002A0CC6" w:rsidRPr="0058368C" w:rsidRDefault="002A0CC6" w:rsidP="004A6760">
      <w:pPr>
        <w:pStyle w:val="4-SubsectionHeading"/>
        <w:rPr>
          <w:rFonts w:asciiTheme="minorHAnsi" w:hAnsiTheme="minorHAnsi" w:cstheme="minorHAnsi"/>
          <w:lang w:eastAsia="en-US"/>
        </w:rPr>
      </w:pPr>
      <w:r w:rsidRPr="0058368C">
        <w:rPr>
          <w:rFonts w:asciiTheme="minorHAnsi" w:hAnsiTheme="minorHAnsi" w:cstheme="minorHAnsi"/>
          <w:lang w:eastAsia="en-US"/>
        </w:rPr>
        <w:t>Estimated PBS utilisation and financial implications</w:t>
      </w:r>
    </w:p>
    <w:p w:rsidR="00994ED8" w:rsidRPr="0058368C" w:rsidRDefault="0058368C" w:rsidP="004A6760">
      <w:pPr>
        <w:pStyle w:val="3Bodytext"/>
        <w:jc w:val="both"/>
      </w:pPr>
      <w:r w:rsidRPr="0058368C">
        <w:t xml:space="preserve">NPS Medicinewise </w:t>
      </w:r>
      <w:r>
        <w:t>undertook t</w:t>
      </w:r>
      <w:r w:rsidRPr="0058368C">
        <w:t xml:space="preserve">wo </w:t>
      </w:r>
      <w:r w:rsidR="00994ED8" w:rsidRPr="0058368C">
        <w:t xml:space="preserve">separate analyses of ocular lubricants for severe dry eye syndrome for consideration by the Drug Utilisation Sub-Committee </w:t>
      </w:r>
      <w:r w:rsidR="00C72FB9" w:rsidRPr="0058368C">
        <w:t xml:space="preserve">(DUSC) </w:t>
      </w:r>
      <w:r w:rsidR="00994ED8" w:rsidRPr="0058368C">
        <w:t>in February 2021. The first was a MedicineInsight cohort analysis based on general practice data and the second was a 10%</w:t>
      </w:r>
      <w:r w:rsidR="005525A5" w:rsidRPr="0058368C">
        <w:t xml:space="preserve"> PBS</w:t>
      </w:r>
      <w:r w:rsidR="00994ED8" w:rsidRPr="0058368C">
        <w:t xml:space="preserve"> sample.</w:t>
      </w:r>
    </w:p>
    <w:p w:rsidR="00F60669" w:rsidRPr="0058368C" w:rsidRDefault="00E40984" w:rsidP="004A6760">
      <w:pPr>
        <w:pStyle w:val="3Bodytext"/>
        <w:jc w:val="both"/>
      </w:pPr>
      <w:r>
        <w:t>The DUSC analysis showed that</w:t>
      </w:r>
      <w:r w:rsidR="008D1F46" w:rsidRPr="0058368C">
        <w:t xml:space="preserve">, </w:t>
      </w:r>
      <w:r w:rsidR="00F60669" w:rsidRPr="0058368C">
        <w:t>of the multidose preservative containing (PC) ocular lubricants listed on the PBS</w:t>
      </w:r>
      <w:r w:rsidR="00E211FF" w:rsidRPr="0058368C">
        <w:t xml:space="preserve"> for severe dry eye syndrome (including Sj</w:t>
      </w:r>
      <w:r w:rsidR="00447F2C">
        <w:t>o</w:t>
      </w:r>
      <w:r w:rsidR="00E211FF" w:rsidRPr="0058368C">
        <w:t>gren’s syndrome)</w:t>
      </w:r>
      <w:r w:rsidR="00EB3BFD" w:rsidRPr="0058368C">
        <w:t xml:space="preserve">, </w:t>
      </w:r>
      <w:r w:rsidR="00F60669" w:rsidRPr="0058368C">
        <w:t>Genteal and In a Wink Moistur</w:t>
      </w:r>
      <w:r w:rsidR="00EB3BFD" w:rsidRPr="0058368C">
        <w:t xml:space="preserve">ising were </w:t>
      </w:r>
      <w:r w:rsidR="00970468" w:rsidRPr="0058368C">
        <w:t>two of the 17</w:t>
      </w:r>
      <w:r w:rsidR="00EB3BFD" w:rsidRPr="0058368C">
        <w:t xml:space="preserve"> </w:t>
      </w:r>
      <w:r w:rsidR="00CD6128" w:rsidRPr="0058368C">
        <w:t>available brands</w:t>
      </w:r>
      <w:r w:rsidR="008D1F46" w:rsidRPr="0058368C">
        <w:t xml:space="preserve"> as at December 2020</w:t>
      </w:r>
      <w:r w:rsidR="00F60669" w:rsidRPr="0058368C">
        <w:t>. In 2019 (calendar year) there were 1,099,836 prescriptions</w:t>
      </w:r>
      <w:r w:rsidR="00E211FF" w:rsidRPr="0058368C">
        <w:t xml:space="preserve"> (PBS and RPBS) dispensed</w:t>
      </w:r>
      <w:r w:rsidR="00F60669" w:rsidRPr="0058368C">
        <w:t xml:space="preserve"> for </w:t>
      </w:r>
      <w:r w:rsidR="00E211FF" w:rsidRPr="0058368C">
        <w:t xml:space="preserve">multidose </w:t>
      </w:r>
      <w:r w:rsidR="00F60669" w:rsidRPr="0058368C">
        <w:t>PC ocular l</w:t>
      </w:r>
      <w:r w:rsidR="00631BEF" w:rsidRPr="0058368C">
        <w:t>ubricants (compared to 1,633,943 prescriptions in 2013).</w:t>
      </w:r>
      <w:r w:rsidR="00E211FF" w:rsidRPr="0058368C">
        <w:t xml:space="preserve"> Of these prescriptions, 359,9</w:t>
      </w:r>
      <w:r w:rsidR="00021250" w:rsidRPr="0058368C">
        <w:t xml:space="preserve">73 were dispensed for </w:t>
      </w:r>
      <w:r w:rsidR="00EB3BFD" w:rsidRPr="0058368C">
        <w:t>Systane® (</w:t>
      </w:r>
      <w:r w:rsidR="00E211FF" w:rsidRPr="0058368C">
        <w:t>polyethylen</w:t>
      </w:r>
      <w:r w:rsidR="00021250" w:rsidRPr="0058368C">
        <w:t>e</w:t>
      </w:r>
      <w:r w:rsidR="00EB3BFD" w:rsidRPr="0058368C">
        <w:t xml:space="preserve"> glycol-400 + propylene glycol)</w:t>
      </w:r>
      <w:r w:rsidR="00E211FF" w:rsidRPr="0058368C">
        <w:t>, which accounted for 32.7% of all PC ocular lubricants and</w:t>
      </w:r>
      <w:r w:rsidR="00994ED8" w:rsidRPr="0058368C">
        <w:t xml:space="preserve"> 19.4% of all ocular lubricants (Item 7.2, Report 1 and Report 2, DUSC February 2021</w:t>
      </w:r>
      <w:r w:rsidR="00C72FB9" w:rsidRPr="0058368C">
        <w:t>)</w:t>
      </w:r>
      <w:r w:rsidR="0058368C">
        <w:t>.</w:t>
      </w:r>
    </w:p>
    <w:p w:rsidR="00994ED8" w:rsidRPr="0058368C" w:rsidRDefault="00994ED8" w:rsidP="00D34AB6">
      <w:pPr>
        <w:pStyle w:val="3Bodytext"/>
      </w:pPr>
      <w:r w:rsidRPr="0058368C">
        <w:t xml:space="preserve">According to the submission, there were </w:t>
      </w:r>
      <w:r w:rsidR="00D34AB6" w:rsidRPr="00D34AB6">
        <w:t>80,000 to &lt; 90,000</w:t>
      </w:r>
      <w:r w:rsidR="00D34AB6">
        <w:t xml:space="preserve"> </w:t>
      </w:r>
      <w:r w:rsidRPr="0058368C">
        <w:t>prescriptions</w:t>
      </w:r>
      <w:r w:rsidR="006D243B" w:rsidRPr="0058368C">
        <w:t xml:space="preserve"> (PBS and RPBS)</w:t>
      </w:r>
      <w:r w:rsidRPr="0058368C">
        <w:t xml:space="preserve"> dispensed for hypromellose 3 mg per mL eye drops</w:t>
      </w:r>
      <w:r w:rsidR="00C72FB9" w:rsidRPr="0058368C">
        <w:t xml:space="preserve"> (Genteal and In a Wink Moisturising)</w:t>
      </w:r>
      <w:r w:rsidR="006D243B" w:rsidRPr="0058368C">
        <w:t xml:space="preserve"> in 2020 (calendar year). </w:t>
      </w:r>
    </w:p>
    <w:p w:rsidR="00AD7915" w:rsidRPr="0058368C" w:rsidRDefault="00AD7915" w:rsidP="00D34AB6">
      <w:pPr>
        <w:pStyle w:val="3Bodytext"/>
      </w:pPr>
      <w:r w:rsidRPr="0058368C">
        <w:t xml:space="preserve">The submission estimated that the proposed </w:t>
      </w:r>
      <w:r w:rsidR="00021250" w:rsidRPr="0058368C">
        <w:t xml:space="preserve">generic brand </w:t>
      </w:r>
      <w:r w:rsidRPr="0058368C">
        <w:t>listing for Revi</w:t>
      </w:r>
      <w:r w:rsidR="00021250" w:rsidRPr="0058368C">
        <w:t>v</w:t>
      </w:r>
      <w:r w:rsidRPr="0058368C">
        <w:t xml:space="preserve">e Tears would result in </w:t>
      </w:r>
      <w:r w:rsidR="00D34AB6" w:rsidRPr="00D34AB6">
        <w:t>500 to &lt; 5,000</w:t>
      </w:r>
      <w:r w:rsidR="00D34AB6">
        <w:t xml:space="preserve"> </w:t>
      </w:r>
      <w:r w:rsidRPr="0058368C">
        <w:t xml:space="preserve">prescriptions in Year 1, increasing to </w:t>
      </w:r>
      <w:r w:rsidR="00D34AB6" w:rsidRPr="00D34AB6">
        <w:t>10,000 to &lt; 20,000</w:t>
      </w:r>
      <w:r w:rsidR="00D34AB6">
        <w:t xml:space="preserve"> </w:t>
      </w:r>
      <w:r w:rsidRPr="0058368C">
        <w:t>prescriptions in Year</w:t>
      </w:r>
      <w:r w:rsidR="009B7E8B" w:rsidRPr="0058368C">
        <w:t> </w:t>
      </w:r>
      <w:r w:rsidRPr="0058368C">
        <w:t xml:space="preserve">6. </w:t>
      </w:r>
    </w:p>
    <w:p w:rsidR="00361103" w:rsidRPr="0058368C" w:rsidRDefault="001159EC" w:rsidP="00D34AB6">
      <w:pPr>
        <w:pStyle w:val="3Bodytext"/>
      </w:pPr>
      <w:r w:rsidRPr="0058368C">
        <w:t>Based on the requested D</w:t>
      </w:r>
      <w:r w:rsidR="00033B59" w:rsidRPr="0058368C">
        <w:t>P</w:t>
      </w:r>
      <w:r w:rsidRPr="0058368C">
        <w:t>M</w:t>
      </w:r>
      <w:r w:rsidR="00033B59" w:rsidRPr="0058368C">
        <w:t>Q of $</w:t>
      </w:r>
      <w:r w:rsidR="00D20DF7">
        <w:rPr>
          <w:noProof/>
          <w:color w:val="000000"/>
          <w:highlight w:val="black"/>
        </w:rPr>
        <w:t>'''''''''</w:t>
      </w:r>
      <w:r w:rsidR="00033B59" w:rsidRPr="0058368C">
        <w:t>,</w:t>
      </w:r>
      <w:r w:rsidR="00466DCB" w:rsidRPr="0058368C">
        <w:t xml:space="preserve"> the submission estimated there would be a net </w:t>
      </w:r>
      <w:r w:rsidR="00D34AB6">
        <w:t xml:space="preserve">cost </w:t>
      </w:r>
      <w:r w:rsidR="00466DCB" w:rsidRPr="0058368C">
        <w:t xml:space="preserve">saving to the PBS/RPBS </w:t>
      </w:r>
      <w:r w:rsidR="0058368C">
        <w:t xml:space="preserve">from </w:t>
      </w:r>
      <w:r w:rsidR="003075A2" w:rsidRPr="0058368C">
        <w:t xml:space="preserve">listing Revive Tears </w:t>
      </w:r>
      <w:r w:rsidR="00466DCB" w:rsidRPr="0058368C">
        <w:t xml:space="preserve">over six years (see Table 1). </w:t>
      </w:r>
    </w:p>
    <w:p w:rsidR="00224F64" w:rsidRPr="0058368C" w:rsidRDefault="003075A2" w:rsidP="003B07D7">
      <w:pPr>
        <w:pStyle w:val="3Bodytext"/>
        <w:rPr>
          <w:rStyle w:val="CommentReference"/>
          <w:sz w:val="20"/>
          <w:szCs w:val="20"/>
        </w:rPr>
      </w:pPr>
      <w:r w:rsidRPr="0058368C">
        <w:t xml:space="preserve">As a Committee Secretariat submission, the </w:t>
      </w:r>
      <w:r w:rsidR="00466DCB" w:rsidRPr="0058368C">
        <w:t>financial estimates have</w:t>
      </w:r>
      <w:r w:rsidR="00B3089D" w:rsidRPr="0058368C">
        <w:t xml:space="preserve"> not been independently</w:t>
      </w:r>
      <w:r w:rsidR="00994ED8" w:rsidRPr="0058368C">
        <w:t xml:space="preserve"> evaluated.</w:t>
      </w:r>
      <w:r w:rsidR="00C72FB9" w:rsidRPr="0058368C">
        <w:rPr>
          <w:i/>
        </w:rPr>
        <w:br/>
      </w:r>
    </w:p>
    <w:p w:rsidR="003B07D7" w:rsidRDefault="003B07D7">
      <w:pPr>
        <w:spacing w:after="160" w:line="259" w:lineRule="auto"/>
        <w:jc w:val="left"/>
        <w:rPr>
          <w:rStyle w:val="CommentReference"/>
          <w:rFonts w:ascii="Arial Narrow" w:hAnsi="Arial Narrow"/>
          <w:b/>
          <w:sz w:val="20"/>
          <w:szCs w:val="20"/>
        </w:rPr>
      </w:pPr>
      <w:r>
        <w:rPr>
          <w:rStyle w:val="CommentReference"/>
          <w:sz w:val="20"/>
          <w:szCs w:val="20"/>
        </w:rPr>
        <w:br w:type="page"/>
      </w:r>
    </w:p>
    <w:p w:rsidR="005A3CFB" w:rsidRPr="0058368C" w:rsidRDefault="005A3CFB" w:rsidP="004A6760">
      <w:pPr>
        <w:pStyle w:val="Tabletitles"/>
        <w:rPr>
          <w:szCs w:val="20"/>
        </w:rPr>
      </w:pPr>
      <w:r w:rsidRPr="0058368C">
        <w:rPr>
          <w:rStyle w:val="CommentReference"/>
          <w:sz w:val="20"/>
          <w:szCs w:val="20"/>
        </w:rPr>
        <w:t>Table</w:t>
      </w:r>
      <w:r w:rsidRPr="0058368C">
        <w:rPr>
          <w:rFonts w:eastAsiaTheme="majorEastAsia"/>
          <w:szCs w:val="20"/>
        </w:rPr>
        <w:t xml:space="preserve"> 1: </w:t>
      </w:r>
      <w:r w:rsidRPr="0058368C">
        <w:rPr>
          <w:rStyle w:val="CommentReference"/>
          <w:sz w:val="20"/>
          <w:szCs w:val="20"/>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5A3CFB" w:rsidRPr="0058368C" w:rsidTr="008D1B54">
        <w:trPr>
          <w:tblHeader/>
          <w:jc w:val="center"/>
        </w:trPr>
        <w:tc>
          <w:tcPr>
            <w:tcW w:w="1118" w:type="pct"/>
            <w:shd w:val="clear" w:color="auto" w:fill="auto"/>
            <w:vAlign w:val="center"/>
          </w:tcPr>
          <w:p w:rsidR="005A3CFB" w:rsidRPr="0058368C" w:rsidRDefault="005A3CFB" w:rsidP="004A6760">
            <w:pPr>
              <w:pStyle w:val="TableText"/>
              <w:keepNext w:val="0"/>
            </w:pPr>
          </w:p>
        </w:tc>
        <w:tc>
          <w:tcPr>
            <w:tcW w:w="647" w:type="pct"/>
            <w:shd w:val="clear" w:color="auto" w:fill="auto"/>
            <w:vAlign w:val="center"/>
          </w:tcPr>
          <w:p w:rsidR="005A3CFB" w:rsidRPr="0058368C" w:rsidRDefault="005A3CFB" w:rsidP="004A6760">
            <w:pPr>
              <w:pStyle w:val="TableText"/>
              <w:keepNext w:val="0"/>
              <w:jc w:val="center"/>
              <w:rPr>
                <w:b/>
              </w:rPr>
            </w:pPr>
            <w:r w:rsidRPr="0058368C">
              <w:rPr>
                <w:b/>
              </w:rPr>
              <w:t>Year 1</w:t>
            </w:r>
          </w:p>
          <w:p w:rsidR="00AD7915" w:rsidRPr="0058368C" w:rsidRDefault="00AD7915" w:rsidP="004A6760">
            <w:pPr>
              <w:pStyle w:val="TableText"/>
              <w:keepNext w:val="0"/>
              <w:jc w:val="center"/>
              <w:rPr>
                <w:b/>
              </w:rPr>
            </w:pPr>
            <w:r w:rsidRPr="0058368C">
              <w:rPr>
                <w:b/>
              </w:rPr>
              <w:t>(2021)</w:t>
            </w:r>
          </w:p>
        </w:tc>
        <w:tc>
          <w:tcPr>
            <w:tcW w:w="647" w:type="pct"/>
            <w:shd w:val="clear" w:color="auto" w:fill="auto"/>
            <w:vAlign w:val="center"/>
          </w:tcPr>
          <w:p w:rsidR="005A3CFB" w:rsidRPr="0058368C" w:rsidRDefault="005A3CFB" w:rsidP="004A6760">
            <w:pPr>
              <w:pStyle w:val="TableText"/>
              <w:keepNext w:val="0"/>
              <w:jc w:val="center"/>
              <w:rPr>
                <w:b/>
              </w:rPr>
            </w:pPr>
            <w:r w:rsidRPr="0058368C">
              <w:rPr>
                <w:b/>
              </w:rPr>
              <w:t>Year 2</w:t>
            </w:r>
          </w:p>
          <w:p w:rsidR="00AD7915" w:rsidRPr="0058368C" w:rsidRDefault="00AD7915" w:rsidP="004A6760">
            <w:pPr>
              <w:pStyle w:val="TableText"/>
              <w:keepNext w:val="0"/>
              <w:jc w:val="center"/>
              <w:rPr>
                <w:b/>
              </w:rPr>
            </w:pPr>
            <w:r w:rsidRPr="0058368C">
              <w:rPr>
                <w:b/>
              </w:rPr>
              <w:t>(2022)</w:t>
            </w:r>
          </w:p>
        </w:tc>
        <w:tc>
          <w:tcPr>
            <w:tcW w:w="647" w:type="pct"/>
            <w:shd w:val="clear" w:color="auto" w:fill="auto"/>
            <w:vAlign w:val="center"/>
          </w:tcPr>
          <w:p w:rsidR="005A3CFB" w:rsidRPr="0058368C" w:rsidRDefault="005A3CFB" w:rsidP="004A6760">
            <w:pPr>
              <w:pStyle w:val="TableText"/>
              <w:keepNext w:val="0"/>
              <w:jc w:val="center"/>
              <w:rPr>
                <w:b/>
              </w:rPr>
            </w:pPr>
            <w:r w:rsidRPr="0058368C">
              <w:rPr>
                <w:b/>
              </w:rPr>
              <w:t>Year 3</w:t>
            </w:r>
          </w:p>
          <w:p w:rsidR="00AD7915" w:rsidRPr="0058368C" w:rsidRDefault="00AD7915" w:rsidP="004A6760">
            <w:pPr>
              <w:pStyle w:val="TableText"/>
              <w:keepNext w:val="0"/>
              <w:jc w:val="center"/>
              <w:rPr>
                <w:b/>
              </w:rPr>
            </w:pPr>
            <w:r w:rsidRPr="0058368C">
              <w:rPr>
                <w:b/>
              </w:rPr>
              <w:t>(2023)</w:t>
            </w:r>
          </w:p>
        </w:tc>
        <w:tc>
          <w:tcPr>
            <w:tcW w:w="647" w:type="pct"/>
            <w:shd w:val="clear" w:color="auto" w:fill="auto"/>
            <w:vAlign w:val="center"/>
          </w:tcPr>
          <w:p w:rsidR="005A3CFB" w:rsidRPr="0058368C" w:rsidRDefault="005A3CFB" w:rsidP="004A6760">
            <w:pPr>
              <w:pStyle w:val="TableText"/>
              <w:keepNext w:val="0"/>
              <w:jc w:val="center"/>
              <w:rPr>
                <w:b/>
              </w:rPr>
            </w:pPr>
            <w:r w:rsidRPr="0058368C">
              <w:rPr>
                <w:b/>
              </w:rPr>
              <w:t>Year 4</w:t>
            </w:r>
          </w:p>
          <w:p w:rsidR="00AD7915" w:rsidRPr="0058368C" w:rsidRDefault="00AD7915" w:rsidP="004A6760">
            <w:pPr>
              <w:pStyle w:val="TableText"/>
              <w:keepNext w:val="0"/>
              <w:jc w:val="center"/>
              <w:rPr>
                <w:b/>
              </w:rPr>
            </w:pPr>
            <w:r w:rsidRPr="0058368C">
              <w:rPr>
                <w:b/>
              </w:rPr>
              <w:t>(2024)</w:t>
            </w:r>
          </w:p>
        </w:tc>
        <w:tc>
          <w:tcPr>
            <w:tcW w:w="647" w:type="pct"/>
            <w:shd w:val="clear" w:color="auto" w:fill="auto"/>
            <w:vAlign w:val="center"/>
          </w:tcPr>
          <w:p w:rsidR="005A3CFB" w:rsidRPr="0058368C" w:rsidRDefault="005A3CFB" w:rsidP="004A6760">
            <w:pPr>
              <w:pStyle w:val="TableText"/>
              <w:keepNext w:val="0"/>
              <w:jc w:val="center"/>
              <w:rPr>
                <w:b/>
              </w:rPr>
            </w:pPr>
            <w:r w:rsidRPr="0058368C">
              <w:rPr>
                <w:b/>
              </w:rPr>
              <w:t>Year 5</w:t>
            </w:r>
          </w:p>
          <w:p w:rsidR="00AD7915" w:rsidRPr="0058368C" w:rsidRDefault="00AD7915" w:rsidP="004A6760">
            <w:pPr>
              <w:pStyle w:val="TableText"/>
              <w:keepNext w:val="0"/>
              <w:jc w:val="center"/>
              <w:rPr>
                <w:b/>
              </w:rPr>
            </w:pPr>
            <w:r w:rsidRPr="0058368C">
              <w:rPr>
                <w:b/>
              </w:rPr>
              <w:t>(2025)</w:t>
            </w:r>
          </w:p>
        </w:tc>
        <w:tc>
          <w:tcPr>
            <w:tcW w:w="647" w:type="pct"/>
          </w:tcPr>
          <w:p w:rsidR="005A3CFB" w:rsidRPr="0058368C" w:rsidRDefault="005A3CFB" w:rsidP="004A6760">
            <w:pPr>
              <w:pStyle w:val="TableText"/>
              <w:keepNext w:val="0"/>
              <w:jc w:val="center"/>
              <w:rPr>
                <w:b/>
              </w:rPr>
            </w:pPr>
            <w:r w:rsidRPr="0058368C">
              <w:rPr>
                <w:b/>
              </w:rPr>
              <w:t>Year 6</w:t>
            </w:r>
          </w:p>
          <w:p w:rsidR="00AD7915" w:rsidRPr="0058368C" w:rsidRDefault="00AD7915" w:rsidP="004A6760">
            <w:pPr>
              <w:pStyle w:val="TableText"/>
              <w:keepNext w:val="0"/>
              <w:jc w:val="center"/>
              <w:rPr>
                <w:b/>
              </w:rPr>
            </w:pPr>
            <w:r w:rsidRPr="0058368C">
              <w:rPr>
                <w:b/>
              </w:rPr>
              <w:t>(2026)</w:t>
            </w:r>
          </w:p>
        </w:tc>
      </w:tr>
      <w:tr w:rsidR="005A3CFB" w:rsidRPr="0058368C" w:rsidTr="008D1B54">
        <w:trPr>
          <w:jc w:val="center"/>
        </w:trPr>
        <w:tc>
          <w:tcPr>
            <w:tcW w:w="5000" w:type="pct"/>
            <w:gridSpan w:val="7"/>
            <w:shd w:val="clear" w:color="auto" w:fill="auto"/>
            <w:vAlign w:val="center"/>
          </w:tcPr>
          <w:p w:rsidR="005A3CFB" w:rsidRPr="0058368C" w:rsidRDefault="003075A2" w:rsidP="004A6760">
            <w:pPr>
              <w:pStyle w:val="TableText"/>
              <w:keepNext w:val="0"/>
              <w:rPr>
                <w:b/>
                <w:color w:val="000000"/>
              </w:rPr>
            </w:pPr>
            <w:r w:rsidRPr="0058368C">
              <w:rPr>
                <w:b/>
                <w:color w:val="000000"/>
              </w:rPr>
              <w:t xml:space="preserve">New listing </w:t>
            </w:r>
          </w:p>
        </w:tc>
      </w:tr>
      <w:tr w:rsidR="005A3CFB" w:rsidRPr="0058368C" w:rsidTr="008D1B54">
        <w:trPr>
          <w:jc w:val="center"/>
        </w:trPr>
        <w:tc>
          <w:tcPr>
            <w:tcW w:w="1118" w:type="pct"/>
            <w:shd w:val="clear" w:color="auto" w:fill="auto"/>
            <w:vAlign w:val="center"/>
          </w:tcPr>
          <w:p w:rsidR="005A3CFB" w:rsidRPr="00546ACD" w:rsidRDefault="005A3CFB">
            <w:pPr>
              <w:pStyle w:val="TableText"/>
              <w:keepNext w:val="0"/>
              <w:rPr>
                <w:vertAlign w:val="superscript"/>
              </w:rPr>
            </w:pPr>
            <w:r w:rsidRPr="0058368C">
              <w:t xml:space="preserve">Total number of scripts </w:t>
            </w:r>
          </w:p>
        </w:tc>
        <w:tc>
          <w:tcPr>
            <w:tcW w:w="647" w:type="pct"/>
            <w:shd w:val="clear" w:color="auto" w:fill="auto"/>
            <w:vAlign w:val="center"/>
          </w:tcPr>
          <w:p w:rsidR="005A3CFB" w:rsidRPr="00D20DF7" w:rsidRDefault="00D20DF7" w:rsidP="004A6760">
            <w:pPr>
              <w:pStyle w:val="TableText"/>
              <w:keepNext w:val="0"/>
              <w:jc w:val="right"/>
            </w:pPr>
            <w:r>
              <w:rPr>
                <w:noProof/>
                <w:color w:val="000000"/>
                <w:highlight w:val="black"/>
              </w:rPr>
              <w:t>'''''''''''''</w:t>
            </w:r>
            <w:r w:rsidR="00546ACD">
              <w:rPr>
                <w:vertAlign w:val="superscript"/>
              </w:rPr>
              <w:t>1</w:t>
            </w:r>
            <w:r>
              <w:rPr>
                <w:noProof/>
                <w:color w:val="000000"/>
                <w:highlight w:val="black"/>
              </w:rPr>
              <w:t xml:space="preserve"> </w:t>
            </w:r>
          </w:p>
        </w:tc>
        <w:tc>
          <w:tcPr>
            <w:tcW w:w="647" w:type="pct"/>
            <w:shd w:val="clear" w:color="auto" w:fill="auto"/>
            <w:vAlign w:val="center"/>
          </w:tcPr>
          <w:p w:rsidR="005A3CFB" w:rsidRPr="00D20DF7" w:rsidRDefault="00D20DF7" w:rsidP="004A6760">
            <w:pPr>
              <w:pStyle w:val="TableText"/>
              <w:keepNext w:val="0"/>
              <w:jc w:val="right"/>
            </w:pPr>
            <w:r>
              <w:rPr>
                <w:noProof/>
                <w:color w:val="000000"/>
                <w:highlight w:val="black"/>
              </w:rPr>
              <w:t>''''''''''''</w:t>
            </w:r>
            <w:r w:rsidR="00546ACD">
              <w:rPr>
                <w:vertAlign w:val="superscript"/>
              </w:rPr>
              <w:t>2</w:t>
            </w:r>
            <w:r>
              <w:rPr>
                <w:noProof/>
                <w:color w:val="000000"/>
                <w:highlight w:val="black"/>
              </w:rPr>
              <w:t xml:space="preserve"> </w:t>
            </w:r>
          </w:p>
        </w:tc>
        <w:tc>
          <w:tcPr>
            <w:tcW w:w="647" w:type="pct"/>
            <w:shd w:val="clear" w:color="auto" w:fill="auto"/>
            <w:vAlign w:val="center"/>
          </w:tcPr>
          <w:p w:rsidR="005A3CFB" w:rsidRPr="00D20DF7" w:rsidRDefault="00D20DF7" w:rsidP="004A6760">
            <w:pPr>
              <w:pStyle w:val="TableText"/>
              <w:keepNext w:val="0"/>
              <w:jc w:val="right"/>
            </w:pPr>
            <w:r>
              <w:rPr>
                <w:noProof/>
                <w:color w:val="000000"/>
                <w:highlight w:val="black"/>
              </w:rPr>
              <w:t>'''''''''''''</w:t>
            </w:r>
            <w:r w:rsidR="00546ACD">
              <w:rPr>
                <w:vertAlign w:val="superscript"/>
              </w:rPr>
              <w:t>2</w:t>
            </w:r>
            <w:r>
              <w:rPr>
                <w:noProof/>
                <w:color w:val="000000"/>
                <w:highlight w:val="black"/>
              </w:rPr>
              <w:t xml:space="preserve"> </w:t>
            </w:r>
          </w:p>
        </w:tc>
        <w:tc>
          <w:tcPr>
            <w:tcW w:w="647" w:type="pct"/>
            <w:shd w:val="clear" w:color="auto" w:fill="auto"/>
            <w:vAlign w:val="center"/>
          </w:tcPr>
          <w:p w:rsidR="005A3CFB" w:rsidRPr="00D20DF7" w:rsidRDefault="00D20DF7" w:rsidP="004A6760">
            <w:pPr>
              <w:pStyle w:val="TableText"/>
              <w:keepNext w:val="0"/>
              <w:jc w:val="right"/>
            </w:pPr>
            <w:r>
              <w:rPr>
                <w:noProof/>
                <w:color w:val="000000"/>
                <w:highlight w:val="black"/>
              </w:rPr>
              <w:t>'''''''''''''''</w:t>
            </w:r>
            <w:r w:rsidR="00546ACD">
              <w:rPr>
                <w:vertAlign w:val="superscript"/>
              </w:rPr>
              <w:t>3</w:t>
            </w:r>
            <w:r>
              <w:rPr>
                <w:noProof/>
                <w:color w:val="000000"/>
                <w:highlight w:val="black"/>
              </w:rPr>
              <w:t xml:space="preserve"> </w:t>
            </w:r>
          </w:p>
        </w:tc>
        <w:tc>
          <w:tcPr>
            <w:tcW w:w="647" w:type="pct"/>
            <w:shd w:val="clear" w:color="auto" w:fill="auto"/>
            <w:vAlign w:val="center"/>
          </w:tcPr>
          <w:p w:rsidR="005A3CFB" w:rsidRPr="00D20DF7" w:rsidRDefault="00D20DF7" w:rsidP="004A6760">
            <w:pPr>
              <w:pStyle w:val="TableText"/>
              <w:keepNext w:val="0"/>
              <w:jc w:val="right"/>
            </w:pPr>
            <w:r>
              <w:rPr>
                <w:noProof/>
                <w:color w:val="000000"/>
                <w:highlight w:val="black"/>
              </w:rPr>
              <w:t>''''''''''''''''</w:t>
            </w:r>
            <w:r w:rsidR="00546ACD">
              <w:rPr>
                <w:vertAlign w:val="superscript"/>
              </w:rPr>
              <w:t>3</w:t>
            </w:r>
            <w:r>
              <w:rPr>
                <w:noProof/>
                <w:color w:val="000000"/>
                <w:highlight w:val="black"/>
              </w:rPr>
              <w:t xml:space="preserve"> </w:t>
            </w:r>
          </w:p>
        </w:tc>
        <w:tc>
          <w:tcPr>
            <w:tcW w:w="647" w:type="pct"/>
            <w:vAlign w:val="center"/>
          </w:tcPr>
          <w:p w:rsidR="005A3CFB" w:rsidRPr="00D20DF7" w:rsidRDefault="00D20DF7" w:rsidP="004A6760">
            <w:pPr>
              <w:pStyle w:val="TableText"/>
              <w:keepNext w:val="0"/>
              <w:jc w:val="right"/>
            </w:pPr>
            <w:r>
              <w:rPr>
                <w:noProof/>
                <w:color w:val="000000"/>
                <w:highlight w:val="black"/>
              </w:rPr>
              <w:t>''''''''''''''''</w:t>
            </w:r>
            <w:r w:rsidR="00546ACD">
              <w:rPr>
                <w:vertAlign w:val="superscript"/>
              </w:rPr>
              <w:t>3</w:t>
            </w:r>
            <w:r>
              <w:rPr>
                <w:noProof/>
                <w:color w:val="000000"/>
                <w:highlight w:val="black"/>
              </w:rPr>
              <w:t xml:space="preserve"> </w:t>
            </w:r>
          </w:p>
        </w:tc>
      </w:tr>
      <w:tr w:rsidR="005A3CFB" w:rsidRPr="0058368C" w:rsidTr="008D1B54">
        <w:trPr>
          <w:jc w:val="center"/>
        </w:trPr>
        <w:tc>
          <w:tcPr>
            <w:tcW w:w="1118" w:type="pct"/>
            <w:shd w:val="clear" w:color="auto" w:fill="auto"/>
            <w:vAlign w:val="center"/>
          </w:tcPr>
          <w:p w:rsidR="005A3CFB" w:rsidRPr="0058368C" w:rsidRDefault="005A3CFB" w:rsidP="004A6760">
            <w:pPr>
              <w:pStyle w:val="TableText"/>
              <w:keepNext w:val="0"/>
            </w:pPr>
            <w:r w:rsidRPr="0058368C">
              <w:t>Cost of Revive Tears</w:t>
            </w:r>
            <w:r w:rsidR="00BA0034" w:rsidRPr="0058368C">
              <w:t>*</w:t>
            </w:r>
            <w:r w:rsidRPr="0058368C">
              <w:t xml:space="preserve"> to PBS/RPBS (excl. patient copayments</w:t>
            </w:r>
            <w:r w:rsidR="00526D1D" w:rsidRPr="0058368C">
              <w:t>)</w:t>
            </w:r>
          </w:p>
        </w:tc>
        <w:tc>
          <w:tcPr>
            <w:tcW w:w="647" w:type="pct"/>
            <w:shd w:val="clear" w:color="auto" w:fill="auto"/>
            <w:vAlign w:val="center"/>
          </w:tcPr>
          <w:p w:rsidR="005A3CFB" w:rsidRPr="0058368C" w:rsidRDefault="005A3CFB" w:rsidP="004A6760">
            <w:pPr>
              <w:pStyle w:val="TableText"/>
              <w:keepNext w:val="0"/>
              <w:jc w:val="right"/>
              <w:rPr>
                <w:color w:val="000000"/>
              </w:rPr>
            </w:pPr>
            <w:r w:rsidRPr="0058368C">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58368C" w:rsidRDefault="000F35AF" w:rsidP="004A6760">
            <w:pPr>
              <w:pStyle w:val="TableText"/>
              <w:keepNext w:val="0"/>
              <w:jc w:val="right"/>
              <w:rPr>
                <w:color w:val="000000"/>
              </w:rPr>
            </w:pPr>
            <w:r w:rsidRPr="0058368C">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58368C" w:rsidRDefault="005A3CFB" w:rsidP="004A6760">
            <w:pPr>
              <w:pStyle w:val="TableText"/>
              <w:keepNext w:val="0"/>
              <w:jc w:val="right"/>
              <w:rPr>
                <w:color w:val="000000"/>
              </w:rPr>
            </w:pPr>
            <w:r w:rsidRPr="0058368C">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58368C" w:rsidRDefault="005A3CFB" w:rsidP="004A6760">
            <w:pPr>
              <w:pStyle w:val="TableText"/>
              <w:keepNext w:val="0"/>
              <w:jc w:val="right"/>
              <w:rPr>
                <w:color w:val="000000"/>
              </w:rPr>
            </w:pPr>
            <w:r w:rsidRPr="0058368C">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58368C" w:rsidRDefault="005A3CFB" w:rsidP="004A6760">
            <w:pPr>
              <w:pStyle w:val="TableText"/>
              <w:keepNext w:val="0"/>
              <w:jc w:val="right"/>
              <w:rPr>
                <w:color w:val="000000"/>
              </w:rPr>
            </w:pPr>
            <w:r w:rsidRPr="0058368C">
              <w:t>$</w:t>
            </w:r>
            <w:r w:rsidR="00D20DF7">
              <w:rPr>
                <w:noProof/>
                <w:color w:val="000000"/>
                <w:highlight w:val="black"/>
              </w:rPr>
              <w:t>'''''''''''''''''''</w:t>
            </w:r>
            <w:r w:rsidR="00546ACD">
              <w:rPr>
                <w:vertAlign w:val="superscript"/>
              </w:rPr>
              <w:t>4</w:t>
            </w:r>
          </w:p>
        </w:tc>
        <w:tc>
          <w:tcPr>
            <w:tcW w:w="647" w:type="pct"/>
            <w:vAlign w:val="center"/>
          </w:tcPr>
          <w:p w:rsidR="005A3CFB" w:rsidRPr="0058368C" w:rsidRDefault="005A3CFB" w:rsidP="004A6760">
            <w:pPr>
              <w:pStyle w:val="TableText"/>
              <w:keepNext w:val="0"/>
              <w:jc w:val="right"/>
              <w:rPr>
                <w:color w:val="000000"/>
              </w:rPr>
            </w:pPr>
            <w:r w:rsidRPr="0058368C">
              <w:t>$</w:t>
            </w:r>
            <w:r w:rsidR="00D20DF7">
              <w:rPr>
                <w:noProof/>
                <w:color w:val="000000"/>
                <w:highlight w:val="black"/>
              </w:rPr>
              <w:t>''''''''''''''''''</w:t>
            </w:r>
            <w:r w:rsidR="00546ACD">
              <w:rPr>
                <w:vertAlign w:val="superscript"/>
              </w:rPr>
              <w:t>4</w:t>
            </w:r>
          </w:p>
        </w:tc>
      </w:tr>
      <w:tr w:rsidR="00526D1D" w:rsidRPr="0058368C" w:rsidTr="00526D1D">
        <w:trPr>
          <w:jc w:val="center"/>
        </w:trPr>
        <w:tc>
          <w:tcPr>
            <w:tcW w:w="5000" w:type="pct"/>
            <w:gridSpan w:val="7"/>
            <w:shd w:val="clear" w:color="auto" w:fill="auto"/>
            <w:vAlign w:val="center"/>
          </w:tcPr>
          <w:p w:rsidR="00526D1D" w:rsidRPr="0058368C" w:rsidRDefault="003075A2" w:rsidP="004A6760">
            <w:pPr>
              <w:pStyle w:val="TableText"/>
              <w:keepNext w:val="0"/>
              <w:rPr>
                <w:b/>
              </w:rPr>
            </w:pPr>
            <w:r w:rsidRPr="0058368C">
              <w:rPr>
                <w:b/>
              </w:rPr>
              <w:t xml:space="preserve">Affected listings </w:t>
            </w:r>
          </w:p>
        </w:tc>
      </w:tr>
      <w:tr w:rsidR="00526D1D" w:rsidRPr="0058368C" w:rsidTr="008D1B54">
        <w:trPr>
          <w:jc w:val="center"/>
        </w:trPr>
        <w:tc>
          <w:tcPr>
            <w:tcW w:w="1118" w:type="pct"/>
            <w:shd w:val="clear" w:color="auto" w:fill="auto"/>
            <w:vAlign w:val="center"/>
          </w:tcPr>
          <w:p w:rsidR="00526D1D" w:rsidRPr="0058368C" w:rsidRDefault="00526D1D" w:rsidP="004A6760">
            <w:pPr>
              <w:pStyle w:val="TableText"/>
              <w:keepNext w:val="0"/>
            </w:pPr>
            <w:r w:rsidRPr="0058368C">
              <w:t xml:space="preserve">Total number of scripts </w:t>
            </w:r>
          </w:p>
        </w:tc>
        <w:tc>
          <w:tcPr>
            <w:tcW w:w="647" w:type="pct"/>
            <w:shd w:val="clear" w:color="auto" w:fill="auto"/>
            <w:vAlign w:val="center"/>
          </w:tcPr>
          <w:p w:rsidR="00526D1D" w:rsidRPr="0058368C" w:rsidRDefault="00526D1D" w:rsidP="004A6760">
            <w:pPr>
              <w:pStyle w:val="TableText"/>
              <w:keepNext w:val="0"/>
              <w:jc w:val="right"/>
            </w:pPr>
            <w:r w:rsidRPr="0058368C">
              <w:rPr>
                <w:rFonts w:cs="Arial"/>
                <w:bCs w:val="0"/>
                <w:szCs w:val="20"/>
              </w:rPr>
              <w:t>-</w:t>
            </w:r>
            <w:r w:rsidR="00D20DF7">
              <w:rPr>
                <w:noProof/>
                <w:color w:val="000000"/>
                <w:highlight w:val="black"/>
              </w:rPr>
              <w:t>'''''''''''''</w:t>
            </w:r>
            <w:r w:rsidR="00546ACD">
              <w:rPr>
                <w:vertAlign w:val="superscript"/>
              </w:rPr>
              <w:t>1</w:t>
            </w:r>
            <w:r w:rsidRPr="0058368C">
              <w:rPr>
                <w:rFonts w:cs="Arial"/>
                <w:bCs w:val="0"/>
                <w:szCs w:val="20"/>
              </w:rPr>
              <w:t xml:space="preserve"> </w:t>
            </w:r>
          </w:p>
        </w:tc>
        <w:tc>
          <w:tcPr>
            <w:tcW w:w="647" w:type="pct"/>
            <w:shd w:val="clear" w:color="auto" w:fill="auto"/>
            <w:vAlign w:val="center"/>
          </w:tcPr>
          <w:p w:rsidR="00526D1D" w:rsidRPr="00D20DF7" w:rsidRDefault="00526D1D" w:rsidP="004A6760">
            <w:pPr>
              <w:pStyle w:val="TableText"/>
              <w:keepNext w:val="0"/>
              <w:jc w:val="right"/>
            </w:pPr>
            <w:r w:rsidRPr="003B07D7">
              <w:t>-</w:t>
            </w:r>
            <w:r w:rsidR="00D20DF7">
              <w:rPr>
                <w:noProof/>
                <w:color w:val="000000"/>
                <w:highlight w:val="black"/>
              </w:rPr>
              <w:t>''''''''''''''</w:t>
            </w:r>
            <w:r w:rsidR="00546ACD">
              <w:rPr>
                <w:vertAlign w:val="superscript"/>
              </w:rPr>
              <w:t>2</w:t>
            </w:r>
            <w:r w:rsidR="00D20DF7">
              <w:rPr>
                <w:noProof/>
                <w:color w:val="000000"/>
                <w:highlight w:val="black"/>
              </w:rPr>
              <w:t xml:space="preserve"> </w:t>
            </w:r>
          </w:p>
        </w:tc>
        <w:tc>
          <w:tcPr>
            <w:tcW w:w="647" w:type="pct"/>
            <w:shd w:val="clear" w:color="auto" w:fill="auto"/>
            <w:vAlign w:val="center"/>
          </w:tcPr>
          <w:p w:rsidR="00526D1D" w:rsidRPr="00D20DF7" w:rsidRDefault="00526D1D" w:rsidP="004A6760">
            <w:pPr>
              <w:pStyle w:val="TableText"/>
              <w:keepNext w:val="0"/>
              <w:jc w:val="right"/>
            </w:pPr>
            <w:r w:rsidRPr="003B07D7">
              <w:t>-</w:t>
            </w:r>
            <w:r w:rsidR="00D20DF7">
              <w:rPr>
                <w:noProof/>
                <w:color w:val="000000"/>
                <w:highlight w:val="black"/>
              </w:rPr>
              <w:t>'''''''''''''</w:t>
            </w:r>
            <w:r w:rsidR="00546ACD">
              <w:rPr>
                <w:vertAlign w:val="superscript"/>
              </w:rPr>
              <w:t>2</w:t>
            </w:r>
            <w:r w:rsidR="00D20DF7">
              <w:rPr>
                <w:noProof/>
                <w:color w:val="000000"/>
                <w:highlight w:val="black"/>
              </w:rPr>
              <w:t xml:space="preserve"> </w:t>
            </w:r>
          </w:p>
        </w:tc>
        <w:tc>
          <w:tcPr>
            <w:tcW w:w="647" w:type="pct"/>
            <w:shd w:val="clear" w:color="auto" w:fill="auto"/>
            <w:vAlign w:val="center"/>
          </w:tcPr>
          <w:p w:rsidR="00526D1D" w:rsidRPr="00D20DF7" w:rsidRDefault="00526D1D" w:rsidP="004A6760">
            <w:pPr>
              <w:pStyle w:val="TableText"/>
              <w:keepNext w:val="0"/>
              <w:jc w:val="right"/>
            </w:pPr>
            <w:r w:rsidRPr="003B07D7">
              <w:t>-</w:t>
            </w:r>
            <w:r w:rsidR="00D20DF7">
              <w:rPr>
                <w:noProof/>
                <w:color w:val="000000"/>
                <w:highlight w:val="black"/>
              </w:rPr>
              <w:t>'''''''''''''''''</w:t>
            </w:r>
            <w:r w:rsidR="00546ACD">
              <w:rPr>
                <w:vertAlign w:val="superscript"/>
              </w:rPr>
              <w:t>3</w:t>
            </w:r>
            <w:r w:rsidR="00D20DF7">
              <w:rPr>
                <w:noProof/>
                <w:color w:val="000000"/>
                <w:highlight w:val="black"/>
              </w:rPr>
              <w:t xml:space="preserve"> </w:t>
            </w:r>
          </w:p>
        </w:tc>
        <w:tc>
          <w:tcPr>
            <w:tcW w:w="647" w:type="pct"/>
            <w:shd w:val="clear" w:color="auto" w:fill="auto"/>
            <w:vAlign w:val="center"/>
          </w:tcPr>
          <w:p w:rsidR="00526D1D" w:rsidRPr="00D20DF7" w:rsidRDefault="00526D1D" w:rsidP="004A6760">
            <w:pPr>
              <w:pStyle w:val="TableText"/>
              <w:keepNext w:val="0"/>
              <w:jc w:val="right"/>
            </w:pPr>
            <w:r w:rsidRPr="003B07D7">
              <w:t>-</w:t>
            </w:r>
            <w:r w:rsidR="00D20DF7">
              <w:rPr>
                <w:noProof/>
                <w:color w:val="000000"/>
                <w:highlight w:val="black"/>
              </w:rPr>
              <w:t>'''''''''''''''</w:t>
            </w:r>
            <w:r w:rsidR="00546ACD">
              <w:rPr>
                <w:vertAlign w:val="superscript"/>
              </w:rPr>
              <w:t>3</w:t>
            </w:r>
            <w:r w:rsidR="00D20DF7">
              <w:rPr>
                <w:noProof/>
                <w:color w:val="000000"/>
                <w:highlight w:val="black"/>
              </w:rPr>
              <w:t xml:space="preserve"> </w:t>
            </w:r>
          </w:p>
        </w:tc>
        <w:tc>
          <w:tcPr>
            <w:tcW w:w="647" w:type="pct"/>
            <w:vAlign w:val="center"/>
          </w:tcPr>
          <w:p w:rsidR="00526D1D" w:rsidRPr="00D20DF7" w:rsidRDefault="00526D1D" w:rsidP="004A6760">
            <w:pPr>
              <w:pStyle w:val="TableText"/>
              <w:keepNext w:val="0"/>
              <w:jc w:val="right"/>
            </w:pPr>
            <w:r w:rsidRPr="003B07D7">
              <w:t>-</w:t>
            </w:r>
            <w:r w:rsidR="00D20DF7">
              <w:rPr>
                <w:noProof/>
                <w:color w:val="000000"/>
                <w:highlight w:val="black"/>
              </w:rPr>
              <w:t>'''''''''''''''''</w:t>
            </w:r>
            <w:r w:rsidR="00546ACD">
              <w:rPr>
                <w:vertAlign w:val="superscript"/>
              </w:rPr>
              <w:t>3</w:t>
            </w:r>
            <w:r w:rsidR="00D20DF7">
              <w:rPr>
                <w:noProof/>
                <w:color w:val="000000"/>
                <w:highlight w:val="black"/>
              </w:rPr>
              <w:t xml:space="preserve"> </w:t>
            </w:r>
          </w:p>
        </w:tc>
      </w:tr>
      <w:tr w:rsidR="005A3CFB" w:rsidRPr="0058368C" w:rsidTr="008D1B54">
        <w:trPr>
          <w:jc w:val="center"/>
        </w:trPr>
        <w:tc>
          <w:tcPr>
            <w:tcW w:w="1118" w:type="pct"/>
            <w:shd w:val="clear" w:color="auto" w:fill="auto"/>
            <w:vAlign w:val="center"/>
          </w:tcPr>
          <w:p w:rsidR="005A3CFB" w:rsidRPr="0058368C" w:rsidRDefault="005A3CFB" w:rsidP="004A6760">
            <w:pPr>
              <w:pStyle w:val="TableText"/>
              <w:keepNext w:val="0"/>
            </w:pPr>
            <w:r w:rsidRPr="0058368C">
              <w:t xml:space="preserve">Cost </w:t>
            </w:r>
            <w:r w:rsidR="000F35AF" w:rsidRPr="0058368C">
              <w:t xml:space="preserve">to PBS/RPBS </w:t>
            </w:r>
            <w:r w:rsidRPr="0058368C">
              <w:t>of Genteal and In A Wink Moisturising)</w:t>
            </w:r>
            <w:r w:rsidR="00526D1D" w:rsidRPr="0058368C">
              <w:t xml:space="preserve"> (excl. patient copayments)</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r>
      <w:tr w:rsidR="005A3CFB" w:rsidRPr="0058368C" w:rsidTr="008D1B54">
        <w:trPr>
          <w:jc w:val="center"/>
        </w:trPr>
        <w:tc>
          <w:tcPr>
            <w:tcW w:w="5000" w:type="pct"/>
            <w:gridSpan w:val="7"/>
            <w:shd w:val="clear" w:color="auto" w:fill="auto"/>
            <w:vAlign w:val="center"/>
          </w:tcPr>
          <w:p w:rsidR="005A3CFB" w:rsidRPr="0058368C" w:rsidRDefault="005A3CFB" w:rsidP="004A6760">
            <w:pPr>
              <w:pStyle w:val="TableText"/>
              <w:keepNext w:val="0"/>
              <w:rPr>
                <w:b/>
                <w:color w:val="000000"/>
              </w:rPr>
            </w:pPr>
            <w:r w:rsidRPr="0058368C">
              <w:rPr>
                <w:b/>
                <w:color w:val="000000"/>
              </w:rPr>
              <w:t xml:space="preserve">Estimated net financial implications </w:t>
            </w:r>
          </w:p>
        </w:tc>
      </w:tr>
      <w:tr w:rsidR="005A3CFB" w:rsidRPr="0058368C" w:rsidTr="008D1B54">
        <w:trPr>
          <w:jc w:val="center"/>
        </w:trPr>
        <w:tc>
          <w:tcPr>
            <w:tcW w:w="1118" w:type="pct"/>
            <w:shd w:val="clear" w:color="auto" w:fill="auto"/>
            <w:vAlign w:val="center"/>
          </w:tcPr>
          <w:p w:rsidR="005A3CFB" w:rsidRPr="0058368C" w:rsidRDefault="005A3CFB" w:rsidP="004A6760">
            <w:pPr>
              <w:pStyle w:val="TableText"/>
              <w:keepNext w:val="0"/>
            </w:pPr>
            <w:r w:rsidRPr="0058368C">
              <w:t>Net cost to PBS/RPBS</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3B07D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shd w:val="clear" w:color="auto" w:fill="auto"/>
            <w:vAlign w:val="center"/>
          </w:tcPr>
          <w:p w:rsidR="005A3CFB" w:rsidRPr="00D20DF7" w:rsidRDefault="005A3CFB" w:rsidP="004A6760">
            <w:pPr>
              <w:pStyle w:val="TableText"/>
              <w:keepNext w:val="0"/>
              <w:jc w:val="right"/>
            </w:pPr>
            <w:r w:rsidRPr="00546ACD">
              <w:t>-$</w:t>
            </w:r>
            <w:r w:rsidR="00D20DF7">
              <w:rPr>
                <w:noProof/>
                <w:color w:val="000000"/>
                <w:highlight w:val="black"/>
              </w:rPr>
              <w:t>''''''''''''''</w:t>
            </w:r>
            <w:r w:rsidR="00546ACD">
              <w:rPr>
                <w:vertAlign w:val="superscript"/>
              </w:rPr>
              <w:t>4</w:t>
            </w:r>
          </w:p>
        </w:tc>
        <w:tc>
          <w:tcPr>
            <w:tcW w:w="647" w:type="pct"/>
            <w:vAlign w:val="center"/>
          </w:tcPr>
          <w:p w:rsidR="005A3CFB" w:rsidRPr="0058368C" w:rsidRDefault="005A3CFB" w:rsidP="004A6760">
            <w:pPr>
              <w:pStyle w:val="TableText"/>
              <w:keepNext w:val="0"/>
              <w:jc w:val="right"/>
              <w:rPr>
                <w:rFonts w:ascii="Arial" w:hAnsi="Arial" w:cs="Arial"/>
                <w:b/>
                <w:bCs w:val="0"/>
                <w:color w:val="FF0000"/>
                <w:szCs w:val="20"/>
              </w:rPr>
            </w:pPr>
            <w:r w:rsidRPr="0058368C">
              <w:t>-$</w:t>
            </w:r>
            <w:r w:rsidR="00D20DF7">
              <w:rPr>
                <w:noProof/>
                <w:color w:val="000000"/>
                <w:highlight w:val="black"/>
              </w:rPr>
              <w:t>''''''''''''''</w:t>
            </w:r>
            <w:r w:rsidR="00546ACD">
              <w:rPr>
                <w:vertAlign w:val="superscript"/>
              </w:rPr>
              <w:t>4</w:t>
            </w:r>
          </w:p>
        </w:tc>
      </w:tr>
    </w:tbl>
    <w:p w:rsidR="003075A2" w:rsidRDefault="001159EC" w:rsidP="004A6760">
      <w:pPr>
        <w:pStyle w:val="TableFigureFooter"/>
      </w:pPr>
      <w:r w:rsidRPr="0058368C">
        <w:t xml:space="preserve"> </w:t>
      </w:r>
      <w:r w:rsidR="005A3CFB" w:rsidRPr="0058368C">
        <w:t xml:space="preserve">Source: </w:t>
      </w:r>
      <w:r w:rsidR="00B3089D" w:rsidRPr="0058368C">
        <w:t>Submission u</w:t>
      </w:r>
      <w:r w:rsidR="005A3CFB" w:rsidRPr="0058368C">
        <w:t>tilisation and cos</w:t>
      </w:r>
      <w:r w:rsidR="00B3089D" w:rsidRPr="0058368C">
        <w:t>t model workbook</w:t>
      </w:r>
    </w:p>
    <w:p w:rsidR="00546ACD" w:rsidRDefault="00546ACD" w:rsidP="00546ACD">
      <w:pPr>
        <w:pStyle w:val="TableFigureFooter"/>
        <w:spacing w:after="0"/>
        <w:contextualSpacing w:val="0"/>
        <w:rPr>
          <w:i/>
        </w:rPr>
      </w:pPr>
      <w:r w:rsidRPr="009868C4">
        <w:rPr>
          <w:i/>
        </w:rPr>
        <w:t>The redacted values correspond to the following ranges</w:t>
      </w:r>
      <w:r>
        <w:rPr>
          <w:i/>
        </w:rPr>
        <w:t xml:space="preserve">: </w:t>
      </w:r>
    </w:p>
    <w:p w:rsidR="00546ACD" w:rsidRPr="00870C5D" w:rsidRDefault="00546ACD" w:rsidP="00546ACD">
      <w:pPr>
        <w:pStyle w:val="TableFigureFooter"/>
        <w:spacing w:after="0"/>
        <w:contextualSpacing w:val="0"/>
      </w:pPr>
      <w:r>
        <w:rPr>
          <w:i/>
          <w:vertAlign w:val="superscript"/>
        </w:rPr>
        <w:t>1</w:t>
      </w:r>
      <w:r>
        <w:rPr>
          <w:i/>
        </w:rPr>
        <w:t xml:space="preserve"> </w:t>
      </w:r>
      <w:r w:rsidRPr="00546ACD">
        <w:rPr>
          <w:i/>
        </w:rPr>
        <w:t>500 to &lt; 5,000</w:t>
      </w:r>
    </w:p>
    <w:p w:rsidR="00546ACD" w:rsidRPr="00870C5D" w:rsidRDefault="00546ACD" w:rsidP="00546ACD">
      <w:pPr>
        <w:pStyle w:val="TableFigureFooter"/>
        <w:spacing w:after="0"/>
        <w:contextualSpacing w:val="0"/>
      </w:pPr>
      <w:r>
        <w:rPr>
          <w:i/>
          <w:vertAlign w:val="superscript"/>
        </w:rPr>
        <w:t>2</w:t>
      </w:r>
      <w:r>
        <w:rPr>
          <w:i/>
        </w:rPr>
        <w:t xml:space="preserve"> </w:t>
      </w:r>
      <w:r w:rsidRPr="00546ACD">
        <w:rPr>
          <w:i/>
        </w:rPr>
        <w:t>5,000 to &lt; 10,000</w:t>
      </w:r>
    </w:p>
    <w:p w:rsidR="00546ACD" w:rsidRPr="00870C5D" w:rsidRDefault="00546ACD" w:rsidP="00546ACD">
      <w:pPr>
        <w:pStyle w:val="TableFigureFooter"/>
        <w:spacing w:after="0"/>
        <w:contextualSpacing w:val="0"/>
      </w:pPr>
      <w:r>
        <w:rPr>
          <w:i/>
          <w:vertAlign w:val="superscript"/>
        </w:rPr>
        <w:t>3</w:t>
      </w:r>
      <w:r>
        <w:rPr>
          <w:i/>
        </w:rPr>
        <w:t xml:space="preserve"> </w:t>
      </w:r>
      <w:r w:rsidRPr="00546ACD">
        <w:rPr>
          <w:i/>
        </w:rPr>
        <w:t>10,000 to &lt; 20,000</w:t>
      </w:r>
    </w:p>
    <w:p w:rsidR="00546ACD" w:rsidRPr="00870C5D" w:rsidRDefault="00546ACD" w:rsidP="00546ACD">
      <w:pPr>
        <w:pStyle w:val="TableFigureFooter"/>
        <w:spacing w:after="0"/>
        <w:contextualSpacing w:val="0"/>
      </w:pPr>
      <w:r>
        <w:rPr>
          <w:i/>
          <w:vertAlign w:val="superscript"/>
        </w:rPr>
        <w:t>4</w:t>
      </w:r>
      <w:r>
        <w:rPr>
          <w:i/>
        </w:rPr>
        <w:t xml:space="preserve"> </w:t>
      </w:r>
      <w:r w:rsidRPr="00546ACD">
        <w:rPr>
          <w:i/>
        </w:rPr>
        <w:t>$0 to &lt; $10 million</w:t>
      </w:r>
    </w:p>
    <w:p w:rsidR="00546ACD" w:rsidRPr="0058368C" w:rsidRDefault="00546ACD" w:rsidP="004A6760">
      <w:pPr>
        <w:pStyle w:val="TableFigureFooter"/>
      </w:pPr>
    </w:p>
    <w:p w:rsidR="002B61C6" w:rsidRPr="0058368C" w:rsidRDefault="002B61C6" w:rsidP="004A6760">
      <w:pPr>
        <w:spacing w:after="120"/>
        <w:ind w:firstLine="709"/>
        <w:rPr>
          <w:i/>
          <w:lang w:eastAsia="en-US"/>
        </w:rPr>
      </w:pPr>
      <w:r w:rsidRPr="0058368C">
        <w:rPr>
          <w:i/>
          <w:lang w:eastAsia="en-US"/>
        </w:rPr>
        <w:t>For more detail on PBAC’s view, see section 5 PBAC outcome.</w:t>
      </w:r>
    </w:p>
    <w:p w:rsidR="00866800" w:rsidRPr="0058368C" w:rsidRDefault="00866800" w:rsidP="004A6760">
      <w:pPr>
        <w:pStyle w:val="Heading1"/>
        <w:keepLines/>
        <w:numPr>
          <w:ilvl w:val="0"/>
          <w:numId w:val="3"/>
        </w:numPr>
        <w:spacing w:before="240"/>
        <w:ind w:left="709" w:hanging="709"/>
        <w:rPr>
          <w:sz w:val="32"/>
          <w:szCs w:val="32"/>
        </w:rPr>
      </w:pPr>
      <w:r w:rsidRPr="0058368C">
        <w:rPr>
          <w:sz w:val="32"/>
          <w:szCs w:val="32"/>
        </w:rPr>
        <w:t>PBAC Outcome</w:t>
      </w:r>
    </w:p>
    <w:p w:rsidR="00714B91" w:rsidRPr="00447F2C" w:rsidRDefault="00866800" w:rsidP="004A6760">
      <w:pPr>
        <w:pStyle w:val="3Bodytext"/>
        <w:rPr>
          <w:snapToGrid w:val="0"/>
        </w:rPr>
      </w:pPr>
      <w:r w:rsidRPr="00447F2C">
        <w:rPr>
          <w:snapToGrid w:val="0"/>
        </w:rPr>
        <w:t xml:space="preserve">The PBAC recommended the listing of </w:t>
      </w:r>
      <w:r w:rsidR="00714B91" w:rsidRPr="00447F2C">
        <w:rPr>
          <w:snapToGrid w:val="0"/>
        </w:rPr>
        <w:t xml:space="preserve">a new generic brand of </w:t>
      </w:r>
      <w:r w:rsidR="00304F5A" w:rsidRPr="00447F2C">
        <w:rPr>
          <w:snapToGrid w:val="0"/>
        </w:rPr>
        <w:t>hypromellose 3</w:t>
      </w:r>
      <w:r w:rsidR="008C2387">
        <w:rPr>
          <w:snapToGrid w:val="0"/>
        </w:rPr>
        <w:t> </w:t>
      </w:r>
      <w:r w:rsidR="00304F5A" w:rsidRPr="00447F2C">
        <w:rPr>
          <w:snapToGrid w:val="0"/>
        </w:rPr>
        <w:t>mg</w:t>
      </w:r>
      <w:r w:rsidR="008C2387">
        <w:rPr>
          <w:snapToGrid w:val="0"/>
        </w:rPr>
        <w:t> </w:t>
      </w:r>
      <w:r w:rsidR="00304F5A" w:rsidRPr="00447F2C">
        <w:rPr>
          <w:snapToGrid w:val="0"/>
        </w:rPr>
        <w:t>per</w:t>
      </w:r>
      <w:r w:rsidR="008C2387">
        <w:rPr>
          <w:snapToGrid w:val="0"/>
        </w:rPr>
        <w:t> </w:t>
      </w:r>
      <w:r w:rsidR="00304F5A" w:rsidRPr="00447F2C">
        <w:rPr>
          <w:snapToGrid w:val="0"/>
        </w:rPr>
        <w:t>mL eye drops (Revive Tears), under the same circumstances as the existing PBS-listed brands, Genteal and In a Wink Moisturising</w:t>
      </w:r>
      <w:r w:rsidR="00714B91" w:rsidRPr="00447F2C">
        <w:rPr>
          <w:snapToGrid w:val="0"/>
        </w:rPr>
        <w:t>,</w:t>
      </w:r>
      <w:r w:rsidR="00304F5A" w:rsidRPr="00447F2C">
        <w:rPr>
          <w:snapToGrid w:val="0"/>
        </w:rPr>
        <w:t xml:space="preserve"> for the treatment of severe dry eye syndrome (including Sjogren’s syndrome). </w:t>
      </w:r>
    </w:p>
    <w:p w:rsidR="00714B91" w:rsidRPr="00447F2C" w:rsidRDefault="00714B91" w:rsidP="004A6760">
      <w:pPr>
        <w:pStyle w:val="3Bodytext"/>
        <w:rPr>
          <w:snapToGrid w:val="0"/>
        </w:rPr>
      </w:pPr>
      <w:r w:rsidRPr="00447F2C">
        <w:rPr>
          <w:snapToGrid w:val="0"/>
        </w:rPr>
        <w:t>The PBAC noted tha</w:t>
      </w:r>
      <w:r w:rsidR="00403EC2" w:rsidRPr="00447F2C">
        <w:rPr>
          <w:snapToGrid w:val="0"/>
        </w:rPr>
        <w:t xml:space="preserve">t </w:t>
      </w:r>
      <w:r w:rsidRPr="00447F2C">
        <w:rPr>
          <w:snapToGrid w:val="0"/>
        </w:rPr>
        <w:t xml:space="preserve">the proposed AEMP </w:t>
      </w:r>
      <w:r w:rsidR="001F3A3D" w:rsidRPr="00447F2C">
        <w:rPr>
          <w:snapToGrid w:val="0"/>
        </w:rPr>
        <w:t xml:space="preserve">for </w:t>
      </w:r>
      <w:r w:rsidRPr="00447F2C">
        <w:rPr>
          <w:snapToGrid w:val="0"/>
        </w:rPr>
        <w:t>Revive Tears is slightly lower than the existing brand</w:t>
      </w:r>
      <w:r w:rsidR="00403EC2" w:rsidRPr="00447F2C">
        <w:rPr>
          <w:snapToGrid w:val="0"/>
        </w:rPr>
        <w:t xml:space="preserve">s and that the </w:t>
      </w:r>
      <w:r w:rsidR="00437E5A">
        <w:rPr>
          <w:snapToGrid w:val="0"/>
        </w:rPr>
        <w:t xml:space="preserve">Committee Secretariat </w:t>
      </w:r>
      <w:r w:rsidR="00403EC2" w:rsidRPr="00447F2C">
        <w:rPr>
          <w:snapToGrid w:val="0"/>
        </w:rPr>
        <w:t>submission estimated there would be</w:t>
      </w:r>
      <w:r w:rsidRPr="00447F2C">
        <w:rPr>
          <w:snapToGrid w:val="0"/>
        </w:rPr>
        <w:t xml:space="preserve"> </w:t>
      </w:r>
      <w:r w:rsidR="00437E5A">
        <w:rPr>
          <w:snapToGrid w:val="0"/>
        </w:rPr>
        <w:t xml:space="preserve">a </w:t>
      </w:r>
      <w:r w:rsidRPr="00447F2C">
        <w:rPr>
          <w:snapToGrid w:val="0"/>
        </w:rPr>
        <w:t xml:space="preserve">net </w:t>
      </w:r>
      <w:r w:rsidR="00D34AB6">
        <w:rPr>
          <w:snapToGrid w:val="0"/>
        </w:rPr>
        <w:t xml:space="preserve">cost </w:t>
      </w:r>
      <w:r w:rsidRPr="00447F2C">
        <w:rPr>
          <w:snapToGrid w:val="0"/>
        </w:rPr>
        <w:t>saving to the PBS/RPBS over six years.</w:t>
      </w:r>
    </w:p>
    <w:p w:rsidR="00447F2C" w:rsidRPr="00447F2C" w:rsidRDefault="0045173C" w:rsidP="004A6760">
      <w:pPr>
        <w:numPr>
          <w:ilvl w:val="1"/>
          <w:numId w:val="3"/>
        </w:numPr>
        <w:spacing w:after="120"/>
        <w:rPr>
          <w:rFonts w:asciiTheme="minorHAnsi" w:hAnsiTheme="minorHAnsi" w:cs="Arial"/>
          <w:snapToGrid w:val="0"/>
        </w:rPr>
      </w:pPr>
      <w:r w:rsidRPr="00447F2C">
        <w:rPr>
          <w:rFonts w:asciiTheme="minorHAnsi" w:hAnsiTheme="minorHAnsi" w:cs="Arial"/>
          <w:bCs/>
          <w:snapToGrid w:val="0"/>
        </w:rPr>
        <w:t xml:space="preserve">The PBAC advised, under Section 101 (4AACD) of the </w:t>
      </w:r>
      <w:r w:rsidRPr="00447F2C">
        <w:rPr>
          <w:rFonts w:asciiTheme="minorHAnsi" w:hAnsiTheme="minorHAnsi" w:cs="Arial"/>
          <w:bCs/>
          <w:i/>
          <w:iCs/>
          <w:snapToGrid w:val="0"/>
        </w:rPr>
        <w:t>National Health Act</w:t>
      </w:r>
      <w:r w:rsidR="00181D47" w:rsidRPr="00447F2C">
        <w:rPr>
          <w:rFonts w:asciiTheme="minorHAnsi" w:hAnsiTheme="minorHAnsi" w:cs="Arial"/>
          <w:bCs/>
          <w:i/>
          <w:iCs/>
          <w:snapToGrid w:val="0"/>
        </w:rPr>
        <w:t xml:space="preserve"> 1953</w:t>
      </w:r>
      <w:r w:rsidRPr="00447F2C">
        <w:rPr>
          <w:rFonts w:asciiTheme="minorHAnsi" w:hAnsiTheme="minorHAnsi" w:cs="Arial"/>
          <w:bCs/>
          <w:snapToGrid w:val="0"/>
        </w:rPr>
        <w:t xml:space="preserve">, that </w:t>
      </w:r>
      <w:r w:rsidR="00447F2C" w:rsidRPr="00447F2C">
        <w:rPr>
          <w:rFonts w:cs="Calibri"/>
        </w:rPr>
        <w:t>Revive Tears should be treated as equivalent to Genteal and In a Wink Moisturising</w:t>
      </w:r>
      <w:r w:rsidR="0052000F">
        <w:rPr>
          <w:rFonts w:cs="Calibri"/>
        </w:rPr>
        <w:t xml:space="preserve"> for the purposes of substitution (i.e. ‘a’ flagged). </w:t>
      </w:r>
    </w:p>
    <w:p w:rsidR="00714B91" w:rsidRPr="00447F2C" w:rsidRDefault="009B194D" w:rsidP="004A6760">
      <w:pPr>
        <w:numPr>
          <w:ilvl w:val="1"/>
          <w:numId w:val="3"/>
        </w:numPr>
        <w:spacing w:after="120"/>
        <w:rPr>
          <w:rFonts w:asciiTheme="minorHAnsi" w:hAnsiTheme="minorHAnsi" w:cs="Arial"/>
          <w:snapToGrid w:val="0"/>
        </w:rPr>
      </w:pPr>
      <w:r w:rsidRPr="00447F2C">
        <w:rPr>
          <w:rFonts w:asciiTheme="minorHAnsi" w:hAnsiTheme="minorHAnsi" w:cs="Arial"/>
          <w:snapToGrid w:val="0"/>
        </w:rPr>
        <w:t xml:space="preserve">Consistent with </w:t>
      </w:r>
      <w:r w:rsidR="00714B91" w:rsidRPr="00447F2C">
        <w:rPr>
          <w:rFonts w:asciiTheme="minorHAnsi" w:hAnsiTheme="minorHAnsi" w:cs="Arial"/>
          <w:snapToGrid w:val="0"/>
        </w:rPr>
        <w:t xml:space="preserve">the existing </w:t>
      </w:r>
      <w:r w:rsidR="001F3A3D" w:rsidRPr="00447F2C">
        <w:rPr>
          <w:rFonts w:asciiTheme="minorHAnsi" w:hAnsiTheme="minorHAnsi" w:cs="Arial"/>
          <w:snapToGrid w:val="0"/>
        </w:rPr>
        <w:t xml:space="preserve">hypromellose </w:t>
      </w:r>
      <w:r w:rsidR="00714B91" w:rsidRPr="00447F2C">
        <w:rPr>
          <w:rFonts w:asciiTheme="minorHAnsi" w:hAnsiTheme="minorHAnsi" w:cs="Arial"/>
          <w:snapToGrid w:val="0"/>
        </w:rPr>
        <w:t>brands, the PBAC advised that Revive Tears is suitable for prescribing by nurse practitioners.</w:t>
      </w:r>
    </w:p>
    <w:p w:rsidR="00714B91" w:rsidRPr="00447F2C" w:rsidRDefault="009B194D" w:rsidP="004A6760">
      <w:pPr>
        <w:numPr>
          <w:ilvl w:val="1"/>
          <w:numId w:val="3"/>
        </w:numPr>
        <w:spacing w:after="120"/>
        <w:rPr>
          <w:rFonts w:asciiTheme="minorHAnsi" w:hAnsiTheme="minorHAnsi" w:cs="Arial"/>
          <w:snapToGrid w:val="0"/>
        </w:rPr>
      </w:pPr>
      <w:r w:rsidRPr="00447F2C">
        <w:rPr>
          <w:rFonts w:asciiTheme="minorHAnsi" w:hAnsiTheme="minorHAnsi" w:cs="Arial"/>
          <w:snapToGrid w:val="0"/>
        </w:rPr>
        <w:t>Consistent with</w:t>
      </w:r>
      <w:r w:rsidR="00714B91" w:rsidRPr="00447F2C">
        <w:rPr>
          <w:rFonts w:asciiTheme="minorHAnsi" w:hAnsiTheme="minorHAnsi" w:cs="Arial"/>
          <w:snapToGrid w:val="0"/>
        </w:rPr>
        <w:t xml:space="preserve"> the existing </w:t>
      </w:r>
      <w:r w:rsidR="001F3A3D" w:rsidRPr="00447F2C">
        <w:rPr>
          <w:rFonts w:asciiTheme="minorHAnsi" w:hAnsiTheme="minorHAnsi" w:cs="Arial"/>
          <w:snapToGrid w:val="0"/>
        </w:rPr>
        <w:t xml:space="preserve">hypromellose </w:t>
      </w:r>
      <w:r w:rsidR="00714B91" w:rsidRPr="00447F2C">
        <w:rPr>
          <w:rFonts w:asciiTheme="minorHAnsi" w:hAnsiTheme="minorHAnsi" w:cs="Arial"/>
          <w:snapToGrid w:val="0"/>
        </w:rPr>
        <w:t xml:space="preserve">brands, the PBAC advised that </w:t>
      </w:r>
      <w:r w:rsidR="001F3A3D" w:rsidRPr="00447F2C">
        <w:rPr>
          <w:rFonts w:asciiTheme="minorHAnsi" w:hAnsiTheme="minorHAnsi" w:cs="Arial"/>
          <w:snapToGrid w:val="0"/>
        </w:rPr>
        <w:t xml:space="preserve">the Early Supply Rule should not apply to Revive Tears. </w:t>
      </w:r>
    </w:p>
    <w:p w:rsidR="00866800" w:rsidRPr="00447F2C" w:rsidRDefault="00866800" w:rsidP="004A6760">
      <w:pPr>
        <w:pStyle w:val="3Bodytext"/>
        <w:rPr>
          <w:snapToGrid w:val="0"/>
        </w:rPr>
      </w:pPr>
      <w:r w:rsidRPr="00447F2C">
        <w:rPr>
          <w:snapToGrid w:val="0"/>
        </w:rPr>
        <w:t xml:space="preserve">The PBAC </w:t>
      </w:r>
      <w:r w:rsidR="00A05C83" w:rsidRPr="00447F2C">
        <w:rPr>
          <w:snapToGrid w:val="0"/>
        </w:rPr>
        <w:t>advised that</w:t>
      </w:r>
      <w:r w:rsidRPr="00447F2C">
        <w:rPr>
          <w:snapToGrid w:val="0"/>
        </w:rPr>
        <w:t xml:space="preserve"> because </w:t>
      </w:r>
      <w:r w:rsidR="00713AA8" w:rsidRPr="00447F2C">
        <w:rPr>
          <w:snapToGrid w:val="0"/>
        </w:rPr>
        <w:t>Revive Tears</w:t>
      </w:r>
      <w:r w:rsidRPr="00447F2C">
        <w:rPr>
          <w:snapToGrid w:val="0"/>
        </w:rPr>
        <w:t xml:space="preserve"> is not expected to provide a substantial and clinically relevant improvement in efficacy, or reduction of toxicity</w:t>
      </w:r>
      <w:r w:rsidR="00A05C83" w:rsidRPr="00447F2C">
        <w:rPr>
          <w:snapToGrid w:val="0"/>
        </w:rPr>
        <w:t>,</w:t>
      </w:r>
      <w:r w:rsidRPr="00447F2C">
        <w:rPr>
          <w:snapToGrid w:val="0"/>
        </w:rPr>
        <w:t xml:space="preserve"> over </w:t>
      </w:r>
      <w:r w:rsidR="00713AA8" w:rsidRPr="00447F2C">
        <w:rPr>
          <w:snapToGrid w:val="0"/>
        </w:rPr>
        <w:t xml:space="preserve">Genteal and In a Wink Moisturising, </w:t>
      </w:r>
      <w:r w:rsidRPr="00447F2C">
        <w:rPr>
          <w:snapToGrid w:val="0"/>
        </w:rPr>
        <w:t>or not expected to address a high and urgent unmet clinical need given the presence of alternative therap</w:t>
      </w:r>
      <w:r w:rsidR="0045173C" w:rsidRPr="00447F2C">
        <w:rPr>
          <w:snapToGrid w:val="0"/>
        </w:rPr>
        <w:t>ies</w:t>
      </w:r>
      <w:r w:rsidRPr="00447F2C">
        <w:rPr>
          <w:snapToGrid w:val="0"/>
        </w:rPr>
        <w:t>, the criteria prescribed by the National Health (Pharmaceuticals and Vaccines – Cost Recovery) Regulations 2009 for Pricing Pathway A were not met.</w:t>
      </w:r>
    </w:p>
    <w:p w:rsidR="00866800" w:rsidRPr="0058368C" w:rsidRDefault="001F3A3D" w:rsidP="004A6760">
      <w:pPr>
        <w:numPr>
          <w:ilvl w:val="1"/>
          <w:numId w:val="3"/>
        </w:numPr>
        <w:spacing w:after="120"/>
        <w:rPr>
          <w:rFonts w:asciiTheme="minorHAnsi" w:hAnsiTheme="minorHAnsi" w:cs="Arial"/>
          <w:bCs/>
          <w:snapToGrid w:val="0"/>
        </w:rPr>
      </w:pPr>
      <w:r w:rsidRPr="0058368C">
        <w:t>The PBAC noted that this submission is not eligible for an Independent Review as it received a positive recommendation.</w:t>
      </w:r>
    </w:p>
    <w:p w:rsidR="00866800" w:rsidRPr="00447F2C" w:rsidRDefault="00866800" w:rsidP="004A6760">
      <w:pPr>
        <w:spacing w:before="240"/>
        <w:rPr>
          <w:rFonts w:asciiTheme="minorHAnsi" w:hAnsiTheme="minorHAnsi" w:cs="Arial"/>
          <w:b/>
          <w:bCs/>
          <w:snapToGrid w:val="0"/>
        </w:rPr>
      </w:pPr>
      <w:r w:rsidRPr="00447F2C">
        <w:rPr>
          <w:rFonts w:asciiTheme="minorHAnsi" w:hAnsiTheme="minorHAnsi" w:cs="Arial"/>
          <w:b/>
          <w:bCs/>
          <w:snapToGrid w:val="0"/>
        </w:rPr>
        <w:t>Outcome:</w:t>
      </w:r>
    </w:p>
    <w:p w:rsidR="00DB55D9" w:rsidRPr="00447F2C" w:rsidRDefault="00866800" w:rsidP="004A6760">
      <w:pPr>
        <w:rPr>
          <w:rFonts w:asciiTheme="minorHAnsi" w:hAnsiTheme="minorHAnsi" w:cs="Arial"/>
          <w:bCs/>
          <w:snapToGrid w:val="0"/>
        </w:rPr>
      </w:pPr>
      <w:r w:rsidRPr="00447F2C">
        <w:rPr>
          <w:rFonts w:asciiTheme="minorHAnsi" w:hAnsiTheme="minorHAnsi" w:cs="Arial"/>
          <w:bCs/>
          <w:snapToGrid w:val="0"/>
        </w:rPr>
        <w:t xml:space="preserve">Recommended </w:t>
      </w:r>
    </w:p>
    <w:p w:rsidR="00DB55D9" w:rsidRPr="0058368C" w:rsidRDefault="00DB55D9" w:rsidP="004A6760">
      <w:pPr>
        <w:pStyle w:val="Heading1"/>
        <w:keepLines/>
        <w:numPr>
          <w:ilvl w:val="0"/>
          <w:numId w:val="3"/>
        </w:numPr>
        <w:spacing w:before="240"/>
        <w:ind w:left="709" w:hanging="709"/>
        <w:rPr>
          <w:sz w:val="32"/>
          <w:szCs w:val="32"/>
        </w:rPr>
      </w:pPr>
      <w:r w:rsidRPr="0058368C">
        <w:rPr>
          <w:sz w:val="32"/>
          <w:szCs w:val="32"/>
        </w:rPr>
        <w:t>Recommended listing</w:t>
      </w:r>
    </w:p>
    <w:p w:rsidR="00DB55D9" w:rsidRPr="0058368C" w:rsidRDefault="00DB55D9" w:rsidP="004A6760">
      <w:pPr>
        <w:numPr>
          <w:ilvl w:val="1"/>
          <w:numId w:val="3"/>
        </w:numPr>
        <w:spacing w:after="120"/>
        <w:contextualSpacing/>
        <w:rPr>
          <w:rFonts w:asciiTheme="minorHAnsi" w:hAnsiTheme="minorHAnsi" w:cs="Arial"/>
          <w:b/>
          <w:bCs/>
          <w:snapToGrid w:val="0"/>
        </w:rPr>
      </w:pPr>
      <w:r w:rsidRPr="0058368C">
        <w:rPr>
          <w:rFonts w:asciiTheme="minorHAnsi" w:hAnsiTheme="minorHAnsi" w:cs="Arial"/>
          <w:bCs/>
          <w:snapToGrid w:val="0"/>
        </w:rPr>
        <w:t>Add new item:</w:t>
      </w:r>
    </w:p>
    <w:p w:rsidR="0045173C" w:rsidRPr="0058368C" w:rsidRDefault="0045173C" w:rsidP="004A6760">
      <w:pPr>
        <w:spacing w:after="120"/>
        <w:contextualSpacing/>
        <w:rPr>
          <w:rFonts w:asciiTheme="minorHAnsi" w:hAnsiTheme="minorHAnsi" w:cs="Arial"/>
          <w:b/>
          <w:bCs/>
          <w:snapToGrid w:val="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
        <w:gridCol w:w="1700"/>
        <w:gridCol w:w="1285"/>
        <w:gridCol w:w="860"/>
        <w:gridCol w:w="859"/>
        <w:gridCol w:w="716"/>
        <w:gridCol w:w="2374"/>
      </w:tblGrid>
      <w:tr w:rsidR="00DB55D9" w:rsidRPr="0058368C" w:rsidTr="008D1B54">
        <w:trPr>
          <w:cantSplit/>
          <w:trHeight w:val="471"/>
        </w:trPr>
        <w:tc>
          <w:tcPr>
            <w:tcW w:w="1586" w:type="pct"/>
            <w:gridSpan w:val="2"/>
          </w:tcPr>
          <w:p w:rsidR="00DB55D9" w:rsidRPr="0058368C" w:rsidRDefault="00DB55D9" w:rsidP="004A6760">
            <w:pPr>
              <w:keepNext/>
              <w:ind w:left="-108"/>
              <w:rPr>
                <w:rFonts w:ascii="Arial Narrow" w:hAnsi="Arial Narrow" w:cs="Arial"/>
                <w:b/>
                <w:sz w:val="18"/>
                <w:szCs w:val="18"/>
              </w:rPr>
            </w:pPr>
            <w:r w:rsidRPr="0058368C">
              <w:rPr>
                <w:rFonts w:ascii="Arial Narrow" w:hAnsi="Arial Narrow" w:cs="Arial"/>
                <w:b/>
                <w:sz w:val="18"/>
                <w:szCs w:val="18"/>
              </w:rPr>
              <w:t>MEDICINAL PRODUCT</w:t>
            </w:r>
          </w:p>
          <w:p w:rsidR="00DB55D9" w:rsidRPr="0058368C" w:rsidRDefault="00DB55D9" w:rsidP="004A6760">
            <w:pPr>
              <w:keepNext/>
              <w:ind w:left="-108"/>
              <w:rPr>
                <w:rFonts w:ascii="Arial Narrow" w:hAnsi="Arial Narrow" w:cs="Arial"/>
                <w:b/>
                <w:sz w:val="18"/>
                <w:szCs w:val="18"/>
              </w:rPr>
            </w:pPr>
            <w:r w:rsidRPr="0058368C">
              <w:rPr>
                <w:rFonts w:ascii="Arial Narrow" w:hAnsi="Arial Narrow" w:cs="Arial"/>
                <w:b/>
                <w:sz w:val="18"/>
                <w:szCs w:val="18"/>
              </w:rPr>
              <w:t>Medicinal Product Pack</w:t>
            </w:r>
          </w:p>
        </w:tc>
        <w:tc>
          <w:tcPr>
            <w:tcW w:w="720" w:type="pct"/>
          </w:tcPr>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PBS item code</w:t>
            </w:r>
          </w:p>
        </w:tc>
        <w:tc>
          <w:tcPr>
            <w:tcW w:w="482" w:type="pct"/>
          </w:tcPr>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Max. qty packs</w:t>
            </w:r>
          </w:p>
        </w:tc>
        <w:tc>
          <w:tcPr>
            <w:tcW w:w="481" w:type="pct"/>
          </w:tcPr>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Max. qty units</w:t>
            </w:r>
          </w:p>
        </w:tc>
        <w:tc>
          <w:tcPr>
            <w:tcW w:w="401" w:type="pct"/>
          </w:tcPr>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№.of</w:t>
            </w:r>
          </w:p>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Rpts</w:t>
            </w:r>
          </w:p>
        </w:tc>
        <w:tc>
          <w:tcPr>
            <w:tcW w:w="1330" w:type="pct"/>
          </w:tcPr>
          <w:p w:rsidR="00DB55D9" w:rsidRPr="0058368C" w:rsidRDefault="00DB55D9" w:rsidP="004A6760">
            <w:pPr>
              <w:keepNext/>
              <w:jc w:val="left"/>
              <w:rPr>
                <w:rFonts w:ascii="Arial Narrow" w:hAnsi="Arial Narrow" w:cs="Arial"/>
                <w:b/>
                <w:sz w:val="18"/>
                <w:szCs w:val="18"/>
              </w:rPr>
            </w:pPr>
            <w:r w:rsidRPr="0058368C">
              <w:rPr>
                <w:rFonts w:ascii="Arial Narrow" w:hAnsi="Arial Narrow" w:cs="Arial"/>
                <w:b/>
                <w:sz w:val="18"/>
                <w:szCs w:val="18"/>
              </w:rPr>
              <w:t>Available brands</w:t>
            </w:r>
          </w:p>
        </w:tc>
      </w:tr>
      <w:tr w:rsidR="00DB55D9" w:rsidRPr="0058368C" w:rsidTr="008D1B54">
        <w:trPr>
          <w:cantSplit/>
          <w:trHeight w:val="761"/>
        </w:trPr>
        <w:tc>
          <w:tcPr>
            <w:tcW w:w="1586" w:type="pct"/>
            <w:gridSpan w:val="2"/>
          </w:tcPr>
          <w:p w:rsidR="00DB55D9" w:rsidRPr="0058368C" w:rsidRDefault="00DB55D9" w:rsidP="004A6760">
            <w:pPr>
              <w:keepNext/>
              <w:ind w:left="-108"/>
              <w:rPr>
                <w:rFonts w:ascii="Arial Narrow" w:hAnsi="Arial Narrow" w:cs="Arial"/>
                <w:sz w:val="18"/>
                <w:szCs w:val="18"/>
              </w:rPr>
            </w:pPr>
            <w:r w:rsidRPr="0058368C">
              <w:rPr>
                <w:rFonts w:ascii="Arial Narrow" w:hAnsi="Arial Narrow" w:cs="Arial"/>
                <w:sz w:val="18"/>
                <w:szCs w:val="18"/>
              </w:rPr>
              <w:t xml:space="preserve">HYPROMELLOSE </w:t>
            </w:r>
          </w:p>
          <w:p w:rsidR="00DB55D9" w:rsidRPr="0058368C" w:rsidRDefault="00DB55D9" w:rsidP="004A6760">
            <w:pPr>
              <w:keepNext/>
              <w:ind w:left="-108"/>
              <w:rPr>
                <w:rFonts w:ascii="Arial Narrow" w:hAnsi="Arial Narrow" w:cs="Arial"/>
                <w:sz w:val="18"/>
                <w:szCs w:val="18"/>
              </w:rPr>
            </w:pPr>
            <w:r w:rsidRPr="0058368C">
              <w:rPr>
                <w:rFonts w:ascii="Arial Narrow" w:hAnsi="Arial Narrow" w:cs="Arial"/>
                <w:sz w:val="18"/>
                <w:szCs w:val="18"/>
              </w:rPr>
              <w:t>hypromellose 0.3% w/w eye drops, 10 mL</w:t>
            </w:r>
          </w:p>
        </w:tc>
        <w:tc>
          <w:tcPr>
            <w:tcW w:w="720" w:type="pct"/>
          </w:tcPr>
          <w:p w:rsidR="00DB55D9" w:rsidRPr="0058368C" w:rsidRDefault="00DB55D9" w:rsidP="004A6760">
            <w:pPr>
              <w:keepNext/>
              <w:jc w:val="center"/>
              <w:rPr>
                <w:rFonts w:ascii="Arial Narrow" w:hAnsi="Arial Narrow" w:cs="Arial"/>
                <w:i/>
                <w:sz w:val="18"/>
                <w:szCs w:val="18"/>
              </w:rPr>
            </w:pPr>
          </w:p>
          <w:p w:rsidR="00DB55D9" w:rsidRPr="0058368C" w:rsidRDefault="00DB55D9" w:rsidP="004A6760">
            <w:pPr>
              <w:keepNext/>
              <w:ind w:left="-108"/>
              <w:jc w:val="center"/>
              <w:rPr>
                <w:rFonts w:ascii="Arial Narrow" w:hAnsi="Arial Narrow" w:cs="Arial"/>
                <w:sz w:val="18"/>
                <w:szCs w:val="18"/>
              </w:rPr>
            </w:pPr>
            <w:r w:rsidRPr="0058368C">
              <w:rPr>
                <w:rFonts w:ascii="Arial Narrow" w:hAnsi="Arial Narrow" w:cs="Arial"/>
                <w:sz w:val="18"/>
                <w:szCs w:val="18"/>
              </w:rPr>
              <w:t>11625W</w:t>
            </w:r>
          </w:p>
          <w:p w:rsidR="00DB55D9" w:rsidRPr="0058368C" w:rsidRDefault="00DB55D9" w:rsidP="004A6760">
            <w:pPr>
              <w:keepNext/>
              <w:ind w:left="-108"/>
              <w:jc w:val="center"/>
              <w:rPr>
                <w:rFonts w:ascii="Arial Narrow" w:hAnsi="Arial Narrow" w:cs="Arial"/>
                <w:sz w:val="18"/>
                <w:szCs w:val="18"/>
              </w:rPr>
            </w:pPr>
            <w:r w:rsidRPr="0058368C">
              <w:rPr>
                <w:rFonts w:ascii="Arial Narrow" w:hAnsi="Arial Narrow" w:cs="Arial"/>
                <w:sz w:val="18"/>
                <w:szCs w:val="18"/>
              </w:rPr>
              <w:t>11634H</w:t>
            </w:r>
          </w:p>
        </w:tc>
        <w:tc>
          <w:tcPr>
            <w:tcW w:w="482" w:type="pct"/>
          </w:tcPr>
          <w:p w:rsidR="00DB55D9" w:rsidRPr="0058368C" w:rsidRDefault="00DB55D9" w:rsidP="004A6760">
            <w:pPr>
              <w:keepNext/>
              <w:rPr>
                <w:rFonts w:ascii="Arial Narrow" w:hAnsi="Arial Narrow" w:cs="Arial"/>
                <w:sz w:val="18"/>
                <w:szCs w:val="18"/>
              </w:rPr>
            </w:pPr>
          </w:p>
          <w:p w:rsidR="00DB55D9" w:rsidRPr="0058368C" w:rsidRDefault="00DB55D9" w:rsidP="004A6760">
            <w:pPr>
              <w:keepNext/>
              <w:jc w:val="center"/>
              <w:rPr>
                <w:rFonts w:ascii="Arial Narrow" w:hAnsi="Arial Narrow" w:cs="Arial"/>
                <w:sz w:val="18"/>
                <w:szCs w:val="18"/>
              </w:rPr>
            </w:pPr>
            <w:r w:rsidRPr="0058368C">
              <w:rPr>
                <w:rFonts w:ascii="Arial Narrow" w:hAnsi="Arial Narrow" w:cs="Arial"/>
                <w:sz w:val="18"/>
                <w:szCs w:val="18"/>
              </w:rPr>
              <w:t>1</w:t>
            </w:r>
          </w:p>
        </w:tc>
        <w:tc>
          <w:tcPr>
            <w:tcW w:w="481" w:type="pct"/>
          </w:tcPr>
          <w:p w:rsidR="00DB55D9" w:rsidRPr="0058368C" w:rsidRDefault="00DB55D9" w:rsidP="004A6760">
            <w:pPr>
              <w:keepNext/>
              <w:ind w:left="-108"/>
              <w:rPr>
                <w:rFonts w:ascii="Arial Narrow" w:hAnsi="Arial Narrow" w:cs="Arial"/>
                <w:sz w:val="18"/>
                <w:szCs w:val="18"/>
              </w:rPr>
            </w:pPr>
          </w:p>
          <w:p w:rsidR="00DB55D9" w:rsidRPr="0058368C" w:rsidRDefault="00DB55D9" w:rsidP="004A6760">
            <w:pPr>
              <w:keepNext/>
              <w:jc w:val="center"/>
              <w:rPr>
                <w:rFonts w:ascii="Arial Narrow" w:hAnsi="Arial Narrow" w:cs="Arial"/>
                <w:sz w:val="18"/>
                <w:szCs w:val="18"/>
              </w:rPr>
            </w:pPr>
            <w:r w:rsidRPr="0058368C">
              <w:rPr>
                <w:rFonts w:ascii="Arial Narrow" w:hAnsi="Arial Narrow" w:cs="Arial"/>
                <w:sz w:val="18"/>
                <w:szCs w:val="18"/>
              </w:rPr>
              <w:t>1</w:t>
            </w:r>
          </w:p>
        </w:tc>
        <w:tc>
          <w:tcPr>
            <w:tcW w:w="401" w:type="pct"/>
          </w:tcPr>
          <w:p w:rsidR="00DB55D9" w:rsidRPr="0058368C" w:rsidRDefault="00DB55D9" w:rsidP="004A6760">
            <w:pPr>
              <w:keepNext/>
              <w:ind w:left="-108"/>
              <w:rPr>
                <w:rFonts w:ascii="Arial Narrow" w:hAnsi="Arial Narrow" w:cs="Arial"/>
                <w:sz w:val="18"/>
                <w:szCs w:val="18"/>
              </w:rPr>
            </w:pPr>
          </w:p>
          <w:p w:rsidR="00DB55D9" w:rsidRPr="0058368C" w:rsidRDefault="00DB55D9" w:rsidP="004A6760">
            <w:pPr>
              <w:keepNext/>
              <w:jc w:val="center"/>
              <w:rPr>
                <w:rFonts w:ascii="Arial Narrow" w:hAnsi="Arial Narrow" w:cs="Arial"/>
                <w:sz w:val="18"/>
                <w:szCs w:val="18"/>
              </w:rPr>
            </w:pPr>
            <w:r w:rsidRPr="0058368C">
              <w:rPr>
                <w:rFonts w:ascii="Arial Narrow" w:hAnsi="Arial Narrow" w:cs="Arial"/>
                <w:sz w:val="18"/>
                <w:szCs w:val="18"/>
              </w:rPr>
              <w:t>5</w:t>
            </w:r>
          </w:p>
        </w:tc>
        <w:tc>
          <w:tcPr>
            <w:tcW w:w="1330" w:type="pct"/>
          </w:tcPr>
          <w:p w:rsidR="00DB55D9" w:rsidRPr="0058368C" w:rsidRDefault="00DB55D9" w:rsidP="004A6760">
            <w:pPr>
              <w:keepNext/>
              <w:rPr>
                <w:rFonts w:ascii="Arial Narrow" w:hAnsi="Arial Narrow" w:cs="Arial"/>
                <w:sz w:val="18"/>
                <w:szCs w:val="18"/>
              </w:rPr>
            </w:pPr>
          </w:p>
          <w:p w:rsidR="003306FC" w:rsidRPr="00447F2C" w:rsidRDefault="003306FC" w:rsidP="004A6760">
            <w:pPr>
              <w:keepNext/>
              <w:rPr>
                <w:rFonts w:ascii="Arial Narrow" w:hAnsi="Arial Narrow" w:cs="Arial"/>
                <w:color w:val="FF0000"/>
                <w:sz w:val="18"/>
                <w:szCs w:val="18"/>
                <w:vertAlign w:val="superscript"/>
              </w:rPr>
            </w:pPr>
            <w:r w:rsidRPr="0058368C">
              <w:rPr>
                <w:rFonts w:ascii="Arial Narrow" w:hAnsi="Arial Narrow" w:cs="Arial"/>
                <w:sz w:val="18"/>
                <w:szCs w:val="18"/>
              </w:rPr>
              <w:t>Revive Tears</w:t>
            </w:r>
            <w:r w:rsidR="0052000F" w:rsidRPr="0058368C">
              <w:rPr>
                <w:rFonts w:ascii="Arial Narrow" w:hAnsi="Arial Narrow" w:cs="Arial"/>
                <w:color w:val="FF0000"/>
                <w:sz w:val="18"/>
                <w:szCs w:val="18"/>
                <w:vertAlign w:val="superscript"/>
              </w:rPr>
              <w:t xml:space="preserve"> a</w:t>
            </w:r>
          </w:p>
          <w:p w:rsidR="003306FC" w:rsidRPr="0058368C" w:rsidRDefault="003306FC" w:rsidP="004A6760">
            <w:pPr>
              <w:keepNext/>
              <w:rPr>
                <w:rFonts w:ascii="Arial Narrow" w:hAnsi="Arial Narrow" w:cs="Arial"/>
                <w:sz w:val="18"/>
                <w:szCs w:val="18"/>
              </w:rPr>
            </w:pPr>
            <w:r w:rsidRPr="0058368C">
              <w:rPr>
                <w:rFonts w:ascii="Arial Narrow" w:hAnsi="Arial Narrow" w:cs="Arial"/>
                <w:sz w:val="18"/>
                <w:szCs w:val="18"/>
              </w:rPr>
              <w:t>Genteal</w:t>
            </w:r>
            <w:r w:rsidR="00FA5F88" w:rsidRPr="0058368C">
              <w:rPr>
                <w:rFonts w:ascii="Arial Narrow" w:hAnsi="Arial Narrow" w:cs="Arial"/>
                <w:color w:val="FF0000"/>
                <w:sz w:val="18"/>
                <w:szCs w:val="18"/>
                <w:vertAlign w:val="superscript"/>
              </w:rPr>
              <w:t>a</w:t>
            </w:r>
            <w:r w:rsidRPr="0058368C">
              <w:rPr>
                <w:rFonts w:ascii="Arial Narrow" w:hAnsi="Arial Narrow" w:cs="Arial"/>
                <w:sz w:val="18"/>
                <w:szCs w:val="18"/>
              </w:rPr>
              <w:t xml:space="preserve"> </w:t>
            </w:r>
          </w:p>
          <w:p w:rsidR="00DB55D9" w:rsidRPr="0058368C" w:rsidRDefault="003306FC" w:rsidP="004A6760">
            <w:pPr>
              <w:keepNext/>
              <w:rPr>
                <w:rFonts w:ascii="Arial Narrow" w:hAnsi="Arial Narrow" w:cs="Arial"/>
                <w:sz w:val="18"/>
                <w:szCs w:val="18"/>
              </w:rPr>
            </w:pPr>
            <w:r w:rsidRPr="0058368C">
              <w:rPr>
                <w:rFonts w:ascii="Arial Narrow" w:hAnsi="Arial Narrow" w:cs="Arial"/>
                <w:sz w:val="18"/>
                <w:szCs w:val="18"/>
              </w:rPr>
              <w:t>In a Wink Moisturising</w:t>
            </w:r>
            <w:r w:rsidR="00FA5F88" w:rsidRPr="00447F2C">
              <w:rPr>
                <w:rFonts w:ascii="Arial Narrow" w:hAnsi="Arial Narrow" w:cs="Arial"/>
                <w:color w:val="FF0000"/>
                <w:sz w:val="18"/>
                <w:szCs w:val="18"/>
                <w:vertAlign w:val="superscript"/>
              </w:rPr>
              <w:t>a</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b/>
                <w:sz w:val="18"/>
                <w:szCs w:val="18"/>
              </w:rPr>
            </w:pP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b/>
                <w:sz w:val="18"/>
                <w:szCs w:val="18"/>
              </w:rPr>
            </w:pPr>
            <w:r w:rsidRPr="0058368C">
              <w:rPr>
                <w:rFonts w:ascii="Arial Narrow" w:hAnsi="Arial Narrow"/>
                <w:b/>
                <w:sz w:val="18"/>
                <w:szCs w:val="18"/>
              </w:rPr>
              <w:t xml:space="preserve">Restriction Summary [6073] / Treatment of Concept: [6073] </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rPr>
          <w:trHeight w:val="268"/>
        </w:trPr>
        <w:tc>
          <w:tcPr>
            <w:tcW w:w="634" w:type="pct"/>
            <w:vMerge w:val="restart"/>
            <w:tcBorders>
              <w:top w:val="single" w:sz="4" w:space="0" w:color="auto"/>
              <w:left w:val="single" w:sz="4" w:space="0" w:color="auto"/>
              <w:right w:val="single" w:sz="4" w:space="0" w:color="auto"/>
            </w:tcBorders>
          </w:tcPr>
          <w:p w:rsidR="00DB55D9" w:rsidRPr="0058368C" w:rsidRDefault="00DB55D9" w:rsidP="004A6760">
            <w:pPr>
              <w:rPr>
                <w:rFonts w:ascii="Arial Narrow" w:hAnsi="Arial Narrow" w:cs="Arial"/>
                <w:sz w:val="18"/>
                <w:szCs w:val="18"/>
              </w:rPr>
            </w:pPr>
          </w:p>
        </w:tc>
        <w:tc>
          <w:tcPr>
            <w:tcW w:w="4366" w:type="pct"/>
            <w:gridSpan w:val="6"/>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sz w:val="18"/>
                <w:szCs w:val="18"/>
              </w:rPr>
            </w:pPr>
            <w:r w:rsidRPr="0058368C">
              <w:rPr>
                <w:rFonts w:ascii="Arial Narrow" w:hAnsi="Arial Narrow" w:cs="Arial"/>
                <w:b/>
                <w:sz w:val="18"/>
                <w:szCs w:val="18"/>
              </w:rPr>
              <w:t xml:space="preserve">Category / Program:   </w:t>
            </w:r>
            <w:r w:rsidRPr="0058368C">
              <w:rPr>
                <w:rFonts w:ascii="Arial Narrow" w:hAnsi="Arial Narrow" w:cs="Arial"/>
                <w:sz w:val="18"/>
                <w:szCs w:val="18"/>
              </w:rPr>
              <w:t>GENERAL – General Schedule (Code GE)</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rPr>
          <w:trHeight w:val="240"/>
        </w:trPr>
        <w:tc>
          <w:tcPr>
            <w:tcW w:w="634" w:type="pct"/>
            <w:vMerge/>
            <w:tcBorders>
              <w:left w:val="single" w:sz="4" w:space="0" w:color="auto"/>
              <w:right w:val="single" w:sz="4" w:space="0" w:color="auto"/>
            </w:tcBorders>
          </w:tcPr>
          <w:p w:rsidR="00DB55D9" w:rsidRPr="0058368C" w:rsidRDefault="00DB55D9" w:rsidP="004A6760">
            <w:pPr>
              <w:rPr>
                <w:rFonts w:ascii="Arial Narrow" w:hAnsi="Arial Narrow" w:cs="Arial"/>
                <w:b/>
                <w:sz w:val="18"/>
                <w:szCs w:val="18"/>
              </w:rPr>
            </w:pPr>
          </w:p>
        </w:tc>
        <w:tc>
          <w:tcPr>
            <w:tcW w:w="4366" w:type="pct"/>
            <w:gridSpan w:val="6"/>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b/>
                <w:sz w:val="18"/>
                <w:szCs w:val="18"/>
              </w:rPr>
            </w:pPr>
            <w:r w:rsidRPr="0058368C">
              <w:rPr>
                <w:rFonts w:ascii="Arial Narrow" w:hAnsi="Arial Narrow" w:cs="Arial"/>
                <w:b/>
                <w:sz w:val="18"/>
                <w:szCs w:val="18"/>
              </w:rPr>
              <w:t xml:space="preserve">Prescriber type:   </w:t>
            </w:r>
            <w:r w:rsidRPr="00447F2C">
              <w:rPr>
                <w:rFonts w:ascii="Arial Narrow" w:hAnsi="Arial Narrow" w:cs="Arial"/>
                <w:sz w:val="18"/>
                <w:szCs w:val="18"/>
              </w:rPr>
              <w:fldChar w:fldCharType="begin">
                <w:ffData>
                  <w:name w:val="Check1"/>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Dental    </w:t>
            </w:r>
            <w:r w:rsidRPr="00447F2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Medical Practitioners    </w:t>
            </w:r>
            <w:r w:rsidRPr="00447F2C">
              <w:rPr>
                <w:rFonts w:ascii="Arial Narrow" w:hAnsi="Arial Narrow" w:cs="Arial"/>
                <w:sz w:val="18"/>
                <w:szCs w:val="18"/>
              </w:rPr>
              <w:fldChar w:fldCharType="begin">
                <w:ffData>
                  <w:name w:val="Check3"/>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Nurse practitioners     </w:t>
            </w:r>
            <w:r w:rsidRPr="00447F2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Optometrists    </w:t>
            </w:r>
            <w:r w:rsidRPr="00447F2C">
              <w:rPr>
                <w:rFonts w:ascii="Arial Narrow" w:hAnsi="Arial Narrow" w:cs="Arial"/>
                <w:sz w:val="18"/>
                <w:szCs w:val="18"/>
              </w:rPr>
              <w:fldChar w:fldCharType="begin">
                <w:ffData>
                  <w:name w:val="Check5"/>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Midwives</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634" w:type="pct"/>
            <w:vMerge/>
            <w:tcBorders>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sz w:val="18"/>
                <w:szCs w:val="18"/>
              </w:rPr>
            </w:pPr>
          </w:p>
        </w:tc>
        <w:tc>
          <w:tcPr>
            <w:tcW w:w="4366" w:type="pct"/>
            <w:gridSpan w:val="6"/>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sz w:val="18"/>
                <w:szCs w:val="18"/>
              </w:rPr>
            </w:pPr>
            <w:r w:rsidRPr="0058368C">
              <w:rPr>
                <w:rFonts w:ascii="Arial Narrow" w:hAnsi="Arial Narrow" w:cs="Arial"/>
                <w:b/>
                <w:sz w:val="18"/>
                <w:szCs w:val="18"/>
              </w:rPr>
              <w:t>Restriction Level / Method:</w:t>
            </w:r>
            <w:r w:rsidRPr="0058368C">
              <w:rPr>
                <w:rFonts w:ascii="Arial Narrow" w:hAnsi="Arial Narrow" w:cs="Arial"/>
                <w:sz w:val="18"/>
                <w:szCs w:val="18"/>
              </w:rPr>
              <w:t xml:space="preserve"> </w:t>
            </w:r>
          </w:p>
          <w:p w:rsidR="00DB55D9" w:rsidRPr="0058368C" w:rsidRDefault="00DB55D9" w:rsidP="004A6760">
            <w:pPr>
              <w:rPr>
                <w:rFonts w:ascii="Arial Narrow" w:hAnsi="Arial Narrow" w:cs="Arial"/>
                <w:b/>
                <w:sz w:val="18"/>
                <w:szCs w:val="18"/>
              </w:rPr>
            </w:pPr>
            <w:r w:rsidRPr="00447F2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Restricted benefit</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rPr>
          <w:trHeight w:val="140"/>
        </w:trPr>
        <w:tc>
          <w:tcPr>
            <w:tcW w:w="634" w:type="pct"/>
            <w:vAlign w:val="center"/>
          </w:tcPr>
          <w:p w:rsidR="00DB55D9" w:rsidRPr="0058368C" w:rsidRDefault="00DB55D9" w:rsidP="004A6760">
            <w:pPr>
              <w:jc w:val="center"/>
              <w:rPr>
                <w:rFonts w:ascii="Arial Narrow" w:hAnsi="Arial Narrow"/>
                <w:color w:val="333333"/>
                <w:sz w:val="18"/>
                <w:szCs w:val="18"/>
              </w:rPr>
            </w:pPr>
          </w:p>
        </w:tc>
        <w:tc>
          <w:tcPr>
            <w:tcW w:w="4366" w:type="pct"/>
            <w:gridSpan w:val="6"/>
            <w:vAlign w:val="center"/>
          </w:tcPr>
          <w:p w:rsidR="00DB55D9" w:rsidRPr="0058368C" w:rsidRDefault="00DB55D9" w:rsidP="004A6760">
            <w:pPr>
              <w:rPr>
                <w:rFonts w:ascii="Arial Narrow" w:hAnsi="Arial Narrow"/>
                <w:color w:val="333333"/>
                <w:sz w:val="18"/>
                <w:szCs w:val="18"/>
              </w:rPr>
            </w:pPr>
            <w:r w:rsidRPr="0058368C">
              <w:rPr>
                <w:rFonts w:ascii="Arial Narrow" w:hAnsi="Arial Narrow"/>
                <w:b/>
                <w:bCs/>
                <w:sz w:val="18"/>
                <w:szCs w:val="18"/>
              </w:rPr>
              <w:t>Indication:</w:t>
            </w:r>
            <w:r w:rsidRPr="0058368C">
              <w:rPr>
                <w:rFonts w:ascii="Arial Narrow" w:hAnsi="Arial Narrow"/>
                <w:sz w:val="18"/>
                <w:szCs w:val="18"/>
              </w:rPr>
              <w:t xml:space="preserve"> Severe dry eye syndrome, including Sjogren's syndrome</w:t>
            </w:r>
          </w:p>
        </w:tc>
      </w:tr>
    </w:tbl>
    <w:p w:rsidR="00DB55D9" w:rsidRPr="0058368C" w:rsidRDefault="00DB55D9" w:rsidP="004A6760">
      <w:pPr>
        <w:spacing w:after="120"/>
        <w:rPr>
          <w:rFonts w:asciiTheme="minorHAnsi" w:hAnsiTheme="minorHAnsi" w:cstheme="minorHAnsi"/>
          <w:i/>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725"/>
        <w:gridCol w:w="1287"/>
        <w:gridCol w:w="860"/>
        <w:gridCol w:w="857"/>
        <w:gridCol w:w="716"/>
        <w:gridCol w:w="2353"/>
      </w:tblGrid>
      <w:tr w:rsidR="00DB55D9" w:rsidRPr="0058368C" w:rsidTr="008D1B54">
        <w:trPr>
          <w:cantSplit/>
          <w:trHeight w:val="471"/>
        </w:trPr>
        <w:tc>
          <w:tcPr>
            <w:tcW w:w="1598" w:type="pct"/>
            <w:gridSpan w:val="2"/>
          </w:tcPr>
          <w:p w:rsidR="00DB55D9" w:rsidRPr="0058368C" w:rsidRDefault="00DB55D9" w:rsidP="004A6760">
            <w:pPr>
              <w:keepNext/>
              <w:ind w:left="-108"/>
              <w:rPr>
                <w:rFonts w:ascii="Arial Narrow" w:hAnsi="Arial Narrow" w:cs="Arial"/>
                <w:b/>
                <w:sz w:val="18"/>
                <w:szCs w:val="18"/>
              </w:rPr>
            </w:pPr>
            <w:r w:rsidRPr="0058368C">
              <w:rPr>
                <w:rFonts w:ascii="Arial Narrow" w:hAnsi="Arial Narrow" w:cs="Arial"/>
                <w:b/>
                <w:sz w:val="18"/>
                <w:szCs w:val="18"/>
              </w:rPr>
              <w:t>MEDICINAL PRODUCT</w:t>
            </w:r>
          </w:p>
          <w:p w:rsidR="00DB55D9" w:rsidRPr="0058368C" w:rsidRDefault="00DB55D9" w:rsidP="004A6760">
            <w:pPr>
              <w:keepNext/>
              <w:ind w:left="-108"/>
              <w:rPr>
                <w:rFonts w:ascii="Arial Narrow" w:hAnsi="Arial Narrow" w:cs="Arial"/>
                <w:b/>
                <w:sz w:val="18"/>
                <w:szCs w:val="18"/>
              </w:rPr>
            </w:pPr>
            <w:r w:rsidRPr="0058368C">
              <w:rPr>
                <w:rFonts w:ascii="Arial Narrow" w:hAnsi="Arial Narrow" w:cs="Arial"/>
                <w:b/>
                <w:sz w:val="18"/>
                <w:szCs w:val="18"/>
              </w:rPr>
              <w:t>Medicinal Product Pack</w:t>
            </w:r>
          </w:p>
        </w:tc>
        <w:tc>
          <w:tcPr>
            <w:tcW w:w="721" w:type="pct"/>
          </w:tcPr>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PBS item code</w:t>
            </w:r>
          </w:p>
        </w:tc>
        <w:tc>
          <w:tcPr>
            <w:tcW w:w="482" w:type="pct"/>
          </w:tcPr>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Max. qty packs</w:t>
            </w:r>
          </w:p>
        </w:tc>
        <w:tc>
          <w:tcPr>
            <w:tcW w:w="480" w:type="pct"/>
          </w:tcPr>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Max. qty units</w:t>
            </w:r>
          </w:p>
        </w:tc>
        <w:tc>
          <w:tcPr>
            <w:tcW w:w="401" w:type="pct"/>
          </w:tcPr>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№.of</w:t>
            </w:r>
          </w:p>
          <w:p w:rsidR="00DB55D9" w:rsidRPr="0058368C" w:rsidRDefault="00DB55D9" w:rsidP="004A6760">
            <w:pPr>
              <w:keepNext/>
              <w:ind w:left="-108"/>
              <w:jc w:val="center"/>
              <w:rPr>
                <w:rFonts w:ascii="Arial Narrow" w:hAnsi="Arial Narrow" w:cs="Arial"/>
                <w:b/>
                <w:sz w:val="18"/>
                <w:szCs w:val="18"/>
              </w:rPr>
            </w:pPr>
            <w:r w:rsidRPr="0058368C">
              <w:rPr>
                <w:rFonts w:ascii="Arial Narrow" w:hAnsi="Arial Narrow" w:cs="Arial"/>
                <w:b/>
                <w:sz w:val="18"/>
                <w:szCs w:val="18"/>
              </w:rPr>
              <w:t>Rpts</w:t>
            </w:r>
          </w:p>
        </w:tc>
        <w:tc>
          <w:tcPr>
            <w:tcW w:w="1318" w:type="pct"/>
          </w:tcPr>
          <w:p w:rsidR="00DB55D9" w:rsidRPr="0058368C" w:rsidRDefault="00DB55D9" w:rsidP="004A6760">
            <w:pPr>
              <w:keepNext/>
              <w:rPr>
                <w:rFonts w:ascii="Arial Narrow" w:hAnsi="Arial Narrow" w:cs="Arial"/>
                <w:b/>
                <w:sz w:val="18"/>
                <w:szCs w:val="18"/>
              </w:rPr>
            </w:pPr>
            <w:r w:rsidRPr="0058368C">
              <w:rPr>
                <w:rFonts w:ascii="Arial Narrow" w:hAnsi="Arial Narrow" w:cs="Arial"/>
                <w:b/>
                <w:sz w:val="18"/>
                <w:szCs w:val="18"/>
              </w:rPr>
              <w:t>Available brands</w:t>
            </w:r>
          </w:p>
        </w:tc>
      </w:tr>
      <w:tr w:rsidR="00DB55D9" w:rsidRPr="0058368C" w:rsidTr="008D1B54">
        <w:trPr>
          <w:cantSplit/>
          <w:trHeight w:val="690"/>
        </w:trPr>
        <w:tc>
          <w:tcPr>
            <w:tcW w:w="1598" w:type="pct"/>
            <w:gridSpan w:val="2"/>
          </w:tcPr>
          <w:p w:rsidR="00DB55D9" w:rsidRPr="0058368C" w:rsidRDefault="00DB55D9" w:rsidP="004A6760">
            <w:pPr>
              <w:keepNext/>
              <w:ind w:left="-108"/>
              <w:rPr>
                <w:rFonts w:ascii="Arial Narrow" w:hAnsi="Arial Narrow" w:cs="Arial"/>
                <w:sz w:val="18"/>
                <w:szCs w:val="18"/>
              </w:rPr>
            </w:pPr>
            <w:r w:rsidRPr="0058368C">
              <w:rPr>
                <w:rFonts w:ascii="Arial Narrow" w:hAnsi="Arial Narrow" w:cs="Arial"/>
                <w:sz w:val="18"/>
                <w:szCs w:val="18"/>
              </w:rPr>
              <w:t xml:space="preserve">HYPROMELLOSE </w:t>
            </w:r>
          </w:p>
          <w:p w:rsidR="00DB55D9" w:rsidRPr="0058368C" w:rsidRDefault="00DB55D9" w:rsidP="004A6760">
            <w:pPr>
              <w:keepNext/>
              <w:ind w:left="-108"/>
              <w:rPr>
                <w:rFonts w:ascii="Arial Narrow" w:hAnsi="Arial Narrow" w:cs="Arial"/>
                <w:sz w:val="18"/>
                <w:szCs w:val="18"/>
              </w:rPr>
            </w:pPr>
            <w:r w:rsidRPr="0058368C">
              <w:rPr>
                <w:rStyle w:val="form-strength"/>
                <w:rFonts w:ascii="Arial Narrow" w:hAnsi="Arial Narrow" w:cs="Arial"/>
                <w:color w:val="333333"/>
                <w:sz w:val="18"/>
                <w:szCs w:val="18"/>
              </w:rPr>
              <w:t>hypromellose 0.3% w/w eye drops, 10 mL</w:t>
            </w:r>
          </w:p>
        </w:tc>
        <w:tc>
          <w:tcPr>
            <w:tcW w:w="721" w:type="pct"/>
          </w:tcPr>
          <w:p w:rsidR="00DB55D9" w:rsidRPr="0058368C" w:rsidRDefault="00DB55D9" w:rsidP="004A6760">
            <w:pPr>
              <w:keepNext/>
              <w:jc w:val="center"/>
              <w:rPr>
                <w:rFonts w:ascii="Arial Narrow" w:hAnsi="Arial Narrow" w:cs="Arial"/>
                <w:sz w:val="18"/>
                <w:szCs w:val="18"/>
              </w:rPr>
            </w:pPr>
          </w:p>
          <w:p w:rsidR="00DB55D9" w:rsidRPr="0058368C" w:rsidRDefault="00DB55D9" w:rsidP="004A6760">
            <w:pPr>
              <w:keepNext/>
              <w:jc w:val="center"/>
              <w:rPr>
                <w:rFonts w:ascii="Arial Narrow" w:hAnsi="Arial Narrow" w:cs="Arial"/>
                <w:sz w:val="18"/>
                <w:szCs w:val="18"/>
              </w:rPr>
            </w:pPr>
            <w:r w:rsidRPr="0058368C">
              <w:rPr>
                <w:rFonts w:ascii="Arial Narrow" w:hAnsi="Arial Narrow" w:cs="Arial"/>
                <w:sz w:val="18"/>
                <w:szCs w:val="18"/>
              </w:rPr>
              <w:t>11643T</w:t>
            </w:r>
          </w:p>
        </w:tc>
        <w:tc>
          <w:tcPr>
            <w:tcW w:w="482" w:type="pct"/>
          </w:tcPr>
          <w:p w:rsidR="00DB55D9" w:rsidRPr="0058368C" w:rsidRDefault="00DB55D9" w:rsidP="004A6760">
            <w:pPr>
              <w:keepNext/>
              <w:rPr>
                <w:rFonts w:ascii="Arial Narrow" w:hAnsi="Arial Narrow" w:cs="Arial"/>
                <w:sz w:val="18"/>
                <w:szCs w:val="18"/>
              </w:rPr>
            </w:pPr>
          </w:p>
          <w:p w:rsidR="00DB55D9" w:rsidRPr="0058368C" w:rsidRDefault="00DB55D9" w:rsidP="004A6760">
            <w:pPr>
              <w:keepNext/>
              <w:jc w:val="center"/>
              <w:rPr>
                <w:rFonts w:ascii="Arial Narrow" w:hAnsi="Arial Narrow" w:cs="Arial"/>
                <w:sz w:val="18"/>
                <w:szCs w:val="18"/>
              </w:rPr>
            </w:pPr>
            <w:r w:rsidRPr="0058368C">
              <w:rPr>
                <w:rFonts w:ascii="Arial Narrow" w:hAnsi="Arial Narrow" w:cs="Arial"/>
                <w:sz w:val="18"/>
                <w:szCs w:val="18"/>
              </w:rPr>
              <w:t>1</w:t>
            </w:r>
          </w:p>
        </w:tc>
        <w:tc>
          <w:tcPr>
            <w:tcW w:w="480" w:type="pct"/>
          </w:tcPr>
          <w:p w:rsidR="00DB55D9" w:rsidRPr="0058368C" w:rsidRDefault="00DB55D9" w:rsidP="004A6760">
            <w:pPr>
              <w:keepNext/>
              <w:rPr>
                <w:rFonts w:ascii="Arial Narrow" w:hAnsi="Arial Narrow" w:cs="Arial"/>
                <w:sz w:val="18"/>
                <w:szCs w:val="18"/>
              </w:rPr>
            </w:pPr>
          </w:p>
          <w:p w:rsidR="00DB55D9" w:rsidRPr="0058368C" w:rsidRDefault="00DB55D9" w:rsidP="004A6760">
            <w:pPr>
              <w:keepNext/>
              <w:ind w:left="-108"/>
              <w:jc w:val="center"/>
              <w:rPr>
                <w:rFonts w:ascii="Arial Narrow" w:hAnsi="Arial Narrow" w:cs="Arial"/>
                <w:sz w:val="18"/>
                <w:szCs w:val="18"/>
              </w:rPr>
            </w:pPr>
            <w:r w:rsidRPr="0058368C">
              <w:rPr>
                <w:rFonts w:ascii="Arial Narrow" w:hAnsi="Arial Narrow" w:cs="Arial"/>
                <w:sz w:val="18"/>
                <w:szCs w:val="18"/>
              </w:rPr>
              <w:t>1</w:t>
            </w:r>
          </w:p>
        </w:tc>
        <w:tc>
          <w:tcPr>
            <w:tcW w:w="401" w:type="pct"/>
          </w:tcPr>
          <w:p w:rsidR="00DB55D9" w:rsidRPr="0058368C" w:rsidRDefault="00DB55D9" w:rsidP="004A6760">
            <w:pPr>
              <w:keepNext/>
              <w:rPr>
                <w:rFonts w:ascii="Arial Narrow" w:hAnsi="Arial Narrow" w:cs="Arial"/>
                <w:sz w:val="18"/>
                <w:szCs w:val="18"/>
              </w:rPr>
            </w:pPr>
          </w:p>
          <w:p w:rsidR="00DB55D9" w:rsidRPr="0058368C" w:rsidRDefault="00DB55D9" w:rsidP="004A6760">
            <w:pPr>
              <w:keepNext/>
              <w:ind w:left="-108"/>
              <w:jc w:val="center"/>
              <w:rPr>
                <w:rFonts w:ascii="Arial Narrow" w:hAnsi="Arial Narrow" w:cs="Arial"/>
                <w:sz w:val="18"/>
                <w:szCs w:val="18"/>
              </w:rPr>
            </w:pPr>
            <w:r w:rsidRPr="0058368C">
              <w:rPr>
                <w:rFonts w:ascii="Arial Narrow" w:hAnsi="Arial Narrow" w:cs="Arial"/>
                <w:sz w:val="18"/>
                <w:szCs w:val="18"/>
              </w:rPr>
              <w:t>11</w:t>
            </w:r>
          </w:p>
        </w:tc>
        <w:tc>
          <w:tcPr>
            <w:tcW w:w="1318" w:type="pct"/>
          </w:tcPr>
          <w:p w:rsidR="00DB55D9" w:rsidRPr="0058368C" w:rsidRDefault="00DB55D9" w:rsidP="004A6760">
            <w:pPr>
              <w:keepNext/>
              <w:rPr>
                <w:rFonts w:ascii="Arial Narrow" w:hAnsi="Arial Narrow" w:cs="Arial"/>
                <w:sz w:val="18"/>
                <w:szCs w:val="18"/>
              </w:rPr>
            </w:pPr>
          </w:p>
          <w:p w:rsidR="003306FC" w:rsidRPr="00447F2C" w:rsidRDefault="003306FC" w:rsidP="004A6760">
            <w:pPr>
              <w:keepNext/>
              <w:rPr>
                <w:rFonts w:ascii="Arial Narrow" w:hAnsi="Arial Narrow" w:cs="Arial"/>
                <w:color w:val="FF0000"/>
                <w:sz w:val="18"/>
                <w:szCs w:val="18"/>
                <w:vertAlign w:val="superscript"/>
              </w:rPr>
            </w:pPr>
            <w:r w:rsidRPr="0058368C">
              <w:rPr>
                <w:rFonts w:ascii="Arial Narrow" w:hAnsi="Arial Narrow" w:cs="Arial"/>
                <w:sz w:val="18"/>
                <w:szCs w:val="18"/>
              </w:rPr>
              <w:t>Revive Tears</w:t>
            </w:r>
            <w:r w:rsidR="0052000F" w:rsidRPr="0058368C">
              <w:rPr>
                <w:rFonts w:ascii="Arial Narrow" w:hAnsi="Arial Narrow" w:cs="Arial"/>
                <w:color w:val="FF0000"/>
                <w:sz w:val="18"/>
                <w:szCs w:val="18"/>
                <w:vertAlign w:val="superscript"/>
              </w:rPr>
              <w:t xml:space="preserve"> a</w:t>
            </w:r>
          </w:p>
          <w:p w:rsidR="003306FC" w:rsidRPr="0058368C" w:rsidRDefault="003306FC" w:rsidP="004A6760">
            <w:pPr>
              <w:keepNext/>
              <w:rPr>
                <w:rFonts w:ascii="Arial Narrow" w:hAnsi="Arial Narrow" w:cs="Arial"/>
                <w:sz w:val="18"/>
                <w:szCs w:val="18"/>
              </w:rPr>
            </w:pPr>
            <w:r w:rsidRPr="0058368C">
              <w:rPr>
                <w:rFonts w:ascii="Arial Narrow" w:hAnsi="Arial Narrow" w:cs="Arial"/>
                <w:sz w:val="18"/>
                <w:szCs w:val="18"/>
              </w:rPr>
              <w:t>Genteal</w:t>
            </w:r>
            <w:r w:rsidR="00FA5F88" w:rsidRPr="0058368C">
              <w:rPr>
                <w:rFonts w:ascii="Arial Narrow" w:hAnsi="Arial Narrow" w:cs="Arial"/>
                <w:color w:val="FF0000"/>
                <w:sz w:val="18"/>
                <w:szCs w:val="18"/>
                <w:vertAlign w:val="superscript"/>
              </w:rPr>
              <w:t>a</w:t>
            </w:r>
            <w:r w:rsidRPr="0058368C">
              <w:rPr>
                <w:rFonts w:ascii="Arial Narrow" w:hAnsi="Arial Narrow" w:cs="Arial"/>
                <w:sz w:val="18"/>
                <w:szCs w:val="18"/>
              </w:rPr>
              <w:t xml:space="preserve"> </w:t>
            </w:r>
          </w:p>
          <w:p w:rsidR="00DB55D9" w:rsidRPr="00447F2C" w:rsidRDefault="003306FC" w:rsidP="004A6760">
            <w:pPr>
              <w:keepNext/>
              <w:rPr>
                <w:rFonts w:ascii="Arial Narrow" w:hAnsi="Arial Narrow" w:cs="Arial"/>
                <w:color w:val="FF0000"/>
                <w:sz w:val="18"/>
                <w:szCs w:val="18"/>
                <w:vertAlign w:val="superscript"/>
              </w:rPr>
            </w:pPr>
            <w:r w:rsidRPr="0058368C">
              <w:rPr>
                <w:rFonts w:ascii="Arial Narrow" w:hAnsi="Arial Narrow" w:cs="Arial"/>
                <w:sz w:val="18"/>
                <w:szCs w:val="18"/>
              </w:rPr>
              <w:t>In a Wink Moisturising</w:t>
            </w:r>
            <w:r w:rsidR="00FA5F88" w:rsidRPr="0058368C">
              <w:rPr>
                <w:rFonts w:ascii="Arial Narrow" w:hAnsi="Arial Narrow" w:cs="Arial"/>
                <w:color w:val="FF0000"/>
                <w:sz w:val="18"/>
                <w:szCs w:val="18"/>
                <w:vertAlign w:val="superscript"/>
              </w:rPr>
              <w:t>a</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b/>
                <w:sz w:val="18"/>
                <w:szCs w:val="18"/>
              </w:rPr>
            </w:pP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b/>
                <w:sz w:val="18"/>
                <w:szCs w:val="18"/>
              </w:rPr>
            </w:pPr>
            <w:r w:rsidRPr="0058368C">
              <w:rPr>
                <w:rFonts w:ascii="Arial Narrow" w:hAnsi="Arial Narrow"/>
                <w:b/>
                <w:sz w:val="18"/>
                <w:szCs w:val="18"/>
              </w:rPr>
              <w:t xml:space="preserve">Restriction Summary [6098] / Treatment of Concept: [6098] </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632" w:type="pct"/>
            <w:vMerge w:val="restart"/>
            <w:tcBorders>
              <w:top w:val="single" w:sz="4" w:space="0" w:color="auto"/>
              <w:left w:val="single" w:sz="4" w:space="0" w:color="auto"/>
              <w:right w:val="single" w:sz="4" w:space="0" w:color="auto"/>
            </w:tcBorders>
          </w:tcPr>
          <w:p w:rsidR="00DB55D9" w:rsidRPr="0058368C" w:rsidRDefault="00DB55D9" w:rsidP="004A6760">
            <w:pPr>
              <w:rPr>
                <w:rFonts w:ascii="Arial Narrow" w:hAnsi="Arial Narrow" w:cs="Arial"/>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sz w:val="18"/>
                <w:szCs w:val="18"/>
              </w:rPr>
            </w:pPr>
            <w:r w:rsidRPr="0058368C">
              <w:rPr>
                <w:rFonts w:ascii="Arial Narrow" w:hAnsi="Arial Narrow" w:cs="Arial"/>
                <w:b/>
                <w:sz w:val="18"/>
                <w:szCs w:val="18"/>
              </w:rPr>
              <w:t xml:space="preserve">Category / Program:   </w:t>
            </w:r>
            <w:r w:rsidRPr="0058368C">
              <w:rPr>
                <w:rFonts w:ascii="Arial Narrow" w:hAnsi="Arial Narrow" w:cs="Arial"/>
                <w:sz w:val="18"/>
                <w:szCs w:val="18"/>
              </w:rPr>
              <w:t>GENERAL – General Schedule (Code GE)</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rPr>
          <w:trHeight w:val="240"/>
        </w:trPr>
        <w:tc>
          <w:tcPr>
            <w:tcW w:w="632" w:type="pct"/>
            <w:vMerge/>
            <w:tcBorders>
              <w:left w:val="single" w:sz="4" w:space="0" w:color="auto"/>
              <w:right w:val="single" w:sz="4" w:space="0" w:color="auto"/>
            </w:tcBorders>
          </w:tcPr>
          <w:p w:rsidR="00DB55D9" w:rsidRPr="0058368C" w:rsidRDefault="00DB55D9" w:rsidP="004A6760">
            <w:pPr>
              <w:rPr>
                <w:rFonts w:ascii="Arial Narrow" w:hAnsi="Arial Narrow" w:cs="Arial"/>
                <w:b/>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b/>
                <w:sz w:val="18"/>
                <w:szCs w:val="18"/>
              </w:rPr>
            </w:pPr>
            <w:r w:rsidRPr="0058368C">
              <w:rPr>
                <w:rFonts w:ascii="Arial Narrow" w:hAnsi="Arial Narrow" w:cs="Arial"/>
                <w:b/>
                <w:sz w:val="18"/>
                <w:szCs w:val="18"/>
              </w:rPr>
              <w:t xml:space="preserve">Prescriber type:   </w:t>
            </w:r>
            <w:r w:rsidRPr="00447F2C">
              <w:rPr>
                <w:rFonts w:ascii="Arial Narrow" w:hAnsi="Arial Narrow" w:cs="Arial"/>
                <w:sz w:val="18"/>
                <w:szCs w:val="18"/>
              </w:rPr>
              <w:fldChar w:fldCharType="begin">
                <w:ffData>
                  <w:name w:val="Check1"/>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Dental    </w:t>
            </w:r>
            <w:r w:rsidRPr="00447F2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Medical Practitioners    </w:t>
            </w:r>
            <w:r w:rsidRPr="00447F2C">
              <w:rPr>
                <w:rFonts w:ascii="Arial Narrow" w:hAnsi="Arial Narrow" w:cs="Arial"/>
                <w:sz w:val="18"/>
                <w:szCs w:val="18"/>
              </w:rPr>
              <w:fldChar w:fldCharType="begin">
                <w:ffData>
                  <w:name w:val=""/>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Nurse practitioners     </w:t>
            </w:r>
            <w:r w:rsidRPr="00447F2C">
              <w:rPr>
                <w:rFonts w:ascii="Arial Narrow" w:hAnsi="Arial Narrow" w:cs="Arial"/>
                <w:sz w:val="18"/>
                <w:szCs w:val="18"/>
              </w:rPr>
              <w:fldChar w:fldCharType="begin">
                <w:ffData>
                  <w:name w:val=""/>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Optometrists    </w:t>
            </w:r>
            <w:r w:rsidRPr="00447F2C">
              <w:rPr>
                <w:rFonts w:ascii="Arial Narrow" w:hAnsi="Arial Narrow" w:cs="Arial"/>
                <w:sz w:val="18"/>
                <w:szCs w:val="18"/>
              </w:rPr>
              <w:fldChar w:fldCharType="begin">
                <w:ffData>
                  <w:name w:val="Check5"/>
                  <w:enabled/>
                  <w:calcOnExit w:val="0"/>
                  <w:checkBox>
                    <w:sizeAuto/>
                    <w:default w:val="0"/>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Midwives</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632" w:type="pct"/>
            <w:vMerge/>
            <w:tcBorders>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rsidR="00DB55D9" w:rsidRPr="0058368C" w:rsidRDefault="00DB55D9" w:rsidP="004A6760">
            <w:pPr>
              <w:rPr>
                <w:rFonts w:ascii="Arial Narrow" w:hAnsi="Arial Narrow" w:cs="Arial"/>
                <w:b/>
                <w:sz w:val="18"/>
                <w:szCs w:val="18"/>
              </w:rPr>
            </w:pPr>
            <w:r w:rsidRPr="0058368C">
              <w:rPr>
                <w:rFonts w:ascii="Arial Narrow" w:hAnsi="Arial Narrow" w:cs="Arial"/>
                <w:b/>
                <w:sz w:val="18"/>
                <w:szCs w:val="18"/>
              </w:rPr>
              <w:t>Restriction Level / Method:</w:t>
            </w:r>
          </w:p>
          <w:p w:rsidR="00DB55D9" w:rsidRPr="0058368C" w:rsidRDefault="00DB55D9" w:rsidP="004A6760">
            <w:pPr>
              <w:rPr>
                <w:rFonts w:ascii="Arial Narrow" w:hAnsi="Arial Narrow" w:cs="Arial"/>
                <w:sz w:val="18"/>
                <w:szCs w:val="18"/>
              </w:rPr>
            </w:pPr>
            <w:r w:rsidRPr="00447F2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C51C5D">
              <w:rPr>
                <w:rFonts w:ascii="Arial Narrow" w:hAnsi="Arial Narrow" w:cs="Arial"/>
                <w:sz w:val="18"/>
                <w:szCs w:val="18"/>
              </w:rPr>
            </w:r>
            <w:r w:rsidR="00C51C5D">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Restricted benefit</w:t>
            </w:r>
          </w:p>
        </w:tc>
      </w:tr>
      <w:tr w:rsidR="00DB55D9" w:rsidRPr="0058368C" w:rsidTr="003B07D7">
        <w:tblPrEx>
          <w:tblCellMar>
            <w:top w:w="15" w:type="dxa"/>
            <w:left w:w="15" w:type="dxa"/>
            <w:bottom w:w="15" w:type="dxa"/>
            <w:right w:w="15" w:type="dxa"/>
          </w:tblCellMar>
        </w:tblPrEx>
        <w:tc>
          <w:tcPr>
            <w:tcW w:w="632" w:type="pct"/>
            <w:vAlign w:val="center"/>
          </w:tcPr>
          <w:p w:rsidR="00DB55D9" w:rsidRPr="0058368C" w:rsidRDefault="00DB55D9" w:rsidP="004A6760">
            <w:pPr>
              <w:jc w:val="center"/>
              <w:rPr>
                <w:rFonts w:ascii="Arial Narrow" w:hAnsi="Arial Narrow"/>
                <w:color w:val="333333"/>
                <w:sz w:val="18"/>
                <w:szCs w:val="18"/>
              </w:rPr>
            </w:pPr>
          </w:p>
        </w:tc>
        <w:tc>
          <w:tcPr>
            <w:tcW w:w="4368" w:type="pct"/>
            <w:gridSpan w:val="6"/>
            <w:vAlign w:val="center"/>
          </w:tcPr>
          <w:p w:rsidR="00DB55D9" w:rsidRPr="0058368C" w:rsidRDefault="00DB55D9" w:rsidP="004A6760">
            <w:pPr>
              <w:rPr>
                <w:rFonts w:ascii="Arial Narrow" w:hAnsi="Arial Narrow"/>
                <w:color w:val="333333"/>
                <w:sz w:val="18"/>
                <w:szCs w:val="18"/>
              </w:rPr>
            </w:pPr>
            <w:r w:rsidRPr="0058368C">
              <w:rPr>
                <w:rFonts w:ascii="Arial Narrow" w:hAnsi="Arial Narrow"/>
                <w:b/>
                <w:bCs/>
                <w:sz w:val="18"/>
                <w:szCs w:val="18"/>
              </w:rPr>
              <w:t>Indication:</w:t>
            </w:r>
            <w:r w:rsidRPr="0058368C">
              <w:rPr>
                <w:rFonts w:ascii="Arial Narrow" w:hAnsi="Arial Narrow"/>
                <w:sz w:val="18"/>
                <w:szCs w:val="18"/>
              </w:rPr>
              <w:t xml:space="preserve"> Severe dry eye syndrome, including Sjogren's syndrome</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632" w:type="pct"/>
            <w:vAlign w:val="center"/>
          </w:tcPr>
          <w:p w:rsidR="00DB55D9" w:rsidRPr="0058368C" w:rsidRDefault="00DB55D9" w:rsidP="004A6760">
            <w:pPr>
              <w:jc w:val="center"/>
              <w:rPr>
                <w:rFonts w:ascii="Arial Narrow" w:hAnsi="Arial Narrow"/>
                <w:bCs/>
                <w:sz w:val="18"/>
                <w:szCs w:val="18"/>
              </w:rPr>
            </w:pPr>
          </w:p>
        </w:tc>
        <w:tc>
          <w:tcPr>
            <w:tcW w:w="4368" w:type="pct"/>
            <w:gridSpan w:val="6"/>
            <w:vAlign w:val="center"/>
          </w:tcPr>
          <w:p w:rsidR="00DB55D9" w:rsidRPr="0058368C" w:rsidRDefault="00DB55D9" w:rsidP="004A6760">
            <w:pPr>
              <w:rPr>
                <w:rFonts w:ascii="Arial Narrow" w:hAnsi="Arial Narrow"/>
                <w:bCs/>
                <w:sz w:val="18"/>
                <w:szCs w:val="18"/>
              </w:rPr>
            </w:pPr>
            <w:r w:rsidRPr="0058368C">
              <w:rPr>
                <w:rFonts w:ascii="Arial Narrow" w:hAnsi="Arial Narrow"/>
                <w:b/>
                <w:bCs/>
                <w:sz w:val="18"/>
                <w:szCs w:val="18"/>
              </w:rPr>
              <w:t xml:space="preserve">Clinical criteria: </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632" w:type="pct"/>
            <w:vAlign w:val="center"/>
          </w:tcPr>
          <w:p w:rsidR="00DB55D9" w:rsidRPr="0058368C" w:rsidRDefault="00DB55D9" w:rsidP="004A6760">
            <w:pPr>
              <w:jc w:val="center"/>
              <w:rPr>
                <w:rFonts w:ascii="Arial Narrow" w:hAnsi="Arial Narrow"/>
                <w:bCs/>
                <w:sz w:val="18"/>
                <w:szCs w:val="18"/>
              </w:rPr>
            </w:pPr>
          </w:p>
        </w:tc>
        <w:tc>
          <w:tcPr>
            <w:tcW w:w="4368" w:type="pct"/>
            <w:gridSpan w:val="6"/>
            <w:vAlign w:val="center"/>
          </w:tcPr>
          <w:p w:rsidR="00DB55D9" w:rsidRPr="0058368C" w:rsidRDefault="00DB55D9" w:rsidP="004A6760">
            <w:pPr>
              <w:rPr>
                <w:rFonts w:ascii="Arial Narrow" w:hAnsi="Arial Narrow"/>
                <w:b/>
                <w:bCs/>
                <w:sz w:val="18"/>
                <w:szCs w:val="18"/>
              </w:rPr>
            </w:pPr>
            <w:r w:rsidRPr="0058368C">
              <w:rPr>
                <w:rFonts w:ascii="Arial Narrow" w:hAnsi="Arial Narrow"/>
                <w:bCs/>
                <w:sz w:val="18"/>
                <w:szCs w:val="18"/>
              </w:rPr>
              <w:t>Patient must be receiving treatment under a GP Management Plan or Team Care Arrangements where Medicare benefits were or are payable for the preparation of the plan or coordination of the arrangements.</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632" w:type="pct"/>
            <w:vAlign w:val="center"/>
          </w:tcPr>
          <w:p w:rsidR="00DB55D9" w:rsidRPr="0058368C" w:rsidRDefault="00DB55D9" w:rsidP="004A6760">
            <w:pPr>
              <w:jc w:val="center"/>
              <w:rPr>
                <w:rFonts w:ascii="Arial Narrow" w:hAnsi="Arial Narrow"/>
                <w:bCs/>
                <w:sz w:val="18"/>
                <w:szCs w:val="18"/>
              </w:rPr>
            </w:pPr>
          </w:p>
        </w:tc>
        <w:tc>
          <w:tcPr>
            <w:tcW w:w="4368" w:type="pct"/>
            <w:gridSpan w:val="6"/>
            <w:vAlign w:val="center"/>
          </w:tcPr>
          <w:p w:rsidR="00DB55D9" w:rsidRPr="0058368C" w:rsidRDefault="00DB55D9" w:rsidP="004A6760">
            <w:pPr>
              <w:rPr>
                <w:rFonts w:ascii="Arial Narrow" w:hAnsi="Arial Narrow"/>
                <w:b/>
                <w:bCs/>
                <w:sz w:val="18"/>
                <w:szCs w:val="18"/>
              </w:rPr>
            </w:pPr>
            <w:r w:rsidRPr="0058368C">
              <w:rPr>
                <w:rFonts w:ascii="Arial Narrow" w:hAnsi="Arial Narrow"/>
                <w:b/>
                <w:bCs/>
                <w:sz w:val="18"/>
                <w:szCs w:val="18"/>
              </w:rPr>
              <w:t xml:space="preserve">Administrative Advice: </w:t>
            </w:r>
          </w:p>
          <w:p w:rsidR="00DB55D9" w:rsidRPr="0058368C" w:rsidRDefault="00DB55D9" w:rsidP="004A6760">
            <w:pPr>
              <w:rPr>
                <w:rFonts w:ascii="Arial Narrow" w:hAnsi="Arial Narrow"/>
                <w:bCs/>
                <w:sz w:val="18"/>
                <w:szCs w:val="18"/>
              </w:rPr>
            </w:pPr>
            <w:r w:rsidRPr="0058368C">
              <w:rPr>
                <w:rFonts w:ascii="Arial Narrow" w:hAnsi="Arial Narrow"/>
                <w:bCs/>
                <w:sz w:val="18"/>
                <w:szCs w:val="18"/>
              </w:rPr>
              <w:t>No increase in the maximum quantity or number of units may be authorised.</w:t>
            </w:r>
          </w:p>
        </w:tc>
      </w:tr>
      <w:tr w:rsidR="00DB55D9" w:rsidRPr="0058368C" w:rsidTr="008D1B54">
        <w:tblPrEx>
          <w:tblCellMar>
            <w:top w:w="15" w:type="dxa"/>
            <w:left w:w="15" w:type="dxa"/>
            <w:bottom w:w="15" w:type="dxa"/>
            <w:right w:w="15" w:type="dxa"/>
          </w:tblCellMar>
          <w:tblLook w:val="04A0" w:firstRow="1" w:lastRow="0" w:firstColumn="1" w:lastColumn="0" w:noHBand="0" w:noVBand="1"/>
        </w:tblPrEx>
        <w:tc>
          <w:tcPr>
            <w:tcW w:w="632" w:type="pct"/>
            <w:vAlign w:val="center"/>
          </w:tcPr>
          <w:p w:rsidR="00DB55D9" w:rsidRPr="0058368C" w:rsidRDefault="00DB55D9" w:rsidP="004A6760">
            <w:pPr>
              <w:jc w:val="center"/>
              <w:rPr>
                <w:rFonts w:ascii="Arial Narrow" w:hAnsi="Arial Narrow"/>
                <w:bCs/>
                <w:sz w:val="18"/>
                <w:szCs w:val="18"/>
              </w:rPr>
            </w:pPr>
          </w:p>
        </w:tc>
        <w:tc>
          <w:tcPr>
            <w:tcW w:w="4368" w:type="pct"/>
            <w:gridSpan w:val="6"/>
            <w:vAlign w:val="center"/>
          </w:tcPr>
          <w:p w:rsidR="00DB55D9" w:rsidRPr="0058368C" w:rsidRDefault="00DB55D9" w:rsidP="004A6760">
            <w:pPr>
              <w:rPr>
                <w:rFonts w:ascii="Arial Narrow" w:hAnsi="Arial Narrow"/>
                <w:b/>
                <w:bCs/>
                <w:sz w:val="18"/>
                <w:szCs w:val="18"/>
              </w:rPr>
            </w:pPr>
            <w:r w:rsidRPr="0058368C">
              <w:rPr>
                <w:rFonts w:ascii="Arial Narrow" w:hAnsi="Arial Narrow"/>
                <w:b/>
                <w:bCs/>
                <w:sz w:val="18"/>
                <w:szCs w:val="18"/>
              </w:rPr>
              <w:t>Administrative Advice:</w:t>
            </w:r>
          </w:p>
          <w:p w:rsidR="00DB55D9" w:rsidRPr="0058368C" w:rsidRDefault="00DB55D9" w:rsidP="004A6760">
            <w:pPr>
              <w:rPr>
                <w:rFonts w:ascii="Arial Narrow" w:hAnsi="Arial Narrow"/>
                <w:bCs/>
                <w:sz w:val="18"/>
                <w:szCs w:val="18"/>
              </w:rPr>
            </w:pPr>
            <w:r w:rsidRPr="0058368C">
              <w:rPr>
                <w:rFonts w:ascii="Arial Narrow" w:hAnsi="Arial Narrow"/>
                <w:bCs/>
                <w:sz w:val="18"/>
                <w:szCs w:val="18"/>
              </w:rPr>
              <w:t xml:space="preserve">No increase in the maximum number of repeats may be authorised. </w:t>
            </w:r>
          </w:p>
        </w:tc>
      </w:tr>
    </w:tbl>
    <w:p w:rsidR="001C7C1B" w:rsidRDefault="004A6760" w:rsidP="004A6760">
      <w:pPr>
        <w:spacing w:before="120"/>
        <w:rPr>
          <w:b/>
          <w:i/>
        </w:rPr>
      </w:pPr>
      <w:r w:rsidRPr="00A453CF">
        <w:rPr>
          <w:b/>
          <w:i/>
        </w:rPr>
        <w:t>This restriction may be subject to further review. Should there be any changes made to the restriction the Sponsor will be informed.</w:t>
      </w:r>
    </w:p>
    <w:p w:rsidR="00D34AB6" w:rsidRDefault="00D34AB6" w:rsidP="004A6760">
      <w:pPr>
        <w:spacing w:before="120"/>
        <w:rPr>
          <w:b/>
          <w:i/>
        </w:rPr>
      </w:pPr>
    </w:p>
    <w:p w:rsidR="00D34AB6" w:rsidRPr="003B07D7" w:rsidRDefault="00D34AB6" w:rsidP="003B07D7">
      <w:pPr>
        <w:pStyle w:val="Heading1"/>
        <w:keepLines/>
        <w:numPr>
          <w:ilvl w:val="0"/>
          <w:numId w:val="3"/>
        </w:numPr>
        <w:spacing w:before="240"/>
        <w:ind w:left="709" w:hanging="709"/>
        <w:rPr>
          <w:sz w:val="32"/>
          <w:szCs w:val="32"/>
        </w:rPr>
      </w:pPr>
      <w:r w:rsidRPr="003B07D7">
        <w:rPr>
          <w:sz w:val="32"/>
          <w:szCs w:val="32"/>
        </w:rPr>
        <w:t>Context for Decision</w:t>
      </w:r>
    </w:p>
    <w:p w:rsidR="00D34AB6" w:rsidRPr="007129F2" w:rsidRDefault="00D34AB6" w:rsidP="003B07D7">
      <w:pPr>
        <w:spacing w:after="120"/>
        <w:ind w:left="709"/>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34AB6" w:rsidRPr="003B07D7" w:rsidRDefault="00D34AB6" w:rsidP="003B07D7">
      <w:pPr>
        <w:pStyle w:val="Heading1"/>
        <w:keepLines/>
        <w:numPr>
          <w:ilvl w:val="0"/>
          <w:numId w:val="3"/>
        </w:numPr>
        <w:spacing w:before="240"/>
        <w:ind w:left="709" w:hanging="709"/>
        <w:rPr>
          <w:b w:val="0"/>
          <w:sz w:val="32"/>
          <w:szCs w:val="32"/>
        </w:rPr>
      </w:pPr>
      <w:r w:rsidRPr="003B07D7">
        <w:rPr>
          <w:sz w:val="32"/>
          <w:szCs w:val="32"/>
        </w:rPr>
        <w:t>Sponsor’s Comment</w:t>
      </w:r>
    </w:p>
    <w:p w:rsidR="00D34AB6" w:rsidRPr="001179AC" w:rsidRDefault="00D34AB6" w:rsidP="003B07D7">
      <w:pPr>
        <w:spacing w:after="120"/>
        <w:ind w:left="426" w:firstLine="283"/>
        <w:rPr>
          <w:rFonts w:cs="Arial"/>
          <w:bCs/>
        </w:rPr>
      </w:pPr>
      <w:r w:rsidRPr="00C07617">
        <w:rPr>
          <w:rFonts w:cs="Arial"/>
          <w:bCs/>
        </w:rPr>
        <w:t>The sponsor had no comment.</w:t>
      </w:r>
    </w:p>
    <w:p w:rsidR="00D34AB6" w:rsidRPr="00A453CF" w:rsidRDefault="00D34AB6" w:rsidP="004A6760">
      <w:pPr>
        <w:spacing w:before="120"/>
        <w:rPr>
          <w:b/>
          <w:i/>
        </w:rPr>
      </w:pPr>
    </w:p>
    <w:sectPr w:rsidR="00D34AB6" w:rsidRPr="00A453CF" w:rsidSect="00B1370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DF7" w:rsidRDefault="00D20DF7" w:rsidP="00361103">
      <w:r>
        <w:separator/>
      </w:r>
    </w:p>
  </w:endnote>
  <w:endnote w:type="continuationSeparator" w:id="0">
    <w:p w:rsidR="00D20DF7" w:rsidRDefault="00D20DF7" w:rsidP="0036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72BBF" w:rsidTr="00B13700">
      <w:trPr>
        <w:trHeight w:val="151"/>
      </w:trPr>
      <w:tc>
        <w:tcPr>
          <w:tcW w:w="2250" w:type="pct"/>
          <w:tcBorders>
            <w:top w:val="nil"/>
            <w:left w:val="nil"/>
            <w:bottom w:val="single" w:sz="4" w:space="0" w:color="4F81BD"/>
            <w:right w:val="nil"/>
          </w:tcBorders>
        </w:tcPr>
        <w:p w:rsidR="00B72BBF" w:rsidRPr="005A3173" w:rsidRDefault="00B72BBF" w:rsidP="00B13700">
          <w:pPr>
            <w:pStyle w:val="Header"/>
            <w:spacing w:line="276" w:lineRule="auto"/>
            <w:rPr>
              <w:rFonts w:eastAsia="MS Gothic"/>
              <w:b/>
              <w:bCs/>
              <w:color w:val="4F81BD"/>
            </w:rPr>
          </w:pPr>
        </w:p>
      </w:tc>
      <w:tc>
        <w:tcPr>
          <w:tcW w:w="500" w:type="pct"/>
          <w:vMerge w:val="restart"/>
          <w:noWrap/>
          <w:vAlign w:val="center"/>
          <w:hideMark/>
        </w:tcPr>
        <w:p w:rsidR="00B72BBF" w:rsidRPr="005A3173" w:rsidRDefault="00B72BBF" w:rsidP="00B1370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72BBF" w:rsidRPr="005A3173" w:rsidRDefault="00B72BBF" w:rsidP="00B13700">
          <w:pPr>
            <w:pStyle w:val="Header"/>
            <w:spacing w:line="276" w:lineRule="auto"/>
            <w:rPr>
              <w:rFonts w:eastAsia="MS Gothic"/>
              <w:b/>
              <w:bCs/>
              <w:color w:val="4F81BD"/>
            </w:rPr>
          </w:pPr>
        </w:p>
      </w:tc>
    </w:tr>
    <w:tr w:rsidR="00B72BBF" w:rsidTr="00B13700">
      <w:trPr>
        <w:trHeight w:val="150"/>
      </w:trPr>
      <w:tc>
        <w:tcPr>
          <w:tcW w:w="2250" w:type="pct"/>
          <w:tcBorders>
            <w:top w:val="single" w:sz="4" w:space="0" w:color="4F81BD"/>
            <w:left w:val="nil"/>
            <w:bottom w:val="nil"/>
            <w:right w:val="nil"/>
          </w:tcBorders>
        </w:tcPr>
        <w:p w:rsidR="00B72BBF" w:rsidRPr="005A3173" w:rsidRDefault="00B72BBF" w:rsidP="00B13700">
          <w:pPr>
            <w:pStyle w:val="Header"/>
            <w:spacing w:line="276" w:lineRule="auto"/>
            <w:rPr>
              <w:rFonts w:eastAsia="MS Gothic"/>
              <w:b/>
              <w:bCs/>
              <w:color w:val="4F81BD"/>
            </w:rPr>
          </w:pPr>
        </w:p>
      </w:tc>
      <w:tc>
        <w:tcPr>
          <w:tcW w:w="0" w:type="auto"/>
          <w:vMerge/>
          <w:vAlign w:val="center"/>
          <w:hideMark/>
        </w:tcPr>
        <w:p w:rsidR="00B72BBF" w:rsidRPr="005A3173" w:rsidRDefault="00B72BBF" w:rsidP="00B13700">
          <w:pPr>
            <w:rPr>
              <w:color w:val="365F91"/>
              <w:sz w:val="22"/>
              <w:szCs w:val="22"/>
            </w:rPr>
          </w:pPr>
        </w:p>
      </w:tc>
      <w:tc>
        <w:tcPr>
          <w:tcW w:w="2250" w:type="pct"/>
          <w:tcBorders>
            <w:top w:val="single" w:sz="4" w:space="0" w:color="4F81BD"/>
            <w:left w:val="nil"/>
            <w:bottom w:val="nil"/>
            <w:right w:val="nil"/>
          </w:tcBorders>
        </w:tcPr>
        <w:p w:rsidR="00B72BBF" w:rsidRPr="005A3173" w:rsidRDefault="00B72BBF" w:rsidP="00B13700">
          <w:pPr>
            <w:pStyle w:val="Header"/>
            <w:spacing w:line="276" w:lineRule="auto"/>
            <w:rPr>
              <w:rFonts w:eastAsia="MS Gothic"/>
              <w:b/>
              <w:bCs/>
              <w:color w:val="4F81BD"/>
            </w:rPr>
          </w:pPr>
        </w:p>
      </w:tc>
    </w:tr>
  </w:tbl>
  <w:p w:rsidR="00B72BBF" w:rsidRDefault="00B72BBF" w:rsidP="00B13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BBF" w:rsidRDefault="00B72BBF">
    <w:pPr>
      <w:pStyle w:val="Footer"/>
    </w:pPr>
  </w:p>
  <w:p w:rsidR="00B72BBF" w:rsidRDefault="00B72B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341017"/>
      <w:docPartObj>
        <w:docPartGallery w:val="Page Numbers (Bottom of Page)"/>
        <w:docPartUnique/>
      </w:docPartObj>
    </w:sdtPr>
    <w:sdtEndPr>
      <w:rPr>
        <w:b/>
        <w:noProof/>
      </w:rPr>
    </w:sdtEndPr>
    <w:sdtContent>
      <w:p w:rsidR="00B72BBF" w:rsidRDefault="00B72BBF" w:rsidP="00E878A6">
        <w:pPr>
          <w:pStyle w:val="Footer"/>
          <w:jc w:val="center"/>
        </w:pPr>
      </w:p>
      <w:p w:rsidR="00B72BBF" w:rsidRPr="002C697F" w:rsidRDefault="00B72BBF" w:rsidP="00E878A6">
        <w:pPr>
          <w:pStyle w:val="Footer"/>
          <w:jc w:val="center"/>
          <w:rPr>
            <w:b/>
          </w:rPr>
        </w:pPr>
        <w:r w:rsidRPr="002C697F">
          <w:rPr>
            <w:b/>
          </w:rPr>
          <w:fldChar w:fldCharType="begin"/>
        </w:r>
        <w:r w:rsidRPr="002C697F">
          <w:rPr>
            <w:b/>
          </w:rPr>
          <w:instrText xml:space="preserve"> PAGE   \* MERGEFORMAT </w:instrText>
        </w:r>
        <w:r w:rsidRPr="002C697F">
          <w:rPr>
            <w:b/>
          </w:rPr>
          <w:fldChar w:fldCharType="separate"/>
        </w:r>
        <w:r w:rsidR="00C51C5D">
          <w:rPr>
            <w:b/>
            <w:noProof/>
          </w:rPr>
          <w:t>6</w:t>
        </w:r>
        <w:r w:rsidRPr="002C697F">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B72BBF" w:rsidTr="00B13700">
      <w:trPr>
        <w:trHeight w:val="151"/>
      </w:trPr>
      <w:tc>
        <w:tcPr>
          <w:tcW w:w="2250" w:type="pct"/>
          <w:tcBorders>
            <w:top w:val="nil"/>
            <w:left w:val="nil"/>
            <w:bottom w:val="single" w:sz="4" w:space="0" w:color="4F81BD"/>
            <w:right w:val="nil"/>
          </w:tcBorders>
        </w:tcPr>
        <w:p w:rsidR="00B72BBF" w:rsidRPr="005A3173" w:rsidRDefault="00B72BBF" w:rsidP="00B13700">
          <w:pPr>
            <w:pStyle w:val="Header"/>
            <w:spacing w:line="276" w:lineRule="auto"/>
            <w:rPr>
              <w:rFonts w:eastAsia="MS Gothic"/>
              <w:b/>
              <w:bCs/>
              <w:color w:val="4F81BD"/>
            </w:rPr>
          </w:pPr>
        </w:p>
      </w:tc>
      <w:tc>
        <w:tcPr>
          <w:tcW w:w="500" w:type="pct"/>
          <w:vMerge w:val="restart"/>
          <w:noWrap/>
          <w:vAlign w:val="center"/>
          <w:hideMark/>
        </w:tcPr>
        <w:p w:rsidR="00B72BBF" w:rsidRPr="005A3173" w:rsidRDefault="00B72BBF" w:rsidP="00B1370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72BBF" w:rsidRPr="005A3173" w:rsidRDefault="00B72BBF" w:rsidP="00B13700">
          <w:pPr>
            <w:pStyle w:val="Header"/>
            <w:spacing w:line="276" w:lineRule="auto"/>
            <w:rPr>
              <w:rFonts w:eastAsia="MS Gothic"/>
              <w:b/>
              <w:bCs/>
              <w:color w:val="4F81BD"/>
            </w:rPr>
          </w:pPr>
        </w:p>
      </w:tc>
    </w:tr>
    <w:tr w:rsidR="00B72BBF" w:rsidTr="00B13700">
      <w:trPr>
        <w:trHeight w:val="150"/>
      </w:trPr>
      <w:tc>
        <w:tcPr>
          <w:tcW w:w="2250" w:type="pct"/>
          <w:tcBorders>
            <w:top w:val="single" w:sz="4" w:space="0" w:color="4F81BD"/>
            <w:left w:val="nil"/>
            <w:bottom w:val="nil"/>
            <w:right w:val="nil"/>
          </w:tcBorders>
        </w:tcPr>
        <w:p w:rsidR="00B72BBF" w:rsidRPr="005A3173" w:rsidRDefault="00B72BBF" w:rsidP="00B13700">
          <w:pPr>
            <w:pStyle w:val="Header"/>
            <w:spacing w:line="276" w:lineRule="auto"/>
            <w:rPr>
              <w:rFonts w:eastAsia="MS Gothic"/>
              <w:b/>
              <w:bCs/>
              <w:color w:val="4F81BD"/>
            </w:rPr>
          </w:pPr>
        </w:p>
      </w:tc>
      <w:tc>
        <w:tcPr>
          <w:tcW w:w="0" w:type="auto"/>
          <w:vMerge/>
          <w:vAlign w:val="center"/>
          <w:hideMark/>
        </w:tcPr>
        <w:p w:rsidR="00B72BBF" w:rsidRPr="005A3173" w:rsidRDefault="00B72BBF" w:rsidP="00B13700">
          <w:pPr>
            <w:rPr>
              <w:color w:val="365F91"/>
              <w:sz w:val="22"/>
              <w:szCs w:val="22"/>
            </w:rPr>
          </w:pPr>
        </w:p>
      </w:tc>
      <w:tc>
        <w:tcPr>
          <w:tcW w:w="2250" w:type="pct"/>
          <w:tcBorders>
            <w:top w:val="single" w:sz="4" w:space="0" w:color="4F81BD"/>
            <w:left w:val="nil"/>
            <w:bottom w:val="nil"/>
            <w:right w:val="nil"/>
          </w:tcBorders>
        </w:tcPr>
        <w:p w:rsidR="00B72BBF" w:rsidRPr="005A3173" w:rsidRDefault="00B72BBF" w:rsidP="00B13700">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72BBF" w:rsidTr="00B13700">
      <w:trPr>
        <w:trHeight w:val="151"/>
      </w:trPr>
      <w:tc>
        <w:tcPr>
          <w:tcW w:w="2250" w:type="pct"/>
          <w:tcBorders>
            <w:top w:val="nil"/>
            <w:left w:val="nil"/>
            <w:bottom w:val="single" w:sz="4" w:space="0" w:color="4F81BD"/>
            <w:right w:val="nil"/>
          </w:tcBorders>
        </w:tcPr>
        <w:p w:rsidR="00B72BBF" w:rsidRPr="005A3173" w:rsidRDefault="00B72BBF" w:rsidP="00B13700">
          <w:pPr>
            <w:pStyle w:val="Header"/>
            <w:spacing w:line="276" w:lineRule="auto"/>
            <w:rPr>
              <w:rFonts w:eastAsia="MS Gothic"/>
              <w:b/>
              <w:bCs/>
              <w:color w:val="4F81BD"/>
            </w:rPr>
          </w:pPr>
        </w:p>
      </w:tc>
      <w:tc>
        <w:tcPr>
          <w:tcW w:w="500" w:type="pct"/>
          <w:vMerge w:val="restart"/>
          <w:noWrap/>
          <w:vAlign w:val="center"/>
          <w:hideMark/>
        </w:tcPr>
        <w:p w:rsidR="00B72BBF" w:rsidRPr="005A3173" w:rsidRDefault="00B72BBF" w:rsidP="00B1370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72BBF" w:rsidRPr="005A3173" w:rsidRDefault="00B72BBF" w:rsidP="00B13700">
          <w:pPr>
            <w:pStyle w:val="Header"/>
            <w:spacing w:line="276" w:lineRule="auto"/>
            <w:rPr>
              <w:rFonts w:eastAsia="MS Gothic"/>
              <w:b/>
              <w:bCs/>
              <w:color w:val="4F81BD"/>
            </w:rPr>
          </w:pPr>
        </w:p>
      </w:tc>
    </w:tr>
    <w:tr w:rsidR="00B72BBF" w:rsidTr="00B13700">
      <w:trPr>
        <w:trHeight w:val="150"/>
      </w:trPr>
      <w:tc>
        <w:tcPr>
          <w:tcW w:w="2250" w:type="pct"/>
          <w:tcBorders>
            <w:top w:val="single" w:sz="4" w:space="0" w:color="4F81BD"/>
            <w:left w:val="nil"/>
            <w:bottom w:val="nil"/>
            <w:right w:val="nil"/>
          </w:tcBorders>
        </w:tcPr>
        <w:p w:rsidR="00B72BBF" w:rsidRPr="005A3173" w:rsidRDefault="00B72BBF" w:rsidP="00B13700">
          <w:pPr>
            <w:pStyle w:val="Header"/>
            <w:spacing w:line="276" w:lineRule="auto"/>
            <w:rPr>
              <w:rFonts w:eastAsia="MS Gothic"/>
              <w:b/>
              <w:bCs/>
              <w:color w:val="4F81BD"/>
            </w:rPr>
          </w:pPr>
        </w:p>
      </w:tc>
      <w:tc>
        <w:tcPr>
          <w:tcW w:w="0" w:type="auto"/>
          <w:vMerge/>
          <w:vAlign w:val="center"/>
          <w:hideMark/>
        </w:tcPr>
        <w:p w:rsidR="00B72BBF" w:rsidRPr="005A3173" w:rsidRDefault="00B72BBF" w:rsidP="00B13700">
          <w:pPr>
            <w:rPr>
              <w:color w:val="365F91"/>
              <w:sz w:val="22"/>
              <w:szCs w:val="22"/>
            </w:rPr>
          </w:pPr>
        </w:p>
      </w:tc>
      <w:tc>
        <w:tcPr>
          <w:tcW w:w="2250" w:type="pct"/>
          <w:tcBorders>
            <w:top w:val="single" w:sz="4" w:space="0" w:color="4F81BD"/>
            <w:left w:val="nil"/>
            <w:bottom w:val="nil"/>
            <w:right w:val="nil"/>
          </w:tcBorders>
        </w:tcPr>
        <w:p w:rsidR="00B72BBF" w:rsidRPr="005A3173" w:rsidRDefault="00B72BBF" w:rsidP="00B13700">
          <w:pPr>
            <w:pStyle w:val="Header"/>
            <w:spacing w:line="276" w:lineRule="auto"/>
            <w:rPr>
              <w:rFonts w:eastAsia="MS Gothic"/>
              <w:b/>
              <w:bCs/>
              <w:color w:val="4F81BD"/>
            </w:rPr>
          </w:pPr>
        </w:p>
      </w:tc>
    </w:tr>
  </w:tbl>
  <w:p w:rsidR="00B72BBF" w:rsidRPr="007C0F57" w:rsidRDefault="00B72BBF" w:rsidP="00B13700">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B72BBF" w:rsidRPr="007C0F57" w:rsidRDefault="00B72BBF" w:rsidP="00B13700">
    <w:pPr>
      <w:pStyle w:val="Footer"/>
      <w:jc w:val="center"/>
      <w:rPr>
        <w:b/>
        <w:i/>
        <w:sz w:val="20"/>
        <w:szCs w:val="20"/>
      </w:rPr>
    </w:pPr>
    <w:r w:rsidRPr="007C0F57">
      <w:rPr>
        <w:b/>
        <w:i/>
        <w:sz w:val="20"/>
        <w:szCs w:val="20"/>
      </w:rPr>
      <w:t>Commercial-in-Confidence</w:t>
    </w:r>
  </w:p>
  <w:p w:rsidR="00B72BBF" w:rsidRDefault="00B72B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DF7" w:rsidRDefault="00D20DF7" w:rsidP="00361103">
      <w:r>
        <w:separator/>
      </w:r>
    </w:p>
  </w:footnote>
  <w:footnote w:type="continuationSeparator" w:id="0">
    <w:p w:rsidR="00D20DF7" w:rsidRDefault="00D20DF7" w:rsidP="0036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B72BBF" w:rsidRPr="008E0D90" w:rsidTr="00B13700">
      <w:trPr>
        <w:trHeight w:val="151"/>
      </w:trPr>
      <w:tc>
        <w:tcPr>
          <w:tcW w:w="2389" w:type="pct"/>
          <w:tcBorders>
            <w:top w:val="nil"/>
            <w:left w:val="nil"/>
            <w:bottom w:val="single" w:sz="4" w:space="0" w:color="4F81BD"/>
            <w:right w:val="nil"/>
          </w:tcBorders>
        </w:tcPr>
        <w:p w:rsidR="00B72BBF" w:rsidRPr="00A06225" w:rsidRDefault="00B72BBF">
          <w:pPr>
            <w:pStyle w:val="Header"/>
            <w:spacing w:line="276" w:lineRule="auto"/>
            <w:rPr>
              <w:rFonts w:ascii="Cambria" w:eastAsia="MS Gothic" w:hAnsi="Cambria"/>
              <w:b/>
              <w:bCs/>
              <w:color w:val="4F81BD"/>
            </w:rPr>
          </w:pPr>
        </w:p>
      </w:tc>
      <w:tc>
        <w:tcPr>
          <w:tcW w:w="333" w:type="pct"/>
          <w:vMerge w:val="restart"/>
          <w:noWrap/>
          <w:vAlign w:val="center"/>
          <w:hideMark/>
        </w:tcPr>
        <w:p w:rsidR="00B72BBF" w:rsidRPr="00A06225" w:rsidRDefault="00B72BBF" w:rsidP="00B13700">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72BBF" w:rsidRPr="00A06225" w:rsidRDefault="00B72BBF">
          <w:pPr>
            <w:pStyle w:val="Header"/>
            <w:spacing w:line="276" w:lineRule="auto"/>
            <w:rPr>
              <w:rFonts w:ascii="Cambria" w:eastAsia="MS Gothic" w:hAnsi="Cambria"/>
              <w:b/>
              <w:bCs/>
              <w:color w:val="4F81BD"/>
            </w:rPr>
          </w:pPr>
        </w:p>
      </w:tc>
    </w:tr>
    <w:tr w:rsidR="00B72BBF" w:rsidRPr="008E0D90" w:rsidTr="00B13700">
      <w:trPr>
        <w:trHeight w:val="150"/>
      </w:trPr>
      <w:tc>
        <w:tcPr>
          <w:tcW w:w="2389" w:type="pct"/>
          <w:tcBorders>
            <w:top w:val="single" w:sz="4" w:space="0" w:color="4F81BD"/>
            <w:left w:val="nil"/>
            <w:bottom w:val="nil"/>
            <w:right w:val="nil"/>
          </w:tcBorders>
        </w:tcPr>
        <w:p w:rsidR="00B72BBF" w:rsidRPr="00A06225" w:rsidRDefault="00B72BBF">
          <w:pPr>
            <w:pStyle w:val="Header"/>
            <w:spacing w:line="276" w:lineRule="auto"/>
            <w:rPr>
              <w:rFonts w:ascii="Cambria" w:eastAsia="MS Gothic" w:hAnsi="Cambria"/>
              <w:b/>
              <w:bCs/>
              <w:color w:val="4F81BD"/>
            </w:rPr>
          </w:pPr>
        </w:p>
      </w:tc>
      <w:tc>
        <w:tcPr>
          <w:tcW w:w="0" w:type="auto"/>
          <w:vMerge/>
          <w:vAlign w:val="center"/>
          <w:hideMark/>
        </w:tcPr>
        <w:p w:rsidR="00B72BBF" w:rsidRPr="00A06225" w:rsidRDefault="00B72BBF">
          <w:pPr>
            <w:rPr>
              <w:rFonts w:ascii="Cambria" w:hAnsi="Cambria"/>
              <w:color w:val="4F81BD"/>
              <w:sz w:val="22"/>
              <w:szCs w:val="22"/>
            </w:rPr>
          </w:pPr>
        </w:p>
      </w:tc>
      <w:tc>
        <w:tcPr>
          <w:tcW w:w="2278" w:type="pct"/>
          <w:tcBorders>
            <w:top w:val="single" w:sz="4" w:space="0" w:color="4F81BD"/>
            <w:left w:val="nil"/>
            <w:bottom w:val="nil"/>
            <w:right w:val="nil"/>
          </w:tcBorders>
        </w:tcPr>
        <w:p w:rsidR="00B72BBF" w:rsidRPr="00A06225" w:rsidRDefault="00B72BBF">
          <w:pPr>
            <w:pStyle w:val="Header"/>
            <w:spacing w:line="276" w:lineRule="auto"/>
            <w:rPr>
              <w:rFonts w:ascii="Cambria" w:eastAsia="MS Gothic" w:hAnsi="Cambria"/>
              <w:b/>
              <w:bCs/>
              <w:color w:val="4F81BD"/>
            </w:rPr>
          </w:pPr>
        </w:p>
      </w:tc>
    </w:tr>
  </w:tbl>
  <w:p w:rsidR="00B72BBF" w:rsidRDefault="00B72BBF">
    <w:pPr>
      <w:pStyle w:val="Header"/>
    </w:pPr>
  </w:p>
  <w:p w:rsidR="00B72BBF" w:rsidRDefault="00B72B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BBF" w:rsidRPr="00056684" w:rsidRDefault="00D34AB6" w:rsidP="00E878A6">
    <w:pPr>
      <w:pStyle w:val="Header"/>
      <w:ind w:left="360"/>
      <w:rPr>
        <w:rFonts w:asciiTheme="minorHAnsi" w:hAnsiTheme="minorHAnsi" w:cs="Arial"/>
        <w:i/>
        <w:color w:val="808080"/>
      </w:rPr>
    </w:pPr>
    <w:bookmarkStart w:id="3" w:name="_Hlk76375146"/>
    <w:r w:rsidRPr="00D34AB6">
      <w:rPr>
        <w:rFonts w:asciiTheme="minorHAnsi" w:hAnsiTheme="minorHAnsi" w:cs="Arial"/>
        <w:i/>
        <w:color w:val="808080"/>
      </w:rPr>
      <w:t xml:space="preserve">Public Summary Document </w:t>
    </w:r>
    <w:r w:rsidR="00B72BBF" w:rsidRPr="00056684">
      <w:rPr>
        <w:rFonts w:asciiTheme="minorHAnsi" w:hAnsiTheme="minorHAnsi" w:cs="Arial"/>
        <w:i/>
        <w:color w:val="808080"/>
      </w:rPr>
      <w:t xml:space="preserve">– </w:t>
    </w:r>
    <w:r w:rsidR="00B72BBF">
      <w:rPr>
        <w:rFonts w:asciiTheme="minorHAnsi" w:hAnsiTheme="minorHAnsi" w:cs="Arial"/>
        <w:i/>
        <w:color w:val="808080"/>
      </w:rPr>
      <w:t>July 2021</w:t>
    </w:r>
    <w:r w:rsidR="00B72BBF" w:rsidRPr="00056684">
      <w:rPr>
        <w:rFonts w:asciiTheme="minorHAnsi" w:hAnsiTheme="minorHAnsi" w:cs="Arial"/>
        <w:i/>
        <w:color w:val="808080"/>
      </w:rPr>
      <w:t xml:space="preserve"> PBAC Meeting</w:t>
    </w:r>
  </w:p>
  <w:p w:rsidR="00B72BBF" w:rsidRPr="00361103" w:rsidRDefault="00D34AB6" w:rsidP="00361103">
    <w:pPr>
      <w:pStyle w:val="NoSpacing"/>
      <w:jc w:val="right"/>
      <w:rPr>
        <w:rFonts w:asciiTheme="minorHAnsi" w:hAnsiTheme="minorHAnsi" w:cstheme="minorHAnsi"/>
        <w:sz w:val="24"/>
        <w:szCs w:val="24"/>
      </w:rPr>
    </w:pPr>
    <w:r>
      <w:rPr>
        <w:rFonts w:asciiTheme="minorHAnsi" w:hAnsiTheme="minorHAnsi" w:cs="Arial"/>
        <w:i/>
        <w:color w:val="808080"/>
      </w:rPr>
      <w:tab/>
    </w:r>
    <w:r>
      <w:rPr>
        <w:rFonts w:asciiTheme="minorHAnsi" w:hAnsiTheme="minorHAnsi" w:cs="Arial"/>
        <w:i/>
        <w:color w:val="808080"/>
      </w:rPr>
      <w:tab/>
    </w:r>
    <w:r>
      <w:rPr>
        <w:rFonts w:asciiTheme="minorHAnsi" w:hAnsiTheme="minorHAnsi" w:cs="Arial"/>
        <w:i/>
        <w:color w:val="808080"/>
      </w:rPr>
      <w:tab/>
    </w:r>
    <w:r>
      <w:rPr>
        <w:rFonts w:asciiTheme="minorHAnsi" w:hAnsiTheme="minorHAnsi" w:cs="Arial"/>
        <w:i/>
        <w:color w:val="808080"/>
      </w:rPr>
      <w:tab/>
    </w:r>
    <w:r>
      <w:rPr>
        <w:rFonts w:asciiTheme="minorHAnsi" w:hAnsiTheme="minorHAnsi" w:cs="Arial"/>
        <w:i/>
        <w:color w:val="808080"/>
      </w:rPr>
      <w:tab/>
    </w:r>
    <w:r>
      <w:rPr>
        <w:rFonts w:asciiTheme="minorHAnsi" w:hAnsiTheme="minorHAnsi" w:cs="Arial"/>
        <w:i/>
        <w:color w:val="808080"/>
      </w:rPr>
      <w:tab/>
    </w:r>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8FE" w:rsidRDefault="00053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86A3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7447E"/>
    <w:multiLevelType w:val="multilevel"/>
    <w:tmpl w:val="D14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A120F5"/>
    <w:multiLevelType w:val="hybridMultilevel"/>
    <w:tmpl w:val="1F9E4586"/>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4BB16DE"/>
    <w:multiLevelType w:val="multilevel"/>
    <w:tmpl w:val="9D60FC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244933"/>
    <w:multiLevelType w:val="hybridMultilevel"/>
    <w:tmpl w:val="BEC87E2E"/>
    <w:lvl w:ilvl="0" w:tplc="3F1ECEA6">
      <w:start w:val="1"/>
      <w:numFmt w:val="upperLetter"/>
      <w:pStyle w:val="ListBullet"/>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9" w15:restartNumberingAfterBreak="0">
    <w:nsid w:val="4CE710A4"/>
    <w:multiLevelType w:val="hybridMultilevel"/>
    <w:tmpl w:val="C72A3F66"/>
    <w:lvl w:ilvl="0" w:tplc="4A96AD60">
      <w:start w:val="1"/>
      <w:numFmt w:val="lowerLetter"/>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956612"/>
    <w:multiLevelType w:val="hybridMultilevel"/>
    <w:tmpl w:val="3806C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45460"/>
    <w:multiLevelType w:val="hybridMultilevel"/>
    <w:tmpl w:val="80D848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1BD3BEF"/>
    <w:multiLevelType w:val="hybridMultilevel"/>
    <w:tmpl w:val="01AA437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15"/>
  </w:num>
  <w:num w:numId="4">
    <w:abstractNumId w:val="16"/>
  </w:num>
  <w:num w:numId="5">
    <w:abstractNumId w:val="13"/>
  </w:num>
  <w:num w:numId="6">
    <w:abstractNumId w:val="9"/>
  </w:num>
  <w:num w:numId="7">
    <w:abstractNumId w:val="12"/>
  </w:num>
  <w:num w:numId="8">
    <w:abstractNumId w:val="14"/>
  </w:num>
  <w:num w:numId="9">
    <w:abstractNumId w:val="4"/>
  </w:num>
  <w:num w:numId="10">
    <w:abstractNumId w:val="6"/>
  </w:num>
  <w:num w:numId="11">
    <w:abstractNumId w:val="3"/>
  </w:num>
  <w:num w:numId="12">
    <w:abstractNumId w:val="11"/>
  </w:num>
  <w:num w:numId="13">
    <w:abstractNumId w:val="1"/>
  </w:num>
  <w:num w:numId="14">
    <w:abstractNumId w:val="7"/>
  </w:num>
  <w:num w:numId="15">
    <w:abstractNumId w:val="15"/>
  </w:num>
  <w:num w:numId="16">
    <w:abstractNumId w:val="15"/>
  </w:num>
  <w:num w:numId="17">
    <w:abstractNumId w:val="10"/>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03"/>
    <w:rsid w:val="00005CD6"/>
    <w:rsid w:val="000140B9"/>
    <w:rsid w:val="00021250"/>
    <w:rsid w:val="00030066"/>
    <w:rsid w:val="00033B59"/>
    <w:rsid w:val="00036FDA"/>
    <w:rsid w:val="000538FE"/>
    <w:rsid w:val="00071C90"/>
    <w:rsid w:val="00081917"/>
    <w:rsid w:val="000A71C7"/>
    <w:rsid w:val="000B3663"/>
    <w:rsid w:val="000B3CC1"/>
    <w:rsid w:val="000D2244"/>
    <w:rsid w:val="000F35AF"/>
    <w:rsid w:val="000F64EF"/>
    <w:rsid w:val="00107189"/>
    <w:rsid w:val="00107C99"/>
    <w:rsid w:val="001135E8"/>
    <w:rsid w:val="001159EC"/>
    <w:rsid w:val="001338F9"/>
    <w:rsid w:val="00156D1C"/>
    <w:rsid w:val="00164AE2"/>
    <w:rsid w:val="00181D47"/>
    <w:rsid w:val="001A34F4"/>
    <w:rsid w:val="001C4E99"/>
    <w:rsid w:val="001C7C1B"/>
    <w:rsid w:val="001E2116"/>
    <w:rsid w:val="001F3A3D"/>
    <w:rsid w:val="001F7A9D"/>
    <w:rsid w:val="00202329"/>
    <w:rsid w:val="00205B55"/>
    <w:rsid w:val="00215136"/>
    <w:rsid w:val="002227CC"/>
    <w:rsid w:val="00224F64"/>
    <w:rsid w:val="002620B4"/>
    <w:rsid w:val="002808FD"/>
    <w:rsid w:val="002902B2"/>
    <w:rsid w:val="002A084B"/>
    <w:rsid w:val="002A0CC6"/>
    <w:rsid w:val="002B277A"/>
    <w:rsid w:val="002B61C6"/>
    <w:rsid w:val="002C2058"/>
    <w:rsid w:val="002C2FA7"/>
    <w:rsid w:val="002C697F"/>
    <w:rsid w:val="002D3413"/>
    <w:rsid w:val="002D3CAF"/>
    <w:rsid w:val="002D6AF3"/>
    <w:rsid w:val="002E7EBA"/>
    <w:rsid w:val="00303127"/>
    <w:rsid w:val="00304F5A"/>
    <w:rsid w:val="003075A2"/>
    <w:rsid w:val="00322BBB"/>
    <w:rsid w:val="003306FC"/>
    <w:rsid w:val="00330CB8"/>
    <w:rsid w:val="00361103"/>
    <w:rsid w:val="00365705"/>
    <w:rsid w:val="003861C1"/>
    <w:rsid w:val="003A1775"/>
    <w:rsid w:val="003A594D"/>
    <w:rsid w:val="003B07D7"/>
    <w:rsid w:val="003D080B"/>
    <w:rsid w:val="003D426C"/>
    <w:rsid w:val="003F42A1"/>
    <w:rsid w:val="00403EC2"/>
    <w:rsid w:val="004248DC"/>
    <w:rsid w:val="00437E5A"/>
    <w:rsid w:val="00447F2C"/>
    <w:rsid w:val="00450907"/>
    <w:rsid w:val="0045173C"/>
    <w:rsid w:val="00466DCB"/>
    <w:rsid w:val="0047055B"/>
    <w:rsid w:val="004843D4"/>
    <w:rsid w:val="004A6760"/>
    <w:rsid w:val="004B3A65"/>
    <w:rsid w:val="004B77F5"/>
    <w:rsid w:val="004C4EC8"/>
    <w:rsid w:val="004E4687"/>
    <w:rsid w:val="0052000F"/>
    <w:rsid w:val="00526D1D"/>
    <w:rsid w:val="005362CF"/>
    <w:rsid w:val="00544629"/>
    <w:rsid w:val="00546ACD"/>
    <w:rsid w:val="005525A5"/>
    <w:rsid w:val="00566F18"/>
    <w:rsid w:val="0058368C"/>
    <w:rsid w:val="00585660"/>
    <w:rsid w:val="005A3CFB"/>
    <w:rsid w:val="005B4062"/>
    <w:rsid w:val="005B4ACD"/>
    <w:rsid w:val="005C42F4"/>
    <w:rsid w:val="005E5393"/>
    <w:rsid w:val="00620D44"/>
    <w:rsid w:val="0062327A"/>
    <w:rsid w:val="00631BEF"/>
    <w:rsid w:val="006A654F"/>
    <w:rsid w:val="006D243B"/>
    <w:rsid w:val="006F1375"/>
    <w:rsid w:val="00702C80"/>
    <w:rsid w:val="00713AA8"/>
    <w:rsid w:val="00714B91"/>
    <w:rsid w:val="007265B1"/>
    <w:rsid w:val="007524FE"/>
    <w:rsid w:val="0075769E"/>
    <w:rsid w:val="00764C0E"/>
    <w:rsid w:val="007651B9"/>
    <w:rsid w:val="007816C4"/>
    <w:rsid w:val="007C56D6"/>
    <w:rsid w:val="00827ECB"/>
    <w:rsid w:val="008457FB"/>
    <w:rsid w:val="008539FE"/>
    <w:rsid w:val="00866800"/>
    <w:rsid w:val="00877542"/>
    <w:rsid w:val="008A18A2"/>
    <w:rsid w:val="008C2387"/>
    <w:rsid w:val="008D1B54"/>
    <w:rsid w:val="008D1F46"/>
    <w:rsid w:val="00900CD7"/>
    <w:rsid w:val="009058AD"/>
    <w:rsid w:val="00942A1A"/>
    <w:rsid w:val="00970468"/>
    <w:rsid w:val="00973369"/>
    <w:rsid w:val="009858BB"/>
    <w:rsid w:val="00994ED8"/>
    <w:rsid w:val="00996CE6"/>
    <w:rsid w:val="009975A6"/>
    <w:rsid w:val="009A67F4"/>
    <w:rsid w:val="009B194D"/>
    <w:rsid w:val="009B306F"/>
    <w:rsid w:val="009B7E8B"/>
    <w:rsid w:val="00A04FDA"/>
    <w:rsid w:val="00A05C83"/>
    <w:rsid w:val="00A3228C"/>
    <w:rsid w:val="00A35CB5"/>
    <w:rsid w:val="00A453CF"/>
    <w:rsid w:val="00A939C8"/>
    <w:rsid w:val="00AC2C51"/>
    <w:rsid w:val="00AC5E16"/>
    <w:rsid w:val="00AD7915"/>
    <w:rsid w:val="00AD7CBC"/>
    <w:rsid w:val="00B13700"/>
    <w:rsid w:val="00B22B97"/>
    <w:rsid w:val="00B3089D"/>
    <w:rsid w:val="00B334A6"/>
    <w:rsid w:val="00B33C86"/>
    <w:rsid w:val="00B45DEC"/>
    <w:rsid w:val="00B474F6"/>
    <w:rsid w:val="00B510A2"/>
    <w:rsid w:val="00B60472"/>
    <w:rsid w:val="00B61D6A"/>
    <w:rsid w:val="00B72BBF"/>
    <w:rsid w:val="00BA0034"/>
    <w:rsid w:val="00BA6744"/>
    <w:rsid w:val="00BC2E22"/>
    <w:rsid w:val="00BD2FE4"/>
    <w:rsid w:val="00BE6DD0"/>
    <w:rsid w:val="00C3744A"/>
    <w:rsid w:val="00C47D9D"/>
    <w:rsid w:val="00C51C5D"/>
    <w:rsid w:val="00C72FB9"/>
    <w:rsid w:val="00CA1E74"/>
    <w:rsid w:val="00CA2A73"/>
    <w:rsid w:val="00CB2894"/>
    <w:rsid w:val="00CD12F7"/>
    <w:rsid w:val="00CD6128"/>
    <w:rsid w:val="00CE3DE2"/>
    <w:rsid w:val="00D03006"/>
    <w:rsid w:val="00D0496E"/>
    <w:rsid w:val="00D20DF7"/>
    <w:rsid w:val="00D223B1"/>
    <w:rsid w:val="00D34AB6"/>
    <w:rsid w:val="00D5653F"/>
    <w:rsid w:val="00D57082"/>
    <w:rsid w:val="00D61C7C"/>
    <w:rsid w:val="00D6630C"/>
    <w:rsid w:val="00D82C10"/>
    <w:rsid w:val="00D9490E"/>
    <w:rsid w:val="00DB55D9"/>
    <w:rsid w:val="00DD3D56"/>
    <w:rsid w:val="00DE7D4C"/>
    <w:rsid w:val="00E211FF"/>
    <w:rsid w:val="00E40984"/>
    <w:rsid w:val="00E5681E"/>
    <w:rsid w:val="00E878A6"/>
    <w:rsid w:val="00E87DDB"/>
    <w:rsid w:val="00E9360F"/>
    <w:rsid w:val="00EA6A1D"/>
    <w:rsid w:val="00EB3BFD"/>
    <w:rsid w:val="00EB7EE3"/>
    <w:rsid w:val="00ED463F"/>
    <w:rsid w:val="00EE720A"/>
    <w:rsid w:val="00EE748A"/>
    <w:rsid w:val="00EF4F2D"/>
    <w:rsid w:val="00F177E5"/>
    <w:rsid w:val="00F25348"/>
    <w:rsid w:val="00F32B1D"/>
    <w:rsid w:val="00F33CB1"/>
    <w:rsid w:val="00F60669"/>
    <w:rsid w:val="00F80A82"/>
    <w:rsid w:val="00F866A4"/>
    <w:rsid w:val="00F96F9D"/>
    <w:rsid w:val="00FA5F88"/>
    <w:rsid w:val="00FB3672"/>
    <w:rsid w:val="00FC4160"/>
    <w:rsid w:val="00FC4DE6"/>
    <w:rsid w:val="00FF6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B97"/>
    <w:pPr>
      <w:spacing w:after="0" w:line="240" w:lineRule="auto"/>
      <w:jc w:val="both"/>
    </w:pPr>
    <w:rPr>
      <w:rFonts w:ascii="Calibri" w:eastAsia="Times New Roman" w:hAnsi="Calibri" w:cs="Times New Roman"/>
      <w:sz w:val="24"/>
      <w:szCs w:val="24"/>
      <w:lang w:eastAsia="en-AU"/>
    </w:rPr>
  </w:style>
  <w:style w:type="paragraph" w:styleId="Heading1">
    <w:name w:val="heading 1"/>
    <w:basedOn w:val="ListParagraph"/>
    <w:next w:val="Normal"/>
    <w:link w:val="Heading1Char"/>
    <w:uiPriority w:val="1"/>
    <w:rsid w:val="00361103"/>
    <w:pPr>
      <w:ind w:left="0"/>
      <w:outlineLvl w:val="0"/>
    </w:pPr>
    <w:rPr>
      <w:b/>
      <w:szCs w:val="22"/>
    </w:rPr>
  </w:style>
  <w:style w:type="paragraph" w:styleId="Heading2">
    <w:name w:val="heading 2"/>
    <w:aliases w:val="Subsection Headings"/>
    <w:basedOn w:val="Normal"/>
    <w:next w:val="Normal"/>
    <w:link w:val="Heading2Char"/>
    <w:uiPriority w:val="1"/>
    <w:qFormat/>
    <w:rsid w:val="00361103"/>
    <w:pPr>
      <w:keepNext/>
      <w:outlineLvl w:val="1"/>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1103"/>
    <w:rPr>
      <w:rFonts w:eastAsia="Times New Roman" w:cs="Arial"/>
      <w:b/>
      <w:snapToGrid w:val="0"/>
      <w:sz w:val="24"/>
      <w:lang w:eastAsia="en-AU"/>
    </w:rPr>
  </w:style>
  <w:style w:type="character" w:customStyle="1" w:styleId="Heading2Char">
    <w:name w:val="Heading 2 Char"/>
    <w:aliases w:val="Subsection Headings Char"/>
    <w:basedOn w:val="DefaultParagraphFont"/>
    <w:link w:val="Heading2"/>
    <w:uiPriority w:val="1"/>
    <w:rsid w:val="00361103"/>
    <w:rPr>
      <w:rFonts w:ascii="Arial" w:eastAsia="Times New Roman" w:hAnsi="Arial" w:cs="Times New Roman"/>
      <w:b/>
      <w:i/>
      <w:szCs w:val="24"/>
      <w:lang w:eastAsia="en-AU"/>
    </w:rPr>
  </w:style>
  <w:style w:type="paragraph" w:styleId="Header">
    <w:name w:val="header"/>
    <w:aliases w:val="Page Header,Header title,he=header,cntr/bld"/>
    <w:basedOn w:val="Normal"/>
    <w:link w:val="HeaderChar"/>
    <w:uiPriority w:val="99"/>
    <w:qFormat/>
    <w:rsid w:val="00361103"/>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361103"/>
    <w:rPr>
      <w:rFonts w:ascii="Calibri" w:eastAsia="Times New Roman" w:hAnsi="Calibri" w:cs="Times New Roman"/>
      <w:sz w:val="24"/>
      <w:szCs w:val="24"/>
      <w:lang w:eastAsia="en-AU"/>
    </w:rPr>
  </w:style>
  <w:style w:type="paragraph" w:styleId="Footer">
    <w:name w:val="footer"/>
    <w:basedOn w:val="Normal"/>
    <w:link w:val="FooterChar"/>
    <w:uiPriority w:val="99"/>
    <w:rsid w:val="00361103"/>
    <w:pPr>
      <w:tabs>
        <w:tab w:val="center" w:pos="4153"/>
        <w:tab w:val="right" w:pos="8306"/>
      </w:tabs>
    </w:pPr>
  </w:style>
  <w:style w:type="character" w:customStyle="1" w:styleId="FooterChar">
    <w:name w:val="Footer Char"/>
    <w:basedOn w:val="DefaultParagraphFont"/>
    <w:link w:val="Footer"/>
    <w:uiPriority w:val="99"/>
    <w:rsid w:val="00361103"/>
    <w:rPr>
      <w:rFonts w:ascii="Calibri" w:eastAsia="Times New Roman" w:hAnsi="Calibri" w:cs="Times New Roman"/>
      <w:sz w:val="24"/>
      <w:szCs w:val="24"/>
      <w:lang w:eastAsia="en-AU"/>
    </w:rPr>
  </w:style>
  <w:style w:type="character" w:styleId="PageNumber">
    <w:name w:val="page number"/>
    <w:basedOn w:val="DefaultParagraphFont"/>
    <w:rsid w:val="00361103"/>
  </w:style>
  <w:style w:type="table" w:styleId="TableGrid">
    <w:name w:val="Table Grid"/>
    <w:basedOn w:val="TableNormal"/>
    <w:uiPriority w:val="59"/>
    <w:rsid w:val="0036110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rsid w:val="00361103"/>
    <w:pPr>
      <w:spacing w:after="0" w:line="240" w:lineRule="auto"/>
    </w:pPr>
    <w:rPr>
      <w:rFonts w:ascii="PMingLiU" w:eastAsia="MS Mincho" w:hAnsi="PMingLiU" w:cs="Times New Roman"/>
      <w:lang w:val="en-US"/>
    </w:rPr>
  </w:style>
  <w:style w:type="character" w:customStyle="1" w:styleId="MediumGrid2Char">
    <w:name w:val="Medium Grid 2 Char"/>
    <w:link w:val="MediumGrid21"/>
    <w:rsid w:val="00361103"/>
    <w:rPr>
      <w:rFonts w:ascii="PMingLiU" w:eastAsia="MS Mincho" w:hAnsi="PMingLiU" w:cs="Times New Roman"/>
      <w:lang w:val="en-US"/>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361103"/>
    <w:pPr>
      <w:spacing w:after="120" w:line="240" w:lineRule="auto"/>
      <w:ind w:left="1134" w:hanging="357"/>
    </w:pPr>
    <w:rPr>
      <w:rFonts w:eastAsia="Times New Roman" w:cs="Arial"/>
      <w:snapToGrid w:val="0"/>
      <w:sz w:val="24"/>
      <w:szCs w:val="24"/>
      <w:lang w:eastAsia="en-AU"/>
    </w:rPr>
  </w:style>
  <w:style w:type="character" w:styleId="CommentReference">
    <w:name w:val="annotation reference"/>
    <w:aliases w:val="Table Title"/>
    <w:basedOn w:val="DefaultParagraphFont"/>
    <w:uiPriority w:val="99"/>
    <w:qFormat/>
    <w:rsid w:val="00361103"/>
    <w:rPr>
      <w:sz w:val="16"/>
      <w:szCs w:val="16"/>
    </w:rPr>
  </w:style>
  <w:style w:type="paragraph" w:customStyle="1" w:styleId="tablenotes">
    <w:name w:val="table notes"/>
    <w:basedOn w:val="BodyText2"/>
    <w:qFormat/>
    <w:rsid w:val="00361103"/>
    <w:pPr>
      <w:widowControl w:val="0"/>
      <w:spacing w:after="0" w:line="240" w:lineRule="auto"/>
    </w:pPr>
    <w:rPr>
      <w:rFonts w:ascii="Arial" w:hAnsi="Arial"/>
      <w:snapToGrid w:val="0"/>
      <w:sz w:val="20"/>
      <w:szCs w:val="20"/>
      <w:lang w:eastAsia="en-US"/>
    </w:rPr>
  </w:style>
  <w:style w:type="paragraph" w:styleId="NoSpacing">
    <w:name w:val="No Spacing"/>
    <w:basedOn w:val="Normal"/>
    <w:link w:val="NoSpacingChar"/>
    <w:uiPriority w:val="1"/>
    <w:qFormat/>
    <w:rsid w:val="00361103"/>
    <w:rPr>
      <w:rFonts w:ascii="Arial" w:hAnsi="Arial"/>
      <w:sz w:val="22"/>
      <w:szCs w:val="22"/>
    </w:rPr>
  </w:style>
  <w:style w:type="character" w:styleId="Hyperlink">
    <w:name w:val="Hyperlink"/>
    <w:uiPriority w:val="99"/>
    <w:rsid w:val="00361103"/>
    <w:rPr>
      <w:color w:val="0000FF"/>
      <w:u w:val="single"/>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361103"/>
    <w:rPr>
      <w:rFonts w:eastAsia="Times New Roman" w:cs="Arial"/>
      <w:snapToGrid w:val="0"/>
      <w:sz w:val="24"/>
      <w:szCs w:val="24"/>
      <w:lang w:eastAsia="en-AU"/>
    </w:rPr>
  </w:style>
  <w:style w:type="paragraph" w:customStyle="1" w:styleId="2Sections">
    <w:name w:val="2. Sections"/>
    <w:qFormat/>
    <w:rsid w:val="00361103"/>
    <w:pPr>
      <w:spacing w:before="240" w:after="120" w:line="240" w:lineRule="auto"/>
      <w:outlineLvl w:val="0"/>
    </w:pPr>
    <w:rPr>
      <w:rFonts w:eastAsia="Times New Roman" w:cs="Arial"/>
      <w:b/>
      <w:snapToGrid w:val="0"/>
      <w:sz w:val="32"/>
      <w:szCs w:val="32"/>
    </w:rPr>
  </w:style>
  <w:style w:type="paragraph" w:customStyle="1" w:styleId="1MainTitle">
    <w:name w:val="1. Main Title"/>
    <w:basedOn w:val="Title"/>
    <w:link w:val="1MainTitleChar"/>
    <w:qFormat/>
    <w:rsid w:val="00361103"/>
    <w:pPr>
      <w:spacing w:before="120" w:after="160"/>
      <w:ind w:left="720" w:hanging="720"/>
      <w:outlineLvl w:val="0"/>
    </w:pPr>
    <w:rPr>
      <w:b/>
      <w:spacing w:val="5"/>
      <w:sz w:val="36"/>
      <w:szCs w:val="36"/>
    </w:rPr>
  </w:style>
  <w:style w:type="paragraph" w:customStyle="1" w:styleId="MinorOVRHeader">
    <w:name w:val="Minor OVR Header"/>
    <w:basedOn w:val="Header"/>
    <w:link w:val="MinorOVRHeaderChar"/>
    <w:rsid w:val="00361103"/>
    <w:pPr>
      <w:jc w:val="right"/>
    </w:pPr>
    <w:rPr>
      <w:rFonts w:cs="Arial"/>
    </w:rPr>
  </w:style>
  <w:style w:type="character" w:customStyle="1" w:styleId="1MainTitleChar">
    <w:name w:val="1. Main Title Char"/>
    <w:basedOn w:val="TitleChar"/>
    <w:link w:val="1MainTitle"/>
    <w:rsid w:val="00361103"/>
    <w:rPr>
      <w:rFonts w:asciiTheme="majorHAnsi" w:eastAsiaTheme="majorEastAsia" w:hAnsiTheme="majorHAnsi" w:cstheme="majorBidi"/>
      <w:b/>
      <w:spacing w:val="5"/>
      <w:kern w:val="28"/>
      <w:sz w:val="36"/>
      <w:szCs w:val="36"/>
      <w:lang w:eastAsia="en-AU"/>
    </w:rPr>
  </w:style>
  <w:style w:type="paragraph" w:customStyle="1" w:styleId="Tabletitles">
    <w:name w:val="Table titles"/>
    <w:basedOn w:val="NoSpacing"/>
    <w:link w:val="TabletitlesChar"/>
    <w:qFormat/>
    <w:rsid w:val="00361103"/>
    <w:pPr>
      <w:spacing w:after="60"/>
    </w:pPr>
    <w:rPr>
      <w:rFonts w:ascii="Arial Narrow" w:hAnsi="Arial Narrow"/>
      <w:b/>
      <w:sz w:val="20"/>
    </w:rPr>
  </w:style>
  <w:style w:type="character" w:customStyle="1" w:styleId="MinorOVRHeaderChar">
    <w:name w:val="Minor OVR Header Char"/>
    <w:basedOn w:val="HeaderChar"/>
    <w:link w:val="MinorOVRHeader"/>
    <w:rsid w:val="00361103"/>
    <w:rPr>
      <w:rFonts w:ascii="Calibri" w:eastAsia="Times New Roman" w:hAnsi="Calibri" w:cs="Arial"/>
      <w:sz w:val="24"/>
      <w:szCs w:val="24"/>
      <w:lang w:eastAsia="en-AU"/>
    </w:rPr>
  </w:style>
  <w:style w:type="character" w:customStyle="1" w:styleId="NoSpacingChar">
    <w:name w:val="No Spacing Char"/>
    <w:basedOn w:val="DefaultParagraphFont"/>
    <w:link w:val="NoSpacing"/>
    <w:uiPriority w:val="1"/>
    <w:rsid w:val="00361103"/>
    <w:rPr>
      <w:rFonts w:ascii="Arial" w:eastAsia="Times New Roman" w:hAnsi="Arial" w:cs="Times New Roman"/>
      <w:lang w:eastAsia="en-AU"/>
    </w:rPr>
  </w:style>
  <w:style w:type="character" w:customStyle="1" w:styleId="TabletitlesChar">
    <w:name w:val="Table titles Char"/>
    <w:basedOn w:val="NoSpacingChar"/>
    <w:link w:val="Tabletitles"/>
    <w:rsid w:val="00361103"/>
    <w:rPr>
      <w:rFonts w:ascii="Arial Narrow" w:eastAsia="Times New Roman" w:hAnsi="Arial Narrow" w:cs="Times New Roman"/>
      <w:b/>
      <w:sz w:val="20"/>
      <w:lang w:eastAsia="en-AU"/>
    </w:rPr>
  </w:style>
  <w:style w:type="paragraph" w:customStyle="1" w:styleId="3Bodytext">
    <w:name w:val="3. Body text"/>
    <w:basedOn w:val="ListParagraph"/>
    <w:link w:val="3BodytextChar"/>
    <w:qFormat/>
    <w:rsid w:val="00361103"/>
    <w:pPr>
      <w:numPr>
        <w:ilvl w:val="1"/>
        <w:numId w:val="3"/>
      </w:numPr>
    </w:pPr>
    <w:rPr>
      <w:snapToGrid/>
    </w:rPr>
  </w:style>
  <w:style w:type="paragraph" w:customStyle="1" w:styleId="PBACFooter">
    <w:name w:val="PBAC Footer"/>
    <w:basedOn w:val="Footer"/>
    <w:link w:val="PBACFooterChar"/>
    <w:qFormat/>
    <w:rsid w:val="00361103"/>
    <w:pPr>
      <w:jc w:val="center"/>
    </w:pPr>
    <w:rPr>
      <w:rFonts w:ascii="Arial" w:hAnsi="Arial" w:cs="Arial"/>
      <w:b/>
      <w:sz w:val="20"/>
      <w:szCs w:val="20"/>
    </w:rPr>
  </w:style>
  <w:style w:type="character" w:customStyle="1" w:styleId="3BodytextChar">
    <w:name w:val="3. Body text Char"/>
    <w:basedOn w:val="ListParagraphChar"/>
    <w:link w:val="3Bodytext"/>
    <w:rsid w:val="00361103"/>
    <w:rPr>
      <w:rFonts w:eastAsia="Times New Roman" w:cs="Arial"/>
      <w:snapToGrid/>
      <w:sz w:val="24"/>
      <w:szCs w:val="24"/>
      <w:lang w:eastAsia="en-AU"/>
    </w:rPr>
  </w:style>
  <w:style w:type="character" w:customStyle="1" w:styleId="PBACFooterChar">
    <w:name w:val="PBAC Footer Char"/>
    <w:basedOn w:val="FooterChar"/>
    <w:link w:val="PBACFooter"/>
    <w:rsid w:val="00361103"/>
    <w:rPr>
      <w:rFonts w:ascii="Arial" w:eastAsia="Times New Roman" w:hAnsi="Arial" w:cs="Arial"/>
      <w:b/>
      <w:sz w:val="20"/>
      <w:szCs w:val="20"/>
      <w:lang w:eastAsia="en-AU"/>
    </w:rPr>
  </w:style>
  <w:style w:type="paragraph" w:customStyle="1" w:styleId="TableText">
    <w:name w:val="Table Text"/>
    <w:link w:val="TableTextChar"/>
    <w:qFormat/>
    <w:rsid w:val="00361103"/>
    <w:pPr>
      <w:keepNext/>
      <w:spacing w:after="0" w:line="240" w:lineRule="auto"/>
    </w:pPr>
    <w:rPr>
      <w:rFonts w:ascii="Arial Narrow" w:eastAsiaTheme="majorEastAsia" w:hAnsi="Arial Narrow" w:cstheme="majorBidi"/>
      <w:bCs/>
      <w:sz w:val="20"/>
      <w:szCs w:val="24"/>
      <w:lang w:eastAsia="en-AU"/>
    </w:rPr>
  </w:style>
  <w:style w:type="character" w:customStyle="1" w:styleId="TableTextChar">
    <w:name w:val="Table Text Char"/>
    <w:basedOn w:val="DefaultParagraphFont"/>
    <w:link w:val="TableText"/>
    <w:rsid w:val="00361103"/>
    <w:rPr>
      <w:rFonts w:ascii="Arial Narrow" w:eastAsiaTheme="majorEastAsia" w:hAnsi="Arial Narrow" w:cstheme="majorBidi"/>
      <w:bCs/>
      <w:sz w:val="20"/>
      <w:szCs w:val="24"/>
      <w:lang w:eastAsia="en-AU"/>
    </w:rPr>
  </w:style>
  <w:style w:type="paragraph" w:customStyle="1" w:styleId="Bulletpoints">
    <w:name w:val="Bullet points"/>
    <w:basedOn w:val="ListParagraph"/>
    <w:qFormat/>
    <w:rsid w:val="00361103"/>
    <w:pPr>
      <w:ind w:left="720" w:hanging="360"/>
    </w:pPr>
    <w:rPr>
      <w:rFonts w:cstheme="minorHAnsi"/>
      <w:color w:val="000000" w:themeColor="text1"/>
    </w:rPr>
  </w:style>
  <w:style w:type="paragraph" w:customStyle="1" w:styleId="Bodytextitalics">
    <w:name w:val="Body text italics"/>
    <w:basedOn w:val="BodyText"/>
    <w:qFormat/>
    <w:rsid w:val="00361103"/>
    <w:rPr>
      <w:rFonts w:asciiTheme="minorHAnsi" w:eastAsiaTheme="minorHAnsi" w:hAnsiTheme="minorHAnsi" w:cstheme="minorBidi"/>
      <w:i/>
      <w:szCs w:val="22"/>
    </w:rPr>
  </w:style>
  <w:style w:type="paragraph" w:customStyle="1" w:styleId="2-SectionHeading">
    <w:name w:val="2-Section Heading"/>
    <w:qFormat/>
    <w:rsid w:val="00361103"/>
    <w:pPr>
      <w:keepNext/>
      <w:numPr>
        <w:numId w:val="3"/>
      </w:numPr>
      <w:spacing w:before="240" w:after="120" w:line="240" w:lineRule="auto"/>
      <w:outlineLvl w:val="0"/>
    </w:pPr>
    <w:rPr>
      <w:rFonts w:eastAsia="Times New Roman" w:cs="Arial"/>
      <w:b/>
      <w:snapToGrid w:val="0"/>
      <w:sz w:val="32"/>
      <w:szCs w:val="32"/>
      <w:lang w:eastAsia="en-AU"/>
    </w:rPr>
  </w:style>
  <w:style w:type="paragraph" w:customStyle="1" w:styleId="TableFigureFooter">
    <w:name w:val="Table/Figure Footer"/>
    <w:basedOn w:val="Normal"/>
    <w:link w:val="TableFigureFooterChar"/>
    <w:qFormat/>
    <w:rsid w:val="0036110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361103"/>
    <w:rPr>
      <w:rFonts w:ascii="Arial Narrow" w:eastAsia="Times New Roman" w:hAnsi="Arial Narrow" w:cs="Arial"/>
      <w:snapToGrid w:val="0"/>
      <w:sz w:val="18"/>
      <w:lang w:eastAsia="en-AU"/>
    </w:rPr>
  </w:style>
  <w:style w:type="paragraph" w:customStyle="1" w:styleId="4-SubsectionHeading">
    <w:name w:val="4-Subsection Heading"/>
    <w:basedOn w:val="Heading2"/>
    <w:next w:val="Normal"/>
    <w:link w:val="4-SubsectionHeadingChar"/>
    <w:qFormat/>
    <w:rsid w:val="00361103"/>
    <w:pPr>
      <w:spacing w:before="120" w:after="120"/>
    </w:pPr>
    <w:rPr>
      <w:rFonts w:eastAsiaTheme="majorEastAsia" w:cstheme="majorBidi"/>
      <w:spacing w:val="5"/>
      <w:kern w:val="28"/>
      <w:sz w:val="28"/>
      <w:szCs w:val="36"/>
    </w:rPr>
  </w:style>
  <w:style w:type="character" w:customStyle="1" w:styleId="4-SubsectionHeadingChar">
    <w:name w:val="4-Subsection Heading Char"/>
    <w:basedOn w:val="Heading2Char"/>
    <w:link w:val="4-SubsectionHeading"/>
    <w:rsid w:val="00361103"/>
    <w:rPr>
      <w:rFonts w:ascii="Arial" w:eastAsiaTheme="majorEastAsia" w:hAnsi="Arial" w:cstheme="majorBidi"/>
      <w:b/>
      <w:i/>
      <w:spacing w:val="5"/>
      <w:kern w:val="28"/>
      <w:sz w:val="28"/>
      <w:szCs w:val="36"/>
      <w:lang w:eastAsia="en-AU"/>
    </w:rPr>
  </w:style>
  <w:style w:type="paragraph" w:styleId="ListBullet">
    <w:name w:val="List Bullet"/>
    <w:basedOn w:val="Normal"/>
    <w:uiPriority w:val="99"/>
    <w:unhideWhenUsed/>
    <w:rsid w:val="00361103"/>
    <w:pPr>
      <w:numPr>
        <w:numId w:val="1"/>
      </w:numPr>
      <w:contextualSpacing/>
    </w:pPr>
  </w:style>
  <w:style w:type="paragraph" w:styleId="BodyText2">
    <w:name w:val="Body Text 2"/>
    <w:basedOn w:val="Normal"/>
    <w:link w:val="BodyText2Char"/>
    <w:uiPriority w:val="99"/>
    <w:semiHidden/>
    <w:unhideWhenUsed/>
    <w:rsid w:val="00361103"/>
    <w:pPr>
      <w:spacing w:after="120" w:line="480" w:lineRule="auto"/>
    </w:pPr>
  </w:style>
  <w:style w:type="character" w:customStyle="1" w:styleId="BodyText2Char">
    <w:name w:val="Body Text 2 Char"/>
    <w:basedOn w:val="DefaultParagraphFont"/>
    <w:link w:val="BodyText2"/>
    <w:uiPriority w:val="99"/>
    <w:semiHidden/>
    <w:rsid w:val="00361103"/>
    <w:rPr>
      <w:rFonts w:ascii="Calibri" w:eastAsia="Times New Roman" w:hAnsi="Calibri" w:cs="Times New Roman"/>
      <w:sz w:val="24"/>
      <w:szCs w:val="24"/>
      <w:lang w:eastAsia="en-AU"/>
    </w:rPr>
  </w:style>
  <w:style w:type="paragraph" w:styleId="Title">
    <w:name w:val="Title"/>
    <w:basedOn w:val="Normal"/>
    <w:next w:val="Normal"/>
    <w:link w:val="TitleChar"/>
    <w:uiPriority w:val="10"/>
    <w:qFormat/>
    <w:rsid w:val="003611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03"/>
    <w:rPr>
      <w:rFonts w:asciiTheme="majorHAnsi" w:eastAsiaTheme="majorEastAsia" w:hAnsiTheme="majorHAnsi" w:cstheme="majorBidi"/>
      <w:spacing w:val="-10"/>
      <w:kern w:val="28"/>
      <w:sz w:val="56"/>
      <w:szCs w:val="56"/>
      <w:lang w:eastAsia="en-AU"/>
    </w:rPr>
  </w:style>
  <w:style w:type="paragraph" w:styleId="BodyText">
    <w:name w:val="Body Text"/>
    <w:basedOn w:val="Normal"/>
    <w:link w:val="BodyTextChar"/>
    <w:uiPriority w:val="99"/>
    <w:semiHidden/>
    <w:unhideWhenUsed/>
    <w:rsid w:val="00361103"/>
    <w:pPr>
      <w:spacing w:after="120"/>
    </w:pPr>
  </w:style>
  <w:style w:type="character" w:customStyle="1" w:styleId="BodyTextChar">
    <w:name w:val="Body Text Char"/>
    <w:basedOn w:val="DefaultParagraphFont"/>
    <w:link w:val="BodyText"/>
    <w:uiPriority w:val="99"/>
    <w:semiHidden/>
    <w:rsid w:val="00361103"/>
    <w:rPr>
      <w:rFonts w:ascii="Calibri" w:eastAsia="Times New Roman" w:hAnsi="Calibri" w:cs="Times New Roman"/>
      <w:sz w:val="24"/>
      <w:szCs w:val="24"/>
      <w:lang w:eastAsia="en-AU"/>
    </w:rPr>
  </w:style>
  <w:style w:type="paragraph" w:styleId="CommentText">
    <w:name w:val="annotation text"/>
    <w:basedOn w:val="Normal"/>
    <w:link w:val="CommentTextChar"/>
    <w:uiPriority w:val="99"/>
    <w:unhideWhenUsed/>
    <w:rsid w:val="00F96F9D"/>
    <w:rPr>
      <w:sz w:val="20"/>
      <w:szCs w:val="20"/>
    </w:rPr>
  </w:style>
  <w:style w:type="character" w:customStyle="1" w:styleId="CommentTextChar">
    <w:name w:val="Comment Text Char"/>
    <w:basedOn w:val="DefaultParagraphFont"/>
    <w:link w:val="CommentText"/>
    <w:uiPriority w:val="99"/>
    <w:rsid w:val="00F96F9D"/>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96F9D"/>
    <w:rPr>
      <w:b/>
      <w:bCs/>
    </w:rPr>
  </w:style>
  <w:style w:type="character" w:customStyle="1" w:styleId="CommentSubjectChar">
    <w:name w:val="Comment Subject Char"/>
    <w:basedOn w:val="CommentTextChar"/>
    <w:link w:val="CommentSubject"/>
    <w:uiPriority w:val="99"/>
    <w:semiHidden/>
    <w:rsid w:val="00F96F9D"/>
    <w:rPr>
      <w:rFonts w:ascii="Calibri" w:eastAsia="Times New Roman" w:hAnsi="Calibri" w:cs="Times New Roman"/>
      <w:b/>
      <w:bCs/>
      <w:sz w:val="20"/>
      <w:szCs w:val="20"/>
      <w:lang w:eastAsia="en-AU"/>
    </w:rPr>
  </w:style>
  <w:style w:type="paragraph" w:styleId="BalloonText">
    <w:name w:val="Balloon Text"/>
    <w:basedOn w:val="Normal"/>
    <w:link w:val="BalloonTextChar"/>
    <w:uiPriority w:val="99"/>
    <w:semiHidden/>
    <w:unhideWhenUsed/>
    <w:rsid w:val="00F96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F9D"/>
    <w:rPr>
      <w:rFonts w:ascii="Segoe UI" w:eastAsia="Times New Roman" w:hAnsi="Segoe UI" w:cs="Segoe UI"/>
      <w:sz w:val="18"/>
      <w:szCs w:val="18"/>
      <w:lang w:eastAsia="en-AU"/>
    </w:rPr>
  </w:style>
  <w:style w:type="paragraph" w:customStyle="1" w:styleId="PBACHeading1">
    <w:name w:val="PBAC Heading 1"/>
    <w:qFormat/>
    <w:rsid w:val="00322BBB"/>
    <w:pPr>
      <w:spacing w:after="0" w:line="240" w:lineRule="auto"/>
      <w:ind w:left="720" w:hanging="720"/>
      <w:outlineLvl w:val="0"/>
    </w:pPr>
    <w:rPr>
      <w:rFonts w:ascii="Arial" w:eastAsia="Times New Roman" w:hAnsi="Arial" w:cs="Arial"/>
      <w:b/>
      <w:snapToGrid w:val="0"/>
    </w:rPr>
  </w:style>
  <w:style w:type="character" w:customStyle="1" w:styleId="form-strength">
    <w:name w:val="form-strength"/>
    <w:basedOn w:val="DefaultParagraphFont"/>
    <w:rsid w:val="009B306F"/>
  </w:style>
  <w:style w:type="paragraph" w:styleId="NormalWeb">
    <w:name w:val="Normal (Web)"/>
    <w:basedOn w:val="Normal"/>
    <w:uiPriority w:val="99"/>
    <w:semiHidden/>
    <w:unhideWhenUsed/>
    <w:rsid w:val="000B3663"/>
    <w:pPr>
      <w:spacing w:after="150"/>
      <w:jc w:val="left"/>
    </w:pPr>
    <w:rPr>
      <w:rFonts w:ascii="Times New Roman" w:hAnsi="Times New Roman"/>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4170">
      <w:bodyDiv w:val="1"/>
      <w:marLeft w:val="0"/>
      <w:marRight w:val="0"/>
      <w:marTop w:val="0"/>
      <w:marBottom w:val="0"/>
      <w:divBdr>
        <w:top w:val="none" w:sz="0" w:space="0" w:color="auto"/>
        <w:left w:val="none" w:sz="0" w:space="0" w:color="auto"/>
        <w:bottom w:val="none" w:sz="0" w:space="0" w:color="auto"/>
        <w:right w:val="none" w:sz="0" w:space="0" w:color="auto"/>
      </w:divBdr>
      <w:divsChild>
        <w:div w:id="1437555087">
          <w:marLeft w:val="0"/>
          <w:marRight w:val="0"/>
          <w:marTop w:val="0"/>
          <w:marBottom w:val="0"/>
          <w:divBdr>
            <w:top w:val="none" w:sz="0" w:space="0" w:color="auto"/>
            <w:left w:val="none" w:sz="0" w:space="0" w:color="auto"/>
            <w:bottom w:val="none" w:sz="0" w:space="0" w:color="auto"/>
            <w:right w:val="none" w:sz="0" w:space="0" w:color="auto"/>
          </w:divBdr>
          <w:divsChild>
            <w:div w:id="1603300986">
              <w:marLeft w:val="0"/>
              <w:marRight w:val="0"/>
              <w:marTop w:val="0"/>
              <w:marBottom w:val="0"/>
              <w:divBdr>
                <w:top w:val="none" w:sz="0" w:space="0" w:color="auto"/>
                <w:left w:val="none" w:sz="0" w:space="0" w:color="auto"/>
                <w:bottom w:val="none" w:sz="0" w:space="0" w:color="auto"/>
                <w:right w:val="none" w:sz="0" w:space="0" w:color="auto"/>
              </w:divBdr>
            </w:div>
          </w:divsChild>
        </w:div>
        <w:div w:id="1087770345">
          <w:marLeft w:val="0"/>
          <w:marRight w:val="0"/>
          <w:marTop w:val="0"/>
          <w:marBottom w:val="0"/>
          <w:divBdr>
            <w:top w:val="none" w:sz="0" w:space="0" w:color="auto"/>
            <w:left w:val="none" w:sz="0" w:space="0" w:color="auto"/>
            <w:bottom w:val="none" w:sz="0" w:space="0" w:color="auto"/>
            <w:right w:val="none" w:sz="0" w:space="0" w:color="auto"/>
          </w:divBdr>
          <w:divsChild>
            <w:div w:id="18738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0894">
      <w:bodyDiv w:val="1"/>
      <w:marLeft w:val="0"/>
      <w:marRight w:val="0"/>
      <w:marTop w:val="0"/>
      <w:marBottom w:val="0"/>
      <w:divBdr>
        <w:top w:val="none" w:sz="0" w:space="0" w:color="auto"/>
        <w:left w:val="none" w:sz="0" w:space="0" w:color="auto"/>
        <w:bottom w:val="none" w:sz="0" w:space="0" w:color="auto"/>
        <w:right w:val="none" w:sz="0" w:space="0" w:color="auto"/>
      </w:divBdr>
    </w:div>
    <w:div w:id="369770346">
      <w:bodyDiv w:val="1"/>
      <w:marLeft w:val="0"/>
      <w:marRight w:val="0"/>
      <w:marTop w:val="0"/>
      <w:marBottom w:val="0"/>
      <w:divBdr>
        <w:top w:val="none" w:sz="0" w:space="0" w:color="auto"/>
        <w:left w:val="none" w:sz="0" w:space="0" w:color="auto"/>
        <w:bottom w:val="none" w:sz="0" w:space="0" w:color="auto"/>
        <w:right w:val="none" w:sz="0" w:space="0" w:color="auto"/>
      </w:divBdr>
      <w:divsChild>
        <w:div w:id="459149013">
          <w:marLeft w:val="0"/>
          <w:marRight w:val="0"/>
          <w:marTop w:val="0"/>
          <w:marBottom w:val="0"/>
          <w:divBdr>
            <w:top w:val="none" w:sz="0" w:space="0" w:color="auto"/>
            <w:left w:val="none" w:sz="0" w:space="0" w:color="auto"/>
            <w:bottom w:val="none" w:sz="0" w:space="0" w:color="auto"/>
            <w:right w:val="none" w:sz="0" w:space="0" w:color="auto"/>
          </w:divBdr>
          <w:divsChild>
            <w:div w:id="1517964734">
              <w:marLeft w:val="0"/>
              <w:marRight w:val="0"/>
              <w:marTop w:val="0"/>
              <w:marBottom w:val="0"/>
              <w:divBdr>
                <w:top w:val="none" w:sz="0" w:space="0" w:color="auto"/>
                <w:left w:val="none" w:sz="0" w:space="0" w:color="auto"/>
                <w:bottom w:val="none" w:sz="0" w:space="0" w:color="auto"/>
                <w:right w:val="none" w:sz="0" w:space="0" w:color="auto"/>
              </w:divBdr>
            </w:div>
          </w:divsChild>
        </w:div>
        <w:div w:id="505051277">
          <w:marLeft w:val="0"/>
          <w:marRight w:val="0"/>
          <w:marTop w:val="0"/>
          <w:marBottom w:val="0"/>
          <w:divBdr>
            <w:top w:val="none" w:sz="0" w:space="0" w:color="auto"/>
            <w:left w:val="none" w:sz="0" w:space="0" w:color="auto"/>
            <w:bottom w:val="none" w:sz="0" w:space="0" w:color="auto"/>
            <w:right w:val="none" w:sz="0" w:space="0" w:color="auto"/>
          </w:divBdr>
          <w:divsChild>
            <w:div w:id="99027919">
              <w:marLeft w:val="0"/>
              <w:marRight w:val="0"/>
              <w:marTop w:val="0"/>
              <w:marBottom w:val="0"/>
              <w:divBdr>
                <w:top w:val="none" w:sz="0" w:space="0" w:color="auto"/>
                <w:left w:val="none" w:sz="0" w:space="0" w:color="auto"/>
                <w:bottom w:val="none" w:sz="0" w:space="0" w:color="auto"/>
                <w:right w:val="none" w:sz="0" w:space="0" w:color="auto"/>
              </w:divBdr>
            </w:div>
          </w:divsChild>
        </w:div>
        <w:div w:id="899025104">
          <w:marLeft w:val="0"/>
          <w:marRight w:val="0"/>
          <w:marTop w:val="0"/>
          <w:marBottom w:val="0"/>
          <w:divBdr>
            <w:top w:val="none" w:sz="0" w:space="0" w:color="auto"/>
            <w:left w:val="none" w:sz="0" w:space="0" w:color="auto"/>
            <w:bottom w:val="none" w:sz="0" w:space="0" w:color="auto"/>
            <w:right w:val="none" w:sz="0" w:space="0" w:color="auto"/>
          </w:divBdr>
          <w:divsChild>
            <w:div w:id="18116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2967">
      <w:bodyDiv w:val="1"/>
      <w:marLeft w:val="0"/>
      <w:marRight w:val="0"/>
      <w:marTop w:val="0"/>
      <w:marBottom w:val="0"/>
      <w:divBdr>
        <w:top w:val="none" w:sz="0" w:space="0" w:color="auto"/>
        <w:left w:val="none" w:sz="0" w:space="0" w:color="auto"/>
        <w:bottom w:val="none" w:sz="0" w:space="0" w:color="auto"/>
        <w:right w:val="none" w:sz="0" w:space="0" w:color="auto"/>
      </w:divBdr>
      <w:divsChild>
        <w:div w:id="1215432567">
          <w:marLeft w:val="0"/>
          <w:marRight w:val="0"/>
          <w:marTop w:val="0"/>
          <w:marBottom w:val="0"/>
          <w:divBdr>
            <w:top w:val="none" w:sz="0" w:space="0" w:color="auto"/>
            <w:left w:val="none" w:sz="0" w:space="0" w:color="auto"/>
            <w:bottom w:val="none" w:sz="0" w:space="0" w:color="auto"/>
            <w:right w:val="none" w:sz="0" w:space="0" w:color="auto"/>
          </w:divBdr>
          <w:divsChild>
            <w:div w:id="374014424">
              <w:marLeft w:val="0"/>
              <w:marRight w:val="0"/>
              <w:marTop w:val="0"/>
              <w:marBottom w:val="0"/>
              <w:divBdr>
                <w:top w:val="none" w:sz="0" w:space="0" w:color="auto"/>
                <w:left w:val="none" w:sz="0" w:space="0" w:color="auto"/>
                <w:bottom w:val="none" w:sz="0" w:space="0" w:color="auto"/>
                <w:right w:val="none" w:sz="0" w:space="0" w:color="auto"/>
              </w:divBdr>
              <w:divsChild>
                <w:div w:id="568854372">
                  <w:marLeft w:val="0"/>
                  <w:marRight w:val="0"/>
                  <w:marTop w:val="0"/>
                  <w:marBottom w:val="0"/>
                  <w:divBdr>
                    <w:top w:val="none" w:sz="0" w:space="0" w:color="auto"/>
                    <w:left w:val="none" w:sz="0" w:space="0" w:color="auto"/>
                    <w:bottom w:val="none" w:sz="0" w:space="0" w:color="auto"/>
                    <w:right w:val="none" w:sz="0" w:space="0" w:color="auto"/>
                  </w:divBdr>
                  <w:divsChild>
                    <w:div w:id="8083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5AE7-47EE-4693-88FE-0284F39B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2021-10-25T04:21:00Z</dcterms:created>
  <dcterms:modified xsi:type="dcterms:W3CDTF">2021-10-25T04:21:00Z</dcterms:modified>
</cp:coreProperties>
</file>