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E8C6C" w14:textId="77777777" w:rsidR="00511792" w:rsidRPr="00466E5F" w:rsidRDefault="00511792" w:rsidP="00511792">
      <w:pPr>
        <w:spacing w:after="120"/>
        <w:rPr>
          <w:rFonts w:cs="Calibri"/>
          <w:color w:val="FF0000"/>
        </w:rPr>
      </w:pPr>
      <w:r w:rsidRPr="00050473">
        <w:rPr>
          <w:rFonts w:eastAsia="Calibri" w:cstheme="minorHAnsi"/>
          <w:color w:val="FF0000"/>
          <w:lang w:eastAsia="en-US"/>
        </w:rPr>
        <w:t>C</w:t>
      </w:r>
      <w:r>
        <w:rPr>
          <w:rFonts w:eastAsia="Calibri" w:cstheme="minorHAnsi"/>
          <w:color w:val="FF0000"/>
          <w:lang w:eastAsia="en-US"/>
        </w:rPr>
        <w:t>hanges</w:t>
      </w:r>
      <w:r w:rsidRPr="00050473">
        <w:rPr>
          <w:rFonts w:eastAsia="Calibri" w:cstheme="minorHAnsi"/>
          <w:color w:val="FF0000"/>
          <w:lang w:eastAsia="en-US"/>
        </w:rPr>
        <w:t xml:space="preserve"> have been made to this item. Details of the corrigendum are at the end of this document</w:t>
      </w:r>
      <w:r>
        <w:rPr>
          <w:rFonts w:eastAsia="Calibri" w:cstheme="minorHAnsi"/>
          <w:color w:val="FF0000"/>
          <w:lang w:eastAsia="en-US"/>
        </w:rPr>
        <w:t>.</w:t>
      </w:r>
      <w:bookmarkStart w:id="0" w:name="_GoBack"/>
      <w:bookmarkEnd w:id="0"/>
    </w:p>
    <w:p w14:paraId="283DF7BB" w14:textId="77777777" w:rsidR="007E490F" w:rsidRPr="00A033A3" w:rsidRDefault="00426EAE" w:rsidP="00CF5593">
      <w:pPr>
        <w:pStyle w:val="1MainTitle"/>
        <w:ind w:left="1134" w:hanging="1134"/>
        <w:jc w:val="left"/>
        <w:rPr>
          <w:rFonts w:eastAsia="Calibri"/>
          <w:lang w:eastAsia="en-US"/>
        </w:rPr>
      </w:pPr>
      <w:r w:rsidRPr="00A033A3">
        <w:rPr>
          <w:rFonts w:eastAsia="Calibri"/>
          <w:lang w:eastAsia="en-US"/>
        </w:rPr>
        <w:t>6</w:t>
      </w:r>
      <w:r w:rsidR="007E490F" w:rsidRPr="00A033A3">
        <w:rPr>
          <w:rFonts w:eastAsia="Calibri"/>
          <w:lang w:eastAsia="en-US"/>
        </w:rPr>
        <w:t>.</w:t>
      </w:r>
      <w:r w:rsidR="00475A92" w:rsidRPr="00A033A3">
        <w:rPr>
          <w:rFonts w:eastAsia="Calibri"/>
          <w:lang w:eastAsia="en-US"/>
        </w:rPr>
        <w:t>17</w:t>
      </w:r>
      <w:r w:rsidR="007E490F" w:rsidRPr="00A033A3">
        <w:rPr>
          <w:rFonts w:eastAsia="Calibri"/>
          <w:lang w:eastAsia="en-US"/>
        </w:rPr>
        <w:tab/>
      </w:r>
      <w:r w:rsidRPr="00A033A3">
        <w:rPr>
          <w:rFonts w:eastAsia="Calibri"/>
          <w:lang w:eastAsia="en-US"/>
        </w:rPr>
        <w:t>ETANERCEPT</w:t>
      </w:r>
      <w:r w:rsidR="009E778E" w:rsidRPr="00A033A3">
        <w:rPr>
          <w:rFonts w:eastAsia="Calibri"/>
          <w:lang w:eastAsia="en-US"/>
        </w:rPr>
        <w:t xml:space="preserve">, </w:t>
      </w:r>
      <w:r w:rsidR="007E490F" w:rsidRPr="00A033A3">
        <w:rPr>
          <w:rFonts w:eastAsia="Calibri"/>
          <w:lang w:eastAsia="en-US"/>
        </w:rPr>
        <w:br/>
      </w:r>
      <w:r w:rsidRPr="00A033A3">
        <w:rPr>
          <w:rFonts w:eastAsia="Calibri"/>
          <w:lang w:eastAsia="en-US"/>
        </w:rPr>
        <w:t>Injection 50 mg in 1 mL</w:t>
      </w:r>
      <w:r w:rsidR="00F56958" w:rsidRPr="00A033A3">
        <w:rPr>
          <w:rFonts w:eastAsia="Calibri"/>
          <w:lang w:eastAsia="en-US"/>
        </w:rPr>
        <w:t xml:space="preserve"> single use </w:t>
      </w:r>
      <w:r w:rsidRPr="00A033A3">
        <w:rPr>
          <w:rFonts w:eastAsia="Calibri"/>
          <w:lang w:eastAsia="en-US"/>
        </w:rPr>
        <w:t>dose-dispenser cartridges</w:t>
      </w:r>
      <w:r w:rsidR="00320662" w:rsidRPr="00A033A3">
        <w:rPr>
          <w:rFonts w:eastAsia="Calibri"/>
          <w:lang w:eastAsia="en-US"/>
        </w:rPr>
        <w:t>,</w:t>
      </w:r>
      <w:r w:rsidR="00F56958" w:rsidRPr="00A033A3">
        <w:rPr>
          <w:rFonts w:eastAsia="Calibri"/>
          <w:lang w:eastAsia="en-US"/>
        </w:rPr>
        <w:t xml:space="preserve"> 4</w:t>
      </w:r>
      <w:r w:rsidRPr="00A033A3">
        <w:rPr>
          <w:rFonts w:eastAsia="Calibri"/>
          <w:lang w:eastAsia="en-US"/>
        </w:rPr>
        <w:t xml:space="preserve">, </w:t>
      </w:r>
      <w:r w:rsidR="007E490F" w:rsidRPr="00A033A3">
        <w:rPr>
          <w:rFonts w:eastAsia="Calibri"/>
          <w:lang w:eastAsia="en-US"/>
        </w:rPr>
        <w:br/>
      </w:r>
      <w:r w:rsidRPr="00A033A3">
        <w:rPr>
          <w:rFonts w:eastAsia="Calibri"/>
          <w:lang w:eastAsia="en-US"/>
        </w:rPr>
        <w:t>Enbrel</w:t>
      </w:r>
      <w:r w:rsidR="00421E26">
        <w:rPr>
          <w:rFonts w:eastAsia="Calibri" w:cstheme="minorHAnsi"/>
          <w:lang w:eastAsia="en-US"/>
        </w:rPr>
        <w:t>®</w:t>
      </w:r>
      <w:r w:rsidR="009E778E" w:rsidRPr="00A033A3">
        <w:rPr>
          <w:rFonts w:eastAsia="Calibri"/>
          <w:lang w:eastAsia="en-US"/>
        </w:rPr>
        <w:t xml:space="preserve">, </w:t>
      </w:r>
      <w:r w:rsidR="007E490F" w:rsidRPr="00A033A3">
        <w:rPr>
          <w:rFonts w:eastAsia="Calibri"/>
          <w:lang w:eastAsia="en-US"/>
        </w:rPr>
        <w:br/>
      </w:r>
      <w:r w:rsidRPr="00A033A3">
        <w:rPr>
          <w:rFonts w:eastAsia="Calibri"/>
          <w:lang w:eastAsia="en-US"/>
        </w:rPr>
        <w:t>Pfizer Australia</w:t>
      </w:r>
      <w:r w:rsidR="00834DBE" w:rsidRPr="00A033A3">
        <w:rPr>
          <w:rFonts w:eastAsia="Calibri"/>
          <w:lang w:eastAsia="en-US"/>
        </w:rPr>
        <w:t xml:space="preserve"> Pty Ltd</w:t>
      </w:r>
    </w:p>
    <w:p w14:paraId="6C559B5F" w14:textId="77777777" w:rsidR="007E490F" w:rsidRPr="00A033A3" w:rsidRDefault="007E490F" w:rsidP="00404BD8">
      <w:pPr>
        <w:pStyle w:val="2-SectionHeading"/>
      </w:pPr>
      <w:r w:rsidRPr="00A033A3">
        <w:t xml:space="preserve">Purpose of </w:t>
      </w:r>
      <w:r w:rsidR="0002798D" w:rsidRPr="00A033A3">
        <w:t>Application</w:t>
      </w:r>
      <w:r w:rsidRPr="00A033A3">
        <w:t xml:space="preserve"> </w:t>
      </w:r>
    </w:p>
    <w:p w14:paraId="2B366E92" w14:textId="77777777" w:rsidR="006C6C10" w:rsidRPr="00A033A3" w:rsidRDefault="006C6C10" w:rsidP="00C35F6B">
      <w:pPr>
        <w:pStyle w:val="3Bodytext"/>
        <w:jc w:val="both"/>
        <w:rPr>
          <w:rFonts w:cstheme="minorHAnsi"/>
          <w:szCs w:val="24"/>
        </w:rPr>
      </w:pPr>
      <w:r w:rsidRPr="00A033A3">
        <w:rPr>
          <w:rFonts w:cstheme="minorHAnsi"/>
          <w:szCs w:val="24"/>
        </w:rPr>
        <w:t>The Category</w:t>
      </w:r>
      <w:r w:rsidR="005D52BB" w:rsidRPr="00A033A3">
        <w:rPr>
          <w:rFonts w:cstheme="minorHAnsi"/>
          <w:szCs w:val="24"/>
        </w:rPr>
        <w:t xml:space="preserve"> 4</w:t>
      </w:r>
      <w:r w:rsidRPr="00A033A3">
        <w:rPr>
          <w:rFonts w:cstheme="minorHAnsi"/>
          <w:szCs w:val="24"/>
        </w:rPr>
        <w:t xml:space="preserve"> submission </w:t>
      </w:r>
      <w:r w:rsidR="0023466E" w:rsidRPr="00A033A3">
        <w:rPr>
          <w:rFonts w:cstheme="minorHAnsi"/>
          <w:szCs w:val="24"/>
        </w:rPr>
        <w:t>sought</w:t>
      </w:r>
      <w:r w:rsidRPr="00A033A3">
        <w:rPr>
          <w:rFonts w:cstheme="minorHAnsi"/>
          <w:szCs w:val="24"/>
        </w:rPr>
        <w:t xml:space="preserve"> to</w:t>
      </w:r>
      <w:r w:rsidR="005D52BB" w:rsidRPr="00A033A3">
        <w:rPr>
          <w:rFonts w:cstheme="minorHAnsi"/>
          <w:szCs w:val="24"/>
        </w:rPr>
        <w:t xml:space="preserve"> request General Schedule and Section 100 (Highly Specialised Drugs Program) listings of etanercept</w:t>
      </w:r>
      <w:r w:rsidR="008A6CD5" w:rsidRPr="00A033A3">
        <w:rPr>
          <w:rFonts w:cstheme="minorHAnsi"/>
          <w:szCs w:val="24"/>
        </w:rPr>
        <w:t xml:space="preserve"> i</w:t>
      </w:r>
      <w:r w:rsidR="008A6CD5" w:rsidRPr="00A033A3">
        <w:rPr>
          <w:rFonts w:eastAsia="Calibri"/>
          <w:lang w:eastAsia="en-US"/>
        </w:rPr>
        <w:t xml:space="preserve">njection 50 mg in 1 mL single use dose-dispenser cartridges, 4, (herein </w:t>
      </w:r>
      <w:r w:rsidR="00E37790" w:rsidRPr="00A033A3">
        <w:rPr>
          <w:rFonts w:cstheme="minorHAnsi"/>
          <w:szCs w:val="24"/>
        </w:rPr>
        <w:t xml:space="preserve">referred to as etanercept </w:t>
      </w:r>
      <w:r w:rsidR="009E778E" w:rsidRPr="00A033A3">
        <w:rPr>
          <w:rFonts w:cstheme="minorHAnsi"/>
          <w:szCs w:val="24"/>
        </w:rPr>
        <w:t>DDC</w:t>
      </w:r>
      <w:r w:rsidR="00E37790" w:rsidRPr="00A033A3">
        <w:rPr>
          <w:rFonts w:cstheme="minorHAnsi"/>
          <w:szCs w:val="24"/>
        </w:rPr>
        <w:t xml:space="preserve">) </w:t>
      </w:r>
      <w:r w:rsidR="005D52BB" w:rsidRPr="00A033A3">
        <w:rPr>
          <w:rFonts w:cstheme="minorHAnsi"/>
          <w:szCs w:val="24"/>
        </w:rPr>
        <w:t>under the same conditions as the currently listed</w:t>
      </w:r>
      <w:r w:rsidR="008A6CD5" w:rsidRPr="00A033A3">
        <w:rPr>
          <w:rFonts w:cstheme="minorHAnsi"/>
          <w:szCs w:val="24"/>
        </w:rPr>
        <w:t xml:space="preserve"> etanercept</w:t>
      </w:r>
      <w:r w:rsidR="00F44293" w:rsidRPr="00A033A3">
        <w:rPr>
          <w:rFonts w:cstheme="minorHAnsi"/>
          <w:szCs w:val="24"/>
        </w:rPr>
        <w:t xml:space="preserve"> </w:t>
      </w:r>
      <w:r w:rsidR="00F44293" w:rsidRPr="00A033A3">
        <w:rPr>
          <w:rFonts w:eastAsia="Calibri"/>
          <w:lang w:eastAsia="en-US"/>
        </w:rPr>
        <w:t xml:space="preserve">injection </w:t>
      </w:r>
      <w:r w:rsidR="008A6CD5" w:rsidRPr="00A033A3">
        <w:rPr>
          <w:rFonts w:eastAsia="Calibri"/>
          <w:lang w:eastAsia="en-US"/>
        </w:rPr>
        <w:t xml:space="preserve">50 mg in 1 mL single use pre-filled syringes, 4 (herein referred to as etanercept </w:t>
      </w:r>
      <w:r w:rsidR="009E778E" w:rsidRPr="00A033A3">
        <w:rPr>
          <w:rFonts w:cstheme="minorHAnsi"/>
          <w:szCs w:val="24"/>
        </w:rPr>
        <w:t>PFS</w:t>
      </w:r>
      <w:r w:rsidR="008A6CD5" w:rsidRPr="00A033A3">
        <w:rPr>
          <w:rFonts w:cstheme="minorHAnsi"/>
          <w:szCs w:val="24"/>
        </w:rPr>
        <w:t>)</w:t>
      </w:r>
      <w:r w:rsidR="005D52BB" w:rsidRPr="00A033A3">
        <w:rPr>
          <w:rFonts w:cstheme="minorHAnsi"/>
          <w:szCs w:val="24"/>
        </w:rPr>
        <w:t>.</w:t>
      </w:r>
    </w:p>
    <w:p w14:paraId="623C8F9C" w14:textId="77777777" w:rsidR="007E490F" w:rsidRPr="00A033A3" w:rsidRDefault="007E490F" w:rsidP="007E490F">
      <w:pPr>
        <w:pStyle w:val="2-SectionHeading"/>
      </w:pPr>
      <w:r w:rsidRPr="00A033A3">
        <w:t xml:space="preserve">Background </w:t>
      </w:r>
    </w:p>
    <w:p w14:paraId="485E32D5" w14:textId="77777777" w:rsidR="007E490F" w:rsidRPr="00A033A3" w:rsidRDefault="007E490F" w:rsidP="00294CAF">
      <w:pPr>
        <w:pStyle w:val="4-SubsectionHeading"/>
      </w:pPr>
      <w:r w:rsidRPr="00A033A3">
        <w:t>Registration status</w:t>
      </w:r>
    </w:p>
    <w:p w14:paraId="60D0E314" w14:textId="77777777" w:rsidR="00A47716" w:rsidRPr="00A033A3" w:rsidRDefault="00F93C05" w:rsidP="00C35F6B">
      <w:pPr>
        <w:pStyle w:val="3Bodytext"/>
        <w:jc w:val="both"/>
        <w:rPr>
          <w:color w:val="000000" w:themeColor="text1"/>
        </w:rPr>
      </w:pPr>
      <w:r w:rsidRPr="00A033A3">
        <w:rPr>
          <w:rFonts w:cstheme="minorHAnsi"/>
        </w:rPr>
        <w:t>E</w:t>
      </w:r>
      <w:r w:rsidR="00A47716" w:rsidRPr="00A033A3">
        <w:rPr>
          <w:rFonts w:cstheme="minorHAnsi"/>
        </w:rPr>
        <w:t xml:space="preserve">tanercept DDC </w:t>
      </w:r>
      <w:r w:rsidRPr="00A033A3">
        <w:rPr>
          <w:rFonts w:cstheme="minorHAnsi"/>
        </w:rPr>
        <w:t xml:space="preserve">was listed on the </w:t>
      </w:r>
      <w:r w:rsidR="00A47716" w:rsidRPr="00A033A3">
        <w:rPr>
          <w:rFonts w:cstheme="minorHAnsi"/>
        </w:rPr>
        <w:t xml:space="preserve">ARTG on </w:t>
      </w:r>
      <w:r w:rsidRPr="00A033A3">
        <w:rPr>
          <w:rFonts w:cstheme="minorHAnsi"/>
        </w:rPr>
        <w:t xml:space="preserve">21 May 2021. Etanercept DDC was TGA approved on </w:t>
      </w:r>
      <w:r w:rsidR="00A47716" w:rsidRPr="00A033A3">
        <w:rPr>
          <w:rFonts w:cstheme="minorHAnsi"/>
        </w:rPr>
        <w:t>the basis that the only differences between the DDC and the currently registered PFS and auto-injector are the introduction of a new container, i.e. a dose-dispenser cartridge</w:t>
      </w:r>
      <w:r w:rsidR="00915CC0">
        <w:rPr>
          <w:rFonts w:cstheme="minorHAnsi"/>
        </w:rPr>
        <w:t xml:space="preserve"> (TGA approval letter</w:t>
      </w:r>
      <w:r w:rsidRPr="00A033A3">
        <w:rPr>
          <w:rFonts w:cstheme="minorHAnsi"/>
        </w:rPr>
        <w:t>)</w:t>
      </w:r>
      <w:r w:rsidR="00A47716" w:rsidRPr="00A033A3">
        <w:rPr>
          <w:rFonts w:cstheme="minorHAnsi"/>
        </w:rPr>
        <w:t xml:space="preserve">. </w:t>
      </w:r>
    </w:p>
    <w:p w14:paraId="48A45DF7" w14:textId="77777777" w:rsidR="007E490F" w:rsidRPr="00A033A3" w:rsidRDefault="007E490F" w:rsidP="00294CAF">
      <w:pPr>
        <w:pStyle w:val="4-SubsectionHeading"/>
      </w:pPr>
      <w:r w:rsidRPr="00A033A3">
        <w:t xml:space="preserve">Previous PBAC consideration </w:t>
      </w:r>
    </w:p>
    <w:p w14:paraId="64B5B58E" w14:textId="77777777" w:rsidR="007E490F" w:rsidRPr="00A033A3" w:rsidRDefault="006078CC" w:rsidP="00C35F6B">
      <w:pPr>
        <w:pStyle w:val="3Bodytext"/>
        <w:jc w:val="both"/>
      </w:pPr>
      <w:r w:rsidRPr="00A033A3">
        <w:t xml:space="preserve">Etanercept </w:t>
      </w:r>
      <w:r w:rsidR="004653B5" w:rsidRPr="00A033A3">
        <w:t>DDC</w:t>
      </w:r>
      <w:r w:rsidR="00E37790" w:rsidRPr="00A033A3">
        <w:t xml:space="preserve"> </w:t>
      </w:r>
      <w:r w:rsidRPr="00A033A3">
        <w:t xml:space="preserve">has not been </w:t>
      </w:r>
      <w:r w:rsidR="004A724F" w:rsidRPr="00A033A3">
        <w:t xml:space="preserve">previously </w:t>
      </w:r>
      <w:r w:rsidRPr="00A033A3">
        <w:t xml:space="preserve">considered by the </w:t>
      </w:r>
      <w:r w:rsidR="00094702" w:rsidRPr="00A033A3">
        <w:t>PBAC.</w:t>
      </w:r>
      <w:r w:rsidRPr="00A033A3">
        <w:t xml:space="preserve"> </w:t>
      </w:r>
    </w:p>
    <w:p w14:paraId="2A02E6D9" w14:textId="77777777" w:rsidR="00964A9F" w:rsidRPr="00A033A3" w:rsidRDefault="00964A9F" w:rsidP="00964A9F">
      <w:pPr>
        <w:pStyle w:val="2-SectionHeading"/>
      </w:pPr>
      <w:r w:rsidRPr="00A033A3">
        <w:t xml:space="preserve">Requested listing </w:t>
      </w:r>
    </w:p>
    <w:p w14:paraId="4C5ED9A4" w14:textId="77777777" w:rsidR="00AC1317" w:rsidRPr="00A033A3" w:rsidRDefault="001B398B" w:rsidP="00C35F6B">
      <w:pPr>
        <w:pStyle w:val="3Bodytext"/>
        <w:jc w:val="both"/>
      </w:pPr>
      <w:r w:rsidRPr="00A033A3">
        <w:t xml:space="preserve">The submission requested listing </w:t>
      </w:r>
      <w:r w:rsidR="00E37790" w:rsidRPr="00A033A3">
        <w:t xml:space="preserve">etanercept </w:t>
      </w:r>
      <w:r w:rsidR="004653B5" w:rsidRPr="00A033A3">
        <w:t>DDC</w:t>
      </w:r>
      <w:r w:rsidRPr="00A033A3">
        <w:t xml:space="preserve"> for the same indications for which the reference </w:t>
      </w:r>
      <w:r w:rsidR="00D85D20" w:rsidRPr="00A033A3">
        <w:t>etanercept PFS</w:t>
      </w:r>
      <w:r w:rsidRPr="00A033A3">
        <w:t xml:space="preserve"> is currently PBS listed.</w:t>
      </w:r>
      <w:r w:rsidR="00531724" w:rsidRPr="00A033A3">
        <w:t xml:space="preserve"> </w:t>
      </w:r>
      <w:r w:rsidR="00AC1317" w:rsidRPr="00A033A3">
        <w:t xml:space="preserve">Etanercept </w:t>
      </w:r>
      <w:r w:rsidR="00AC1317" w:rsidRPr="00A033A3">
        <w:rPr>
          <w:color w:val="000000" w:themeColor="text1"/>
        </w:rPr>
        <w:t xml:space="preserve">is currently listed on the PBS as an </w:t>
      </w:r>
      <w:r w:rsidR="00AC1317" w:rsidRPr="00A033A3">
        <w:t xml:space="preserve">Authority Required </w:t>
      </w:r>
      <w:r w:rsidR="00AC1317" w:rsidRPr="00A033A3">
        <w:rPr>
          <w:color w:val="000000" w:themeColor="text1"/>
        </w:rPr>
        <w:t>listing for the following indications</w:t>
      </w:r>
      <w:r w:rsidR="00AC1317" w:rsidRPr="00A033A3">
        <w:t xml:space="preserve">: </w:t>
      </w:r>
    </w:p>
    <w:p w14:paraId="6DD03501" w14:textId="77777777" w:rsidR="00AD0A5F" w:rsidRPr="00A033A3" w:rsidRDefault="00AD0A5F" w:rsidP="0049643B">
      <w:pPr>
        <w:pStyle w:val="3Bodytext"/>
        <w:numPr>
          <w:ilvl w:val="0"/>
          <w:numId w:val="6"/>
        </w:numPr>
      </w:pPr>
      <w:r w:rsidRPr="00A033A3">
        <w:t>Severe active rheumatoid arthritis</w:t>
      </w:r>
    </w:p>
    <w:p w14:paraId="678E4BB1" w14:textId="77777777" w:rsidR="00AC1317" w:rsidRPr="00A033A3" w:rsidRDefault="00AC1317" w:rsidP="0049643B">
      <w:pPr>
        <w:pStyle w:val="3Bodytext"/>
        <w:numPr>
          <w:ilvl w:val="0"/>
          <w:numId w:val="6"/>
        </w:numPr>
      </w:pPr>
      <w:r w:rsidRPr="00A033A3">
        <w:t>Severe psoriatic arthritis</w:t>
      </w:r>
    </w:p>
    <w:p w14:paraId="58FAA788" w14:textId="77777777" w:rsidR="00AC1317" w:rsidRPr="00A033A3" w:rsidRDefault="00AC1317" w:rsidP="0049643B">
      <w:pPr>
        <w:pStyle w:val="3Bodytext"/>
        <w:numPr>
          <w:ilvl w:val="0"/>
          <w:numId w:val="6"/>
        </w:numPr>
      </w:pPr>
      <w:r w:rsidRPr="00A033A3">
        <w:t>Ankylosing spondylitis</w:t>
      </w:r>
    </w:p>
    <w:p w14:paraId="22F9EB44" w14:textId="77777777" w:rsidR="00AC1317" w:rsidRPr="00A033A3" w:rsidRDefault="00AC1317" w:rsidP="0049643B">
      <w:pPr>
        <w:pStyle w:val="3Bodytext"/>
        <w:numPr>
          <w:ilvl w:val="0"/>
          <w:numId w:val="6"/>
        </w:numPr>
      </w:pPr>
      <w:r w:rsidRPr="00A033A3">
        <w:t>Severe chronic plaque psoriasis</w:t>
      </w:r>
    </w:p>
    <w:p w14:paraId="68C367E4" w14:textId="77777777" w:rsidR="00AC1317" w:rsidRPr="00A033A3" w:rsidRDefault="00AC1317" w:rsidP="0049643B">
      <w:pPr>
        <w:pStyle w:val="3Bodytext"/>
        <w:numPr>
          <w:ilvl w:val="0"/>
          <w:numId w:val="6"/>
        </w:numPr>
      </w:pPr>
      <w:r w:rsidRPr="00A033A3">
        <w:t>Severe active juvenile idiopathic arthritis</w:t>
      </w:r>
    </w:p>
    <w:p w14:paraId="2B758E04" w14:textId="77777777" w:rsidR="00531724" w:rsidRPr="00A033A3" w:rsidRDefault="00477BA0" w:rsidP="00C35F6B">
      <w:pPr>
        <w:pStyle w:val="3Bodytext"/>
        <w:numPr>
          <w:ilvl w:val="0"/>
          <w:numId w:val="0"/>
        </w:numPr>
        <w:ind w:left="720"/>
        <w:jc w:val="both"/>
      </w:pPr>
      <w:r w:rsidRPr="00A033A3">
        <w:lastRenderedPageBreak/>
        <w:t>T</w:t>
      </w:r>
      <w:r w:rsidR="00531724" w:rsidRPr="00A033A3">
        <w:t xml:space="preserve">he submission requested a listing for non-radiographic axial spondyloarthritis, </w:t>
      </w:r>
      <w:r w:rsidRPr="00A033A3">
        <w:t>which</w:t>
      </w:r>
      <w:r w:rsidR="00531724" w:rsidRPr="00A033A3">
        <w:t xml:space="preserve"> is not a </w:t>
      </w:r>
      <w:r w:rsidR="00533423" w:rsidRPr="00A033A3">
        <w:t>PBS-</w:t>
      </w:r>
      <w:r w:rsidR="00531724" w:rsidRPr="00A033A3">
        <w:t xml:space="preserve">listed indication for etanercept. </w:t>
      </w:r>
      <w:r w:rsidR="00533423" w:rsidRPr="00A033A3">
        <w:t>This request</w:t>
      </w:r>
      <w:r w:rsidRPr="00A033A3">
        <w:t xml:space="preserve"> would not be considered </w:t>
      </w:r>
      <w:r w:rsidR="00533423" w:rsidRPr="00A033A3">
        <w:t>in this submission because</w:t>
      </w:r>
      <w:r w:rsidRPr="00A033A3">
        <w:t xml:space="preserve"> </w:t>
      </w:r>
      <w:r w:rsidR="00792C5D" w:rsidRPr="00A033A3">
        <w:t xml:space="preserve">a </w:t>
      </w:r>
      <w:r w:rsidR="00533423" w:rsidRPr="00A033A3">
        <w:t>Category 4 submission is not an appropriate pathway for this type of request</w:t>
      </w:r>
      <w:r w:rsidRPr="00A033A3">
        <w:t xml:space="preserve">. </w:t>
      </w:r>
    </w:p>
    <w:p w14:paraId="57D5F06A" w14:textId="77777777" w:rsidR="00426DCC" w:rsidRPr="00A033A3" w:rsidRDefault="00426DCC" w:rsidP="00404BD8">
      <w:pPr>
        <w:pStyle w:val="3Bodytext"/>
        <w:spacing w:before="120"/>
        <w:jc w:val="both"/>
      </w:pPr>
      <w:r w:rsidRPr="00A033A3">
        <w:t>The submission claimed etanercept DDC will allow patients to overcome barriers observed with self-injection, reduce treatment non-adherence and consequently improve clinical outcomes through automating the subcutaneous injection with the SmartClic device</w:t>
      </w:r>
      <w:r w:rsidR="007A0B97" w:rsidRPr="00A033A3">
        <w:t xml:space="preserve"> which is provided with the DDC</w:t>
      </w:r>
      <w:r w:rsidRPr="00A033A3">
        <w:t>.</w:t>
      </w:r>
    </w:p>
    <w:p w14:paraId="4574FEDB" w14:textId="77777777" w:rsidR="004622EA" w:rsidRPr="00A033A3" w:rsidRDefault="004622EA" w:rsidP="00C35F6B">
      <w:pPr>
        <w:pStyle w:val="3Bodytext"/>
        <w:jc w:val="both"/>
        <w:rPr>
          <w:rFonts w:cstheme="minorHAnsi"/>
          <w:szCs w:val="24"/>
        </w:rPr>
      </w:pPr>
      <w:r w:rsidRPr="00A033A3">
        <w:t xml:space="preserve">An updated AMT form was provided by the </w:t>
      </w:r>
      <w:r w:rsidR="00437FAE" w:rsidRPr="00A033A3">
        <w:t xml:space="preserve">AMT Team </w:t>
      </w:r>
      <w:r w:rsidRPr="00A033A3">
        <w:t xml:space="preserve">during the evaluation of this submission. The MPP was </w:t>
      </w:r>
      <w:r w:rsidR="00437FAE" w:rsidRPr="00A033A3">
        <w:t xml:space="preserve">confirmed to be </w:t>
      </w:r>
      <w:r w:rsidR="007A0B97" w:rsidRPr="00A033A3">
        <w:t xml:space="preserve">different to the current listing: </w:t>
      </w:r>
      <w:r w:rsidRPr="00A033A3">
        <w:t>etanercept 50 mg/mL injection, 4 x 1 mL cartridges</w:t>
      </w:r>
      <w:r w:rsidR="00DE4B54" w:rsidRPr="00A033A3">
        <w:t xml:space="preserve">, which </w:t>
      </w:r>
      <w:r w:rsidR="007A0B97" w:rsidRPr="00A033A3">
        <w:t>was</w:t>
      </w:r>
      <w:r w:rsidR="00DE4B54" w:rsidRPr="00A033A3">
        <w:t xml:space="preserve"> </w:t>
      </w:r>
      <w:r w:rsidRPr="00A033A3">
        <w:t xml:space="preserve">appropriate. </w:t>
      </w:r>
      <w:r w:rsidR="007A0B97" w:rsidRPr="00A033A3">
        <w:t xml:space="preserve">The PBAC noted that </w:t>
      </w:r>
      <w:r w:rsidRPr="00A033A3">
        <w:t xml:space="preserve">etanercept DDC </w:t>
      </w:r>
      <w:r w:rsidR="007A0B97" w:rsidRPr="00A033A3">
        <w:t xml:space="preserve">would </w:t>
      </w:r>
      <w:r w:rsidRPr="00A033A3">
        <w:t xml:space="preserve">likely </w:t>
      </w:r>
      <w:r w:rsidR="00F948DB" w:rsidRPr="00A033A3">
        <w:t xml:space="preserve">be </w:t>
      </w:r>
      <w:r w:rsidRPr="00A033A3">
        <w:t>list</w:t>
      </w:r>
      <w:r w:rsidR="00F948DB" w:rsidRPr="00A033A3">
        <w:t>ed</w:t>
      </w:r>
      <w:r w:rsidRPr="00A033A3">
        <w:t xml:space="preserve"> under new PBS item code</w:t>
      </w:r>
      <w:r w:rsidR="00AE1E1C" w:rsidRPr="00A033A3">
        <w:t>s</w:t>
      </w:r>
      <w:r w:rsidRPr="00A033A3">
        <w:t xml:space="preserve">. </w:t>
      </w:r>
    </w:p>
    <w:p w14:paraId="3461E410" w14:textId="77777777" w:rsidR="00C7464E" w:rsidRPr="00A033A3" w:rsidRDefault="00A033A3" w:rsidP="00C35F6B">
      <w:pPr>
        <w:pStyle w:val="3Bodytext"/>
        <w:jc w:val="both"/>
      </w:pPr>
      <w:r>
        <w:t>During the evaluation, t</w:t>
      </w:r>
      <w:r w:rsidR="00DE4B54" w:rsidRPr="00A033A3">
        <w:t xml:space="preserve">he sponsor was requested to provide further information about the product labels and DDC instructions to </w:t>
      </w:r>
      <w:r w:rsidR="00B51899" w:rsidRPr="00A033A3">
        <w:t xml:space="preserve">provide clarity around </w:t>
      </w:r>
      <w:r w:rsidR="00DE4B54" w:rsidRPr="00A033A3">
        <w:t xml:space="preserve">how the DDC would be administered. </w:t>
      </w:r>
      <w:r w:rsidR="007D603B" w:rsidRPr="00A033A3">
        <w:t>In its pre-PBAC response</w:t>
      </w:r>
      <w:r w:rsidR="00DE4B54" w:rsidRPr="00A033A3">
        <w:t>,</w:t>
      </w:r>
      <w:r w:rsidR="007D603B" w:rsidRPr="00A033A3">
        <w:t xml:space="preserve"> t</w:t>
      </w:r>
      <w:r w:rsidR="00C7464E" w:rsidRPr="00A033A3">
        <w:t xml:space="preserve">he sponsor confirmed that there would be training information and instructions available for users to safely administer the DDC via the SmartClic device. In addition to information </w:t>
      </w:r>
      <w:r w:rsidR="00DE4B54" w:rsidRPr="00A033A3">
        <w:t xml:space="preserve">being </w:t>
      </w:r>
      <w:r w:rsidR="00C7464E" w:rsidRPr="00A033A3">
        <w:t xml:space="preserve">provided at the point of dispensing, there would be a nurse educator team available by appointment and a medicines information line available to assist users. </w:t>
      </w:r>
    </w:p>
    <w:p w14:paraId="2A76FEC0" w14:textId="77777777" w:rsidR="00964A9F" w:rsidRPr="00A033A3" w:rsidRDefault="00240E28" w:rsidP="00C35F6B">
      <w:pPr>
        <w:pStyle w:val="3Bodytext"/>
        <w:jc w:val="both"/>
      </w:pPr>
      <w:r w:rsidRPr="00A033A3">
        <w:t>In July 2016, the PBAC noted the potential for a quality use of medicines issue relating to differences in auto injector presentations of two brands of etanercept, Brenzys® and Enbrel®, but noted that any differences are likely to be minor and can be managed through regular patient education and counselling on the use of the devices that is provided to patients by prescribers and pharmacists.</w:t>
      </w:r>
    </w:p>
    <w:p w14:paraId="3217C36C" w14:textId="77777777" w:rsidR="00C27C1C" w:rsidRPr="00A033A3" w:rsidRDefault="00C27C1C" w:rsidP="00C27C1C">
      <w:pPr>
        <w:pStyle w:val="2-SectionHeading"/>
      </w:pPr>
      <w:r w:rsidRPr="00A033A3">
        <w:t xml:space="preserve">Comparator </w:t>
      </w:r>
    </w:p>
    <w:p w14:paraId="54B0DE80" w14:textId="77777777" w:rsidR="00C7639D" w:rsidRPr="00A033A3" w:rsidRDefault="00C27C1C" w:rsidP="00C35F6B">
      <w:pPr>
        <w:pStyle w:val="3Bodytext"/>
        <w:jc w:val="both"/>
      </w:pPr>
      <w:r w:rsidRPr="00A033A3">
        <w:t xml:space="preserve">The submission </w:t>
      </w:r>
      <w:r w:rsidR="00BE3622" w:rsidRPr="00A033A3">
        <w:t xml:space="preserve">nominated the </w:t>
      </w:r>
      <w:r w:rsidRPr="00A033A3">
        <w:t>currently listed</w:t>
      </w:r>
      <w:r w:rsidR="00A91E78" w:rsidRPr="00A033A3">
        <w:t xml:space="preserve"> etanercept </w:t>
      </w:r>
      <w:r w:rsidR="00B51899" w:rsidRPr="00A033A3">
        <w:t>PFS</w:t>
      </w:r>
      <w:r w:rsidRPr="00A033A3">
        <w:t xml:space="preserve"> </w:t>
      </w:r>
      <w:r w:rsidR="00BE3622" w:rsidRPr="00A033A3">
        <w:t>as the comparator to the DCC</w:t>
      </w:r>
      <w:r w:rsidRPr="00A033A3">
        <w:t>.</w:t>
      </w:r>
      <w:r w:rsidR="00EC66D9" w:rsidRPr="00A033A3">
        <w:t xml:space="preserve"> </w:t>
      </w:r>
      <w:r w:rsidR="00623805" w:rsidRPr="00A033A3">
        <w:t>It was noted the etanercept auto-injector could have also been a comparator, however, the syringe was appropriate.</w:t>
      </w:r>
    </w:p>
    <w:p w14:paraId="2054AD4B" w14:textId="77777777" w:rsidR="00C27C1C" w:rsidRPr="00A033A3" w:rsidRDefault="00C27C1C" w:rsidP="0085279D">
      <w:pPr>
        <w:pStyle w:val="2-SectionHeading"/>
      </w:pPr>
      <w:r w:rsidRPr="00A033A3">
        <w:t>Consideration of the evidence</w:t>
      </w:r>
    </w:p>
    <w:p w14:paraId="6B88D316" w14:textId="77777777" w:rsidR="00425B4A" w:rsidRPr="00A033A3" w:rsidRDefault="00425B4A" w:rsidP="00294CAF">
      <w:pPr>
        <w:pStyle w:val="4-SubsectionHeading"/>
      </w:pPr>
      <w:r w:rsidRPr="00A033A3">
        <w:t>Sponsor hearing</w:t>
      </w:r>
    </w:p>
    <w:p w14:paraId="7B16DFB6" w14:textId="77777777" w:rsidR="00425B4A" w:rsidRPr="00A033A3" w:rsidRDefault="00425B4A" w:rsidP="00425B4A">
      <w:pPr>
        <w:pStyle w:val="3Bodytext"/>
        <w:rPr>
          <w:lang w:eastAsia="en-US"/>
        </w:rPr>
      </w:pPr>
      <w:r w:rsidRPr="00A033A3">
        <w:rPr>
          <w:snapToGrid w:val="0"/>
        </w:rPr>
        <w:t>There was no hearing for this item.</w:t>
      </w:r>
    </w:p>
    <w:p w14:paraId="37913889" w14:textId="77777777" w:rsidR="00425B4A" w:rsidRPr="00A033A3" w:rsidRDefault="00425B4A" w:rsidP="00294CAF">
      <w:pPr>
        <w:pStyle w:val="4-SubsectionHeading"/>
      </w:pPr>
      <w:r w:rsidRPr="00A033A3">
        <w:t>Consumer comments</w:t>
      </w:r>
    </w:p>
    <w:p w14:paraId="5932BD81" w14:textId="77777777" w:rsidR="00425B4A" w:rsidRPr="00A033A3" w:rsidRDefault="00425B4A" w:rsidP="00425B4A">
      <w:pPr>
        <w:pStyle w:val="3Bodytext"/>
        <w:rPr>
          <w:lang w:eastAsia="en-US"/>
        </w:rPr>
      </w:pPr>
      <w:r w:rsidRPr="00A033A3">
        <w:rPr>
          <w:snapToGrid w:val="0"/>
        </w:rPr>
        <w:t xml:space="preserve">The PBAC noted that </w:t>
      </w:r>
      <w:r w:rsidR="00A033A3">
        <w:rPr>
          <w:snapToGrid w:val="0"/>
        </w:rPr>
        <w:t xml:space="preserve">this item received </w:t>
      </w:r>
      <w:r w:rsidRPr="00A033A3">
        <w:rPr>
          <w:snapToGrid w:val="0"/>
        </w:rPr>
        <w:t>no consumer comments</w:t>
      </w:r>
      <w:r w:rsidR="00341384" w:rsidRPr="00A033A3">
        <w:rPr>
          <w:snapToGrid w:val="0"/>
        </w:rPr>
        <w:t>.</w:t>
      </w:r>
    </w:p>
    <w:p w14:paraId="0A9CE09F" w14:textId="77777777" w:rsidR="00C27C1C" w:rsidRPr="00A033A3" w:rsidRDefault="00C27C1C" w:rsidP="00294CAF">
      <w:pPr>
        <w:pStyle w:val="4-SubsectionHeading"/>
      </w:pPr>
      <w:r w:rsidRPr="00A033A3">
        <w:t>Clinical claim</w:t>
      </w:r>
    </w:p>
    <w:p w14:paraId="3F61F6AC" w14:textId="77777777" w:rsidR="00C9690D" w:rsidRPr="00A033A3" w:rsidRDefault="00C27C1C" w:rsidP="00C35F6B">
      <w:pPr>
        <w:pStyle w:val="3Bodytext"/>
        <w:jc w:val="both"/>
      </w:pPr>
      <w:r w:rsidRPr="00A033A3">
        <w:t xml:space="preserve">The submission </w:t>
      </w:r>
      <w:r w:rsidR="00623805" w:rsidRPr="00A033A3">
        <w:t xml:space="preserve">inferred </w:t>
      </w:r>
      <w:r w:rsidRPr="00A033A3">
        <w:t>non-inferior comparative effectiveness and non-inferior comparative safety of</w:t>
      </w:r>
      <w:r w:rsidR="00917133" w:rsidRPr="00A033A3">
        <w:t xml:space="preserve"> etanercept DDC </w:t>
      </w:r>
      <w:r w:rsidR="00B210A2" w:rsidRPr="00A033A3">
        <w:t>in</w:t>
      </w:r>
      <w:r w:rsidR="00923AA4" w:rsidRPr="00A033A3">
        <w:t xml:space="preserve"> comparison with</w:t>
      </w:r>
      <w:r w:rsidRPr="00A033A3">
        <w:t xml:space="preserve"> </w:t>
      </w:r>
      <w:r w:rsidR="00917133" w:rsidRPr="00A033A3">
        <w:t xml:space="preserve">etanercept </w:t>
      </w:r>
      <w:r w:rsidR="00D85D20" w:rsidRPr="00A033A3">
        <w:t>PFS</w:t>
      </w:r>
      <w:r w:rsidR="00917133" w:rsidRPr="00A033A3">
        <w:t xml:space="preserve">. </w:t>
      </w:r>
    </w:p>
    <w:p w14:paraId="2C410631" w14:textId="77777777" w:rsidR="00AD3928" w:rsidRPr="00A033A3" w:rsidRDefault="00425B4A" w:rsidP="0049643B">
      <w:pPr>
        <w:pStyle w:val="3Bodytext"/>
        <w:rPr>
          <w:color w:val="000000" w:themeColor="text1"/>
        </w:rPr>
      </w:pPr>
      <w:r w:rsidRPr="00A033A3">
        <w:lastRenderedPageBreak/>
        <w:t xml:space="preserve">The PBAC considered </w:t>
      </w:r>
      <w:r w:rsidR="00B51899" w:rsidRPr="00A033A3">
        <w:t xml:space="preserve">that etanercept DDC was </w:t>
      </w:r>
      <w:r w:rsidRPr="00A033A3">
        <w:t xml:space="preserve">non-inferior </w:t>
      </w:r>
      <w:r w:rsidR="00B51899" w:rsidRPr="00A033A3">
        <w:t xml:space="preserve">in terms of </w:t>
      </w:r>
      <w:r w:rsidRPr="00A033A3">
        <w:t xml:space="preserve">comparative effectiveness </w:t>
      </w:r>
      <w:r w:rsidR="00DE4B54" w:rsidRPr="00A033A3">
        <w:t xml:space="preserve">and safety </w:t>
      </w:r>
      <w:r w:rsidR="00B51899" w:rsidRPr="00A033A3">
        <w:t xml:space="preserve">to etanercept PFS based on the TGA </w:t>
      </w:r>
      <w:r w:rsidR="00E604B7" w:rsidRPr="00A033A3">
        <w:t>approval</w:t>
      </w:r>
      <w:r w:rsidR="00B51899" w:rsidRPr="00A033A3">
        <w:t>.</w:t>
      </w:r>
    </w:p>
    <w:p w14:paraId="55975A3E" w14:textId="77777777" w:rsidR="00C27C1C" w:rsidRPr="00A033A3" w:rsidRDefault="00601C1C" w:rsidP="00294CAF">
      <w:pPr>
        <w:pStyle w:val="4-SubsectionHeading"/>
      </w:pPr>
      <w:r w:rsidRPr="00A033A3">
        <w:t>Pricing Considerations</w:t>
      </w:r>
    </w:p>
    <w:p w14:paraId="2A6DF190" w14:textId="77777777" w:rsidR="00EF4580" w:rsidRPr="00A033A3" w:rsidRDefault="003314C4" w:rsidP="00C35F6B">
      <w:pPr>
        <w:pStyle w:val="3Bodytext"/>
        <w:jc w:val="both"/>
        <w:rPr>
          <w:rFonts w:cstheme="minorHAnsi"/>
          <w:szCs w:val="24"/>
        </w:rPr>
      </w:pPr>
      <w:r w:rsidRPr="00A033A3">
        <w:t xml:space="preserve">The </w:t>
      </w:r>
      <w:r w:rsidR="007553A2" w:rsidRPr="00A033A3">
        <w:t>sponsor</w:t>
      </w:r>
      <w:r w:rsidRPr="00A033A3">
        <w:t xml:space="preserve"> </w:t>
      </w:r>
      <w:r w:rsidR="00601C1C" w:rsidRPr="00A033A3">
        <w:t>propose</w:t>
      </w:r>
      <w:r w:rsidR="005B0B9E" w:rsidRPr="00A033A3">
        <w:t>d</w:t>
      </w:r>
      <w:r w:rsidR="00601C1C" w:rsidRPr="00A033A3">
        <w:t xml:space="preserve"> an </w:t>
      </w:r>
      <w:r w:rsidR="00584CBD" w:rsidRPr="00A033A3">
        <w:t xml:space="preserve">approved </w:t>
      </w:r>
      <w:r w:rsidR="00601C1C" w:rsidRPr="00A033A3">
        <w:t>ex-manufacturer price</w:t>
      </w:r>
      <w:r w:rsidR="000C4E91" w:rsidRPr="00A033A3">
        <w:t xml:space="preserve"> (AEMP)</w:t>
      </w:r>
      <w:r w:rsidR="00601C1C" w:rsidRPr="00A033A3">
        <w:t xml:space="preserve"> of $939.25 for </w:t>
      </w:r>
      <w:r w:rsidR="00D85D20" w:rsidRPr="00A033A3">
        <w:t>etanercept DDC</w:t>
      </w:r>
      <w:r w:rsidR="00601C1C" w:rsidRPr="00A033A3">
        <w:t>, which is equivalent to</w:t>
      </w:r>
      <w:r w:rsidR="00B7754C" w:rsidRPr="00A033A3">
        <w:t xml:space="preserve"> the price for</w:t>
      </w:r>
      <w:r w:rsidR="00601C1C" w:rsidRPr="00A033A3">
        <w:t xml:space="preserve"> etanercept </w:t>
      </w:r>
      <w:r w:rsidR="00D85D20" w:rsidRPr="00A033A3">
        <w:t>PFS</w:t>
      </w:r>
      <w:r w:rsidR="00623805" w:rsidRPr="00A033A3">
        <w:t xml:space="preserve"> and auto-injector </w:t>
      </w:r>
      <w:r w:rsidR="00601C1C" w:rsidRPr="00A033A3">
        <w:t xml:space="preserve">currently listed on the PBS. </w:t>
      </w:r>
    </w:p>
    <w:p w14:paraId="56D8F083" w14:textId="77777777" w:rsidR="002F6F0F" w:rsidRPr="00A033A3" w:rsidRDefault="00F85206" w:rsidP="00294CAF">
      <w:pPr>
        <w:pStyle w:val="4-SubsectionHeading"/>
      </w:pPr>
      <w:r w:rsidRPr="00A033A3">
        <w:t>Estimated PBS u</w:t>
      </w:r>
      <w:r w:rsidR="002F6F0F" w:rsidRPr="00A033A3">
        <w:t>tilisation</w:t>
      </w:r>
      <w:r w:rsidRPr="00A033A3">
        <w:t xml:space="preserve"> and financial implications</w:t>
      </w:r>
    </w:p>
    <w:p w14:paraId="5B8FAB34" w14:textId="77777777" w:rsidR="002F6F0F" w:rsidRPr="00A033A3" w:rsidRDefault="00923AA4" w:rsidP="00C35F6B">
      <w:pPr>
        <w:pStyle w:val="3Bodytext"/>
        <w:jc w:val="both"/>
      </w:pPr>
      <w:r w:rsidRPr="00A033A3">
        <w:rPr>
          <w:lang w:eastAsia="en-US"/>
        </w:rPr>
        <w:t>The submission predict</w:t>
      </w:r>
      <w:r w:rsidR="00AA0E0D" w:rsidRPr="00A033A3">
        <w:rPr>
          <w:lang w:eastAsia="en-US"/>
        </w:rPr>
        <w:t>ed</w:t>
      </w:r>
      <w:r w:rsidRPr="00A033A3">
        <w:rPr>
          <w:lang w:eastAsia="en-US"/>
        </w:rPr>
        <w:t xml:space="preserve"> that</w:t>
      </w:r>
      <w:r w:rsidR="00D85D20" w:rsidRPr="00A033A3">
        <w:rPr>
          <w:lang w:eastAsia="en-US"/>
        </w:rPr>
        <w:t xml:space="preserve"> </w:t>
      </w:r>
      <w:r w:rsidR="002C367C" w:rsidRPr="00A033A3">
        <w:rPr>
          <w:lang w:eastAsia="en-US"/>
        </w:rPr>
        <w:t xml:space="preserve">listing </w:t>
      </w:r>
      <w:r w:rsidR="00D85D20" w:rsidRPr="00A033A3">
        <w:rPr>
          <w:lang w:eastAsia="en-US"/>
        </w:rPr>
        <w:t>the</w:t>
      </w:r>
      <w:r w:rsidR="002C367C" w:rsidRPr="00A033A3">
        <w:rPr>
          <w:lang w:eastAsia="en-US"/>
        </w:rPr>
        <w:t xml:space="preserve"> </w:t>
      </w:r>
      <w:r w:rsidR="00D85D20" w:rsidRPr="00A033A3">
        <w:rPr>
          <w:lang w:eastAsia="en-US"/>
        </w:rPr>
        <w:t>etanercept D</w:t>
      </w:r>
      <w:r w:rsidR="002C367C" w:rsidRPr="00A033A3">
        <w:rPr>
          <w:lang w:eastAsia="en-US"/>
        </w:rPr>
        <w:t xml:space="preserve">DC </w:t>
      </w:r>
      <w:r w:rsidR="00D85D20" w:rsidRPr="00A033A3">
        <w:rPr>
          <w:lang w:eastAsia="en-US"/>
        </w:rPr>
        <w:t xml:space="preserve">on the PBS </w:t>
      </w:r>
      <w:r w:rsidR="002C367C" w:rsidRPr="00A033A3">
        <w:rPr>
          <w:lang w:eastAsia="en-US"/>
        </w:rPr>
        <w:t>will most likely replace</w:t>
      </w:r>
      <w:r w:rsidR="00D85D20" w:rsidRPr="00A033A3">
        <w:rPr>
          <w:lang w:eastAsia="en-US"/>
        </w:rPr>
        <w:t xml:space="preserve"> the PFS and auto-injector</w:t>
      </w:r>
      <w:r w:rsidR="002C367C" w:rsidRPr="00A033A3">
        <w:rPr>
          <w:lang w:eastAsia="en-US"/>
        </w:rPr>
        <w:t xml:space="preserve"> presentations of etanercept currently listed</w:t>
      </w:r>
      <w:r w:rsidR="00AA0E0D" w:rsidRPr="00A033A3">
        <w:rPr>
          <w:lang w:eastAsia="en-US"/>
        </w:rPr>
        <w:t xml:space="preserve"> and therefore </w:t>
      </w:r>
      <w:r w:rsidR="002C367C" w:rsidRPr="00A033A3">
        <w:t xml:space="preserve">will </w:t>
      </w:r>
      <w:r w:rsidR="00AA0E0D" w:rsidRPr="00A033A3">
        <w:t xml:space="preserve">not </w:t>
      </w:r>
      <w:r w:rsidR="002C367C" w:rsidRPr="00A033A3">
        <w:t>change the overall usage of etanercept on the PBS.</w:t>
      </w:r>
      <w:r w:rsidR="00D40315" w:rsidRPr="00A033A3">
        <w:t xml:space="preserve"> </w:t>
      </w:r>
      <w:r w:rsidR="000B7702" w:rsidRPr="00A033A3">
        <w:rPr>
          <w:lang w:eastAsia="en-US"/>
        </w:rPr>
        <w:t>The submission estimate</w:t>
      </w:r>
      <w:r w:rsidR="0008453B" w:rsidRPr="00A033A3">
        <w:rPr>
          <w:lang w:eastAsia="en-US"/>
        </w:rPr>
        <w:t>d</w:t>
      </w:r>
      <w:r w:rsidR="000B7702" w:rsidRPr="00A033A3">
        <w:rPr>
          <w:lang w:eastAsia="en-US"/>
        </w:rPr>
        <w:t xml:space="preserve"> th</w:t>
      </w:r>
      <w:r w:rsidR="00A033A3">
        <w:rPr>
          <w:lang w:eastAsia="en-US"/>
        </w:rPr>
        <w:t xml:space="preserve">ere would be nil </w:t>
      </w:r>
      <w:r w:rsidR="000B7702" w:rsidRPr="00A033A3">
        <w:rPr>
          <w:lang w:eastAsia="en-US"/>
        </w:rPr>
        <w:t xml:space="preserve">net financial impact to the PBS. </w:t>
      </w:r>
    </w:p>
    <w:p w14:paraId="31A7CD06" w14:textId="77777777" w:rsidR="0077288B" w:rsidRPr="00A033A3" w:rsidRDefault="00A033A3" w:rsidP="00C35F6B">
      <w:pPr>
        <w:pStyle w:val="3Bodytext"/>
        <w:jc w:val="both"/>
      </w:pPr>
      <w:r>
        <w:rPr>
          <w:lang w:eastAsia="en-US"/>
        </w:rPr>
        <w:t xml:space="preserve">The submission </w:t>
      </w:r>
      <w:r w:rsidR="0068668D">
        <w:rPr>
          <w:lang w:eastAsia="en-US"/>
        </w:rPr>
        <w:t xml:space="preserve">overview </w:t>
      </w:r>
      <w:r w:rsidR="0077288B" w:rsidRPr="00A033A3">
        <w:rPr>
          <w:lang w:eastAsia="en-US"/>
        </w:rPr>
        <w:t xml:space="preserve">noted that the DDC requires the </w:t>
      </w:r>
      <w:r w:rsidR="0077288B" w:rsidRPr="00A033A3">
        <w:t>SmartClic device and needles</w:t>
      </w:r>
      <w:r w:rsidR="0077288B" w:rsidRPr="00A033A3">
        <w:rPr>
          <w:lang w:eastAsia="en-US"/>
        </w:rPr>
        <w:t xml:space="preserve"> for etanercept to be administered. </w:t>
      </w:r>
      <w:r w:rsidR="002A3217" w:rsidRPr="00A033A3">
        <w:rPr>
          <w:lang w:eastAsia="en-US"/>
        </w:rPr>
        <w:t>In its pre-PBAC</w:t>
      </w:r>
      <w:r w:rsidR="000F1318">
        <w:rPr>
          <w:lang w:eastAsia="en-US"/>
        </w:rPr>
        <w:t xml:space="preserve"> </w:t>
      </w:r>
      <w:r w:rsidR="002A3217" w:rsidRPr="00A033A3">
        <w:rPr>
          <w:lang w:eastAsia="en-US"/>
        </w:rPr>
        <w:t>response</w:t>
      </w:r>
      <w:r w:rsidR="000F1318">
        <w:rPr>
          <w:lang w:eastAsia="en-US"/>
        </w:rPr>
        <w:t>,</w:t>
      </w:r>
      <w:r w:rsidR="002A3217" w:rsidRPr="00A033A3">
        <w:rPr>
          <w:lang w:eastAsia="en-US"/>
        </w:rPr>
        <w:t xml:space="preserve"> the sponsor confirmed that the </w:t>
      </w:r>
      <w:r w:rsidR="0068668D">
        <w:rPr>
          <w:lang w:eastAsia="en-US"/>
        </w:rPr>
        <w:t xml:space="preserve">DDC contained both the needle and etanercept solution. The pre-PBAC response also noted that the </w:t>
      </w:r>
      <w:r w:rsidR="002A3217" w:rsidRPr="00A033A3">
        <w:rPr>
          <w:lang w:eastAsia="en-US"/>
        </w:rPr>
        <w:t xml:space="preserve">SmartClic device </w:t>
      </w:r>
      <w:r w:rsidR="005C540A" w:rsidRPr="00A033A3">
        <w:rPr>
          <w:lang w:eastAsia="en-US"/>
        </w:rPr>
        <w:t xml:space="preserve">and needles </w:t>
      </w:r>
      <w:r w:rsidR="002A3217" w:rsidRPr="00A033A3">
        <w:rPr>
          <w:lang w:eastAsia="en-US"/>
        </w:rPr>
        <w:t xml:space="preserve">would be provided to patients free of charge. The sponsor confirmed that it does not anticipate the listing of the DDC on the PBS to result in any out of pocket expenses to the patient. </w:t>
      </w:r>
    </w:p>
    <w:p w14:paraId="0D711E93" w14:textId="77777777" w:rsidR="00AD3928" w:rsidRPr="00A033A3" w:rsidRDefault="004A417A" w:rsidP="00AD3928">
      <w:pPr>
        <w:pStyle w:val="3Bodytext"/>
        <w:numPr>
          <w:ilvl w:val="0"/>
          <w:numId w:val="0"/>
        </w:numPr>
        <w:ind w:left="720"/>
        <w:jc w:val="both"/>
        <w:rPr>
          <w:color w:val="000000" w:themeColor="text1"/>
        </w:rPr>
      </w:pPr>
      <w:r w:rsidRPr="00A033A3">
        <w:rPr>
          <w:i/>
        </w:rPr>
        <w:t>For more detail on PBAC’s view, see section 6 PBAC outcome.</w:t>
      </w:r>
    </w:p>
    <w:p w14:paraId="47AE9424" w14:textId="77777777" w:rsidR="00C40F8B" w:rsidRPr="00A033A3" w:rsidRDefault="00C40F8B" w:rsidP="0085279D">
      <w:pPr>
        <w:pStyle w:val="2-SectionHeading"/>
      </w:pPr>
      <w:r w:rsidRPr="00A033A3">
        <w:rPr>
          <w:rStyle w:val="1MainTitleChar"/>
          <w:rFonts w:cs="Arial"/>
          <w:b/>
          <w:spacing w:val="0"/>
          <w:kern w:val="0"/>
          <w:sz w:val="32"/>
          <w:szCs w:val="32"/>
        </w:rPr>
        <w:t>PBAC Outc</w:t>
      </w:r>
      <w:r w:rsidRPr="00A033A3">
        <w:t>ome</w:t>
      </w:r>
    </w:p>
    <w:p w14:paraId="0F75FF66" w14:textId="77777777" w:rsidR="00C40F8B" w:rsidRPr="00A033A3" w:rsidRDefault="00C40F8B" w:rsidP="00F52F82">
      <w:pPr>
        <w:pStyle w:val="3Bodytext"/>
        <w:jc w:val="both"/>
        <w:rPr>
          <w:rFonts w:eastAsia="Calibri"/>
          <w:lang w:eastAsia="en-US"/>
        </w:rPr>
      </w:pPr>
      <w:r w:rsidRPr="004C6340">
        <w:rPr>
          <w:bCs/>
          <w:snapToGrid w:val="0"/>
        </w:rPr>
        <w:t xml:space="preserve">The PBAC recommended the listing of </w:t>
      </w:r>
      <w:r w:rsidR="007B6025" w:rsidRPr="00A033A3">
        <w:rPr>
          <w:rFonts w:cstheme="minorHAnsi"/>
        </w:rPr>
        <w:t xml:space="preserve">etanercept </w:t>
      </w:r>
      <w:r w:rsidR="005C540A" w:rsidRPr="00A033A3">
        <w:rPr>
          <w:rFonts w:cstheme="minorHAnsi"/>
          <w:szCs w:val="24"/>
        </w:rPr>
        <w:t>i</w:t>
      </w:r>
      <w:r w:rsidR="005C540A" w:rsidRPr="00A033A3">
        <w:rPr>
          <w:rFonts w:eastAsia="Calibri"/>
          <w:lang w:eastAsia="en-US"/>
        </w:rPr>
        <w:t>njection 50 mg in 1 mL single use dose-dispenser cartridges, 4 (</w:t>
      </w:r>
      <w:r w:rsidR="005C540A" w:rsidRPr="00462013">
        <w:rPr>
          <w:rFonts w:cstheme="minorHAnsi"/>
          <w:szCs w:val="24"/>
        </w:rPr>
        <w:t>etanercept DDC)</w:t>
      </w:r>
      <w:r w:rsidRPr="004C6340">
        <w:rPr>
          <w:bCs/>
          <w:snapToGrid w:val="0"/>
        </w:rPr>
        <w:t xml:space="preserve"> on the basis that it should be</w:t>
      </w:r>
      <w:r w:rsidR="00096735" w:rsidRPr="004C6340">
        <w:rPr>
          <w:bCs/>
          <w:snapToGrid w:val="0"/>
        </w:rPr>
        <w:t xml:space="preserve"> made</w:t>
      </w:r>
      <w:r w:rsidRPr="004C6340">
        <w:rPr>
          <w:bCs/>
          <w:snapToGrid w:val="0"/>
        </w:rPr>
        <w:t xml:space="preserve"> available </w:t>
      </w:r>
      <w:r w:rsidR="00B34477" w:rsidRPr="004C6340">
        <w:rPr>
          <w:bCs/>
          <w:snapToGrid w:val="0"/>
        </w:rPr>
        <w:t>for the same indications under</w:t>
      </w:r>
      <w:r w:rsidR="00096735" w:rsidRPr="004C6340">
        <w:rPr>
          <w:bCs/>
          <w:snapToGrid w:val="0"/>
        </w:rPr>
        <w:t xml:space="preserve"> </w:t>
      </w:r>
      <w:r w:rsidR="00043604" w:rsidRPr="004C6340">
        <w:rPr>
          <w:bCs/>
          <w:snapToGrid w:val="0"/>
        </w:rPr>
        <w:t xml:space="preserve">both </w:t>
      </w:r>
      <w:r w:rsidR="00043604" w:rsidRPr="00A033A3">
        <w:rPr>
          <w:rFonts w:cstheme="minorHAnsi"/>
        </w:rPr>
        <w:t xml:space="preserve">General Schedule and Section 100 (Highly Specialised Drugs Program) </w:t>
      </w:r>
      <w:r w:rsidR="00096735" w:rsidRPr="00A033A3">
        <w:rPr>
          <w:rFonts w:cstheme="minorHAnsi"/>
        </w:rPr>
        <w:t xml:space="preserve">as the currently listed etanercept </w:t>
      </w:r>
      <w:r w:rsidR="00DB03D5" w:rsidRPr="00462013">
        <w:rPr>
          <w:rFonts w:eastAsia="Calibri"/>
          <w:lang w:eastAsia="en-US"/>
        </w:rPr>
        <w:t xml:space="preserve">injection 50 mg in 1 mL single use pre-filled syringes, 4 (etanercept </w:t>
      </w:r>
      <w:r w:rsidR="00DB03D5" w:rsidRPr="00A033A3">
        <w:rPr>
          <w:rFonts w:cstheme="minorHAnsi"/>
          <w:szCs w:val="24"/>
        </w:rPr>
        <w:t>PFS).</w:t>
      </w:r>
      <w:r w:rsidR="00F52F82" w:rsidRPr="00A033A3">
        <w:rPr>
          <w:rFonts w:cstheme="minorHAnsi"/>
          <w:szCs w:val="24"/>
        </w:rPr>
        <w:t xml:space="preserve"> The PBAC’s recommendation for listing was based on, among other matters, its assessment that the cost-effectiveness of etanercept DDC would be acceptable if it were cost-minimised to </w:t>
      </w:r>
      <w:r w:rsidR="00F52F82" w:rsidRPr="00A033A3">
        <w:rPr>
          <w:rFonts w:eastAsia="Calibri"/>
          <w:lang w:eastAsia="en-US"/>
        </w:rPr>
        <w:t xml:space="preserve">etanercept </w:t>
      </w:r>
      <w:r w:rsidR="00F52F82" w:rsidRPr="00A033A3">
        <w:rPr>
          <w:rFonts w:cstheme="minorHAnsi"/>
          <w:szCs w:val="24"/>
        </w:rPr>
        <w:t>PFS.</w:t>
      </w:r>
    </w:p>
    <w:p w14:paraId="3CD3A91F" w14:textId="77777777" w:rsidR="00C40F8B" w:rsidRPr="004C6340" w:rsidRDefault="00096735" w:rsidP="00B7754C">
      <w:pPr>
        <w:widowControl w:val="0"/>
        <w:numPr>
          <w:ilvl w:val="1"/>
          <w:numId w:val="1"/>
        </w:numPr>
        <w:spacing w:after="120"/>
        <w:rPr>
          <w:rFonts w:asciiTheme="minorHAnsi" w:hAnsiTheme="minorHAnsi" w:cs="Arial"/>
          <w:bCs/>
          <w:snapToGrid w:val="0"/>
        </w:rPr>
      </w:pPr>
      <w:r w:rsidRPr="00A033A3">
        <w:rPr>
          <w:rFonts w:cs="Arial"/>
          <w:bCs/>
          <w:snapToGrid w:val="0"/>
        </w:rPr>
        <w:t>The PBAC advised the equi-effective doses of etanercept DDC and etanercept PFS are: 50 milligrams</w:t>
      </w:r>
      <w:r w:rsidRPr="00A033A3">
        <w:t xml:space="preserve"> of etanercept DDC = 50 milligrams of etanercept PFS.</w:t>
      </w:r>
    </w:p>
    <w:p w14:paraId="1F0BE587" w14:textId="77777777" w:rsidR="00C40F8B" w:rsidRPr="004C6340" w:rsidRDefault="00096735" w:rsidP="00B7754C">
      <w:pPr>
        <w:pStyle w:val="3Bodytext"/>
        <w:jc w:val="both"/>
        <w:rPr>
          <w:rFonts w:cs="Arial"/>
          <w:bCs/>
          <w:snapToGrid w:val="0"/>
        </w:rPr>
      </w:pPr>
      <w:r w:rsidRPr="004C6340">
        <w:rPr>
          <w:rFonts w:cs="Arial"/>
          <w:bCs/>
          <w:snapToGrid w:val="0"/>
        </w:rPr>
        <w:t xml:space="preserve">The PBAC noted that </w:t>
      </w:r>
      <w:r w:rsidR="00B34477" w:rsidRPr="004C6340">
        <w:rPr>
          <w:rFonts w:cs="Arial"/>
          <w:bCs/>
          <w:snapToGrid w:val="0"/>
        </w:rPr>
        <w:t xml:space="preserve">the </w:t>
      </w:r>
      <w:r w:rsidRPr="004C6340">
        <w:rPr>
          <w:rFonts w:cs="Arial"/>
          <w:bCs/>
          <w:snapToGrid w:val="0"/>
        </w:rPr>
        <w:t xml:space="preserve">etanercept DDC </w:t>
      </w:r>
      <w:r w:rsidR="00DB03D5" w:rsidRPr="004C6340">
        <w:rPr>
          <w:rFonts w:eastAsia="Times New Roman" w:cs="Arial"/>
          <w:bCs/>
          <w:snapToGrid w:val="0"/>
          <w:szCs w:val="24"/>
        </w:rPr>
        <w:t>was TGA approved on the basis that the only differences between the DDC and the currently registered PFS and auto-injector are the introduction of a new container, i.e. a dose-dispenser cartridge</w:t>
      </w:r>
      <w:r w:rsidRPr="00A033A3">
        <w:rPr>
          <w:rFonts w:cstheme="minorHAnsi"/>
        </w:rPr>
        <w:t>.</w:t>
      </w:r>
      <w:r w:rsidR="00C40F8B" w:rsidRPr="004C6340">
        <w:rPr>
          <w:rFonts w:cs="Arial"/>
          <w:bCs/>
          <w:snapToGrid w:val="0"/>
        </w:rPr>
        <w:t xml:space="preserve"> </w:t>
      </w:r>
    </w:p>
    <w:p w14:paraId="267128A9" w14:textId="77777777" w:rsidR="00D05C2C" w:rsidRPr="004C6340" w:rsidRDefault="00D05C2C" w:rsidP="00B7754C">
      <w:pPr>
        <w:widowControl w:val="0"/>
        <w:numPr>
          <w:ilvl w:val="1"/>
          <w:numId w:val="1"/>
        </w:numPr>
        <w:spacing w:after="120"/>
        <w:rPr>
          <w:rFonts w:asciiTheme="minorHAnsi" w:hAnsiTheme="minorHAnsi" w:cs="Arial"/>
          <w:bCs/>
          <w:snapToGrid w:val="0"/>
        </w:rPr>
      </w:pPr>
      <w:r w:rsidRPr="004C6340">
        <w:rPr>
          <w:rFonts w:asciiTheme="minorHAnsi" w:hAnsiTheme="minorHAnsi" w:cs="Arial"/>
          <w:bCs/>
          <w:snapToGrid w:val="0"/>
        </w:rPr>
        <w:t>The PBAC accepted the currently listed etanercept PFS as an appropriate comparator and noted that the auto-injector would also have been appropriate.</w:t>
      </w:r>
    </w:p>
    <w:p w14:paraId="5E31B335" w14:textId="77777777" w:rsidR="006B08D7" w:rsidRPr="00FD302B" w:rsidRDefault="006B08D7" w:rsidP="006B08D7">
      <w:pPr>
        <w:pStyle w:val="3Bodytext"/>
        <w:jc w:val="both"/>
        <w:rPr>
          <w:bCs/>
          <w:snapToGrid w:val="0"/>
        </w:rPr>
      </w:pPr>
      <w:r w:rsidRPr="00A033A3">
        <w:t xml:space="preserve">The PBAC advised that </w:t>
      </w:r>
      <w:r w:rsidRPr="00462013">
        <w:t xml:space="preserve">under Section 101(4AACD) of the </w:t>
      </w:r>
      <w:r w:rsidRPr="00A033A3">
        <w:rPr>
          <w:i/>
        </w:rPr>
        <w:t>National Health Act 1953</w:t>
      </w:r>
      <w:r w:rsidRPr="00A033A3">
        <w:t xml:space="preserve">, in the Schedule of Pharmaceutical Benefits, </w:t>
      </w:r>
      <w:r w:rsidRPr="00CA3292">
        <w:t>the same strengths of</w:t>
      </w:r>
      <w:r>
        <w:t xml:space="preserve"> </w:t>
      </w:r>
      <w:r w:rsidRPr="00A033A3">
        <w:t>etanercept DDC</w:t>
      </w:r>
      <w:r w:rsidRPr="002803D5">
        <w:t>, etanercept PFS and etanercept auto-injector</w:t>
      </w:r>
      <w:r w:rsidRPr="00A033A3">
        <w:t xml:space="preserve"> should be considered equivalent at the </w:t>
      </w:r>
      <w:r w:rsidRPr="00A033A3">
        <w:lastRenderedPageBreak/>
        <w:t>pharmacy level (i.e. ‘a’-flagged in the Schedule) for the purpose of substitution</w:t>
      </w:r>
      <w:r w:rsidRPr="005B30DA">
        <w:t>.</w:t>
      </w:r>
      <w:r w:rsidRPr="00A033A3">
        <w:t xml:space="preserve"> </w:t>
      </w:r>
      <w:r w:rsidRPr="004C6340">
        <w:rPr>
          <w:bCs/>
          <w:snapToGrid w:val="0"/>
        </w:rPr>
        <w:t>The PBAC was satisfied that the differences in administration techniques of the DDC</w:t>
      </w:r>
      <w:r>
        <w:rPr>
          <w:bCs/>
          <w:snapToGrid w:val="0"/>
        </w:rPr>
        <w:t>,</w:t>
      </w:r>
      <w:r w:rsidRPr="004C6340">
        <w:rPr>
          <w:bCs/>
          <w:snapToGrid w:val="0"/>
        </w:rPr>
        <w:t xml:space="preserve"> PFS and auto-injector would be appropriately managed based on </w:t>
      </w:r>
      <w:r w:rsidRPr="004C6340">
        <w:rPr>
          <w:bCs/>
          <w:snapToGrid w:val="0"/>
          <w:szCs w:val="24"/>
        </w:rPr>
        <w:t xml:space="preserve">the information provided at the point of dispensing as well as additional educational resources such as nurse educators and a medicines information line to assist patients to overcome any quality </w:t>
      </w:r>
      <w:r w:rsidRPr="004C6340">
        <w:rPr>
          <w:bCs/>
          <w:snapToGrid w:val="0"/>
        </w:rPr>
        <w:t>use</w:t>
      </w:r>
      <w:r w:rsidRPr="004C6340">
        <w:rPr>
          <w:bCs/>
          <w:snapToGrid w:val="0"/>
          <w:szCs w:val="24"/>
        </w:rPr>
        <w:t xml:space="preserve"> of medicines issue and safely administer the device</w:t>
      </w:r>
      <w:r w:rsidRPr="00B316FC">
        <w:rPr>
          <w:bCs/>
          <w:snapToGrid w:val="0"/>
          <w:szCs w:val="24"/>
        </w:rPr>
        <w:t>s</w:t>
      </w:r>
      <w:r w:rsidRPr="004C6340">
        <w:rPr>
          <w:bCs/>
          <w:snapToGrid w:val="0"/>
          <w:szCs w:val="24"/>
        </w:rPr>
        <w:t>.</w:t>
      </w:r>
    </w:p>
    <w:p w14:paraId="33B4F3F6" w14:textId="77777777" w:rsidR="003F5386" w:rsidRPr="004C6340" w:rsidRDefault="003F5386" w:rsidP="00B7754C">
      <w:pPr>
        <w:pStyle w:val="3Bodytext"/>
        <w:jc w:val="both"/>
        <w:rPr>
          <w:rFonts w:cs="Arial"/>
          <w:bCs/>
          <w:snapToGrid w:val="0"/>
        </w:rPr>
      </w:pPr>
      <w:r w:rsidRPr="004C6340">
        <w:rPr>
          <w:rFonts w:cs="Arial"/>
          <w:bCs/>
          <w:snapToGrid w:val="0"/>
        </w:rPr>
        <w:t xml:space="preserve">The PBAC noted </w:t>
      </w:r>
      <w:r w:rsidR="0091297D" w:rsidRPr="004C6340">
        <w:rPr>
          <w:rFonts w:cs="Arial"/>
          <w:bCs/>
          <w:snapToGrid w:val="0"/>
        </w:rPr>
        <w:t xml:space="preserve">that the listing of etanercept DDC is expected to have no change in the overall net cost to the government as </w:t>
      </w:r>
      <w:r w:rsidR="0091297D" w:rsidRPr="00A033A3">
        <w:rPr>
          <w:lang w:eastAsia="en-US"/>
        </w:rPr>
        <w:t xml:space="preserve">etanercept DDC would </w:t>
      </w:r>
      <w:r w:rsidR="0091297D" w:rsidRPr="00462013">
        <w:rPr>
          <w:lang w:eastAsia="en-US"/>
        </w:rPr>
        <w:t>replace the PFS and auto-injector presentations of etanercept currently listed</w:t>
      </w:r>
      <w:r w:rsidRPr="004C6340">
        <w:rPr>
          <w:rFonts w:cs="Arial"/>
          <w:bCs/>
          <w:snapToGrid w:val="0"/>
        </w:rPr>
        <w:t xml:space="preserve">. </w:t>
      </w:r>
      <w:r w:rsidR="00D05C2C" w:rsidRPr="004C6340">
        <w:rPr>
          <w:rFonts w:cs="Arial"/>
          <w:bCs/>
          <w:snapToGrid w:val="0"/>
        </w:rPr>
        <w:t xml:space="preserve">The PBAC </w:t>
      </w:r>
      <w:r w:rsidR="0091297D" w:rsidRPr="004C6340">
        <w:rPr>
          <w:rFonts w:cs="Arial"/>
          <w:bCs/>
          <w:snapToGrid w:val="0"/>
        </w:rPr>
        <w:t xml:space="preserve">also </w:t>
      </w:r>
      <w:r w:rsidR="00D05C2C" w:rsidRPr="004C6340">
        <w:rPr>
          <w:rFonts w:cs="Arial"/>
          <w:bCs/>
          <w:snapToGrid w:val="0"/>
        </w:rPr>
        <w:t xml:space="preserve">noted that there would be no </w:t>
      </w:r>
      <w:r w:rsidRPr="004C6340">
        <w:rPr>
          <w:rFonts w:cs="Arial"/>
          <w:bCs/>
          <w:snapToGrid w:val="0"/>
        </w:rPr>
        <w:t xml:space="preserve">out of pocket expenses </w:t>
      </w:r>
      <w:r w:rsidR="00462013">
        <w:rPr>
          <w:rFonts w:cs="Arial"/>
          <w:bCs/>
          <w:snapToGrid w:val="0"/>
        </w:rPr>
        <w:t>for</w:t>
      </w:r>
      <w:r w:rsidR="00462013" w:rsidRPr="004C6340">
        <w:rPr>
          <w:rFonts w:cs="Arial"/>
          <w:bCs/>
          <w:snapToGrid w:val="0"/>
        </w:rPr>
        <w:t xml:space="preserve"> </w:t>
      </w:r>
      <w:r w:rsidRPr="004C6340">
        <w:rPr>
          <w:rFonts w:cs="Arial"/>
          <w:bCs/>
          <w:snapToGrid w:val="0"/>
        </w:rPr>
        <w:t>patient</w:t>
      </w:r>
      <w:r w:rsidR="0091297D" w:rsidRPr="004C6340">
        <w:rPr>
          <w:rFonts w:cs="Arial"/>
          <w:bCs/>
          <w:snapToGrid w:val="0"/>
        </w:rPr>
        <w:t>s</w:t>
      </w:r>
      <w:r w:rsidR="00B7754C" w:rsidRPr="004C6340">
        <w:rPr>
          <w:rFonts w:cs="Arial"/>
          <w:bCs/>
          <w:snapToGrid w:val="0"/>
        </w:rPr>
        <w:t xml:space="preserve"> as a result of listing</w:t>
      </w:r>
      <w:r w:rsidR="00D05C2C" w:rsidRPr="004C6340">
        <w:rPr>
          <w:rFonts w:cs="Arial"/>
          <w:bCs/>
          <w:snapToGrid w:val="0"/>
        </w:rPr>
        <w:t xml:space="preserve"> etanercept DDC on the PBS</w:t>
      </w:r>
      <w:r w:rsidRPr="004C6340">
        <w:rPr>
          <w:rFonts w:cs="Arial"/>
          <w:bCs/>
          <w:snapToGrid w:val="0"/>
        </w:rPr>
        <w:t>.</w:t>
      </w:r>
    </w:p>
    <w:p w14:paraId="3FFFF9F0" w14:textId="77777777" w:rsidR="004C701B" w:rsidRPr="004C6340" w:rsidRDefault="004C701B" w:rsidP="00F52F82">
      <w:pPr>
        <w:pStyle w:val="3Bodytext"/>
        <w:jc w:val="both"/>
        <w:rPr>
          <w:rFonts w:cs="Arial"/>
          <w:bCs/>
          <w:snapToGrid w:val="0"/>
        </w:rPr>
      </w:pPr>
      <w:r w:rsidRPr="00A033A3">
        <w:t>The PBAC noted that its recommendation was on a cost-minimisation basis and advised that, because etanercept DDC</w:t>
      </w:r>
      <w:r w:rsidRPr="00462013">
        <w:t xml:space="preserve"> is not expected to provide a substantial and clinically relevant improvement in efficacy, or reduction of toxicity over </w:t>
      </w:r>
      <w:r w:rsidRPr="00A033A3">
        <w:t>etanercept PFS</w:t>
      </w:r>
      <w:r w:rsidR="0029468B" w:rsidRPr="00A033A3">
        <w:t xml:space="preserve"> or auto</w:t>
      </w:r>
      <w:r w:rsidR="007354C8" w:rsidRPr="00A033A3">
        <w:t>-</w:t>
      </w:r>
      <w:r w:rsidR="0029468B" w:rsidRPr="00A033A3">
        <w:t>injector</w:t>
      </w:r>
      <w:r w:rsidRPr="00A033A3">
        <w:t xml:space="preserve">, or not expected to address a high and urgent unmet clinical need given the presence of an alternative therapy, the criteria prescribed by the </w:t>
      </w:r>
      <w:r w:rsidRPr="00A033A3">
        <w:rPr>
          <w:i/>
        </w:rPr>
        <w:t>National Health (Pharmaceuticals and Vaccines – Cost Recovery) Regulations 2009</w:t>
      </w:r>
      <w:r w:rsidRPr="00A033A3">
        <w:t xml:space="preserve"> for Pricing </w:t>
      </w:r>
      <w:r w:rsidRPr="004C6340">
        <w:rPr>
          <w:rFonts w:cs="Arial"/>
          <w:bCs/>
          <w:snapToGrid w:val="0"/>
        </w:rPr>
        <w:t>Pathway A were not met.</w:t>
      </w:r>
    </w:p>
    <w:p w14:paraId="5A24304C" w14:textId="77777777" w:rsidR="004C701B" w:rsidRPr="00A033A3" w:rsidRDefault="004C701B" w:rsidP="00F52F82">
      <w:pPr>
        <w:pStyle w:val="3Bodytext"/>
        <w:jc w:val="both"/>
        <w:rPr>
          <w:rFonts w:cstheme="minorHAnsi"/>
        </w:rPr>
      </w:pPr>
      <w:r w:rsidRPr="004C6340">
        <w:rPr>
          <w:rFonts w:cs="Arial"/>
          <w:bCs/>
          <w:snapToGrid w:val="0"/>
        </w:rPr>
        <w:t>The PBAC noted</w:t>
      </w:r>
      <w:r w:rsidRPr="00A033A3">
        <w:rPr>
          <w:rFonts w:cs="Arial"/>
          <w:bCs/>
          <w:snapToGrid w:val="0"/>
        </w:rPr>
        <w:t xml:space="preserve"> that this submission is not eligible for an Independent Review as it received a positive recommendation.</w:t>
      </w:r>
    </w:p>
    <w:p w14:paraId="395DB1B8" w14:textId="77777777" w:rsidR="00C40F8B" w:rsidRPr="004C6340" w:rsidRDefault="00C40F8B" w:rsidP="00043604">
      <w:pPr>
        <w:spacing w:after="120"/>
        <w:rPr>
          <w:rFonts w:asciiTheme="minorHAnsi" w:hAnsiTheme="minorHAnsi" w:cs="Arial"/>
          <w:b/>
          <w:bCs/>
          <w:snapToGrid w:val="0"/>
        </w:rPr>
      </w:pPr>
      <w:r w:rsidRPr="004C6340">
        <w:rPr>
          <w:rFonts w:asciiTheme="minorHAnsi" w:hAnsiTheme="minorHAnsi" w:cs="Arial"/>
          <w:b/>
          <w:bCs/>
          <w:snapToGrid w:val="0"/>
        </w:rPr>
        <w:t>Outcome:</w:t>
      </w:r>
    </w:p>
    <w:p w14:paraId="5A77BF14" w14:textId="77777777" w:rsidR="00C40F8B" w:rsidRPr="004C6340" w:rsidRDefault="00C40F8B" w:rsidP="00043604">
      <w:pPr>
        <w:spacing w:after="120"/>
        <w:rPr>
          <w:rFonts w:asciiTheme="minorHAnsi" w:hAnsiTheme="minorHAnsi" w:cs="Arial"/>
          <w:bCs/>
          <w:snapToGrid w:val="0"/>
        </w:rPr>
      </w:pPr>
      <w:r w:rsidRPr="004C6340">
        <w:rPr>
          <w:rFonts w:asciiTheme="minorHAnsi" w:hAnsiTheme="minorHAnsi" w:cs="Arial"/>
          <w:bCs/>
          <w:snapToGrid w:val="0"/>
        </w:rPr>
        <w:t>Recommended</w:t>
      </w:r>
    </w:p>
    <w:p w14:paraId="3EEA36EF" w14:textId="77777777" w:rsidR="00AC10EA" w:rsidRPr="00A033A3" w:rsidRDefault="00AC10EA" w:rsidP="0085279D">
      <w:pPr>
        <w:pStyle w:val="2-SectionHeading"/>
      </w:pPr>
      <w:r w:rsidRPr="00A033A3">
        <w:t>Recommended listing</w:t>
      </w:r>
    </w:p>
    <w:p w14:paraId="3A4A5268" w14:textId="77777777" w:rsidR="00BD2A9E" w:rsidRPr="00A033A3" w:rsidRDefault="00BD2A9E" w:rsidP="007B6025">
      <w:pPr>
        <w:pStyle w:val="3Bodytext"/>
      </w:pPr>
      <w:r w:rsidRPr="00A033A3">
        <w:t xml:space="preserve">Add new medicinal product pack (MPP)/trade product pack (TPP) </w:t>
      </w:r>
      <w:r w:rsidR="00CC7B39" w:rsidRPr="00A033A3">
        <w:t xml:space="preserve">based on </w:t>
      </w:r>
      <w:r w:rsidRPr="00A033A3">
        <w:t>existing listings for etanercept PFS: 11196G, 11208X, 11219L, 11224R, 1963H, 3446J, 3449M, 5733R, 9085E, 9086F, 9087G, 9088H, 9089J, 9090K, 9091L, 9431J, 9615C.</w:t>
      </w:r>
    </w:p>
    <w:tbl>
      <w:tblPr>
        <w:tblStyle w:val="TableGrid"/>
        <w:tblW w:w="5000" w:type="pct"/>
        <w:tblLook w:val="04A0" w:firstRow="1" w:lastRow="0" w:firstColumn="1" w:lastColumn="0" w:noHBand="0" w:noVBand="1"/>
      </w:tblPr>
      <w:tblGrid>
        <w:gridCol w:w="4508"/>
        <w:gridCol w:w="4508"/>
      </w:tblGrid>
      <w:tr w:rsidR="00BD2A9E" w:rsidRPr="00A033A3" w14:paraId="5223659B" w14:textId="77777777" w:rsidTr="00741AF7">
        <w:trPr>
          <w:trHeight w:val="459"/>
          <w:tblHeader/>
        </w:trPr>
        <w:tc>
          <w:tcPr>
            <w:tcW w:w="2500" w:type="pct"/>
          </w:tcPr>
          <w:p w14:paraId="5048229E" w14:textId="77777777" w:rsidR="00BD2A9E" w:rsidRPr="004C6340" w:rsidRDefault="00BD2A9E" w:rsidP="00334F0E">
            <w:pPr>
              <w:pStyle w:val="TableText0"/>
              <w:rPr>
                <w:rStyle w:val="SmallBold"/>
                <w:rFonts w:ascii="Arial Narrow" w:hAnsi="Arial Narrow"/>
                <w:szCs w:val="20"/>
              </w:rPr>
            </w:pPr>
            <w:r w:rsidRPr="00A033A3">
              <w:rPr>
                <w:rStyle w:val="SmallBold"/>
                <w:rFonts w:ascii="Arial Narrow" w:hAnsi="Arial Narrow"/>
                <w:szCs w:val="20"/>
              </w:rPr>
              <w:t>MEDICINAL PRODUCT</w:t>
            </w:r>
          </w:p>
          <w:p w14:paraId="7A64E222" w14:textId="77777777" w:rsidR="00BD2A9E" w:rsidRPr="00A033A3" w:rsidRDefault="00BD2A9E" w:rsidP="00334F0E">
            <w:pPr>
              <w:pStyle w:val="TableText0"/>
              <w:rPr>
                <w:rStyle w:val="SmallBold"/>
                <w:rFonts w:ascii="Arial Narrow" w:hAnsi="Arial Narrow"/>
                <w:szCs w:val="20"/>
              </w:rPr>
            </w:pPr>
            <w:r w:rsidRPr="00A033A3">
              <w:rPr>
                <w:rStyle w:val="SmallBold"/>
                <w:rFonts w:ascii="Arial Narrow" w:hAnsi="Arial Narrow"/>
                <w:szCs w:val="20"/>
              </w:rPr>
              <w:t>medicinal product pack</w:t>
            </w:r>
          </w:p>
        </w:tc>
        <w:tc>
          <w:tcPr>
            <w:tcW w:w="2500" w:type="pct"/>
          </w:tcPr>
          <w:p w14:paraId="0B443149" w14:textId="77777777" w:rsidR="00BD2A9E" w:rsidRPr="00A033A3" w:rsidRDefault="00BD2A9E" w:rsidP="00334F0E">
            <w:pPr>
              <w:pStyle w:val="TableText0"/>
              <w:rPr>
                <w:rStyle w:val="SmallBold"/>
                <w:rFonts w:ascii="Arial Narrow" w:hAnsi="Arial Narrow"/>
                <w:szCs w:val="20"/>
              </w:rPr>
            </w:pPr>
            <w:r w:rsidRPr="00A033A3">
              <w:rPr>
                <w:rStyle w:val="SmallBold"/>
                <w:rFonts w:ascii="Arial Narrow" w:hAnsi="Arial Narrow"/>
                <w:szCs w:val="20"/>
              </w:rPr>
              <w:t>Proprietary Name, Manufacturer</w:t>
            </w:r>
          </w:p>
        </w:tc>
      </w:tr>
      <w:tr w:rsidR="00BD2A9E" w:rsidRPr="00A033A3" w14:paraId="099A47CC" w14:textId="77777777" w:rsidTr="00334F0E">
        <w:trPr>
          <w:trHeight w:val="689"/>
        </w:trPr>
        <w:tc>
          <w:tcPr>
            <w:tcW w:w="2500" w:type="pct"/>
          </w:tcPr>
          <w:p w14:paraId="32FDCBF8" w14:textId="77777777" w:rsidR="00BD2A9E" w:rsidRPr="00A033A3" w:rsidRDefault="00BD2A9E" w:rsidP="00334F0E">
            <w:pPr>
              <w:pStyle w:val="TableText0"/>
              <w:rPr>
                <w:szCs w:val="20"/>
              </w:rPr>
            </w:pPr>
            <w:r w:rsidRPr="00A033A3">
              <w:rPr>
                <w:szCs w:val="20"/>
              </w:rPr>
              <w:t>ETANERCEPT</w:t>
            </w:r>
          </w:p>
          <w:p w14:paraId="4D86A8B5" w14:textId="77777777" w:rsidR="00BD2A9E" w:rsidRPr="00A033A3" w:rsidRDefault="00BD2A9E" w:rsidP="00334F0E">
            <w:pPr>
              <w:pStyle w:val="TableText0"/>
              <w:rPr>
                <w:rStyle w:val="SmallBold"/>
                <w:rFonts w:ascii="Arial Narrow" w:hAnsi="Arial Narrow"/>
                <w:szCs w:val="20"/>
              </w:rPr>
            </w:pPr>
            <w:r w:rsidRPr="004C6340">
              <w:rPr>
                <w:szCs w:val="20"/>
              </w:rPr>
              <w:t>etanercept 50 mg/mL injection, 4 x 1 mL cartridges</w:t>
            </w:r>
          </w:p>
        </w:tc>
        <w:tc>
          <w:tcPr>
            <w:tcW w:w="2500" w:type="pct"/>
          </w:tcPr>
          <w:p w14:paraId="420309C3" w14:textId="77777777" w:rsidR="00BD2A9E" w:rsidRPr="00A033A3" w:rsidRDefault="00BD2A9E" w:rsidP="00334F0E">
            <w:pPr>
              <w:pStyle w:val="TableText0"/>
              <w:rPr>
                <w:rStyle w:val="SmallBold"/>
                <w:rFonts w:ascii="Arial Narrow" w:hAnsi="Arial Narrow"/>
                <w:b w:val="0"/>
                <w:szCs w:val="20"/>
              </w:rPr>
            </w:pPr>
            <w:r w:rsidRPr="004C6340">
              <w:rPr>
                <w:szCs w:val="20"/>
              </w:rPr>
              <w:t>Enbrel, Pfizer</w:t>
            </w:r>
            <w:r w:rsidRPr="00A033A3">
              <w:rPr>
                <w:rStyle w:val="SmallBold"/>
                <w:rFonts w:ascii="Arial Narrow" w:hAnsi="Arial Narrow"/>
                <w:b w:val="0"/>
                <w:szCs w:val="20"/>
              </w:rPr>
              <w:t xml:space="preserve"> Australia Pty Ltd</w:t>
            </w:r>
          </w:p>
        </w:tc>
      </w:tr>
    </w:tbl>
    <w:p w14:paraId="7EC11B4C" w14:textId="77777777" w:rsidR="00FB2854" w:rsidRPr="00A033A3" w:rsidRDefault="00FB2854" w:rsidP="00BD2A9E">
      <w:pPr>
        <w:rPr>
          <w:rFonts w:asciiTheme="minorHAnsi" w:hAnsiTheme="minorHAnsi"/>
          <w:sz w:val="22"/>
          <w:szCs w:val="22"/>
        </w:rPr>
      </w:pPr>
    </w:p>
    <w:p w14:paraId="514129AB" w14:textId="77777777" w:rsidR="00D05C2C" w:rsidRPr="00A033A3" w:rsidRDefault="00D05C2C" w:rsidP="00D05C2C">
      <w:pPr>
        <w:rPr>
          <w:rFonts w:asciiTheme="minorHAnsi" w:hAnsiTheme="minorHAnsi" w:cstheme="minorHAnsi"/>
          <w:snapToGrid w:val="0"/>
          <w:color w:val="365F91" w:themeColor="accent1" w:themeShade="BF"/>
          <w:lang w:eastAsia="en-US"/>
        </w:rPr>
      </w:pPr>
      <w:r w:rsidRPr="00A033A3">
        <w:rPr>
          <w:rFonts w:asciiTheme="minorHAnsi" w:hAnsiTheme="minorHAnsi" w:cstheme="minorHAnsi"/>
          <w:b/>
          <w:i/>
        </w:rPr>
        <w:t>This restriction may be subject to further review. Should there be any changes made to the restriction the Sponsor will be informed.</w:t>
      </w:r>
    </w:p>
    <w:p w14:paraId="4BE87716" w14:textId="77777777" w:rsidR="00915CC0" w:rsidRDefault="00915CC0" w:rsidP="00BD2A9E">
      <w:pPr>
        <w:rPr>
          <w:rFonts w:asciiTheme="minorHAnsi" w:hAnsiTheme="minorHAnsi"/>
          <w:sz w:val="22"/>
          <w:szCs w:val="22"/>
        </w:rPr>
      </w:pPr>
    </w:p>
    <w:p w14:paraId="302D6B66" w14:textId="77777777" w:rsidR="00915CC0" w:rsidRPr="00915CC0" w:rsidRDefault="00915CC0" w:rsidP="00915CC0">
      <w:pPr>
        <w:pStyle w:val="2-SectionHeading"/>
      </w:pPr>
      <w:r w:rsidRPr="00C07617">
        <w:t>Context for Decision</w:t>
      </w:r>
    </w:p>
    <w:p w14:paraId="597DEAD1" w14:textId="77777777" w:rsidR="00915CC0" w:rsidRPr="007129F2" w:rsidRDefault="00915CC0" w:rsidP="00915CC0">
      <w:pPr>
        <w:spacing w:after="120"/>
        <w:ind w:left="720"/>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w:t>
      </w:r>
      <w:r w:rsidRPr="007129F2">
        <w:rPr>
          <w:rFonts w:asciiTheme="minorHAnsi" w:hAnsiTheme="minorHAnsi" w:cs="Arial"/>
          <w:bCs/>
          <w:lang w:val="en-GB"/>
        </w:rPr>
        <w:lastRenderedPageBreak/>
        <w:t>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EA627B2" w14:textId="77777777" w:rsidR="00915CC0" w:rsidRPr="00915CC0" w:rsidRDefault="00915CC0" w:rsidP="00915CC0">
      <w:pPr>
        <w:pStyle w:val="2-SectionHeading"/>
      </w:pPr>
      <w:r>
        <w:t>Sponsor’s Comment</w:t>
      </w:r>
    </w:p>
    <w:p w14:paraId="574DB459" w14:textId="77777777" w:rsidR="00915CC0" w:rsidRDefault="00915CC0" w:rsidP="00915CC0">
      <w:pPr>
        <w:spacing w:after="120"/>
        <w:ind w:firstLine="720"/>
        <w:rPr>
          <w:rFonts w:asciiTheme="minorHAnsi" w:hAnsiTheme="minorHAnsi" w:cs="Arial"/>
          <w:bCs/>
        </w:rPr>
      </w:pPr>
      <w:r w:rsidRPr="00C07617">
        <w:rPr>
          <w:rFonts w:asciiTheme="minorHAnsi" w:hAnsiTheme="minorHAnsi" w:cs="Arial"/>
          <w:bCs/>
        </w:rPr>
        <w:t>The sponsor had no comment.</w:t>
      </w:r>
    </w:p>
    <w:p w14:paraId="5B0CAE9F" w14:textId="77777777" w:rsidR="00511792" w:rsidRDefault="00511792" w:rsidP="00511792">
      <w:pPr>
        <w:pStyle w:val="2-SectionHeading"/>
      </w:pPr>
      <w:r>
        <w:t>Corrigendum</w:t>
      </w:r>
    </w:p>
    <w:p w14:paraId="1093E002" w14:textId="77777777" w:rsidR="00511792" w:rsidRPr="000A3610" w:rsidRDefault="00511792" w:rsidP="00511792">
      <w:pPr>
        <w:spacing w:after="120"/>
        <w:ind w:firstLine="720"/>
      </w:pPr>
      <w:r w:rsidRPr="000A3610">
        <w:rPr>
          <w:rFonts w:eastAsiaTheme="minorHAnsi" w:cstheme="minorBidi"/>
          <w:szCs w:val="22"/>
        </w:rPr>
        <w:t xml:space="preserve">The </w:t>
      </w:r>
      <w:r w:rsidRPr="00511792">
        <w:rPr>
          <w:rFonts w:asciiTheme="minorHAnsi" w:hAnsiTheme="minorHAnsi" w:cs="Arial"/>
          <w:bCs/>
        </w:rPr>
        <w:t>following</w:t>
      </w:r>
      <w:r w:rsidRPr="000A3610">
        <w:rPr>
          <w:rFonts w:eastAsiaTheme="minorHAnsi" w:cstheme="minorBidi"/>
          <w:szCs w:val="22"/>
        </w:rPr>
        <w:t xml:space="preserve"> changes were made to </w:t>
      </w:r>
      <w:r w:rsidR="00F740F5">
        <w:rPr>
          <w:rFonts w:eastAsiaTheme="minorHAnsi" w:cstheme="minorBidi"/>
          <w:szCs w:val="22"/>
        </w:rPr>
        <w:t>the public summary document</w:t>
      </w:r>
      <w:r w:rsidRPr="000A3610">
        <w:rPr>
          <w:rFonts w:eastAsiaTheme="minorHAnsi" w:cstheme="minorBidi"/>
          <w:szCs w:val="22"/>
        </w:rPr>
        <w:t>:</w:t>
      </w:r>
    </w:p>
    <w:tbl>
      <w:tblPr>
        <w:tblStyle w:val="TableGrid"/>
        <w:tblW w:w="5000" w:type="pct"/>
        <w:tblLook w:val="04A0" w:firstRow="1" w:lastRow="0" w:firstColumn="1" w:lastColumn="0" w:noHBand="0" w:noVBand="1"/>
      </w:tblPr>
      <w:tblGrid>
        <w:gridCol w:w="6255"/>
        <w:gridCol w:w="2761"/>
      </w:tblGrid>
      <w:tr w:rsidR="00511792" w:rsidRPr="00A4399F" w14:paraId="647FF3E0" w14:textId="77777777" w:rsidTr="00511792">
        <w:trPr>
          <w:trHeight w:val="113"/>
        </w:trPr>
        <w:tc>
          <w:tcPr>
            <w:tcW w:w="3469" w:type="pct"/>
          </w:tcPr>
          <w:p w14:paraId="140562D4" w14:textId="77777777" w:rsidR="00511792" w:rsidRPr="00A4399F" w:rsidRDefault="00511792" w:rsidP="008F55C5">
            <w:pPr>
              <w:pStyle w:val="ListParagraph"/>
              <w:ind w:left="0" w:firstLine="0"/>
              <w:jc w:val="center"/>
              <w:rPr>
                <w:rFonts w:ascii="Arial Narrow" w:eastAsia="Calibri" w:hAnsi="Arial Narrow" w:cstheme="minorHAnsi"/>
                <w:b/>
                <w:sz w:val="20"/>
                <w:szCs w:val="20"/>
                <w:lang w:eastAsia="en-US"/>
              </w:rPr>
            </w:pPr>
            <w:r w:rsidRPr="00A4399F">
              <w:rPr>
                <w:rFonts w:ascii="Arial Narrow" w:eastAsia="Calibri" w:hAnsi="Arial Narrow" w:cstheme="minorHAnsi"/>
                <w:b/>
                <w:sz w:val="20"/>
                <w:szCs w:val="20"/>
                <w:lang w:eastAsia="en-US"/>
              </w:rPr>
              <w:t>Change made</w:t>
            </w:r>
          </w:p>
        </w:tc>
        <w:tc>
          <w:tcPr>
            <w:tcW w:w="1531" w:type="pct"/>
          </w:tcPr>
          <w:p w14:paraId="2DAD180A" w14:textId="77777777" w:rsidR="00511792" w:rsidRPr="00A4399F" w:rsidRDefault="00511792" w:rsidP="008F55C5">
            <w:pPr>
              <w:pStyle w:val="ListParagraph"/>
              <w:ind w:left="0" w:firstLine="0"/>
              <w:jc w:val="center"/>
              <w:rPr>
                <w:rFonts w:ascii="Arial Narrow" w:eastAsia="Calibri" w:hAnsi="Arial Narrow" w:cstheme="minorHAnsi"/>
                <w:b/>
                <w:sz w:val="20"/>
                <w:szCs w:val="20"/>
                <w:lang w:eastAsia="en-US"/>
              </w:rPr>
            </w:pPr>
            <w:r w:rsidRPr="00A4399F">
              <w:rPr>
                <w:rFonts w:ascii="Arial Narrow" w:eastAsia="Calibri" w:hAnsi="Arial Narrow" w:cstheme="minorHAnsi"/>
                <w:b/>
                <w:sz w:val="20"/>
                <w:szCs w:val="20"/>
                <w:lang w:eastAsia="en-US"/>
              </w:rPr>
              <w:t>Date of revision</w:t>
            </w:r>
          </w:p>
        </w:tc>
      </w:tr>
      <w:tr w:rsidR="00511792" w:rsidRPr="00A4399F" w14:paraId="564F5ADF" w14:textId="77777777" w:rsidTr="00511792">
        <w:trPr>
          <w:trHeight w:val="406"/>
        </w:trPr>
        <w:tc>
          <w:tcPr>
            <w:tcW w:w="3469" w:type="pct"/>
          </w:tcPr>
          <w:p w14:paraId="1BBBB3B7" w14:textId="77777777" w:rsidR="00511792" w:rsidRDefault="00511792" w:rsidP="008F55C5">
            <w:pPr>
              <w:pStyle w:val="ListParagraph"/>
              <w:ind w:left="0" w:firstLine="0"/>
              <w:rPr>
                <w:rFonts w:ascii="Arial Narrow" w:eastAsia="Calibri" w:hAnsi="Arial Narrow"/>
                <w:sz w:val="20"/>
                <w:szCs w:val="20"/>
                <w:lang w:eastAsia="en-US"/>
              </w:rPr>
            </w:pPr>
            <w:r>
              <w:rPr>
                <w:rFonts w:ascii="Arial Narrow" w:eastAsia="Calibri" w:hAnsi="Arial Narrow"/>
                <w:sz w:val="20"/>
                <w:szCs w:val="20"/>
                <w:lang w:eastAsia="en-US"/>
              </w:rPr>
              <w:t>• Para 6.5</w:t>
            </w:r>
            <w:r w:rsidRPr="005A5DEB">
              <w:rPr>
                <w:rFonts w:ascii="Arial Narrow" w:eastAsia="Calibri" w:hAnsi="Arial Narrow"/>
                <w:sz w:val="20"/>
                <w:szCs w:val="20"/>
                <w:lang w:eastAsia="en-US"/>
              </w:rPr>
              <w:t xml:space="preserve"> – Updated paragraph to clarify </w:t>
            </w:r>
            <w:r>
              <w:rPr>
                <w:rFonts w:ascii="Arial Narrow" w:eastAsia="Calibri" w:hAnsi="Arial Narrow"/>
                <w:sz w:val="20"/>
                <w:szCs w:val="20"/>
                <w:lang w:eastAsia="en-US"/>
              </w:rPr>
              <w:t xml:space="preserve">PBAC recommendation </w:t>
            </w:r>
            <w:r w:rsidRPr="002803D5">
              <w:rPr>
                <w:rFonts w:ascii="Arial Narrow" w:eastAsia="Calibri" w:hAnsi="Arial Narrow"/>
                <w:sz w:val="20"/>
                <w:szCs w:val="20"/>
                <w:lang w:eastAsia="en-US"/>
              </w:rPr>
              <w:t>that etanercept cartridge, PFS and auto-injector should all be considered equivalent for the purposes of substitution at the pharmacy level</w:t>
            </w:r>
            <w:r>
              <w:rPr>
                <w:rFonts w:ascii="Arial Narrow" w:eastAsia="Calibri" w:hAnsi="Arial Narrow"/>
                <w:sz w:val="20"/>
                <w:szCs w:val="20"/>
                <w:lang w:eastAsia="en-US"/>
              </w:rPr>
              <w:t>.</w:t>
            </w:r>
          </w:p>
        </w:tc>
        <w:tc>
          <w:tcPr>
            <w:tcW w:w="1531" w:type="pct"/>
          </w:tcPr>
          <w:p w14:paraId="0AEA3712" w14:textId="43D9A572" w:rsidR="00511792" w:rsidRPr="00A4399F" w:rsidRDefault="004A788A" w:rsidP="008F55C5">
            <w:pPr>
              <w:pStyle w:val="ListParagraph"/>
              <w:ind w:left="0" w:firstLine="0"/>
              <w:jc w:val="center"/>
              <w:rPr>
                <w:rFonts w:ascii="Arial Narrow" w:eastAsia="Calibri" w:hAnsi="Arial Narrow"/>
                <w:sz w:val="20"/>
                <w:szCs w:val="20"/>
                <w:lang w:eastAsia="en-US"/>
              </w:rPr>
            </w:pPr>
            <w:r>
              <w:rPr>
                <w:rFonts w:ascii="Arial Narrow" w:eastAsia="Calibri" w:hAnsi="Arial Narrow"/>
                <w:sz w:val="20"/>
                <w:szCs w:val="20"/>
                <w:lang w:eastAsia="en-US"/>
              </w:rPr>
              <w:t>February</w:t>
            </w:r>
            <w:r w:rsidR="00511792">
              <w:rPr>
                <w:rFonts w:ascii="Arial Narrow" w:eastAsia="Calibri" w:hAnsi="Arial Narrow"/>
                <w:sz w:val="20"/>
                <w:szCs w:val="20"/>
                <w:lang w:eastAsia="en-US"/>
              </w:rPr>
              <w:t xml:space="preserve"> 2022</w:t>
            </w:r>
          </w:p>
        </w:tc>
      </w:tr>
    </w:tbl>
    <w:p w14:paraId="3D5DF2BB" w14:textId="77777777" w:rsidR="00FB2854" w:rsidRPr="00915CC0" w:rsidRDefault="00FB2854" w:rsidP="00915CC0">
      <w:pPr>
        <w:rPr>
          <w:rFonts w:asciiTheme="minorHAnsi" w:hAnsiTheme="minorHAnsi"/>
          <w:sz w:val="22"/>
          <w:szCs w:val="22"/>
        </w:rPr>
      </w:pPr>
    </w:p>
    <w:sectPr w:rsidR="00FB2854" w:rsidRPr="00915CC0"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D8BC8" w14:textId="77777777" w:rsidR="00B12761" w:rsidRDefault="00B12761">
      <w:r>
        <w:separator/>
      </w:r>
    </w:p>
    <w:p w14:paraId="25884B0E" w14:textId="77777777" w:rsidR="00B12761" w:rsidRDefault="00B12761"/>
  </w:endnote>
  <w:endnote w:type="continuationSeparator" w:id="0">
    <w:p w14:paraId="2F20B9FE" w14:textId="77777777" w:rsidR="00B12761" w:rsidRDefault="00B12761">
      <w:r>
        <w:continuationSeparator/>
      </w:r>
    </w:p>
    <w:p w14:paraId="158C19B8" w14:textId="77777777" w:rsidR="00B12761" w:rsidRDefault="00B12761"/>
  </w:endnote>
  <w:endnote w:type="continuationNotice" w:id="1">
    <w:p w14:paraId="77A69B83" w14:textId="77777777" w:rsidR="00B12761" w:rsidRDefault="00B12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37767D" w14:paraId="23D6BC71" w14:textId="77777777" w:rsidTr="005A3173">
      <w:trPr>
        <w:trHeight w:val="151"/>
      </w:trPr>
      <w:tc>
        <w:tcPr>
          <w:tcW w:w="2250" w:type="pct"/>
          <w:tcBorders>
            <w:top w:val="nil"/>
            <w:left w:val="nil"/>
            <w:bottom w:val="single" w:sz="4" w:space="0" w:color="4F81BD"/>
            <w:right w:val="nil"/>
          </w:tcBorders>
        </w:tcPr>
        <w:p w14:paraId="17397840" w14:textId="77777777" w:rsidR="0037767D" w:rsidRPr="005A3173" w:rsidRDefault="0037767D" w:rsidP="005A3173">
          <w:pPr>
            <w:pStyle w:val="Header"/>
            <w:spacing w:line="276" w:lineRule="auto"/>
            <w:rPr>
              <w:rFonts w:eastAsia="MS Gothic"/>
              <w:b/>
              <w:bCs/>
              <w:color w:val="4F81BD"/>
            </w:rPr>
          </w:pPr>
        </w:p>
      </w:tc>
      <w:tc>
        <w:tcPr>
          <w:tcW w:w="500" w:type="pct"/>
          <w:vMerge w:val="restart"/>
          <w:noWrap/>
          <w:vAlign w:val="center"/>
          <w:hideMark/>
        </w:tcPr>
        <w:p w14:paraId="12C6F8FC" w14:textId="77777777" w:rsidR="0037767D" w:rsidRPr="005A3173" w:rsidRDefault="0037767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764A84D4" w14:textId="77777777" w:rsidR="0037767D" w:rsidRPr="005A3173" w:rsidRDefault="0037767D" w:rsidP="005A3173">
          <w:pPr>
            <w:pStyle w:val="Header"/>
            <w:spacing w:line="276" w:lineRule="auto"/>
            <w:rPr>
              <w:rFonts w:eastAsia="MS Gothic"/>
              <w:b/>
              <w:bCs/>
              <w:color w:val="4F81BD"/>
            </w:rPr>
          </w:pPr>
        </w:p>
      </w:tc>
    </w:tr>
    <w:tr w:rsidR="0037767D" w14:paraId="6DC3E853" w14:textId="77777777" w:rsidTr="005A3173">
      <w:trPr>
        <w:trHeight w:val="150"/>
      </w:trPr>
      <w:tc>
        <w:tcPr>
          <w:tcW w:w="2250" w:type="pct"/>
          <w:tcBorders>
            <w:top w:val="single" w:sz="4" w:space="0" w:color="4F81BD"/>
            <w:left w:val="nil"/>
            <w:bottom w:val="nil"/>
            <w:right w:val="nil"/>
          </w:tcBorders>
        </w:tcPr>
        <w:p w14:paraId="0008059C" w14:textId="77777777" w:rsidR="0037767D" w:rsidRPr="005A3173" w:rsidRDefault="0037767D" w:rsidP="005A3173">
          <w:pPr>
            <w:pStyle w:val="Header"/>
            <w:spacing w:line="276" w:lineRule="auto"/>
            <w:rPr>
              <w:rFonts w:eastAsia="MS Gothic"/>
              <w:b/>
              <w:bCs/>
              <w:color w:val="4F81BD"/>
            </w:rPr>
          </w:pPr>
        </w:p>
      </w:tc>
      <w:tc>
        <w:tcPr>
          <w:tcW w:w="0" w:type="auto"/>
          <w:vMerge/>
          <w:vAlign w:val="center"/>
          <w:hideMark/>
        </w:tcPr>
        <w:p w14:paraId="4ECBDAE2" w14:textId="77777777" w:rsidR="0037767D" w:rsidRPr="005A3173" w:rsidRDefault="0037767D" w:rsidP="005A3173">
          <w:pPr>
            <w:rPr>
              <w:color w:val="365F91"/>
              <w:sz w:val="22"/>
              <w:szCs w:val="22"/>
            </w:rPr>
          </w:pPr>
        </w:p>
      </w:tc>
      <w:tc>
        <w:tcPr>
          <w:tcW w:w="2250" w:type="pct"/>
          <w:tcBorders>
            <w:top w:val="single" w:sz="4" w:space="0" w:color="4F81BD"/>
            <w:left w:val="nil"/>
            <w:bottom w:val="nil"/>
            <w:right w:val="nil"/>
          </w:tcBorders>
        </w:tcPr>
        <w:p w14:paraId="7D98E631" w14:textId="77777777" w:rsidR="0037767D" w:rsidRPr="005A3173" w:rsidRDefault="0037767D" w:rsidP="005A3173">
          <w:pPr>
            <w:pStyle w:val="Header"/>
            <w:spacing w:line="276" w:lineRule="auto"/>
            <w:rPr>
              <w:rFonts w:eastAsia="MS Gothic"/>
              <w:b/>
              <w:bCs/>
              <w:color w:val="4F81BD"/>
            </w:rPr>
          </w:pPr>
        </w:p>
      </w:tc>
    </w:tr>
  </w:tbl>
  <w:p w14:paraId="0FB4A22E" w14:textId="77777777" w:rsidR="0037767D" w:rsidRDefault="0037767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BE7317" w14:textId="77777777" w:rsidR="0037767D" w:rsidRDefault="0037767D">
    <w:pPr>
      <w:pStyle w:val="Footer"/>
    </w:pPr>
  </w:p>
  <w:p w14:paraId="6851EB8E" w14:textId="77777777" w:rsidR="0037767D" w:rsidRDefault="0037767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EB8F9" w14:textId="12D4B9EC" w:rsidR="00143C6B" w:rsidRPr="00143C6B" w:rsidRDefault="00143C6B">
    <w:pPr>
      <w:pStyle w:val="Footer"/>
      <w:jc w:val="center"/>
      <w:rPr>
        <w:rFonts w:cs="Calibri"/>
        <w:b/>
      </w:rPr>
    </w:pPr>
    <w:r w:rsidRPr="00143C6B">
      <w:rPr>
        <w:rFonts w:cs="Calibri"/>
        <w:b/>
      </w:rPr>
      <w:br/>
    </w:r>
    <w:sdt>
      <w:sdtPr>
        <w:rPr>
          <w:rFonts w:cs="Calibri"/>
          <w:b/>
        </w:rPr>
        <w:id w:val="-1312103113"/>
        <w:docPartObj>
          <w:docPartGallery w:val="Page Numbers (Bottom of Page)"/>
          <w:docPartUnique/>
        </w:docPartObj>
      </w:sdtPr>
      <w:sdtEndPr>
        <w:rPr>
          <w:noProof/>
        </w:rPr>
      </w:sdtEndPr>
      <w:sdtContent>
        <w:r w:rsidRPr="00143C6B">
          <w:rPr>
            <w:rFonts w:cs="Calibri"/>
            <w:b/>
          </w:rPr>
          <w:fldChar w:fldCharType="begin"/>
        </w:r>
        <w:r w:rsidRPr="00143C6B">
          <w:rPr>
            <w:rFonts w:cs="Calibri"/>
            <w:b/>
          </w:rPr>
          <w:instrText xml:space="preserve"> PAGE   \* MERGEFORMAT </w:instrText>
        </w:r>
        <w:r w:rsidRPr="00143C6B">
          <w:rPr>
            <w:rFonts w:cs="Calibri"/>
            <w:b/>
          </w:rPr>
          <w:fldChar w:fldCharType="separate"/>
        </w:r>
        <w:r w:rsidR="00315F6E">
          <w:rPr>
            <w:rFonts w:cs="Calibri"/>
            <w:b/>
            <w:noProof/>
          </w:rPr>
          <w:t>1</w:t>
        </w:r>
        <w:r w:rsidRPr="00143C6B">
          <w:rPr>
            <w:rFonts w:cs="Calibr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37767D" w14:paraId="1B0BDC9A" w14:textId="77777777" w:rsidTr="005A3173">
      <w:trPr>
        <w:trHeight w:val="151"/>
      </w:trPr>
      <w:tc>
        <w:tcPr>
          <w:tcW w:w="2250" w:type="pct"/>
          <w:tcBorders>
            <w:top w:val="nil"/>
            <w:left w:val="nil"/>
            <w:bottom w:val="single" w:sz="4" w:space="0" w:color="4F81BD"/>
            <w:right w:val="nil"/>
          </w:tcBorders>
        </w:tcPr>
        <w:p w14:paraId="0688766D" w14:textId="77777777" w:rsidR="0037767D" w:rsidRPr="005A3173" w:rsidRDefault="0037767D" w:rsidP="005A3173">
          <w:pPr>
            <w:pStyle w:val="Header"/>
            <w:spacing w:line="276" w:lineRule="auto"/>
            <w:rPr>
              <w:rFonts w:eastAsia="MS Gothic"/>
              <w:b/>
              <w:bCs/>
              <w:color w:val="4F81BD"/>
            </w:rPr>
          </w:pPr>
        </w:p>
      </w:tc>
      <w:tc>
        <w:tcPr>
          <w:tcW w:w="500" w:type="pct"/>
          <w:vMerge w:val="restart"/>
          <w:noWrap/>
          <w:vAlign w:val="center"/>
          <w:hideMark/>
        </w:tcPr>
        <w:p w14:paraId="3C33DA30" w14:textId="77777777" w:rsidR="0037767D" w:rsidRPr="005A3173" w:rsidRDefault="0037767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2C462BD2" w14:textId="77777777" w:rsidR="0037767D" w:rsidRPr="005A3173" w:rsidRDefault="0037767D" w:rsidP="005A3173">
          <w:pPr>
            <w:pStyle w:val="Header"/>
            <w:spacing w:line="276" w:lineRule="auto"/>
            <w:rPr>
              <w:rFonts w:eastAsia="MS Gothic"/>
              <w:b/>
              <w:bCs/>
              <w:color w:val="4F81BD"/>
            </w:rPr>
          </w:pPr>
        </w:p>
      </w:tc>
    </w:tr>
    <w:tr w:rsidR="0037767D" w14:paraId="3791EE89" w14:textId="77777777" w:rsidTr="005A3173">
      <w:trPr>
        <w:trHeight w:val="150"/>
      </w:trPr>
      <w:tc>
        <w:tcPr>
          <w:tcW w:w="2250" w:type="pct"/>
          <w:tcBorders>
            <w:top w:val="single" w:sz="4" w:space="0" w:color="4F81BD"/>
            <w:left w:val="nil"/>
            <w:bottom w:val="nil"/>
            <w:right w:val="nil"/>
          </w:tcBorders>
        </w:tcPr>
        <w:p w14:paraId="311AB419" w14:textId="77777777" w:rsidR="0037767D" w:rsidRPr="005A3173" w:rsidRDefault="0037767D" w:rsidP="005A3173">
          <w:pPr>
            <w:pStyle w:val="Header"/>
            <w:spacing w:line="276" w:lineRule="auto"/>
            <w:rPr>
              <w:rFonts w:eastAsia="MS Gothic"/>
              <w:b/>
              <w:bCs/>
              <w:color w:val="4F81BD"/>
            </w:rPr>
          </w:pPr>
        </w:p>
      </w:tc>
      <w:tc>
        <w:tcPr>
          <w:tcW w:w="0" w:type="auto"/>
          <w:vMerge/>
          <w:vAlign w:val="center"/>
          <w:hideMark/>
        </w:tcPr>
        <w:p w14:paraId="687BE6BD" w14:textId="77777777" w:rsidR="0037767D" w:rsidRPr="005A3173" w:rsidRDefault="0037767D" w:rsidP="005A3173">
          <w:pPr>
            <w:rPr>
              <w:color w:val="365F91"/>
              <w:sz w:val="22"/>
              <w:szCs w:val="22"/>
            </w:rPr>
          </w:pPr>
        </w:p>
      </w:tc>
      <w:tc>
        <w:tcPr>
          <w:tcW w:w="2250" w:type="pct"/>
          <w:tcBorders>
            <w:top w:val="single" w:sz="4" w:space="0" w:color="4F81BD"/>
            <w:left w:val="nil"/>
            <w:bottom w:val="nil"/>
            <w:right w:val="nil"/>
          </w:tcBorders>
        </w:tcPr>
        <w:p w14:paraId="744FE1AF" w14:textId="77777777" w:rsidR="0037767D" w:rsidRPr="005A3173" w:rsidRDefault="0037767D"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37767D" w14:paraId="47589DC7" w14:textId="77777777" w:rsidTr="005A3173">
      <w:trPr>
        <w:trHeight w:val="151"/>
      </w:trPr>
      <w:tc>
        <w:tcPr>
          <w:tcW w:w="2250" w:type="pct"/>
          <w:tcBorders>
            <w:top w:val="nil"/>
            <w:left w:val="nil"/>
            <w:bottom w:val="single" w:sz="4" w:space="0" w:color="4F81BD"/>
            <w:right w:val="nil"/>
          </w:tcBorders>
        </w:tcPr>
        <w:p w14:paraId="7478D043" w14:textId="77777777" w:rsidR="0037767D" w:rsidRPr="005A3173" w:rsidRDefault="0037767D" w:rsidP="005A3173">
          <w:pPr>
            <w:pStyle w:val="Header"/>
            <w:spacing w:line="276" w:lineRule="auto"/>
            <w:rPr>
              <w:rFonts w:eastAsia="MS Gothic"/>
              <w:b/>
              <w:bCs/>
              <w:color w:val="4F81BD"/>
            </w:rPr>
          </w:pPr>
        </w:p>
      </w:tc>
      <w:tc>
        <w:tcPr>
          <w:tcW w:w="500" w:type="pct"/>
          <w:vMerge w:val="restart"/>
          <w:noWrap/>
          <w:vAlign w:val="center"/>
          <w:hideMark/>
        </w:tcPr>
        <w:p w14:paraId="59DA9A04" w14:textId="77777777" w:rsidR="0037767D" w:rsidRPr="005A3173" w:rsidRDefault="0037767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32537913" w14:textId="77777777" w:rsidR="0037767D" w:rsidRPr="005A3173" w:rsidRDefault="0037767D" w:rsidP="005A3173">
          <w:pPr>
            <w:pStyle w:val="Header"/>
            <w:spacing w:line="276" w:lineRule="auto"/>
            <w:rPr>
              <w:rFonts w:eastAsia="MS Gothic"/>
              <w:b/>
              <w:bCs/>
              <w:color w:val="4F81BD"/>
            </w:rPr>
          </w:pPr>
        </w:p>
      </w:tc>
    </w:tr>
    <w:tr w:rsidR="0037767D" w14:paraId="4062CEBD" w14:textId="77777777" w:rsidTr="005A3173">
      <w:trPr>
        <w:trHeight w:val="150"/>
      </w:trPr>
      <w:tc>
        <w:tcPr>
          <w:tcW w:w="2250" w:type="pct"/>
          <w:tcBorders>
            <w:top w:val="single" w:sz="4" w:space="0" w:color="4F81BD"/>
            <w:left w:val="nil"/>
            <w:bottom w:val="nil"/>
            <w:right w:val="nil"/>
          </w:tcBorders>
        </w:tcPr>
        <w:p w14:paraId="2DA9A6E6" w14:textId="77777777" w:rsidR="0037767D" w:rsidRPr="005A3173" w:rsidRDefault="0037767D" w:rsidP="005A3173">
          <w:pPr>
            <w:pStyle w:val="Header"/>
            <w:spacing w:line="276" w:lineRule="auto"/>
            <w:rPr>
              <w:rFonts w:eastAsia="MS Gothic"/>
              <w:b/>
              <w:bCs/>
              <w:color w:val="4F81BD"/>
            </w:rPr>
          </w:pPr>
        </w:p>
      </w:tc>
      <w:tc>
        <w:tcPr>
          <w:tcW w:w="0" w:type="auto"/>
          <w:vMerge/>
          <w:vAlign w:val="center"/>
          <w:hideMark/>
        </w:tcPr>
        <w:p w14:paraId="60748398" w14:textId="77777777" w:rsidR="0037767D" w:rsidRPr="005A3173" w:rsidRDefault="0037767D" w:rsidP="005A3173">
          <w:pPr>
            <w:rPr>
              <w:color w:val="365F91"/>
              <w:sz w:val="22"/>
              <w:szCs w:val="22"/>
            </w:rPr>
          </w:pPr>
        </w:p>
      </w:tc>
      <w:tc>
        <w:tcPr>
          <w:tcW w:w="2250" w:type="pct"/>
          <w:tcBorders>
            <w:top w:val="single" w:sz="4" w:space="0" w:color="4F81BD"/>
            <w:left w:val="nil"/>
            <w:bottom w:val="nil"/>
            <w:right w:val="nil"/>
          </w:tcBorders>
        </w:tcPr>
        <w:p w14:paraId="70E94757" w14:textId="77777777" w:rsidR="0037767D" w:rsidRPr="005A3173" w:rsidRDefault="0037767D" w:rsidP="005A3173">
          <w:pPr>
            <w:pStyle w:val="Header"/>
            <w:spacing w:line="276" w:lineRule="auto"/>
            <w:rPr>
              <w:rFonts w:eastAsia="MS Gothic"/>
              <w:b/>
              <w:bCs/>
              <w:color w:val="4F81BD"/>
            </w:rPr>
          </w:pPr>
        </w:p>
      </w:tc>
    </w:tr>
  </w:tbl>
  <w:p w14:paraId="29A2057F" w14:textId="77777777" w:rsidR="0037767D" w:rsidRPr="00482297" w:rsidRDefault="0037767D" w:rsidP="007C0F57">
    <w:pPr>
      <w:pStyle w:val="Footer"/>
      <w:jc w:val="center"/>
      <w:rPr>
        <w:sz w:val="20"/>
        <w:szCs w:val="20"/>
      </w:rPr>
    </w:pPr>
    <w:r w:rsidRPr="00482297">
      <w:rPr>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sidR="00FC3731">
      <w:rPr>
        <w:rStyle w:val="PageNumber"/>
        <w:noProof/>
      </w:rPr>
      <w:t>1</w:t>
    </w:r>
    <w:r>
      <w:rPr>
        <w:rStyle w:val="PageNumber"/>
      </w:rPr>
      <w:fldChar w:fldCharType="end"/>
    </w:r>
    <w:r w:rsidRPr="00482297">
      <w:rPr>
        <w:sz w:val="20"/>
        <w:szCs w:val="20"/>
      </w:rPr>
      <w:t>BAC Meeting</w:t>
    </w:r>
  </w:p>
  <w:p w14:paraId="47B9B500" w14:textId="77777777" w:rsidR="0037767D" w:rsidRPr="00482297" w:rsidRDefault="0037767D" w:rsidP="007C0F57">
    <w:pPr>
      <w:pStyle w:val="Footer"/>
      <w:jc w:val="center"/>
      <w:rPr>
        <w:sz w:val="20"/>
        <w:szCs w:val="20"/>
      </w:rPr>
    </w:pPr>
    <w:r w:rsidRPr="00482297">
      <w:rPr>
        <w:sz w:val="20"/>
        <w:szCs w:val="20"/>
      </w:rPr>
      <w:t>Commercial-in-Confidence</w:t>
    </w:r>
  </w:p>
  <w:p w14:paraId="3A618F00" w14:textId="77777777" w:rsidR="0037767D" w:rsidRDefault="0037767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151F3" w14:textId="77777777" w:rsidR="00B12761" w:rsidRDefault="00B12761">
      <w:r>
        <w:separator/>
      </w:r>
    </w:p>
    <w:p w14:paraId="089196E5" w14:textId="77777777" w:rsidR="00B12761" w:rsidRDefault="00B12761"/>
  </w:footnote>
  <w:footnote w:type="continuationSeparator" w:id="0">
    <w:p w14:paraId="1718FDB3" w14:textId="77777777" w:rsidR="00B12761" w:rsidRDefault="00B12761">
      <w:r>
        <w:continuationSeparator/>
      </w:r>
    </w:p>
    <w:p w14:paraId="34C97A38" w14:textId="77777777" w:rsidR="00B12761" w:rsidRDefault="00B12761"/>
  </w:footnote>
  <w:footnote w:type="continuationNotice" w:id="1">
    <w:p w14:paraId="4EE37C86" w14:textId="77777777" w:rsidR="00B12761" w:rsidRDefault="00B127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37767D" w:rsidRPr="008E0D90" w14:paraId="73200B52" w14:textId="77777777" w:rsidTr="00A06225">
      <w:trPr>
        <w:trHeight w:val="151"/>
      </w:trPr>
      <w:tc>
        <w:tcPr>
          <w:tcW w:w="2389" w:type="pct"/>
          <w:tcBorders>
            <w:top w:val="nil"/>
            <w:left w:val="nil"/>
            <w:bottom w:val="single" w:sz="4" w:space="0" w:color="4F81BD"/>
            <w:right w:val="nil"/>
          </w:tcBorders>
        </w:tcPr>
        <w:p w14:paraId="6521CDCE" w14:textId="77777777" w:rsidR="0037767D" w:rsidRPr="00A06225" w:rsidRDefault="0037767D">
          <w:pPr>
            <w:pStyle w:val="Header"/>
            <w:spacing w:line="276" w:lineRule="auto"/>
            <w:rPr>
              <w:rFonts w:ascii="Cambria" w:eastAsia="MS Gothic" w:hAnsi="Cambria"/>
              <w:b/>
              <w:bCs/>
              <w:color w:val="4F81BD"/>
            </w:rPr>
          </w:pPr>
        </w:p>
      </w:tc>
      <w:tc>
        <w:tcPr>
          <w:tcW w:w="333" w:type="pct"/>
          <w:vMerge w:val="restart"/>
          <w:noWrap/>
          <w:vAlign w:val="center"/>
          <w:hideMark/>
        </w:tcPr>
        <w:p w14:paraId="5CE13D96" w14:textId="77777777" w:rsidR="0037767D" w:rsidRPr="00A06225" w:rsidRDefault="0037767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480496F5" w14:textId="77777777" w:rsidR="0037767D" w:rsidRPr="00A06225" w:rsidRDefault="0037767D">
          <w:pPr>
            <w:pStyle w:val="Header"/>
            <w:spacing w:line="276" w:lineRule="auto"/>
            <w:rPr>
              <w:rFonts w:ascii="Cambria" w:eastAsia="MS Gothic" w:hAnsi="Cambria"/>
              <w:b/>
              <w:bCs/>
              <w:color w:val="4F81BD"/>
            </w:rPr>
          </w:pPr>
        </w:p>
      </w:tc>
    </w:tr>
    <w:tr w:rsidR="0037767D" w:rsidRPr="008E0D90" w14:paraId="413834BD" w14:textId="77777777" w:rsidTr="00A06225">
      <w:trPr>
        <w:trHeight w:val="150"/>
      </w:trPr>
      <w:tc>
        <w:tcPr>
          <w:tcW w:w="2389" w:type="pct"/>
          <w:tcBorders>
            <w:top w:val="single" w:sz="4" w:space="0" w:color="4F81BD"/>
            <w:left w:val="nil"/>
            <w:bottom w:val="nil"/>
            <w:right w:val="nil"/>
          </w:tcBorders>
        </w:tcPr>
        <w:p w14:paraId="2F5F2C38" w14:textId="77777777" w:rsidR="0037767D" w:rsidRPr="00A06225" w:rsidRDefault="0037767D">
          <w:pPr>
            <w:pStyle w:val="Header"/>
            <w:spacing w:line="276" w:lineRule="auto"/>
            <w:rPr>
              <w:rFonts w:ascii="Cambria" w:eastAsia="MS Gothic" w:hAnsi="Cambria"/>
              <w:b/>
              <w:bCs/>
              <w:color w:val="4F81BD"/>
            </w:rPr>
          </w:pPr>
        </w:p>
      </w:tc>
      <w:tc>
        <w:tcPr>
          <w:tcW w:w="0" w:type="auto"/>
          <w:vMerge/>
          <w:vAlign w:val="center"/>
          <w:hideMark/>
        </w:tcPr>
        <w:p w14:paraId="71303BAE" w14:textId="77777777" w:rsidR="0037767D" w:rsidRPr="00A06225" w:rsidRDefault="0037767D">
          <w:pPr>
            <w:rPr>
              <w:rFonts w:ascii="Cambria" w:hAnsi="Cambria"/>
              <w:color w:val="4F81BD"/>
              <w:sz w:val="22"/>
              <w:szCs w:val="22"/>
            </w:rPr>
          </w:pPr>
        </w:p>
      </w:tc>
      <w:tc>
        <w:tcPr>
          <w:tcW w:w="2278" w:type="pct"/>
          <w:tcBorders>
            <w:top w:val="single" w:sz="4" w:space="0" w:color="4F81BD"/>
            <w:left w:val="nil"/>
            <w:bottom w:val="nil"/>
            <w:right w:val="nil"/>
          </w:tcBorders>
        </w:tcPr>
        <w:p w14:paraId="626E6C28" w14:textId="77777777" w:rsidR="0037767D" w:rsidRPr="00A06225" w:rsidRDefault="0037767D">
          <w:pPr>
            <w:pStyle w:val="Header"/>
            <w:spacing w:line="276" w:lineRule="auto"/>
            <w:rPr>
              <w:rFonts w:ascii="Cambria" w:eastAsia="MS Gothic" w:hAnsi="Cambria"/>
              <w:b/>
              <w:bCs/>
              <w:color w:val="4F81BD"/>
            </w:rPr>
          </w:pPr>
        </w:p>
      </w:tc>
    </w:tr>
  </w:tbl>
  <w:p w14:paraId="244C1A51" w14:textId="77777777" w:rsidR="0037767D" w:rsidRDefault="0037767D">
    <w:pPr>
      <w:pStyle w:val="Header"/>
    </w:pPr>
  </w:p>
  <w:p w14:paraId="169A5F3C" w14:textId="77777777" w:rsidR="0037767D" w:rsidRDefault="0037767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98AA" w14:textId="77777777" w:rsidR="0037767D" w:rsidRPr="00143C6B" w:rsidRDefault="004B5EF3" w:rsidP="00143C6B">
    <w:pPr>
      <w:pStyle w:val="MinorOVRHeader"/>
      <w:jc w:val="center"/>
      <w:rPr>
        <w:rFonts w:cstheme="minorHAnsi"/>
        <w:i/>
        <w:noProof/>
      </w:rPr>
    </w:pPr>
    <w:r>
      <w:rPr>
        <w:rFonts w:cstheme="minorHAnsi"/>
        <w:i/>
      </w:rPr>
      <w:t>Public Summary Document</w:t>
    </w:r>
    <w:r w:rsidR="00143C6B" w:rsidRPr="00143C6B">
      <w:rPr>
        <w:rFonts w:cstheme="minorHAnsi"/>
        <w:i/>
      </w:rPr>
      <w:t xml:space="preserve"> – July 2021 PBAC Meeting</w:t>
    </w:r>
    <w:r w:rsidR="00143C6B" w:rsidRPr="00143C6B">
      <w:rPr>
        <w:rFonts w:cstheme="minorHAnsi"/>
        <w:i/>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20E52" w14:textId="77777777" w:rsidR="00FC3731" w:rsidRDefault="00FC3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57E986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2"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3" w15:restartNumberingAfterBreak="0">
    <w:nsid w:val="1D62792F"/>
    <w:multiLevelType w:val="hybridMultilevel"/>
    <w:tmpl w:val="65107BA4"/>
    <w:lvl w:ilvl="0" w:tplc="661A6A16">
      <w:start w:val="1"/>
      <w:numFmt w:val="bullet"/>
      <w:lvlText w:val=""/>
      <w:lvlJc w:val="left"/>
      <w:pPr>
        <w:ind w:left="720" w:firstLine="204"/>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5" w15:restartNumberingAfterBreak="0">
    <w:nsid w:val="4EBF3C03"/>
    <w:multiLevelType w:val="hybridMultilevel"/>
    <w:tmpl w:val="A1165D80"/>
    <w:lvl w:ilvl="0" w:tplc="4D1A6912">
      <w:start w:val="1"/>
      <w:numFmt w:val="upp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60821356"/>
    <w:multiLevelType w:val="multilevel"/>
    <w:tmpl w:val="F68AA7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84D033C"/>
    <w:multiLevelType w:val="multilevel"/>
    <w:tmpl w:val="066E1428"/>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6"/>
  </w:num>
  <w:num w:numId="4">
    <w:abstractNumId w:val="4"/>
  </w:num>
  <w:num w:numId="5">
    <w:abstractNumId w:val="2"/>
  </w:num>
  <w:num w:numId="6">
    <w:abstractNumId w:val="3"/>
  </w:num>
  <w:num w:numId="7">
    <w:abstractNumId w:val="0"/>
  </w:num>
  <w:num w:numId="8">
    <w:abstractNumId w:val="5"/>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num>
  <w:num w:numId="13">
    <w:abstractNumId w:val="8"/>
  </w:num>
  <w:num w:numId="14">
    <w:abstractNumId w:val="8"/>
  </w:num>
  <w:num w:numId="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06782"/>
    <w:rsid w:val="00011A59"/>
    <w:rsid w:val="00016A41"/>
    <w:rsid w:val="000214D1"/>
    <w:rsid w:val="0002464A"/>
    <w:rsid w:val="00025A04"/>
    <w:rsid w:val="0002798D"/>
    <w:rsid w:val="0003050E"/>
    <w:rsid w:val="0003106B"/>
    <w:rsid w:val="00034905"/>
    <w:rsid w:val="00036307"/>
    <w:rsid w:val="00037A8C"/>
    <w:rsid w:val="000421A1"/>
    <w:rsid w:val="0004240E"/>
    <w:rsid w:val="00043604"/>
    <w:rsid w:val="00044EC4"/>
    <w:rsid w:val="00045E26"/>
    <w:rsid w:val="00050A17"/>
    <w:rsid w:val="000514B5"/>
    <w:rsid w:val="0005322E"/>
    <w:rsid w:val="00054E2B"/>
    <w:rsid w:val="00060E64"/>
    <w:rsid w:val="000634ED"/>
    <w:rsid w:val="00066193"/>
    <w:rsid w:val="00066755"/>
    <w:rsid w:val="000668D2"/>
    <w:rsid w:val="00071A5B"/>
    <w:rsid w:val="00072730"/>
    <w:rsid w:val="0007337F"/>
    <w:rsid w:val="000763D5"/>
    <w:rsid w:val="00076C38"/>
    <w:rsid w:val="00077143"/>
    <w:rsid w:val="00077DF7"/>
    <w:rsid w:val="000801B7"/>
    <w:rsid w:val="0008050C"/>
    <w:rsid w:val="0008139D"/>
    <w:rsid w:val="00082169"/>
    <w:rsid w:val="000834BE"/>
    <w:rsid w:val="00083F01"/>
    <w:rsid w:val="0008453B"/>
    <w:rsid w:val="0008677A"/>
    <w:rsid w:val="00087C4C"/>
    <w:rsid w:val="000910A4"/>
    <w:rsid w:val="000918CB"/>
    <w:rsid w:val="00091B06"/>
    <w:rsid w:val="00094702"/>
    <w:rsid w:val="000951C4"/>
    <w:rsid w:val="00095ADA"/>
    <w:rsid w:val="00096735"/>
    <w:rsid w:val="000969AD"/>
    <w:rsid w:val="000975FB"/>
    <w:rsid w:val="000A3AA2"/>
    <w:rsid w:val="000A44B2"/>
    <w:rsid w:val="000A52F6"/>
    <w:rsid w:val="000B263A"/>
    <w:rsid w:val="000B44C3"/>
    <w:rsid w:val="000B558D"/>
    <w:rsid w:val="000B5A89"/>
    <w:rsid w:val="000B65F6"/>
    <w:rsid w:val="000B7702"/>
    <w:rsid w:val="000B7767"/>
    <w:rsid w:val="000B7D81"/>
    <w:rsid w:val="000C0BEB"/>
    <w:rsid w:val="000C4483"/>
    <w:rsid w:val="000C4E91"/>
    <w:rsid w:val="000C5F95"/>
    <w:rsid w:val="000C6996"/>
    <w:rsid w:val="000C77D9"/>
    <w:rsid w:val="000C7C46"/>
    <w:rsid w:val="000D09E9"/>
    <w:rsid w:val="000D113F"/>
    <w:rsid w:val="000D23BA"/>
    <w:rsid w:val="000E0A1E"/>
    <w:rsid w:val="000E19B7"/>
    <w:rsid w:val="000E1F49"/>
    <w:rsid w:val="000E20FC"/>
    <w:rsid w:val="000E3DFB"/>
    <w:rsid w:val="000E5EA1"/>
    <w:rsid w:val="000E681E"/>
    <w:rsid w:val="000E7841"/>
    <w:rsid w:val="000E7E52"/>
    <w:rsid w:val="000F0003"/>
    <w:rsid w:val="000F1318"/>
    <w:rsid w:val="000F1CB3"/>
    <w:rsid w:val="000F3384"/>
    <w:rsid w:val="000F4E6A"/>
    <w:rsid w:val="000F7354"/>
    <w:rsid w:val="00101ABE"/>
    <w:rsid w:val="00102202"/>
    <w:rsid w:val="00102700"/>
    <w:rsid w:val="00102A78"/>
    <w:rsid w:val="00103118"/>
    <w:rsid w:val="00104227"/>
    <w:rsid w:val="0010452A"/>
    <w:rsid w:val="001107BF"/>
    <w:rsid w:val="00113649"/>
    <w:rsid w:val="00113D5C"/>
    <w:rsid w:val="00120F08"/>
    <w:rsid w:val="00121CB3"/>
    <w:rsid w:val="0012417C"/>
    <w:rsid w:val="00124BF2"/>
    <w:rsid w:val="0012597F"/>
    <w:rsid w:val="0012749D"/>
    <w:rsid w:val="001306A5"/>
    <w:rsid w:val="001311AE"/>
    <w:rsid w:val="00140017"/>
    <w:rsid w:val="00140B74"/>
    <w:rsid w:val="00140D94"/>
    <w:rsid w:val="00142395"/>
    <w:rsid w:val="00142714"/>
    <w:rsid w:val="00143BDE"/>
    <w:rsid w:val="00143C6B"/>
    <w:rsid w:val="00144D09"/>
    <w:rsid w:val="001452ED"/>
    <w:rsid w:val="001467CA"/>
    <w:rsid w:val="00147D84"/>
    <w:rsid w:val="001523E9"/>
    <w:rsid w:val="001549C1"/>
    <w:rsid w:val="00156C8D"/>
    <w:rsid w:val="00160F4D"/>
    <w:rsid w:val="00162BDD"/>
    <w:rsid w:val="00162D4E"/>
    <w:rsid w:val="00163329"/>
    <w:rsid w:val="00164623"/>
    <w:rsid w:val="001652DE"/>
    <w:rsid w:val="00165B64"/>
    <w:rsid w:val="00167C39"/>
    <w:rsid w:val="00172497"/>
    <w:rsid w:val="00176B9D"/>
    <w:rsid w:val="00180713"/>
    <w:rsid w:val="00180720"/>
    <w:rsid w:val="0018178E"/>
    <w:rsid w:val="001830CE"/>
    <w:rsid w:val="001836E3"/>
    <w:rsid w:val="00185AFD"/>
    <w:rsid w:val="00185B4A"/>
    <w:rsid w:val="0018643B"/>
    <w:rsid w:val="001929B7"/>
    <w:rsid w:val="00196307"/>
    <w:rsid w:val="00197F03"/>
    <w:rsid w:val="001A0D10"/>
    <w:rsid w:val="001A3357"/>
    <w:rsid w:val="001A33EA"/>
    <w:rsid w:val="001A4413"/>
    <w:rsid w:val="001A46E9"/>
    <w:rsid w:val="001A4C4F"/>
    <w:rsid w:val="001A5A2B"/>
    <w:rsid w:val="001A76FB"/>
    <w:rsid w:val="001B017F"/>
    <w:rsid w:val="001B0B29"/>
    <w:rsid w:val="001B0B79"/>
    <w:rsid w:val="001B2BBC"/>
    <w:rsid w:val="001B398B"/>
    <w:rsid w:val="001B3A40"/>
    <w:rsid w:val="001B3FFE"/>
    <w:rsid w:val="001B5129"/>
    <w:rsid w:val="001B75CF"/>
    <w:rsid w:val="001C0B4C"/>
    <w:rsid w:val="001C0EC4"/>
    <w:rsid w:val="001C1195"/>
    <w:rsid w:val="001C12AE"/>
    <w:rsid w:val="001C1E84"/>
    <w:rsid w:val="001C2E42"/>
    <w:rsid w:val="001C4844"/>
    <w:rsid w:val="001D1F5F"/>
    <w:rsid w:val="001E0465"/>
    <w:rsid w:val="001E06D2"/>
    <w:rsid w:val="001E17C4"/>
    <w:rsid w:val="001F005B"/>
    <w:rsid w:val="001F1850"/>
    <w:rsid w:val="001F1FBF"/>
    <w:rsid w:val="001F2B80"/>
    <w:rsid w:val="001F2F1C"/>
    <w:rsid w:val="001F3189"/>
    <w:rsid w:val="00201FB8"/>
    <w:rsid w:val="00203FAC"/>
    <w:rsid w:val="002126B8"/>
    <w:rsid w:val="00213CFB"/>
    <w:rsid w:val="0021553C"/>
    <w:rsid w:val="0021557B"/>
    <w:rsid w:val="002174FD"/>
    <w:rsid w:val="00217BE1"/>
    <w:rsid w:val="002214B9"/>
    <w:rsid w:val="00230F63"/>
    <w:rsid w:val="00232850"/>
    <w:rsid w:val="00234252"/>
    <w:rsid w:val="0023466E"/>
    <w:rsid w:val="0023692B"/>
    <w:rsid w:val="00237AC6"/>
    <w:rsid w:val="00240E28"/>
    <w:rsid w:val="00244139"/>
    <w:rsid w:val="00244490"/>
    <w:rsid w:val="00245B9C"/>
    <w:rsid w:val="00250B24"/>
    <w:rsid w:val="00253499"/>
    <w:rsid w:val="002551A4"/>
    <w:rsid w:val="00257664"/>
    <w:rsid w:val="00265151"/>
    <w:rsid w:val="00265C2C"/>
    <w:rsid w:val="00266509"/>
    <w:rsid w:val="00271BA1"/>
    <w:rsid w:val="00273AC5"/>
    <w:rsid w:val="0027612A"/>
    <w:rsid w:val="002762FA"/>
    <w:rsid w:val="00277505"/>
    <w:rsid w:val="0028158C"/>
    <w:rsid w:val="002823B6"/>
    <w:rsid w:val="00282A4D"/>
    <w:rsid w:val="00286534"/>
    <w:rsid w:val="00290C03"/>
    <w:rsid w:val="00294274"/>
    <w:rsid w:val="0029458F"/>
    <w:rsid w:val="0029468B"/>
    <w:rsid w:val="00294CAF"/>
    <w:rsid w:val="002953B2"/>
    <w:rsid w:val="002A018F"/>
    <w:rsid w:val="002A0D0D"/>
    <w:rsid w:val="002A0E04"/>
    <w:rsid w:val="002A104C"/>
    <w:rsid w:val="002A1EF7"/>
    <w:rsid w:val="002A3217"/>
    <w:rsid w:val="002A494D"/>
    <w:rsid w:val="002A4960"/>
    <w:rsid w:val="002A636A"/>
    <w:rsid w:val="002B0AE0"/>
    <w:rsid w:val="002B1AE6"/>
    <w:rsid w:val="002B1D51"/>
    <w:rsid w:val="002B2DE8"/>
    <w:rsid w:val="002B30F8"/>
    <w:rsid w:val="002B388A"/>
    <w:rsid w:val="002B5596"/>
    <w:rsid w:val="002B77D7"/>
    <w:rsid w:val="002C212F"/>
    <w:rsid w:val="002C2F35"/>
    <w:rsid w:val="002C367C"/>
    <w:rsid w:val="002C6AA9"/>
    <w:rsid w:val="002C7485"/>
    <w:rsid w:val="002D2641"/>
    <w:rsid w:val="002D283A"/>
    <w:rsid w:val="002D4543"/>
    <w:rsid w:val="002E3153"/>
    <w:rsid w:val="002E4A02"/>
    <w:rsid w:val="002E5292"/>
    <w:rsid w:val="002E72CA"/>
    <w:rsid w:val="002F1D07"/>
    <w:rsid w:val="002F3E9A"/>
    <w:rsid w:val="002F600D"/>
    <w:rsid w:val="002F6F0F"/>
    <w:rsid w:val="002F7E47"/>
    <w:rsid w:val="00300AD6"/>
    <w:rsid w:val="00300B1B"/>
    <w:rsid w:val="003019D0"/>
    <w:rsid w:val="00302F83"/>
    <w:rsid w:val="003064AF"/>
    <w:rsid w:val="0030671D"/>
    <w:rsid w:val="00310A8B"/>
    <w:rsid w:val="00310B68"/>
    <w:rsid w:val="003122F0"/>
    <w:rsid w:val="00313C57"/>
    <w:rsid w:val="00315F6E"/>
    <w:rsid w:val="003160D2"/>
    <w:rsid w:val="003173FC"/>
    <w:rsid w:val="00317C6C"/>
    <w:rsid w:val="00320662"/>
    <w:rsid w:val="00320B80"/>
    <w:rsid w:val="00320CD3"/>
    <w:rsid w:val="00326E79"/>
    <w:rsid w:val="0032748A"/>
    <w:rsid w:val="003301B1"/>
    <w:rsid w:val="00331189"/>
    <w:rsid w:val="003314C4"/>
    <w:rsid w:val="0033263D"/>
    <w:rsid w:val="00333B6A"/>
    <w:rsid w:val="0033500C"/>
    <w:rsid w:val="0033518A"/>
    <w:rsid w:val="00335535"/>
    <w:rsid w:val="003367EF"/>
    <w:rsid w:val="00341384"/>
    <w:rsid w:val="00341AE4"/>
    <w:rsid w:val="00342BA0"/>
    <w:rsid w:val="003446E8"/>
    <w:rsid w:val="003455C4"/>
    <w:rsid w:val="003476EE"/>
    <w:rsid w:val="003541DD"/>
    <w:rsid w:val="00356E5B"/>
    <w:rsid w:val="00360B05"/>
    <w:rsid w:val="0036509A"/>
    <w:rsid w:val="003736C9"/>
    <w:rsid w:val="0037767D"/>
    <w:rsid w:val="00383B77"/>
    <w:rsid w:val="003845A1"/>
    <w:rsid w:val="00384988"/>
    <w:rsid w:val="003872CF"/>
    <w:rsid w:val="00391AA1"/>
    <w:rsid w:val="00394999"/>
    <w:rsid w:val="0039782C"/>
    <w:rsid w:val="003A13A6"/>
    <w:rsid w:val="003A2165"/>
    <w:rsid w:val="003A2C5D"/>
    <w:rsid w:val="003A53FD"/>
    <w:rsid w:val="003A5B4A"/>
    <w:rsid w:val="003A5D95"/>
    <w:rsid w:val="003B0D3A"/>
    <w:rsid w:val="003B2302"/>
    <w:rsid w:val="003B23C5"/>
    <w:rsid w:val="003B2A75"/>
    <w:rsid w:val="003B49B2"/>
    <w:rsid w:val="003B6124"/>
    <w:rsid w:val="003B7960"/>
    <w:rsid w:val="003C093A"/>
    <w:rsid w:val="003C1ECF"/>
    <w:rsid w:val="003C2FB5"/>
    <w:rsid w:val="003D24C5"/>
    <w:rsid w:val="003D3602"/>
    <w:rsid w:val="003D4594"/>
    <w:rsid w:val="003D4AC4"/>
    <w:rsid w:val="003D63B7"/>
    <w:rsid w:val="003D74C5"/>
    <w:rsid w:val="003E1230"/>
    <w:rsid w:val="003E2F38"/>
    <w:rsid w:val="003E4374"/>
    <w:rsid w:val="003E468B"/>
    <w:rsid w:val="003E62BD"/>
    <w:rsid w:val="003F044F"/>
    <w:rsid w:val="003F0C3A"/>
    <w:rsid w:val="003F15F0"/>
    <w:rsid w:val="003F2DE5"/>
    <w:rsid w:val="003F3228"/>
    <w:rsid w:val="003F5386"/>
    <w:rsid w:val="003F5C8C"/>
    <w:rsid w:val="003F63CE"/>
    <w:rsid w:val="003F775A"/>
    <w:rsid w:val="00400E55"/>
    <w:rsid w:val="0040128E"/>
    <w:rsid w:val="0040216B"/>
    <w:rsid w:val="00404BD8"/>
    <w:rsid w:val="00420400"/>
    <w:rsid w:val="00421E26"/>
    <w:rsid w:val="00423B87"/>
    <w:rsid w:val="00423E42"/>
    <w:rsid w:val="004252EC"/>
    <w:rsid w:val="00425B4A"/>
    <w:rsid w:val="00426DCC"/>
    <w:rsid w:val="00426EAE"/>
    <w:rsid w:val="00430D39"/>
    <w:rsid w:val="00437FAE"/>
    <w:rsid w:val="00442C91"/>
    <w:rsid w:val="00444308"/>
    <w:rsid w:val="00444556"/>
    <w:rsid w:val="004465BD"/>
    <w:rsid w:val="00446938"/>
    <w:rsid w:val="0045207B"/>
    <w:rsid w:val="0045250D"/>
    <w:rsid w:val="004528FA"/>
    <w:rsid w:val="00461A44"/>
    <w:rsid w:val="00462013"/>
    <w:rsid w:val="004622EA"/>
    <w:rsid w:val="00462D26"/>
    <w:rsid w:val="0046385A"/>
    <w:rsid w:val="004653B5"/>
    <w:rsid w:val="00466ADA"/>
    <w:rsid w:val="004702BB"/>
    <w:rsid w:val="0047494B"/>
    <w:rsid w:val="00475A92"/>
    <w:rsid w:val="00476245"/>
    <w:rsid w:val="00477A9B"/>
    <w:rsid w:val="00477BA0"/>
    <w:rsid w:val="00482297"/>
    <w:rsid w:val="00483035"/>
    <w:rsid w:val="00485940"/>
    <w:rsid w:val="00486C95"/>
    <w:rsid w:val="004877C2"/>
    <w:rsid w:val="004904B9"/>
    <w:rsid w:val="0049643B"/>
    <w:rsid w:val="00496662"/>
    <w:rsid w:val="004975A7"/>
    <w:rsid w:val="004A2484"/>
    <w:rsid w:val="004A38E5"/>
    <w:rsid w:val="004A417A"/>
    <w:rsid w:val="004A5A85"/>
    <w:rsid w:val="004A71D1"/>
    <w:rsid w:val="004A724F"/>
    <w:rsid w:val="004A788A"/>
    <w:rsid w:val="004A7C5B"/>
    <w:rsid w:val="004B1845"/>
    <w:rsid w:val="004B2348"/>
    <w:rsid w:val="004B2E01"/>
    <w:rsid w:val="004B2E98"/>
    <w:rsid w:val="004B5640"/>
    <w:rsid w:val="004B5EF3"/>
    <w:rsid w:val="004B6084"/>
    <w:rsid w:val="004BCF29"/>
    <w:rsid w:val="004C03D0"/>
    <w:rsid w:val="004C1BD7"/>
    <w:rsid w:val="004C239C"/>
    <w:rsid w:val="004C31FE"/>
    <w:rsid w:val="004C3E23"/>
    <w:rsid w:val="004C4B35"/>
    <w:rsid w:val="004C4E57"/>
    <w:rsid w:val="004C524C"/>
    <w:rsid w:val="004C5FFA"/>
    <w:rsid w:val="004C6340"/>
    <w:rsid w:val="004C691D"/>
    <w:rsid w:val="004C6C07"/>
    <w:rsid w:val="004C701B"/>
    <w:rsid w:val="004C7E15"/>
    <w:rsid w:val="004D2CD1"/>
    <w:rsid w:val="004D4583"/>
    <w:rsid w:val="004D4FF6"/>
    <w:rsid w:val="004D5ADD"/>
    <w:rsid w:val="004D7BBD"/>
    <w:rsid w:val="004E2B5C"/>
    <w:rsid w:val="004E692D"/>
    <w:rsid w:val="004E7230"/>
    <w:rsid w:val="004E7D87"/>
    <w:rsid w:val="004F2553"/>
    <w:rsid w:val="004F306A"/>
    <w:rsid w:val="00501554"/>
    <w:rsid w:val="00502AFE"/>
    <w:rsid w:val="00502E64"/>
    <w:rsid w:val="00503AD7"/>
    <w:rsid w:val="00504E0C"/>
    <w:rsid w:val="00504E13"/>
    <w:rsid w:val="005109D4"/>
    <w:rsid w:val="00511792"/>
    <w:rsid w:val="00514CD7"/>
    <w:rsid w:val="00515A41"/>
    <w:rsid w:val="005167EC"/>
    <w:rsid w:val="005170DA"/>
    <w:rsid w:val="00520D6A"/>
    <w:rsid w:val="005222B1"/>
    <w:rsid w:val="00522DB6"/>
    <w:rsid w:val="005264A7"/>
    <w:rsid w:val="0052792D"/>
    <w:rsid w:val="0053049C"/>
    <w:rsid w:val="00531724"/>
    <w:rsid w:val="005319B2"/>
    <w:rsid w:val="00532402"/>
    <w:rsid w:val="00532C74"/>
    <w:rsid w:val="00533423"/>
    <w:rsid w:val="00534E2E"/>
    <w:rsid w:val="005376DA"/>
    <w:rsid w:val="0054064C"/>
    <w:rsid w:val="00544552"/>
    <w:rsid w:val="00545130"/>
    <w:rsid w:val="00547C73"/>
    <w:rsid w:val="0055286A"/>
    <w:rsid w:val="00555745"/>
    <w:rsid w:val="005561E7"/>
    <w:rsid w:val="00557D4F"/>
    <w:rsid w:val="0056122E"/>
    <w:rsid w:val="00562683"/>
    <w:rsid w:val="0056484E"/>
    <w:rsid w:val="0056642F"/>
    <w:rsid w:val="005673A3"/>
    <w:rsid w:val="005675B3"/>
    <w:rsid w:val="00567D8A"/>
    <w:rsid w:val="005764CD"/>
    <w:rsid w:val="00577C4D"/>
    <w:rsid w:val="00580532"/>
    <w:rsid w:val="00581932"/>
    <w:rsid w:val="00584CBD"/>
    <w:rsid w:val="00587542"/>
    <w:rsid w:val="005963BB"/>
    <w:rsid w:val="005A3173"/>
    <w:rsid w:val="005A3223"/>
    <w:rsid w:val="005A3DA3"/>
    <w:rsid w:val="005A52C4"/>
    <w:rsid w:val="005A62BE"/>
    <w:rsid w:val="005A63A1"/>
    <w:rsid w:val="005A7489"/>
    <w:rsid w:val="005B0B9E"/>
    <w:rsid w:val="005B6070"/>
    <w:rsid w:val="005C4F73"/>
    <w:rsid w:val="005C540A"/>
    <w:rsid w:val="005C7F27"/>
    <w:rsid w:val="005D03AB"/>
    <w:rsid w:val="005D221F"/>
    <w:rsid w:val="005D3D25"/>
    <w:rsid w:val="005D401D"/>
    <w:rsid w:val="005D5017"/>
    <w:rsid w:val="005D52BB"/>
    <w:rsid w:val="005D63FA"/>
    <w:rsid w:val="005D73C7"/>
    <w:rsid w:val="005E0C2D"/>
    <w:rsid w:val="005E0D82"/>
    <w:rsid w:val="005E0F59"/>
    <w:rsid w:val="005E1333"/>
    <w:rsid w:val="005E3136"/>
    <w:rsid w:val="005E507D"/>
    <w:rsid w:val="005F0AD0"/>
    <w:rsid w:val="005F15A6"/>
    <w:rsid w:val="005F19CC"/>
    <w:rsid w:val="00600838"/>
    <w:rsid w:val="00601A91"/>
    <w:rsid w:val="00601C1C"/>
    <w:rsid w:val="00602BA3"/>
    <w:rsid w:val="00605B63"/>
    <w:rsid w:val="00605F9A"/>
    <w:rsid w:val="00606442"/>
    <w:rsid w:val="00606EED"/>
    <w:rsid w:val="006078CC"/>
    <w:rsid w:val="00612A95"/>
    <w:rsid w:val="00612BED"/>
    <w:rsid w:val="00612E34"/>
    <w:rsid w:val="00614159"/>
    <w:rsid w:val="006158A3"/>
    <w:rsid w:val="00616C5F"/>
    <w:rsid w:val="00616DAC"/>
    <w:rsid w:val="00617725"/>
    <w:rsid w:val="00617C00"/>
    <w:rsid w:val="00623805"/>
    <w:rsid w:val="00624DBE"/>
    <w:rsid w:val="006263BF"/>
    <w:rsid w:val="0062748A"/>
    <w:rsid w:val="00630A2C"/>
    <w:rsid w:val="0063682E"/>
    <w:rsid w:val="00640088"/>
    <w:rsid w:val="00642672"/>
    <w:rsid w:val="00642DA8"/>
    <w:rsid w:val="006436CD"/>
    <w:rsid w:val="00651169"/>
    <w:rsid w:val="00653D69"/>
    <w:rsid w:val="006552E6"/>
    <w:rsid w:val="00655794"/>
    <w:rsid w:val="00657C63"/>
    <w:rsid w:val="00661CBC"/>
    <w:rsid w:val="00662B85"/>
    <w:rsid w:val="006670BE"/>
    <w:rsid w:val="00670A76"/>
    <w:rsid w:val="006711AA"/>
    <w:rsid w:val="00672B57"/>
    <w:rsid w:val="00673F1F"/>
    <w:rsid w:val="00675622"/>
    <w:rsid w:val="0067747D"/>
    <w:rsid w:val="006818D5"/>
    <w:rsid w:val="00681CA4"/>
    <w:rsid w:val="0068668D"/>
    <w:rsid w:val="0069039D"/>
    <w:rsid w:val="006906DB"/>
    <w:rsid w:val="00690DF8"/>
    <w:rsid w:val="00691900"/>
    <w:rsid w:val="00691E6C"/>
    <w:rsid w:val="0069342D"/>
    <w:rsid w:val="00693DFB"/>
    <w:rsid w:val="0069501D"/>
    <w:rsid w:val="00696129"/>
    <w:rsid w:val="00697CF2"/>
    <w:rsid w:val="006A12A5"/>
    <w:rsid w:val="006A2515"/>
    <w:rsid w:val="006A5E20"/>
    <w:rsid w:val="006B055B"/>
    <w:rsid w:val="006B08D7"/>
    <w:rsid w:val="006B0D94"/>
    <w:rsid w:val="006B485D"/>
    <w:rsid w:val="006B72DC"/>
    <w:rsid w:val="006C0C45"/>
    <w:rsid w:val="006C334C"/>
    <w:rsid w:val="006C6C10"/>
    <w:rsid w:val="006C708E"/>
    <w:rsid w:val="006D14E7"/>
    <w:rsid w:val="006D4444"/>
    <w:rsid w:val="006D6493"/>
    <w:rsid w:val="006D6EC7"/>
    <w:rsid w:val="006E1BCD"/>
    <w:rsid w:val="006E2732"/>
    <w:rsid w:val="006E59CD"/>
    <w:rsid w:val="006E5C94"/>
    <w:rsid w:val="006F0A71"/>
    <w:rsid w:val="006F40C2"/>
    <w:rsid w:val="006F5125"/>
    <w:rsid w:val="006F733D"/>
    <w:rsid w:val="006F7B69"/>
    <w:rsid w:val="00700765"/>
    <w:rsid w:val="00702B6F"/>
    <w:rsid w:val="00704069"/>
    <w:rsid w:val="00706A2F"/>
    <w:rsid w:val="0070718E"/>
    <w:rsid w:val="00707E52"/>
    <w:rsid w:val="00710259"/>
    <w:rsid w:val="0071031F"/>
    <w:rsid w:val="0071340B"/>
    <w:rsid w:val="0071436D"/>
    <w:rsid w:val="00714F7B"/>
    <w:rsid w:val="00715BBB"/>
    <w:rsid w:val="007174BB"/>
    <w:rsid w:val="0072025D"/>
    <w:rsid w:val="00720C4F"/>
    <w:rsid w:val="00723328"/>
    <w:rsid w:val="0073137C"/>
    <w:rsid w:val="007340B9"/>
    <w:rsid w:val="007353D3"/>
    <w:rsid w:val="007354C8"/>
    <w:rsid w:val="0074156B"/>
    <w:rsid w:val="00741619"/>
    <w:rsid w:val="00741AF7"/>
    <w:rsid w:val="00742806"/>
    <w:rsid w:val="00747092"/>
    <w:rsid w:val="007526E6"/>
    <w:rsid w:val="00754CAF"/>
    <w:rsid w:val="00754DF9"/>
    <w:rsid w:val="007553A2"/>
    <w:rsid w:val="007555E8"/>
    <w:rsid w:val="00755CC5"/>
    <w:rsid w:val="00760F5F"/>
    <w:rsid w:val="0076420C"/>
    <w:rsid w:val="00771D07"/>
    <w:rsid w:val="0077288B"/>
    <w:rsid w:val="00773BE3"/>
    <w:rsid w:val="007743DD"/>
    <w:rsid w:val="00774E2C"/>
    <w:rsid w:val="0077518D"/>
    <w:rsid w:val="007753C2"/>
    <w:rsid w:val="007838B8"/>
    <w:rsid w:val="007915BA"/>
    <w:rsid w:val="00791844"/>
    <w:rsid w:val="00792C5D"/>
    <w:rsid w:val="00795E4B"/>
    <w:rsid w:val="007979BD"/>
    <w:rsid w:val="007A0B97"/>
    <w:rsid w:val="007A5839"/>
    <w:rsid w:val="007A5CBE"/>
    <w:rsid w:val="007A6A2F"/>
    <w:rsid w:val="007B024E"/>
    <w:rsid w:val="007B0D27"/>
    <w:rsid w:val="007B3DDC"/>
    <w:rsid w:val="007B5C4C"/>
    <w:rsid w:val="007B6025"/>
    <w:rsid w:val="007B72A6"/>
    <w:rsid w:val="007B7946"/>
    <w:rsid w:val="007C06D2"/>
    <w:rsid w:val="007C08E0"/>
    <w:rsid w:val="007C0F57"/>
    <w:rsid w:val="007C40B6"/>
    <w:rsid w:val="007C5F23"/>
    <w:rsid w:val="007C729F"/>
    <w:rsid w:val="007D16FA"/>
    <w:rsid w:val="007D1A33"/>
    <w:rsid w:val="007D503D"/>
    <w:rsid w:val="007D59E7"/>
    <w:rsid w:val="007D5F2A"/>
    <w:rsid w:val="007D603B"/>
    <w:rsid w:val="007D60B2"/>
    <w:rsid w:val="007E1D28"/>
    <w:rsid w:val="007E490F"/>
    <w:rsid w:val="007F0021"/>
    <w:rsid w:val="007F2641"/>
    <w:rsid w:val="007F7C36"/>
    <w:rsid w:val="008055AF"/>
    <w:rsid w:val="008057CD"/>
    <w:rsid w:val="00805C8B"/>
    <w:rsid w:val="00806796"/>
    <w:rsid w:val="00810167"/>
    <w:rsid w:val="00810BB1"/>
    <w:rsid w:val="00811CC0"/>
    <w:rsid w:val="008151D6"/>
    <w:rsid w:val="00817EFD"/>
    <w:rsid w:val="00821527"/>
    <w:rsid w:val="00822696"/>
    <w:rsid w:val="00825A6C"/>
    <w:rsid w:val="0082617E"/>
    <w:rsid w:val="008268BB"/>
    <w:rsid w:val="00826F6D"/>
    <w:rsid w:val="008306F3"/>
    <w:rsid w:val="00830E40"/>
    <w:rsid w:val="00832D9A"/>
    <w:rsid w:val="00833583"/>
    <w:rsid w:val="00834DBE"/>
    <w:rsid w:val="00835C62"/>
    <w:rsid w:val="008368A1"/>
    <w:rsid w:val="00840EF7"/>
    <w:rsid w:val="00844C0A"/>
    <w:rsid w:val="0084546F"/>
    <w:rsid w:val="008456D1"/>
    <w:rsid w:val="00846056"/>
    <w:rsid w:val="0084681F"/>
    <w:rsid w:val="00847EC0"/>
    <w:rsid w:val="0085279D"/>
    <w:rsid w:val="00855FD6"/>
    <w:rsid w:val="00856DDD"/>
    <w:rsid w:val="00863E68"/>
    <w:rsid w:val="008647B5"/>
    <w:rsid w:val="00867D64"/>
    <w:rsid w:val="00875DCB"/>
    <w:rsid w:val="0087755A"/>
    <w:rsid w:val="008814A7"/>
    <w:rsid w:val="00882085"/>
    <w:rsid w:val="0088227D"/>
    <w:rsid w:val="00883188"/>
    <w:rsid w:val="00884A0C"/>
    <w:rsid w:val="00886ACA"/>
    <w:rsid w:val="0089031E"/>
    <w:rsid w:val="008937CD"/>
    <w:rsid w:val="0089460B"/>
    <w:rsid w:val="0089698C"/>
    <w:rsid w:val="00897D58"/>
    <w:rsid w:val="00897F22"/>
    <w:rsid w:val="008A0B39"/>
    <w:rsid w:val="008A17A3"/>
    <w:rsid w:val="008A1956"/>
    <w:rsid w:val="008A1AA7"/>
    <w:rsid w:val="008A1E85"/>
    <w:rsid w:val="008A2419"/>
    <w:rsid w:val="008A24DF"/>
    <w:rsid w:val="008A4937"/>
    <w:rsid w:val="008A50F1"/>
    <w:rsid w:val="008A59D9"/>
    <w:rsid w:val="008A643E"/>
    <w:rsid w:val="008A6819"/>
    <w:rsid w:val="008A6CD5"/>
    <w:rsid w:val="008B2EC0"/>
    <w:rsid w:val="008B6432"/>
    <w:rsid w:val="008B66C3"/>
    <w:rsid w:val="008B6DCF"/>
    <w:rsid w:val="008C6CBC"/>
    <w:rsid w:val="008D0945"/>
    <w:rsid w:val="008D1409"/>
    <w:rsid w:val="008D15CC"/>
    <w:rsid w:val="008D1729"/>
    <w:rsid w:val="008D1B5C"/>
    <w:rsid w:val="008D3C82"/>
    <w:rsid w:val="008D447E"/>
    <w:rsid w:val="008D465B"/>
    <w:rsid w:val="008D5B58"/>
    <w:rsid w:val="008D6ACF"/>
    <w:rsid w:val="008D7A41"/>
    <w:rsid w:val="008E2C72"/>
    <w:rsid w:val="008E3680"/>
    <w:rsid w:val="008E5870"/>
    <w:rsid w:val="008E77E4"/>
    <w:rsid w:val="008F0213"/>
    <w:rsid w:val="008F07ED"/>
    <w:rsid w:val="008F11F8"/>
    <w:rsid w:val="008F1434"/>
    <w:rsid w:val="008F2BB9"/>
    <w:rsid w:val="008F3D6A"/>
    <w:rsid w:val="008F54C3"/>
    <w:rsid w:val="008F7355"/>
    <w:rsid w:val="009023DC"/>
    <w:rsid w:val="009027C5"/>
    <w:rsid w:val="00904413"/>
    <w:rsid w:val="009066CC"/>
    <w:rsid w:val="009067B7"/>
    <w:rsid w:val="0090775A"/>
    <w:rsid w:val="00907DFD"/>
    <w:rsid w:val="009119DE"/>
    <w:rsid w:val="0091297D"/>
    <w:rsid w:val="00913C99"/>
    <w:rsid w:val="00914C78"/>
    <w:rsid w:val="00915CC0"/>
    <w:rsid w:val="00917133"/>
    <w:rsid w:val="009171D4"/>
    <w:rsid w:val="00917D69"/>
    <w:rsid w:val="00920B6D"/>
    <w:rsid w:val="00923AA4"/>
    <w:rsid w:val="00926560"/>
    <w:rsid w:val="00926B15"/>
    <w:rsid w:val="00930291"/>
    <w:rsid w:val="00930937"/>
    <w:rsid w:val="009324A6"/>
    <w:rsid w:val="00933E6C"/>
    <w:rsid w:val="00935A6E"/>
    <w:rsid w:val="00937958"/>
    <w:rsid w:val="009406E5"/>
    <w:rsid w:val="00941602"/>
    <w:rsid w:val="00942160"/>
    <w:rsid w:val="00946921"/>
    <w:rsid w:val="0095146F"/>
    <w:rsid w:val="00952325"/>
    <w:rsid w:val="00957086"/>
    <w:rsid w:val="00957944"/>
    <w:rsid w:val="009602C5"/>
    <w:rsid w:val="00962223"/>
    <w:rsid w:val="0096252B"/>
    <w:rsid w:val="00964A9F"/>
    <w:rsid w:val="00966439"/>
    <w:rsid w:val="00966D0D"/>
    <w:rsid w:val="00967732"/>
    <w:rsid w:val="0096783C"/>
    <w:rsid w:val="009722B3"/>
    <w:rsid w:val="00973E24"/>
    <w:rsid w:val="00974C21"/>
    <w:rsid w:val="00975948"/>
    <w:rsid w:val="00977BF3"/>
    <w:rsid w:val="009803E4"/>
    <w:rsid w:val="00980B0E"/>
    <w:rsid w:val="00982B39"/>
    <w:rsid w:val="009836A3"/>
    <w:rsid w:val="009855A8"/>
    <w:rsid w:val="00985D1A"/>
    <w:rsid w:val="009913F4"/>
    <w:rsid w:val="00991782"/>
    <w:rsid w:val="009937F7"/>
    <w:rsid w:val="0099465B"/>
    <w:rsid w:val="009951A1"/>
    <w:rsid w:val="00997A44"/>
    <w:rsid w:val="009A088B"/>
    <w:rsid w:val="009A0CDD"/>
    <w:rsid w:val="009A3168"/>
    <w:rsid w:val="009A4BDF"/>
    <w:rsid w:val="009A5D04"/>
    <w:rsid w:val="009A61CA"/>
    <w:rsid w:val="009B0C64"/>
    <w:rsid w:val="009B0F67"/>
    <w:rsid w:val="009B3F8C"/>
    <w:rsid w:val="009B6463"/>
    <w:rsid w:val="009C703C"/>
    <w:rsid w:val="009D206E"/>
    <w:rsid w:val="009D3CAA"/>
    <w:rsid w:val="009D507A"/>
    <w:rsid w:val="009D5138"/>
    <w:rsid w:val="009D6532"/>
    <w:rsid w:val="009D71FD"/>
    <w:rsid w:val="009E2588"/>
    <w:rsid w:val="009E2E8E"/>
    <w:rsid w:val="009E40E1"/>
    <w:rsid w:val="009E778E"/>
    <w:rsid w:val="009F0EFA"/>
    <w:rsid w:val="009F1F99"/>
    <w:rsid w:val="009F4E46"/>
    <w:rsid w:val="009F5B65"/>
    <w:rsid w:val="009F5F2E"/>
    <w:rsid w:val="009F6DE8"/>
    <w:rsid w:val="00A01432"/>
    <w:rsid w:val="00A033A3"/>
    <w:rsid w:val="00A06225"/>
    <w:rsid w:val="00A110D1"/>
    <w:rsid w:val="00A12587"/>
    <w:rsid w:val="00A125D5"/>
    <w:rsid w:val="00A128E6"/>
    <w:rsid w:val="00A144D3"/>
    <w:rsid w:val="00A17608"/>
    <w:rsid w:val="00A22AC3"/>
    <w:rsid w:val="00A23F3F"/>
    <w:rsid w:val="00A24067"/>
    <w:rsid w:val="00A24A4B"/>
    <w:rsid w:val="00A24BA5"/>
    <w:rsid w:val="00A2744D"/>
    <w:rsid w:val="00A30D16"/>
    <w:rsid w:val="00A34E6C"/>
    <w:rsid w:val="00A34FD0"/>
    <w:rsid w:val="00A36398"/>
    <w:rsid w:val="00A37C8D"/>
    <w:rsid w:val="00A4020E"/>
    <w:rsid w:val="00A40FB5"/>
    <w:rsid w:val="00A42826"/>
    <w:rsid w:val="00A429B3"/>
    <w:rsid w:val="00A44EC1"/>
    <w:rsid w:val="00A47716"/>
    <w:rsid w:val="00A510E4"/>
    <w:rsid w:val="00A5273B"/>
    <w:rsid w:val="00A53A9D"/>
    <w:rsid w:val="00A541B2"/>
    <w:rsid w:val="00A55FEE"/>
    <w:rsid w:val="00A57422"/>
    <w:rsid w:val="00A62C1A"/>
    <w:rsid w:val="00A6426D"/>
    <w:rsid w:val="00A665C1"/>
    <w:rsid w:val="00A673A4"/>
    <w:rsid w:val="00A7001A"/>
    <w:rsid w:val="00A70622"/>
    <w:rsid w:val="00A70977"/>
    <w:rsid w:val="00A70D58"/>
    <w:rsid w:val="00A744F9"/>
    <w:rsid w:val="00A74D85"/>
    <w:rsid w:val="00A77613"/>
    <w:rsid w:val="00A77B87"/>
    <w:rsid w:val="00A81851"/>
    <w:rsid w:val="00A82E20"/>
    <w:rsid w:val="00A8390C"/>
    <w:rsid w:val="00A86AE0"/>
    <w:rsid w:val="00A87F24"/>
    <w:rsid w:val="00A9062F"/>
    <w:rsid w:val="00A91362"/>
    <w:rsid w:val="00A9151C"/>
    <w:rsid w:val="00A919C6"/>
    <w:rsid w:val="00A91E78"/>
    <w:rsid w:val="00A928BD"/>
    <w:rsid w:val="00A97DE9"/>
    <w:rsid w:val="00AA0E0D"/>
    <w:rsid w:val="00AA12CD"/>
    <w:rsid w:val="00AA4D1C"/>
    <w:rsid w:val="00AA52FD"/>
    <w:rsid w:val="00AA7006"/>
    <w:rsid w:val="00AB06FA"/>
    <w:rsid w:val="00AB5856"/>
    <w:rsid w:val="00AB64DB"/>
    <w:rsid w:val="00AC10EA"/>
    <w:rsid w:val="00AC1317"/>
    <w:rsid w:val="00AC193C"/>
    <w:rsid w:val="00AC30C1"/>
    <w:rsid w:val="00AC478F"/>
    <w:rsid w:val="00AC4DE5"/>
    <w:rsid w:val="00AC5206"/>
    <w:rsid w:val="00AD0A5F"/>
    <w:rsid w:val="00AD3106"/>
    <w:rsid w:val="00AD3928"/>
    <w:rsid w:val="00AD4322"/>
    <w:rsid w:val="00AE11A5"/>
    <w:rsid w:val="00AE13E2"/>
    <w:rsid w:val="00AE1E1C"/>
    <w:rsid w:val="00AE22D3"/>
    <w:rsid w:val="00AE5A49"/>
    <w:rsid w:val="00AF11D8"/>
    <w:rsid w:val="00AF5867"/>
    <w:rsid w:val="00AF62DF"/>
    <w:rsid w:val="00AF68CC"/>
    <w:rsid w:val="00AF70D7"/>
    <w:rsid w:val="00B01FF4"/>
    <w:rsid w:val="00B0326D"/>
    <w:rsid w:val="00B05D7B"/>
    <w:rsid w:val="00B05DD8"/>
    <w:rsid w:val="00B06478"/>
    <w:rsid w:val="00B07533"/>
    <w:rsid w:val="00B075AE"/>
    <w:rsid w:val="00B07CFB"/>
    <w:rsid w:val="00B1059E"/>
    <w:rsid w:val="00B12761"/>
    <w:rsid w:val="00B14A36"/>
    <w:rsid w:val="00B1538A"/>
    <w:rsid w:val="00B16273"/>
    <w:rsid w:val="00B170A5"/>
    <w:rsid w:val="00B176C8"/>
    <w:rsid w:val="00B17EE5"/>
    <w:rsid w:val="00B205AA"/>
    <w:rsid w:val="00B210A2"/>
    <w:rsid w:val="00B22E84"/>
    <w:rsid w:val="00B23140"/>
    <w:rsid w:val="00B233AD"/>
    <w:rsid w:val="00B23E25"/>
    <w:rsid w:val="00B25F75"/>
    <w:rsid w:val="00B26B3F"/>
    <w:rsid w:val="00B2778F"/>
    <w:rsid w:val="00B30554"/>
    <w:rsid w:val="00B327E2"/>
    <w:rsid w:val="00B33635"/>
    <w:rsid w:val="00B34477"/>
    <w:rsid w:val="00B407D4"/>
    <w:rsid w:val="00B42AF4"/>
    <w:rsid w:val="00B43E90"/>
    <w:rsid w:val="00B441B9"/>
    <w:rsid w:val="00B467DC"/>
    <w:rsid w:val="00B51899"/>
    <w:rsid w:val="00B5392A"/>
    <w:rsid w:val="00B56118"/>
    <w:rsid w:val="00B566E1"/>
    <w:rsid w:val="00B57869"/>
    <w:rsid w:val="00B60966"/>
    <w:rsid w:val="00B6698B"/>
    <w:rsid w:val="00B6773F"/>
    <w:rsid w:val="00B70EB3"/>
    <w:rsid w:val="00B72906"/>
    <w:rsid w:val="00B7370D"/>
    <w:rsid w:val="00B74D31"/>
    <w:rsid w:val="00B7525E"/>
    <w:rsid w:val="00B760FB"/>
    <w:rsid w:val="00B76442"/>
    <w:rsid w:val="00B767AB"/>
    <w:rsid w:val="00B7754C"/>
    <w:rsid w:val="00B778F7"/>
    <w:rsid w:val="00B801BA"/>
    <w:rsid w:val="00B812D6"/>
    <w:rsid w:val="00B84D5C"/>
    <w:rsid w:val="00B85AF6"/>
    <w:rsid w:val="00B956ED"/>
    <w:rsid w:val="00B97AB2"/>
    <w:rsid w:val="00BA2DA8"/>
    <w:rsid w:val="00BA347C"/>
    <w:rsid w:val="00BB3469"/>
    <w:rsid w:val="00BB3766"/>
    <w:rsid w:val="00BB5C49"/>
    <w:rsid w:val="00BB6240"/>
    <w:rsid w:val="00BB6285"/>
    <w:rsid w:val="00BB69F5"/>
    <w:rsid w:val="00BB7EC3"/>
    <w:rsid w:val="00BC10AF"/>
    <w:rsid w:val="00BC245C"/>
    <w:rsid w:val="00BC470E"/>
    <w:rsid w:val="00BC4B9A"/>
    <w:rsid w:val="00BD02C3"/>
    <w:rsid w:val="00BD1024"/>
    <w:rsid w:val="00BD13F2"/>
    <w:rsid w:val="00BD2A9E"/>
    <w:rsid w:val="00BD7483"/>
    <w:rsid w:val="00BD784C"/>
    <w:rsid w:val="00BE020A"/>
    <w:rsid w:val="00BE13DF"/>
    <w:rsid w:val="00BE25D7"/>
    <w:rsid w:val="00BE3622"/>
    <w:rsid w:val="00BE5922"/>
    <w:rsid w:val="00BE6A1D"/>
    <w:rsid w:val="00BE7F01"/>
    <w:rsid w:val="00BF092C"/>
    <w:rsid w:val="00BF27A0"/>
    <w:rsid w:val="00BF2866"/>
    <w:rsid w:val="00BF4CB6"/>
    <w:rsid w:val="00C00DA7"/>
    <w:rsid w:val="00C03C5E"/>
    <w:rsid w:val="00C04CDE"/>
    <w:rsid w:val="00C04DCA"/>
    <w:rsid w:val="00C068A6"/>
    <w:rsid w:val="00C10F5D"/>
    <w:rsid w:val="00C12768"/>
    <w:rsid w:val="00C12D70"/>
    <w:rsid w:val="00C160AA"/>
    <w:rsid w:val="00C16724"/>
    <w:rsid w:val="00C21B09"/>
    <w:rsid w:val="00C22AF0"/>
    <w:rsid w:val="00C2673A"/>
    <w:rsid w:val="00C27B58"/>
    <w:rsid w:val="00C27C1C"/>
    <w:rsid w:val="00C33186"/>
    <w:rsid w:val="00C35996"/>
    <w:rsid w:val="00C35F6B"/>
    <w:rsid w:val="00C375B9"/>
    <w:rsid w:val="00C40F8B"/>
    <w:rsid w:val="00C4747E"/>
    <w:rsid w:val="00C5151E"/>
    <w:rsid w:val="00C5153B"/>
    <w:rsid w:val="00C52CB3"/>
    <w:rsid w:val="00C5342C"/>
    <w:rsid w:val="00C53B2B"/>
    <w:rsid w:val="00C57465"/>
    <w:rsid w:val="00C60272"/>
    <w:rsid w:val="00C603D4"/>
    <w:rsid w:val="00C6256A"/>
    <w:rsid w:val="00C63315"/>
    <w:rsid w:val="00C64EBC"/>
    <w:rsid w:val="00C664D2"/>
    <w:rsid w:val="00C710E2"/>
    <w:rsid w:val="00C71C3F"/>
    <w:rsid w:val="00C7409E"/>
    <w:rsid w:val="00C7464E"/>
    <w:rsid w:val="00C74D6D"/>
    <w:rsid w:val="00C7639D"/>
    <w:rsid w:val="00C76E76"/>
    <w:rsid w:val="00C77891"/>
    <w:rsid w:val="00C829A9"/>
    <w:rsid w:val="00C87B80"/>
    <w:rsid w:val="00C91449"/>
    <w:rsid w:val="00C92D10"/>
    <w:rsid w:val="00C9690D"/>
    <w:rsid w:val="00CA48D9"/>
    <w:rsid w:val="00CB1193"/>
    <w:rsid w:val="00CB4767"/>
    <w:rsid w:val="00CB493D"/>
    <w:rsid w:val="00CB4CC6"/>
    <w:rsid w:val="00CC3B97"/>
    <w:rsid w:val="00CC4776"/>
    <w:rsid w:val="00CC6A3E"/>
    <w:rsid w:val="00CC7B39"/>
    <w:rsid w:val="00CD05A9"/>
    <w:rsid w:val="00CD7C0B"/>
    <w:rsid w:val="00CE10C4"/>
    <w:rsid w:val="00CE27B5"/>
    <w:rsid w:val="00CE3360"/>
    <w:rsid w:val="00CE6DAF"/>
    <w:rsid w:val="00CF410A"/>
    <w:rsid w:val="00CF5593"/>
    <w:rsid w:val="00D0321E"/>
    <w:rsid w:val="00D05C2C"/>
    <w:rsid w:val="00D069EB"/>
    <w:rsid w:val="00D07A8A"/>
    <w:rsid w:val="00D11199"/>
    <w:rsid w:val="00D1455A"/>
    <w:rsid w:val="00D14A70"/>
    <w:rsid w:val="00D15041"/>
    <w:rsid w:val="00D22093"/>
    <w:rsid w:val="00D22CFA"/>
    <w:rsid w:val="00D31150"/>
    <w:rsid w:val="00D3138B"/>
    <w:rsid w:val="00D31FCE"/>
    <w:rsid w:val="00D3280C"/>
    <w:rsid w:val="00D3406A"/>
    <w:rsid w:val="00D40315"/>
    <w:rsid w:val="00D40B11"/>
    <w:rsid w:val="00D41431"/>
    <w:rsid w:val="00D429EC"/>
    <w:rsid w:val="00D441F1"/>
    <w:rsid w:val="00D4572C"/>
    <w:rsid w:val="00D469B2"/>
    <w:rsid w:val="00D546C7"/>
    <w:rsid w:val="00D54B09"/>
    <w:rsid w:val="00D6243E"/>
    <w:rsid w:val="00D65658"/>
    <w:rsid w:val="00D67EB2"/>
    <w:rsid w:val="00D72B6F"/>
    <w:rsid w:val="00D741EB"/>
    <w:rsid w:val="00D7679C"/>
    <w:rsid w:val="00D820F3"/>
    <w:rsid w:val="00D83605"/>
    <w:rsid w:val="00D84934"/>
    <w:rsid w:val="00D85D20"/>
    <w:rsid w:val="00D866EB"/>
    <w:rsid w:val="00D87D1A"/>
    <w:rsid w:val="00D91271"/>
    <w:rsid w:val="00D919F5"/>
    <w:rsid w:val="00D945F6"/>
    <w:rsid w:val="00D94F03"/>
    <w:rsid w:val="00D95091"/>
    <w:rsid w:val="00D95161"/>
    <w:rsid w:val="00D956EF"/>
    <w:rsid w:val="00DA0A82"/>
    <w:rsid w:val="00DA0D14"/>
    <w:rsid w:val="00DA1FC9"/>
    <w:rsid w:val="00DA2CB5"/>
    <w:rsid w:val="00DA4BAC"/>
    <w:rsid w:val="00DA7F92"/>
    <w:rsid w:val="00DB0151"/>
    <w:rsid w:val="00DB03D5"/>
    <w:rsid w:val="00DB50E1"/>
    <w:rsid w:val="00DC0566"/>
    <w:rsid w:val="00DC1499"/>
    <w:rsid w:val="00DC2C3E"/>
    <w:rsid w:val="00DC3137"/>
    <w:rsid w:val="00DC4880"/>
    <w:rsid w:val="00DD42AB"/>
    <w:rsid w:val="00DE06AF"/>
    <w:rsid w:val="00DE4B54"/>
    <w:rsid w:val="00DE6068"/>
    <w:rsid w:val="00DE6A13"/>
    <w:rsid w:val="00DE6D27"/>
    <w:rsid w:val="00DF01F8"/>
    <w:rsid w:val="00DF021D"/>
    <w:rsid w:val="00DF217D"/>
    <w:rsid w:val="00DF26A7"/>
    <w:rsid w:val="00DF3277"/>
    <w:rsid w:val="00DF77A1"/>
    <w:rsid w:val="00DF7919"/>
    <w:rsid w:val="00E002E7"/>
    <w:rsid w:val="00E0207E"/>
    <w:rsid w:val="00E02AE6"/>
    <w:rsid w:val="00E03912"/>
    <w:rsid w:val="00E04748"/>
    <w:rsid w:val="00E078D9"/>
    <w:rsid w:val="00E10293"/>
    <w:rsid w:val="00E103A0"/>
    <w:rsid w:val="00E13E60"/>
    <w:rsid w:val="00E149AD"/>
    <w:rsid w:val="00E15627"/>
    <w:rsid w:val="00E164B3"/>
    <w:rsid w:val="00E16910"/>
    <w:rsid w:val="00E23735"/>
    <w:rsid w:val="00E239E2"/>
    <w:rsid w:val="00E24E09"/>
    <w:rsid w:val="00E27234"/>
    <w:rsid w:val="00E3495C"/>
    <w:rsid w:val="00E36CB0"/>
    <w:rsid w:val="00E37790"/>
    <w:rsid w:val="00E42667"/>
    <w:rsid w:val="00E42BDB"/>
    <w:rsid w:val="00E433BC"/>
    <w:rsid w:val="00E47A17"/>
    <w:rsid w:val="00E52AEB"/>
    <w:rsid w:val="00E5726D"/>
    <w:rsid w:val="00E57EEB"/>
    <w:rsid w:val="00E604B7"/>
    <w:rsid w:val="00E60AC1"/>
    <w:rsid w:val="00E62D94"/>
    <w:rsid w:val="00E62ECC"/>
    <w:rsid w:val="00E64F37"/>
    <w:rsid w:val="00E65091"/>
    <w:rsid w:val="00E65E54"/>
    <w:rsid w:val="00E661C7"/>
    <w:rsid w:val="00E6650B"/>
    <w:rsid w:val="00E71BC5"/>
    <w:rsid w:val="00E732C4"/>
    <w:rsid w:val="00E74E41"/>
    <w:rsid w:val="00E80155"/>
    <w:rsid w:val="00E8134B"/>
    <w:rsid w:val="00E81E0D"/>
    <w:rsid w:val="00E81F28"/>
    <w:rsid w:val="00E836DE"/>
    <w:rsid w:val="00E848C0"/>
    <w:rsid w:val="00E8533C"/>
    <w:rsid w:val="00E86F92"/>
    <w:rsid w:val="00E91339"/>
    <w:rsid w:val="00E91B96"/>
    <w:rsid w:val="00E935DA"/>
    <w:rsid w:val="00E93D1E"/>
    <w:rsid w:val="00E941A1"/>
    <w:rsid w:val="00E95CE3"/>
    <w:rsid w:val="00E96DA3"/>
    <w:rsid w:val="00E97517"/>
    <w:rsid w:val="00EA0856"/>
    <w:rsid w:val="00EA252F"/>
    <w:rsid w:val="00EA2825"/>
    <w:rsid w:val="00EA42DA"/>
    <w:rsid w:val="00EA6518"/>
    <w:rsid w:val="00EA71A2"/>
    <w:rsid w:val="00EA7466"/>
    <w:rsid w:val="00EA7EDE"/>
    <w:rsid w:val="00EB0B63"/>
    <w:rsid w:val="00EB1936"/>
    <w:rsid w:val="00EB3545"/>
    <w:rsid w:val="00EB37BE"/>
    <w:rsid w:val="00EB4BAE"/>
    <w:rsid w:val="00EB5088"/>
    <w:rsid w:val="00EC2726"/>
    <w:rsid w:val="00EC66D9"/>
    <w:rsid w:val="00EC7D5F"/>
    <w:rsid w:val="00ED1644"/>
    <w:rsid w:val="00ED2593"/>
    <w:rsid w:val="00ED7D55"/>
    <w:rsid w:val="00ED7D9C"/>
    <w:rsid w:val="00EE2EA8"/>
    <w:rsid w:val="00EE31A2"/>
    <w:rsid w:val="00EF0069"/>
    <w:rsid w:val="00EF44A0"/>
    <w:rsid w:val="00EF4580"/>
    <w:rsid w:val="00EF4FED"/>
    <w:rsid w:val="00EF5F45"/>
    <w:rsid w:val="00EF6843"/>
    <w:rsid w:val="00EF6FB3"/>
    <w:rsid w:val="00EF78FB"/>
    <w:rsid w:val="00F007C6"/>
    <w:rsid w:val="00F0172E"/>
    <w:rsid w:val="00F050BD"/>
    <w:rsid w:val="00F05657"/>
    <w:rsid w:val="00F05AB0"/>
    <w:rsid w:val="00F12C74"/>
    <w:rsid w:val="00F1559A"/>
    <w:rsid w:val="00F17316"/>
    <w:rsid w:val="00F17ED6"/>
    <w:rsid w:val="00F20676"/>
    <w:rsid w:val="00F209E2"/>
    <w:rsid w:val="00F2174F"/>
    <w:rsid w:val="00F25578"/>
    <w:rsid w:val="00F258E5"/>
    <w:rsid w:val="00F25B9C"/>
    <w:rsid w:val="00F260A6"/>
    <w:rsid w:val="00F2675A"/>
    <w:rsid w:val="00F26CC6"/>
    <w:rsid w:val="00F270BF"/>
    <w:rsid w:val="00F300BC"/>
    <w:rsid w:val="00F3263C"/>
    <w:rsid w:val="00F3334E"/>
    <w:rsid w:val="00F36CCB"/>
    <w:rsid w:val="00F374E5"/>
    <w:rsid w:val="00F37B93"/>
    <w:rsid w:val="00F37BAD"/>
    <w:rsid w:val="00F37ECA"/>
    <w:rsid w:val="00F40A1C"/>
    <w:rsid w:val="00F425E1"/>
    <w:rsid w:val="00F43AF2"/>
    <w:rsid w:val="00F44293"/>
    <w:rsid w:val="00F45216"/>
    <w:rsid w:val="00F4579A"/>
    <w:rsid w:val="00F5007E"/>
    <w:rsid w:val="00F5081A"/>
    <w:rsid w:val="00F50EC4"/>
    <w:rsid w:val="00F5145F"/>
    <w:rsid w:val="00F52232"/>
    <w:rsid w:val="00F52DC2"/>
    <w:rsid w:val="00F52F82"/>
    <w:rsid w:val="00F550CF"/>
    <w:rsid w:val="00F553D2"/>
    <w:rsid w:val="00F56958"/>
    <w:rsid w:val="00F57A6D"/>
    <w:rsid w:val="00F62F19"/>
    <w:rsid w:val="00F638CC"/>
    <w:rsid w:val="00F64C9E"/>
    <w:rsid w:val="00F64CC1"/>
    <w:rsid w:val="00F71513"/>
    <w:rsid w:val="00F72317"/>
    <w:rsid w:val="00F73DC1"/>
    <w:rsid w:val="00F740F5"/>
    <w:rsid w:val="00F75BB8"/>
    <w:rsid w:val="00F80475"/>
    <w:rsid w:val="00F80E6E"/>
    <w:rsid w:val="00F81390"/>
    <w:rsid w:val="00F81F7A"/>
    <w:rsid w:val="00F8247A"/>
    <w:rsid w:val="00F82E5C"/>
    <w:rsid w:val="00F83F58"/>
    <w:rsid w:val="00F845F2"/>
    <w:rsid w:val="00F85206"/>
    <w:rsid w:val="00F87CEA"/>
    <w:rsid w:val="00F90EA0"/>
    <w:rsid w:val="00F93C05"/>
    <w:rsid w:val="00F948DB"/>
    <w:rsid w:val="00F9629A"/>
    <w:rsid w:val="00F97EFC"/>
    <w:rsid w:val="00FA0C7C"/>
    <w:rsid w:val="00FA0D86"/>
    <w:rsid w:val="00FA1BDD"/>
    <w:rsid w:val="00FA305C"/>
    <w:rsid w:val="00FA462E"/>
    <w:rsid w:val="00FA4DD5"/>
    <w:rsid w:val="00FA5883"/>
    <w:rsid w:val="00FA6055"/>
    <w:rsid w:val="00FB0B39"/>
    <w:rsid w:val="00FB2854"/>
    <w:rsid w:val="00FB321F"/>
    <w:rsid w:val="00FB322F"/>
    <w:rsid w:val="00FB442F"/>
    <w:rsid w:val="00FC118C"/>
    <w:rsid w:val="00FC1929"/>
    <w:rsid w:val="00FC3731"/>
    <w:rsid w:val="00FC5B46"/>
    <w:rsid w:val="00FD1D4F"/>
    <w:rsid w:val="00FD24BF"/>
    <w:rsid w:val="00FD3B6E"/>
    <w:rsid w:val="00FD422F"/>
    <w:rsid w:val="00FD47FB"/>
    <w:rsid w:val="00FD57EB"/>
    <w:rsid w:val="00FD6D8E"/>
    <w:rsid w:val="00FE0663"/>
    <w:rsid w:val="00FE0E94"/>
    <w:rsid w:val="00FE369C"/>
    <w:rsid w:val="00FE3CD9"/>
    <w:rsid w:val="00FE55F8"/>
    <w:rsid w:val="00FF00BD"/>
    <w:rsid w:val="00FF0B13"/>
    <w:rsid w:val="00FF0FAE"/>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66B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27D"/>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Summary box,Table Gridbeth,CMA Table Template,ASD Table,new style,PBAC table,Header Table,NICE instructions,Source table_,HTAtableplain"/>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qFormat/>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Bullet 1,Bullets Points,Styl moj"/>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aliases w:val="- H19"/>
    <w:basedOn w:val="Normal"/>
    <w:link w:val="CommentTextChar"/>
    <w:rsid w:val="00BB7EC3"/>
    <w:rPr>
      <w:sz w:val="20"/>
      <w:szCs w:val="20"/>
    </w:rPr>
  </w:style>
  <w:style w:type="character" w:customStyle="1" w:styleId="CommentTextChar">
    <w:name w:val="Comment Text Char"/>
    <w:aliases w:val="- H19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paragraph" w:styleId="ListBullet2">
    <w:name w:val="List Bullet 2"/>
    <w:basedOn w:val="Normal"/>
    <w:unhideWhenUsed/>
    <w:rsid w:val="000F1CB3"/>
    <w:pPr>
      <w:numPr>
        <w:numId w:val="7"/>
      </w:numPr>
      <w:contextualSpacing/>
    </w:pPr>
  </w:style>
  <w:style w:type="paragraph" w:customStyle="1" w:styleId="Paragraph">
    <w:name w:val="Paragraph"/>
    <w:link w:val="ParagraphChar"/>
    <w:qFormat/>
    <w:rsid w:val="000F1CB3"/>
    <w:pPr>
      <w:spacing w:after="240"/>
    </w:pPr>
    <w:rPr>
      <w:sz w:val="24"/>
      <w:szCs w:val="24"/>
      <w:lang w:val="en-US" w:eastAsia="en-US"/>
    </w:rPr>
  </w:style>
  <w:style w:type="character" w:customStyle="1" w:styleId="ParagraphChar">
    <w:name w:val="Paragraph Char"/>
    <w:link w:val="Paragraph"/>
    <w:rsid w:val="000F1CB3"/>
    <w:rPr>
      <w:sz w:val="24"/>
      <w:szCs w:val="24"/>
      <w:lang w:val="en-US" w:eastAsia="en-US"/>
    </w:rPr>
  </w:style>
  <w:style w:type="character" w:customStyle="1" w:styleId="SmallBold">
    <w:name w:val="Small Bold"/>
    <w:basedOn w:val="DefaultParagraphFont"/>
    <w:uiPriority w:val="4"/>
    <w:qFormat/>
    <w:rsid w:val="00BD2A9E"/>
    <w:rPr>
      <w:rFonts w:ascii="Candara" w:hAnsi="Candara"/>
      <w:b/>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9548489">
      <w:bodyDiv w:val="1"/>
      <w:marLeft w:val="0"/>
      <w:marRight w:val="0"/>
      <w:marTop w:val="0"/>
      <w:marBottom w:val="0"/>
      <w:divBdr>
        <w:top w:val="none" w:sz="0" w:space="0" w:color="auto"/>
        <w:left w:val="none" w:sz="0" w:space="0" w:color="auto"/>
        <w:bottom w:val="none" w:sz="0" w:space="0" w:color="auto"/>
        <w:right w:val="none" w:sz="0" w:space="0" w:color="auto"/>
      </w:divBdr>
      <w:divsChild>
        <w:div w:id="871573357">
          <w:marLeft w:val="0"/>
          <w:marRight w:val="0"/>
          <w:marTop w:val="0"/>
          <w:marBottom w:val="0"/>
          <w:divBdr>
            <w:top w:val="none" w:sz="0" w:space="0" w:color="auto"/>
            <w:left w:val="none" w:sz="0" w:space="0" w:color="auto"/>
            <w:bottom w:val="none" w:sz="0" w:space="0" w:color="auto"/>
            <w:right w:val="none" w:sz="0" w:space="0" w:color="auto"/>
          </w:divBdr>
          <w:divsChild>
            <w:div w:id="803889684">
              <w:marLeft w:val="0"/>
              <w:marRight w:val="0"/>
              <w:marTop w:val="0"/>
              <w:marBottom w:val="0"/>
              <w:divBdr>
                <w:top w:val="none" w:sz="0" w:space="0" w:color="auto"/>
                <w:left w:val="none" w:sz="0" w:space="0" w:color="auto"/>
                <w:bottom w:val="none" w:sz="0" w:space="0" w:color="auto"/>
                <w:right w:val="none" w:sz="0" w:space="0" w:color="auto"/>
              </w:divBdr>
              <w:divsChild>
                <w:div w:id="1963418142">
                  <w:marLeft w:val="0"/>
                  <w:marRight w:val="0"/>
                  <w:marTop w:val="0"/>
                  <w:marBottom w:val="0"/>
                  <w:divBdr>
                    <w:top w:val="none" w:sz="0" w:space="0" w:color="auto"/>
                    <w:left w:val="none" w:sz="0" w:space="0" w:color="auto"/>
                    <w:bottom w:val="none" w:sz="0" w:space="0" w:color="auto"/>
                    <w:right w:val="none" w:sz="0" w:space="0" w:color="auto"/>
                  </w:divBdr>
                  <w:divsChild>
                    <w:div w:id="1828399403">
                      <w:marLeft w:val="0"/>
                      <w:marRight w:val="0"/>
                      <w:marTop w:val="0"/>
                      <w:marBottom w:val="0"/>
                      <w:divBdr>
                        <w:top w:val="none" w:sz="0" w:space="0" w:color="auto"/>
                        <w:left w:val="none" w:sz="0" w:space="0" w:color="auto"/>
                        <w:bottom w:val="none" w:sz="0" w:space="0" w:color="auto"/>
                        <w:right w:val="none" w:sz="0" w:space="0" w:color="auto"/>
                      </w:divBdr>
                      <w:divsChild>
                        <w:div w:id="465858394">
                          <w:marLeft w:val="0"/>
                          <w:marRight w:val="0"/>
                          <w:marTop w:val="0"/>
                          <w:marBottom w:val="0"/>
                          <w:divBdr>
                            <w:top w:val="none" w:sz="0" w:space="0" w:color="auto"/>
                            <w:left w:val="none" w:sz="0" w:space="0" w:color="auto"/>
                            <w:bottom w:val="none" w:sz="0" w:space="0" w:color="auto"/>
                            <w:right w:val="none" w:sz="0" w:space="0" w:color="auto"/>
                          </w:divBdr>
                          <w:divsChild>
                            <w:div w:id="1452044330">
                              <w:marLeft w:val="0"/>
                              <w:marRight w:val="0"/>
                              <w:marTop w:val="0"/>
                              <w:marBottom w:val="0"/>
                              <w:divBdr>
                                <w:top w:val="none" w:sz="0" w:space="0" w:color="auto"/>
                                <w:left w:val="none" w:sz="0" w:space="0" w:color="auto"/>
                                <w:bottom w:val="none" w:sz="0" w:space="0" w:color="auto"/>
                                <w:right w:val="none" w:sz="0" w:space="0" w:color="auto"/>
                              </w:divBdr>
                              <w:divsChild>
                                <w:div w:id="2057468945">
                                  <w:marLeft w:val="0"/>
                                  <w:marRight w:val="0"/>
                                  <w:marTop w:val="0"/>
                                  <w:marBottom w:val="0"/>
                                  <w:divBdr>
                                    <w:top w:val="none" w:sz="0" w:space="0" w:color="auto"/>
                                    <w:left w:val="none" w:sz="0" w:space="0" w:color="auto"/>
                                    <w:bottom w:val="none" w:sz="0" w:space="0" w:color="auto"/>
                                    <w:right w:val="none" w:sz="0" w:space="0" w:color="auto"/>
                                  </w:divBdr>
                                  <w:divsChild>
                                    <w:div w:id="228662711">
                                      <w:marLeft w:val="0"/>
                                      <w:marRight w:val="0"/>
                                      <w:marTop w:val="0"/>
                                      <w:marBottom w:val="0"/>
                                      <w:divBdr>
                                        <w:top w:val="none" w:sz="0" w:space="0" w:color="auto"/>
                                        <w:left w:val="none" w:sz="0" w:space="0" w:color="auto"/>
                                        <w:bottom w:val="none" w:sz="0" w:space="0" w:color="auto"/>
                                        <w:right w:val="none" w:sz="0" w:space="0" w:color="auto"/>
                                      </w:divBdr>
                                      <w:divsChild>
                                        <w:div w:id="926697727">
                                          <w:marLeft w:val="0"/>
                                          <w:marRight w:val="0"/>
                                          <w:marTop w:val="0"/>
                                          <w:marBottom w:val="0"/>
                                          <w:divBdr>
                                            <w:top w:val="none" w:sz="0" w:space="0" w:color="auto"/>
                                            <w:left w:val="none" w:sz="0" w:space="0" w:color="auto"/>
                                            <w:bottom w:val="none" w:sz="0" w:space="0" w:color="auto"/>
                                            <w:right w:val="none" w:sz="0" w:space="0" w:color="auto"/>
                                          </w:divBdr>
                                          <w:divsChild>
                                            <w:div w:id="1388069157">
                                              <w:marLeft w:val="0"/>
                                              <w:marRight w:val="0"/>
                                              <w:marTop w:val="0"/>
                                              <w:marBottom w:val="0"/>
                                              <w:divBdr>
                                                <w:top w:val="none" w:sz="0" w:space="0" w:color="auto"/>
                                                <w:left w:val="none" w:sz="0" w:space="0" w:color="auto"/>
                                                <w:bottom w:val="none" w:sz="0" w:space="0" w:color="auto"/>
                                                <w:right w:val="none" w:sz="0" w:space="0" w:color="auto"/>
                                              </w:divBdr>
                                              <w:divsChild>
                                                <w:div w:id="1018193055">
                                                  <w:marLeft w:val="0"/>
                                                  <w:marRight w:val="0"/>
                                                  <w:marTop w:val="0"/>
                                                  <w:marBottom w:val="0"/>
                                                  <w:divBdr>
                                                    <w:top w:val="none" w:sz="0" w:space="0" w:color="auto"/>
                                                    <w:left w:val="none" w:sz="0" w:space="0" w:color="auto"/>
                                                    <w:bottom w:val="none" w:sz="0" w:space="0" w:color="auto"/>
                                                    <w:right w:val="none" w:sz="0" w:space="0" w:color="auto"/>
                                                  </w:divBdr>
                                                  <w:divsChild>
                                                    <w:div w:id="687559764">
                                                      <w:marLeft w:val="0"/>
                                                      <w:marRight w:val="0"/>
                                                      <w:marTop w:val="0"/>
                                                      <w:marBottom w:val="0"/>
                                                      <w:divBdr>
                                                        <w:top w:val="none" w:sz="0" w:space="0" w:color="auto"/>
                                                        <w:left w:val="none" w:sz="0" w:space="0" w:color="auto"/>
                                                        <w:bottom w:val="none" w:sz="0" w:space="0" w:color="auto"/>
                                                        <w:right w:val="none" w:sz="0" w:space="0" w:color="auto"/>
                                                      </w:divBdr>
                                                      <w:divsChild>
                                                        <w:div w:id="169287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602104">
      <w:bodyDiv w:val="1"/>
      <w:marLeft w:val="0"/>
      <w:marRight w:val="0"/>
      <w:marTop w:val="0"/>
      <w:marBottom w:val="0"/>
      <w:divBdr>
        <w:top w:val="none" w:sz="0" w:space="0" w:color="auto"/>
        <w:left w:val="none" w:sz="0" w:space="0" w:color="auto"/>
        <w:bottom w:val="none" w:sz="0" w:space="0" w:color="auto"/>
        <w:right w:val="none" w:sz="0" w:space="0" w:color="auto"/>
      </w:divBdr>
      <w:divsChild>
        <w:div w:id="1221016630">
          <w:marLeft w:val="994"/>
          <w:marRight w:val="0"/>
          <w:marTop w:val="0"/>
          <w:marBottom w:val="0"/>
          <w:divBdr>
            <w:top w:val="none" w:sz="0" w:space="0" w:color="auto"/>
            <w:left w:val="none" w:sz="0" w:space="0" w:color="auto"/>
            <w:bottom w:val="none" w:sz="0" w:space="0" w:color="auto"/>
            <w:right w:val="none" w:sz="0" w:space="0" w:color="auto"/>
          </w:divBdr>
        </w:div>
      </w:divsChild>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590159766">
      <w:bodyDiv w:val="1"/>
      <w:marLeft w:val="0"/>
      <w:marRight w:val="0"/>
      <w:marTop w:val="0"/>
      <w:marBottom w:val="0"/>
      <w:divBdr>
        <w:top w:val="none" w:sz="0" w:space="0" w:color="auto"/>
        <w:left w:val="none" w:sz="0" w:space="0" w:color="auto"/>
        <w:bottom w:val="none" w:sz="0" w:space="0" w:color="auto"/>
        <w:right w:val="none" w:sz="0" w:space="0" w:color="auto"/>
      </w:divBdr>
      <w:divsChild>
        <w:div w:id="1138959270">
          <w:marLeft w:val="0"/>
          <w:marRight w:val="0"/>
          <w:marTop w:val="0"/>
          <w:marBottom w:val="0"/>
          <w:divBdr>
            <w:top w:val="none" w:sz="0" w:space="0" w:color="auto"/>
            <w:left w:val="none" w:sz="0" w:space="0" w:color="auto"/>
            <w:bottom w:val="none" w:sz="0" w:space="0" w:color="auto"/>
            <w:right w:val="none" w:sz="0" w:space="0" w:color="auto"/>
          </w:divBdr>
          <w:divsChild>
            <w:div w:id="1669140326">
              <w:marLeft w:val="0"/>
              <w:marRight w:val="0"/>
              <w:marTop w:val="0"/>
              <w:marBottom w:val="0"/>
              <w:divBdr>
                <w:top w:val="none" w:sz="0" w:space="0" w:color="auto"/>
                <w:left w:val="none" w:sz="0" w:space="0" w:color="auto"/>
                <w:bottom w:val="none" w:sz="0" w:space="0" w:color="auto"/>
                <w:right w:val="none" w:sz="0" w:space="0" w:color="auto"/>
              </w:divBdr>
              <w:divsChild>
                <w:div w:id="921724471">
                  <w:marLeft w:val="0"/>
                  <w:marRight w:val="0"/>
                  <w:marTop w:val="0"/>
                  <w:marBottom w:val="0"/>
                  <w:divBdr>
                    <w:top w:val="none" w:sz="0" w:space="0" w:color="auto"/>
                    <w:left w:val="none" w:sz="0" w:space="0" w:color="auto"/>
                    <w:bottom w:val="none" w:sz="0" w:space="0" w:color="auto"/>
                    <w:right w:val="none" w:sz="0" w:space="0" w:color="auto"/>
                  </w:divBdr>
                  <w:divsChild>
                    <w:div w:id="417410279">
                      <w:marLeft w:val="0"/>
                      <w:marRight w:val="0"/>
                      <w:marTop w:val="0"/>
                      <w:marBottom w:val="0"/>
                      <w:divBdr>
                        <w:top w:val="none" w:sz="0" w:space="0" w:color="auto"/>
                        <w:left w:val="none" w:sz="0" w:space="0" w:color="auto"/>
                        <w:bottom w:val="none" w:sz="0" w:space="0" w:color="auto"/>
                        <w:right w:val="none" w:sz="0" w:space="0" w:color="auto"/>
                      </w:divBdr>
                      <w:divsChild>
                        <w:div w:id="681736535">
                          <w:marLeft w:val="0"/>
                          <w:marRight w:val="0"/>
                          <w:marTop w:val="0"/>
                          <w:marBottom w:val="0"/>
                          <w:divBdr>
                            <w:top w:val="none" w:sz="0" w:space="0" w:color="auto"/>
                            <w:left w:val="none" w:sz="0" w:space="0" w:color="auto"/>
                            <w:bottom w:val="none" w:sz="0" w:space="0" w:color="auto"/>
                            <w:right w:val="none" w:sz="0" w:space="0" w:color="auto"/>
                          </w:divBdr>
                          <w:divsChild>
                            <w:div w:id="2035422420">
                              <w:marLeft w:val="0"/>
                              <w:marRight w:val="0"/>
                              <w:marTop w:val="0"/>
                              <w:marBottom w:val="0"/>
                              <w:divBdr>
                                <w:top w:val="none" w:sz="0" w:space="0" w:color="auto"/>
                                <w:left w:val="none" w:sz="0" w:space="0" w:color="auto"/>
                                <w:bottom w:val="none" w:sz="0" w:space="0" w:color="auto"/>
                                <w:right w:val="none" w:sz="0" w:space="0" w:color="auto"/>
                              </w:divBdr>
                              <w:divsChild>
                                <w:div w:id="1288120543">
                                  <w:marLeft w:val="0"/>
                                  <w:marRight w:val="0"/>
                                  <w:marTop w:val="0"/>
                                  <w:marBottom w:val="0"/>
                                  <w:divBdr>
                                    <w:top w:val="none" w:sz="0" w:space="0" w:color="auto"/>
                                    <w:left w:val="none" w:sz="0" w:space="0" w:color="auto"/>
                                    <w:bottom w:val="none" w:sz="0" w:space="0" w:color="auto"/>
                                    <w:right w:val="none" w:sz="0" w:space="0" w:color="auto"/>
                                  </w:divBdr>
                                  <w:divsChild>
                                    <w:div w:id="397017961">
                                      <w:marLeft w:val="0"/>
                                      <w:marRight w:val="0"/>
                                      <w:marTop w:val="0"/>
                                      <w:marBottom w:val="0"/>
                                      <w:divBdr>
                                        <w:top w:val="none" w:sz="0" w:space="0" w:color="auto"/>
                                        <w:left w:val="none" w:sz="0" w:space="0" w:color="auto"/>
                                        <w:bottom w:val="none" w:sz="0" w:space="0" w:color="auto"/>
                                        <w:right w:val="none" w:sz="0" w:space="0" w:color="auto"/>
                                      </w:divBdr>
                                      <w:divsChild>
                                        <w:div w:id="221714508">
                                          <w:marLeft w:val="0"/>
                                          <w:marRight w:val="0"/>
                                          <w:marTop w:val="0"/>
                                          <w:marBottom w:val="0"/>
                                          <w:divBdr>
                                            <w:top w:val="none" w:sz="0" w:space="0" w:color="auto"/>
                                            <w:left w:val="none" w:sz="0" w:space="0" w:color="auto"/>
                                            <w:bottom w:val="none" w:sz="0" w:space="0" w:color="auto"/>
                                            <w:right w:val="none" w:sz="0" w:space="0" w:color="auto"/>
                                          </w:divBdr>
                                          <w:divsChild>
                                            <w:div w:id="685405162">
                                              <w:marLeft w:val="0"/>
                                              <w:marRight w:val="0"/>
                                              <w:marTop w:val="0"/>
                                              <w:marBottom w:val="0"/>
                                              <w:divBdr>
                                                <w:top w:val="none" w:sz="0" w:space="0" w:color="auto"/>
                                                <w:left w:val="none" w:sz="0" w:space="0" w:color="auto"/>
                                                <w:bottom w:val="none" w:sz="0" w:space="0" w:color="auto"/>
                                                <w:right w:val="none" w:sz="0" w:space="0" w:color="auto"/>
                                              </w:divBdr>
                                              <w:divsChild>
                                                <w:div w:id="604966050">
                                                  <w:marLeft w:val="0"/>
                                                  <w:marRight w:val="0"/>
                                                  <w:marTop w:val="0"/>
                                                  <w:marBottom w:val="0"/>
                                                  <w:divBdr>
                                                    <w:top w:val="none" w:sz="0" w:space="0" w:color="auto"/>
                                                    <w:left w:val="none" w:sz="0" w:space="0" w:color="auto"/>
                                                    <w:bottom w:val="none" w:sz="0" w:space="0" w:color="auto"/>
                                                    <w:right w:val="none" w:sz="0" w:space="0" w:color="auto"/>
                                                  </w:divBdr>
                                                  <w:divsChild>
                                                    <w:div w:id="1779522007">
                                                      <w:marLeft w:val="0"/>
                                                      <w:marRight w:val="0"/>
                                                      <w:marTop w:val="0"/>
                                                      <w:marBottom w:val="0"/>
                                                      <w:divBdr>
                                                        <w:top w:val="none" w:sz="0" w:space="0" w:color="auto"/>
                                                        <w:left w:val="none" w:sz="0" w:space="0" w:color="auto"/>
                                                        <w:bottom w:val="none" w:sz="0" w:space="0" w:color="auto"/>
                                                        <w:right w:val="none" w:sz="0" w:space="0" w:color="auto"/>
                                                      </w:divBdr>
                                                      <w:divsChild>
                                                        <w:div w:id="26496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5410521">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23345884">
      <w:bodyDiv w:val="1"/>
      <w:marLeft w:val="0"/>
      <w:marRight w:val="0"/>
      <w:marTop w:val="0"/>
      <w:marBottom w:val="0"/>
      <w:divBdr>
        <w:top w:val="none" w:sz="0" w:space="0" w:color="auto"/>
        <w:left w:val="none" w:sz="0" w:space="0" w:color="auto"/>
        <w:bottom w:val="none" w:sz="0" w:space="0" w:color="auto"/>
        <w:right w:val="none" w:sz="0" w:space="0" w:color="auto"/>
      </w:divBdr>
      <w:divsChild>
        <w:div w:id="2067409442">
          <w:marLeft w:val="0"/>
          <w:marRight w:val="0"/>
          <w:marTop w:val="0"/>
          <w:marBottom w:val="0"/>
          <w:divBdr>
            <w:top w:val="none" w:sz="0" w:space="0" w:color="auto"/>
            <w:left w:val="none" w:sz="0" w:space="0" w:color="auto"/>
            <w:bottom w:val="none" w:sz="0" w:space="0" w:color="auto"/>
            <w:right w:val="none" w:sz="0" w:space="0" w:color="auto"/>
          </w:divBdr>
          <w:divsChild>
            <w:div w:id="1112628967">
              <w:marLeft w:val="0"/>
              <w:marRight w:val="0"/>
              <w:marTop w:val="0"/>
              <w:marBottom w:val="0"/>
              <w:divBdr>
                <w:top w:val="none" w:sz="0" w:space="0" w:color="auto"/>
                <w:left w:val="none" w:sz="0" w:space="0" w:color="auto"/>
                <w:bottom w:val="none" w:sz="0" w:space="0" w:color="auto"/>
                <w:right w:val="none" w:sz="0" w:space="0" w:color="auto"/>
              </w:divBdr>
              <w:divsChild>
                <w:div w:id="1839886766">
                  <w:marLeft w:val="0"/>
                  <w:marRight w:val="0"/>
                  <w:marTop w:val="0"/>
                  <w:marBottom w:val="0"/>
                  <w:divBdr>
                    <w:top w:val="none" w:sz="0" w:space="0" w:color="auto"/>
                    <w:left w:val="none" w:sz="0" w:space="0" w:color="auto"/>
                    <w:bottom w:val="none" w:sz="0" w:space="0" w:color="auto"/>
                    <w:right w:val="none" w:sz="0" w:space="0" w:color="auto"/>
                  </w:divBdr>
                  <w:divsChild>
                    <w:div w:id="336613154">
                      <w:marLeft w:val="0"/>
                      <w:marRight w:val="0"/>
                      <w:marTop w:val="0"/>
                      <w:marBottom w:val="0"/>
                      <w:divBdr>
                        <w:top w:val="none" w:sz="0" w:space="0" w:color="auto"/>
                        <w:left w:val="none" w:sz="0" w:space="0" w:color="auto"/>
                        <w:bottom w:val="none" w:sz="0" w:space="0" w:color="auto"/>
                        <w:right w:val="none" w:sz="0" w:space="0" w:color="auto"/>
                      </w:divBdr>
                      <w:divsChild>
                        <w:div w:id="1972635776">
                          <w:marLeft w:val="0"/>
                          <w:marRight w:val="0"/>
                          <w:marTop w:val="0"/>
                          <w:marBottom w:val="0"/>
                          <w:divBdr>
                            <w:top w:val="none" w:sz="0" w:space="0" w:color="auto"/>
                            <w:left w:val="none" w:sz="0" w:space="0" w:color="auto"/>
                            <w:bottom w:val="none" w:sz="0" w:space="0" w:color="auto"/>
                            <w:right w:val="none" w:sz="0" w:space="0" w:color="auto"/>
                          </w:divBdr>
                          <w:divsChild>
                            <w:div w:id="17505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9633240">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A9D6-5AF4-497B-A1C1-AC0696E4D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8066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2021-10-25T04:15:00Z</dcterms:created>
  <dcterms:modified xsi:type="dcterms:W3CDTF">2022-02-13T21:56:00Z</dcterms:modified>
</cp:coreProperties>
</file>