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27A0" w:rsidRPr="00F573A7" w:rsidRDefault="003E0DCE" w:rsidP="00542673">
      <w:pPr>
        <w:pStyle w:val="1-MainHeading"/>
        <w:ind w:left="1134" w:hanging="1134"/>
        <w:rPr>
          <w:rFonts w:eastAsia="Calibri"/>
          <w:lang w:eastAsia="en-US"/>
        </w:rPr>
      </w:pPr>
      <w:r w:rsidRPr="00F573A7">
        <w:t>7.06</w:t>
      </w:r>
      <w:r w:rsidR="000B7767" w:rsidRPr="00F573A7">
        <w:tab/>
      </w:r>
      <w:r w:rsidRPr="00F573A7">
        <w:t>DAROLUTAMIDE</w:t>
      </w:r>
      <w:r w:rsidR="40930EF5" w:rsidRPr="00F573A7">
        <w:t>,</w:t>
      </w:r>
      <w:r w:rsidR="000B7767" w:rsidRPr="00F573A7">
        <w:br/>
      </w:r>
      <w:r w:rsidRPr="00F573A7">
        <w:t>Tablet 300 mg</w:t>
      </w:r>
      <w:r w:rsidR="0CF130DF" w:rsidRPr="00F573A7">
        <w:t>,</w:t>
      </w:r>
      <w:r w:rsidR="000B7767" w:rsidRPr="00F573A7">
        <w:br/>
      </w:r>
      <w:r w:rsidRPr="00F573A7">
        <w:t>Nubeqa</w:t>
      </w:r>
      <w:r w:rsidR="1E938E64" w:rsidRPr="00F573A7">
        <w:t>®</w:t>
      </w:r>
      <w:r w:rsidR="0CF130DF" w:rsidRPr="00F573A7">
        <w:t>,</w:t>
      </w:r>
      <w:r w:rsidR="000B7767" w:rsidRPr="00F573A7">
        <w:br/>
      </w:r>
      <w:r w:rsidRPr="00F573A7">
        <w:t>Bayer Australia Ltd</w:t>
      </w:r>
      <w:r w:rsidR="0CF130DF" w:rsidRPr="00F573A7">
        <w:t xml:space="preserve"> </w:t>
      </w:r>
    </w:p>
    <w:p w:rsidR="003F044F" w:rsidRPr="00F573A7" w:rsidRDefault="009C5B72" w:rsidP="006C5B33">
      <w:pPr>
        <w:pStyle w:val="2-SectionHeading"/>
        <w:rPr>
          <w:rFonts w:eastAsia="Calibri"/>
        </w:rPr>
      </w:pPr>
      <w:r w:rsidRPr="00F573A7">
        <w:t>Purpose</w:t>
      </w:r>
    </w:p>
    <w:p w:rsidR="00F81F7A" w:rsidRPr="00796ADA" w:rsidRDefault="00F81F7A" w:rsidP="006C5B33">
      <w:pPr>
        <w:pStyle w:val="3-BodyText"/>
      </w:pPr>
      <w:r w:rsidRPr="00F573A7">
        <w:t xml:space="preserve">The </w:t>
      </w:r>
      <w:r w:rsidR="009D55E2" w:rsidRPr="00F573A7">
        <w:t>early re-entry</w:t>
      </w:r>
      <w:r w:rsidR="00A13941" w:rsidRPr="00F573A7">
        <w:t xml:space="preserve"> </w:t>
      </w:r>
      <w:r w:rsidR="009D55E2" w:rsidRPr="00F573A7">
        <w:t>re</w:t>
      </w:r>
      <w:r w:rsidRPr="00F573A7">
        <w:t xml:space="preserve">submission </w:t>
      </w:r>
      <w:r w:rsidR="00296834" w:rsidRPr="00F573A7">
        <w:t>sought</w:t>
      </w:r>
      <w:r w:rsidR="00D42D5C" w:rsidRPr="00F573A7">
        <w:t xml:space="preserve"> to</w:t>
      </w:r>
      <w:r w:rsidRPr="00F573A7">
        <w:t xml:space="preserve"> </w:t>
      </w:r>
      <w:r w:rsidR="00A13941" w:rsidRPr="00F573A7">
        <w:t xml:space="preserve">list darolutamide </w:t>
      </w:r>
      <w:r w:rsidR="00296834" w:rsidRPr="00F573A7">
        <w:t>as</w:t>
      </w:r>
      <w:r w:rsidR="00A13941" w:rsidRPr="00F573A7">
        <w:t xml:space="preserve"> a General Schedule Authority Required (telephone/</w:t>
      </w:r>
      <w:r w:rsidR="003D4336" w:rsidRPr="00F573A7">
        <w:t>online PBS authorities system</w:t>
      </w:r>
      <w:r w:rsidR="00A13941" w:rsidRPr="00F573A7">
        <w:t>) listing for the treatment of patients with castration resistant prostate cancer (CRPC).</w:t>
      </w:r>
      <w:r w:rsidRPr="00F573A7">
        <w:t xml:space="preserve"> </w:t>
      </w:r>
    </w:p>
    <w:p w:rsidR="009D55E2" w:rsidRPr="00F573A7" w:rsidRDefault="6657D135" w:rsidP="006C5B33">
      <w:pPr>
        <w:pStyle w:val="3-BodyText"/>
        <w:rPr>
          <w:rFonts w:eastAsiaTheme="minorEastAsia"/>
          <w:color w:val="1F497D" w:themeColor="text2"/>
        </w:rPr>
      </w:pPr>
      <w:r w:rsidRPr="00F573A7">
        <w:rPr>
          <w:snapToGrid w:val="0"/>
        </w:rPr>
        <w:t xml:space="preserve">This </w:t>
      </w:r>
      <w:r w:rsidR="009D55E2" w:rsidRPr="00F573A7">
        <w:rPr>
          <w:snapToGrid w:val="0"/>
        </w:rPr>
        <w:t xml:space="preserve">resubmission </w:t>
      </w:r>
      <w:r w:rsidR="006A6BFA" w:rsidRPr="00F573A7">
        <w:rPr>
          <w:snapToGrid w:val="0"/>
        </w:rPr>
        <w:t>s</w:t>
      </w:r>
      <w:r w:rsidR="00296834" w:rsidRPr="00F573A7">
        <w:rPr>
          <w:snapToGrid w:val="0"/>
        </w:rPr>
        <w:t>ought</w:t>
      </w:r>
      <w:r w:rsidR="006A6BFA" w:rsidRPr="00F573A7">
        <w:rPr>
          <w:snapToGrid w:val="0"/>
        </w:rPr>
        <w:t xml:space="preserve"> to </w:t>
      </w:r>
      <w:r w:rsidR="009D55E2" w:rsidRPr="00F573A7">
        <w:rPr>
          <w:snapToGrid w:val="0"/>
        </w:rPr>
        <w:t xml:space="preserve">address the </w:t>
      </w:r>
      <w:r w:rsidRPr="00F573A7">
        <w:rPr>
          <w:snapToGrid w:val="0"/>
        </w:rPr>
        <w:t>is</w:t>
      </w:r>
      <w:r w:rsidR="009D55E2" w:rsidRPr="00F573A7">
        <w:rPr>
          <w:snapToGrid w:val="0"/>
        </w:rPr>
        <w:t>sues raised</w:t>
      </w:r>
      <w:r w:rsidRPr="00F573A7">
        <w:rPr>
          <w:snapToGrid w:val="0"/>
        </w:rPr>
        <w:t xml:space="preserve"> </w:t>
      </w:r>
      <w:r w:rsidR="009D55E2" w:rsidRPr="00F573A7">
        <w:rPr>
          <w:snapToGrid w:val="0"/>
        </w:rPr>
        <w:t xml:space="preserve">by </w:t>
      </w:r>
      <w:r w:rsidR="006A6BFA" w:rsidRPr="00F573A7">
        <w:rPr>
          <w:snapToGrid w:val="0"/>
        </w:rPr>
        <w:t xml:space="preserve">the </w:t>
      </w:r>
      <w:r w:rsidR="009D55E2" w:rsidRPr="00F573A7">
        <w:rPr>
          <w:snapToGrid w:val="0"/>
        </w:rPr>
        <w:t>PBAC</w:t>
      </w:r>
      <w:r w:rsidR="006A6BFA" w:rsidRPr="00F573A7">
        <w:rPr>
          <w:snapToGrid w:val="0"/>
        </w:rPr>
        <w:t xml:space="preserve"> in March 2021</w:t>
      </w:r>
      <w:r w:rsidR="00B80900" w:rsidRPr="00F573A7">
        <w:rPr>
          <w:snapToGrid w:val="0"/>
        </w:rPr>
        <w:t xml:space="preserve"> (Table 1).</w:t>
      </w:r>
      <w:r w:rsidR="00D34011" w:rsidRPr="00F573A7">
        <w:rPr>
          <w:snapToGrid w:val="0"/>
        </w:rPr>
        <w:t xml:space="preserve"> </w:t>
      </w:r>
    </w:p>
    <w:p w:rsidR="009D55E2" w:rsidRPr="00F573A7" w:rsidRDefault="009D55E2" w:rsidP="00CF066B">
      <w:pPr>
        <w:pStyle w:val="TableFigureHeading"/>
      </w:pPr>
      <w:r w:rsidRPr="00F573A7">
        <w:t xml:space="preserve">Table </w:t>
      </w:r>
      <w:r w:rsidR="00C67FE2" w:rsidRPr="00F573A7">
        <w:t>1</w:t>
      </w:r>
      <w:r w:rsidRPr="00F573A7">
        <w:t>: Summary of key matters to be addressed</w:t>
      </w:r>
    </w:p>
    <w:tbl>
      <w:tblPr>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5244"/>
        <w:gridCol w:w="1061"/>
      </w:tblGrid>
      <w:tr w:rsidR="00D34011" w:rsidRPr="00F573A7" w:rsidTr="002F3A7C">
        <w:trPr>
          <w:cantSplit/>
          <w:tblHeader/>
        </w:trPr>
        <w:tc>
          <w:tcPr>
            <w:tcW w:w="1495" w:type="pct"/>
            <w:tcMar>
              <w:left w:w="28" w:type="dxa"/>
              <w:right w:w="28" w:type="dxa"/>
            </w:tcMar>
            <w:vAlign w:val="center"/>
          </w:tcPr>
          <w:p w:rsidR="00D34011" w:rsidRPr="00F573A7" w:rsidRDefault="00D34011" w:rsidP="00CF066B">
            <w:pPr>
              <w:pStyle w:val="In-tableHeading"/>
              <w:rPr>
                <w:lang w:val="en-AU"/>
              </w:rPr>
            </w:pPr>
            <w:r w:rsidRPr="00F573A7">
              <w:rPr>
                <w:lang w:val="en-AU"/>
              </w:rPr>
              <w:t>Matter of concern</w:t>
            </w:r>
          </w:p>
        </w:tc>
        <w:tc>
          <w:tcPr>
            <w:tcW w:w="2915" w:type="pct"/>
            <w:tcMar>
              <w:left w:w="28" w:type="dxa"/>
              <w:right w:w="28" w:type="dxa"/>
            </w:tcMar>
            <w:vAlign w:val="center"/>
          </w:tcPr>
          <w:p w:rsidR="00D34011" w:rsidRPr="00F573A7" w:rsidRDefault="00D34011" w:rsidP="00CF066B">
            <w:pPr>
              <w:pStyle w:val="In-tableHeading"/>
              <w:rPr>
                <w:lang w:val="en-AU"/>
              </w:rPr>
            </w:pPr>
            <w:r w:rsidRPr="00F573A7">
              <w:rPr>
                <w:lang w:val="en-AU"/>
              </w:rPr>
              <w:t>Response</w:t>
            </w:r>
          </w:p>
        </w:tc>
        <w:tc>
          <w:tcPr>
            <w:tcW w:w="590" w:type="pct"/>
            <w:tcMar>
              <w:left w:w="28" w:type="dxa"/>
              <w:right w:w="28" w:type="dxa"/>
            </w:tcMar>
            <w:vAlign w:val="center"/>
          </w:tcPr>
          <w:p w:rsidR="00D34011" w:rsidRPr="00F573A7" w:rsidRDefault="00D34011" w:rsidP="002F3A7C">
            <w:pPr>
              <w:pStyle w:val="In-tableHeading"/>
              <w:jc w:val="center"/>
              <w:rPr>
                <w:lang w:val="en-AU"/>
              </w:rPr>
            </w:pPr>
            <w:r w:rsidRPr="00F573A7">
              <w:rPr>
                <w:lang w:val="en-AU"/>
              </w:rPr>
              <w:t>Addressed?</w:t>
            </w:r>
          </w:p>
        </w:tc>
      </w:tr>
      <w:tr w:rsidR="00D34011" w:rsidRPr="00F573A7" w:rsidTr="002F3A7C">
        <w:trPr>
          <w:cantSplit/>
        </w:trPr>
        <w:tc>
          <w:tcPr>
            <w:tcW w:w="1495" w:type="pct"/>
            <w:tcMar>
              <w:left w:w="28" w:type="dxa"/>
              <w:right w:w="28" w:type="dxa"/>
            </w:tcMar>
            <w:vAlign w:val="center"/>
          </w:tcPr>
          <w:p w:rsidR="00D34011" w:rsidRPr="00F573A7" w:rsidRDefault="00A13941" w:rsidP="00C67FE2">
            <w:pPr>
              <w:pStyle w:val="TableText"/>
            </w:pPr>
            <w:r w:rsidRPr="00F573A7">
              <w:t xml:space="preserve">Present a </w:t>
            </w:r>
            <w:r w:rsidR="00C67FE2" w:rsidRPr="00F573A7">
              <w:t>CMA</w:t>
            </w:r>
            <w:r w:rsidRPr="00F573A7">
              <w:t xml:space="preserve"> between darolutamide and enzalutamide</w:t>
            </w:r>
          </w:p>
        </w:tc>
        <w:tc>
          <w:tcPr>
            <w:tcW w:w="2915" w:type="pct"/>
            <w:tcMar>
              <w:left w:w="28" w:type="dxa"/>
              <w:right w:w="28" w:type="dxa"/>
            </w:tcMar>
            <w:vAlign w:val="center"/>
          </w:tcPr>
          <w:p w:rsidR="00D34011" w:rsidRPr="00F573A7" w:rsidRDefault="00C67FE2" w:rsidP="0003701C">
            <w:pPr>
              <w:pStyle w:val="TableText"/>
            </w:pPr>
            <w:r w:rsidRPr="00F573A7">
              <w:t>The resubmission presented a CEA</w:t>
            </w:r>
            <w:r w:rsidR="00FD01EA">
              <w:t xml:space="preserve">, with a 12% price reduction on the effective AEMP considered by the PBAC in the March 2021 meeting. </w:t>
            </w:r>
            <w:r w:rsidR="00AB665C" w:rsidRPr="00F573A7">
              <w:t xml:space="preserve"> </w:t>
            </w:r>
          </w:p>
        </w:tc>
        <w:tc>
          <w:tcPr>
            <w:tcW w:w="590" w:type="pct"/>
            <w:tcMar>
              <w:left w:w="28" w:type="dxa"/>
              <w:right w:w="28" w:type="dxa"/>
            </w:tcMar>
            <w:vAlign w:val="center"/>
          </w:tcPr>
          <w:p w:rsidR="00D34011" w:rsidRPr="00F573A7" w:rsidRDefault="00FD01EA" w:rsidP="00C67FE2">
            <w:pPr>
              <w:pStyle w:val="TableText"/>
              <w:jc w:val="center"/>
            </w:pPr>
            <w:r>
              <w:t>No</w:t>
            </w:r>
          </w:p>
        </w:tc>
      </w:tr>
      <w:tr w:rsidR="00D34011" w:rsidRPr="00F573A7" w:rsidTr="002F3A7C">
        <w:trPr>
          <w:cantSplit/>
        </w:trPr>
        <w:tc>
          <w:tcPr>
            <w:tcW w:w="1495" w:type="pct"/>
            <w:tcMar>
              <w:left w:w="28" w:type="dxa"/>
              <w:right w:w="28" w:type="dxa"/>
            </w:tcMar>
            <w:vAlign w:val="center"/>
          </w:tcPr>
          <w:p w:rsidR="00D34011" w:rsidRPr="00F573A7" w:rsidRDefault="00A13941" w:rsidP="00A07C4C">
            <w:pPr>
              <w:pStyle w:val="TableText"/>
            </w:pPr>
            <w:r w:rsidRPr="00F573A7">
              <w:t>Provide patient estimates and the associated financial impact for listing darolutamide with a restriction that does not require the absence of distant metastases.</w:t>
            </w:r>
          </w:p>
        </w:tc>
        <w:tc>
          <w:tcPr>
            <w:tcW w:w="2915" w:type="pct"/>
            <w:tcMar>
              <w:left w:w="28" w:type="dxa"/>
              <w:right w:w="28" w:type="dxa"/>
            </w:tcMar>
            <w:vAlign w:val="center"/>
          </w:tcPr>
          <w:p w:rsidR="00D34011" w:rsidRPr="00F573A7" w:rsidRDefault="00C67FE2" w:rsidP="00AB665C">
            <w:pPr>
              <w:pStyle w:val="TableText"/>
            </w:pPr>
            <w:r w:rsidRPr="00F573A7">
              <w:t xml:space="preserve">Utilisation and financial estimates </w:t>
            </w:r>
            <w:r w:rsidR="00AB665C" w:rsidRPr="00F573A7">
              <w:t>were</w:t>
            </w:r>
            <w:r w:rsidRPr="00F573A7">
              <w:t xml:space="preserve"> updated </w:t>
            </w:r>
            <w:r w:rsidR="00AB665C" w:rsidRPr="00F573A7">
              <w:t xml:space="preserve">to </w:t>
            </w:r>
            <w:r w:rsidRPr="00F573A7">
              <w:t>omit the clinical criteria that a ‘Patient must not have distant metastases on conventional imaging’ from the restriction. In addition, the estimates account</w:t>
            </w:r>
            <w:r w:rsidR="00296834" w:rsidRPr="00F573A7">
              <w:t>ed</w:t>
            </w:r>
            <w:r w:rsidRPr="00F573A7">
              <w:t xml:space="preserve"> for an expected increase in the use of PSMA PET imaging and higher rates of cabazitaxel utilisation post darolutamide.</w:t>
            </w:r>
          </w:p>
        </w:tc>
        <w:tc>
          <w:tcPr>
            <w:tcW w:w="590" w:type="pct"/>
            <w:tcMar>
              <w:left w:w="28" w:type="dxa"/>
              <w:right w:w="28" w:type="dxa"/>
            </w:tcMar>
            <w:vAlign w:val="center"/>
          </w:tcPr>
          <w:p w:rsidR="00D34011" w:rsidRPr="00F573A7" w:rsidRDefault="00D42D5C" w:rsidP="00C67FE2">
            <w:pPr>
              <w:pStyle w:val="TableText"/>
              <w:jc w:val="center"/>
            </w:pPr>
            <w:r w:rsidRPr="00F573A7">
              <w:t>Yes</w:t>
            </w:r>
          </w:p>
        </w:tc>
      </w:tr>
    </w:tbl>
    <w:p w:rsidR="009D55E2" w:rsidRPr="00F573A7" w:rsidRDefault="009D55E2" w:rsidP="00A07C4C">
      <w:pPr>
        <w:pStyle w:val="TableFigureFooter"/>
      </w:pPr>
      <w:r w:rsidRPr="00F573A7">
        <w:t xml:space="preserve">Source: </w:t>
      </w:r>
      <w:r w:rsidR="00A13941" w:rsidRPr="00F573A7">
        <w:t>paragraph 7.16, p38 of the March 2021 P</w:t>
      </w:r>
      <w:r w:rsidR="00296834" w:rsidRPr="00F573A7">
        <w:t>SD</w:t>
      </w:r>
    </w:p>
    <w:p w:rsidR="00C67FE2" w:rsidRPr="00F573A7" w:rsidRDefault="00C67FE2" w:rsidP="00A07C4C">
      <w:pPr>
        <w:pStyle w:val="TableFigureFooter"/>
      </w:pPr>
      <w:r w:rsidRPr="00F573A7">
        <w:t>CEA = cost effectiveness analysis; CMA = cost minimisation analysis; PSMA = prostate-specific membrane antigen; SPA = special pricing arrangement</w:t>
      </w:r>
    </w:p>
    <w:p w:rsidR="009D55E2" w:rsidRPr="00F573A7" w:rsidRDefault="00D34011" w:rsidP="00220A70">
      <w:pPr>
        <w:pStyle w:val="3-BodyText"/>
      </w:pPr>
      <w:r w:rsidRPr="00F573A7">
        <w:t xml:space="preserve">The </w:t>
      </w:r>
      <w:r w:rsidR="007F3DA3" w:rsidRPr="00F573A7">
        <w:t xml:space="preserve">revised </w:t>
      </w:r>
      <w:r w:rsidRPr="00F573A7">
        <w:t>base case incremental cost-effectiveness ratio</w:t>
      </w:r>
      <w:r w:rsidR="00C67FE2" w:rsidRPr="00F573A7">
        <w:t xml:space="preserve"> (ICER)</w:t>
      </w:r>
      <w:r w:rsidRPr="00F573A7">
        <w:t xml:space="preserve"> </w:t>
      </w:r>
      <w:r w:rsidR="00F97C0A" w:rsidRPr="00F573A7">
        <w:t>wa</w:t>
      </w:r>
      <w:r w:rsidRPr="00F573A7">
        <w:t xml:space="preserve">s </w:t>
      </w:r>
      <w:r w:rsidR="00220A70" w:rsidRPr="00220A70">
        <w:t>$35,000 to &lt;</w:t>
      </w:r>
      <w:r w:rsidR="00220A70">
        <w:t> </w:t>
      </w:r>
      <w:r w:rsidR="00220A70" w:rsidRPr="00220A70">
        <w:t>$45,000</w:t>
      </w:r>
      <w:r w:rsidR="00220A70">
        <w:t xml:space="preserve"> </w:t>
      </w:r>
      <w:r w:rsidR="009463A2" w:rsidRPr="00F573A7">
        <w:t>per quality adjusted life year (QALY)</w:t>
      </w:r>
      <w:r w:rsidR="00C67FE2" w:rsidRPr="00F573A7">
        <w:t>.</w:t>
      </w:r>
      <w:r w:rsidR="00E16C00" w:rsidRPr="00F573A7">
        <w:rPr>
          <w:color w:val="FF0000"/>
        </w:rPr>
        <w:t xml:space="preserve"> </w:t>
      </w:r>
    </w:p>
    <w:p w:rsidR="00D72542" w:rsidRPr="00F573A7" w:rsidRDefault="00F83F58" w:rsidP="00220A70">
      <w:pPr>
        <w:pStyle w:val="3-BodyText"/>
      </w:pPr>
      <w:r w:rsidRPr="00F573A7">
        <w:t xml:space="preserve">The </w:t>
      </w:r>
      <w:r w:rsidR="007F3DA3" w:rsidRPr="00F573A7">
        <w:t>early re-entry s</w:t>
      </w:r>
      <w:r w:rsidRPr="00F573A7">
        <w:t>ubmission estimated</w:t>
      </w:r>
      <w:r w:rsidR="00C67FE2" w:rsidRPr="00F573A7">
        <w:t xml:space="preserve"> </w:t>
      </w:r>
      <w:r w:rsidRPr="00F573A7">
        <w:t xml:space="preserve">a net </w:t>
      </w:r>
      <w:r w:rsidR="00C67FE2" w:rsidRPr="00F573A7">
        <w:t>cost</w:t>
      </w:r>
      <w:r w:rsidRPr="00F573A7">
        <w:rPr>
          <w:color w:val="FF0000"/>
        </w:rPr>
        <w:t xml:space="preserve"> </w:t>
      </w:r>
      <w:r w:rsidRPr="00F573A7">
        <w:t xml:space="preserve">to the PBS of </w:t>
      </w:r>
      <w:r w:rsidR="00220A70" w:rsidRPr="00220A70">
        <w:rPr>
          <w:rFonts w:cstheme="minorHAnsi"/>
        </w:rPr>
        <w:t>$10 million to &lt; $20 million</w:t>
      </w:r>
      <w:r w:rsidR="00220A70">
        <w:rPr>
          <w:rFonts w:cstheme="minorHAnsi"/>
        </w:rPr>
        <w:t xml:space="preserve"> </w:t>
      </w:r>
      <w:r w:rsidRPr="00F573A7">
        <w:t xml:space="preserve">in Year </w:t>
      </w:r>
      <w:r w:rsidR="00C67FE2" w:rsidRPr="00F573A7">
        <w:t>6</w:t>
      </w:r>
      <w:r w:rsidRPr="00F573A7">
        <w:rPr>
          <w:color w:val="FF0000"/>
        </w:rPr>
        <w:t xml:space="preserve"> </w:t>
      </w:r>
      <w:r w:rsidRPr="00F573A7">
        <w:t xml:space="preserve">of listing, with a total net </w:t>
      </w:r>
      <w:r w:rsidR="001A5B06" w:rsidRPr="00F573A7">
        <w:t>cost</w:t>
      </w:r>
      <w:r w:rsidRPr="00F573A7">
        <w:rPr>
          <w:color w:val="FF0000"/>
        </w:rPr>
        <w:t xml:space="preserve"> </w:t>
      </w:r>
      <w:r w:rsidRPr="00F573A7">
        <w:t xml:space="preserve">to the PBS of </w:t>
      </w:r>
      <w:r w:rsidR="00220A70" w:rsidRPr="00220A70">
        <w:t>$90 million to &lt; $100 million</w:t>
      </w:r>
      <w:r w:rsidR="00220A70">
        <w:t xml:space="preserve"> </w:t>
      </w:r>
      <w:r w:rsidR="001A5B06" w:rsidRPr="00F573A7">
        <w:t>ove</w:t>
      </w:r>
      <w:r w:rsidRPr="00F573A7">
        <w:t xml:space="preserve">r the first </w:t>
      </w:r>
      <w:r w:rsidR="001A5B06" w:rsidRPr="00F573A7">
        <w:t>6</w:t>
      </w:r>
      <w:r w:rsidRPr="00F573A7">
        <w:rPr>
          <w:color w:val="FF0000"/>
        </w:rPr>
        <w:t xml:space="preserve"> </w:t>
      </w:r>
      <w:r w:rsidRPr="00F573A7">
        <w:t>years of listing</w:t>
      </w:r>
      <w:r w:rsidR="00B80900" w:rsidRPr="00F573A7">
        <w:t xml:space="preserve"> (Table 2)</w:t>
      </w:r>
      <w:r w:rsidR="00A07C4C" w:rsidRPr="00F573A7">
        <w:t>.</w:t>
      </w:r>
    </w:p>
    <w:p w:rsidR="004F6160" w:rsidRPr="003D070A" w:rsidRDefault="004F6160" w:rsidP="00790030">
      <w:pPr>
        <w:pStyle w:val="Tableheadingrow"/>
        <w:rPr>
          <w:rFonts w:eastAsiaTheme="minorHAnsi" w:cstheme="minorHAnsi"/>
          <w:lang w:val="en-AU"/>
        </w:rPr>
      </w:pPr>
      <w:r w:rsidRPr="003D070A">
        <w:rPr>
          <w:lang w:val="en-AU"/>
        </w:rPr>
        <w:lastRenderedPageBreak/>
        <w:t xml:space="preserve">Table </w:t>
      </w:r>
      <w:r w:rsidR="0006229B" w:rsidRPr="003D070A">
        <w:rPr>
          <w:lang w:val="en-AU"/>
        </w:rPr>
        <w:t>2</w:t>
      </w:r>
      <w:r w:rsidRPr="003D070A">
        <w:rPr>
          <w:lang w:val="en-AU"/>
        </w:rPr>
        <w:t>: Estimated use and financial implications</w:t>
      </w:r>
    </w:p>
    <w:tbl>
      <w:tblPr>
        <w:tblStyle w:val="TableGrid"/>
        <w:tblW w:w="0" w:type="auto"/>
        <w:tblLook w:val="04A0" w:firstRow="1" w:lastRow="0" w:firstColumn="1" w:lastColumn="0" w:noHBand="0" w:noVBand="1"/>
        <w:tblCaption w:val="Table 2: Estimated use and financial implications"/>
      </w:tblPr>
      <w:tblGrid>
        <w:gridCol w:w="2188"/>
        <w:gridCol w:w="1126"/>
        <w:gridCol w:w="1142"/>
        <w:gridCol w:w="1129"/>
        <w:gridCol w:w="1126"/>
        <w:gridCol w:w="1127"/>
        <w:gridCol w:w="1178"/>
      </w:tblGrid>
      <w:tr w:rsidR="00067B6B" w:rsidRPr="00F573A7" w:rsidTr="00B07D71">
        <w:trPr>
          <w:tblHeader/>
        </w:trPr>
        <w:tc>
          <w:tcPr>
            <w:tcW w:w="2188" w:type="dxa"/>
            <w:tcMar>
              <w:left w:w="28" w:type="dxa"/>
              <w:right w:w="28" w:type="dxa"/>
            </w:tcMar>
          </w:tcPr>
          <w:p w:rsidR="00067B6B" w:rsidRPr="00F573A7" w:rsidRDefault="00067B6B" w:rsidP="0006229B">
            <w:pPr>
              <w:pStyle w:val="TableText"/>
            </w:pPr>
          </w:p>
        </w:tc>
        <w:tc>
          <w:tcPr>
            <w:tcW w:w="1126" w:type="dxa"/>
            <w:shd w:val="clear" w:color="auto" w:fill="auto"/>
            <w:tcMar>
              <w:left w:w="28" w:type="dxa"/>
              <w:right w:w="28" w:type="dxa"/>
            </w:tcMar>
            <w:vAlign w:val="center"/>
          </w:tcPr>
          <w:p w:rsidR="00067B6B" w:rsidRPr="00F573A7" w:rsidRDefault="004A3F6B" w:rsidP="004A3F6B">
            <w:pPr>
              <w:pStyle w:val="In-tableHeading"/>
              <w:jc w:val="center"/>
              <w:rPr>
                <w:lang w:val="en-AU"/>
              </w:rPr>
            </w:pPr>
            <w:r w:rsidRPr="00F573A7">
              <w:rPr>
                <w:lang w:val="en-AU"/>
              </w:rPr>
              <w:t>2022</w:t>
            </w:r>
          </w:p>
        </w:tc>
        <w:tc>
          <w:tcPr>
            <w:tcW w:w="1142" w:type="dxa"/>
            <w:shd w:val="clear" w:color="auto" w:fill="auto"/>
            <w:tcMar>
              <w:left w:w="28" w:type="dxa"/>
              <w:right w:w="28" w:type="dxa"/>
            </w:tcMar>
            <w:vAlign w:val="center"/>
          </w:tcPr>
          <w:p w:rsidR="00067B6B" w:rsidRPr="00F573A7" w:rsidRDefault="004A3F6B" w:rsidP="004A3F6B">
            <w:pPr>
              <w:pStyle w:val="In-tableHeading"/>
              <w:jc w:val="center"/>
              <w:rPr>
                <w:lang w:val="en-AU"/>
              </w:rPr>
            </w:pPr>
            <w:r w:rsidRPr="00796ADA">
              <w:rPr>
                <w:lang w:val="en-AU"/>
              </w:rPr>
              <w:t>2023</w:t>
            </w:r>
          </w:p>
        </w:tc>
        <w:tc>
          <w:tcPr>
            <w:tcW w:w="1129" w:type="dxa"/>
            <w:shd w:val="clear" w:color="auto" w:fill="auto"/>
            <w:tcMar>
              <w:left w:w="28" w:type="dxa"/>
              <w:right w:w="28" w:type="dxa"/>
            </w:tcMar>
            <w:vAlign w:val="center"/>
          </w:tcPr>
          <w:p w:rsidR="00067B6B" w:rsidRPr="00F573A7" w:rsidRDefault="004A3F6B" w:rsidP="004A3F6B">
            <w:pPr>
              <w:pStyle w:val="In-tableHeading"/>
              <w:jc w:val="center"/>
              <w:rPr>
                <w:lang w:val="en-AU"/>
              </w:rPr>
            </w:pPr>
            <w:r w:rsidRPr="00F573A7">
              <w:rPr>
                <w:lang w:val="en-AU"/>
              </w:rPr>
              <w:t>2024</w:t>
            </w:r>
          </w:p>
        </w:tc>
        <w:tc>
          <w:tcPr>
            <w:tcW w:w="1126" w:type="dxa"/>
            <w:shd w:val="clear" w:color="auto" w:fill="auto"/>
            <w:tcMar>
              <w:left w:w="28" w:type="dxa"/>
              <w:right w:w="28" w:type="dxa"/>
            </w:tcMar>
            <w:vAlign w:val="center"/>
          </w:tcPr>
          <w:p w:rsidR="00067B6B" w:rsidRPr="00F573A7" w:rsidRDefault="004A3F6B" w:rsidP="004A3F6B">
            <w:pPr>
              <w:pStyle w:val="In-tableHeading"/>
              <w:jc w:val="center"/>
              <w:rPr>
                <w:lang w:val="en-AU"/>
              </w:rPr>
            </w:pPr>
            <w:r w:rsidRPr="00F573A7">
              <w:rPr>
                <w:lang w:val="en-AU"/>
              </w:rPr>
              <w:t>2025</w:t>
            </w:r>
          </w:p>
        </w:tc>
        <w:tc>
          <w:tcPr>
            <w:tcW w:w="1127" w:type="dxa"/>
            <w:shd w:val="clear" w:color="auto" w:fill="auto"/>
            <w:tcMar>
              <w:left w:w="28" w:type="dxa"/>
              <w:right w:w="28" w:type="dxa"/>
            </w:tcMar>
            <w:vAlign w:val="center"/>
          </w:tcPr>
          <w:p w:rsidR="00067B6B" w:rsidRPr="00F573A7" w:rsidRDefault="004A3F6B" w:rsidP="004A3F6B">
            <w:pPr>
              <w:pStyle w:val="In-tableHeading"/>
              <w:jc w:val="center"/>
              <w:rPr>
                <w:lang w:val="en-AU"/>
              </w:rPr>
            </w:pPr>
            <w:r w:rsidRPr="00F573A7">
              <w:rPr>
                <w:lang w:val="en-AU"/>
              </w:rPr>
              <w:t>2026</w:t>
            </w:r>
          </w:p>
        </w:tc>
        <w:tc>
          <w:tcPr>
            <w:tcW w:w="1178" w:type="dxa"/>
            <w:tcMar>
              <w:left w:w="28" w:type="dxa"/>
              <w:right w:w="28" w:type="dxa"/>
            </w:tcMar>
          </w:tcPr>
          <w:p w:rsidR="00067B6B" w:rsidRPr="00F573A7" w:rsidRDefault="004A3F6B" w:rsidP="004A3F6B">
            <w:pPr>
              <w:pStyle w:val="In-tableHeading"/>
              <w:jc w:val="center"/>
              <w:rPr>
                <w:lang w:val="en-AU"/>
              </w:rPr>
            </w:pPr>
            <w:r w:rsidRPr="00F573A7">
              <w:rPr>
                <w:lang w:val="en-AU"/>
              </w:rPr>
              <w:t>2027</w:t>
            </w:r>
          </w:p>
        </w:tc>
      </w:tr>
      <w:tr w:rsidR="00067B6B" w:rsidRPr="00F573A7" w:rsidTr="001A5B06">
        <w:tc>
          <w:tcPr>
            <w:tcW w:w="9016" w:type="dxa"/>
            <w:gridSpan w:val="7"/>
            <w:tcMar>
              <w:left w:w="28" w:type="dxa"/>
              <w:right w:w="28" w:type="dxa"/>
            </w:tcMar>
          </w:tcPr>
          <w:p w:rsidR="00067B6B" w:rsidRPr="00F573A7" w:rsidRDefault="00067B6B" w:rsidP="0006229B">
            <w:pPr>
              <w:pStyle w:val="In-tableHeading"/>
              <w:rPr>
                <w:lang w:val="en-AU"/>
              </w:rPr>
            </w:pPr>
            <w:r w:rsidRPr="00F573A7">
              <w:rPr>
                <w:lang w:val="en-AU" w:eastAsia="en-US"/>
              </w:rPr>
              <w:t>Estimated extent of use</w:t>
            </w:r>
          </w:p>
        </w:tc>
      </w:tr>
      <w:tr w:rsidR="001A5B06" w:rsidRPr="00F573A7" w:rsidTr="00B07D71">
        <w:tc>
          <w:tcPr>
            <w:tcW w:w="2188" w:type="dxa"/>
            <w:tcMar>
              <w:left w:w="28" w:type="dxa"/>
              <w:right w:w="28" w:type="dxa"/>
            </w:tcMar>
            <w:vAlign w:val="center"/>
          </w:tcPr>
          <w:p w:rsidR="001A5B06" w:rsidRPr="00F573A7" w:rsidRDefault="001A5B06" w:rsidP="0006229B">
            <w:pPr>
              <w:pStyle w:val="TableText"/>
            </w:pPr>
            <w:r w:rsidRPr="00F573A7">
              <w:t>Number of patients treated</w:t>
            </w:r>
          </w:p>
        </w:tc>
        <w:tc>
          <w:tcPr>
            <w:tcW w:w="1126" w:type="dxa"/>
            <w:tcMar>
              <w:left w:w="28" w:type="dxa"/>
              <w:right w:w="28" w:type="dxa"/>
            </w:tcMar>
            <w:vAlign w:val="center"/>
          </w:tcPr>
          <w:p w:rsidR="001A5B06" w:rsidRPr="004B7986" w:rsidRDefault="004B7986" w:rsidP="00D42D5C">
            <w:pPr>
              <w:pStyle w:val="TableText"/>
              <w:jc w:val="right"/>
              <w:rPr>
                <w:vertAlign w:val="superscript"/>
              </w:rPr>
            </w:pPr>
            <w:r>
              <w:rPr>
                <w:rFonts w:eastAsia="Times New Roman" w:cs="Calibri"/>
                <w:noProof/>
                <w:color w:val="000000"/>
                <w:szCs w:val="20"/>
                <w:highlight w:val="black"/>
              </w:rPr>
              <w:t>'''''''''''''</w:t>
            </w:r>
            <w:r w:rsidR="00220A70" w:rsidRPr="000E7FF4">
              <w:rPr>
                <w:rFonts w:eastAsia="Times New Roman" w:cs="Calibri"/>
                <w:color w:val="000000"/>
                <w:szCs w:val="20"/>
                <w:vertAlign w:val="superscript"/>
              </w:rPr>
              <w:t>1</w:t>
            </w:r>
          </w:p>
        </w:tc>
        <w:tc>
          <w:tcPr>
            <w:tcW w:w="1142" w:type="dxa"/>
            <w:tcMar>
              <w:left w:w="28" w:type="dxa"/>
              <w:right w:w="28" w:type="dxa"/>
            </w:tcMar>
            <w:vAlign w:val="center"/>
          </w:tcPr>
          <w:p w:rsidR="001A5B06" w:rsidRPr="004B7986" w:rsidRDefault="004B7986" w:rsidP="00D42D5C">
            <w:pPr>
              <w:pStyle w:val="TableText"/>
              <w:jc w:val="right"/>
            </w:pPr>
            <w:r>
              <w:rPr>
                <w:rFonts w:eastAsia="Times New Roman" w:cs="Calibri"/>
                <w:noProof/>
                <w:color w:val="000000"/>
                <w:szCs w:val="20"/>
                <w:highlight w:val="black"/>
              </w:rPr>
              <w:t>''''''''''''''</w:t>
            </w:r>
            <w:r w:rsidR="00220A70" w:rsidRPr="00990862">
              <w:rPr>
                <w:rFonts w:eastAsia="Times New Roman" w:cs="Calibri"/>
                <w:color w:val="000000"/>
                <w:szCs w:val="20"/>
                <w:vertAlign w:val="superscript"/>
              </w:rPr>
              <w:t>1</w:t>
            </w:r>
          </w:p>
        </w:tc>
        <w:tc>
          <w:tcPr>
            <w:tcW w:w="1129" w:type="dxa"/>
            <w:tcMar>
              <w:left w:w="28" w:type="dxa"/>
              <w:right w:w="28" w:type="dxa"/>
            </w:tcMar>
            <w:vAlign w:val="center"/>
          </w:tcPr>
          <w:p w:rsidR="001A5B06" w:rsidRPr="004B7986" w:rsidRDefault="004B7986" w:rsidP="00D42D5C">
            <w:pPr>
              <w:pStyle w:val="TableText"/>
              <w:jc w:val="right"/>
            </w:pPr>
            <w:r>
              <w:rPr>
                <w:rFonts w:eastAsia="Times New Roman" w:cs="Calibri"/>
                <w:noProof/>
                <w:color w:val="000000"/>
                <w:szCs w:val="20"/>
                <w:highlight w:val="black"/>
              </w:rPr>
              <w:t>'''''''''''''''</w:t>
            </w:r>
            <w:r w:rsidR="00220A70" w:rsidRPr="00990862">
              <w:rPr>
                <w:rFonts w:eastAsia="Times New Roman" w:cs="Calibri"/>
                <w:color w:val="000000"/>
                <w:szCs w:val="20"/>
                <w:vertAlign w:val="superscript"/>
              </w:rPr>
              <w:t>1</w:t>
            </w:r>
          </w:p>
        </w:tc>
        <w:tc>
          <w:tcPr>
            <w:tcW w:w="1126" w:type="dxa"/>
            <w:tcMar>
              <w:left w:w="28" w:type="dxa"/>
              <w:right w:w="28" w:type="dxa"/>
            </w:tcMar>
            <w:vAlign w:val="center"/>
          </w:tcPr>
          <w:p w:rsidR="001A5B06" w:rsidRPr="004B7986" w:rsidRDefault="004B7986" w:rsidP="00D42D5C">
            <w:pPr>
              <w:pStyle w:val="TableText"/>
              <w:jc w:val="right"/>
            </w:pPr>
            <w:r>
              <w:rPr>
                <w:rFonts w:eastAsia="Times New Roman" w:cs="Calibri"/>
                <w:noProof/>
                <w:color w:val="000000"/>
                <w:szCs w:val="20"/>
                <w:highlight w:val="black"/>
              </w:rPr>
              <w:t>'''''''''''''</w:t>
            </w:r>
            <w:r w:rsidR="00220A70" w:rsidRPr="00990862">
              <w:rPr>
                <w:rFonts w:eastAsia="Times New Roman" w:cs="Calibri"/>
                <w:color w:val="000000"/>
                <w:szCs w:val="20"/>
                <w:vertAlign w:val="superscript"/>
              </w:rPr>
              <w:t>1</w:t>
            </w:r>
          </w:p>
        </w:tc>
        <w:tc>
          <w:tcPr>
            <w:tcW w:w="1127" w:type="dxa"/>
            <w:tcMar>
              <w:left w:w="28" w:type="dxa"/>
              <w:right w:w="28" w:type="dxa"/>
            </w:tcMar>
            <w:vAlign w:val="center"/>
          </w:tcPr>
          <w:p w:rsidR="001A5B06" w:rsidRPr="004B7986" w:rsidRDefault="004B7986" w:rsidP="00D42D5C">
            <w:pPr>
              <w:pStyle w:val="TableText"/>
              <w:jc w:val="right"/>
            </w:pPr>
            <w:r>
              <w:rPr>
                <w:rFonts w:eastAsia="Times New Roman" w:cs="Calibri"/>
                <w:noProof/>
                <w:color w:val="000000"/>
                <w:szCs w:val="20"/>
                <w:highlight w:val="black"/>
              </w:rPr>
              <w:t>'''''''''''''</w:t>
            </w:r>
            <w:r w:rsidR="00220A70" w:rsidRPr="00990862">
              <w:rPr>
                <w:rFonts w:eastAsia="Times New Roman" w:cs="Calibri"/>
                <w:color w:val="000000"/>
                <w:szCs w:val="20"/>
                <w:vertAlign w:val="superscript"/>
              </w:rPr>
              <w:t>1</w:t>
            </w:r>
          </w:p>
        </w:tc>
        <w:tc>
          <w:tcPr>
            <w:tcW w:w="1178" w:type="dxa"/>
            <w:tcMar>
              <w:left w:w="28" w:type="dxa"/>
              <w:right w:w="28" w:type="dxa"/>
            </w:tcMar>
            <w:vAlign w:val="center"/>
          </w:tcPr>
          <w:p w:rsidR="001A5B06" w:rsidRPr="004B7986" w:rsidRDefault="004B7986" w:rsidP="00D42D5C">
            <w:pPr>
              <w:pStyle w:val="TableText"/>
              <w:jc w:val="right"/>
            </w:pPr>
            <w:r>
              <w:rPr>
                <w:rFonts w:eastAsia="Times New Roman" w:cs="Calibri"/>
                <w:noProof/>
                <w:color w:val="000000"/>
                <w:szCs w:val="20"/>
                <w:highlight w:val="black"/>
              </w:rPr>
              <w:t>''''''''''''</w:t>
            </w:r>
            <w:r w:rsidR="00220A70" w:rsidRPr="00990862">
              <w:rPr>
                <w:rFonts w:eastAsia="Times New Roman" w:cs="Calibri"/>
                <w:color w:val="000000"/>
                <w:szCs w:val="20"/>
                <w:vertAlign w:val="superscript"/>
              </w:rPr>
              <w:t>1</w:t>
            </w:r>
          </w:p>
        </w:tc>
      </w:tr>
      <w:tr w:rsidR="00067B6B" w:rsidRPr="00F573A7" w:rsidTr="00B07D71">
        <w:tc>
          <w:tcPr>
            <w:tcW w:w="2188" w:type="dxa"/>
            <w:tcMar>
              <w:left w:w="28" w:type="dxa"/>
              <w:right w:w="28" w:type="dxa"/>
            </w:tcMar>
            <w:vAlign w:val="center"/>
          </w:tcPr>
          <w:p w:rsidR="00067B6B" w:rsidRPr="00F573A7" w:rsidRDefault="00067B6B" w:rsidP="0006229B">
            <w:pPr>
              <w:pStyle w:val="TableText"/>
            </w:pPr>
            <w:r w:rsidRPr="00F573A7">
              <w:t>Number of scripts dispensed</w:t>
            </w:r>
            <w:r w:rsidR="00A6172E" w:rsidRPr="00F573A7">
              <w:t xml:space="preserve"> </w:t>
            </w:r>
            <w:r w:rsidRPr="00F573A7">
              <w:rPr>
                <w:vertAlign w:val="superscript"/>
              </w:rPr>
              <w:t>a</w:t>
            </w:r>
          </w:p>
        </w:tc>
        <w:tc>
          <w:tcPr>
            <w:tcW w:w="1126" w:type="dxa"/>
            <w:tcMar>
              <w:left w:w="28" w:type="dxa"/>
              <w:right w:w="28" w:type="dxa"/>
            </w:tcMar>
          </w:tcPr>
          <w:p w:rsidR="00067B6B" w:rsidRPr="004B7986" w:rsidRDefault="004B7986" w:rsidP="00B07D71">
            <w:pPr>
              <w:pStyle w:val="TableText"/>
              <w:jc w:val="right"/>
            </w:pPr>
            <w:r>
              <w:rPr>
                <w:noProof/>
                <w:color w:val="000000"/>
                <w:highlight w:val="black"/>
              </w:rPr>
              <w:t>'''''''''''''''''</w:t>
            </w:r>
            <w:r w:rsidR="00220A70">
              <w:rPr>
                <w:rFonts w:eastAsia="Times New Roman" w:cs="Calibri"/>
                <w:color w:val="000000"/>
                <w:szCs w:val="20"/>
                <w:vertAlign w:val="superscript"/>
              </w:rPr>
              <w:t>2</w:t>
            </w:r>
          </w:p>
        </w:tc>
        <w:tc>
          <w:tcPr>
            <w:tcW w:w="1142" w:type="dxa"/>
            <w:tcMar>
              <w:left w:w="28" w:type="dxa"/>
              <w:right w:w="28" w:type="dxa"/>
            </w:tcMar>
          </w:tcPr>
          <w:p w:rsidR="00067B6B" w:rsidRPr="004B7986" w:rsidRDefault="004B7986" w:rsidP="00B07D71">
            <w:pPr>
              <w:pStyle w:val="TableText"/>
              <w:jc w:val="right"/>
            </w:pPr>
            <w:r>
              <w:rPr>
                <w:noProof/>
                <w:color w:val="000000"/>
                <w:highlight w:val="black"/>
              </w:rPr>
              <w:t>''''''''''''''''</w:t>
            </w:r>
            <w:r w:rsidR="00220A70">
              <w:rPr>
                <w:rFonts w:eastAsia="Times New Roman" w:cs="Calibri"/>
                <w:color w:val="000000"/>
                <w:szCs w:val="20"/>
                <w:vertAlign w:val="superscript"/>
              </w:rPr>
              <w:t>3</w:t>
            </w:r>
          </w:p>
        </w:tc>
        <w:tc>
          <w:tcPr>
            <w:tcW w:w="1129" w:type="dxa"/>
            <w:tcMar>
              <w:left w:w="28" w:type="dxa"/>
              <w:right w:w="28" w:type="dxa"/>
            </w:tcMar>
          </w:tcPr>
          <w:p w:rsidR="00067B6B" w:rsidRPr="004B7986" w:rsidRDefault="004B7986" w:rsidP="00D42D5C">
            <w:pPr>
              <w:pStyle w:val="TableText"/>
              <w:jc w:val="right"/>
            </w:pPr>
            <w:r>
              <w:rPr>
                <w:noProof/>
                <w:color w:val="000000"/>
                <w:highlight w:val="black"/>
              </w:rPr>
              <w:t>'''''''''''''''</w:t>
            </w:r>
            <w:r w:rsidR="00220A70">
              <w:rPr>
                <w:rFonts w:eastAsia="Times New Roman" w:cs="Calibri"/>
                <w:color w:val="000000"/>
                <w:szCs w:val="20"/>
                <w:vertAlign w:val="superscript"/>
              </w:rPr>
              <w:t>4</w:t>
            </w:r>
          </w:p>
        </w:tc>
        <w:tc>
          <w:tcPr>
            <w:tcW w:w="1126" w:type="dxa"/>
            <w:tcMar>
              <w:left w:w="28" w:type="dxa"/>
              <w:right w:w="28" w:type="dxa"/>
            </w:tcMar>
          </w:tcPr>
          <w:p w:rsidR="00067B6B" w:rsidRPr="004B7986" w:rsidRDefault="004B7986" w:rsidP="00D42D5C">
            <w:pPr>
              <w:pStyle w:val="TableText"/>
              <w:jc w:val="right"/>
            </w:pPr>
            <w:r>
              <w:rPr>
                <w:noProof/>
                <w:color w:val="000000"/>
                <w:highlight w:val="black"/>
              </w:rPr>
              <w:t>''''''''''''''''''</w:t>
            </w:r>
            <w:r w:rsidR="00220A70">
              <w:rPr>
                <w:rFonts w:eastAsia="Times New Roman" w:cs="Calibri"/>
                <w:color w:val="000000"/>
                <w:szCs w:val="20"/>
                <w:vertAlign w:val="superscript"/>
              </w:rPr>
              <w:t>5</w:t>
            </w:r>
          </w:p>
        </w:tc>
        <w:tc>
          <w:tcPr>
            <w:tcW w:w="1127" w:type="dxa"/>
            <w:tcMar>
              <w:left w:w="28" w:type="dxa"/>
              <w:right w:w="28" w:type="dxa"/>
            </w:tcMar>
          </w:tcPr>
          <w:p w:rsidR="00067B6B" w:rsidRPr="004B7986" w:rsidRDefault="004B7986" w:rsidP="00D42D5C">
            <w:pPr>
              <w:pStyle w:val="TableText"/>
              <w:jc w:val="right"/>
            </w:pPr>
            <w:r>
              <w:rPr>
                <w:noProof/>
                <w:color w:val="000000"/>
                <w:highlight w:val="black"/>
              </w:rPr>
              <w:t>''''''''''''''''</w:t>
            </w:r>
            <w:r w:rsidR="00220A70">
              <w:rPr>
                <w:rFonts w:eastAsia="Times New Roman" w:cs="Calibri"/>
                <w:color w:val="000000"/>
                <w:szCs w:val="20"/>
                <w:vertAlign w:val="superscript"/>
              </w:rPr>
              <w:t>5</w:t>
            </w:r>
          </w:p>
        </w:tc>
        <w:tc>
          <w:tcPr>
            <w:tcW w:w="1178" w:type="dxa"/>
            <w:tcMar>
              <w:left w:w="28" w:type="dxa"/>
              <w:right w:w="28" w:type="dxa"/>
            </w:tcMar>
          </w:tcPr>
          <w:p w:rsidR="00067B6B" w:rsidRPr="004B7986" w:rsidRDefault="004B7986" w:rsidP="00D42D5C">
            <w:pPr>
              <w:pStyle w:val="TableText"/>
              <w:jc w:val="right"/>
            </w:pPr>
            <w:r>
              <w:rPr>
                <w:noProof/>
                <w:color w:val="000000"/>
                <w:highlight w:val="black"/>
              </w:rPr>
              <w:t>'''''''''''''''</w:t>
            </w:r>
            <w:r w:rsidR="00220A70">
              <w:rPr>
                <w:rFonts w:eastAsia="Times New Roman" w:cs="Calibri"/>
                <w:color w:val="000000"/>
                <w:szCs w:val="20"/>
                <w:vertAlign w:val="superscript"/>
              </w:rPr>
              <w:t>5</w:t>
            </w:r>
          </w:p>
        </w:tc>
      </w:tr>
      <w:tr w:rsidR="00067B6B" w:rsidRPr="00F573A7" w:rsidTr="001A5B06">
        <w:tc>
          <w:tcPr>
            <w:tcW w:w="9016" w:type="dxa"/>
            <w:gridSpan w:val="7"/>
            <w:tcMar>
              <w:left w:w="28" w:type="dxa"/>
              <w:right w:w="28" w:type="dxa"/>
            </w:tcMar>
          </w:tcPr>
          <w:p w:rsidR="00067B6B" w:rsidRPr="00F573A7" w:rsidRDefault="00067B6B" w:rsidP="0006229B">
            <w:pPr>
              <w:pStyle w:val="In-tableHeading"/>
              <w:rPr>
                <w:lang w:val="en-AU"/>
              </w:rPr>
            </w:pPr>
            <w:r w:rsidRPr="00F573A7">
              <w:rPr>
                <w:lang w:val="en-AU"/>
              </w:rPr>
              <w:t>Estimated financial implications</w:t>
            </w:r>
          </w:p>
        </w:tc>
      </w:tr>
      <w:tr w:rsidR="001A5B06" w:rsidRPr="00F573A7" w:rsidTr="00B07D71">
        <w:tc>
          <w:tcPr>
            <w:tcW w:w="2188" w:type="dxa"/>
            <w:tcMar>
              <w:left w:w="28" w:type="dxa"/>
              <w:right w:w="28" w:type="dxa"/>
            </w:tcMar>
            <w:vAlign w:val="center"/>
          </w:tcPr>
          <w:p w:rsidR="001A5B06" w:rsidRPr="00F573A7" w:rsidRDefault="001A5B06" w:rsidP="0006229B">
            <w:pPr>
              <w:pStyle w:val="TableText"/>
            </w:pPr>
            <w:r w:rsidRPr="00F573A7">
              <w:t>Cost to PBS/RPBS</w:t>
            </w:r>
          </w:p>
        </w:tc>
        <w:tc>
          <w:tcPr>
            <w:tcW w:w="1126" w:type="dxa"/>
            <w:tcMar>
              <w:left w:w="28" w:type="dxa"/>
              <w:right w:w="28" w:type="dxa"/>
            </w:tcMar>
            <w:vAlign w:val="center"/>
          </w:tcPr>
          <w:p w:rsidR="001A5B06" w:rsidRPr="00F573A7" w:rsidRDefault="001A5B06" w:rsidP="00D42D5C">
            <w:pPr>
              <w:pStyle w:val="TableText"/>
              <w:jc w:val="right"/>
            </w:pPr>
            <w:r w:rsidRPr="00F573A7">
              <w:rPr>
                <w:rFonts w:cs="Calibri"/>
                <w:color w:val="000000"/>
                <w:szCs w:val="20"/>
              </w:rPr>
              <w:t>$</w:t>
            </w:r>
            <w:r w:rsidR="004B7986">
              <w:rPr>
                <w:rFonts w:cs="Calibri"/>
                <w:noProof/>
                <w:color w:val="000000"/>
                <w:szCs w:val="20"/>
                <w:highlight w:val="black"/>
              </w:rPr>
              <w:t>'''''''''''''''''''''''''''</w:t>
            </w:r>
            <w:r w:rsidR="00220A70">
              <w:rPr>
                <w:rFonts w:eastAsia="Times New Roman" w:cs="Calibri"/>
                <w:color w:val="000000"/>
                <w:szCs w:val="20"/>
                <w:vertAlign w:val="superscript"/>
              </w:rPr>
              <w:t>6</w:t>
            </w:r>
          </w:p>
        </w:tc>
        <w:tc>
          <w:tcPr>
            <w:tcW w:w="1142" w:type="dxa"/>
            <w:tcMar>
              <w:left w:w="28" w:type="dxa"/>
              <w:right w:w="28" w:type="dxa"/>
            </w:tcMar>
            <w:vAlign w:val="center"/>
          </w:tcPr>
          <w:p w:rsidR="001A5B06" w:rsidRPr="00F573A7" w:rsidRDefault="001A5B06" w:rsidP="00D42D5C">
            <w:pPr>
              <w:pStyle w:val="TableText"/>
              <w:jc w:val="right"/>
            </w:pPr>
            <w:r w:rsidRPr="00F573A7">
              <w:rPr>
                <w:rFonts w:cs="Calibri"/>
                <w:color w:val="000000"/>
                <w:szCs w:val="20"/>
              </w:rPr>
              <w:t>$</w:t>
            </w:r>
            <w:r w:rsidR="004B7986">
              <w:rPr>
                <w:rFonts w:cs="Calibri"/>
                <w:noProof/>
                <w:color w:val="000000"/>
                <w:szCs w:val="20"/>
                <w:highlight w:val="black"/>
              </w:rPr>
              <w:t>'''''''''''''''''''''''''</w:t>
            </w:r>
            <w:r w:rsidR="00220A70">
              <w:rPr>
                <w:rFonts w:eastAsia="Times New Roman" w:cs="Calibri"/>
                <w:color w:val="000000"/>
                <w:szCs w:val="20"/>
                <w:vertAlign w:val="superscript"/>
              </w:rPr>
              <w:t>7</w:t>
            </w:r>
          </w:p>
        </w:tc>
        <w:tc>
          <w:tcPr>
            <w:tcW w:w="1129" w:type="dxa"/>
            <w:tcMar>
              <w:left w:w="28" w:type="dxa"/>
              <w:right w:w="28" w:type="dxa"/>
            </w:tcMar>
            <w:vAlign w:val="center"/>
          </w:tcPr>
          <w:p w:rsidR="001A5B06" w:rsidRPr="00F573A7" w:rsidRDefault="001A5B06" w:rsidP="00D42D5C">
            <w:pPr>
              <w:pStyle w:val="TableText"/>
              <w:jc w:val="right"/>
            </w:pPr>
            <w:r w:rsidRPr="00F573A7">
              <w:rPr>
                <w:rFonts w:cs="Calibri"/>
                <w:color w:val="000000"/>
                <w:szCs w:val="20"/>
              </w:rPr>
              <w:t>$</w:t>
            </w:r>
            <w:r w:rsidR="004B7986">
              <w:rPr>
                <w:rFonts w:cs="Calibri"/>
                <w:noProof/>
                <w:color w:val="000000"/>
                <w:szCs w:val="20"/>
                <w:highlight w:val="black"/>
              </w:rPr>
              <w:t>'''''''''''''''''''''''''''''</w:t>
            </w:r>
            <w:r w:rsidR="00220A70">
              <w:rPr>
                <w:rFonts w:eastAsia="Times New Roman" w:cs="Calibri"/>
                <w:color w:val="000000"/>
                <w:szCs w:val="20"/>
                <w:vertAlign w:val="superscript"/>
              </w:rPr>
              <w:t>8</w:t>
            </w:r>
          </w:p>
        </w:tc>
        <w:tc>
          <w:tcPr>
            <w:tcW w:w="1126" w:type="dxa"/>
            <w:tcMar>
              <w:left w:w="28" w:type="dxa"/>
              <w:right w:w="28" w:type="dxa"/>
            </w:tcMar>
            <w:vAlign w:val="center"/>
          </w:tcPr>
          <w:p w:rsidR="001A5B06" w:rsidRPr="00F573A7" w:rsidRDefault="001A5B06" w:rsidP="00D42D5C">
            <w:pPr>
              <w:pStyle w:val="TableText"/>
              <w:jc w:val="right"/>
            </w:pPr>
            <w:r w:rsidRPr="00F573A7">
              <w:rPr>
                <w:rFonts w:cs="Calibri"/>
                <w:color w:val="000000"/>
                <w:szCs w:val="20"/>
              </w:rPr>
              <w:t>$</w:t>
            </w:r>
            <w:r w:rsidR="004B7986">
              <w:rPr>
                <w:rFonts w:cs="Calibri"/>
                <w:noProof/>
                <w:color w:val="000000"/>
                <w:szCs w:val="20"/>
                <w:highlight w:val="black"/>
              </w:rPr>
              <w:t>'''''''''''''''''''''''''''</w:t>
            </w:r>
            <w:r w:rsidR="00220A70">
              <w:rPr>
                <w:rFonts w:eastAsia="Times New Roman" w:cs="Calibri"/>
                <w:color w:val="000000"/>
                <w:szCs w:val="20"/>
                <w:vertAlign w:val="superscript"/>
              </w:rPr>
              <w:t>9</w:t>
            </w:r>
          </w:p>
        </w:tc>
        <w:tc>
          <w:tcPr>
            <w:tcW w:w="1127" w:type="dxa"/>
            <w:tcMar>
              <w:left w:w="28" w:type="dxa"/>
              <w:right w:w="28" w:type="dxa"/>
            </w:tcMar>
            <w:vAlign w:val="center"/>
          </w:tcPr>
          <w:p w:rsidR="001A5B06" w:rsidRPr="00F573A7" w:rsidRDefault="001A5B06" w:rsidP="00D42D5C">
            <w:pPr>
              <w:pStyle w:val="TableText"/>
              <w:jc w:val="right"/>
            </w:pPr>
            <w:r w:rsidRPr="00F573A7">
              <w:rPr>
                <w:rFonts w:cs="Calibri"/>
                <w:color w:val="000000"/>
                <w:szCs w:val="20"/>
              </w:rPr>
              <w:t>$</w:t>
            </w:r>
            <w:r w:rsidR="004B7986">
              <w:rPr>
                <w:rFonts w:cs="Calibri"/>
                <w:noProof/>
                <w:color w:val="000000"/>
                <w:szCs w:val="20"/>
                <w:highlight w:val="black"/>
              </w:rPr>
              <w:t>'''''''''''''''''''''''''''</w:t>
            </w:r>
            <w:r w:rsidR="00220A70">
              <w:rPr>
                <w:rFonts w:eastAsia="Times New Roman" w:cs="Calibri"/>
                <w:color w:val="000000"/>
                <w:szCs w:val="20"/>
                <w:vertAlign w:val="superscript"/>
              </w:rPr>
              <w:t>9</w:t>
            </w:r>
          </w:p>
        </w:tc>
        <w:tc>
          <w:tcPr>
            <w:tcW w:w="1178" w:type="dxa"/>
            <w:tcMar>
              <w:left w:w="28" w:type="dxa"/>
              <w:right w:w="28" w:type="dxa"/>
            </w:tcMar>
            <w:vAlign w:val="center"/>
          </w:tcPr>
          <w:p w:rsidR="001A5B06" w:rsidRPr="00F573A7" w:rsidRDefault="001A5B06" w:rsidP="00D42D5C">
            <w:pPr>
              <w:pStyle w:val="TableText"/>
              <w:jc w:val="right"/>
            </w:pPr>
            <w:r w:rsidRPr="00F573A7">
              <w:rPr>
                <w:rFonts w:cs="Calibri"/>
                <w:color w:val="000000"/>
                <w:szCs w:val="20"/>
              </w:rPr>
              <w:t>$</w:t>
            </w:r>
            <w:r w:rsidR="004B7986">
              <w:rPr>
                <w:rFonts w:cs="Calibri"/>
                <w:noProof/>
                <w:color w:val="000000"/>
                <w:szCs w:val="20"/>
                <w:highlight w:val="black"/>
              </w:rPr>
              <w:t>'''''''''''''''''''''''''''''</w:t>
            </w:r>
            <w:r w:rsidR="00220A70">
              <w:rPr>
                <w:rFonts w:eastAsia="Times New Roman" w:cs="Calibri"/>
                <w:color w:val="000000"/>
                <w:szCs w:val="20"/>
                <w:vertAlign w:val="superscript"/>
              </w:rPr>
              <w:t>10</w:t>
            </w:r>
          </w:p>
        </w:tc>
      </w:tr>
      <w:tr w:rsidR="001A5B06" w:rsidRPr="00F573A7" w:rsidTr="00B07D71">
        <w:tc>
          <w:tcPr>
            <w:tcW w:w="2188" w:type="dxa"/>
            <w:tcMar>
              <w:left w:w="28" w:type="dxa"/>
              <w:right w:w="28" w:type="dxa"/>
            </w:tcMar>
            <w:vAlign w:val="center"/>
          </w:tcPr>
          <w:p w:rsidR="001A5B06" w:rsidRPr="00F573A7" w:rsidRDefault="001A5B06" w:rsidP="0006229B">
            <w:pPr>
              <w:pStyle w:val="TableText"/>
            </w:pPr>
            <w:r w:rsidRPr="00F573A7">
              <w:t>Cost offsets due to substituted therapies</w:t>
            </w:r>
          </w:p>
        </w:tc>
        <w:tc>
          <w:tcPr>
            <w:tcW w:w="1126" w:type="dxa"/>
            <w:tcMar>
              <w:left w:w="28" w:type="dxa"/>
              <w:right w:w="28" w:type="dxa"/>
            </w:tcMar>
            <w:vAlign w:val="center"/>
          </w:tcPr>
          <w:p w:rsidR="001A5B06" w:rsidRPr="00F573A7" w:rsidRDefault="001A5B06" w:rsidP="00D42D5C">
            <w:pPr>
              <w:pStyle w:val="TableText"/>
              <w:jc w:val="right"/>
              <w:rPr>
                <w:rFonts w:cs="Calibri"/>
                <w:szCs w:val="20"/>
              </w:rPr>
            </w:pPr>
            <w:r w:rsidRPr="00F573A7">
              <w:rPr>
                <w:rFonts w:cs="Calibri"/>
                <w:szCs w:val="20"/>
              </w:rPr>
              <w:t>-$</w:t>
            </w:r>
            <w:r w:rsidR="004B7986">
              <w:rPr>
                <w:rFonts w:cs="Calibri"/>
                <w:noProof/>
                <w:color w:val="000000"/>
                <w:szCs w:val="20"/>
                <w:highlight w:val="black"/>
              </w:rPr>
              <w:t>'''''''''''''''''''''''''</w:t>
            </w:r>
            <w:r w:rsidR="00220A70">
              <w:rPr>
                <w:rFonts w:eastAsia="Times New Roman" w:cs="Calibri"/>
                <w:color w:val="000000"/>
                <w:szCs w:val="20"/>
                <w:vertAlign w:val="superscript"/>
              </w:rPr>
              <w:t>11</w:t>
            </w:r>
          </w:p>
        </w:tc>
        <w:tc>
          <w:tcPr>
            <w:tcW w:w="1142" w:type="dxa"/>
            <w:tcMar>
              <w:left w:w="28" w:type="dxa"/>
              <w:right w:w="28" w:type="dxa"/>
            </w:tcMar>
            <w:vAlign w:val="center"/>
          </w:tcPr>
          <w:p w:rsidR="001A5B06" w:rsidRPr="00F573A7" w:rsidRDefault="001A5B06" w:rsidP="00D42D5C">
            <w:pPr>
              <w:pStyle w:val="TableText"/>
              <w:jc w:val="right"/>
              <w:rPr>
                <w:rFonts w:cs="Calibri"/>
                <w:szCs w:val="20"/>
              </w:rPr>
            </w:pPr>
            <w:r w:rsidRPr="00F573A7">
              <w:rPr>
                <w:rFonts w:cs="Calibri"/>
                <w:szCs w:val="20"/>
              </w:rPr>
              <w:t>-$</w:t>
            </w:r>
            <w:r w:rsidR="004B7986">
              <w:rPr>
                <w:rFonts w:cs="Calibri"/>
                <w:noProof/>
                <w:color w:val="000000"/>
                <w:szCs w:val="20"/>
                <w:highlight w:val="black"/>
              </w:rPr>
              <w:t>'''''''''''''''''''''''''</w:t>
            </w:r>
            <w:r w:rsidR="00220A70">
              <w:rPr>
                <w:rFonts w:eastAsia="Times New Roman" w:cs="Calibri"/>
                <w:color w:val="000000"/>
                <w:szCs w:val="20"/>
                <w:vertAlign w:val="superscript"/>
              </w:rPr>
              <w:t>6</w:t>
            </w:r>
          </w:p>
        </w:tc>
        <w:tc>
          <w:tcPr>
            <w:tcW w:w="1129" w:type="dxa"/>
            <w:tcMar>
              <w:left w:w="28" w:type="dxa"/>
              <w:right w:w="28" w:type="dxa"/>
            </w:tcMar>
            <w:vAlign w:val="center"/>
          </w:tcPr>
          <w:p w:rsidR="001A5B06" w:rsidRPr="00F573A7" w:rsidRDefault="001A5B06" w:rsidP="00D42D5C">
            <w:pPr>
              <w:pStyle w:val="TableText"/>
              <w:jc w:val="right"/>
              <w:rPr>
                <w:rFonts w:cs="Calibri"/>
                <w:szCs w:val="20"/>
              </w:rPr>
            </w:pPr>
            <w:r w:rsidRPr="00F573A7">
              <w:rPr>
                <w:rFonts w:cs="Calibri"/>
                <w:szCs w:val="20"/>
              </w:rPr>
              <w:t>-$</w:t>
            </w:r>
            <w:r w:rsidR="00B07D71">
              <w:rPr>
                <w:rFonts w:cs="Calibri"/>
                <w:noProof/>
                <w:color w:val="000000"/>
                <w:szCs w:val="20"/>
                <w:highlight w:val="black"/>
              </w:rPr>
              <w:t>'''''''''''''</w:t>
            </w:r>
            <w:r w:rsidR="004B7986">
              <w:rPr>
                <w:rFonts w:cs="Calibri"/>
                <w:noProof/>
                <w:color w:val="000000"/>
                <w:szCs w:val="20"/>
                <w:highlight w:val="black"/>
              </w:rPr>
              <w:t>''''''''''''</w:t>
            </w:r>
            <w:r w:rsidR="00220A70">
              <w:rPr>
                <w:rFonts w:eastAsia="Times New Roman" w:cs="Calibri"/>
                <w:color w:val="000000"/>
                <w:szCs w:val="20"/>
                <w:vertAlign w:val="superscript"/>
              </w:rPr>
              <w:t>12</w:t>
            </w:r>
          </w:p>
        </w:tc>
        <w:tc>
          <w:tcPr>
            <w:tcW w:w="1126" w:type="dxa"/>
            <w:tcMar>
              <w:left w:w="28" w:type="dxa"/>
              <w:right w:w="28" w:type="dxa"/>
            </w:tcMar>
            <w:vAlign w:val="center"/>
          </w:tcPr>
          <w:p w:rsidR="001A5B06" w:rsidRPr="00F573A7" w:rsidRDefault="001A5B06" w:rsidP="00D42D5C">
            <w:pPr>
              <w:pStyle w:val="TableText"/>
              <w:jc w:val="right"/>
              <w:rPr>
                <w:rFonts w:cs="Calibri"/>
                <w:szCs w:val="20"/>
              </w:rPr>
            </w:pPr>
            <w:r w:rsidRPr="00F573A7">
              <w:rPr>
                <w:rFonts w:cs="Calibri"/>
                <w:szCs w:val="20"/>
              </w:rPr>
              <w:t>-$</w:t>
            </w:r>
            <w:r w:rsidR="004B7986">
              <w:rPr>
                <w:rFonts w:cs="Calibri"/>
                <w:noProof/>
                <w:color w:val="000000"/>
                <w:szCs w:val="20"/>
                <w:highlight w:val="black"/>
              </w:rPr>
              <w:t>''''''''''''''''''''''''</w:t>
            </w:r>
            <w:r w:rsidR="00220A70">
              <w:rPr>
                <w:rFonts w:eastAsia="Times New Roman" w:cs="Calibri"/>
                <w:color w:val="000000"/>
                <w:szCs w:val="20"/>
                <w:vertAlign w:val="superscript"/>
              </w:rPr>
              <w:t>7</w:t>
            </w:r>
          </w:p>
        </w:tc>
        <w:tc>
          <w:tcPr>
            <w:tcW w:w="1127" w:type="dxa"/>
            <w:tcMar>
              <w:left w:w="28" w:type="dxa"/>
              <w:right w:w="28" w:type="dxa"/>
            </w:tcMar>
            <w:vAlign w:val="center"/>
          </w:tcPr>
          <w:p w:rsidR="001A5B06" w:rsidRPr="00F573A7" w:rsidRDefault="001A5B06" w:rsidP="00D42D5C">
            <w:pPr>
              <w:pStyle w:val="TableText"/>
              <w:jc w:val="right"/>
              <w:rPr>
                <w:rFonts w:cs="Calibri"/>
                <w:szCs w:val="20"/>
              </w:rPr>
            </w:pPr>
            <w:r w:rsidRPr="00F573A7">
              <w:rPr>
                <w:rFonts w:cs="Calibri"/>
                <w:szCs w:val="20"/>
              </w:rPr>
              <w:t>-$</w:t>
            </w:r>
            <w:r w:rsidR="004B7986">
              <w:rPr>
                <w:rFonts w:cs="Calibri"/>
                <w:noProof/>
                <w:color w:val="000000"/>
                <w:szCs w:val="20"/>
                <w:highlight w:val="black"/>
              </w:rPr>
              <w:t>'''''''''''''''''''''''''''</w:t>
            </w:r>
            <w:r w:rsidR="00220A70">
              <w:rPr>
                <w:rFonts w:eastAsia="Times New Roman" w:cs="Calibri"/>
                <w:color w:val="000000"/>
                <w:szCs w:val="20"/>
                <w:vertAlign w:val="superscript"/>
              </w:rPr>
              <w:t>7</w:t>
            </w:r>
          </w:p>
        </w:tc>
        <w:tc>
          <w:tcPr>
            <w:tcW w:w="1178" w:type="dxa"/>
            <w:tcMar>
              <w:left w:w="28" w:type="dxa"/>
              <w:right w:w="28" w:type="dxa"/>
            </w:tcMar>
            <w:vAlign w:val="center"/>
          </w:tcPr>
          <w:p w:rsidR="001A5B06" w:rsidRPr="00F573A7" w:rsidRDefault="001A5B06" w:rsidP="00D42D5C">
            <w:pPr>
              <w:pStyle w:val="TableText"/>
              <w:jc w:val="right"/>
              <w:rPr>
                <w:rFonts w:cs="Calibri"/>
                <w:szCs w:val="20"/>
              </w:rPr>
            </w:pPr>
            <w:r w:rsidRPr="00F573A7">
              <w:rPr>
                <w:rFonts w:cs="Calibri"/>
                <w:szCs w:val="20"/>
              </w:rPr>
              <w:t>-$</w:t>
            </w:r>
            <w:r w:rsidR="004B7986">
              <w:rPr>
                <w:rFonts w:cs="Calibri"/>
                <w:noProof/>
                <w:color w:val="000000"/>
                <w:szCs w:val="20"/>
                <w:highlight w:val="black"/>
              </w:rPr>
              <w:t>'''''''''''''''''''''''''''''</w:t>
            </w:r>
            <w:r w:rsidR="00220A70">
              <w:rPr>
                <w:rFonts w:eastAsia="Times New Roman" w:cs="Calibri"/>
                <w:color w:val="000000"/>
                <w:szCs w:val="20"/>
                <w:vertAlign w:val="superscript"/>
              </w:rPr>
              <w:t>7</w:t>
            </w:r>
          </w:p>
        </w:tc>
      </w:tr>
      <w:tr w:rsidR="001A5B06" w:rsidRPr="00F573A7" w:rsidTr="00B07D71">
        <w:tc>
          <w:tcPr>
            <w:tcW w:w="2188" w:type="dxa"/>
            <w:tcMar>
              <w:left w:w="28" w:type="dxa"/>
              <w:right w:w="28" w:type="dxa"/>
            </w:tcMar>
            <w:vAlign w:val="center"/>
          </w:tcPr>
          <w:p w:rsidR="001A5B06" w:rsidRPr="00F573A7" w:rsidRDefault="001A5B06" w:rsidP="0006229B">
            <w:pPr>
              <w:pStyle w:val="TableText"/>
            </w:pPr>
            <w:r w:rsidRPr="00F573A7">
              <w:t>Cost offsets due to prevention of downstream therapy</w:t>
            </w:r>
          </w:p>
        </w:tc>
        <w:tc>
          <w:tcPr>
            <w:tcW w:w="1126" w:type="dxa"/>
            <w:tcMar>
              <w:left w:w="28" w:type="dxa"/>
              <w:right w:w="28" w:type="dxa"/>
            </w:tcMar>
            <w:vAlign w:val="center"/>
          </w:tcPr>
          <w:p w:rsidR="001A5B06" w:rsidRPr="00F573A7" w:rsidRDefault="001A5B06" w:rsidP="00D42D5C">
            <w:pPr>
              <w:pStyle w:val="TableText"/>
              <w:jc w:val="right"/>
              <w:rPr>
                <w:rFonts w:cs="Calibri"/>
                <w:szCs w:val="20"/>
              </w:rPr>
            </w:pPr>
            <w:r w:rsidRPr="00F573A7">
              <w:rPr>
                <w:rFonts w:cs="Calibri"/>
                <w:szCs w:val="20"/>
              </w:rPr>
              <w:t>-$</w:t>
            </w:r>
            <w:r w:rsidR="004B7986">
              <w:rPr>
                <w:rFonts w:cs="Calibri"/>
                <w:noProof/>
                <w:color w:val="000000"/>
                <w:szCs w:val="20"/>
                <w:highlight w:val="black"/>
              </w:rPr>
              <w:t>'''''''''''''''''''''''''</w:t>
            </w:r>
            <w:r w:rsidR="00220A70">
              <w:rPr>
                <w:rFonts w:eastAsia="Times New Roman" w:cs="Calibri"/>
                <w:color w:val="000000"/>
                <w:szCs w:val="20"/>
                <w:vertAlign w:val="superscript"/>
              </w:rPr>
              <w:t>11</w:t>
            </w:r>
          </w:p>
        </w:tc>
        <w:tc>
          <w:tcPr>
            <w:tcW w:w="1142" w:type="dxa"/>
            <w:tcMar>
              <w:left w:w="28" w:type="dxa"/>
              <w:right w:w="28" w:type="dxa"/>
            </w:tcMar>
            <w:vAlign w:val="center"/>
          </w:tcPr>
          <w:p w:rsidR="001A5B06" w:rsidRPr="00F573A7" w:rsidRDefault="001A5B06" w:rsidP="00D42D5C">
            <w:pPr>
              <w:pStyle w:val="TableText"/>
              <w:jc w:val="right"/>
              <w:rPr>
                <w:rFonts w:cs="Calibri"/>
                <w:szCs w:val="20"/>
              </w:rPr>
            </w:pPr>
            <w:r w:rsidRPr="00F573A7">
              <w:rPr>
                <w:rFonts w:cs="Calibri"/>
                <w:szCs w:val="20"/>
              </w:rPr>
              <w:t>-$</w:t>
            </w:r>
            <w:r w:rsidR="004B7986">
              <w:rPr>
                <w:rFonts w:cs="Calibri"/>
                <w:noProof/>
                <w:color w:val="000000"/>
                <w:szCs w:val="20"/>
                <w:highlight w:val="black"/>
              </w:rPr>
              <w:t>'''''''''''''''''''''</w:t>
            </w:r>
            <w:r w:rsidR="00220A70">
              <w:rPr>
                <w:rFonts w:eastAsia="Times New Roman" w:cs="Calibri"/>
                <w:color w:val="000000"/>
                <w:szCs w:val="20"/>
                <w:vertAlign w:val="superscript"/>
              </w:rPr>
              <w:t>11</w:t>
            </w:r>
          </w:p>
        </w:tc>
        <w:tc>
          <w:tcPr>
            <w:tcW w:w="1129" w:type="dxa"/>
            <w:tcMar>
              <w:left w:w="28" w:type="dxa"/>
              <w:right w:w="28" w:type="dxa"/>
            </w:tcMar>
            <w:vAlign w:val="center"/>
          </w:tcPr>
          <w:p w:rsidR="001A5B06" w:rsidRPr="00F573A7" w:rsidRDefault="001A5B06" w:rsidP="00D42D5C">
            <w:pPr>
              <w:pStyle w:val="TableText"/>
              <w:jc w:val="right"/>
              <w:rPr>
                <w:rFonts w:cs="Calibri"/>
                <w:szCs w:val="20"/>
              </w:rPr>
            </w:pPr>
            <w:r w:rsidRPr="00F573A7">
              <w:rPr>
                <w:rFonts w:cs="Calibri"/>
                <w:szCs w:val="20"/>
              </w:rPr>
              <w:t>-$</w:t>
            </w:r>
            <w:r w:rsidR="004B7986">
              <w:rPr>
                <w:rFonts w:cs="Calibri"/>
                <w:noProof/>
                <w:color w:val="000000"/>
                <w:szCs w:val="20"/>
                <w:highlight w:val="black"/>
              </w:rPr>
              <w:t>'''''''''''''''''''''''</w:t>
            </w:r>
            <w:r w:rsidR="00220A70">
              <w:rPr>
                <w:rFonts w:eastAsia="Times New Roman" w:cs="Calibri"/>
                <w:color w:val="000000"/>
                <w:szCs w:val="20"/>
                <w:vertAlign w:val="superscript"/>
              </w:rPr>
              <w:t>11</w:t>
            </w:r>
          </w:p>
        </w:tc>
        <w:tc>
          <w:tcPr>
            <w:tcW w:w="1126" w:type="dxa"/>
            <w:tcMar>
              <w:left w:w="28" w:type="dxa"/>
              <w:right w:w="28" w:type="dxa"/>
            </w:tcMar>
            <w:vAlign w:val="center"/>
          </w:tcPr>
          <w:p w:rsidR="001A5B06" w:rsidRPr="00F573A7" w:rsidRDefault="001A5B06" w:rsidP="00D42D5C">
            <w:pPr>
              <w:pStyle w:val="TableText"/>
              <w:jc w:val="right"/>
              <w:rPr>
                <w:rFonts w:cs="Calibri"/>
                <w:szCs w:val="20"/>
              </w:rPr>
            </w:pPr>
            <w:r w:rsidRPr="00F573A7">
              <w:rPr>
                <w:rFonts w:cs="Calibri"/>
                <w:szCs w:val="20"/>
              </w:rPr>
              <w:t>-$</w:t>
            </w:r>
            <w:r w:rsidR="00B07D71">
              <w:rPr>
                <w:rFonts w:cs="Calibri"/>
                <w:noProof/>
                <w:color w:val="000000"/>
                <w:szCs w:val="20"/>
                <w:highlight w:val="black"/>
              </w:rPr>
              <w:t>'''''''''''''</w:t>
            </w:r>
            <w:r w:rsidR="004B7986">
              <w:rPr>
                <w:rFonts w:cs="Calibri"/>
                <w:noProof/>
                <w:color w:val="000000"/>
                <w:szCs w:val="20"/>
                <w:highlight w:val="black"/>
              </w:rPr>
              <w:t>''''''''''</w:t>
            </w:r>
            <w:r w:rsidR="00220A70">
              <w:rPr>
                <w:rFonts w:eastAsia="Times New Roman" w:cs="Calibri"/>
                <w:color w:val="000000"/>
                <w:szCs w:val="20"/>
                <w:vertAlign w:val="superscript"/>
              </w:rPr>
              <w:t>11</w:t>
            </w:r>
          </w:p>
        </w:tc>
        <w:tc>
          <w:tcPr>
            <w:tcW w:w="1127" w:type="dxa"/>
            <w:tcMar>
              <w:left w:w="28" w:type="dxa"/>
              <w:right w:w="28" w:type="dxa"/>
            </w:tcMar>
            <w:vAlign w:val="center"/>
          </w:tcPr>
          <w:p w:rsidR="001A5B06" w:rsidRPr="00F573A7" w:rsidRDefault="001A5B06" w:rsidP="00D42D5C">
            <w:pPr>
              <w:pStyle w:val="TableText"/>
              <w:jc w:val="right"/>
              <w:rPr>
                <w:rFonts w:cs="Calibri"/>
                <w:szCs w:val="20"/>
              </w:rPr>
            </w:pPr>
            <w:r w:rsidRPr="00F573A7">
              <w:rPr>
                <w:rFonts w:cs="Calibri"/>
                <w:szCs w:val="20"/>
              </w:rPr>
              <w:t>-$</w:t>
            </w:r>
            <w:r w:rsidR="004B7986">
              <w:rPr>
                <w:rFonts w:cs="Calibri"/>
                <w:noProof/>
                <w:color w:val="000000"/>
                <w:szCs w:val="20"/>
                <w:highlight w:val="black"/>
              </w:rPr>
              <w:t>''''''''''''''''''''''''</w:t>
            </w:r>
            <w:r w:rsidR="00220A70">
              <w:rPr>
                <w:rFonts w:eastAsia="Times New Roman" w:cs="Calibri"/>
                <w:color w:val="000000"/>
                <w:szCs w:val="20"/>
                <w:vertAlign w:val="superscript"/>
              </w:rPr>
              <w:t>11</w:t>
            </w:r>
          </w:p>
        </w:tc>
        <w:tc>
          <w:tcPr>
            <w:tcW w:w="1178" w:type="dxa"/>
            <w:tcMar>
              <w:left w:w="28" w:type="dxa"/>
              <w:right w:w="28" w:type="dxa"/>
            </w:tcMar>
            <w:vAlign w:val="center"/>
          </w:tcPr>
          <w:p w:rsidR="001A5B06" w:rsidRPr="00F573A7" w:rsidRDefault="001A5B06" w:rsidP="00D42D5C">
            <w:pPr>
              <w:pStyle w:val="TableText"/>
              <w:jc w:val="right"/>
              <w:rPr>
                <w:rFonts w:cs="Calibri"/>
                <w:szCs w:val="20"/>
              </w:rPr>
            </w:pPr>
            <w:r w:rsidRPr="00F573A7">
              <w:rPr>
                <w:rFonts w:cs="Calibri"/>
                <w:szCs w:val="20"/>
              </w:rPr>
              <w:t>-$</w:t>
            </w:r>
            <w:r w:rsidR="004B7986">
              <w:rPr>
                <w:rFonts w:cs="Calibri"/>
                <w:noProof/>
                <w:color w:val="000000"/>
                <w:szCs w:val="20"/>
                <w:highlight w:val="black"/>
              </w:rPr>
              <w:t>'''''''''''''''''''''''</w:t>
            </w:r>
            <w:r w:rsidR="00220A70">
              <w:rPr>
                <w:rFonts w:eastAsia="Times New Roman" w:cs="Calibri"/>
                <w:color w:val="000000"/>
                <w:szCs w:val="20"/>
                <w:vertAlign w:val="superscript"/>
              </w:rPr>
              <w:t>11</w:t>
            </w:r>
          </w:p>
        </w:tc>
      </w:tr>
      <w:tr w:rsidR="001A5B06" w:rsidRPr="00F573A7" w:rsidDel="003E3C10" w:rsidTr="00B07D71">
        <w:tc>
          <w:tcPr>
            <w:tcW w:w="2188" w:type="dxa"/>
            <w:tcMar>
              <w:left w:w="28" w:type="dxa"/>
              <w:right w:w="28" w:type="dxa"/>
            </w:tcMar>
            <w:vAlign w:val="center"/>
          </w:tcPr>
          <w:p w:rsidR="001A5B06" w:rsidRPr="00F573A7" w:rsidDel="003E3C10" w:rsidRDefault="001A5B06" w:rsidP="0006229B">
            <w:pPr>
              <w:pStyle w:val="TableText"/>
              <w:rPr>
                <w:b/>
              </w:rPr>
            </w:pPr>
            <w:r w:rsidRPr="00F573A7">
              <w:rPr>
                <w:b/>
              </w:rPr>
              <w:t>Net cost to PBS/RPBS</w:t>
            </w:r>
          </w:p>
        </w:tc>
        <w:tc>
          <w:tcPr>
            <w:tcW w:w="1126" w:type="dxa"/>
            <w:tcMar>
              <w:left w:w="28" w:type="dxa"/>
              <w:right w:w="28" w:type="dxa"/>
            </w:tcMar>
            <w:vAlign w:val="center"/>
          </w:tcPr>
          <w:p w:rsidR="001A5B06" w:rsidRPr="00F573A7" w:rsidDel="003E3C10" w:rsidRDefault="001A5B06" w:rsidP="00D42D5C">
            <w:pPr>
              <w:pStyle w:val="TableText"/>
              <w:jc w:val="right"/>
              <w:rPr>
                <w:b/>
              </w:rPr>
            </w:pPr>
            <w:r w:rsidRPr="00F573A7">
              <w:rPr>
                <w:rFonts w:cs="Calibri"/>
                <w:b/>
                <w:color w:val="000000"/>
                <w:szCs w:val="20"/>
              </w:rPr>
              <w:t>$</w:t>
            </w:r>
            <w:r w:rsidR="004B7986">
              <w:rPr>
                <w:rFonts w:cs="Calibri"/>
                <w:b/>
                <w:noProof/>
                <w:color w:val="000000"/>
                <w:szCs w:val="20"/>
                <w:highlight w:val="black"/>
              </w:rPr>
              <w:t>''''''''''''''''''</w:t>
            </w:r>
            <w:r w:rsidR="00220A70">
              <w:rPr>
                <w:rFonts w:eastAsia="Times New Roman" w:cs="Calibri"/>
                <w:color w:val="000000"/>
                <w:szCs w:val="20"/>
                <w:vertAlign w:val="superscript"/>
              </w:rPr>
              <w:t>11</w:t>
            </w:r>
          </w:p>
        </w:tc>
        <w:tc>
          <w:tcPr>
            <w:tcW w:w="1142" w:type="dxa"/>
            <w:tcMar>
              <w:left w:w="28" w:type="dxa"/>
              <w:right w:w="28" w:type="dxa"/>
            </w:tcMar>
            <w:vAlign w:val="center"/>
          </w:tcPr>
          <w:p w:rsidR="001A5B06" w:rsidRPr="00F573A7" w:rsidDel="003E3C10" w:rsidRDefault="001A5B06" w:rsidP="00D42D5C">
            <w:pPr>
              <w:pStyle w:val="TableText"/>
              <w:jc w:val="right"/>
              <w:rPr>
                <w:b/>
              </w:rPr>
            </w:pPr>
            <w:r w:rsidRPr="00F573A7">
              <w:rPr>
                <w:rFonts w:cs="Calibri"/>
                <w:b/>
                <w:color w:val="000000"/>
                <w:szCs w:val="20"/>
              </w:rPr>
              <w:t>$</w:t>
            </w:r>
            <w:r w:rsidR="004B7986">
              <w:rPr>
                <w:rFonts w:cs="Calibri"/>
                <w:b/>
                <w:noProof/>
                <w:color w:val="000000"/>
                <w:szCs w:val="20"/>
                <w:highlight w:val="black"/>
              </w:rPr>
              <w:t>''''''''''''''''''''''''</w:t>
            </w:r>
            <w:r w:rsidR="00220A70">
              <w:rPr>
                <w:rFonts w:eastAsia="Times New Roman" w:cs="Calibri"/>
                <w:color w:val="000000"/>
                <w:szCs w:val="20"/>
                <w:vertAlign w:val="superscript"/>
              </w:rPr>
              <w:t>6</w:t>
            </w:r>
          </w:p>
        </w:tc>
        <w:tc>
          <w:tcPr>
            <w:tcW w:w="1129" w:type="dxa"/>
            <w:tcMar>
              <w:left w:w="28" w:type="dxa"/>
              <w:right w:w="28" w:type="dxa"/>
            </w:tcMar>
            <w:vAlign w:val="center"/>
          </w:tcPr>
          <w:p w:rsidR="001A5B06" w:rsidRPr="00F573A7" w:rsidDel="003E3C10" w:rsidRDefault="001A5B06" w:rsidP="00D42D5C">
            <w:pPr>
              <w:pStyle w:val="TableText"/>
              <w:jc w:val="right"/>
              <w:rPr>
                <w:b/>
              </w:rPr>
            </w:pPr>
            <w:r w:rsidRPr="00F573A7">
              <w:rPr>
                <w:rFonts w:cs="Calibri"/>
                <w:b/>
                <w:color w:val="000000"/>
                <w:szCs w:val="20"/>
              </w:rPr>
              <w:t>$</w:t>
            </w:r>
            <w:r w:rsidR="004B7986">
              <w:rPr>
                <w:rFonts w:cs="Calibri"/>
                <w:b/>
                <w:noProof/>
                <w:color w:val="000000"/>
                <w:szCs w:val="20"/>
                <w:highlight w:val="black"/>
              </w:rPr>
              <w:t>''''''''''''''''''''</w:t>
            </w:r>
            <w:r w:rsidR="00220A70">
              <w:rPr>
                <w:rFonts w:eastAsia="Times New Roman" w:cs="Calibri"/>
                <w:color w:val="000000"/>
                <w:szCs w:val="20"/>
                <w:vertAlign w:val="superscript"/>
              </w:rPr>
              <w:t>6</w:t>
            </w:r>
          </w:p>
        </w:tc>
        <w:tc>
          <w:tcPr>
            <w:tcW w:w="1126" w:type="dxa"/>
            <w:tcMar>
              <w:left w:w="28" w:type="dxa"/>
              <w:right w:w="28" w:type="dxa"/>
            </w:tcMar>
            <w:vAlign w:val="center"/>
          </w:tcPr>
          <w:p w:rsidR="001A5B06" w:rsidRPr="00F573A7" w:rsidDel="003E3C10" w:rsidRDefault="001A5B06" w:rsidP="00D42D5C">
            <w:pPr>
              <w:pStyle w:val="TableText"/>
              <w:jc w:val="right"/>
              <w:rPr>
                <w:b/>
              </w:rPr>
            </w:pPr>
            <w:r w:rsidRPr="00F573A7">
              <w:rPr>
                <w:rFonts w:cs="Calibri"/>
                <w:b/>
                <w:color w:val="000000"/>
                <w:szCs w:val="20"/>
              </w:rPr>
              <w:t>$</w:t>
            </w:r>
            <w:r w:rsidR="004B7986">
              <w:rPr>
                <w:rFonts w:cs="Calibri"/>
                <w:b/>
                <w:noProof/>
                <w:color w:val="000000"/>
                <w:szCs w:val="20"/>
                <w:highlight w:val="black"/>
              </w:rPr>
              <w:t>''''''''''''''''''''</w:t>
            </w:r>
            <w:r w:rsidR="00220A70">
              <w:rPr>
                <w:rFonts w:eastAsia="Times New Roman" w:cs="Calibri"/>
                <w:color w:val="000000"/>
                <w:szCs w:val="20"/>
                <w:vertAlign w:val="superscript"/>
              </w:rPr>
              <w:t>6</w:t>
            </w:r>
          </w:p>
        </w:tc>
        <w:tc>
          <w:tcPr>
            <w:tcW w:w="1127" w:type="dxa"/>
            <w:tcMar>
              <w:left w:w="28" w:type="dxa"/>
              <w:right w:w="28" w:type="dxa"/>
            </w:tcMar>
            <w:vAlign w:val="center"/>
          </w:tcPr>
          <w:p w:rsidR="001A5B06" w:rsidRPr="00F573A7" w:rsidDel="003E3C10" w:rsidRDefault="001A5B06" w:rsidP="00D42D5C">
            <w:pPr>
              <w:pStyle w:val="TableText"/>
              <w:jc w:val="right"/>
              <w:rPr>
                <w:b/>
              </w:rPr>
            </w:pPr>
            <w:r w:rsidRPr="00F573A7">
              <w:rPr>
                <w:rFonts w:cs="Calibri"/>
                <w:b/>
                <w:color w:val="000000"/>
                <w:szCs w:val="20"/>
              </w:rPr>
              <w:t>$</w:t>
            </w:r>
            <w:r w:rsidR="004B7986">
              <w:rPr>
                <w:rFonts w:cs="Calibri"/>
                <w:b/>
                <w:noProof/>
                <w:color w:val="000000"/>
                <w:szCs w:val="20"/>
                <w:highlight w:val="black"/>
              </w:rPr>
              <w:t>'''''''''''''''''''''</w:t>
            </w:r>
            <w:r w:rsidR="00220A70">
              <w:rPr>
                <w:rFonts w:eastAsia="Times New Roman" w:cs="Calibri"/>
                <w:color w:val="000000"/>
                <w:szCs w:val="20"/>
                <w:vertAlign w:val="superscript"/>
              </w:rPr>
              <w:t>6</w:t>
            </w:r>
          </w:p>
        </w:tc>
        <w:tc>
          <w:tcPr>
            <w:tcW w:w="1178" w:type="dxa"/>
            <w:tcMar>
              <w:left w:w="28" w:type="dxa"/>
              <w:right w:w="28" w:type="dxa"/>
            </w:tcMar>
            <w:vAlign w:val="center"/>
          </w:tcPr>
          <w:p w:rsidR="001A5B06" w:rsidRPr="00F573A7" w:rsidDel="003E3C10" w:rsidRDefault="001A5B06" w:rsidP="00D42D5C">
            <w:pPr>
              <w:pStyle w:val="TableText"/>
              <w:jc w:val="right"/>
              <w:rPr>
                <w:b/>
              </w:rPr>
            </w:pPr>
            <w:r w:rsidRPr="00F573A7">
              <w:rPr>
                <w:rFonts w:cs="Calibri"/>
                <w:b/>
                <w:color w:val="000000"/>
                <w:szCs w:val="20"/>
              </w:rPr>
              <w:t>$</w:t>
            </w:r>
            <w:r w:rsidR="004B7986">
              <w:rPr>
                <w:rFonts w:cs="Calibri"/>
                <w:b/>
                <w:noProof/>
                <w:color w:val="000000"/>
                <w:szCs w:val="20"/>
                <w:highlight w:val="black"/>
              </w:rPr>
              <w:t>''''''''''''''''''''''</w:t>
            </w:r>
            <w:r w:rsidR="00220A70">
              <w:rPr>
                <w:rFonts w:eastAsia="Times New Roman" w:cs="Calibri"/>
                <w:color w:val="000000"/>
                <w:szCs w:val="20"/>
                <w:vertAlign w:val="superscript"/>
              </w:rPr>
              <w:t>6</w:t>
            </w:r>
          </w:p>
        </w:tc>
      </w:tr>
      <w:tr w:rsidR="003E3C10" w:rsidRPr="00F573A7" w:rsidDel="008147AE" w:rsidTr="001A5B06">
        <w:tc>
          <w:tcPr>
            <w:tcW w:w="9016" w:type="dxa"/>
            <w:gridSpan w:val="7"/>
            <w:tcMar>
              <w:left w:w="28" w:type="dxa"/>
              <w:right w:w="28" w:type="dxa"/>
            </w:tcMar>
            <w:vAlign w:val="center"/>
          </w:tcPr>
          <w:p w:rsidR="003E3C10" w:rsidRPr="00F573A7" w:rsidDel="008147AE" w:rsidRDefault="001A5B06" w:rsidP="0006229B">
            <w:pPr>
              <w:pStyle w:val="In-tableHeading"/>
              <w:rPr>
                <w:lang w:val="en-AU"/>
              </w:rPr>
            </w:pPr>
            <w:r w:rsidRPr="00F573A7">
              <w:rPr>
                <w:lang w:val="en-AU"/>
              </w:rPr>
              <w:t>March 2021 pre-PBAC revised estimates</w:t>
            </w:r>
          </w:p>
        </w:tc>
      </w:tr>
      <w:tr w:rsidR="001A5B06" w:rsidRPr="00F573A7" w:rsidDel="008147AE" w:rsidTr="00B07D71">
        <w:tc>
          <w:tcPr>
            <w:tcW w:w="2188" w:type="dxa"/>
            <w:tcMar>
              <w:left w:w="28" w:type="dxa"/>
              <w:right w:w="28" w:type="dxa"/>
            </w:tcMar>
            <w:vAlign w:val="center"/>
          </w:tcPr>
          <w:p w:rsidR="001A5B06" w:rsidRPr="00F573A7" w:rsidRDefault="001A5B06" w:rsidP="0006229B">
            <w:pPr>
              <w:pStyle w:val="TableText"/>
            </w:pPr>
            <w:r w:rsidRPr="00F573A7">
              <w:t>Net cost to PBS/RPBS</w:t>
            </w:r>
          </w:p>
        </w:tc>
        <w:tc>
          <w:tcPr>
            <w:tcW w:w="1126" w:type="dxa"/>
            <w:tcMar>
              <w:left w:w="28" w:type="dxa"/>
              <w:right w:w="28" w:type="dxa"/>
            </w:tcMar>
            <w:vAlign w:val="center"/>
          </w:tcPr>
          <w:p w:rsidR="001A5B06" w:rsidRPr="00F573A7" w:rsidDel="008147AE" w:rsidRDefault="001A5B06" w:rsidP="00D42D5C">
            <w:pPr>
              <w:pStyle w:val="TableText"/>
              <w:jc w:val="right"/>
            </w:pPr>
            <w:r w:rsidRPr="00F573A7">
              <w:t>$</w:t>
            </w:r>
            <w:r w:rsidR="004B7986">
              <w:rPr>
                <w:noProof/>
                <w:color w:val="000000"/>
                <w:highlight w:val="black"/>
              </w:rPr>
              <w:t>'''''''''''''''''''''''''''</w:t>
            </w:r>
            <w:r w:rsidR="00220A70">
              <w:rPr>
                <w:rFonts w:eastAsia="Times New Roman" w:cs="Calibri"/>
                <w:color w:val="000000"/>
                <w:szCs w:val="20"/>
                <w:vertAlign w:val="superscript"/>
              </w:rPr>
              <w:t>6</w:t>
            </w:r>
          </w:p>
        </w:tc>
        <w:tc>
          <w:tcPr>
            <w:tcW w:w="1142" w:type="dxa"/>
            <w:tcMar>
              <w:left w:w="28" w:type="dxa"/>
              <w:right w:w="28" w:type="dxa"/>
            </w:tcMar>
          </w:tcPr>
          <w:p w:rsidR="001A5B06" w:rsidRPr="00F573A7" w:rsidDel="008147AE" w:rsidRDefault="001A5B06" w:rsidP="00D42D5C">
            <w:pPr>
              <w:pStyle w:val="TableText"/>
              <w:jc w:val="right"/>
            </w:pPr>
            <w:r w:rsidRPr="00F573A7">
              <w:t>$</w:t>
            </w:r>
            <w:r w:rsidR="004B7986">
              <w:rPr>
                <w:noProof/>
                <w:color w:val="000000"/>
                <w:highlight w:val="black"/>
              </w:rPr>
              <w:t>''''''''''''''''''''''''''</w:t>
            </w:r>
            <w:r w:rsidR="00220A70">
              <w:rPr>
                <w:rFonts w:eastAsia="Times New Roman" w:cs="Calibri"/>
                <w:color w:val="000000"/>
                <w:szCs w:val="20"/>
                <w:vertAlign w:val="superscript"/>
              </w:rPr>
              <w:t>12</w:t>
            </w:r>
          </w:p>
        </w:tc>
        <w:tc>
          <w:tcPr>
            <w:tcW w:w="1129" w:type="dxa"/>
            <w:tcMar>
              <w:left w:w="28" w:type="dxa"/>
              <w:right w:w="28" w:type="dxa"/>
            </w:tcMar>
          </w:tcPr>
          <w:p w:rsidR="001A5B06" w:rsidRPr="00F573A7" w:rsidDel="008147AE" w:rsidRDefault="001A5B06" w:rsidP="00D42D5C">
            <w:pPr>
              <w:pStyle w:val="TableText"/>
              <w:jc w:val="right"/>
            </w:pPr>
            <w:r w:rsidRPr="00F573A7">
              <w:t>$</w:t>
            </w:r>
            <w:r w:rsidR="004B7986">
              <w:rPr>
                <w:noProof/>
                <w:color w:val="000000"/>
                <w:highlight w:val="black"/>
              </w:rPr>
              <w:t>''''''''''''''''''''''''''''</w:t>
            </w:r>
            <w:r w:rsidR="00220A70">
              <w:rPr>
                <w:rFonts w:eastAsia="Times New Roman" w:cs="Calibri"/>
                <w:color w:val="000000"/>
                <w:szCs w:val="20"/>
                <w:vertAlign w:val="superscript"/>
              </w:rPr>
              <w:t>7</w:t>
            </w:r>
          </w:p>
        </w:tc>
        <w:tc>
          <w:tcPr>
            <w:tcW w:w="1126" w:type="dxa"/>
            <w:tcMar>
              <w:left w:w="28" w:type="dxa"/>
              <w:right w:w="28" w:type="dxa"/>
            </w:tcMar>
          </w:tcPr>
          <w:p w:rsidR="001A5B06" w:rsidRPr="00F573A7" w:rsidDel="008147AE" w:rsidRDefault="001A5B06" w:rsidP="00D42D5C">
            <w:pPr>
              <w:pStyle w:val="TableText"/>
              <w:jc w:val="right"/>
            </w:pPr>
            <w:r w:rsidRPr="00F573A7">
              <w:t>$</w:t>
            </w:r>
            <w:r w:rsidR="004B7986">
              <w:rPr>
                <w:noProof/>
                <w:color w:val="000000"/>
                <w:highlight w:val="black"/>
              </w:rPr>
              <w:t>'''''''''''''''''''''''''''</w:t>
            </w:r>
            <w:r w:rsidR="00220A70">
              <w:rPr>
                <w:rFonts w:eastAsia="Times New Roman" w:cs="Calibri"/>
                <w:color w:val="000000"/>
                <w:szCs w:val="20"/>
                <w:vertAlign w:val="superscript"/>
              </w:rPr>
              <w:t>7</w:t>
            </w:r>
          </w:p>
        </w:tc>
        <w:tc>
          <w:tcPr>
            <w:tcW w:w="1127" w:type="dxa"/>
            <w:tcMar>
              <w:left w:w="28" w:type="dxa"/>
              <w:right w:w="28" w:type="dxa"/>
            </w:tcMar>
          </w:tcPr>
          <w:p w:rsidR="001A5B06" w:rsidRPr="00F573A7" w:rsidDel="008147AE" w:rsidRDefault="001A5B06" w:rsidP="00D42D5C">
            <w:pPr>
              <w:pStyle w:val="TableText"/>
              <w:jc w:val="right"/>
            </w:pPr>
            <w:r w:rsidRPr="00F573A7">
              <w:t>$</w:t>
            </w:r>
            <w:r w:rsidR="004B7986">
              <w:rPr>
                <w:noProof/>
                <w:color w:val="000000"/>
                <w:highlight w:val="black"/>
              </w:rPr>
              <w:t>''''''''''''''''''''''''''''</w:t>
            </w:r>
            <w:r w:rsidR="00220A70">
              <w:rPr>
                <w:rFonts w:eastAsia="Times New Roman" w:cs="Calibri"/>
                <w:color w:val="000000"/>
                <w:szCs w:val="20"/>
                <w:vertAlign w:val="superscript"/>
              </w:rPr>
              <w:t>7</w:t>
            </w:r>
          </w:p>
        </w:tc>
        <w:tc>
          <w:tcPr>
            <w:tcW w:w="1178" w:type="dxa"/>
            <w:tcMar>
              <w:left w:w="28" w:type="dxa"/>
              <w:right w:w="28" w:type="dxa"/>
            </w:tcMar>
          </w:tcPr>
          <w:p w:rsidR="001A5B06" w:rsidRPr="00F573A7" w:rsidDel="008147AE" w:rsidRDefault="001A5B06" w:rsidP="00D42D5C">
            <w:pPr>
              <w:pStyle w:val="TableText"/>
              <w:jc w:val="right"/>
            </w:pPr>
            <w:r w:rsidRPr="00F573A7">
              <w:t>$</w:t>
            </w:r>
            <w:r w:rsidR="004B7986">
              <w:rPr>
                <w:noProof/>
                <w:color w:val="000000"/>
                <w:highlight w:val="black"/>
              </w:rPr>
              <w:t>'''''''''''''''''''''''''''</w:t>
            </w:r>
            <w:r w:rsidR="00220A70">
              <w:rPr>
                <w:rFonts w:eastAsia="Times New Roman" w:cs="Calibri"/>
                <w:color w:val="000000"/>
                <w:szCs w:val="20"/>
                <w:vertAlign w:val="superscript"/>
              </w:rPr>
              <w:t>7</w:t>
            </w:r>
          </w:p>
        </w:tc>
      </w:tr>
    </w:tbl>
    <w:p w:rsidR="009463A2" w:rsidRPr="00F573A7" w:rsidRDefault="009463A2" w:rsidP="009463A2">
      <w:pPr>
        <w:pStyle w:val="TableFigureFooter"/>
      </w:pPr>
      <w:r w:rsidRPr="00F573A7">
        <w:t xml:space="preserve">Source: Table 8, p11 of the early re-entry submission </w:t>
      </w:r>
    </w:p>
    <w:p w:rsidR="009463A2" w:rsidRPr="00F573A7" w:rsidRDefault="009463A2" w:rsidP="009463A2">
      <w:pPr>
        <w:pStyle w:val="TableFigureFooter"/>
      </w:pPr>
      <w:r w:rsidRPr="00F573A7">
        <w:t>PBS = Pharmaceutical Benefits Scheme; RPBS = Repatriation Pharmaceutical Benefits Scheme</w:t>
      </w:r>
    </w:p>
    <w:p w:rsidR="004F6160" w:rsidRDefault="004F6160" w:rsidP="000E7FF4">
      <w:pPr>
        <w:pStyle w:val="TableFigureFooter"/>
        <w:spacing w:after="0"/>
        <w:contextualSpacing w:val="0"/>
      </w:pPr>
      <w:r w:rsidRPr="00F573A7">
        <w:rPr>
          <w:vertAlign w:val="superscript"/>
        </w:rPr>
        <w:t>a</w:t>
      </w:r>
      <w:r w:rsidRPr="00F573A7">
        <w:t xml:space="preserve"> Assuming </w:t>
      </w:r>
      <w:r w:rsidR="004A3F6B" w:rsidRPr="00F573A7">
        <w:t>11.35 prescriptions</w:t>
      </w:r>
      <w:r w:rsidRPr="00F573A7">
        <w:rPr>
          <w:color w:val="FF0000"/>
        </w:rPr>
        <w:t xml:space="preserve"> </w:t>
      </w:r>
      <w:r w:rsidRPr="00F573A7">
        <w:t xml:space="preserve">per patient per year as estimated by the </w:t>
      </w:r>
      <w:r w:rsidR="004A3F6B" w:rsidRPr="00F573A7">
        <w:t>early re-entry submission and a mean of 25.72 prescriptions per patient</w:t>
      </w:r>
    </w:p>
    <w:p w:rsidR="00220A70" w:rsidRPr="009A6D58" w:rsidRDefault="00220A70" w:rsidP="00220A70">
      <w:pPr>
        <w:rPr>
          <w:rFonts w:ascii="Arial Narrow" w:hAnsi="Arial Narrow" w:cs="Arial"/>
          <w:i/>
          <w:sz w:val="18"/>
          <w:szCs w:val="18"/>
        </w:rPr>
      </w:pPr>
      <w:r w:rsidRPr="009A6D58">
        <w:rPr>
          <w:rFonts w:ascii="Arial Narrow" w:hAnsi="Arial Narrow" w:cs="Arial"/>
          <w:i/>
          <w:sz w:val="18"/>
          <w:szCs w:val="18"/>
        </w:rPr>
        <w:t xml:space="preserve">The redacted values correspond to the following ranges: </w:t>
      </w:r>
    </w:p>
    <w:p w:rsidR="00220A70" w:rsidRPr="009A6D58" w:rsidRDefault="00220A70" w:rsidP="00220A70">
      <w:pPr>
        <w:rPr>
          <w:rFonts w:ascii="Arial Narrow" w:hAnsi="Arial Narrow" w:cs="Arial"/>
          <w:i/>
          <w:sz w:val="18"/>
          <w:szCs w:val="18"/>
        </w:rPr>
      </w:pPr>
      <w:r w:rsidRPr="009A6D58">
        <w:rPr>
          <w:rFonts w:ascii="Arial Narrow" w:hAnsi="Arial Narrow" w:cs="Arial"/>
          <w:i/>
          <w:sz w:val="18"/>
          <w:szCs w:val="18"/>
          <w:vertAlign w:val="superscript"/>
        </w:rPr>
        <w:t>1</w:t>
      </w:r>
      <w:r>
        <w:rPr>
          <w:rFonts w:ascii="Arial Narrow" w:hAnsi="Arial Narrow" w:cs="Arial"/>
          <w:i/>
          <w:sz w:val="18"/>
          <w:szCs w:val="18"/>
        </w:rPr>
        <w:t xml:space="preserve"> </w:t>
      </w:r>
      <w:r w:rsidRPr="00220A70">
        <w:rPr>
          <w:rFonts w:ascii="Arial Narrow" w:hAnsi="Arial Narrow" w:cs="Arial"/>
          <w:i/>
          <w:sz w:val="18"/>
          <w:szCs w:val="18"/>
        </w:rPr>
        <w:t>500 to &lt; 5,000</w:t>
      </w:r>
    </w:p>
    <w:p w:rsidR="00220A70" w:rsidRPr="009A6D58" w:rsidRDefault="00220A70" w:rsidP="00220A70">
      <w:pPr>
        <w:rPr>
          <w:rFonts w:ascii="Arial Narrow" w:hAnsi="Arial Narrow" w:cs="Arial"/>
          <w:i/>
          <w:sz w:val="18"/>
          <w:szCs w:val="18"/>
        </w:rPr>
      </w:pPr>
      <w:r w:rsidRPr="009A6D58">
        <w:rPr>
          <w:rFonts w:ascii="Arial Narrow" w:hAnsi="Arial Narrow" w:cs="Arial"/>
          <w:i/>
          <w:sz w:val="18"/>
          <w:szCs w:val="18"/>
          <w:vertAlign w:val="superscript"/>
        </w:rPr>
        <w:t>2</w:t>
      </w:r>
      <w:r>
        <w:rPr>
          <w:rFonts w:ascii="Arial Narrow" w:hAnsi="Arial Narrow" w:cs="Arial"/>
          <w:i/>
          <w:sz w:val="18"/>
          <w:szCs w:val="18"/>
        </w:rPr>
        <w:t xml:space="preserve"> </w:t>
      </w:r>
      <w:r w:rsidRPr="00220A70">
        <w:rPr>
          <w:rFonts w:ascii="Arial Narrow" w:hAnsi="Arial Narrow" w:cs="Arial"/>
          <w:i/>
          <w:sz w:val="18"/>
          <w:szCs w:val="18"/>
        </w:rPr>
        <w:t>10,000 to &lt; 20,000</w:t>
      </w:r>
    </w:p>
    <w:p w:rsidR="00220A70" w:rsidRDefault="00220A70" w:rsidP="00220A70">
      <w:pPr>
        <w:rPr>
          <w:rFonts w:ascii="Arial Narrow" w:hAnsi="Arial Narrow" w:cs="Arial"/>
          <w:i/>
          <w:sz w:val="18"/>
          <w:szCs w:val="18"/>
        </w:rPr>
      </w:pPr>
      <w:r w:rsidRPr="009A6D58">
        <w:rPr>
          <w:rFonts w:ascii="Arial Narrow" w:hAnsi="Arial Narrow" w:cs="Arial"/>
          <w:i/>
          <w:sz w:val="18"/>
          <w:szCs w:val="18"/>
          <w:vertAlign w:val="superscript"/>
        </w:rPr>
        <w:t>3</w:t>
      </w:r>
      <w:r>
        <w:rPr>
          <w:rFonts w:ascii="Arial Narrow" w:hAnsi="Arial Narrow" w:cs="Arial"/>
          <w:i/>
          <w:sz w:val="18"/>
          <w:szCs w:val="18"/>
        </w:rPr>
        <w:t xml:space="preserve"> </w:t>
      </w:r>
      <w:r w:rsidRPr="00220A70">
        <w:rPr>
          <w:rFonts w:ascii="Arial Narrow" w:hAnsi="Arial Narrow" w:cs="Arial"/>
          <w:i/>
          <w:sz w:val="18"/>
          <w:szCs w:val="18"/>
        </w:rPr>
        <w:t>20,000 to &lt; 30,000</w:t>
      </w:r>
    </w:p>
    <w:p w:rsidR="00220A70" w:rsidRDefault="00220A70" w:rsidP="00220A70">
      <w:pPr>
        <w:rPr>
          <w:rFonts w:ascii="Arial Narrow" w:hAnsi="Arial Narrow" w:cs="Arial"/>
          <w:i/>
          <w:sz w:val="18"/>
          <w:szCs w:val="18"/>
        </w:rPr>
      </w:pPr>
      <w:r>
        <w:rPr>
          <w:rFonts w:ascii="Arial Narrow" w:hAnsi="Arial Narrow" w:cs="Arial"/>
          <w:i/>
          <w:sz w:val="18"/>
          <w:szCs w:val="18"/>
          <w:vertAlign w:val="superscript"/>
        </w:rPr>
        <w:t>4</w:t>
      </w:r>
      <w:r>
        <w:rPr>
          <w:rFonts w:ascii="Arial Narrow" w:hAnsi="Arial Narrow" w:cs="Arial"/>
          <w:i/>
          <w:sz w:val="18"/>
          <w:szCs w:val="18"/>
        </w:rPr>
        <w:t xml:space="preserve"> </w:t>
      </w:r>
      <w:r w:rsidRPr="00220A70">
        <w:rPr>
          <w:rFonts w:ascii="Arial Narrow" w:hAnsi="Arial Narrow" w:cs="Arial"/>
          <w:i/>
          <w:sz w:val="18"/>
          <w:szCs w:val="18"/>
        </w:rPr>
        <w:t>30,000 to &lt; 40,000</w:t>
      </w:r>
    </w:p>
    <w:p w:rsidR="00220A70" w:rsidRDefault="00220A70" w:rsidP="00220A70">
      <w:pPr>
        <w:rPr>
          <w:rFonts w:ascii="Arial Narrow" w:hAnsi="Arial Narrow" w:cs="Arial"/>
          <w:i/>
          <w:sz w:val="18"/>
          <w:szCs w:val="18"/>
        </w:rPr>
      </w:pPr>
      <w:r>
        <w:rPr>
          <w:rFonts w:ascii="Arial Narrow" w:hAnsi="Arial Narrow" w:cs="Arial"/>
          <w:i/>
          <w:sz w:val="18"/>
          <w:szCs w:val="18"/>
          <w:vertAlign w:val="superscript"/>
        </w:rPr>
        <w:t>5</w:t>
      </w:r>
      <w:r>
        <w:rPr>
          <w:rFonts w:ascii="Arial Narrow" w:hAnsi="Arial Narrow" w:cs="Arial"/>
          <w:i/>
          <w:sz w:val="18"/>
          <w:szCs w:val="18"/>
        </w:rPr>
        <w:t xml:space="preserve"> </w:t>
      </w:r>
      <w:r w:rsidRPr="00220A70">
        <w:rPr>
          <w:rFonts w:ascii="Arial Narrow" w:hAnsi="Arial Narrow" w:cs="Arial"/>
          <w:i/>
          <w:sz w:val="18"/>
          <w:szCs w:val="18"/>
        </w:rPr>
        <w:t>40,000 to &lt; 50,000</w:t>
      </w:r>
    </w:p>
    <w:p w:rsidR="00220A70" w:rsidRDefault="00220A70" w:rsidP="00220A70">
      <w:pPr>
        <w:rPr>
          <w:rFonts w:ascii="Arial Narrow" w:hAnsi="Arial Narrow" w:cs="Arial"/>
          <w:i/>
          <w:sz w:val="18"/>
          <w:szCs w:val="18"/>
        </w:rPr>
      </w:pPr>
      <w:r>
        <w:rPr>
          <w:rFonts w:ascii="Arial Narrow" w:hAnsi="Arial Narrow" w:cs="Arial"/>
          <w:i/>
          <w:sz w:val="18"/>
          <w:szCs w:val="18"/>
          <w:vertAlign w:val="superscript"/>
        </w:rPr>
        <w:t>6</w:t>
      </w:r>
      <w:r>
        <w:rPr>
          <w:rFonts w:ascii="Arial Narrow" w:hAnsi="Arial Narrow" w:cs="Arial"/>
          <w:i/>
          <w:sz w:val="18"/>
          <w:szCs w:val="18"/>
        </w:rPr>
        <w:t xml:space="preserve"> </w:t>
      </w:r>
      <w:r w:rsidRPr="00220A70">
        <w:rPr>
          <w:rFonts w:ascii="Arial Narrow" w:hAnsi="Arial Narrow" w:cs="Arial"/>
          <w:i/>
          <w:sz w:val="18"/>
          <w:szCs w:val="18"/>
        </w:rPr>
        <w:t>$10 million to &lt; $20 million</w:t>
      </w:r>
    </w:p>
    <w:p w:rsidR="00220A70" w:rsidRDefault="00220A70" w:rsidP="00220A70">
      <w:pPr>
        <w:rPr>
          <w:rFonts w:ascii="Arial Narrow" w:hAnsi="Arial Narrow" w:cs="Arial"/>
          <w:i/>
          <w:sz w:val="18"/>
          <w:szCs w:val="18"/>
        </w:rPr>
      </w:pPr>
      <w:r>
        <w:rPr>
          <w:rFonts w:ascii="Arial Narrow" w:hAnsi="Arial Narrow" w:cs="Arial"/>
          <w:i/>
          <w:sz w:val="18"/>
          <w:szCs w:val="18"/>
          <w:vertAlign w:val="superscript"/>
        </w:rPr>
        <w:t>7</w:t>
      </w:r>
      <w:r>
        <w:rPr>
          <w:rFonts w:ascii="Arial Narrow" w:hAnsi="Arial Narrow" w:cs="Arial"/>
          <w:i/>
          <w:sz w:val="18"/>
          <w:szCs w:val="18"/>
        </w:rPr>
        <w:t xml:space="preserve"> </w:t>
      </w:r>
      <w:r w:rsidRPr="00220A70">
        <w:rPr>
          <w:rFonts w:ascii="Arial Narrow" w:hAnsi="Arial Narrow" w:cs="Arial"/>
          <w:i/>
          <w:sz w:val="18"/>
          <w:szCs w:val="18"/>
        </w:rPr>
        <w:t>$30 million to &lt; $40 million</w:t>
      </w:r>
    </w:p>
    <w:p w:rsidR="00CA3354" w:rsidRDefault="00CA3354" w:rsidP="00CA3354">
      <w:pPr>
        <w:rPr>
          <w:rFonts w:ascii="Arial Narrow" w:hAnsi="Arial Narrow" w:cs="Arial"/>
          <w:i/>
          <w:sz w:val="18"/>
          <w:szCs w:val="18"/>
        </w:rPr>
      </w:pPr>
      <w:r>
        <w:rPr>
          <w:rFonts w:ascii="Arial Narrow" w:hAnsi="Arial Narrow" w:cs="Arial"/>
          <w:i/>
          <w:sz w:val="18"/>
          <w:szCs w:val="18"/>
          <w:vertAlign w:val="superscript"/>
        </w:rPr>
        <w:t>8</w:t>
      </w:r>
      <w:r>
        <w:rPr>
          <w:rFonts w:ascii="Arial Narrow" w:hAnsi="Arial Narrow" w:cs="Arial"/>
          <w:i/>
          <w:sz w:val="18"/>
          <w:szCs w:val="18"/>
        </w:rPr>
        <w:t xml:space="preserve"> </w:t>
      </w:r>
      <w:r w:rsidRPr="00CA3354">
        <w:rPr>
          <w:rFonts w:ascii="Arial Narrow" w:hAnsi="Arial Narrow" w:cs="Arial"/>
          <w:i/>
          <w:sz w:val="18"/>
          <w:szCs w:val="18"/>
        </w:rPr>
        <w:t>$40 million to &lt; $50 million</w:t>
      </w:r>
    </w:p>
    <w:p w:rsidR="00CA3354" w:rsidRDefault="00CA3354" w:rsidP="00CA3354">
      <w:pPr>
        <w:rPr>
          <w:rFonts w:ascii="Arial Narrow" w:hAnsi="Arial Narrow" w:cs="Arial"/>
          <w:i/>
          <w:sz w:val="18"/>
          <w:szCs w:val="18"/>
        </w:rPr>
      </w:pPr>
      <w:r>
        <w:rPr>
          <w:rFonts w:ascii="Arial Narrow" w:hAnsi="Arial Narrow" w:cs="Arial"/>
          <w:i/>
          <w:sz w:val="18"/>
          <w:szCs w:val="18"/>
          <w:vertAlign w:val="superscript"/>
        </w:rPr>
        <w:t>9</w:t>
      </w:r>
      <w:r>
        <w:rPr>
          <w:rFonts w:ascii="Arial Narrow" w:hAnsi="Arial Narrow" w:cs="Arial"/>
          <w:i/>
          <w:sz w:val="18"/>
          <w:szCs w:val="18"/>
        </w:rPr>
        <w:t xml:space="preserve"> </w:t>
      </w:r>
      <w:r w:rsidRPr="00CA3354">
        <w:rPr>
          <w:rFonts w:ascii="Arial Narrow" w:hAnsi="Arial Narrow" w:cs="Arial"/>
          <w:i/>
          <w:sz w:val="18"/>
          <w:szCs w:val="18"/>
        </w:rPr>
        <w:t>$50 million to &lt; $60 million</w:t>
      </w:r>
    </w:p>
    <w:p w:rsidR="00CA3354" w:rsidRDefault="00CA3354" w:rsidP="00CA3354">
      <w:pPr>
        <w:rPr>
          <w:rFonts w:ascii="Arial Narrow" w:hAnsi="Arial Narrow" w:cs="Arial"/>
          <w:i/>
          <w:sz w:val="18"/>
          <w:szCs w:val="18"/>
        </w:rPr>
      </w:pPr>
      <w:r>
        <w:rPr>
          <w:rFonts w:ascii="Arial Narrow" w:hAnsi="Arial Narrow" w:cs="Arial"/>
          <w:i/>
          <w:sz w:val="18"/>
          <w:szCs w:val="18"/>
          <w:vertAlign w:val="superscript"/>
        </w:rPr>
        <w:t>10</w:t>
      </w:r>
      <w:r>
        <w:rPr>
          <w:rFonts w:ascii="Arial Narrow" w:hAnsi="Arial Narrow" w:cs="Arial"/>
          <w:i/>
          <w:sz w:val="18"/>
          <w:szCs w:val="18"/>
        </w:rPr>
        <w:t xml:space="preserve"> </w:t>
      </w:r>
      <w:r w:rsidRPr="00CA3354">
        <w:rPr>
          <w:rFonts w:ascii="Arial Narrow" w:hAnsi="Arial Narrow" w:cs="Arial"/>
          <w:i/>
          <w:sz w:val="18"/>
          <w:szCs w:val="18"/>
        </w:rPr>
        <w:t>$60 million to &lt; $70 million</w:t>
      </w:r>
    </w:p>
    <w:p w:rsidR="00220A70" w:rsidRPr="009F5BF9" w:rsidRDefault="00CA3354" w:rsidP="009F5BF9">
      <w:pPr>
        <w:rPr>
          <w:rFonts w:ascii="Arial Narrow" w:hAnsi="Arial Narrow" w:cs="Arial"/>
          <w:i/>
          <w:sz w:val="18"/>
          <w:szCs w:val="18"/>
        </w:rPr>
      </w:pPr>
      <w:r>
        <w:rPr>
          <w:rFonts w:ascii="Arial Narrow" w:hAnsi="Arial Narrow" w:cs="Arial"/>
          <w:i/>
          <w:sz w:val="18"/>
          <w:szCs w:val="18"/>
          <w:vertAlign w:val="superscript"/>
        </w:rPr>
        <w:t>11</w:t>
      </w:r>
      <w:r>
        <w:rPr>
          <w:rFonts w:ascii="Arial Narrow" w:hAnsi="Arial Narrow" w:cs="Arial"/>
          <w:i/>
          <w:sz w:val="18"/>
          <w:szCs w:val="18"/>
        </w:rPr>
        <w:t xml:space="preserve"> </w:t>
      </w:r>
      <w:r w:rsidRPr="00CA3354">
        <w:rPr>
          <w:rFonts w:ascii="Arial Narrow" w:hAnsi="Arial Narrow" w:cs="Arial"/>
          <w:i/>
          <w:sz w:val="18"/>
          <w:szCs w:val="18"/>
        </w:rPr>
        <w:t>$0 to &lt; $10 million</w:t>
      </w:r>
    </w:p>
    <w:p w:rsidR="5D80A09E" w:rsidRPr="00F573A7" w:rsidRDefault="004877C2" w:rsidP="006C5B33">
      <w:pPr>
        <w:pStyle w:val="2-SectionHeading"/>
        <w:rPr>
          <w:rFonts w:eastAsiaTheme="minorEastAsia"/>
        </w:rPr>
      </w:pPr>
      <w:r w:rsidRPr="00F573A7">
        <w:t>Background</w:t>
      </w:r>
    </w:p>
    <w:p w:rsidR="00147566" w:rsidRPr="00F573A7" w:rsidRDefault="001A5B06" w:rsidP="006C5B33">
      <w:pPr>
        <w:pStyle w:val="3-BodyText"/>
        <w:rPr>
          <w:color w:val="FF0000"/>
        </w:rPr>
      </w:pPr>
      <w:r w:rsidRPr="00F573A7">
        <w:t>Darolutamide</w:t>
      </w:r>
      <w:r w:rsidR="00147566" w:rsidRPr="00F573A7">
        <w:t xml:space="preserve"> was TGA registered on </w:t>
      </w:r>
      <w:r w:rsidRPr="00F573A7">
        <w:t>26 February 2020 for the treatment of patients with non-metastatic castration resistant prostate cancer</w:t>
      </w:r>
      <w:r w:rsidR="00B80900" w:rsidRPr="00F573A7">
        <w:t xml:space="preserve"> (m0CRPC)</w:t>
      </w:r>
      <w:r w:rsidRPr="00F573A7">
        <w:t xml:space="preserve">. </w:t>
      </w:r>
    </w:p>
    <w:p w:rsidR="00BF3D06" w:rsidRPr="00F573A7" w:rsidRDefault="00BF3D06" w:rsidP="006C5B33">
      <w:pPr>
        <w:pStyle w:val="3-BodyText"/>
        <w:rPr>
          <w:color w:val="FF0000"/>
        </w:rPr>
      </w:pPr>
      <w:r w:rsidRPr="00F573A7">
        <w:t xml:space="preserve">This </w:t>
      </w:r>
      <w:r w:rsidR="00F97C0A" w:rsidRPr="00F573A7">
        <w:t>wa</w:t>
      </w:r>
      <w:r w:rsidRPr="00F573A7">
        <w:t>s the third PBAC consideration</w:t>
      </w:r>
      <w:r w:rsidR="00D42D5C" w:rsidRPr="00F573A7">
        <w:t xml:space="preserve"> for darolutamide</w:t>
      </w:r>
      <w:r w:rsidR="001E1991" w:rsidRPr="00F573A7">
        <w:t xml:space="preserve">. </w:t>
      </w:r>
    </w:p>
    <w:p w:rsidR="00BF3D06" w:rsidRPr="00F573A7" w:rsidRDefault="00BF3D06" w:rsidP="00BF3D06">
      <w:pPr>
        <w:pStyle w:val="3-BodyText"/>
        <w:rPr>
          <w:color w:val="FF0000"/>
        </w:rPr>
      </w:pPr>
      <w:r w:rsidRPr="00F573A7">
        <w:t>In July 2020, the PBAC rejected a major submission</w:t>
      </w:r>
      <w:r w:rsidR="007E7292" w:rsidRPr="00F573A7">
        <w:t>.</w:t>
      </w:r>
      <w:r w:rsidRPr="00F573A7">
        <w:t xml:space="preserve"> While the PBAC considered that darolutamide provide</w:t>
      </w:r>
      <w:r w:rsidR="00296834" w:rsidRPr="00F573A7">
        <w:t>d</w:t>
      </w:r>
      <w:r w:rsidRPr="00F573A7">
        <w:t xml:space="preserve"> a substantial benefit for some patients compared with </w:t>
      </w:r>
      <w:r w:rsidR="00D42D5C" w:rsidRPr="00F573A7">
        <w:t>standard of care (</w:t>
      </w:r>
      <w:r w:rsidRPr="00F573A7">
        <w:t>SOC</w:t>
      </w:r>
      <w:r w:rsidR="00D42D5C" w:rsidRPr="00F573A7">
        <w:t>)</w:t>
      </w:r>
      <w:r w:rsidRPr="00F573A7">
        <w:t xml:space="preserve"> in terms of delaying disease progression</w:t>
      </w:r>
      <w:r w:rsidR="00B80900" w:rsidRPr="00F573A7">
        <w:t xml:space="preserve"> in the m0CRPC setting</w:t>
      </w:r>
      <w:r w:rsidRPr="00F573A7">
        <w:t xml:space="preserve">, it considered that the magnitude of the </w:t>
      </w:r>
      <w:r w:rsidR="00D42D5C" w:rsidRPr="00F573A7">
        <w:t>overall survival (</w:t>
      </w:r>
      <w:r w:rsidRPr="00F573A7">
        <w:t>OS</w:t>
      </w:r>
      <w:r w:rsidR="00D42D5C" w:rsidRPr="00F573A7">
        <w:t>)</w:t>
      </w:r>
      <w:r w:rsidRPr="00F573A7">
        <w:t xml:space="preserve"> benefit was modest, and uncertain given the immaturity of the data. The PBAC considered that the modelled survival benefit was likely overestimated, the ICER was high and underestimated, and that a substantial price reduction would be required for darolutamide to be considered suitably cost-effective. Further, the PBAC considered that the estimated financial impact of listing darolutamide on the PBS was uncertain.</w:t>
      </w:r>
    </w:p>
    <w:p w:rsidR="006A6BFA" w:rsidRPr="00F573A7" w:rsidRDefault="00BF3D06" w:rsidP="006A6BFA">
      <w:pPr>
        <w:pStyle w:val="3-BodyText"/>
      </w:pPr>
      <w:r w:rsidRPr="00F573A7">
        <w:t xml:space="preserve">In March 2021, </w:t>
      </w:r>
      <w:r w:rsidR="006A6BFA" w:rsidRPr="00F573A7">
        <w:t xml:space="preserve">the PBAC rejected a </w:t>
      </w:r>
      <w:r w:rsidR="00A96488">
        <w:t>major</w:t>
      </w:r>
      <w:r w:rsidR="006A6BFA" w:rsidRPr="00F573A7">
        <w:t xml:space="preserve"> resubmission. The submission nominated </w:t>
      </w:r>
      <w:r w:rsidR="00D42D5C" w:rsidRPr="00F573A7">
        <w:t>SOC</w:t>
      </w:r>
      <w:r w:rsidR="006A6BFA" w:rsidRPr="00F573A7">
        <w:t xml:space="preserve"> as the comparator, consistent with previous PBAC advice; however, the PBAC </w:t>
      </w:r>
      <w:r w:rsidR="006A6BFA" w:rsidRPr="00F573A7">
        <w:lastRenderedPageBreak/>
        <w:t>considered that based on changing clinical practice, abiraterone and enzalutamide were also relevant comparators. The PBAC noted that the resubmission provided revisions to the economic model, but considered that the resultant ICER</w:t>
      </w:r>
      <w:r w:rsidR="00B80900" w:rsidRPr="00F573A7">
        <w:t>, in the m0CRPC setting,</w:t>
      </w:r>
      <w:r w:rsidR="006A6BFA" w:rsidRPr="00F573A7">
        <w:t xml:space="preserve"> remained underestimated and high at the proposed price. Further, the PBAC considered that the size of the incremental population relative to the existing market for abiraterone and enzalutamide and thus the net financial impact of listing darolutamide, was substantially overestimated</w:t>
      </w:r>
      <w:r w:rsidR="006A6BFA" w:rsidRPr="00F573A7">
        <w:rPr>
          <w:i/>
        </w:rPr>
        <w:t>.</w:t>
      </w:r>
    </w:p>
    <w:p w:rsidR="0090775A" w:rsidRPr="00F573A7" w:rsidRDefault="004F6160" w:rsidP="006C5B33">
      <w:pPr>
        <w:pStyle w:val="3-BodyText"/>
      </w:pPr>
      <w:r w:rsidRPr="00F573A7">
        <w:t xml:space="preserve">The </w:t>
      </w:r>
      <w:r w:rsidR="001A5B06" w:rsidRPr="00F573A7">
        <w:t>updated</w:t>
      </w:r>
      <w:r w:rsidR="00D42D5C" w:rsidRPr="00F573A7">
        <w:t xml:space="preserve"> key components of the early re-entry submission are </w:t>
      </w:r>
      <w:r w:rsidRPr="00F573A7">
        <w:t>presented below</w:t>
      </w:r>
      <w:r w:rsidR="00A07C4C" w:rsidRPr="00F573A7">
        <w:t>.</w:t>
      </w:r>
    </w:p>
    <w:p w:rsidR="00C904A3" w:rsidRPr="00F573A7" w:rsidRDefault="00C904A3" w:rsidP="00C904A3">
      <w:pPr>
        <w:pStyle w:val="Tableheadingrow"/>
        <w:rPr>
          <w:lang w:val="en-AU"/>
        </w:rPr>
      </w:pPr>
      <w:r w:rsidRPr="00F573A7">
        <w:rPr>
          <w:lang w:val="en-AU"/>
        </w:rPr>
        <w:t xml:space="preserve">Table 3: Key components of the clinical issue addressed by the </w:t>
      </w:r>
      <w:r w:rsidR="00D42D5C" w:rsidRPr="00F573A7">
        <w:rPr>
          <w:lang w:val="en-AU"/>
        </w:rPr>
        <w:t xml:space="preserve">early re-entry </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7885"/>
      </w:tblGrid>
      <w:tr w:rsidR="00C904A3" w:rsidRPr="00F573A7" w:rsidTr="008216A6">
        <w:trPr>
          <w:trHeight w:val="147"/>
        </w:trPr>
        <w:tc>
          <w:tcPr>
            <w:tcW w:w="1271" w:type="dxa"/>
            <w:vAlign w:val="center"/>
          </w:tcPr>
          <w:p w:rsidR="00C904A3" w:rsidRPr="00F573A7" w:rsidRDefault="00C904A3" w:rsidP="008216A6">
            <w:pPr>
              <w:pStyle w:val="2-SectionHeading"/>
              <w:numPr>
                <w:ilvl w:val="0"/>
                <w:numId w:val="0"/>
              </w:numPr>
              <w:spacing w:before="0" w:after="0"/>
              <w:rPr>
                <w:rFonts w:ascii="Arial Narrow" w:hAnsi="Arial Narrow"/>
                <w:sz w:val="20"/>
                <w:szCs w:val="20"/>
              </w:rPr>
            </w:pPr>
            <w:r w:rsidRPr="00F573A7">
              <w:rPr>
                <w:rFonts w:ascii="Arial Narrow" w:hAnsi="Arial Narrow"/>
                <w:sz w:val="20"/>
                <w:szCs w:val="20"/>
              </w:rPr>
              <w:t>Component</w:t>
            </w:r>
          </w:p>
        </w:tc>
        <w:tc>
          <w:tcPr>
            <w:tcW w:w="7885" w:type="dxa"/>
            <w:vAlign w:val="center"/>
          </w:tcPr>
          <w:p w:rsidR="00C904A3" w:rsidRPr="00F573A7" w:rsidRDefault="00C904A3" w:rsidP="008216A6">
            <w:pPr>
              <w:pStyle w:val="In-tableHeading"/>
              <w:rPr>
                <w:lang w:val="en-AU"/>
              </w:rPr>
            </w:pPr>
            <w:r w:rsidRPr="00F573A7">
              <w:rPr>
                <w:lang w:val="en-AU"/>
              </w:rPr>
              <w:t>Description</w:t>
            </w:r>
          </w:p>
        </w:tc>
      </w:tr>
      <w:tr w:rsidR="00C904A3" w:rsidRPr="00F573A7" w:rsidTr="008216A6">
        <w:tc>
          <w:tcPr>
            <w:tcW w:w="1271" w:type="dxa"/>
            <w:shd w:val="clear" w:color="auto" w:fill="auto"/>
            <w:vAlign w:val="center"/>
          </w:tcPr>
          <w:p w:rsidR="00C904A3" w:rsidRPr="00F573A7" w:rsidRDefault="00C904A3" w:rsidP="008216A6">
            <w:pPr>
              <w:pStyle w:val="TableText"/>
            </w:pPr>
            <w:r w:rsidRPr="00F573A7">
              <w:t>Population</w:t>
            </w:r>
          </w:p>
        </w:tc>
        <w:tc>
          <w:tcPr>
            <w:tcW w:w="7885" w:type="dxa"/>
            <w:shd w:val="clear" w:color="auto" w:fill="auto"/>
            <w:vAlign w:val="center"/>
          </w:tcPr>
          <w:p w:rsidR="00C904A3" w:rsidRPr="00F573A7" w:rsidRDefault="00C904A3" w:rsidP="008216A6">
            <w:pPr>
              <w:pStyle w:val="TableText"/>
            </w:pPr>
            <w:r w:rsidRPr="00F573A7">
              <w:t xml:space="preserve">Patients with CRPC and a PSADT of ≤ 10 months </w:t>
            </w:r>
          </w:p>
        </w:tc>
      </w:tr>
      <w:tr w:rsidR="00C904A3" w:rsidRPr="00F573A7" w:rsidTr="008216A6">
        <w:tc>
          <w:tcPr>
            <w:tcW w:w="1271" w:type="dxa"/>
            <w:shd w:val="clear" w:color="auto" w:fill="auto"/>
            <w:vAlign w:val="center"/>
          </w:tcPr>
          <w:p w:rsidR="00C904A3" w:rsidRPr="00F573A7" w:rsidRDefault="00C904A3" w:rsidP="008216A6">
            <w:pPr>
              <w:pStyle w:val="TableText"/>
            </w:pPr>
            <w:r w:rsidRPr="00F573A7">
              <w:t>Intervention</w:t>
            </w:r>
          </w:p>
        </w:tc>
        <w:tc>
          <w:tcPr>
            <w:tcW w:w="7885" w:type="dxa"/>
            <w:shd w:val="clear" w:color="auto" w:fill="auto"/>
            <w:vAlign w:val="center"/>
          </w:tcPr>
          <w:p w:rsidR="00C904A3" w:rsidRPr="00F573A7" w:rsidRDefault="00C904A3" w:rsidP="008216A6">
            <w:pPr>
              <w:pStyle w:val="TableText"/>
            </w:pPr>
            <w:r w:rsidRPr="00F573A7">
              <w:t>Darolutamide 600 mg (2 × 300 mg) twice daily (total dose 1,200 mg/day) with background ADT</w:t>
            </w:r>
          </w:p>
        </w:tc>
      </w:tr>
      <w:tr w:rsidR="00C904A3" w:rsidRPr="00F573A7" w:rsidTr="008216A6">
        <w:tc>
          <w:tcPr>
            <w:tcW w:w="1271" w:type="dxa"/>
            <w:shd w:val="clear" w:color="auto" w:fill="auto"/>
            <w:vAlign w:val="center"/>
          </w:tcPr>
          <w:p w:rsidR="00C904A3" w:rsidRPr="00F573A7" w:rsidRDefault="00C904A3" w:rsidP="008216A6">
            <w:pPr>
              <w:pStyle w:val="TableText"/>
            </w:pPr>
            <w:r w:rsidRPr="00F573A7">
              <w:t>Comparator</w:t>
            </w:r>
          </w:p>
        </w:tc>
        <w:tc>
          <w:tcPr>
            <w:tcW w:w="7885" w:type="dxa"/>
            <w:shd w:val="clear" w:color="auto" w:fill="auto"/>
            <w:vAlign w:val="center"/>
          </w:tcPr>
          <w:p w:rsidR="00C904A3" w:rsidRPr="00F573A7" w:rsidRDefault="00C904A3" w:rsidP="008216A6">
            <w:pPr>
              <w:pStyle w:val="TableText"/>
            </w:pPr>
            <w:r w:rsidRPr="00F573A7">
              <w:t>Main comparator: watchful waiting (SOC) with ongoing ADT</w:t>
            </w:r>
          </w:p>
          <w:p w:rsidR="00C904A3" w:rsidRPr="00F573A7" w:rsidRDefault="00C904A3" w:rsidP="008216A6">
            <w:pPr>
              <w:pStyle w:val="TableText"/>
            </w:pPr>
            <w:r w:rsidRPr="00F573A7">
              <w:t xml:space="preserve">Near-market comparators: apalutamide 240 mg/day; enzalutamide 160 mg/day </w:t>
            </w:r>
          </w:p>
        </w:tc>
      </w:tr>
      <w:tr w:rsidR="00C904A3" w:rsidRPr="00F573A7" w:rsidTr="008216A6">
        <w:tc>
          <w:tcPr>
            <w:tcW w:w="1271" w:type="dxa"/>
            <w:shd w:val="clear" w:color="auto" w:fill="auto"/>
            <w:vAlign w:val="center"/>
          </w:tcPr>
          <w:p w:rsidR="00C904A3" w:rsidRPr="00F573A7" w:rsidRDefault="00C904A3" w:rsidP="008216A6">
            <w:pPr>
              <w:pStyle w:val="TableText"/>
            </w:pPr>
            <w:r w:rsidRPr="00F573A7">
              <w:t>Outcomes</w:t>
            </w:r>
          </w:p>
        </w:tc>
        <w:tc>
          <w:tcPr>
            <w:tcW w:w="7885" w:type="dxa"/>
            <w:shd w:val="clear" w:color="auto" w:fill="auto"/>
            <w:vAlign w:val="center"/>
          </w:tcPr>
          <w:p w:rsidR="00C904A3" w:rsidRPr="00F573A7" w:rsidRDefault="00C904A3" w:rsidP="008216A6">
            <w:pPr>
              <w:pStyle w:val="TableText"/>
            </w:pPr>
            <w:r w:rsidRPr="00F573A7">
              <w:t>MFS, OS, time to pain progression, time to initiation of first cytotoxic chemotherapy, time to first symptomatic skeletal event, patient-reported outcomes, safety</w:t>
            </w:r>
          </w:p>
        </w:tc>
      </w:tr>
      <w:tr w:rsidR="00C904A3" w:rsidRPr="00F573A7" w:rsidTr="008216A6">
        <w:tc>
          <w:tcPr>
            <w:tcW w:w="1271" w:type="dxa"/>
            <w:shd w:val="clear" w:color="auto" w:fill="auto"/>
            <w:vAlign w:val="center"/>
          </w:tcPr>
          <w:p w:rsidR="00C904A3" w:rsidRPr="00F573A7" w:rsidRDefault="00C904A3" w:rsidP="008216A6">
            <w:pPr>
              <w:pStyle w:val="TableText"/>
            </w:pPr>
            <w:r w:rsidRPr="00F573A7">
              <w:t>Clinical claim</w:t>
            </w:r>
          </w:p>
        </w:tc>
        <w:tc>
          <w:tcPr>
            <w:tcW w:w="7885" w:type="dxa"/>
            <w:shd w:val="clear" w:color="auto" w:fill="auto"/>
            <w:vAlign w:val="center"/>
          </w:tcPr>
          <w:p w:rsidR="00C904A3" w:rsidRPr="00F573A7" w:rsidRDefault="00C904A3" w:rsidP="008216A6">
            <w:pPr>
              <w:pStyle w:val="TableText"/>
            </w:pPr>
            <w:r w:rsidRPr="00F573A7">
              <w:t>Superior efficacy and inferior safety vs. watchful waiting (SOC)</w:t>
            </w:r>
          </w:p>
          <w:p w:rsidR="00C904A3" w:rsidRPr="00F573A7" w:rsidRDefault="00C904A3" w:rsidP="008216A6">
            <w:pPr>
              <w:pStyle w:val="TableText"/>
            </w:pPr>
            <w:r w:rsidRPr="00F573A7">
              <w:t>Non-inferior efficacy and non-inferior safety vs. apalutamide and vs. enzalutamide</w:t>
            </w:r>
          </w:p>
          <w:p w:rsidR="00C904A3" w:rsidRPr="00F573A7" w:rsidRDefault="00C904A3" w:rsidP="007D33DD">
            <w:pPr>
              <w:pStyle w:val="TableText"/>
            </w:pPr>
            <w:r w:rsidRPr="00F573A7">
              <w:t xml:space="preserve">The PBAC considered </w:t>
            </w:r>
            <w:r w:rsidR="000C49A7" w:rsidRPr="00F573A7">
              <w:t xml:space="preserve">in July 2020 </w:t>
            </w:r>
            <w:r w:rsidRPr="00F573A7">
              <w:t xml:space="preserve">that (i) darolutamide resulted in superior efficacy and inferior safety compared to SOC;  (ii) </w:t>
            </w:r>
            <w:r w:rsidR="002F63D9" w:rsidRPr="00F573A7">
              <w:t xml:space="preserve">the efficacy of </w:t>
            </w:r>
            <w:r w:rsidRPr="00F573A7">
              <w:t xml:space="preserve">darolutamide </w:t>
            </w:r>
            <w:r w:rsidR="002F63D9" w:rsidRPr="00F573A7">
              <w:t>would likely be</w:t>
            </w:r>
            <w:r w:rsidRPr="00F573A7">
              <w:t xml:space="preserve"> non-inferior compared to apalutamide and enzalutamide</w:t>
            </w:r>
            <w:r w:rsidR="002F63D9" w:rsidRPr="00F573A7">
              <w:t>; and (iii) darolutamide may be better tolerated compared to apalutamide and enzalutamide due to its reduced penetration of the blood-brain</w:t>
            </w:r>
            <w:r w:rsidRPr="00F573A7">
              <w:t xml:space="preserve"> </w:t>
            </w:r>
            <w:r w:rsidR="002F63D9" w:rsidRPr="00F573A7">
              <w:t xml:space="preserve">barrier which could potentially result in less central nervous system toxicity </w:t>
            </w:r>
            <w:r w:rsidRPr="00F573A7">
              <w:t>(</w:t>
            </w:r>
            <w:r w:rsidR="002F63D9" w:rsidRPr="00F573A7">
              <w:t xml:space="preserve">Item 5.05, paragraphs 6.29 &amp; 6.30, </w:t>
            </w:r>
            <w:r w:rsidR="00D42D5C" w:rsidRPr="00F573A7">
              <w:t xml:space="preserve">darolutamide </w:t>
            </w:r>
            <w:r w:rsidR="007D33DD">
              <w:t>PSD</w:t>
            </w:r>
            <w:r w:rsidR="00D42D5C" w:rsidRPr="00F573A7">
              <w:t xml:space="preserve">, </w:t>
            </w:r>
            <w:r w:rsidR="002F63D9" w:rsidRPr="00F573A7">
              <w:t>July 2020</w:t>
            </w:r>
            <w:r w:rsidRPr="00F573A7">
              <w:t>).</w:t>
            </w:r>
          </w:p>
        </w:tc>
      </w:tr>
    </w:tbl>
    <w:p w:rsidR="00C904A3" w:rsidRPr="00F573A7" w:rsidRDefault="00C904A3" w:rsidP="00C904A3">
      <w:pPr>
        <w:rPr>
          <w:rFonts w:ascii="Arial Narrow" w:hAnsi="Arial Narrow"/>
          <w:sz w:val="18"/>
          <w:szCs w:val="18"/>
        </w:rPr>
      </w:pPr>
      <w:r w:rsidRPr="00F573A7">
        <w:rPr>
          <w:rFonts w:ascii="Arial Narrow" w:hAnsi="Arial Narrow"/>
          <w:sz w:val="18"/>
          <w:szCs w:val="18"/>
        </w:rPr>
        <w:t>Source: Compiled in preparation of submission overview</w:t>
      </w:r>
    </w:p>
    <w:p w:rsidR="00C904A3" w:rsidRPr="00F573A7" w:rsidRDefault="00C904A3" w:rsidP="00C904A3">
      <w:r w:rsidRPr="00F573A7">
        <w:rPr>
          <w:rFonts w:ascii="Arial Narrow" w:hAnsi="Arial Narrow"/>
          <w:sz w:val="18"/>
          <w:szCs w:val="18"/>
        </w:rPr>
        <w:t>ADT = androgen deprivation therapy; CRPC = castration resistant prostate cancer; MFS = metastasis free survival; OS = overall survival; PBAC = Pharmaceutical Benefits Advisory Committee; PSADT = prostate-specific antigen doubling time; PSD = Public Summary Document; SOC = standard of care</w:t>
      </w:r>
    </w:p>
    <w:p w:rsidR="00C904A3" w:rsidRPr="00F573A7" w:rsidRDefault="00C904A3" w:rsidP="00C904A3"/>
    <w:p w:rsidR="00790030" w:rsidRPr="00F573A7" w:rsidRDefault="00790030" w:rsidP="00790030">
      <w:pPr>
        <w:ind w:firstLine="720"/>
        <w:rPr>
          <w:i/>
        </w:rPr>
      </w:pPr>
      <w:r w:rsidRPr="00F573A7">
        <w:rPr>
          <w:i/>
        </w:rPr>
        <w:t>For more detail on PBAC’s view, see section 5 PBAC outcome.</w:t>
      </w:r>
    </w:p>
    <w:p w:rsidR="00C068A6" w:rsidRPr="00F573A7" w:rsidRDefault="004B2E01" w:rsidP="006C5B33">
      <w:pPr>
        <w:pStyle w:val="2-SectionHeading"/>
      </w:pPr>
      <w:r w:rsidRPr="00F573A7">
        <w:t>Requested listing</w:t>
      </w:r>
      <w:r w:rsidR="007C08E0" w:rsidRPr="00F573A7">
        <w:t xml:space="preserve"> </w:t>
      </w:r>
    </w:p>
    <w:p w:rsidR="004F6160" w:rsidRPr="00F573A7" w:rsidRDefault="004B2E01" w:rsidP="006C5B33">
      <w:pPr>
        <w:pStyle w:val="3-BodyText"/>
      </w:pPr>
      <w:r w:rsidRPr="00F573A7">
        <w:t xml:space="preserve">The </w:t>
      </w:r>
      <w:r w:rsidR="00220AED" w:rsidRPr="00F573A7">
        <w:t xml:space="preserve">early re-entry </w:t>
      </w:r>
      <w:r w:rsidRPr="00F573A7">
        <w:t xml:space="preserve">submission </w:t>
      </w:r>
      <w:r w:rsidR="004F6160" w:rsidRPr="00F573A7">
        <w:t>proposed amendments to the previously considered PBS restriction</w:t>
      </w:r>
      <w:r w:rsidR="006A721C" w:rsidRPr="00F573A7">
        <w:t xml:space="preserve">, omitting the clinical criterion requiring patients to not have distant metastases on conventional imaging and adding that a patient must have a </w:t>
      </w:r>
      <w:r w:rsidR="009463A2" w:rsidRPr="00F573A7">
        <w:t>prostate-specific antigen (</w:t>
      </w:r>
      <w:r w:rsidR="006A721C" w:rsidRPr="00F573A7">
        <w:t>PSA</w:t>
      </w:r>
      <w:r w:rsidR="009463A2" w:rsidRPr="00F573A7">
        <w:t>)</w:t>
      </w:r>
      <w:r w:rsidR="006A721C" w:rsidRPr="00F573A7">
        <w:t xml:space="preserve"> level of at least 2 ng/mL. </w:t>
      </w:r>
    </w:p>
    <w:tbl>
      <w:tblPr>
        <w:tblW w:w="9044" w:type="dxa"/>
        <w:tblInd w:w="-5" w:type="dxa"/>
        <w:tblLayout w:type="fixed"/>
        <w:tblLook w:val="0000" w:firstRow="0" w:lastRow="0" w:firstColumn="0" w:lastColumn="0" w:noHBand="0" w:noVBand="0"/>
      </w:tblPr>
      <w:tblGrid>
        <w:gridCol w:w="1701"/>
        <w:gridCol w:w="7343"/>
      </w:tblGrid>
      <w:tr w:rsidR="00935BBA" w:rsidRPr="00F573A7" w:rsidTr="00587099">
        <w:trPr>
          <w:cantSplit/>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35BBA" w:rsidRPr="00F573A7" w:rsidRDefault="00935BBA" w:rsidP="00587099">
            <w:pPr>
              <w:pStyle w:val="Tabletext0"/>
              <w:keepNext/>
              <w:jc w:val="both"/>
              <w:rPr>
                <w:b/>
              </w:rPr>
            </w:pPr>
            <w:r w:rsidRPr="00F573A7">
              <w:rPr>
                <w:rFonts w:eastAsia="Calibri"/>
                <w:b/>
                <w:szCs w:val="20"/>
              </w:rPr>
              <w:t>Prescriber type:</w:t>
            </w:r>
          </w:p>
        </w:tc>
        <w:tc>
          <w:tcPr>
            <w:tcW w:w="7343" w:type="dxa"/>
            <w:tcBorders>
              <w:top w:val="single" w:sz="4" w:space="0" w:color="auto"/>
              <w:left w:val="single" w:sz="4" w:space="0" w:color="auto"/>
              <w:bottom w:val="single" w:sz="4" w:space="0" w:color="auto"/>
              <w:right w:val="single" w:sz="4" w:space="0" w:color="auto"/>
            </w:tcBorders>
            <w:shd w:val="clear" w:color="auto" w:fill="auto"/>
            <w:vAlign w:val="center"/>
          </w:tcPr>
          <w:p w:rsidR="00935BBA" w:rsidRPr="00F573A7" w:rsidRDefault="00935BBA" w:rsidP="00587099">
            <w:pPr>
              <w:pStyle w:val="Tabletext0"/>
              <w:keepNext/>
              <w:jc w:val="both"/>
            </w:pPr>
            <w:r w:rsidRPr="003D070A">
              <w:fldChar w:fldCharType="begin">
                <w:ffData>
                  <w:name w:val=""/>
                  <w:enabled/>
                  <w:calcOnExit w:val="0"/>
                  <w:checkBox>
                    <w:sizeAuto/>
                    <w:default w:val="1"/>
                  </w:checkBox>
                </w:ffData>
              </w:fldChar>
            </w:r>
            <w:r w:rsidRPr="00F573A7">
              <w:instrText xml:space="preserve"> FORMCHECKBOX </w:instrText>
            </w:r>
            <w:r w:rsidR="000864B4">
              <w:fldChar w:fldCharType="separate"/>
            </w:r>
            <w:r w:rsidRPr="003D070A">
              <w:fldChar w:fldCharType="end"/>
            </w:r>
            <w:r w:rsidRPr="00F573A7">
              <w:t xml:space="preserve">Medical Practitioners  </w:t>
            </w:r>
          </w:p>
        </w:tc>
      </w:tr>
      <w:tr w:rsidR="00935BBA" w:rsidRPr="00F573A7" w:rsidTr="00587099">
        <w:trPr>
          <w:cantSplit/>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35BBA" w:rsidRPr="00F573A7" w:rsidRDefault="00935BBA" w:rsidP="00587099">
            <w:pPr>
              <w:pStyle w:val="Tabletext0"/>
              <w:keepNext/>
              <w:jc w:val="both"/>
              <w:rPr>
                <w:b/>
              </w:rPr>
            </w:pPr>
            <w:r w:rsidRPr="00F573A7">
              <w:rPr>
                <w:rFonts w:eastAsia="Calibri"/>
                <w:b/>
                <w:szCs w:val="20"/>
              </w:rPr>
              <w:t>PBS indication:</w:t>
            </w:r>
          </w:p>
        </w:tc>
        <w:tc>
          <w:tcPr>
            <w:tcW w:w="7343" w:type="dxa"/>
            <w:tcBorders>
              <w:top w:val="single" w:sz="4" w:space="0" w:color="auto"/>
              <w:left w:val="single" w:sz="4" w:space="0" w:color="auto"/>
              <w:bottom w:val="single" w:sz="4" w:space="0" w:color="auto"/>
              <w:right w:val="single" w:sz="4" w:space="0" w:color="auto"/>
            </w:tcBorders>
            <w:shd w:val="clear" w:color="auto" w:fill="auto"/>
            <w:vAlign w:val="center"/>
          </w:tcPr>
          <w:p w:rsidR="00935BBA" w:rsidRPr="00F573A7" w:rsidRDefault="00935BBA" w:rsidP="00587099">
            <w:pPr>
              <w:pStyle w:val="Tabletext0"/>
              <w:keepNext/>
              <w:jc w:val="both"/>
            </w:pPr>
            <w:r w:rsidRPr="00F573A7">
              <w:rPr>
                <w:rFonts w:eastAsia="Calibri"/>
                <w:szCs w:val="20"/>
              </w:rPr>
              <w:t>Castration resistant carcinoma of the prostate</w:t>
            </w:r>
          </w:p>
        </w:tc>
      </w:tr>
      <w:tr w:rsidR="00935BBA" w:rsidRPr="00F573A7" w:rsidTr="00587099">
        <w:trPr>
          <w:cantSplit/>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35BBA" w:rsidRPr="00F573A7" w:rsidRDefault="00935BBA" w:rsidP="00587099">
            <w:pPr>
              <w:pStyle w:val="Tabletext0"/>
              <w:keepNext/>
              <w:jc w:val="both"/>
              <w:rPr>
                <w:b/>
              </w:rPr>
            </w:pPr>
            <w:r w:rsidRPr="00F573A7">
              <w:rPr>
                <w:b/>
              </w:rPr>
              <w:t>Restriction type:</w:t>
            </w:r>
          </w:p>
        </w:tc>
        <w:tc>
          <w:tcPr>
            <w:tcW w:w="7343" w:type="dxa"/>
            <w:tcBorders>
              <w:top w:val="single" w:sz="4" w:space="0" w:color="auto"/>
              <w:left w:val="single" w:sz="4" w:space="0" w:color="auto"/>
              <w:bottom w:val="single" w:sz="4" w:space="0" w:color="auto"/>
              <w:right w:val="single" w:sz="4" w:space="0" w:color="auto"/>
            </w:tcBorders>
            <w:shd w:val="clear" w:color="auto" w:fill="auto"/>
          </w:tcPr>
          <w:p w:rsidR="00935BBA" w:rsidRPr="00F573A7" w:rsidRDefault="00935BBA" w:rsidP="00587099">
            <w:pPr>
              <w:pStyle w:val="TableText"/>
              <w:jc w:val="both"/>
            </w:pPr>
            <w:r w:rsidRPr="003D070A">
              <w:fldChar w:fldCharType="begin">
                <w:ffData>
                  <w:name w:val=""/>
                  <w:enabled/>
                  <w:calcOnExit w:val="0"/>
                  <w:checkBox>
                    <w:sizeAuto/>
                    <w:default w:val="1"/>
                  </w:checkBox>
                </w:ffData>
              </w:fldChar>
            </w:r>
            <w:r w:rsidRPr="00F573A7">
              <w:instrText xml:space="preserve"> FORMCHECKBOX </w:instrText>
            </w:r>
            <w:r w:rsidR="000864B4">
              <w:fldChar w:fldCharType="separate"/>
            </w:r>
            <w:r w:rsidRPr="003D070A">
              <w:fldChar w:fldCharType="end"/>
            </w:r>
            <w:r w:rsidRPr="00F573A7">
              <w:t>Authority Required (immediate/real-time assessment by Services Australia)</w:t>
            </w:r>
          </w:p>
        </w:tc>
      </w:tr>
      <w:tr w:rsidR="00935BBA" w:rsidRPr="00F573A7" w:rsidTr="00587099">
        <w:trPr>
          <w:cantSplit/>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35BBA" w:rsidRPr="00F573A7" w:rsidRDefault="00935BBA" w:rsidP="00587099">
            <w:pPr>
              <w:pStyle w:val="Tabletext0"/>
              <w:keepNext/>
              <w:jc w:val="both"/>
              <w:rPr>
                <w:b/>
              </w:rPr>
            </w:pPr>
            <w:r w:rsidRPr="00F573A7">
              <w:rPr>
                <w:b/>
              </w:rPr>
              <w:t>Treatment phase:</w:t>
            </w:r>
          </w:p>
        </w:tc>
        <w:tc>
          <w:tcPr>
            <w:tcW w:w="7343" w:type="dxa"/>
            <w:tcBorders>
              <w:top w:val="single" w:sz="4" w:space="0" w:color="auto"/>
              <w:left w:val="single" w:sz="4" w:space="0" w:color="auto"/>
              <w:bottom w:val="single" w:sz="4" w:space="0" w:color="auto"/>
              <w:right w:val="single" w:sz="4" w:space="0" w:color="auto"/>
            </w:tcBorders>
            <w:shd w:val="clear" w:color="auto" w:fill="auto"/>
          </w:tcPr>
          <w:p w:rsidR="00935BBA" w:rsidRPr="00F573A7" w:rsidRDefault="00935BBA" w:rsidP="00587099">
            <w:pPr>
              <w:pStyle w:val="TableText"/>
              <w:jc w:val="both"/>
            </w:pPr>
            <w:r w:rsidRPr="00F573A7">
              <w:t>Initial</w:t>
            </w:r>
          </w:p>
        </w:tc>
      </w:tr>
      <w:tr w:rsidR="00935BBA" w:rsidRPr="00F573A7" w:rsidTr="00587099">
        <w:trPr>
          <w:cantSplit/>
        </w:trPr>
        <w:tc>
          <w:tcPr>
            <w:tcW w:w="90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BBA" w:rsidRPr="00F573A7" w:rsidRDefault="00935BBA" w:rsidP="00587099">
            <w:pPr>
              <w:pStyle w:val="Tabletext0"/>
              <w:jc w:val="both"/>
              <w:rPr>
                <w:i/>
              </w:rPr>
            </w:pPr>
            <w:r w:rsidRPr="00F573A7">
              <w:rPr>
                <w:b/>
              </w:rPr>
              <w:t>Clinical criteria:</w:t>
            </w:r>
          </w:p>
          <w:p w:rsidR="00935BBA" w:rsidRPr="00F573A7" w:rsidRDefault="00935BBA" w:rsidP="00587099">
            <w:pPr>
              <w:pStyle w:val="TableText"/>
              <w:jc w:val="both"/>
              <w:rPr>
                <w:strike/>
              </w:rPr>
            </w:pPr>
            <w:r w:rsidRPr="00F573A7">
              <w:rPr>
                <w:strike/>
              </w:rPr>
              <w:t>Patient must not have distant metastasis on conventional imaging</w:t>
            </w:r>
          </w:p>
          <w:p w:rsidR="00935BBA" w:rsidRPr="00F573A7" w:rsidRDefault="00935BBA" w:rsidP="00587099">
            <w:pPr>
              <w:pStyle w:val="TableText"/>
              <w:jc w:val="both"/>
              <w:rPr>
                <w:i/>
                <w:iCs/>
              </w:rPr>
            </w:pPr>
            <w:r w:rsidRPr="00F573A7">
              <w:rPr>
                <w:i/>
                <w:iCs/>
              </w:rPr>
              <w:t>Patient must have a PSA level of at least 2 ng/mL</w:t>
            </w:r>
          </w:p>
          <w:p w:rsidR="00935BBA" w:rsidRPr="00F573A7" w:rsidRDefault="00935BBA" w:rsidP="00587099">
            <w:pPr>
              <w:pStyle w:val="TableText"/>
              <w:jc w:val="both"/>
            </w:pPr>
            <w:r w:rsidRPr="00F573A7">
              <w:t>AND</w:t>
            </w:r>
          </w:p>
          <w:p w:rsidR="00935BBA" w:rsidRPr="00F573A7" w:rsidRDefault="00935BBA" w:rsidP="00587099">
            <w:pPr>
              <w:pStyle w:val="TableText"/>
              <w:jc w:val="both"/>
            </w:pPr>
            <w:r w:rsidRPr="00F573A7">
              <w:t>Treatment must be used in combination with androgen deprivation therapy</w:t>
            </w:r>
          </w:p>
          <w:p w:rsidR="00935BBA" w:rsidRPr="00F573A7" w:rsidRDefault="00935BBA" w:rsidP="00587099">
            <w:pPr>
              <w:pStyle w:val="TableText"/>
              <w:jc w:val="both"/>
            </w:pPr>
            <w:r w:rsidRPr="00F573A7">
              <w:t>AND</w:t>
            </w:r>
          </w:p>
          <w:p w:rsidR="00935BBA" w:rsidRPr="00F573A7" w:rsidRDefault="00935BBA" w:rsidP="00587099">
            <w:pPr>
              <w:pStyle w:val="TableText"/>
              <w:jc w:val="both"/>
            </w:pPr>
            <w:r w:rsidRPr="00F573A7">
              <w:t>Patient must have a PSA doubling time of 10 months or less</w:t>
            </w:r>
          </w:p>
          <w:p w:rsidR="00935BBA" w:rsidRPr="00F573A7" w:rsidRDefault="00935BBA" w:rsidP="00587099">
            <w:pPr>
              <w:pStyle w:val="TableText"/>
              <w:jc w:val="both"/>
            </w:pPr>
            <w:r w:rsidRPr="00F573A7">
              <w:t>AND</w:t>
            </w:r>
          </w:p>
          <w:p w:rsidR="00935BBA" w:rsidRPr="00F573A7" w:rsidRDefault="00935BBA" w:rsidP="00587099">
            <w:pPr>
              <w:pStyle w:val="TableText"/>
              <w:jc w:val="both"/>
            </w:pPr>
            <w:r w:rsidRPr="00F573A7">
              <w:t>Patient must have a WHO performance score of 0 or 1</w:t>
            </w:r>
          </w:p>
          <w:p w:rsidR="00935BBA" w:rsidRPr="00F573A7" w:rsidRDefault="00935BBA" w:rsidP="00587099">
            <w:pPr>
              <w:pStyle w:val="TableText"/>
              <w:jc w:val="both"/>
            </w:pPr>
            <w:r w:rsidRPr="00F573A7">
              <w:t>AND</w:t>
            </w:r>
          </w:p>
          <w:p w:rsidR="00935BBA" w:rsidRPr="00F573A7" w:rsidRDefault="00935BBA" w:rsidP="00587099">
            <w:pPr>
              <w:pStyle w:val="Tabletext0"/>
              <w:jc w:val="both"/>
            </w:pPr>
            <w:r w:rsidRPr="00F573A7">
              <w:t>Patients who have progressive disease while on this drug are no longer eligible for PBS-subsidised treatment with this drug</w:t>
            </w:r>
          </w:p>
        </w:tc>
      </w:tr>
      <w:tr w:rsidR="00935BBA" w:rsidRPr="00F573A7" w:rsidTr="00587099">
        <w:trPr>
          <w:cantSplit/>
        </w:trPr>
        <w:tc>
          <w:tcPr>
            <w:tcW w:w="90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BBA" w:rsidRPr="00F573A7" w:rsidRDefault="00935BBA" w:rsidP="00587099">
            <w:pPr>
              <w:pStyle w:val="Tabletext0"/>
              <w:jc w:val="both"/>
              <w:rPr>
                <w:b/>
              </w:rPr>
            </w:pPr>
            <w:r w:rsidRPr="00F573A7">
              <w:rPr>
                <w:b/>
              </w:rPr>
              <w:t>Prescriber Instructions:</w:t>
            </w:r>
          </w:p>
          <w:p w:rsidR="00935BBA" w:rsidRPr="00F573A7" w:rsidRDefault="00935BBA" w:rsidP="00587099">
            <w:pPr>
              <w:pStyle w:val="Tabletext0"/>
              <w:jc w:val="both"/>
            </w:pPr>
            <w:r w:rsidRPr="00F573A7">
              <w:t>The PSA doubling time must have been calculated using at least three PSA values obtained during androgen deprivation therapy</w:t>
            </w:r>
          </w:p>
        </w:tc>
      </w:tr>
      <w:tr w:rsidR="00935BBA" w:rsidRPr="00F573A7" w:rsidTr="00587099">
        <w:trPr>
          <w:cantSplit/>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35BBA" w:rsidRPr="00F573A7" w:rsidRDefault="00935BBA" w:rsidP="00587099">
            <w:pPr>
              <w:pStyle w:val="Tabletext0"/>
              <w:jc w:val="both"/>
              <w:rPr>
                <w:b/>
              </w:rPr>
            </w:pPr>
            <w:r w:rsidRPr="00F573A7">
              <w:rPr>
                <w:b/>
              </w:rPr>
              <w:t>Treatment phase:</w:t>
            </w:r>
          </w:p>
        </w:tc>
        <w:tc>
          <w:tcPr>
            <w:tcW w:w="7343" w:type="dxa"/>
            <w:tcBorders>
              <w:top w:val="single" w:sz="4" w:space="0" w:color="auto"/>
              <w:left w:val="single" w:sz="4" w:space="0" w:color="auto"/>
              <w:bottom w:val="single" w:sz="4" w:space="0" w:color="auto"/>
              <w:right w:val="single" w:sz="4" w:space="0" w:color="auto"/>
            </w:tcBorders>
            <w:shd w:val="clear" w:color="auto" w:fill="auto"/>
          </w:tcPr>
          <w:p w:rsidR="00935BBA" w:rsidRPr="00F573A7" w:rsidRDefault="00935BBA" w:rsidP="00587099">
            <w:pPr>
              <w:pStyle w:val="Tabletext0"/>
              <w:jc w:val="both"/>
            </w:pPr>
            <w:r w:rsidRPr="00F573A7">
              <w:t>Continuing</w:t>
            </w:r>
          </w:p>
        </w:tc>
      </w:tr>
      <w:tr w:rsidR="00935BBA" w:rsidRPr="00F573A7" w:rsidTr="00587099">
        <w:trPr>
          <w:cantSplit/>
        </w:trPr>
        <w:tc>
          <w:tcPr>
            <w:tcW w:w="90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BBA" w:rsidRPr="00F573A7" w:rsidRDefault="00935BBA" w:rsidP="00587099">
            <w:pPr>
              <w:pStyle w:val="Tabletext0"/>
              <w:jc w:val="both"/>
              <w:rPr>
                <w:b/>
              </w:rPr>
            </w:pPr>
            <w:r w:rsidRPr="00F573A7">
              <w:rPr>
                <w:b/>
              </w:rPr>
              <w:t>Clinical criteria:</w:t>
            </w:r>
          </w:p>
          <w:p w:rsidR="00935BBA" w:rsidRPr="00F573A7" w:rsidRDefault="00935BBA" w:rsidP="00587099">
            <w:pPr>
              <w:pStyle w:val="TableText"/>
              <w:jc w:val="both"/>
            </w:pPr>
            <w:r w:rsidRPr="00F573A7">
              <w:t>Patient must have previously received PBS-subsidised treatment with this drug for this condition</w:t>
            </w:r>
          </w:p>
          <w:p w:rsidR="00935BBA" w:rsidRPr="00F573A7" w:rsidRDefault="00935BBA" w:rsidP="00587099">
            <w:pPr>
              <w:pStyle w:val="TableText"/>
              <w:jc w:val="both"/>
            </w:pPr>
            <w:r w:rsidRPr="00F573A7">
              <w:t>AND</w:t>
            </w:r>
          </w:p>
          <w:p w:rsidR="00935BBA" w:rsidRPr="00F573A7" w:rsidRDefault="00935BBA" w:rsidP="00587099">
            <w:pPr>
              <w:pStyle w:val="TableText"/>
              <w:jc w:val="both"/>
            </w:pPr>
            <w:r w:rsidRPr="00F573A7">
              <w:t>Treatment must be used in combination with androgen deprivation therapy</w:t>
            </w:r>
          </w:p>
          <w:p w:rsidR="00935BBA" w:rsidRPr="00F573A7" w:rsidRDefault="00935BBA" w:rsidP="00587099">
            <w:pPr>
              <w:pStyle w:val="TableText"/>
              <w:jc w:val="both"/>
            </w:pPr>
            <w:r w:rsidRPr="00F573A7">
              <w:t>AND</w:t>
            </w:r>
          </w:p>
          <w:p w:rsidR="00935BBA" w:rsidRPr="00F573A7" w:rsidRDefault="00935BBA" w:rsidP="00587099">
            <w:pPr>
              <w:pStyle w:val="Tabletext0"/>
              <w:jc w:val="both"/>
            </w:pPr>
            <w:r w:rsidRPr="00F573A7">
              <w:t>Patients who have progressive disease while on this drug are no longer eligible for PBS-subsidised treatment with this drug</w:t>
            </w:r>
          </w:p>
        </w:tc>
      </w:tr>
      <w:tr w:rsidR="00935BBA" w:rsidRPr="00F573A7" w:rsidTr="00587099">
        <w:trPr>
          <w:cantSplit/>
        </w:trPr>
        <w:tc>
          <w:tcPr>
            <w:tcW w:w="90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BBA" w:rsidRPr="00F573A7" w:rsidRDefault="00935BBA" w:rsidP="00587099">
            <w:pPr>
              <w:pStyle w:val="Tabletext0"/>
              <w:jc w:val="both"/>
              <w:rPr>
                <w:b/>
              </w:rPr>
            </w:pPr>
            <w:r w:rsidRPr="00F573A7">
              <w:rPr>
                <w:b/>
              </w:rPr>
              <w:t>Administrative Advice:</w:t>
            </w:r>
          </w:p>
          <w:p w:rsidR="00935BBA" w:rsidRPr="00F573A7" w:rsidRDefault="00935BBA" w:rsidP="00587099">
            <w:pPr>
              <w:pStyle w:val="Tabletext0"/>
              <w:keepNext/>
              <w:jc w:val="both"/>
            </w:pPr>
            <w:r w:rsidRPr="00F573A7">
              <w:t>Special Pricing Arrangements apply</w:t>
            </w:r>
          </w:p>
          <w:p w:rsidR="00935BBA" w:rsidRPr="00F573A7" w:rsidRDefault="00935BBA" w:rsidP="00587099">
            <w:pPr>
              <w:pStyle w:val="Tabletext0"/>
              <w:keepNext/>
              <w:jc w:val="both"/>
            </w:pPr>
            <w:r w:rsidRPr="00F573A7">
              <w:t>No increase in the maximum quantity or number of units may be authorised</w:t>
            </w:r>
          </w:p>
          <w:p w:rsidR="00935BBA" w:rsidRPr="00F573A7" w:rsidRDefault="00935BBA" w:rsidP="00587099">
            <w:pPr>
              <w:pStyle w:val="Tabletext0"/>
              <w:jc w:val="both"/>
            </w:pPr>
            <w:r w:rsidRPr="00F573A7">
              <w:rPr>
                <w:szCs w:val="20"/>
              </w:rPr>
              <w:t>No increase in the maximum number of repeats may be authorised</w:t>
            </w:r>
          </w:p>
        </w:tc>
      </w:tr>
    </w:tbl>
    <w:p w:rsidR="00935BBA" w:rsidRPr="00F573A7" w:rsidRDefault="00935BBA" w:rsidP="009463A2"/>
    <w:p w:rsidR="007E79B9" w:rsidRPr="00F573A7" w:rsidRDefault="007E79B9" w:rsidP="006C5B33">
      <w:pPr>
        <w:pStyle w:val="3-BodyText"/>
      </w:pPr>
      <w:r w:rsidRPr="003D070A">
        <w:rPr>
          <w:rFonts w:cs="Arial"/>
          <w:bCs/>
          <w:snapToGrid w:val="0"/>
        </w:rPr>
        <w:t xml:space="preserve">The PBAC recalled that in March 2021 it advised, based on the increasing use of more sensitive prostate-specific membrane antigen (PSMA) PET scanning for staging of CRPC, the clinical criterion requiring patients to not have distant metastases on conventional imaging could be removed from the restriction. However, on </w:t>
      </w:r>
      <w:r w:rsidR="00F573A7" w:rsidRPr="003D070A">
        <w:rPr>
          <w:rFonts w:cs="Arial"/>
          <w:bCs/>
          <w:snapToGrid w:val="0"/>
        </w:rPr>
        <w:t>re</w:t>
      </w:r>
      <w:r w:rsidR="00F573A7">
        <w:rPr>
          <w:rFonts w:cs="Arial"/>
          <w:bCs/>
          <w:snapToGrid w:val="0"/>
        </w:rPr>
        <w:t>view</w:t>
      </w:r>
      <w:r w:rsidRPr="003D070A">
        <w:rPr>
          <w:rFonts w:cs="Arial"/>
          <w:bCs/>
          <w:snapToGrid w:val="0"/>
        </w:rPr>
        <w:t xml:space="preserve">, the PBAC considered that it would be appropriate for the PBS indication to align with the TGA indication and recommended that darolutamide be listed on the PBS for m0CRPC only. </w:t>
      </w:r>
    </w:p>
    <w:p w:rsidR="00220AED" w:rsidRPr="00F573A7" w:rsidRDefault="00B80900" w:rsidP="00593BB2">
      <w:pPr>
        <w:pStyle w:val="3-BodyText"/>
      </w:pPr>
      <w:r w:rsidRPr="003D070A">
        <w:rPr>
          <w:rFonts w:cs="Arial"/>
          <w:bCs/>
          <w:snapToGrid w:val="0"/>
        </w:rPr>
        <w:t>The PBAC noted that it had also previously recommended that a criterion be included in the restriction which restricted treatment to patients with a PSA level of at least 2</w:t>
      </w:r>
      <w:r w:rsidR="003D4336" w:rsidRPr="003D070A">
        <w:rPr>
          <w:rFonts w:cs="Arial"/>
          <w:bCs/>
          <w:snapToGrid w:val="0"/>
        </w:rPr>
        <w:t> </w:t>
      </w:r>
      <w:r w:rsidRPr="003D070A">
        <w:rPr>
          <w:rFonts w:cs="Arial"/>
          <w:bCs/>
          <w:snapToGrid w:val="0"/>
        </w:rPr>
        <w:t xml:space="preserve">ng/mL, as this would </w:t>
      </w:r>
      <w:r w:rsidR="000F2B3B" w:rsidRPr="003D070A">
        <w:rPr>
          <w:rFonts w:cs="Arial"/>
          <w:bCs/>
          <w:snapToGrid w:val="0"/>
        </w:rPr>
        <w:t xml:space="preserve">identify </w:t>
      </w:r>
      <w:r w:rsidRPr="003D070A">
        <w:rPr>
          <w:rFonts w:cs="Arial"/>
          <w:bCs/>
          <w:snapToGrid w:val="0"/>
        </w:rPr>
        <w:t>patients</w:t>
      </w:r>
      <w:r w:rsidR="003D4336" w:rsidRPr="003D070A">
        <w:rPr>
          <w:rFonts w:cs="Arial"/>
          <w:bCs/>
          <w:snapToGrid w:val="0"/>
        </w:rPr>
        <w:t xml:space="preserve"> who had a higher risk of developing metastas</w:t>
      </w:r>
      <w:r w:rsidR="00730FF5" w:rsidRPr="003D070A">
        <w:rPr>
          <w:rFonts w:cs="Arial"/>
          <w:bCs/>
          <w:snapToGrid w:val="0"/>
        </w:rPr>
        <w:t>e</w:t>
      </w:r>
      <w:r w:rsidR="003D4336" w:rsidRPr="003D070A">
        <w:rPr>
          <w:rFonts w:cs="Arial"/>
          <w:bCs/>
          <w:snapToGrid w:val="0"/>
        </w:rPr>
        <w:t>s</w:t>
      </w:r>
      <w:r w:rsidR="000F2B3B" w:rsidRPr="003D070A">
        <w:rPr>
          <w:rFonts w:cs="Arial"/>
          <w:bCs/>
          <w:snapToGrid w:val="0"/>
        </w:rPr>
        <w:t xml:space="preserve">, which in turn would </w:t>
      </w:r>
      <w:r w:rsidR="00F573A7">
        <w:rPr>
          <w:rFonts w:cs="Arial"/>
          <w:bCs/>
          <w:snapToGrid w:val="0"/>
        </w:rPr>
        <w:t>limit</w:t>
      </w:r>
      <w:r w:rsidR="000F2B3B" w:rsidRPr="003D070A">
        <w:rPr>
          <w:rFonts w:cs="Arial"/>
          <w:bCs/>
          <w:snapToGrid w:val="0"/>
        </w:rPr>
        <w:t xml:space="preserve"> subsidy to more cost-effective circumstances</w:t>
      </w:r>
      <w:r w:rsidRPr="003D070A">
        <w:rPr>
          <w:rFonts w:cs="Arial"/>
          <w:bCs/>
          <w:snapToGrid w:val="0"/>
        </w:rPr>
        <w:t xml:space="preserve">. On review, the PBAC considered that the </w:t>
      </w:r>
      <w:r w:rsidR="000F2B3B" w:rsidRPr="003D070A">
        <w:rPr>
          <w:rFonts w:cs="Arial"/>
          <w:bCs/>
          <w:snapToGrid w:val="0"/>
        </w:rPr>
        <w:t xml:space="preserve">higher risk </w:t>
      </w:r>
      <w:r w:rsidRPr="003D070A">
        <w:rPr>
          <w:rFonts w:cs="Arial"/>
          <w:bCs/>
          <w:snapToGrid w:val="0"/>
        </w:rPr>
        <w:t xml:space="preserve">population </w:t>
      </w:r>
      <w:r w:rsidR="00E46CD0" w:rsidRPr="003D070A">
        <w:rPr>
          <w:rFonts w:cs="Arial"/>
          <w:bCs/>
          <w:snapToGrid w:val="0"/>
        </w:rPr>
        <w:t xml:space="preserve">would be adequately </w:t>
      </w:r>
      <w:r w:rsidRPr="003D070A">
        <w:rPr>
          <w:rFonts w:cs="Arial"/>
          <w:bCs/>
          <w:snapToGrid w:val="0"/>
        </w:rPr>
        <w:t xml:space="preserve">captured by the criterion requiring a </w:t>
      </w:r>
      <w:r w:rsidR="003D4336" w:rsidRPr="003D070A">
        <w:rPr>
          <w:rFonts w:cs="Arial"/>
          <w:bCs/>
          <w:snapToGrid w:val="0"/>
        </w:rPr>
        <w:t xml:space="preserve">short </w:t>
      </w:r>
      <w:r w:rsidRPr="003D070A">
        <w:rPr>
          <w:rFonts w:cs="Arial"/>
          <w:bCs/>
          <w:snapToGrid w:val="0"/>
        </w:rPr>
        <w:t xml:space="preserve">prostate-specific antigen (PSA) doubling time </w:t>
      </w:r>
      <w:r w:rsidR="003D4336" w:rsidRPr="003D070A">
        <w:rPr>
          <w:rFonts w:cs="Arial"/>
          <w:bCs/>
          <w:snapToGrid w:val="0"/>
        </w:rPr>
        <w:t xml:space="preserve">(i.e. </w:t>
      </w:r>
      <w:r w:rsidR="00730FF5" w:rsidRPr="003D070A">
        <w:rPr>
          <w:rFonts w:cs="Arial"/>
          <w:bCs/>
          <w:snapToGrid w:val="0"/>
        </w:rPr>
        <w:t xml:space="preserve">doubling </w:t>
      </w:r>
      <w:r w:rsidR="003D4336" w:rsidRPr="003D070A">
        <w:rPr>
          <w:rFonts w:cs="Arial"/>
          <w:bCs/>
          <w:snapToGrid w:val="0"/>
        </w:rPr>
        <w:t xml:space="preserve">within </w:t>
      </w:r>
      <w:r w:rsidRPr="003D070A">
        <w:rPr>
          <w:rFonts w:cs="Arial"/>
          <w:bCs/>
          <w:snapToGrid w:val="0"/>
        </w:rPr>
        <w:t>10 months</w:t>
      </w:r>
      <w:r w:rsidR="003D4336" w:rsidRPr="003D070A">
        <w:rPr>
          <w:rFonts w:cs="Arial"/>
          <w:bCs/>
          <w:snapToGrid w:val="0"/>
        </w:rPr>
        <w:t>)</w:t>
      </w:r>
      <w:r w:rsidR="00E46CD0" w:rsidRPr="003D070A">
        <w:rPr>
          <w:rFonts w:cs="Arial"/>
          <w:bCs/>
          <w:snapToGrid w:val="0"/>
        </w:rPr>
        <w:t>.</w:t>
      </w:r>
      <w:r w:rsidRPr="003D070A">
        <w:rPr>
          <w:rFonts w:cs="Arial"/>
          <w:bCs/>
          <w:snapToGrid w:val="0"/>
        </w:rPr>
        <w:t xml:space="preserve"> </w:t>
      </w:r>
      <w:r w:rsidR="00E46CD0" w:rsidRPr="003D070A">
        <w:rPr>
          <w:rFonts w:cs="Arial"/>
          <w:bCs/>
          <w:snapToGrid w:val="0"/>
        </w:rPr>
        <w:t>T</w:t>
      </w:r>
      <w:r w:rsidRPr="003D070A">
        <w:rPr>
          <w:rFonts w:cs="Arial"/>
          <w:bCs/>
          <w:snapToGrid w:val="0"/>
        </w:rPr>
        <w:t xml:space="preserve">he </w:t>
      </w:r>
      <w:r w:rsidR="005E2665" w:rsidRPr="00F573A7">
        <w:t>clinical criteria</w:t>
      </w:r>
      <w:r w:rsidR="00193C87" w:rsidRPr="00F573A7">
        <w:t xml:space="preserve"> for darolutamide should </w:t>
      </w:r>
      <w:r w:rsidR="005E2665" w:rsidRPr="00F573A7">
        <w:t xml:space="preserve">essentially </w:t>
      </w:r>
      <w:r w:rsidR="00193C87" w:rsidRPr="00F573A7">
        <w:t>reflect that pr</w:t>
      </w:r>
      <w:r w:rsidRPr="00F573A7">
        <w:t>oposed</w:t>
      </w:r>
      <w:r w:rsidR="00193C87" w:rsidRPr="00F573A7">
        <w:t xml:space="preserve"> in the March 2021 resubmission</w:t>
      </w:r>
      <w:r w:rsidR="00220AED" w:rsidRPr="00F573A7">
        <w:t>.</w:t>
      </w:r>
    </w:p>
    <w:p w:rsidR="00193C87" w:rsidRPr="00F573A7" w:rsidRDefault="00220AED" w:rsidP="006C5B33">
      <w:pPr>
        <w:pStyle w:val="3-BodyText"/>
      </w:pPr>
      <w:r w:rsidRPr="00F573A7">
        <w:t>The PBAC reiterated that treatment with a novel hormonal agent (NHA, i.e. darolutamide, enzalutamide or abiraterone) should</w:t>
      </w:r>
      <w:r w:rsidR="00F573A7">
        <w:t xml:space="preserve"> </w:t>
      </w:r>
      <w:r w:rsidR="004A223D" w:rsidRPr="00F573A7">
        <w:t>cease upon disease progression and that subsidy of enzalutamide or abiraterone following disease progression on darolutamide should not be available because the sequential use of these drugs</w:t>
      </w:r>
      <w:r w:rsidR="005F4C76" w:rsidRPr="00F573A7">
        <w:t xml:space="preserve"> in this manner</w:t>
      </w:r>
      <w:r w:rsidR="004A223D" w:rsidRPr="00796ADA">
        <w:t xml:space="preserve"> had </w:t>
      </w:r>
      <w:r w:rsidR="004A223D" w:rsidRPr="00F573A7">
        <w:t xml:space="preserve">not been </w:t>
      </w:r>
      <w:r w:rsidR="00886EAA">
        <w:t>evaluated</w:t>
      </w:r>
      <w:r w:rsidR="00F573A7">
        <w:t xml:space="preserve">. </w:t>
      </w:r>
      <w:r w:rsidR="00193C87" w:rsidRPr="00F573A7">
        <w:t xml:space="preserve"> </w:t>
      </w:r>
    </w:p>
    <w:p w:rsidR="007E224D" w:rsidRPr="00796ADA" w:rsidRDefault="007E224D" w:rsidP="006C5B33">
      <w:pPr>
        <w:pStyle w:val="3-BodyText"/>
      </w:pPr>
      <w:r w:rsidRPr="00F573A7">
        <w:t xml:space="preserve">The early re-entry submission estimated that there would be 250 patients who would require transitioning arrangements from the </w:t>
      </w:r>
      <w:r w:rsidR="004A223D" w:rsidRPr="00F573A7">
        <w:t>non-PBS subsidised early</w:t>
      </w:r>
      <w:r w:rsidRPr="00F573A7">
        <w:t xml:space="preserve"> access program</w:t>
      </w:r>
      <w:r w:rsidR="004A223D" w:rsidRPr="00F573A7">
        <w:t xml:space="preserve"> to PBS-subsidised supply (‘grandfather</w:t>
      </w:r>
      <w:r w:rsidR="00F573A7">
        <w:t>ed</w:t>
      </w:r>
      <w:r w:rsidR="004A223D" w:rsidRPr="00F573A7">
        <w:t>’ arrangements)</w:t>
      </w:r>
      <w:r w:rsidRPr="00F573A7">
        <w:t xml:space="preserve">. </w:t>
      </w:r>
    </w:p>
    <w:p w:rsidR="00790030" w:rsidRPr="00F573A7" w:rsidRDefault="00790030" w:rsidP="00790030">
      <w:pPr>
        <w:pStyle w:val="3-BodyText"/>
        <w:numPr>
          <w:ilvl w:val="0"/>
          <w:numId w:val="0"/>
        </w:numPr>
        <w:spacing w:after="240"/>
        <w:ind w:left="720"/>
        <w:rPr>
          <w:highlight w:val="yellow"/>
        </w:rPr>
      </w:pPr>
      <w:r w:rsidRPr="00F573A7">
        <w:rPr>
          <w:i/>
        </w:rPr>
        <w:t>For more detail on PBAC’s view, see section 5 PBAC outcome.</w:t>
      </w:r>
    </w:p>
    <w:p w:rsidR="00F627C7" w:rsidRPr="00F573A7" w:rsidRDefault="00F627C7" w:rsidP="00F627C7">
      <w:pPr>
        <w:pStyle w:val="2-SectionHeading"/>
      </w:pPr>
      <w:r w:rsidRPr="00F573A7">
        <w:t>Consideration of the evidence</w:t>
      </w:r>
    </w:p>
    <w:p w:rsidR="00790030" w:rsidRPr="00F573A7" w:rsidRDefault="00790030" w:rsidP="00790030">
      <w:pPr>
        <w:pStyle w:val="4-SubsectionHeading"/>
      </w:pPr>
      <w:bookmarkStart w:id="0" w:name="_Hlk76375935"/>
      <w:r w:rsidRPr="00F573A7">
        <w:t>Sponsor hearing</w:t>
      </w:r>
    </w:p>
    <w:p w:rsidR="00E27931" w:rsidRDefault="00790030" w:rsidP="00BB060F">
      <w:pPr>
        <w:pStyle w:val="3-BodyText"/>
        <w:rPr>
          <w:snapToGrid w:val="0"/>
        </w:rPr>
      </w:pPr>
      <w:r w:rsidRPr="00F573A7">
        <w:rPr>
          <w:snapToGrid w:val="0"/>
        </w:rPr>
        <w:t>There was no hearing for this item.</w:t>
      </w:r>
    </w:p>
    <w:p w:rsidR="00BB060F" w:rsidRPr="00F573A7" w:rsidRDefault="00BB060F" w:rsidP="00BB060F">
      <w:pPr>
        <w:pStyle w:val="4-SubsectionHeading"/>
      </w:pPr>
      <w:r w:rsidRPr="00F573A7">
        <w:t>Consumer comments</w:t>
      </w:r>
    </w:p>
    <w:p w:rsidR="00BB060F" w:rsidRPr="00F573A7" w:rsidRDefault="00BB060F" w:rsidP="00BB060F">
      <w:pPr>
        <w:pStyle w:val="3-BodyText"/>
        <w:rPr>
          <w:snapToGrid w:val="0"/>
        </w:rPr>
      </w:pPr>
      <w:r w:rsidRPr="00F573A7">
        <w:rPr>
          <w:snapToGrid w:val="0"/>
        </w:rPr>
        <w:t>The PBAC noted and welcomed the input from individuals (7) and organisations (9) via the Consumer Comments facility on the PBS website</w:t>
      </w:r>
      <w:r w:rsidR="00F573A7">
        <w:rPr>
          <w:snapToGrid w:val="0"/>
        </w:rPr>
        <w:t xml:space="preserve">. </w:t>
      </w:r>
      <w:r w:rsidRPr="00F573A7">
        <w:rPr>
          <w:snapToGrid w:val="0"/>
        </w:rPr>
        <w:t xml:space="preserve">The individual comments were strongly supportive of the proposed PBS listing and </w:t>
      </w:r>
      <w:r w:rsidRPr="00796ADA">
        <w:rPr>
          <w:snapToGrid w:val="0"/>
        </w:rPr>
        <w:t xml:space="preserve">described </w:t>
      </w:r>
      <w:r w:rsidRPr="00F573A7">
        <w:rPr>
          <w:snapToGrid w:val="0"/>
        </w:rPr>
        <w:t xml:space="preserve">the unmet clinical need for patients with m0CRPC. </w:t>
      </w:r>
    </w:p>
    <w:p w:rsidR="00BB060F" w:rsidRPr="00F573A7" w:rsidRDefault="00BB060F" w:rsidP="00BB060F">
      <w:pPr>
        <w:pStyle w:val="3-BodyText"/>
        <w:rPr>
          <w:rFonts w:cs="Calibri"/>
          <w:bCs/>
          <w:snapToGrid w:val="0"/>
        </w:rPr>
      </w:pPr>
      <w:r w:rsidRPr="00F573A7">
        <w:rPr>
          <w:snapToGrid w:val="0"/>
        </w:rPr>
        <w:t>The PBAC noted the advice received from the Prostate Cancer Foundation of Australia, the Prostate Cancer Support Group - Hastings, the Bathurst District Prostate Cancer Support Group, the South Eastern Prostate Cancer Support Group - Melbourne, the Tamworth and District Prostate Cancer Support Group, the Geelong Prostate Support Group, the Kalamunda (WA) Prostate Cancer Support Group and the Nepean and Blue Mountains Prostate Cancer Support Group. The PBAC noted that the organisations supported the proposed PBS listing and described the benefits of darolutamide treatment</w:t>
      </w:r>
      <w:r w:rsidR="00F573A7">
        <w:rPr>
          <w:snapToGrid w:val="0"/>
        </w:rPr>
        <w:t xml:space="preserve">. </w:t>
      </w:r>
    </w:p>
    <w:p w:rsidR="00BB060F" w:rsidRPr="00F573A7" w:rsidRDefault="00BB060F" w:rsidP="00BB060F">
      <w:pPr>
        <w:pStyle w:val="3-BodyText"/>
        <w:rPr>
          <w:rFonts w:cs="Calibri"/>
          <w:bCs/>
          <w:snapToGrid w:val="0"/>
        </w:rPr>
      </w:pPr>
      <w:r w:rsidRPr="00F573A7">
        <w:rPr>
          <w:snapToGrid w:val="0"/>
        </w:rPr>
        <w:t>The Medical Oncology Group of Australia (MOGA) also expressed its strong support for the darolutamide submission, categorising it as one of the therapies of “high priority for PBS listing” on the basis of the ARAMIS trial. The PBAC noted that the MOGA presented a European Society for Medical Oncology Magnitude of Clinical Benefit Scale (ESMO-MCBS) for darolutamide, which was limited to 3 (out of a maximum of 5, where 5 and 4 represent the grades with substantial improvement)</w:t>
      </w:r>
      <w:r w:rsidRPr="00796ADA">
        <w:rPr>
          <w:snapToGrid w:val="0"/>
          <w:vertAlign w:val="superscript"/>
        </w:rPr>
        <w:t>[1]</w:t>
      </w:r>
      <w:r w:rsidRPr="00F573A7">
        <w:rPr>
          <w:snapToGrid w:val="0"/>
        </w:rPr>
        <w:t xml:space="preserve">, based on a comparison with placebo + ADT. </w:t>
      </w:r>
    </w:p>
    <w:bookmarkEnd w:id="0"/>
    <w:p w:rsidR="00F627C7" w:rsidRPr="00F573A7" w:rsidRDefault="00F627C7" w:rsidP="0063031C">
      <w:pPr>
        <w:pStyle w:val="4-SubsectionHeading"/>
      </w:pPr>
      <w:r w:rsidRPr="00F573A7">
        <w:t>Economic analysis</w:t>
      </w:r>
    </w:p>
    <w:p w:rsidR="00F627C7" w:rsidRPr="00F573A7" w:rsidRDefault="00A96488" w:rsidP="00F627C7">
      <w:pPr>
        <w:pStyle w:val="3-BodyText"/>
      </w:pPr>
      <w:r>
        <w:t>The sponsor provided an updated cost effectiveness analysis comparing darolutamide with SOC that proposed an effective approved ex-manufacturer price (AEMP) of $</w:t>
      </w:r>
      <w:r w:rsidR="004B7986">
        <w:rPr>
          <w:noProof/>
          <w:color w:val="000000"/>
          <w:highlight w:val="black"/>
        </w:rPr>
        <w:t>''''''''''''''''</w:t>
      </w:r>
      <w:r>
        <w:t>, which was a 12% reduction from the Mar</w:t>
      </w:r>
      <w:r w:rsidR="00AF1650">
        <w:t>ch</w:t>
      </w:r>
      <w:r>
        <w:t xml:space="preserve"> 2021 proposed AEMP of $</w:t>
      </w:r>
      <w:r w:rsidR="004B7986">
        <w:rPr>
          <w:noProof/>
          <w:color w:val="000000"/>
          <w:highlight w:val="black"/>
        </w:rPr>
        <w:t>'''''''''''''''''</w:t>
      </w:r>
      <w:r w:rsidR="00BA5ADD">
        <w:t xml:space="preserve"> </w:t>
      </w:r>
      <w:r>
        <w:t xml:space="preserve">. </w:t>
      </w:r>
    </w:p>
    <w:p w:rsidR="00F21945" w:rsidRPr="00F573A7" w:rsidRDefault="00E32D77" w:rsidP="009F5BF9">
      <w:pPr>
        <w:pStyle w:val="3-BodyText"/>
      </w:pPr>
      <w:r w:rsidRPr="00796ADA">
        <w:t xml:space="preserve">The early-re-entry submission used the </w:t>
      </w:r>
      <w:r w:rsidR="001D0D16" w:rsidRPr="00796ADA">
        <w:t xml:space="preserve">multivariate </w:t>
      </w:r>
      <w:r w:rsidRPr="00F573A7">
        <w:t>sensitivity analysis</w:t>
      </w:r>
      <w:r w:rsidR="001D0D16" w:rsidRPr="00F573A7">
        <w:t xml:space="preserve"> prop</w:t>
      </w:r>
      <w:r w:rsidR="00E678D5" w:rsidRPr="00F573A7">
        <w:t>os</w:t>
      </w:r>
      <w:r w:rsidR="001D0D16" w:rsidRPr="00F573A7">
        <w:t>ed in the pre-PBAC response to the March 2021 PBAC meeting as the base case. This applied a m</w:t>
      </w:r>
      <w:r w:rsidR="009463A2" w:rsidRPr="00F573A7">
        <w:t xml:space="preserve">etastatic </w:t>
      </w:r>
      <w:r w:rsidR="001D0D16" w:rsidRPr="00F573A7">
        <w:t>CRPC</w:t>
      </w:r>
      <w:r w:rsidR="009463A2" w:rsidRPr="00F573A7">
        <w:t xml:space="preserve"> (mCRPC)</w:t>
      </w:r>
      <w:r w:rsidR="001D0D16" w:rsidRPr="00F573A7">
        <w:t xml:space="preserve"> utility of 0.635, Kaplan Meier data until approximately 20% of patients remained at risk and a </w:t>
      </w:r>
      <w:r w:rsidR="00F573A7" w:rsidRPr="00F573A7">
        <w:t>10-year</w:t>
      </w:r>
      <w:r w:rsidR="001D0D16" w:rsidRPr="00F573A7">
        <w:t xml:space="preserve"> time horizon </w:t>
      </w:r>
      <w:r w:rsidR="00796ADA">
        <w:t xml:space="preserve">that </w:t>
      </w:r>
      <w:r w:rsidR="001D0D16" w:rsidRPr="00796ADA">
        <w:t xml:space="preserve">resulted in an ICER of </w:t>
      </w:r>
      <w:r w:rsidR="009F5BF9" w:rsidRPr="009F5BF9">
        <w:t>$45,000 to &lt; $55,000</w:t>
      </w:r>
      <w:r w:rsidR="009F5BF9">
        <w:t xml:space="preserve"> </w:t>
      </w:r>
      <w:r w:rsidR="001D0D16" w:rsidRPr="00796ADA">
        <w:t>per QALY. Reduction of the proposed effective AEMP</w:t>
      </w:r>
      <w:r w:rsidR="009463A2" w:rsidRPr="00F573A7">
        <w:t xml:space="preserve"> </w:t>
      </w:r>
      <w:r w:rsidR="001D0D16" w:rsidRPr="00F573A7">
        <w:t>from $</w:t>
      </w:r>
      <w:r w:rsidR="004B7986">
        <w:rPr>
          <w:noProof/>
          <w:color w:val="000000"/>
          <w:highlight w:val="black"/>
        </w:rPr>
        <w:t>''''''''''''''''''</w:t>
      </w:r>
      <w:r w:rsidR="001D0D16" w:rsidRPr="00F573A7">
        <w:t xml:space="preserve"> to $</w:t>
      </w:r>
      <w:r w:rsidR="004B7986">
        <w:rPr>
          <w:noProof/>
          <w:color w:val="000000"/>
          <w:highlight w:val="black"/>
        </w:rPr>
        <w:t>'''''''''''''''</w:t>
      </w:r>
      <w:r w:rsidR="00296834" w:rsidRPr="00F573A7">
        <w:t xml:space="preserve"> </w:t>
      </w:r>
      <w:r w:rsidR="001D0D16" w:rsidRPr="00F573A7">
        <w:t xml:space="preserve">resulted in an ICER of </w:t>
      </w:r>
      <w:r w:rsidR="009F5BF9" w:rsidRPr="009F5BF9">
        <w:t>$35,000 to &lt; $45,000</w:t>
      </w:r>
      <w:r w:rsidR="009F5BF9">
        <w:t xml:space="preserve"> </w:t>
      </w:r>
      <w:r w:rsidR="001D0D16" w:rsidRPr="00F573A7">
        <w:t>per QALY.</w:t>
      </w:r>
    </w:p>
    <w:p w:rsidR="00F9612E" w:rsidRPr="00F573A7" w:rsidRDefault="00F9612E" w:rsidP="00F627C7">
      <w:pPr>
        <w:pStyle w:val="3-BodyText"/>
      </w:pPr>
      <w:r w:rsidRPr="00F573A7">
        <w:t>The model presented in the early re-entry submission again applied a utility value to the mCRPC health state (0.635) which was considerably lower than that applied in the apalutamide model</w:t>
      </w:r>
      <w:r w:rsidR="002B0BDD" w:rsidRPr="00F573A7">
        <w:t xml:space="preserve"> (0.721). The estimated QALY gains for darolutamide (0.76) remained substantially higher that estimated for apalutamide (0.49). In March 2021</w:t>
      </w:r>
      <w:r w:rsidR="00796ADA">
        <w:t>,</w:t>
      </w:r>
      <w:r w:rsidR="002B0BDD" w:rsidRPr="00796ADA">
        <w:t xml:space="preserve"> the PBAC considered that the QALY gains obtained fro</w:t>
      </w:r>
      <w:r w:rsidR="002B0BDD" w:rsidRPr="00F573A7">
        <w:t xml:space="preserve">m the darolutamide model were overestimated (paragraph 7.10, darolutamide </w:t>
      </w:r>
      <w:r w:rsidR="007D33DD">
        <w:t>Public Summary Document (PSD)</w:t>
      </w:r>
      <w:r w:rsidR="002B0BDD" w:rsidRPr="00F573A7">
        <w:t>, March 2021).</w:t>
      </w:r>
    </w:p>
    <w:p w:rsidR="00E678D5" w:rsidRPr="00F573A7" w:rsidRDefault="00E678D5" w:rsidP="00E678D5">
      <w:pPr>
        <w:pStyle w:val="TableText"/>
        <w:rPr>
          <w:b/>
        </w:rPr>
      </w:pPr>
      <w:r w:rsidRPr="00F573A7">
        <w:rPr>
          <w:b/>
        </w:rPr>
        <w:t xml:space="preserve">Table </w:t>
      </w:r>
      <w:r w:rsidR="0006229B" w:rsidRPr="00F573A7">
        <w:rPr>
          <w:b/>
        </w:rPr>
        <w:t>4</w:t>
      </w:r>
      <w:r w:rsidRPr="00F573A7">
        <w:rPr>
          <w:b/>
        </w:rPr>
        <w:t>: Results of the economic evaluation</w:t>
      </w:r>
    </w:p>
    <w:tbl>
      <w:tblPr>
        <w:tblStyle w:val="TableGrid"/>
        <w:tblW w:w="0" w:type="auto"/>
        <w:tblLook w:val="04A0" w:firstRow="1" w:lastRow="0" w:firstColumn="1" w:lastColumn="0" w:noHBand="0" w:noVBand="1"/>
        <w:tblCaption w:val="Table 4: Results of the economic evaluation"/>
      </w:tblPr>
      <w:tblGrid>
        <w:gridCol w:w="4390"/>
        <w:gridCol w:w="1559"/>
        <w:gridCol w:w="1843"/>
        <w:gridCol w:w="1224"/>
      </w:tblGrid>
      <w:tr w:rsidR="001D0D16" w:rsidRPr="00F573A7" w:rsidTr="003D67B6">
        <w:trPr>
          <w:tblHeader/>
        </w:trPr>
        <w:tc>
          <w:tcPr>
            <w:tcW w:w="4390" w:type="dxa"/>
            <w:tcMar>
              <w:left w:w="28" w:type="dxa"/>
              <w:right w:w="28" w:type="dxa"/>
            </w:tcMar>
          </w:tcPr>
          <w:p w:rsidR="001D0D16" w:rsidRPr="00F573A7" w:rsidRDefault="001D0D16" w:rsidP="001D0D16">
            <w:pPr>
              <w:pStyle w:val="TableText"/>
            </w:pPr>
          </w:p>
        </w:tc>
        <w:tc>
          <w:tcPr>
            <w:tcW w:w="1559" w:type="dxa"/>
            <w:tcMar>
              <w:left w:w="28" w:type="dxa"/>
              <w:right w:w="28" w:type="dxa"/>
            </w:tcMar>
          </w:tcPr>
          <w:p w:rsidR="001D0D16" w:rsidRPr="00F573A7" w:rsidRDefault="001D0D16" w:rsidP="001D0D16">
            <w:pPr>
              <w:pStyle w:val="TableText"/>
              <w:jc w:val="center"/>
              <w:rPr>
                <w:b/>
              </w:rPr>
            </w:pPr>
            <w:r w:rsidRPr="00F573A7">
              <w:rPr>
                <w:b/>
              </w:rPr>
              <w:t>Incremental cost</w:t>
            </w:r>
          </w:p>
        </w:tc>
        <w:tc>
          <w:tcPr>
            <w:tcW w:w="1843" w:type="dxa"/>
            <w:tcMar>
              <w:left w:w="28" w:type="dxa"/>
              <w:right w:w="28" w:type="dxa"/>
            </w:tcMar>
          </w:tcPr>
          <w:p w:rsidR="001D0D16" w:rsidRPr="00F573A7" w:rsidRDefault="001D0D16" w:rsidP="001D0D16">
            <w:pPr>
              <w:pStyle w:val="TableText"/>
              <w:jc w:val="center"/>
              <w:rPr>
                <w:b/>
              </w:rPr>
            </w:pPr>
            <w:r w:rsidRPr="00F573A7">
              <w:rPr>
                <w:b/>
              </w:rPr>
              <w:t>Incremental QALYs</w:t>
            </w:r>
          </w:p>
        </w:tc>
        <w:tc>
          <w:tcPr>
            <w:tcW w:w="1224" w:type="dxa"/>
            <w:tcMar>
              <w:left w:w="28" w:type="dxa"/>
              <w:right w:w="28" w:type="dxa"/>
            </w:tcMar>
          </w:tcPr>
          <w:p w:rsidR="001D0D16" w:rsidRPr="00F573A7" w:rsidRDefault="001D0D16" w:rsidP="001D0D16">
            <w:pPr>
              <w:pStyle w:val="TableText"/>
              <w:jc w:val="center"/>
              <w:rPr>
                <w:b/>
              </w:rPr>
            </w:pPr>
            <w:r w:rsidRPr="00F573A7">
              <w:rPr>
                <w:b/>
              </w:rPr>
              <w:t>ICER</w:t>
            </w:r>
          </w:p>
        </w:tc>
      </w:tr>
      <w:tr w:rsidR="001D0D16" w:rsidRPr="00F573A7" w:rsidTr="00E678D5">
        <w:tc>
          <w:tcPr>
            <w:tcW w:w="4390" w:type="dxa"/>
            <w:tcMar>
              <w:left w:w="28" w:type="dxa"/>
              <w:right w:w="28" w:type="dxa"/>
            </w:tcMar>
          </w:tcPr>
          <w:p w:rsidR="001D0D16" w:rsidRPr="00F573A7" w:rsidRDefault="001D0D16" w:rsidP="001D0D16">
            <w:pPr>
              <w:pStyle w:val="TableText"/>
            </w:pPr>
            <w:r w:rsidRPr="00F573A7">
              <w:t>July 2021: AEMP = $</w:t>
            </w:r>
            <w:r w:rsidR="004B7986">
              <w:rPr>
                <w:noProof/>
                <w:color w:val="000000"/>
                <w:highlight w:val="black"/>
              </w:rPr>
              <w:t>'''''''''''''''''''</w:t>
            </w:r>
          </w:p>
        </w:tc>
        <w:tc>
          <w:tcPr>
            <w:tcW w:w="1559" w:type="dxa"/>
            <w:tcMar>
              <w:left w:w="28" w:type="dxa"/>
              <w:right w:w="28" w:type="dxa"/>
            </w:tcMar>
          </w:tcPr>
          <w:p w:rsidR="001D0D16" w:rsidRPr="00F573A7" w:rsidRDefault="001D0D16" w:rsidP="001D0D16">
            <w:pPr>
              <w:pStyle w:val="TableText"/>
              <w:jc w:val="center"/>
              <w:rPr>
                <w:b/>
              </w:rPr>
            </w:pPr>
            <w:r w:rsidRPr="00F573A7">
              <w:rPr>
                <w:b/>
              </w:rPr>
              <w:t>$</w:t>
            </w:r>
            <w:r w:rsidR="004B7986">
              <w:rPr>
                <w:b/>
                <w:noProof/>
                <w:color w:val="000000"/>
                <w:highlight w:val="black"/>
              </w:rPr>
              <w:t>'''''''''''''''</w:t>
            </w:r>
          </w:p>
        </w:tc>
        <w:tc>
          <w:tcPr>
            <w:tcW w:w="1843" w:type="dxa"/>
            <w:tcMar>
              <w:left w:w="28" w:type="dxa"/>
              <w:right w:w="28" w:type="dxa"/>
            </w:tcMar>
          </w:tcPr>
          <w:p w:rsidR="001D0D16" w:rsidRPr="00F573A7" w:rsidRDefault="001D0D16" w:rsidP="001D0D16">
            <w:pPr>
              <w:pStyle w:val="TableText"/>
              <w:jc w:val="center"/>
              <w:rPr>
                <w:b/>
              </w:rPr>
            </w:pPr>
            <w:r w:rsidRPr="00F573A7">
              <w:rPr>
                <w:b/>
              </w:rPr>
              <w:t>0.76</w:t>
            </w:r>
          </w:p>
        </w:tc>
        <w:tc>
          <w:tcPr>
            <w:tcW w:w="1224" w:type="dxa"/>
            <w:tcMar>
              <w:left w:w="28" w:type="dxa"/>
              <w:right w:w="28" w:type="dxa"/>
            </w:tcMar>
          </w:tcPr>
          <w:p w:rsidR="001D0D16" w:rsidRPr="00F573A7" w:rsidRDefault="001D0D16" w:rsidP="001D0D16">
            <w:pPr>
              <w:pStyle w:val="TableText"/>
              <w:jc w:val="center"/>
              <w:rPr>
                <w:b/>
              </w:rPr>
            </w:pPr>
            <w:r w:rsidRPr="00F573A7">
              <w:rPr>
                <w:b/>
              </w:rPr>
              <w:t>$</w:t>
            </w:r>
            <w:r w:rsidR="004B7986">
              <w:rPr>
                <w:b/>
                <w:noProof/>
                <w:color w:val="000000"/>
                <w:highlight w:val="black"/>
              </w:rPr>
              <w:t>'''''''''''''</w:t>
            </w:r>
            <w:r w:rsidR="00E678D5" w:rsidRPr="00F573A7">
              <w:rPr>
                <w:b/>
              </w:rPr>
              <w:t>*</w:t>
            </w:r>
            <w:r w:rsidR="009F5BF9" w:rsidRPr="000E7FF4">
              <w:rPr>
                <w:b/>
                <w:vertAlign w:val="superscript"/>
              </w:rPr>
              <w:t>,1</w:t>
            </w:r>
          </w:p>
        </w:tc>
      </w:tr>
      <w:tr w:rsidR="001D0D16" w:rsidRPr="00F573A7" w:rsidTr="00E678D5">
        <w:tc>
          <w:tcPr>
            <w:tcW w:w="4390" w:type="dxa"/>
            <w:tcMar>
              <w:left w:w="28" w:type="dxa"/>
              <w:right w:w="28" w:type="dxa"/>
            </w:tcMar>
          </w:tcPr>
          <w:p w:rsidR="001D0D16" w:rsidRPr="00F573A7" w:rsidRDefault="001D0D16" w:rsidP="001D0D16">
            <w:pPr>
              <w:pStyle w:val="TableText"/>
            </w:pPr>
            <w:r w:rsidRPr="00F573A7">
              <w:t>March 2021, pre-PBAC response: AEMP = $</w:t>
            </w:r>
            <w:r w:rsidR="004B7986">
              <w:rPr>
                <w:noProof/>
                <w:color w:val="000000"/>
                <w:highlight w:val="black"/>
              </w:rPr>
              <w:t>'''''''''''''''''''''</w:t>
            </w:r>
          </w:p>
        </w:tc>
        <w:tc>
          <w:tcPr>
            <w:tcW w:w="1559" w:type="dxa"/>
            <w:tcMar>
              <w:left w:w="28" w:type="dxa"/>
              <w:right w:w="28" w:type="dxa"/>
            </w:tcMar>
          </w:tcPr>
          <w:p w:rsidR="001D0D16" w:rsidRPr="00F573A7" w:rsidRDefault="001D0D16" w:rsidP="001D0D16">
            <w:pPr>
              <w:pStyle w:val="TableText"/>
              <w:jc w:val="center"/>
              <w:rPr>
                <w:b/>
              </w:rPr>
            </w:pPr>
            <w:r w:rsidRPr="00F573A7">
              <w:rPr>
                <w:b/>
              </w:rPr>
              <w:t>$</w:t>
            </w:r>
            <w:r w:rsidR="004B7986">
              <w:rPr>
                <w:b/>
                <w:noProof/>
                <w:color w:val="000000"/>
                <w:highlight w:val="black"/>
              </w:rPr>
              <w:t>''''''''''''''</w:t>
            </w:r>
          </w:p>
        </w:tc>
        <w:tc>
          <w:tcPr>
            <w:tcW w:w="1843" w:type="dxa"/>
            <w:tcMar>
              <w:left w:w="28" w:type="dxa"/>
              <w:right w:w="28" w:type="dxa"/>
            </w:tcMar>
          </w:tcPr>
          <w:p w:rsidR="001D0D16" w:rsidRPr="00F573A7" w:rsidRDefault="001D0D16" w:rsidP="001D0D16">
            <w:pPr>
              <w:pStyle w:val="TableText"/>
              <w:jc w:val="center"/>
              <w:rPr>
                <w:b/>
              </w:rPr>
            </w:pPr>
            <w:r w:rsidRPr="00F573A7">
              <w:rPr>
                <w:b/>
              </w:rPr>
              <w:t>0.76</w:t>
            </w:r>
          </w:p>
        </w:tc>
        <w:tc>
          <w:tcPr>
            <w:tcW w:w="1224" w:type="dxa"/>
            <w:tcMar>
              <w:left w:w="28" w:type="dxa"/>
              <w:right w:w="28" w:type="dxa"/>
            </w:tcMar>
          </w:tcPr>
          <w:p w:rsidR="001D0D16" w:rsidRPr="000E7FF4" w:rsidRDefault="001D0D16" w:rsidP="001D0D16">
            <w:pPr>
              <w:pStyle w:val="TableText"/>
              <w:jc w:val="center"/>
              <w:rPr>
                <w:b/>
                <w:vertAlign w:val="superscript"/>
              </w:rPr>
            </w:pPr>
            <w:r w:rsidRPr="00F573A7">
              <w:rPr>
                <w:b/>
              </w:rPr>
              <w:t>$</w:t>
            </w:r>
            <w:r w:rsidR="004B7986">
              <w:rPr>
                <w:b/>
                <w:noProof/>
                <w:color w:val="000000"/>
                <w:highlight w:val="black"/>
              </w:rPr>
              <w:t>'''''''''''''''</w:t>
            </w:r>
            <w:r w:rsidR="009F5BF9" w:rsidRPr="000E7FF4">
              <w:rPr>
                <w:b/>
                <w:vertAlign w:val="superscript"/>
              </w:rPr>
              <w:t>2</w:t>
            </w:r>
          </w:p>
        </w:tc>
      </w:tr>
    </w:tbl>
    <w:p w:rsidR="001D0D16" w:rsidRPr="00F573A7" w:rsidRDefault="00E678D5" w:rsidP="00E678D5">
      <w:pPr>
        <w:pStyle w:val="3-BodyText"/>
        <w:numPr>
          <w:ilvl w:val="0"/>
          <w:numId w:val="0"/>
        </w:numPr>
        <w:spacing w:after="0"/>
        <w:rPr>
          <w:rFonts w:ascii="Arial Narrow" w:hAnsi="Arial Narrow"/>
          <w:sz w:val="18"/>
          <w:szCs w:val="18"/>
        </w:rPr>
      </w:pPr>
      <w:r w:rsidRPr="00F573A7">
        <w:rPr>
          <w:rFonts w:ascii="Arial Narrow" w:hAnsi="Arial Narrow"/>
          <w:sz w:val="18"/>
          <w:szCs w:val="18"/>
        </w:rPr>
        <w:t xml:space="preserve">AEMP = approved ex-manufacturer price; </w:t>
      </w:r>
      <w:r w:rsidR="00935BBA" w:rsidRPr="00F573A7">
        <w:rPr>
          <w:rFonts w:ascii="Arial Narrow" w:hAnsi="Arial Narrow"/>
          <w:sz w:val="18"/>
          <w:szCs w:val="18"/>
        </w:rPr>
        <w:t xml:space="preserve">DPMQ = dispensed price for maximum quantity; </w:t>
      </w:r>
      <w:r w:rsidRPr="00F573A7">
        <w:rPr>
          <w:rFonts w:ascii="Arial Narrow" w:hAnsi="Arial Narrow"/>
          <w:sz w:val="18"/>
          <w:szCs w:val="18"/>
        </w:rPr>
        <w:t>ICER = incremental cost-effectiveness ratio; PBAC = Pharmaceutical Benefits Advisory Committee; QALY = quality adjusted life year</w:t>
      </w:r>
    </w:p>
    <w:p w:rsidR="00E678D5" w:rsidRPr="00F573A7" w:rsidRDefault="00E678D5" w:rsidP="00E678D5">
      <w:pPr>
        <w:pStyle w:val="3-BodyText"/>
        <w:numPr>
          <w:ilvl w:val="0"/>
          <w:numId w:val="0"/>
        </w:numPr>
        <w:spacing w:after="0"/>
        <w:rPr>
          <w:rFonts w:ascii="Arial Narrow" w:hAnsi="Arial Narrow"/>
          <w:sz w:val="18"/>
          <w:szCs w:val="18"/>
        </w:rPr>
      </w:pPr>
      <w:r w:rsidRPr="00F573A7">
        <w:rPr>
          <w:rFonts w:ascii="Arial Narrow" w:hAnsi="Arial Narrow"/>
          <w:sz w:val="18"/>
          <w:szCs w:val="18"/>
        </w:rPr>
        <w:t>* The DPMQs of enzalutamide and abiraterone were also updated to reflect changes to fees applied</w:t>
      </w:r>
      <w:r w:rsidR="00935BBA" w:rsidRPr="00F573A7">
        <w:rPr>
          <w:rFonts w:ascii="Arial Narrow" w:hAnsi="Arial Narrow"/>
          <w:sz w:val="18"/>
          <w:szCs w:val="18"/>
        </w:rPr>
        <w:t xml:space="preserve"> </w:t>
      </w:r>
    </w:p>
    <w:p w:rsidR="009F5BF9" w:rsidRPr="009A6D58" w:rsidRDefault="009F5BF9" w:rsidP="009F5BF9">
      <w:pPr>
        <w:rPr>
          <w:rFonts w:ascii="Arial Narrow" w:hAnsi="Arial Narrow" w:cs="Arial"/>
          <w:i/>
          <w:sz w:val="18"/>
          <w:szCs w:val="18"/>
        </w:rPr>
      </w:pPr>
      <w:r w:rsidRPr="009A6D58">
        <w:rPr>
          <w:rFonts w:ascii="Arial Narrow" w:hAnsi="Arial Narrow" w:cs="Arial"/>
          <w:i/>
          <w:sz w:val="18"/>
          <w:szCs w:val="18"/>
        </w:rPr>
        <w:t xml:space="preserve">The redacted values correspond to the following ranges: </w:t>
      </w:r>
    </w:p>
    <w:p w:rsidR="009F5BF9" w:rsidRPr="009A6D58" w:rsidRDefault="009F5BF9" w:rsidP="009F5BF9">
      <w:pPr>
        <w:rPr>
          <w:rFonts w:ascii="Arial Narrow" w:hAnsi="Arial Narrow" w:cs="Arial"/>
          <w:i/>
          <w:sz w:val="18"/>
          <w:szCs w:val="18"/>
        </w:rPr>
      </w:pPr>
      <w:r w:rsidRPr="009A6D58">
        <w:rPr>
          <w:rFonts w:ascii="Arial Narrow" w:hAnsi="Arial Narrow" w:cs="Arial"/>
          <w:i/>
          <w:sz w:val="18"/>
          <w:szCs w:val="18"/>
          <w:vertAlign w:val="superscript"/>
        </w:rPr>
        <w:t>1</w:t>
      </w:r>
      <w:r>
        <w:rPr>
          <w:rFonts w:ascii="Arial Narrow" w:hAnsi="Arial Narrow" w:cs="Arial"/>
          <w:i/>
          <w:sz w:val="18"/>
          <w:szCs w:val="18"/>
        </w:rPr>
        <w:t xml:space="preserve"> </w:t>
      </w:r>
      <w:r w:rsidRPr="009F5BF9">
        <w:rPr>
          <w:rFonts w:ascii="Arial Narrow" w:hAnsi="Arial Narrow" w:cs="Arial"/>
          <w:i/>
          <w:sz w:val="18"/>
          <w:szCs w:val="18"/>
        </w:rPr>
        <w:t>$35,000 to &lt; $45,000</w:t>
      </w:r>
    </w:p>
    <w:p w:rsidR="001D0D16" w:rsidRPr="000E7FF4" w:rsidRDefault="009F5BF9" w:rsidP="00296834">
      <w:pPr>
        <w:rPr>
          <w:rFonts w:ascii="Arial Narrow" w:hAnsi="Arial Narrow" w:cs="Arial"/>
          <w:i/>
          <w:sz w:val="18"/>
          <w:szCs w:val="18"/>
        </w:rPr>
      </w:pPr>
      <w:r w:rsidRPr="009A6D58">
        <w:rPr>
          <w:rFonts w:ascii="Arial Narrow" w:hAnsi="Arial Narrow" w:cs="Arial"/>
          <w:i/>
          <w:sz w:val="18"/>
          <w:szCs w:val="18"/>
          <w:vertAlign w:val="superscript"/>
        </w:rPr>
        <w:t>2</w:t>
      </w:r>
      <w:r>
        <w:rPr>
          <w:rFonts w:ascii="Arial Narrow" w:hAnsi="Arial Narrow" w:cs="Arial"/>
          <w:i/>
          <w:sz w:val="18"/>
          <w:szCs w:val="18"/>
        </w:rPr>
        <w:t xml:space="preserve"> </w:t>
      </w:r>
      <w:r w:rsidRPr="009F5BF9">
        <w:rPr>
          <w:rFonts w:ascii="Arial Narrow" w:hAnsi="Arial Narrow" w:cs="Arial"/>
          <w:i/>
          <w:sz w:val="18"/>
          <w:szCs w:val="18"/>
        </w:rPr>
        <w:t>$45,000 to &lt; $55,000</w:t>
      </w:r>
    </w:p>
    <w:p w:rsidR="002F3A7C" w:rsidRPr="00F573A7" w:rsidRDefault="002F3A7C" w:rsidP="0006229B">
      <w:pPr>
        <w:pStyle w:val="4-SubsectionHeading"/>
        <w:keepNext/>
      </w:pPr>
      <w:r w:rsidRPr="00F573A7">
        <w:t>Estimated PBS usage &amp; financial implications</w:t>
      </w:r>
    </w:p>
    <w:p w:rsidR="004D0904" w:rsidRPr="00796ADA" w:rsidRDefault="008A71CB" w:rsidP="0006229B">
      <w:pPr>
        <w:pStyle w:val="3-BodyText"/>
        <w:keepNext/>
        <w:rPr>
          <w:i/>
        </w:rPr>
      </w:pPr>
      <w:r w:rsidRPr="00F573A7">
        <w:t xml:space="preserve">Updated utilisation and financial estimates </w:t>
      </w:r>
      <w:r w:rsidR="00A24AE7" w:rsidRPr="00F573A7">
        <w:t>were</w:t>
      </w:r>
      <w:r w:rsidRPr="00F573A7">
        <w:t xml:space="preserve"> provided which omit</w:t>
      </w:r>
      <w:r w:rsidR="00A24AE7" w:rsidRPr="00F573A7">
        <w:t>ted</w:t>
      </w:r>
      <w:r w:rsidRPr="00F573A7">
        <w:t xml:space="preserve"> the clinical criteria from the proposed restriction that ‘Patient must not have distant metastases on conventional imaging’. The early re-entry submission present</w:t>
      </w:r>
      <w:r w:rsidR="00A24AE7" w:rsidRPr="00F573A7">
        <w:t>ed</w:t>
      </w:r>
      <w:r w:rsidRPr="00F573A7">
        <w:t xml:space="preserve"> estimates that also account</w:t>
      </w:r>
      <w:r w:rsidR="00F518DA" w:rsidRPr="00F573A7">
        <w:t>ed</w:t>
      </w:r>
      <w:r w:rsidRPr="00F573A7">
        <w:t xml:space="preserve"> for an expected increase in PSMA</w:t>
      </w:r>
      <w:r w:rsidR="009463A2" w:rsidRPr="00F573A7">
        <w:t xml:space="preserve"> </w:t>
      </w:r>
      <w:r w:rsidRPr="00F573A7">
        <w:t>PET imaging</w:t>
      </w:r>
      <w:r w:rsidR="00CD1CE0" w:rsidRPr="00F573A7">
        <w:t>.</w:t>
      </w:r>
      <w:r w:rsidR="00261208" w:rsidRPr="00F573A7">
        <w:t xml:space="preserve"> The early re-entry submission state</w:t>
      </w:r>
      <w:r w:rsidR="00A24AE7" w:rsidRPr="00F573A7">
        <w:t>d</w:t>
      </w:r>
      <w:r w:rsidR="00261208" w:rsidRPr="00F573A7">
        <w:t xml:space="preserve"> that </w:t>
      </w:r>
      <w:r w:rsidR="004D0904" w:rsidRPr="00F573A7">
        <w:t>these changes ha</w:t>
      </w:r>
      <w:r w:rsidR="00F518DA" w:rsidRPr="00F573A7">
        <w:t>d</w:t>
      </w:r>
      <w:r w:rsidR="004D0904" w:rsidRPr="00F573A7">
        <w:t xml:space="preserve"> two distinct consequences for the </w:t>
      </w:r>
      <w:r w:rsidR="00796ADA">
        <w:t>financial estimates</w:t>
      </w:r>
      <w:r w:rsidR="004D0904" w:rsidRPr="00796ADA">
        <w:t>:</w:t>
      </w:r>
    </w:p>
    <w:p w:rsidR="004D0904" w:rsidRPr="00F573A7" w:rsidRDefault="004D0904" w:rsidP="004D0904">
      <w:pPr>
        <w:pStyle w:val="3-BodyText"/>
        <w:numPr>
          <w:ilvl w:val="1"/>
          <w:numId w:val="16"/>
        </w:numPr>
        <w:ind w:left="1077" w:hanging="357"/>
        <w:rPr>
          <w:i/>
        </w:rPr>
      </w:pPr>
      <w:r w:rsidRPr="00F573A7">
        <w:rPr>
          <w:snapToGrid w:val="0"/>
        </w:rPr>
        <w:t>The patient po</w:t>
      </w:r>
      <w:r w:rsidR="004A3F6B" w:rsidRPr="00F573A7">
        <w:rPr>
          <w:snapToGrid w:val="0"/>
        </w:rPr>
        <w:t xml:space="preserve">pulation previously defined </w:t>
      </w:r>
      <w:r w:rsidR="009463A2" w:rsidRPr="00F573A7">
        <w:rPr>
          <w:snapToGrid w:val="0"/>
        </w:rPr>
        <w:t xml:space="preserve">m0CRPC </w:t>
      </w:r>
      <w:r w:rsidRPr="00F573A7">
        <w:rPr>
          <w:snapToGrid w:val="0"/>
        </w:rPr>
        <w:t>on the basis of no distant metastases on conventional imaging w</w:t>
      </w:r>
      <w:r w:rsidR="00296834" w:rsidRPr="00F573A7">
        <w:rPr>
          <w:snapToGrid w:val="0"/>
        </w:rPr>
        <w:t xml:space="preserve">as </w:t>
      </w:r>
      <w:r w:rsidRPr="00F573A7">
        <w:rPr>
          <w:snapToGrid w:val="0"/>
        </w:rPr>
        <w:t>re-classified based on uptake of PSMA</w:t>
      </w:r>
      <w:r w:rsidR="009463A2" w:rsidRPr="00F573A7">
        <w:rPr>
          <w:snapToGrid w:val="0"/>
        </w:rPr>
        <w:t>-</w:t>
      </w:r>
      <w:r w:rsidRPr="00F573A7">
        <w:rPr>
          <w:snapToGrid w:val="0"/>
        </w:rPr>
        <w:t xml:space="preserve">PET and </w:t>
      </w:r>
      <w:r w:rsidRPr="00F573A7">
        <w:t>the proportion of patients that have m</w:t>
      </w:r>
      <w:r w:rsidR="00905C39" w:rsidRPr="00F573A7">
        <w:t>etastase</w:t>
      </w:r>
      <w:r w:rsidRPr="00F573A7">
        <w:t>s detected on PSMA</w:t>
      </w:r>
      <w:r w:rsidR="009463A2" w:rsidRPr="00F573A7">
        <w:t>-</w:t>
      </w:r>
      <w:r w:rsidRPr="00F573A7">
        <w:t>PET but not on conventional imaging</w:t>
      </w:r>
      <w:r w:rsidR="00F3048D" w:rsidRPr="00F573A7">
        <w:t xml:space="preserve"> (i.e. the ‘CRPC; conventional imaging negative’ cohort)</w:t>
      </w:r>
      <w:r w:rsidRPr="00F573A7">
        <w:t xml:space="preserve">. </w:t>
      </w:r>
      <w:r w:rsidRPr="00F573A7">
        <w:rPr>
          <w:bCs/>
        </w:rPr>
        <w:t>The i</w:t>
      </w:r>
      <w:r w:rsidRPr="00F573A7">
        <w:rPr>
          <w:bCs/>
          <w:snapToGrid w:val="0"/>
        </w:rPr>
        <w:t>ncreased uptake of PSMA</w:t>
      </w:r>
      <w:r w:rsidR="009463A2" w:rsidRPr="00F573A7">
        <w:rPr>
          <w:bCs/>
          <w:snapToGrid w:val="0"/>
        </w:rPr>
        <w:t>-</w:t>
      </w:r>
      <w:r w:rsidRPr="00F573A7">
        <w:rPr>
          <w:bCs/>
          <w:snapToGrid w:val="0"/>
        </w:rPr>
        <w:t xml:space="preserve">PET in </w:t>
      </w:r>
      <w:r w:rsidR="00B80900" w:rsidRPr="00F573A7">
        <w:rPr>
          <w:bCs/>
          <w:snapToGrid w:val="0"/>
        </w:rPr>
        <w:t>m0</w:t>
      </w:r>
      <w:r w:rsidRPr="00F573A7">
        <w:rPr>
          <w:bCs/>
          <w:snapToGrid w:val="0"/>
        </w:rPr>
        <w:t>CRPC patients on conventional imaging d</w:t>
      </w:r>
      <w:r w:rsidR="00296834" w:rsidRPr="00F573A7">
        <w:rPr>
          <w:bCs/>
          <w:snapToGrid w:val="0"/>
        </w:rPr>
        <w:t>id</w:t>
      </w:r>
      <w:r w:rsidRPr="00F573A7">
        <w:rPr>
          <w:bCs/>
          <w:snapToGrid w:val="0"/>
        </w:rPr>
        <w:t xml:space="preserve"> not change epidemiological estimates of the number of eligible patients but d</w:t>
      </w:r>
      <w:r w:rsidR="00296834" w:rsidRPr="00F573A7">
        <w:rPr>
          <w:bCs/>
          <w:snapToGrid w:val="0"/>
        </w:rPr>
        <w:t>id</w:t>
      </w:r>
      <w:r w:rsidRPr="00F573A7">
        <w:rPr>
          <w:bCs/>
          <w:snapToGrid w:val="0"/>
        </w:rPr>
        <w:t xml:space="preserve"> impact the utilisation and financial impact of darolutamide due to the overlapping restriction with abiraterone and enzalutamide. </w:t>
      </w:r>
    </w:p>
    <w:p w:rsidR="004D0904" w:rsidRPr="00F573A7" w:rsidRDefault="004D0904" w:rsidP="00AE0F58">
      <w:pPr>
        <w:pStyle w:val="3-BodyText"/>
        <w:numPr>
          <w:ilvl w:val="1"/>
          <w:numId w:val="16"/>
        </w:numPr>
        <w:ind w:left="1077" w:hanging="357"/>
        <w:rPr>
          <w:i/>
        </w:rPr>
      </w:pPr>
      <w:r w:rsidRPr="00F573A7">
        <w:t>A population with distant metastases on conventional imaging, not previously considered eligible for darolutamide, w</w:t>
      </w:r>
      <w:r w:rsidR="00296834" w:rsidRPr="00F573A7">
        <w:t>as</w:t>
      </w:r>
      <w:r w:rsidRPr="00F573A7">
        <w:t xml:space="preserve"> now eligible</w:t>
      </w:r>
      <w:r w:rsidR="00F3048D" w:rsidRPr="00F573A7">
        <w:t xml:space="preserve"> (i.e. the ‘CRPC; conventional imaging positive’ cohort)</w:t>
      </w:r>
      <w:r w:rsidRPr="00F573A7">
        <w:t xml:space="preserve">. </w:t>
      </w:r>
      <w:r w:rsidR="00C876C2" w:rsidRPr="00F573A7">
        <w:t>T</w:t>
      </w:r>
      <w:r w:rsidRPr="00F573A7">
        <w:t xml:space="preserve">he PBAC </w:t>
      </w:r>
      <w:r w:rsidRPr="00F573A7">
        <w:rPr>
          <w:snapToGrid w:val="0"/>
        </w:rPr>
        <w:t>previously stated</w:t>
      </w:r>
      <w:r w:rsidRPr="00F573A7">
        <w:t xml:space="preserve">, “removal of the requirement for no distant metastases for access to darolutamide would increase the number of eligible patients; however, the increase in use would be offset by reduced use of abiraterone or enzalutamide” </w:t>
      </w:r>
      <w:r w:rsidRPr="00F573A7">
        <w:rPr>
          <w:snapToGrid w:val="0"/>
        </w:rPr>
        <w:t xml:space="preserve">(paragraph 7.15, darolutamide </w:t>
      </w:r>
      <w:r w:rsidR="007D33DD">
        <w:rPr>
          <w:snapToGrid w:val="0"/>
        </w:rPr>
        <w:t>PSD</w:t>
      </w:r>
      <w:r w:rsidRPr="00F573A7">
        <w:rPr>
          <w:snapToGrid w:val="0"/>
        </w:rPr>
        <w:t xml:space="preserve">, March 2021). </w:t>
      </w:r>
      <w:r w:rsidRPr="00F573A7">
        <w:rPr>
          <w:bCs/>
          <w:snapToGrid w:val="0"/>
        </w:rPr>
        <w:t>Therefore,</w:t>
      </w:r>
      <w:r w:rsidRPr="00F573A7">
        <w:rPr>
          <w:snapToGrid w:val="0"/>
        </w:rPr>
        <w:t xml:space="preserve"> </w:t>
      </w:r>
      <w:r w:rsidRPr="00F573A7">
        <w:rPr>
          <w:bCs/>
          <w:snapToGrid w:val="0"/>
        </w:rPr>
        <w:t xml:space="preserve">newly eligible patients with distant metastases detected on conventional imaging </w:t>
      </w:r>
      <w:r w:rsidR="00296834" w:rsidRPr="00F573A7">
        <w:rPr>
          <w:bCs/>
          <w:snapToGrid w:val="0"/>
        </w:rPr>
        <w:t>had</w:t>
      </w:r>
      <w:r w:rsidRPr="00F573A7">
        <w:rPr>
          <w:bCs/>
          <w:snapToGrid w:val="0"/>
        </w:rPr>
        <w:t xml:space="preserve"> almost no net financial impact to the PBAC.</w:t>
      </w:r>
    </w:p>
    <w:p w:rsidR="00F26186" w:rsidRPr="00F573A7" w:rsidRDefault="00F26186" w:rsidP="0006229B">
      <w:pPr>
        <w:pStyle w:val="TableFigureHeading"/>
      </w:pPr>
      <w:r w:rsidRPr="00F573A7">
        <w:t xml:space="preserve">Figure </w:t>
      </w:r>
      <w:r w:rsidR="0006229B" w:rsidRPr="00F573A7">
        <w:t>1</w:t>
      </w:r>
      <w:r w:rsidRPr="00F573A7">
        <w:t>: Patient population considered eligible for darolutamide</w:t>
      </w:r>
    </w:p>
    <w:p w:rsidR="00F26186" w:rsidRPr="00F573A7" w:rsidRDefault="00F26186" w:rsidP="0006229B">
      <w:pPr>
        <w:pStyle w:val="3-BodyText"/>
        <w:keepNext/>
        <w:numPr>
          <w:ilvl w:val="0"/>
          <w:numId w:val="0"/>
        </w:numPr>
        <w:rPr>
          <w:i/>
        </w:rPr>
      </w:pPr>
      <w:r w:rsidRPr="003D070A">
        <w:rPr>
          <w:noProof/>
        </w:rPr>
        <w:drawing>
          <wp:inline distT="0" distB="0" distL="0" distR="0" wp14:anchorId="0D048E12" wp14:editId="02CB0AC8">
            <wp:extent cx="3352800" cy="2843074"/>
            <wp:effectExtent l="0" t="0" r="0" b="0"/>
            <wp:docPr id="2" name="Picture 2" title="Figure 1: Patient population considered eligible for darolutam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361495" cy="2850447"/>
                    </a:xfrm>
                    <a:prstGeom prst="rect">
                      <a:avLst/>
                    </a:prstGeom>
                  </pic:spPr>
                </pic:pic>
              </a:graphicData>
            </a:graphic>
          </wp:inline>
        </w:drawing>
      </w:r>
    </w:p>
    <w:p w:rsidR="00F26186" w:rsidRPr="00F573A7" w:rsidRDefault="00F26186" w:rsidP="0006229B">
      <w:pPr>
        <w:pStyle w:val="3-BodyText"/>
        <w:keepNext/>
        <w:numPr>
          <w:ilvl w:val="0"/>
          <w:numId w:val="0"/>
        </w:numPr>
        <w:spacing w:after="0"/>
        <w:rPr>
          <w:rFonts w:ascii="Arial Narrow" w:hAnsi="Arial Narrow"/>
          <w:sz w:val="18"/>
          <w:szCs w:val="18"/>
        </w:rPr>
      </w:pPr>
      <w:r w:rsidRPr="00F573A7">
        <w:rPr>
          <w:rFonts w:ascii="Arial Narrow" w:hAnsi="Arial Narrow"/>
          <w:sz w:val="18"/>
          <w:szCs w:val="18"/>
        </w:rPr>
        <w:t>Source: Figure 1, p4 of the early re-entry submission</w:t>
      </w:r>
    </w:p>
    <w:p w:rsidR="00F26186" w:rsidRPr="00796ADA" w:rsidRDefault="00F26186" w:rsidP="00F26186">
      <w:pPr>
        <w:pStyle w:val="3-BodyText"/>
        <w:numPr>
          <w:ilvl w:val="0"/>
          <w:numId w:val="0"/>
        </w:numPr>
        <w:spacing w:after="0"/>
        <w:rPr>
          <w:rFonts w:ascii="Arial Narrow" w:hAnsi="Arial Narrow"/>
          <w:sz w:val="18"/>
          <w:szCs w:val="18"/>
        </w:rPr>
      </w:pPr>
      <w:r w:rsidRPr="00F573A7">
        <w:rPr>
          <w:rFonts w:ascii="Arial Narrow" w:hAnsi="Arial Narrow"/>
          <w:sz w:val="18"/>
          <w:szCs w:val="18"/>
        </w:rPr>
        <w:t>CI = conventional imaging; CRPC = castrate resistant prostate cancer; nmCRPC = non-metastatic castration resistant prostate cancer; PSMA = prostate-specific membrane antigen</w:t>
      </w:r>
    </w:p>
    <w:p w:rsidR="00F26186" w:rsidRPr="00F573A7" w:rsidRDefault="00F26186" w:rsidP="00F26186"/>
    <w:p w:rsidR="00261208" w:rsidRPr="00F573A7" w:rsidRDefault="00F26186" w:rsidP="00F627C7">
      <w:pPr>
        <w:pStyle w:val="3-BodyText"/>
      </w:pPr>
      <w:r w:rsidRPr="00F573A7">
        <w:t xml:space="preserve">The table below summarises the revised approach to calculating the utilisation and financial estimates. </w:t>
      </w:r>
    </w:p>
    <w:p w:rsidR="00F26186" w:rsidRPr="00F573A7" w:rsidRDefault="00F26186" w:rsidP="00F26186">
      <w:pPr>
        <w:pStyle w:val="TableFigureHeading"/>
      </w:pPr>
      <w:bookmarkStart w:id="1" w:name="_Ref70331511"/>
      <w:r w:rsidRPr="00F573A7">
        <w:t xml:space="preserve">Table </w:t>
      </w:r>
      <w:bookmarkEnd w:id="1"/>
      <w:r w:rsidR="0006229B" w:rsidRPr="00F573A7">
        <w:t xml:space="preserve">5: </w:t>
      </w:r>
      <w:r w:rsidRPr="00F573A7">
        <w:t>Summary of approach to revised budget impact analysis</w:t>
      </w:r>
    </w:p>
    <w:tbl>
      <w:tblPr>
        <w:tblStyle w:val="TableGrid"/>
        <w:tblW w:w="0" w:type="auto"/>
        <w:tblLook w:val="04A0" w:firstRow="1" w:lastRow="0" w:firstColumn="1" w:lastColumn="0" w:noHBand="0" w:noVBand="1"/>
        <w:tblCaption w:val="Table 5: Summary of approach to revised budget impact analysis"/>
      </w:tblPr>
      <w:tblGrid>
        <w:gridCol w:w="1433"/>
        <w:gridCol w:w="1528"/>
        <w:gridCol w:w="1939"/>
        <w:gridCol w:w="1104"/>
        <w:gridCol w:w="1504"/>
        <w:gridCol w:w="1508"/>
      </w:tblGrid>
      <w:tr w:rsidR="00F26186" w:rsidRPr="00F573A7" w:rsidTr="003D67B6">
        <w:trPr>
          <w:tblHeader/>
        </w:trPr>
        <w:tc>
          <w:tcPr>
            <w:tcW w:w="1433" w:type="dxa"/>
            <w:tcMar>
              <w:left w:w="28" w:type="dxa"/>
              <w:right w:w="28" w:type="dxa"/>
            </w:tcMar>
          </w:tcPr>
          <w:p w:rsidR="00F26186" w:rsidRPr="00F573A7" w:rsidRDefault="00F26186" w:rsidP="00587099">
            <w:pPr>
              <w:pStyle w:val="TableText"/>
              <w:rPr>
                <w:b/>
                <w:bCs w:val="0"/>
              </w:rPr>
            </w:pPr>
            <w:r w:rsidRPr="00F573A7">
              <w:rPr>
                <w:b/>
                <w:bCs w:val="0"/>
              </w:rPr>
              <w:t>Eligible patient population</w:t>
            </w:r>
          </w:p>
        </w:tc>
        <w:tc>
          <w:tcPr>
            <w:tcW w:w="1528" w:type="dxa"/>
            <w:tcMar>
              <w:left w:w="28" w:type="dxa"/>
              <w:right w:w="28" w:type="dxa"/>
            </w:tcMar>
          </w:tcPr>
          <w:p w:rsidR="00F26186" w:rsidRPr="00F573A7" w:rsidRDefault="00F26186" w:rsidP="00587099">
            <w:pPr>
              <w:pStyle w:val="TableText"/>
              <w:rPr>
                <w:b/>
                <w:bCs w:val="0"/>
              </w:rPr>
            </w:pPr>
            <w:r w:rsidRPr="00F573A7">
              <w:rPr>
                <w:b/>
                <w:bCs w:val="0"/>
              </w:rPr>
              <w:t>Impact of new restriction on eligibility</w:t>
            </w:r>
          </w:p>
        </w:tc>
        <w:tc>
          <w:tcPr>
            <w:tcW w:w="1939" w:type="dxa"/>
            <w:tcMar>
              <w:left w:w="28" w:type="dxa"/>
              <w:right w:w="28" w:type="dxa"/>
            </w:tcMar>
          </w:tcPr>
          <w:p w:rsidR="00F26186" w:rsidRPr="00F573A7" w:rsidRDefault="00F26186" w:rsidP="00587099">
            <w:pPr>
              <w:pStyle w:val="TableText"/>
              <w:rPr>
                <w:b/>
                <w:bCs w:val="0"/>
              </w:rPr>
            </w:pPr>
            <w:r w:rsidRPr="00F573A7">
              <w:rPr>
                <w:b/>
                <w:bCs w:val="0"/>
              </w:rPr>
              <w:t>Estimation of patient numbers and utilisation</w:t>
            </w:r>
          </w:p>
        </w:tc>
        <w:tc>
          <w:tcPr>
            <w:tcW w:w="1104" w:type="dxa"/>
            <w:tcMar>
              <w:left w:w="28" w:type="dxa"/>
              <w:right w:w="28" w:type="dxa"/>
            </w:tcMar>
          </w:tcPr>
          <w:p w:rsidR="00F26186" w:rsidRPr="00F573A7" w:rsidRDefault="00F26186" w:rsidP="00587099">
            <w:pPr>
              <w:pStyle w:val="TableText"/>
              <w:rPr>
                <w:b/>
                <w:bCs w:val="0"/>
              </w:rPr>
            </w:pPr>
            <w:r w:rsidRPr="00F573A7">
              <w:rPr>
                <w:b/>
                <w:bCs w:val="0"/>
              </w:rPr>
              <w:t>Relevant calculation if applicable</w:t>
            </w:r>
          </w:p>
        </w:tc>
        <w:tc>
          <w:tcPr>
            <w:tcW w:w="1504" w:type="dxa"/>
            <w:tcMar>
              <w:left w:w="28" w:type="dxa"/>
              <w:right w:w="28" w:type="dxa"/>
            </w:tcMar>
          </w:tcPr>
          <w:p w:rsidR="00F26186" w:rsidRPr="00F573A7" w:rsidRDefault="00F26186" w:rsidP="00587099">
            <w:pPr>
              <w:pStyle w:val="TableText"/>
              <w:rPr>
                <w:b/>
                <w:bCs w:val="0"/>
              </w:rPr>
            </w:pPr>
            <w:r w:rsidRPr="00F573A7">
              <w:rPr>
                <w:b/>
                <w:bCs w:val="0"/>
              </w:rPr>
              <w:t>Treatments on the PBS associated with cost-offsets</w:t>
            </w:r>
          </w:p>
        </w:tc>
        <w:tc>
          <w:tcPr>
            <w:tcW w:w="1508" w:type="dxa"/>
            <w:tcMar>
              <w:left w:w="28" w:type="dxa"/>
              <w:right w:w="28" w:type="dxa"/>
            </w:tcMar>
          </w:tcPr>
          <w:p w:rsidR="00F26186" w:rsidRPr="00F573A7" w:rsidRDefault="00F26186" w:rsidP="00587099">
            <w:pPr>
              <w:pStyle w:val="TableText"/>
              <w:rPr>
                <w:b/>
                <w:bCs w:val="0"/>
              </w:rPr>
            </w:pPr>
            <w:r w:rsidRPr="00F573A7">
              <w:rPr>
                <w:b/>
                <w:bCs w:val="0"/>
              </w:rPr>
              <w:t>Net financial impact</w:t>
            </w:r>
          </w:p>
        </w:tc>
      </w:tr>
      <w:tr w:rsidR="00F26186" w:rsidRPr="00F573A7" w:rsidTr="00640164">
        <w:tc>
          <w:tcPr>
            <w:tcW w:w="1433" w:type="dxa"/>
            <w:tcMar>
              <w:left w:w="28" w:type="dxa"/>
              <w:right w:w="28" w:type="dxa"/>
            </w:tcMar>
            <w:vAlign w:val="center"/>
          </w:tcPr>
          <w:p w:rsidR="00F26186" w:rsidRPr="00F573A7" w:rsidRDefault="00F26186" w:rsidP="00640164">
            <w:pPr>
              <w:pStyle w:val="TableText"/>
              <w:rPr>
                <w:rFonts w:eastAsia="Times New Roman"/>
                <w:szCs w:val="20"/>
              </w:rPr>
            </w:pPr>
            <w:r w:rsidRPr="00F573A7">
              <w:rPr>
                <w:rFonts w:eastAsia="Times New Roman"/>
                <w:szCs w:val="20"/>
              </w:rPr>
              <w:t xml:space="preserve">CRPC; </w:t>
            </w:r>
          </w:p>
          <w:p w:rsidR="00F26186" w:rsidRPr="00F573A7" w:rsidRDefault="00F26186" w:rsidP="00640164">
            <w:pPr>
              <w:pStyle w:val="TableText"/>
            </w:pPr>
            <w:r w:rsidRPr="00F573A7">
              <w:rPr>
                <w:rFonts w:eastAsia="Times New Roman"/>
                <w:szCs w:val="20"/>
              </w:rPr>
              <w:t xml:space="preserve">CI negative; </w:t>
            </w:r>
            <w:r w:rsidRPr="00F573A7">
              <w:rPr>
                <w:rFonts w:eastAsia="Times New Roman"/>
                <w:szCs w:val="20"/>
              </w:rPr>
              <w:br/>
              <w:t>No PSMA-PET</w:t>
            </w:r>
          </w:p>
        </w:tc>
        <w:tc>
          <w:tcPr>
            <w:tcW w:w="1528" w:type="dxa"/>
            <w:vMerge w:val="restart"/>
            <w:tcMar>
              <w:left w:w="28" w:type="dxa"/>
              <w:right w:w="28" w:type="dxa"/>
            </w:tcMar>
            <w:vAlign w:val="center"/>
          </w:tcPr>
          <w:p w:rsidR="00F26186" w:rsidRPr="00F573A7" w:rsidRDefault="00F26186" w:rsidP="00784551">
            <w:pPr>
              <w:pStyle w:val="TableText"/>
            </w:pPr>
            <w:r w:rsidRPr="00F573A7">
              <w:t>Previously eligible</w:t>
            </w:r>
            <w:r w:rsidR="00640164" w:rsidRPr="00F573A7">
              <w:t xml:space="preserve">, i.e. </w:t>
            </w:r>
            <w:r w:rsidRPr="00F573A7">
              <w:t>m</w:t>
            </w:r>
            <w:r w:rsidR="00784551" w:rsidRPr="00F573A7">
              <w:t>0</w:t>
            </w:r>
            <w:r w:rsidRPr="00F573A7">
              <w:t>CRPC population</w:t>
            </w:r>
          </w:p>
        </w:tc>
        <w:tc>
          <w:tcPr>
            <w:tcW w:w="1939" w:type="dxa"/>
            <w:tcMar>
              <w:left w:w="28" w:type="dxa"/>
              <w:right w:w="28" w:type="dxa"/>
            </w:tcMar>
            <w:vAlign w:val="center"/>
          </w:tcPr>
          <w:p w:rsidR="00F26186" w:rsidRPr="00F573A7" w:rsidRDefault="00F26186" w:rsidP="00F9612E">
            <w:pPr>
              <w:pStyle w:val="TableText"/>
            </w:pPr>
            <w:r w:rsidRPr="00F573A7">
              <w:t>Derived from validated patient flow model (March 2021 resubmission) and accounting for uptake of PSMA-PET</w:t>
            </w:r>
          </w:p>
        </w:tc>
        <w:tc>
          <w:tcPr>
            <w:tcW w:w="1104" w:type="dxa"/>
            <w:tcMar>
              <w:left w:w="28" w:type="dxa"/>
              <w:right w:w="28" w:type="dxa"/>
            </w:tcMar>
            <w:vAlign w:val="center"/>
          </w:tcPr>
          <w:p w:rsidR="00F26186" w:rsidRPr="00F573A7" w:rsidRDefault="00784551" w:rsidP="00640164">
            <w:pPr>
              <w:pStyle w:val="TableText"/>
            </w:pPr>
            <w:r w:rsidRPr="00F573A7">
              <w:t>m0</w:t>
            </w:r>
            <w:r w:rsidR="00F26186" w:rsidRPr="00F573A7">
              <w:t>CRPC</w:t>
            </w:r>
            <w:r w:rsidR="00F26186" w:rsidRPr="00F573A7">
              <w:rPr>
                <w:vertAlign w:val="superscript"/>
              </w:rPr>
              <w:t>a</w:t>
            </w:r>
            <w:r w:rsidR="00F9612E" w:rsidRPr="00F573A7">
              <w:t xml:space="preserve"> population x (1 – u</w:t>
            </w:r>
            <w:r w:rsidR="00F26186" w:rsidRPr="00F573A7">
              <w:t>ptake of PSMA-PET)</w:t>
            </w:r>
          </w:p>
        </w:tc>
        <w:tc>
          <w:tcPr>
            <w:tcW w:w="1504" w:type="dxa"/>
            <w:vMerge w:val="restart"/>
            <w:tcMar>
              <w:left w:w="28" w:type="dxa"/>
              <w:right w:w="28" w:type="dxa"/>
            </w:tcMar>
            <w:vAlign w:val="center"/>
          </w:tcPr>
          <w:p w:rsidR="00F26186" w:rsidRPr="00F573A7" w:rsidRDefault="00F26186" w:rsidP="00640164">
            <w:pPr>
              <w:pStyle w:val="TableText"/>
            </w:pPr>
            <w:r w:rsidRPr="00F573A7">
              <w:t>Downstream docetaxel and cabazitaxel treatment in mCRPC setting.</w:t>
            </w:r>
          </w:p>
        </w:tc>
        <w:tc>
          <w:tcPr>
            <w:tcW w:w="1508" w:type="dxa"/>
            <w:vMerge w:val="restart"/>
            <w:tcMar>
              <w:left w:w="28" w:type="dxa"/>
              <w:right w:w="28" w:type="dxa"/>
            </w:tcMar>
            <w:vAlign w:val="center"/>
          </w:tcPr>
          <w:p w:rsidR="00F26186" w:rsidRPr="00F573A7" w:rsidRDefault="00F26186" w:rsidP="00F9612E">
            <w:pPr>
              <w:pStyle w:val="TableText"/>
            </w:pPr>
            <w:r w:rsidRPr="00F573A7">
              <w:t>Derived from validated approach to financial estimates in (March 2021 resubmission) and accounting for increased cabazitaxel use relative to docetaxel in the mCRPC.</w:t>
            </w:r>
          </w:p>
        </w:tc>
      </w:tr>
      <w:tr w:rsidR="00F26186" w:rsidRPr="00F573A7" w:rsidTr="00640164">
        <w:tc>
          <w:tcPr>
            <w:tcW w:w="1433" w:type="dxa"/>
            <w:tcMar>
              <w:left w:w="28" w:type="dxa"/>
              <w:right w:w="28" w:type="dxa"/>
            </w:tcMar>
            <w:vAlign w:val="center"/>
          </w:tcPr>
          <w:p w:rsidR="00640164" w:rsidRPr="00F573A7" w:rsidRDefault="00F26186" w:rsidP="00640164">
            <w:pPr>
              <w:pStyle w:val="TableText"/>
              <w:rPr>
                <w:rFonts w:eastAsia="Times New Roman"/>
                <w:szCs w:val="20"/>
              </w:rPr>
            </w:pPr>
            <w:r w:rsidRPr="00F573A7">
              <w:rPr>
                <w:rFonts w:eastAsia="Times New Roman"/>
                <w:szCs w:val="20"/>
              </w:rPr>
              <w:t>CRPC</w:t>
            </w:r>
            <w:r w:rsidR="00640164" w:rsidRPr="00F573A7">
              <w:rPr>
                <w:rFonts w:eastAsia="Times New Roman"/>
                <w:szCs w:val="20"/>
              </w:rPr>
              <w:t>;</w:t>
            </w:r>
            <w:r w:rsidRPr="00F573A7">
              <w:rPr>
                <w:rFonts w:eastAsia="Times New Roman"/>
                <w:szCs w:val="20"/>
              </w:rPr>
              <w:t xml:space="preserve"> </w:t>
            </w:r>
          </w:p>
          <w:p w:rsidR="00F26186" w:rsidRPr="00F573A7" w:rsidRDefault="00F26186" w:rsidP="00640164">
            <w:pPr>
              <w:pStyle w:val="TableText"/>
            </w:pPr>
            <w:r w:rsidRPr="00F573A7">
              <w:rPr>
                <w:rFonts w:eastAsia="Times New Roman"/>
                <w:szCs w:val="20"/>
              </w:rPr>
              <w:t>CI negative</w:t>
            </w:r>
            <w:r w:rsidR="00640164" w:rsidRPr="00F573A7">
              <w:rPr>
                <w:rFonts w:eastAsia="Times New Roman"/>
                <w:szCs w:val="20"/>
              </w:rPr>
              <w:t>;</w:t>
            </w:r>
            <w:r w:rsidRPr="00F573A7">
              <w:rPr>
                <w:rFonts w:eastAsia="Times New Roman"/>
                <w:szCs w:val="20"/>
              </w:rPr>
              <w:br/>
              <w:t>PSMA-PET negative</w:t>
            </w:r>
          </w:p>
        </w:tc>
        <w:tc>
          <w:tcPr>
            <w:tcW w:w="1528" w:type="dxa"/>
            <w:vMerge/>
            <w:tcMar>
              <w:left w:w="28" w:type="dxa"/>
              <w:right w:w="28" w:type="dxa"/>
            </w:tcMar>
            <w:vAlign w:val="center"/>
          </w:tcPr>
          <w:p w:rsidR="00F26186" w:rsidRPr="00F573A7" w:rsidRDefault="00F26186" w:rsidP="00640164">
            <w:pPr>
              <w:pStyle w:val="TableText"/>
            </w:pPr>
          </w:p>
        </w:tc>
        <w:tc>
          <w:tcPr>
            <w:tcW w:w="1939" w:type="dxa"/>
            <w:vMerge w:val="restart"/>
            <w:tcMar>
              <w:left w:w="28" w:type="dxa"/>
              <w:right w:w="28" w:type="dxa"/>
            </w:tcMar>
            <w:vAlign w:val="center"/>
          </w:tcPr>
          <w:p w:rsidR="00F26186" w:rsidRPr="00F573A7" w:rsidRDefault="00F26186" w:rsidP="007D33DD">
            <w:pPr>
              <w:pStyle w:val="TableText"/>
            </w:pPr>
            <w:r w:rsidRPr="00F573A7">
              <w:t>Derived from validated patient flow model (March 2021 re-submission) and accounting for uptake of PSMA-PET and proportion of patients that are CI negative/PSMA-PET negative (Fendler 2019 as considered by the PBAC (</w:t>
            </w:r>
            <w:r w:rsidR="00640164" w:rsidRPr="00F573A7">
              <w:t xml:space="preserve">paragraph </w:t>
            </w:r>
            <w:r w:rsidRPr="00F573A7">
              <w:t>5.6</w:t>
            </w:r>
            <w:r w:rsidR="00640164" w:rsidRPr="00F573A7">
              <w:t xml:space="preserve">, darolutamide </w:t>
            </w:r>
            <w:r w:rsidR="007D33DD">
              <w:t>PSD</w:t>
            </w:r>
            <w:r w:rsidRPr="00F573A7">
              <w:t xml:space="preserve">, </w:t>
            </w:r>
            <w:r w:rsidRPr="00F573A7">
              <w:rPr>
                <w:snapToGrid w:val="0"/>
              </w:rPr>
              <w:t>March 2021</w:t>
            </w:r>
            <w:r w:rsidRPr="00F573A7">
              <w:t>))</w:t>
            </w:r>
          </w:p>
        </w:tc>
        <w:tc>
          <w:tcPr>
            <w:tcW w:w="1104" w:type="dxa"/>
            <w:tcMar>
              <w:left w:w="28" w:type="dxa"/>
              <w:right w:w="28" w:type="dxa"/>
            </w:tcMar>
            <w:vAlign w:val="center"/>
          </w:tcPr>
          <w:p w:rsidR="00F26186" w:rsidRPr="00F573A7" w:rsidRDefault="00F26186" w:rsidP="00640164">
            <w:pPr>
              <w:pStyle w:val="TableText"/>
            </w:pPr>
            <w:r w:rsidRPr="00F573A7">
              <w:t>m</w:t>
            </w:r>
            <w:r w:rsidR="00784551" w:rsidRPr="00F573A7">
              <w:t>0</w:t>
            </w:r>
            <w:r w:rsidRPr="00F573A7">
              <w:t>CRPC</w:t>
            </w:r>
            <w:r w:rsidRPr="00F573A7">
              <w:rPr>
                <w:vertAlign w:val="superscript"/>
              </w:rPr>
              <w:t>a</w:t>
            </w:r>
            <w:r w:rsidR="00F9612E" w:rsidRPr="00F573A7">
              <w:t xml:space="preserve"> population </w:t>
            </w:r>
            <w:r w:rsidR="00796ADA" w:rsidRPr="00F573A7">
              <w:t>x uptake</w:t>
            </w:r>
            <w:r w:rsidRPr="00F573A7">
              <w:t xml:space="preserve"> of PSMA-PET x 45%</w:t>
            </w:r>
          </w:p>
        </w:tc>
        <w:tc>
          <w:tcPr>
            <w:tcW w:w="1504" w:type="dxa"/>
            <w:vMerge/>
            <w:tcMar>
              <w:left w:w="28" w:type="dxa"/>
              <w:right w:w="28" w:type="dxa"/>
            </w:tcMar>
            <w:vAlign w:val="center"/>
          </w:tcPr>
          <w:p w:rsidR="00F26186" w:rsidRPr="00F573A7" w:rsidRDefault="00F26186" w:rsidP="00640164">
            <w:pPr>
              <w:pStyle w:val="TableText"/>
            </w:pPr>
          </w:p>
        </w:tc>
        <w:tc>
          <w:tcPr>
            <w:tcW w:w="1508" w:type="dxa"/>
            <w:vMerge/>
            <w:tcMar>
              <w:left w:w="28" w:type="dxa"/>
              <w:right w:w="28" w:type="dxa"/>
            </w:tcMar>
            <w:vAlign w:val="center"/>
          </w:tcPr>
          <w:p w:rsidR="00F26186" w:rsidRPr="00F573A7" w:rsidRDefault="00F26186" w:rsidP="00640164">
            <w:pPr>
              <w:pStyle w:val="TableText"/>
            </w:pPr>
          </w:p>
        </w:tc>
      </w:tr>
      <w:tr w:rsidR="00F26186" w:rsidRPr="00F573A7" w:rsidTr="00640164">
        <w:trPr>
          <w:trHeight w:val="976"/>
        </w:trPr>
        <w:tc>
          <w:tcPr>
            <w:tcW w:w="1433" w:type="dxa"/>
            <w:tcMar>
              <w:left w:w="28" w:type="dxa"/>
              <w:right w:w="28" w:type="dxa"/>
            </w:tcMar>
            <w:vAlign w:val="center"/>
          </w:tcPr>
          <w:p w:rsidR="00640164" w:rsidRPr="00F573A7" w:rsidRDefault="00F26186" w:rsidP="00640164">
            <w:pPr>
              <w:pStyle w:val="TableText"/>
              <w:rPr>
                <w:rFonts w:eastAsia="Times New Roman"/>
                <w:szCs w:val="20"/>
              </w:rPr>
            </w:pPr>
            <w:r w:rsidRPr="00F573A7">
              <w:rPr>
                <w:rFonts w:eastAsia="Times New Roman"/>
                <w:szCs w:val="20"/>
              </w:rPr>
              <w:t>CRPC</w:t>
            </w:r>
            <w:r w:rsidR="00640164" w:rsidRPr="00F573A7">
              <w:rPr>
                <w:rFonts w:eastAsia="Times New Roman"/>
                <w:szCs w:val="20"/>
              </w:rPr>
              <w:t>;</w:t>
            </w:r>
            <w:r w:rsidRPr="00F573A7">
              <w:rPr>
                <w:rFonts w:eastAsia="Times New Roman"/>
                <w:szCs w:val="20"/>
              </w:rPr>
              <w:t xml:space="preserve"> </w:t>
            </w:r>
          </w:p>
          <w:p w:rsidR="00F26186" w:rsidRPr="00F573A7" w:rsidRDefault="00F26186" w:rsidP="00640164">
            <w:pPr>
              <w:pStyle w:val="TableText"/>
            </w:pPr>
            <w:r w:rsidRPr="00F573A7">
              <w:rPr>
                <w:rFonts w:eastAsia="Times New Roman"/>
                <w:szCs w:val="20"/>
              </w:rPr>
              <w:t>CI negative</w:t>
            </w:r>
            <w:r w:rsidR="00640164" w:rsidRPr="00F573A7">
              <w:rPr>
                <w:rFonts w:eastAsia="Times New Roman"/>
                <w:szCs w:val="20"/>
              </w:rPr>
              <w:t>;</w:t>
            </w:r>
            <w:r w:rsidRPr="00F573A7">
              <w:rPr>
                <w:rFonts w:eastAsia="Times New Roman"/>
                <w:szCs w:val="20"/>
              </w:rPr>
              <w:br/>
              <w:t>PSMA-PET positive</w:t>
            </w:r>
          </w:p>
        </w:tc>
        <w:tc>
          <w:tcPr>
            <w:tcW w:w="1528" w:type="dxa"/>
            <w:vMerge/>
            <w:tcMar>
              <w:left w:w="28" w:type="dxa"/>
              <w:right w:w="28" w:type="dxa"/>
            </w:tcMar>
            <w:vAlign w:val="center"/>
          </w:tcPr>
          <w:p w:rsidR="00F26186" w:rsidRPr="00F573A7" w:rsidRDefault="00F26186" w:rsidP="00640164">
            <w:pPr>
              <w:pStyle w:val="TableText"/>
            </w:pPr>
          </w:p>
        </w:tc>
        <w:tc>
          <w:tcPr>
            <w:tcW w:w="1939" w:type="dxa"/>
            <w:vMerge/>
            <w:tcMar>
              <w:left w:w="28" w:type="dxa"/>
              <w:right w:w="28" w:type="dxa"/>
            </w:tcMar>
            <w:vAlign w:val="center"/>
          </w:tcPr>
          <w:p w:rsidR="00F26186" w:rsidRPr="00F573A7" w:rsidRDefault="00F26186" w:rsidP="00640164">
            <w:pPr>
              <w:pStyle w:val="TableText"/>
            </w:pPr>
          </w:p>
        </w:tc>
        <w:tc>
          <w:tcPr>
            <w:tcW w:w="1104" w:type="dxa"/>
            <w:tcMar>
              <w:left w:w="28" w:type="dxa"/>
              <w:right w:w="28" w:type="dxa"/>
            </w:tcMar>
            <w:vAlign w:val="center"/>
          </w:tcPr>
          <w:p w:rsidR="00F26186" w:rsidRPr="00F573A7" w:rsidRDefault="00F26186" w:rsidP="00640164">
            <w:pPr>
              <w:pStyle w:val="TableText"/>
            </w:pPr>
            <w:r w:rsidRPr="00F573A7">
              <w:t>m</w:t>
            </w:r>
            <w:r w:rsidR="00784551" w:rsidRPr="00F573A7">
              <w:t>0</w:t>
            </w:r>
            <w:r w:rsidRPr="00F573A7">
              <w:t>CRPC</w:t>
            </w:r>
            <w:r w:rsidRPr="00F573A7">
              <w:rPr>
                <w:vertAlign w:val="superscript"/>
              </w:rPr>
              <w:t>a</w:t>
            </w:r>
            <w:r w:rsidR="00F9612E" w:rsidRPr="00F573A7">
              <w:t xml:space="preserve"> population </w:t>
            </w:r>
            <w:r w:rsidR="00796ADA" w:rsidRPr="00F573A7">
              <w:t>x uptake</w:t>
            </w:r>
            <w:r w:rsidRPr="00F573A7">
              <w:t xml:space="preserve"> of PSMA-PET x 55%</w:t>
            </w:r>
          </w:p>
        </w:tc>
        <w:tc>
          <w:tcPr>
            <w:tcW w:w="1504" w:type="dxa"/>
            <w:vMerge w:val="restart"/>
            <w:tcMar>
              <w:left w:w="28" w:type="dxa"/>
              <w:right w:w="28" w:type="dxa"/>
            </w:tcMar>
            <w:vAlign w:val="center"/>
          </w:tcPr>
          <w:p w:rsidR="00F26186" w:rsidRPr="00F573A7" w:rsidRDefault="00F26186" w:rsidP="00640164">
            <w:pPr>
              <w:pStyle w:val="TableText"/>
            </w:pPr>
            <w:r w:rsidRPr="00F573A7">
              <w:t xml:space="preserve">Overlapping restriction with abiraterone and enzalutamide </w:t>
            </w:r>
          </w:p>
        </w:tc>
        <w:tc>
          <w:tcPr>
            <w:tcW w:w="1508" w:type="dxa"/>
            <w:vMerge w:val="restart"/>
            <w:tcMar>
              <w:left w:w="28" w:type="dxa"/>
              <w:right w:w="28" w:type="dxa"/>
            </w:tcMar>
            <w:vAlign w:val="center"/>
          </w:tcPr>
          <w:p w:rsidR="00F26186" w:rsidRPr="00F573A7" w:rsidRDefault="00F26186" w:rsidP="00640164">
            <w:pPr>
              <w:pStyle w:val="TableText"/>
            </w:pPr>
            <w:r w:rsidRPr="00F573A7">
              <w:t>Cost neutral given the identical price to enzalutamide and abiraterone</w:t>
            </w:r>
          </w:p>
        </w:tc>
      </w:tr>
      <w:tr w:rsidR="00F26186" w:rsidRPr="00F573A7" w:rsidTr="00640164">
        <w:tc>
          <w:tcPr>
            <w:tcW w:w="1433" w:type="dxa"/>
            <w:tcMar>
              <w:left w:w="28" w:type="dxa"/>
              <w:right w:w="28" w:type="dxa"/>
            </w:tcMar>
            <w:vAlign w:val="center"/>
          </w:tcPr>
          <w:p w:rsidR="00640164" w:rsidRPr="00F573A7" w:rsidRDefault="00F26186" w:rsidP="00640164">
            <w:pPr>
              <w:pStyle w:val="TableText"/>
            </w:pPr>
            <w:r w:rsidRPr="00F573A7">
              <w:t>CRPC</w:t>
            </w:r>
            <w:r w:rsidR="00640164" w:rsidRPr="00F573A7">
              <w:t>;</w:t>
            </w:r>
            <w:r w:rsidRPr="00F573A7">
              <w:t xml:space="preserve"> </w:t>
            </w:r>
          </w:p>
          <w:p w:rsidR="00F26186" w:rsidRPr="00F573A7" w:rsidRDefault="00F26186" w:rsidP="00640164">
            <w:pPr>
              <w:pStyle w:val="TableText"/>
            </w:pPr>
            <w:r w:rsidRPr="00F573A7">
              <w:t xml:space="preserve">CI positive </w:t>
            </w:r>
          </w:p>
        </w:tc>
        <w:tc>
          <w:tcPr>
            <w:tcW w:w="1528" w:type="dxa"/>
            <w:tcMar>
              <w:left w:w="28" w:type="dxa"/>
              <w:right w:w="28" w:type="dxa"/>
            </w:tcMar>
            <w:vAlign w:val="center"/>
          </w:tcPr>
          <w:p w:rsidR="00F26186" w:rsidRPr="00F573A7" w:rsidRDefault="00F26186" w:rsidP="00640164">
            <w:pPr>
              <w:pStyle w:val="TableText"/>
            </w:pPr>
            <w:r w:rsidRPr="00F573A7">
              <w:rPr>
                <w:u w:val="single"/>
              </w:rPr>
              <w:t>Newly</w:t>
            </w:r>
            <w:r w:rsidRPr="00F573A7">
              <w:t xml:space="preserve"> eligible </w:t>
            </w:r>
          </w:p>
        </w:tc>
        <w:tc>
          <w:tcPr>
            <w:tcW w:w="1939" w:type="dxa"/>
            <w:tcMar>
              <w:left w:w="28" w:type="dxa"/>
              <w:right w:w="28" w:type="dxa"/>
            </w:tcMar>
            <w:vAlign w:val="center"/>
          </w:tcPr>
          <w:p w:rsidR="00F26186" w:rsidRPr="00F573A7" w:rsidRDefault="00F26186" w:rsidP="00F9612E">
            <w:pPr>
              <w:pStyle w:val="TableText"/>
            </w:pPr>
            <w:r w:rsidRPr="00F573A7">
              <w:t>Based on DUSC estimates provided to Bayer in March 2021 resubmission</w:t>
            </w:r>
          </w:p>
        </w:tc>
        <w:tc>
          <w:tcPr>
            <w:tcW w:w="1104" w:type="dxa"/>
            <w:tcMar>
              <w:left w:w="28" w:type="dxa"/>
              <w:right w:w="28" w:type="dxa"/>
            </w:tcMar>
            <w:vAlign w:val="center"/>
          </w:tcPr>
          <w:p w:rsidR="00F26186" w:rsidRPr="00F573A7" w:rsidRDefault="00F26186" w:rsidP="00640164">
            <w:pPr>
              <w:pStyle w:val="TableText"/>
            </w:pPr>
            <w:r w:rsidRPr="00F573A7">
              <w:t>-</w:t>
            </w:r>
          </w:p>
        </w:tc>
        <w:tc>
          <w:tcPr>
            <w:tcW w:w="1504" w:type="dxa"/>
            <w:vMerge/>
            <w:tcMar>
              <w:left w:w="28" w:type="dxa"/>
              <w:right w:w="28" w:type="dxa"/>
            </w:tcMar>
          </w:tcPr>
          <w:p w:rsidR="00F26186" w:rsidRPr="00F573A7" w:rsidRDefault="00F26186" w:rsidP="00587099">
            <w:pPr>
              <w:pStyle w:val="TableText"/>
            </w:pPr>
          </w:p>
        </w:tc>
        <w:tc>
          <w:tcPr>
            <w:tcW w:w="1508" w:type="dxa"/>
            <w:vMerge/>
            <w:tcMar>
              <w:left w:w="28" w:type="dxa"/>
              <w:right w:w="28" w:type="dxa"/>
            </w:tcMar>
          </w:tcPr>
          <w:p w:rsidR="00F26186" w:rsidRPr="00F573A7" w:rsidRDefault="00F26186" w:rsidP="00587099">
            <w:pPr>
              <w:pStyle w:val="TableText"/>
            </w:pPr>
          </w:p>
        </w:tc>
      </w:tr>
    </w:tbl>
    <w:p w:rsidR="00F26186" w:rsidRPr="00F573A7" w:rsidRDefault="00F26186" w:rsidP="00F26186">
      <w:pPr>
        <w:rPr>
          <w:rFonts w:ascii="Arial Narrow" w:hAnsi="Arial Narrow"/>
          <w:sz w:val="18"/>
          <w:szCs w:val="18"/>
        </w:rPr>
      </w:pPr>
      <w:r w:rsidRPr="00F573A7">
        <w:rPr>
          <w:rFonts w:ascii="Arial Narrow" w:hAnsi="Arial Narrow"/>
          <w:sz w:val="18"/>
          <w:szCs w:val="18"/>
        </w:rPr>
        <w:t>Source: Table 4, p5 of the early-re-entry submission</w:t>
      </w:r>
    </w:p>
    <w:p w:rsidR="00F26186" w:rsidRPr="00F573A7" w:rsidRDefault="00F26186" w:rsidP="00F26186">
      <w:pPr>
        <w:rPr>
          <w:rFonts w:ascii="Arial Narrow" w:hAnsi="Arial Narrow"/>
          <w:sz w:val="18"/>
          <w:szCs w:val="18"/>
        </w:rPr>
      </w:pPr>
      <w:r w:rsidRPr="00F573A7">
        <w:rPr>
          <w:rFonts w:ascii="Arial Narrow" w:hAnsi="Arial Narrow"/>
          <w:sz w:val="18"/>
          <w:szCs w:val="18"/>
        </w:rPr>
        <w:t xml:space="preserve">CI = conventional imaging; CRPC = castration resistant prostate cancer; </w:t>
      </w:r>
      <w:r w:rsidR="00640164" w:rsidRPr="00F573A7">
        <w:rPr>
          <w:rFonts w:ascii="Arial Narrow" w:hAnsi="Arial Narrow"/>
          <w:sz w:val="18"/>
          <w:szCs w:val="18"/>
        </w:rPr>
        <w:t>DUSC = Drug Utilisation Sub-Committee; mCRPC = metastatic castrat</w:t>
      </w:r>
      <w:r w:rsidR="00784551" w:rsidRPr="00F573A7">
        <w:rPr>
          <w:rFonts w:ascii="Arial Narrow" w:hAnsi="Arial Narrow"/>
          <w:sz w:val="18"/>
          <w:szCs w:val="18"/>
        </w:rPr>
        <w:t xml:space="preserve">ion resistant prostate cancer; </w:t>
      </w:r>
      <w:r w:rsidR="00640164" w:rsidRPr="00F573A7">
        <w:rPr>
          <w:rFonts w:ascii="Arial Narrow" w:hAnsi="Arial Narrow"/>
          <w:sz w:val="18"/>
          <w:szCs w:val="18"/>
        </w:rPr>
        <w:t>m</w:t>
      </w:r>
      <w:r w:rsidR="00784551" w:rsidRPr="00F573A7">
        <w:rPr>
          <w:rFonts w:ascii="Arial Narrow" w:hAnsi="Arial Narrow"/>
          <w:sz w:val="18"/>
          <w:szCs w:val="18"/>
        </w:rPr>
        <w:t>0</w:t>
      </w:r>
      <w:r w:rsidR="00640164" w:rsidRPr="00F573A7">
        <w:rPr>
          <w:rFonts w:ascii="Arial Narrow" w:hAnsi="Arial Narrow"/>
          <w:sz w:val="18"/>
          <w:szCs w:val="18"/>
        </w:rPr>
        <w:t xml:space="preserve">CRPC = non-metastatic castration resistant prostate cancer; PBAC = Pharmaceutical Benefits Advisory Committee; </w:t>
      </w:r>
      <w:r w:rsidRPr="00F573A7">
        <w:rPr>
          <w:rFonts w:ascii="Arial Narrow" w:hAnsi="Arial Narrow"/>
          <w:sz w:val="18"/>
          <w:szCs w:val="18"/>
        </w:rPr>
        <w:t>PSMA = prostate-specific membrane antigen</w:t>
      </w:r>
    </w:p>
    <w:p w:rsidR="00F26186" w:rsidRPr="00F573A7" w:rsidRDefault="00640164" w:rsidP="00F26186">
      <w:pPr>
        <w:rPr>
          <w:rFonts w:ascii="Arial Narrow" w:hAnsi="Arial Narrow"/>
          <w:sz w:val="18"/>
          <w:szCs w:val="18"/>
        </w:rPr>
      </w:pPr>
      <w:r w:rsidRPr="00F573A7">
        <w:rPr>
          <w:rFonts w:ascii="Arial Narrow" w:hAnsi="Arial Narrow"/>
          <w:sz w:val="18"/>
          <w:szCs w:val="18"/>
          <w:vertAlign w:val="superscript"/>
        </w:rPr>
        <w:t>a</w:t>
      </w:r>
      <w:r w:rsidRPr="00F573A7">
        <w:rPr>
          <w:rFonts w:ascii="Arial Narrow" w:hAnsi="Arial Narrow"/>
          <w:sz w:val="18"/>
          <w:szCs w:val="18"/>
        </w:rPr>
        <w:t xml:space="preserve"> T</w:t>
      </w:r>
      <w:r w:rsidR="00F26186" w:rsidRPr="00F573A7">
        <w:rPr>
          <w:rFonts w:ascii="Arial Narrow" w:hAnsi="Arial Narrow"/>
          <w:sz w:val="18"/>
          <w:szCs w:val="18"/>
        </w:rPr>
        <w:t xml:space="preserve">hese calculations seem to imply PSMA-PET is used sequentially from CI. However, it is accepted PSMA-PET will likely replace CI in a proportion/majority of patients. The calculations are presented in this manner because the underlying epidemiological estimates of the size of the “CRPC negative for </w:t>
      </w:r>
      <w:r w:rsidRPr="00F573A7">
        <w:rPr>
          <w:rFonts w:ascii="Arial Narrow" w:hAnsi="Arial Narrow"/>
          <w:sz w:val="18"/>
          <w:szCs w:val="18"/>
        </w:rPr>
        <w:t>distant metastases</w:t>
      </w:r>
      <w:r w:rsidR="00F26186" w:rsidRPr="00F573A7">
        <w:rPr>
          <w:rFonts w:ascii="Arial Narrow" w:hAnsi="Arial Narrow"/>
          <w:sz w:val="18"/>
          <w:szCs w:val="18"/>
        </w:rPr>
        <w:t xml:space="preserve"> on CI” population will not change with the uptake of PSMA-PET. In other words, this population can be interpreted as the population that ‘would have otherwise been CI negative were they to have received CI</w:t>
      </w:r>
      <w:r w:rsidRPr="00F573A7">
        <w:rPr>
          <w:rFonts w:ascii="Arial Narrow" w:hAnsi="Arial Narrow"/>
          <w:sz w:val="18"/>
          <w:szCs w:val="18"/>
        </w:rPr>
        <w:t>’</w:t>
      </w:r>
      <w:r w:rsidR="00F26186" w:rsidRPr="00F573A7">
        <w:rPr>
          <w:rFonts w:ascii="Arial Narrow" w:hAnsi="Arial Narrow"/>
          <w:sz w:val="18"/>
          <w:szCs w:val="18"/>
        </w:rPr>
        <w:t>.</w:t>
      </w:r>
    </w:p>
    <w:p w:rsidR="00F26186" w:rsidRPr="00F573A7" w:rsidRDefault="00F26186" w:rsidP="00F26186"/>
    <w:p w:rsidR="00F26186" w:rsidRPr="00F573A7" w:rsidRDefault="00587099" w:rsidP="00F627C7">
      <w:pPr>
        <w:pStyle w:val="3-BodyText"/>
      </w:pPr>
      <w:r w:rsidRPr="00F573A7">
        <w:t>Although the number of eligible patients in the ‘CRPC; conventional imaging negative’ cohort did not change from the m</w:t>
      </w:r>
      <w:r w:rsidR="004A3F6B" w:rsidRPr="00F573A7">
        <w:t>0</w:t>
      </w:r>
      <w:r w:rsidRPr="00F573A7">
        <w:t>CRPC population presented in the March 2021 resubmission</w:t>
      </w:r>
      <w:r w:rsidR="00784551" w:rsidRPr="00F573A7">
        <w:t xml:space="preserve"> (Row A)</w:t>
      </w:r>
      <w:r w:rsidRPr="00F573A7">
        <w:t xml:space="preserve">, it </w:t>
      </w:r>
      <w:r w:rsidR="00F518DA" w:rsidRPr="00F573A7">
        <w:t>was</w:t>
      </w:r>
      <w:r w:rsidRPr="00F573A7">
        <w:t xml:space="preserve"> divided into three populations</w:t>
      </w:r>
      <w:r w:rsidR="0072501C" w:rsidRPr="00F573A7">
        <w:t xml:space="preserve"> (Table </w:t>
      </w:r>
      <w:r w:rsidR="0006229B" w:rsidRPr="00F573A7">
        <w:t>6</w:t>
      </w:r>
      <w:r w:rsidR="0072501C" w:rsidRPr="00F573A7">
        <w:t>)</w:t>
      </w:r>
      <w:r w:rsidRPr="00F573A7">
        <w:t>.</w:t>
      </w:r>
      <w:r w:rsidR="003934F6" w:rsidRPr="00F573A7">
        <w:t xml:space="preserve"> Uptake in the </w:t>
      </w:r>
      <w:r w:rsidR="00886EAA">
        <w:t>‘</w:t>
      </w:r>
      <w:r w:rsidR="003934F6" w:rsidRPr="00F573A7">
        <w:t>No PSMA-PET</w:t>
      </w:r>
      <w:r w:rsidR="00886EAA">
        <w:t>’</w:t>
      </w:r>
      <w:r w:rsidR="003934F6" w:rsidRPr="00F573A7">
        <w:t xml:space="preserve"> and </w:t>
      </w:r>
      <w:r w:rsidR="00886EAA">
        <w:t>‘</w:t>
      </w:r>
      <w:r w:rsidR="003934F6" w:rsidRPr="00F573A7">
        <w:t>PSMA-PET negative</w:t>
      </w:r>
      <w:r w:rsidR="00886EAA">
        <w:t>’</w:t>
      </w:r>
      <w:r w:rsidR="003934F6" w:rsidRPr="00F573A7">
        <w:t xml:space="preserve"> populations was unchanged from March 2021; uptake in the </w:t>
      </w:r>
      <w:r w:rsidR="00886EAA">
        <w:t>‘</w:t>
      </w:r>
      <w:r w:rsidR="003934F6" w:rsidRPr="00F573A7">
        <w:t>PSMA-PET positive</w:t>
      </w:r>
      <w:r w:rsidR="00886EAA">
        <w:t>’</w:t>
      </w:r>
      <w:r w:rsidR="003934F6" w:rsidRPr="00F573A7">
        <w:t xml:space="preserve"> population was halved due to the </w:t>
      </w:r>
      <w:r w:rsidR="000A068C" w:rsidRPr="00F573A7">
        <w:t xml:space="preserve">March 2021 recommendation that allowed </w:t>
      </w:r>
      <w:r w:rsidR="003934F6" w:rsidRPr="00F573A7">
        <w:t>abiraterone and enzalutamide</w:t>
      </w:r>
      <w:r w:rsidR="000A068C" w:rsidRPr="00F573A7">
        <w:t xml:space="preserve"> to be used prior to docetaxel in patients with mCRPC</w:t>
      </w:r>
      <w:r w:rsidR="003934F6" w:rsidRPr="00F573A7">
        <w:t>.</w:t>
      </w:r>
      <w:r w:rsidR="000A068C" w:rsidRPr="00F573A7">
        <w:t xml:space="preserve"> The PBAC considered that the ‘CRPC; conventional imaging</w:t>
      </w:r>
      <w:r w:rsidR="00D11AAD" w:rsidRPr="00F573A7">
        <w:t xml:space="preserve"> negative</w:t>
      </w:r>
      <w:r w:rsidR="000A068C" w:rsidRPr="00F573A7">
        <w:t>’ cohort would represent likely use of darolutamide in the m0CRPC setting.</w:t>
      </w:r>
    </w:p>
    <w:p w:rsidR="00587099" w:rsidRPr="00F573A7" w:rsidRDefault="00587099" w:rsidP="0006229B">
      <w:pPr>
        <w:pStyle w:val="TableFigureHeading"/>
      </w:pPr>
      <w:bookmarkStart w:id="2" w:name="_Ref70350618"/>
      <w:r w:rsidRPr="00F573A7">
        <w:t xml:space="preserve">Table </w:t>
      </w:r>
      <w:bookmarkEnd w:id="2"/>
      <w:r w:rsidR="0006229B" w:rsidRPr="00F573A7">
        <w:t>6</w:t>
      </w:r>
      <w:r w:rsidR="003934F6" w:rsidRPr="00F573A7">
        <w:t>:</w:t>
      </w:r>
      <w:r w:rsidRPr="00F573A7">
        <w:tab/>
      </w:r>
      <w:r w:rsidR="003934F6" w:rsidRPr="00F573A7">
        <w:t>T</w:t>
      </w:r>
      <w:r w:rsidRPr="00F573A7">
        <w:t xml:space="preserve">otal number of patients eligible for and uptake of darolutamide in </w:t>
      </w:r>
      <w:r w:rsidR="003934F6" w:rsidRPr="00F573A7">
        <w:t>‘</w:t>
      </w:r>
      <w:r w:rsidRPr="00F573A7">
        <w:t>CRPC</w:t>
      </w:r>
      <w:r w:rsidR="003934F6" w:rsidRPr="00F573A7">
        <w:t>;</w:t>
      </w:r>
      <w:r w:rsidR="00A50569" w:rsidRPr="00F573A7">
        <w:t xml:space="preserve"> </w:t>
      </w:r>
      <w:r w:rsidRPr="00F573A7">
        <w:t>CI negative</w:t>
      </w:r>
      <w:r w:rsidR="003934F6" w:rsidRPr="00F573A7">
        <w:t>’</w:t>
      </w:r>
      <w:r w:rsidRPr="00F573A7">
        <w:t xml:space="preserve"> population</w:t>
      </w:r>
    </w:p>
    <w:tbl>
      <w:tblPr>
        <w:tblStyle w:val="TableGrid1"/>
        <w:tblW w:w="5000" w:type="pct"/>
        <w:tblInd w:w="0" w:type="dxa"/>
        <w:tblLook w:val="04A0" w:firstRow="1" w:lastRow="0" w:firstColumn="1" w:lastColumn="0" w:noHBand="0" w:noVBand="1"/>
        <w:tblCaption w:val="Table 6: Total number of patients eligible for and uptake of darolutamide in ‘CRPC; CI negative’ population"/>
      </w:tblPr>
      <w:tblGrid>
        <w:gridCol w:w="420"/>
        <w:gridCol w:w="2835"/>
        <w:gridCol w:w="709"/>
        <w:gridCol w:w="709"/>
        <w:gridCol w:w="709"/>
        <w:gridCol w:w="709"/>
        <w:gridCol w:w="709"/>
        <w:gridCol w:w="701"/>
        <w:gridCol w:w="1515"/>
      </w:tblGrid>
      <w:tr w:rsidR="00587099" w:rsidRPr="00F573A7" w:rsidTr="003D67B6">
        <w:trPr>
          <w:trHeight w:val="255"/>
          <w:tblHeader/>
        </w:trPr>
        <w:tc>
          <w:tcPr>
            <w:tcW w:w="23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87099" w:rsidRPr="00F573A7" w:rsidRDefault="00587099" w:rsidP="0006229B">
            <w:pPr>
              <w:keepNext/>
              <w:keepLines/>
              <w:spacing w:before="0"/>
              <w:jc w:val="center"/>
              <w:rPr>
                <w:rFonts w:ascii="Arial Narrow" w:eastAsia="Times New Roman" w:hAnsi="Arial Narrow"/>
                <w:b/>
                <w:bCs/>
                <w:sz w:val="20"/>
                <w:szCs w:val="20"/>
              </w:rPr>
            </w:pPr>
            <w:r w:rsidRPr="00F573A7">
              <w:rPr>
                <w:rFonts w:ascii="Arial Narrow" w:hAnsi="Arial Narrow"/>
                <w:b/>
                <w:bCs/>
                <w:sz w:val="20"/>
                <w:szCs w:val="20"/>
              </w:rPr>
              <w:t>Row</w:t>
            </w:r>
          </w:p>
        </w:tc>
        <w:tc>
          <w:tcPr>
            <w:tcW w:w="157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87099" w:rsidRPr="00F573A7" w:rsidRDefault="00587099" w:rsidP="0006229B">
            <w:pPr>
              <w:keepNext/>
              <w:keepLines/>
              <w:spacing w:before="0"/>
              <w:rPr>
                <w:rFonts w:ascii="Arial Narrow" w:eastAsia="Times New Roman" w:hAnsi="Arial Narrow"/>
                <w:b/>
                <w:bCs/>
                <w:sz w:val="20"/>
                <w:szCs w:val="20"/>
              </w:rPr>
            </w:pPr>
            <w:r w:rsidRPr="00F573A7">
              <w:rPr>
                <w:rFonts w:ascii="Arial Narrow" w:hAnsi="Arial Narrow"/>
                <w:b/>
                <w:bCs/>
                <w:sz w:val="20"/>
                <w:szCs w:val="20"/>
              </w:rPr>
              <w:t>Parameter</w:t>
            </w:r>
          </w:p>
        </w:tc>
        <w:tc>
          <w:tcPr>
            <w:tcW w:w="39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587099" w:rsidRPr="00F573A7" w:rsidRDefault="00A50569" w:rsidP="0006229B">
            <w:pPr>
              <w:keepNext/>
              <w:keepLines/>
              <w:spacing w:before="0"/>
              <w:jc w:val="center"/>
              <w:rPr>
                <w:rFonts w:ascii="Arial Narrow" w:eastAsia="Times New Roman" w:hAnsi="Arial Narrow"/>
                <w:b/>
                <w:bCs/>
                <w:sz w:val="20"/>
                <w:szCs w:val="20"/>
              </w:rPr>
            </w:pPr>
            <w:r w:rsidRPr="00F573A7">
              <w:rPr>
                <w:rFonts w:ascii="Arial Narrow" w:hAnsi="Arial Narrow"/>
                <w:b/>
                <w:bCs/>
                <w:sz w:val="20"/>
                <w:szCs w:val="20"/>
              </w:rPr>
              <w:t>2022</w:t>
            </w:r>
          </w:p>
        </w:tc>
        <w:tc>
          <w:tcPr>
            <w:tcW w:w="39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587099" w:rsidRPr="00F573A7" w:rsidRDefault="00A50569" w:rsidP="0006229B">
            <w:pPr>
              <w:keepNext/>
              <w:keepLines/>
              <w:spacing w:before="0"/>
              <w:jc w:val="center"/>
              <w:rPr>
                <w:rFonts w:ascii="Arial Narrow" w:eastAsia="Times New Roman" w:hAnsi="Arial Narrow"/>
                <w:b/>
                <w:bCs/>
                <w:sz w:val="20"/>
                <w:szCs w:val="20"/>
              </w:rPr>
            </w:pPr>
            <w:r w:rsidRPr="00F573A7">
              <w:rPr>
                <w:rFonts w:ascii="Arial Narrow" w:hAnsi="Arial Narrow"/>
                <w:b/>
                <w:bCs/>
                <w:sz w:val="20"/>
                <w:szCs w:val="20"/>
              </w:rPr>
              <w:t>2023</w:t>
            </w:r>
          </w:p>
        </w:tc>
        <w:tc>
          <w:tcPr>
            <w:tcW w:w="39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587099" w:rsidRPr="00F573A7" w:rsidRDefault="00A50569" w:rsidP="0006229B">
            <w:pPr>
              <w:keepNext/>
              <w:keepLines/>
              <w:spacing w:before="0"/>
              <w:jc w:val="center"/>
              <w:rPr>
                <w:rFonts w:ascii="Arial Narrow" w:eastAsia="Times New Roman" w:hAnsi="Arial Narrow"/>
                <w:b/>
                <w:bCs/>
                <w:sz w:val="20"/>
                <w:szCs w:val="20"/>
              </w:rPr>
            </w:pPr>
            <w:r w:rsidRPr="00F573A7">
              <w:rPr>
                <w:rFonts w:ascii="Arial Narrow" w:hAnsi="Arial Narrow"/>
                <w:b/>
                <w:bCs/>
                <w:sz w:val="20"/>
                <w:szCs w:val="20"/>
              </w:rPr>
              <w:t>2024</w:t>
            </w:r>
          </w:p>
        </w:tc>
        <w:tc>
          <w:tcPr>
            <w:tcW w:w="39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587099" w:rsidRPr="00F573A7" w:rsidRDefault="00A50569" w:rsidP="0006229B">
            <w:pPr>
              <w:keepNext/>
              <w:keepLines/>
              <w:spacing w:before="0"/>
              <w:jc w:val="center"/>
              <w:rPr>
                <w:rFonts w:ascii="Arial Narrow" w:eastAsia="Times New Roman" w:hAnsi="Arial Narrow"/>
                <w:b/>
                <w:bCs/>
                <w:sz w:val="20"/>
                <w:szCs w:val="20"/>
              </w:rPr>
            </w:pPr>
            <w:r w:rsidRPr="00F573A7">
              <w:rPr>
                <w:rFonts w:ascii="Arial Narrow" w:hAnsi="Arial Narrow"/>
                <w:b/>
                <w:bCs/>
                <w:sz w:val="20"/>
                <w:szCs w:val="20"/>
              </w:rPr>
              <w:t>2025</w:t>
            </w:r>
          </w:p>
        </w:tc>
        <w:tc>
          <w:tcPr>
            <w:tcW w:w="39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587099" w:rsidRPr="00F573A7" w:rsidRDefault="00A50569" w:rsidP="0006229B">
            <w:pPr>
              <w:keepNext/>
              <w:keepLines/>
              <w:spacing w:before="0"/>
              <w:jc w:val="center"/>
              <w:rPr>
                <w:rFonts w:ascii="Arial Narrow" w:eastAsia="Times New Roman" w:hAnsi="Arial Narrow"/>
                <w:b/>
                <w:bCs/>
                <w:sz w:val="20"/>
                <w:szCs w:val="20"/>
              </w:rPr>
            </w:pPr>
            <w:r w:rsidRPr="00F573A7">
              <w:rPr>
                <w:rFonts w:ascii="Arial Narrow" w:hAnsi="Arial Narrow"/>
                <w:b/>
                <w:bCs/>
                <w:sz w:val="20"/>
                <w:szCs w:val="20"/>
              </w:rPr>
              <w:t>2026</w:t>
            </w:r>
          </w:p>
        </w:tc>
        <w:tc>
          <w:tcPr>
            <w:tcW w:w="389"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587099" w:rsidRPr="00F573A7" w:rsidRDefault="00A50569" w:rsidP="0006229B">
            <w:pPr>
              <w:keepNext/>
              <w:keepLines/>
              <w:spacing w:before="0"/>
              <w:jc w:val="center"/>
              <w:rPr>
                <w:rFonts w:ascii="Arial Narrow" w:eastAsia="Times New Roman" w:hAnsi="Arial Narrow"/>
                <w:b/>
                <w:bCs/>
                <w:sz w:val="20"/>
                <w:szCs w:val="20"/>
              </w:rPr>
            </w:pPr>
            <w:r w:rsidRPr="00F573A7">
              <w:rPr>
                <w:rFonts w:ascii="Arial Narrow" w:hAnsi="Arial Narrow"/>
                <w:b/>
                <w:bCs/>
                <w:sz w:val="20"/>
                <w:szCs w:val="20"/>
              </w:rPr>
              <w:t>2027</w:t>
            </w:r>
          </w:p>
        </w:tc>
        <w:tc>
          <w:tcPr>
            <w:tcW w:w="84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87099" w:rsidRPr="00F573A7" w:rsidRDefault="00587099" w:rsidP="0006229B">
            <w:pPr>
              <w:keepNext/>
              <w:keepLines/>
              <w:spacing w:before="0"/>
              <w:jc w:val="center"/>
              <w:rPr>
                <w:rFonts w:ascii="Arial Narrow" w:eastAsia="Times New Roman" w:hAnsi="Arial Narrow"/>
                <w:b/>
                <w:bCs/>
                <w:sz w:val="20"/>
                <w:szCs w:val="20"/>
              </w:rPr>
            </w:pPr>
            <w:r w:rsidRPr="00F573A7">
              <w:rPr>
                <w:rFonts w:ascii="Arial Narrow" w:hAnsi="Arial Narrow"/>
                <w:b/>
                <w:bCs/>
                <w:sz w:val="20"/>
                <w:szCs w:val="20"/>
              </w:rPr>
              <w:t>Source/calculation</w:t>
            </w:r>
          </w:p>
        </w:tc>
      </w:tr>
      <w:tr w:rsidR="00587099" w:rsidRPr="00F573A7" w:rsidTr="00A50569">
        <w:trPr>
          <w:trHeight w:val="255"/>
        </w:trPr>
        <w:tc>
          <w:tcPr>
            <w:tcW w:w="233" w:type="pct"/>
            <w:tcBorders>
              <w:top w:val="single" w:sz="4" w:space="0" w:color="auto"/>
              <w:left w:val="single" w:sz="4" w:space="0" w:color="auto"/>
              <w:bottom w:val="single" w:sz="8" w:space="0" w:color="auto"/>
              <w:right w:val="single" w:sz="4" w:space="0" w:color="auto"/>
            </w:tcBorders>
            <w:shd w:val="clear" w:color="auto" w:fill="auto"/>
            <w:tcMar>
              <w:left w:w="28" w:type="dxa"/>
              <w:right w:w="28" w:type="dxa"/>
            </w:tcMar>
            <w:vAlign w:val="center"/>
            <w:hideMark/>
          </w:tcPr>
          <w:p w:rsidR="00587099" w:rsidRPr="00F573A7" w:rsidRDefault="00587099" w:rsidP="0006229B">
            <w:pPr>
              <w:keepNext/>
              <w:keepLines/>
              <w:spacing w:before="0"/>
              <w:jc w:val="center"/>
              <w:rPr>
                <w:rFonts w:ascii="Arial Narrow" w:eastAsia="Times New Roman" w:hAnsi="Arial Narrow"/>
                <w:sz w:val="20"/>
                <w:szCs w:val="20"/>
              </w:rPr>
            </w:pPr>
            <w:r w:rsidRPr="00F573A7">
              <w:rPr>
                <w:rFonts w:ascii="Arial Narrow" w:hAnsi="Arial Narrow"/>
                <w:sz w:val="20"/>
                <w:szCs w:val="20"/>
              </w:rPr>
              <w:t>A</w:t>
            </w:r>
          </w:p>
        </w:tc>
        <w:tc>
          <w:tcPr>
            <w:tcW w:w="1572" w:type="pct"/>
            <w:tcBorders>
              <w:top w:val="single" w:sz="4" w:space="0" w:color="auto"/>
              <w:left w:val="single" w:sz="4" w:space="0" w:color="auto"/>
              <w:bottom w:val="single" w:sz="8" w:space="0" w:color="auto"/>
              <w:right w:val="single" w:sz="4" w:space="0" w:color="auto"/>
            </w:tcBorders>
            <w:shd w:val="clear" w:color="auto" w:fill="auto"/>
            <w:tcMar>
              <w:left w:w="28" w:type="dxa"/>
              <w:right w:w="28" w:type="dxa"/>
            </w:tcMar>
            <w:vAlign w:val="center"/>
            <w:hideMark/>
          </w:tcPr>
          <w:p w:rsidR="00587099" w:rsidRPr="00F573A7" w:rsidRDefault="00587099" w:rsidP="0006229B">
            <w:pPr>
              <w:keepNext/>
              <w:keepLines/>
              <w:spacing w:before="0"/>
              <w:jc w:val="left"/>
              <w:rPr>
                <w:rFonts w:ascii="Arial Narrow" w:eastAsia="Times New Roman" w:hAnsi="Arial Narrow"/>
                <w:sz w:val="20"/>
                <w:szCs w:val="20"/>
              </w:rPr>
            </w:pPr>
            <w:r w:rsidRPr="00F573A7">
              <w:rPr>
                <w:rFonts w:ascii="Arial Narrow" w:hAnsi="Arial Narrow"/>
                <w:sz w:val="20"/>
                <w:szCs w:val="20"/>
              </w:rPr>
              <w:t>Overall eligible ‘CRPC; CI negative’ population</w:t>
            </w:r>
          </w:p>
        </w:tc>
        <w:tc>
          <w:tcPr>
            <w:tcW w:w="393" w:type="pct"/>
            <w:tcBorders>
              <w:top w:val="single" w:sz="4" w:space="0" w:color="auto"/>
              <w:left w:val="single" w:sz="4" w:space="0" w:color="auto"/>
              <w:bottom w:val="single" w:sz="8" w:space="0" w:color="auto"/>
              <w:right w:val="single" w:sz="4" w:space="0" w:color="auto"/>
            </w:tcBorders>
            <w:shd w:val="clear" w:color="auto" w:fill="auto"/>
            <w:noWrap/>
            <w:tcMar>
              <w:left w:w="28" w:type="dxa"/>
              <w:right w:w="28" w:type="dxa"/>
            </w:tcMar>
            <w:vAlign w:val="center"/>
            <w:hideMark/>
          </w:tcPr>
          <w:p w:rsidR="00587099" w:rsidRPr="004B7986" w:rsidRDefault="004B7986" w:rsidP="003D070A">
            <w:pPr>
              <w:keepNext/>
              <w:keepLines/>
              <w:spacing w:before="0"/>
              <w:jc w:val="right"/>
              <w:rPr>
                <w:rFonts w:ascii="Arial Narrow" w:eastAsia="Times New Roman" w:hAnsi="Arial Narrow"/>
                <w:sz w:val="20"/>
                <w:szCs w:val="20"/>
                <w:vertAlign w:val="superscript"/>
              </w:rPr>
            </w:pPr>
            <w:r>
              <w:rPr>
                <w:rFonts w:ascii="Arial Narrow" w:hAnsi="Arial Narrow"/>
                <w:noProof/>
                <w:color w:val="000000"/>
                <w:sz w:val="20"/>
                <w:highlight w:val="black"/>
              </w:rPr>
              <w:t>'''''''''''''</w:t>
            </w:r>
            <w:r w:rsidR="00861B82" w:rsidRPr="000E7FF4">
              <w:rPr>
                <w:rFonts w:ascii="Arial Narrow" w:hAnsi="Arial Narrow"/>
                <w:sz w:val="20"/>
                <w:szCs w:val="20"/>
                <w:vertAlign w:val="superscript"/>
              </w:rPr>
              <w:t>1</w:t>
            </w:r>
          </w:p>
        </w:tc>
        <w:tc>
          <w:tcPr>
            <w:tcW w:w="393" w:type="pct"/>
            <w:tcBorders>
              <w:top w:val="single" w:sz="4" w:space="0" w:color="auto"/>
              <w:left w:val="single" w:sz="4" w:space="0" w:color="auto"/>
              <w:bottom w:val="single" w:sz="8" w:space="0" w:color="auto"/>
              <w:right w:val="single" w:sz="4" w:space="0" w:color="auto"/>
            </w:tcBorders>
            <w:shd w:val="clear" w:color="auto" w:fill="auto"/>
            <w:noWrap/>
            <w:tcMar>
              <w:left w:w="28" w:type="dxa"/>
              <w:right w:w="28" w:type="dxa"/>
            </w:tcMar>
            <w:vAlign w:val="center"/>
            <w:hideMark/>
          </w:tcPr>
          <w:p w:rsidR="00587099" w:rsidRPr="004B7986" w:rsidRDefault="004B7986" w:rsidP="003D070A">
            <w:pPr>
              <w:keepNext/>
              <w:keepLines/>
              <w:spacing w:before="0"/>
              <w:jc w:val="right"/>
              <w:rPr>
                <w:rFonts w:ascii="Arial Narrow" w:eastAsia="Times New Roman" w:hAnsi="Arial Narrow"/>
                <w:sz w:val="20"/>
                <w:szCs w:val="20"/>
              </w:rPr>
            </w:pPr>
            <w:r>
              <w:rPr>
                <w:rFonts w:ascii="Arial Narrow" w:hAnsi="Arial Narrow"/>
                <w:noProof/>
                <w:color w:val="000000"/>
                <w:sz w:val="20"/>
                <w:highlight w:val="black"/>
              </w:rPr>
              <w:t>''''''''''''</w:t>
            </w:r>
            <w:r w:rsidR="00861B82" w:rsidRPr="00BD7A41">
              <w:rPr>
                <w:rFonts w:ascii="Arial Narrow" w:hAnsi="Arial Narrow"/>
                <w:sz w:val="20"/>
                <w:szCs w:val="20"/>
                <w:vertAlign w:val="superscript"/>
              </w:rPr>
              <w:t>1</w:t>
            </w:r>
          </w:p>
        </w:tc>
        <w:tc>
          <w:tcPr>
            <w:tcW w:w="393" w:type="pct"/>
            <w:tcBorders>
              <w:top w:val="single" w:sz="4" w:space="0" w:color="auto"/>
              <w:left w:val="single" w:sz="4" w:space="0" w:color="auto"/>
              <w:bottom w:val="single" w:sz="8" w:space="0" w:color="auto"/>
              <w:right w:val="single" w:sz="4" w:space="0" w:color="auto"/>
            </w:tcBorders>
            <w:shd w:val="clear" w:color="auto" w:fill="auto"/>
            <w:noWrap/>
            <w:tcMar>
              <w:left w:w="28" w:type="dxa"/>
              <w:right w:w="28" w:type="dxa"/>
            </w:tcMar>
            <w:vAlign w:val="center"/>
            <w:hideMark/>
          </w:tcPr>
          <w:p w:rsidR="00587099" w:rsidRPr="004B7986" w:rsidRDefault="004B7986" w:rsidP="003D070A">
            <w:pPr>
              <w:keepNext/>
              <w:keepLines/>
              <w:spacing w:before="0"/>
              <w:jc w:val="right"/>
              <w:rPr>
                <w:rFonts w:ascii="Arial Narrow" w:eastAsia="Times New Roman" w:hAnsi="Arial Narrow"/>
                <w:sz w:val="20"/>
                <w:szCs w:val="20"/>
              </w:rPr>
            </w:pPr>
            <w:r>
              <w:rPr>
                <w:rFonts w:ascii="Arial Narrow" w:hAnsi="Arial Narrow"/>
                <w:noProof/>
                <w:color w:val="000000"/>
                <w:sz w:val="20"/>
                <w:highlight w:val="black"/>
              </w:rPr>
              <w:t>''''''''''''</w:t>
            </w:r>
            <w:r w:rsidR="00861B82" w:rsidRPr="00BD7A41">
              <w:rPr>
                <w:rFonts w:ascii="Arial Narrow" w:hAnsi="Arial Narrow"/>
                <w:sz w:val="20"/>
                <w:szCs w:val="20"/>
                <w:vertAlign w:val="superscript"/>
              </w:rPr>
              <w:t>1</w:t>
            </w:r>
          </w:p>
        </w:tc>
        <w:tc>
          <w:tcPr>
            <w:tcW w:w="393" w:type="pct"/>
            <w:tcBorders>
              <w:top w:val="single" w:sz="4" w:space="0" w:color="auto"/>
              <w:left w:val="single" w:sz="4" w:space="0" w:color="auto"/>
              <w:bottom w:val="single" w:sz="8" w:space="0" w:color="auto"/>
              <w:right w:val="single" w:sz="4" w:space="0" w:color="auto"/>
            </w:tcBorders>
            <w:shd w:val="clear" w:color="auto" w:fill="auto"/>
            <w:noWrap/>
            <w:tcMar>
              <w:left w:w="28" w:type="dxa"/>
              <w:right w:w="28" w:type="dxa"/>
            </w:tcMar>
            <w:vAlign w:val="center"/>
            <w:hideMark/>
          </w:tcPr>
          <w:p w:rsidR="00587099" w:rsidRPr="004B7986" w:rsidRDefault="004B7986" w:rsidP="003D070A">
            <w:pPr>
              <w:keepNext/>
              <w:keepLines/>
              <w:spacing w:before="0"/>
              <w:jc w:val="right"/>
              <w:rPr>
                <w:rFonts w:ascii="Arial Narrow" w:eastAsia="Times New Roman" w:hAnsi="Arial Narrow"/>
                <w:sz w:val="20"/>
                <w:szCs w:val="20"/>
              </w:rPr>
            </w:pPr>
            <w:r>
              <w:rPr>
                <w:rFonts w:ascii="Arial Narrow" w:hAnsi="Arial Narrow"/>
                <w:noProof/>
                <w:color w:val="000000"/>
                <w:sz w:val="20"/>
                <w:highlight w:val="black"/>
              </w:rPr>
              <w:t>''''''''''''''</w:t>
            </w:r>
            <w:r w:rsidR="00861B82" w:rsidRPr="00BD7A41">
              <w:rPr>
                <w:rFonts w:ascii="Arial Narrow" w:hAnsi="Arial Narrow"/>
                <w:sz w:val="20"/>
                <w:szCs w:val="20"/>
                <w:vertAlign w:val="superscript"/>
              </w:rPr>
              <w:t>1</w:t>
            </w:r>
          </w:p>
        </w:tc>
        <w:tc>
          <w:tcPr>
            <w:tcW w:w="393" w:type="pct"/>
            <w:tcBorders>
              <w:top w:val="single" w:sz="4" w:space="0" w:color="auto"/>
              <w:left w:val="single" w:sz="4" w:space="0" w:color="auto"/>
              <w:bottom w:val="single" w:sz="8" w:space="0" w:color="auto"/>
              <w:right w:val="single" w:sz="4" w:space="0" w:color="auto"/>
            </w:tcBorders>
            <w:shd w:val="clear" w:color="auto" w:fill="auto"/>
            <w:noWrap/>
            <w:tcMar>
              <w:left w:w="28" w:type="dxa"/>
              <w:right w:w="28" w:type="dxa"/>
            </w:tcMar>
            <w:vAlign w:val="center"/>
            <w:hideMark/>
          </w:tcPr>
          <w:p w:rsidR="00587099" w:rsidRPr="004B7986" w:rsidRDefault="004B7986" w:rsidP="003D070A">
            <w:pPr>
              <w:keepNext/>
              <w:keepLines/>
              <w:spacing w:before="0"/>
              <w:jc w:val="right"/>
              <w:rPr>
                <w:rFonts w:ascii="Arial Narrow" w:eastAsia="Times New Roman" w:hAnsi="Arial Narrow"/>
                <w:sz w:val="20"/>
                <w:szCs w:val="20"/>
              </w:rPr>
            </w:pPr>
            <w:r>
              <w:rPr>
                <w:rFonts w:ascii="Arial Narrow" w:hAnsi="Arial Narrow"/>
                <w:noProof/>
                <w:color w:val="000000"/>
                <w:sz w:val="20"/>
                <w:highlight w:val="black"/>
              </w:rPr>
              <w:t>''''''''''''''</w:t>
            </w:r>
            <w:r w:rsidR="00861B82" w:rsidRPr="00BD7A41">
              <w:rPr>
                <w:rFonts w:ascii="Arial Narrow" w:hAnsi="Arial Narrow"/>
                <w:sz w:val="20"/>
                <w:szCs w:val="20"/>
                <w:vertAlign w:val="superscript"/>
              </w:rPr>
              <w:t>1</w:t>
            </w:r>
          </w:p>
        </w:tc>
        <w:tc>
          <w:tcPr>
            <w:tcW w:w="389" w:type="pct"/>
            <w:tcBorders>
              <w:top w:val="single" w:sz="4" w:space="0" w:color="auto"/>
              <w:left w:val="single" w:sz="4" w:space="0" w:color="auto"/>
              <w:bottom w:val="single" w:sz="8" w:space="0" w:color="auto"/>
              <w:right w:val="single" w:sz="4" w:space="0" w:color="auto"/>
            </w:tcBorders>
            <w:shd w:val="clear" w:color="auto" w:fill="auto"/>
            <w:noWrap/>
            <w:tcMar>
              <w:left w:w="28" w:type="dxa"/>
              <w:right w:w="28" w:type="dxa"/>
            </w:tcMar>
            <w:vAlign w:val="center"/>
            <w:hideMark/>
          </w:tcPr>
          <w:p w:rsidR="00587099" w:rsidRPr="004B7986" w:rsidRDefault="004B7986" w:rsidP="003D070A">
            <w:pPr>
              <w:keepNext/>
              <w:keepLines/>
              <w:spacing w:before="0"/>
              <w:jc w:val="right"/>
              <w:rPr>
                <w:rFonts w:ascii="Arial Narrow" w:eastAsia="Times New Roman" w:hAnsi="Arial Narrow"/>
                <w:sz w:val="20"/>
                <w:szCs w:val="20"/>
              </w:rPr>
            </w:pPr>
            <w:r>
              <w:rPr>
                <w:rFonts w:ascii="Arial Narrow" w:hAnsi="Arial Narrow"/>
                <w:noProof/>
                <w:color w:val="000000"/>
                <w:sz w:val="20"/>
                <w:highlight w:val="black"/>
              </w:rPr>
              <w:t>'''''''''''''</w:t>
            </w:r>
            <w:r w:rsidR="00861B82" w:rsidRPr="00BD7A41">
              <w:rPr>
                <w:rFonts w:ascii="Arial Narrow" w:hAnsi="Arial Narrow"/>
                <w:sz w:val="20"/>
                <w:szCs w:val="20"/>
                <w:vertAlign w:val="superscript"/>
              </w:rPr>
              <w:t>1</w:t>
            </w:r>
          </w:p>
        </w:tc>
        <w:tc>
          <w:tcPr>
            <w:tcW w:w="840" w:type="pct"/>
            <w:tcBorders>
              <w:top w:val="single" w:sz="4" w:space="0" w:color="auto"/>
              <w:left w:val="single" w:sz="4" w:space="0" w:color="auto"/>
              <w:bottom w:val="single" w:sz="8" w:space="0" w:color="auto"/>
              <w:right w:val="single" w:sz="4" w:space="0" w:color="auto"/>
            </w:tcBorders>
            <w:shd w:val="clear" w:color="auto" w:fill="auto"/>
            <w:tcMar>
              <w:left w:w="28" w:type="dxa"/>
              <w:right w:w="28" w:type="dxa"/>
            </w:tcMar>
            <w:vAlign w:val="center"/>
            <w:hideMark/>
          </w:tcPr>
          <w:p w:rsidR="00587099" w:rsidRPr="00F573A7" w:rsidRDefault="00587099" w:rsidP="0006229B">
            <w:pPr>
              <w:keepNext/>
              <w:keepLines/>
              <w:spacing w:before="0"/>
              <w:jc w:val="center"/>
              <w:rPr>
                <w:rFonts w:ascii="Arial Narrow" w:eastAsia="Times New Roman" w:hAnsi="Arial Narrow"/>
                <w:sz w:val="20"/>
                <w:szCs w:val="20"/>
              </w:rPr>
            </w:pPr>
            <w:r w:rsidRPr="00F573A7">
              <w:rPr>
                <w:rFonts w:ascii="Arial Narrow" w:hAnsi="Arial Narrow"/>
                <w:sz w:val="20"/>
                <w:szCs w:val="20"/>
              </w:rPr>
              <w:t>March 2021 resubmission</w:t>
            </w:r>
            <w:r w:rsidRPr="00F573A7">
              <w:rPr>
                <w:rFonts w:ascii="Arial Narrow" w:hAnsi="Arial Narrow"/>
                <w:sz w:val="20"/>
                <w:szCs w:val="20"/>
                <w:vertAlign w:val="superscript"/>
              </w:rPr>
              <w:t>a</w:t>
            </w:r>
            <w:r w:rsidRPr="00F573A7">
              <w:rPr>
                <w:rFonts w:ascii="Arial Narrow" w:hAnsi="Arial Narrow"/>
                <w:sz w:val="20"/>
                <w:szCs w:val="20"/>
              </w:rPr>
              <w:t xml:space="preserve"> </w:t>
            </w:r>
          </w:p>
        </w:tc>
      </w:tr>
      <w:tr w:rsidR="00587099" w:rsidRPr="00F573A7" w:rsidTr="00A50569">
        <w:trPr>
          <w:trHeight w:val="255"/>
        </w:trPr>
        <w:tc>
          <w:tcPr>
            <w:tcW w:w="233" w:type="pct"/>
            <w:tcBorders>
              <w:top w:val="single" w:sz="8"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87099" w:rsidRPr="00F573A7" w:rsidRDefault="00587099" w:rsidP="0006229B">
            <w:pPr>
              <w:keepNext/>
              <w:keepLines/>
              <w:spacing w:before="0"/>
              <w:jc w:val="center"/>
              <w:rPr>
                <w:rFonts w:ascii="Arial Narrow" w:eastAsia="Times New Roman" w:hAnsi="Arial Narrow"/>
                <w:sz w:val="20"/>
                <w:szCs w:val="20"/>
              </w:rPr>
            </w:pPr>
            <w:r w:rsidRPr="00F573A7">
              <w:rPr>
                <w:rFonts w:ascii="Arial Narrow" w:hAnsi="Arial Narrow"/>
                <w:sz w:val="20"/>
                <w:szCs w:val="20"/>
              </w:rPr>
              <w:t>B</w:t>
            </w:r>
          </w:p>
        </w:tc>
        <w:tc>
          <w:tcPr>
            <w:tcW w:w="1572" w:type="pct"/>
            <w:tcBorders>
              <w:top w:val="single" w:sz="8"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87099" w:rsidRPr="00F573A7" w:rsidRDefault="00587099" w:rsidP="0006229B">
            <w:pPr>
              <w:keepNext/>
              <w:keepLines/>
              <w:spacing w:before="0"/>
              <w:jc w:val="left"/>
              <w:rPr>
                <w:rFonts w:ascii="Arial Narrow" w:eastAsia="Times New Roman" w:hAnsi="Arial Narrow"/>
                <w:sz w:val="20"/>
                <w:szCs w:val="20"/>
              </w:rPr>
            </w:pPr>
            <w:r w:rsidRPr="00F573A7">
              <w:rPr>
                <w:rFonts w:ascii="Arial Narrow" w:hAnsi="Arial Narrow"/>
                <w:sz w:val="20"/>
                <w:szCs w:val="20"/>
              </w:rPr>
              <w:t>Uptake of PSMA-PET</w:t>
            </w:r>
          </w:p>
        </w:tc>
        <w:tc>
          <w:tcPr>
            <w:tcW w:w="393" w:type="pct"/>
            <w:tcBorders>
              <w:top w:val="single" w:sz="8"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587099" w:rsidRPr="00F573A7" w:rsidRDefault="00587099" w:rsidP="003D070A">
            <w:pPr>
              <w:keepNext/>
              <w:keepLines/>
              <w:spacing w:before="0"/>
              <w:jc w:val="right"/>
              <w:rPr>
                <w:rFonts w:ascii="Arial Narrow" w:eastAsia="Times New Roman" w:hAnsi="Arial Narrow"/>
                <w:sz w:val="20"/>
                <w:szCs w:val="20"/>
              </w:rPr>
            </w:pPr>
            <w:r w:rsidRPr="00F573A7">
              <w:rPr>
                <w:rFonts w:ascii="Arial Narrow" w:hAnsi="Arial Narrow"/>
                <w:sz w:val="20"/>
                <w:szCs w:val="20"/>
              </w:rPr>
              <w:t>80%</w:t>
            </w:r>
          </w:p>
        </w:tc>
        <w:tc>
          <w:tcPr>
            <w:tcW w:w="393" w:type="pct"/>
            <w:tcBorders>
              <w:top w:val="single" w:sz="8"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587099" w:rsidRPr="00F573A7" w:rsidRDefault="00587099" w:rsidP="003D070A">
            <w:pPr>
              <w:keepNext/>
              <w:keepLines/>
              <w:spacing w:before="0"/>
              <w:jc w:val="right"/>
              <w:rPr>
                <w:rFonts w:ascii="Arial Narrow" w:eastAsia="Times New Roman" w:hAnsi="Arial Narrow"/>
                <w:sz w:val="20"/>
                <w:szCs w:val="20"/>
              </w:rPr>
            </w:pPr>
            <w:r w:rsidRPr="00F573A7">
              <w:rPr>
                <w:rFonts w:ascii="Arial Narrow" w:hAnsi="Arial Narrow"/>
                <w:sz w:val="20"/>
                <w:szCs w:val="20"/>
              </w:rPr>
              <w:t>85%</w:t>
            </w:r>
          </w:p>
        </w:tc>
        <w:tc>
          <w:tcPr>
            <w:tcW w:w="393" w:type="pct"/>
            <w:tcBorders>
              <w:top w:val="single" w:sz="8"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587099" w:rsidRPr="00F573A7" w:rsidRDefault="00587099" w:rsidP="003D070A">
            <w:pPr>
              <w:keepNext/>
              <w:keepLines/>
              <w:spacing w:before="0"/>
              <w:jc w:val="right"/>
              <w:rPr>
                <w:rFonts w:ascii="Arial Narrow" w:eastAsia="Times New Roman" w:hAnsi="Arial Narrow"/>
                <w:sz w:val="20"/>
                <w:szCs w:val="20"/>
              </w:rPr>
            </w:pPr>
            <w:r w:rsidRPr="00F573A7">
              <w:rPr>
                <w:rFonts w:ascii="Arial Narrow" w:hAnsi="Arial Narrow"/>
                <w:sz w:val="20"/>
                <w:szCs w:val="20"/>
              </w:rPr>
              <w:t>90%</w:t>
            </w:r>
          </w:p>
        </w:tc>
        <w:tc>
          <w:tcPr>
            <w:tcW w:w="393" w:type="pct"/>
            <w:tcBorders>
              <w:top w:val="single" w:sz="8"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587099" w:rsidRPr="00F573A7" w:rsidRDefault="00587099" w:rsidP="003D070A">
            <w:pPr>
              <w:keepNext/>
              <w:keepLines/>
              <w:spacing w:before="0"/>
              <w:jc w:val="right"/>
              <w:rPr>
                <w:rFonts w:ascii="Arial Narrow" w:eastAsia="Times New Roman" w:hAnsi="Arial Narrow"/>
                <w:sz w:val="20"/>
                <w:szCs w:val="20"/>
              </w:rPr>
            </w:pPr>
            <w:r w:rsidRPr="00F573A7">
              <w:rPr>
                <w:rFonts w:ascii="Arial Narrow" w:hAnsi="Arial Narrow"/>
                <w:sz w:val="20"/>
                <w:szCs w:val="20"/>
              </w:rPr>
              <w:t>90%</w:t>
            </w:r>
          </w:p>
        </w:tc>
        <w:tc>
          <w:tcPr>
            <w:tcW w:w="393" w:type="pct"/>
            <w:tcBorders>
              <w:top w:val="single" w:sz="8"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587099" w:rsidRPr="00F573A7" w:rsidRDefault="00587099" w:rsidP="003D070A">
            <w:pPr>
              <w:keepNext/>
              <w:keepLines/>
              <w:spacing w:before="0"/>
              <w:jc w:val="right"/>
              <w:rPr>
                <w:rFonts w:ascii="Arial Narrow" w:eastAsia="Times New Roman" w:hAnsi="Arial Narrow"/>
                <w:sz w:val="20"/>
                <w:szCs w:val="20"/>
              </w:rPr>
            </w:pPr>
            <w:r w:rsidRPr="00F573A7">
              <w:rPr>
                <w:rFonts w:ascii="Arial Narrow" w:hAnsi="Arial Narrow"/>
                <w:sz w:val="20"/>
                <w:szCs w:val="20"/>
              </w:rPr>
              <w:t>90%</w:t>
            </w:r>
          </w:p>
        </w:tc>
        <w:tc>
          <w:tcPr>
            <w:tcW w:w="389" w:type="pct"/>
            <w:tcBorders>
              <w:top w:val="single" w:sz="8"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587099" w:rsidRPr="00F573A7" w:rsidRDefault="00587099" w:rsidP="003D070A">
            <w:pPr>
              <w:keepNext/>
              <w:keepLines/>
              <w:spacing w:before="0"/>
              <w:jc w:val="right"/>
              <w:rPr>
                <w:rFonts w:ascii="Arial Narrow" w:eastAsia="Times New Roman" w:hAnsi="Arial Narrow"/>
                <w:sz w:val="20"/>
                <w:szCs w:val="20"/>
              </w:rPr>
            </w:pPr>
            <w:r w:rsidRPr="00F573A7">
              <w:rPr>
                <w:rFonts w:ascii="Arial Narrow" w:hAnsi="Arial Narrow"/>
                <w:sz w:val="20"/>
                <w:szCs w:val="20"/>
              </w:rPr>
              <w:t>90%</w:t>
            </w:r>
          </w:p>
        </w:tc>
        <w:tc>
          <w:tcPr>
            <w:tcW w:w="840" w:type="pct"/>
            <w:tcBorders>
              <w:top w:val="single" w:sz="8"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87099" w:rsidRPr="00F573A7" w:rsidRDefault="00587099" w:rsidP="0006229B">
            <w:pPr>
              <w:keepNext/>
              <w:keepLines/>
              <w:spacing w:before="0"/>
              <w:jc w:val="center"/>
              <w:rPr>
                <w:rFonts w:ascii="Arial Narrow" w:eastAsia="Times New Roman" w:hAnsi="Arial Narrow"/>
                <w:sz w:val="20"/>
                <w:szCs w:val="20"/>
              </w:rPr>
            </w:pPr>
            <w:r w:rsidRPr="00F573A7">
              <w:rPr>
                <w:rFonts w:ascii="Arial Narrow" w:hAnsi="Arial Narrow"/>
                <w:sz w:val="20"/>
                <w:szCs w:val="20"/>
              </w:rPr>
              <w:t>Assumption</w:t>
            </w:r>
          </w:p>
        </w:tc>
      </w:tr>
      <w:tr w:rsidR="00587099" w:rsidRPr="00F573A7" w:rsidTr="00E75F56">
        <w:trPr>
          <w:trHeight w:val="255"/>
        </w:trPr>
        <w:tc>
          <w:tcPr>
            <w:tcW w:w="23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87099" w:rsidRPr="00F573A7" w:rsidRDefault="00587099" w:rsidP="0006229B">
            <w:pPr>
              <w:keepNext/>
              <w:keepLines/>
              <w:spacing w:before="0"/>
              <w:jc w:val="center"/>
              <w:rPr>
                <w:rFonts w:ascii="Arial Narrow" w:eastAsia="Times New Roman" w:hAnsi="Arial Narrow"/>
                <w:sz w:val="20"/>
                <w:szCs w:val="20"/>
              </w:rPr>
            </w:pPr>
            <w:r w:rsidRPr="00F573A7">
              <w:rPr>
                <w:rFonts w:ascii="Arial Narrow" w:hAnsi="Arial Narrow"/>
                <w:sz w:val="20"/>
                <w:szCs w:val="20"/>
              </w:rPr>
              <w:t>C</w:t>
            </w:r>
          </w:p>
        </w:tc>
        <w:tc>
          <w:tcPr>
            <w:tcW w:w="157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87099" w:rsidRPr="00F573A7" w:rsidRDefault="00587099" w:rsidP="0006229B">
            <w:pPr>
              <w:keepNext/>
              <w:keepLines/>
              <w:spacing w:before="0"/>
              <w:jc w:val="left"/>
              <w:rPr>
                <w:rFonts w:ascii="Arial Narrow" w:eastAsia="Times New Roman" w:hAnsi="Arial Narrow"/>
                <w:b/>
                <w:bCs/>
                <w:sz w:val="20"/>
                <w:szCs w:val="20"/>
              </w:rPr>
            </w:pPr>
            <w:r w:rsidRPr="00F573A7">
              <w:rPr>
                <w:rFonts w:ascii="Arial Narrow" w:hAnsi="Arial Narrow"/>
                <w:b/>
                <w:bCs/>
                <w:sz w:val="20"/>
                <w:szCs w:val="20"/>
              </w:rPr>
              <w:t>CRPC; CI negative; No PSMA-PET</w:t>
            </w:r>
          </w:p>
        </w:tc>
        <w:tc>
          <w:tcPr>
            <w:tcW w:w="39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587099" w:rsidRPr="004B7986" w:rsidRDefault="004B7986" w:rsidP="003D070A">
            <w:pPr>
              <w:keepNext/>
              <w:keepLines/>
              <w:spacing w:before="0"/>
              <w:jc w:val="right"/>
              <w:rPr>
                <w:rFonts w:ascii="Arial Narrow" w:hAnsi="Arial Narrow"/>
                <w:b/>
                <w:sz w:val="20"/>
              </w:rPr>
            </w:pPr>
            <w:r>
              <w:rPr>
                <w:rFonts w:ascii="Arial Narrow" w:hAnsi="Arial Narrow"/>
                <w:b/>
                <w:bCs/>
                <w:noProof/>
                <w:color w:val="000000"/>
                <w:sz w:val="20"/>
                <w:szCs w:val="20"/>
                <w:highlight w:val="black"/>
              </w:rPr>
              <w:t>''''''''</w:t>
            </w:r>
            <w:r w:rsidR="00861B82" w:rsidRPr="00BD7A41">
              <w:rPr>
                <w:rFonts w:ascii="Arial Narrow" w:hAnsi="Arial Narrow"/>
                <w:sz w:val="20"/>
                <w:szCs w:val="20"/>
                <w:vertAlign w:val="superscript"/>
              </w:rPr>
              <w:t>1</w:t>
            </w:r>
          </w:p>
        </w:tc>
        <w:tc>
          <w:tcPr>
            <w:tcW w:w="39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587099" w:rsidRPr="004B7986" w:rsidRDefault="004B7986" w:rsidP="003D070A">
            <w:pPr>
              <w:keepNext/>
              <w:keepLines/>
              <w:spacing w:before="0"/>
              <w:jc w:val="right"/>
              <w:rPr>
                <w:rFonts w:ascii="Arial Narrow" w:hAnsi="Arial Narrow"/>
                <w:b/>
                <w:sz w:val="20"/>
              </w:rPr>
            </w:pPr>
            <w:r>
              <w:rPr>
                <w:rFonts w:ascii="Arial Narrow" w:hAnsi="Arial Narrow"/>
                <w:b/>
                <w:bCs/>
                <w:noProof/>
                <w:color w:val="000000"/>
                <w:sz w:val="20"/>
                <w:szCs w:val="20"/>
                <w:highlight w:val="black"/>
              </w:rPr>
              <w:t>''''''''</w:t>
            </w:r>
            <w:r w:rsidR="00861B82">
              <w:rPr>
                <w:rFonts w:ascii="Arial Narrow" w:hAnsi="Arial Narrow"/>
                <w:sz w:val="20"/>
                <w:szCs w:val="20"/>
                <w:vertAlign w:val="superscript"/>
              </w:rPr>
              <w:t>2</w:t>
            </w:r>
          </w:p>
        </w:tc>
        <w:tc>
          <w:tcPr>
            <w:tcW w:w="39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587099" w:rsidRPr="004B7986" w:rsidRDefault="004B7986" w:rsidP="003D070A">
            <w:pPr>
              <w:keepNext/>
              <w:keepLines/>
              <w:spacing w:before="0"/>
              <w:jc w:val="right"/>
              <w:rPr>
                <w:rFonts w:ascii="Arial Narrow" w:hAnsi="Arial Narrow"/>
                <w:b/>
                <w:sz w:val="20"/>
              </w:rPr>
            </w:pPr>
            <w:r>
              <w:rPr>
                <w:rFonts w:ascii="Arial Narrow" w:hAnsi="Arial Narrow"/>
                <w:b/>
                <w:bCs/>
                <w:noProof/>
                <w:color w:val="000000"/>
                <w:sz w:val="20"/>
                <w:szCs w:val="20"/>
                <w:highlight w:val="black"/>
              </w:rPr>
              <w:t>''''''''</w:t>
            </w:r>
            <w:r w:rsidR="00861B82">
              <w:rPr>
                <w:rFonts w:ascii="Arial Narrow" w:hAnsi="Arial Narrow"/>
                <w:sz w:val="20"/>
                <w:szCs w:val="20"/>
                <w:vertAlign w:val="superscript"/>
              </w:rPr>
              <w:t>2</w:t>
            </w:r>
          </w:p>
        </w:tc>
        <w:tc>
          <w:tcPr>
            <w:tcW w:w="39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587099" w:rsidRPr="004B7986" w:rsidRDefault="004B7986" w:rsidP="003D070A">
            <w:pPr>
              <w:keepNext/>
              <w:keepLines/>
              <w:spacing w:before="0"/>
              <w:jc w:val="right"/>
              <w:rPr>
                <w:rFonts w:ascii="Arial Narrow" w:hAnsi="Arial Narrow"/>
                <w:b/>
                <w:sz w:val="20"/>
              </w:rPr>
            </w:pPr>
            <w:r>
              <w:rPr>
                <w:rFonts w:ascii="Arial Narrow" w:hAnsi="Arial Narrow"/>
                <w:b/>
                <w:bCs/>
                <w:noProof/>
                <w:color w:val="000000"/>
                <w:sz w:val="20"/>
                <w:szCs w:val="20"/>
                <w:highlight w:val="black"/>
              </w:rPr>
              <w:t>'''''''</w:t>
            </w:r>
            <w:r w:rsidR="00861B82">
              <w:rPr>
                <w:rFonts w:ascii="Arial Narrow" w:hAnsi="Arial Narrow"/>
                <w:sz w:val="20"/>
                <w:szCs w:val="20"/>
                <w:vertAlign w:val="superscript"/>
              </w:rPr>
              <w:t>2</w:t>
            </w:r>
          </w:p>
        </w:tc>
        <w:tc>
          <w:tcPr>
            <w:tcW w:w="39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587099" w:rsidRPr="004B7986" w:rsidRDefault="004B7986" w:rsidP="003D070A">
            <w:pPr>
              <w:keepNext/>
              <w:keepLines/>
              <w:spacing w:before="0"/>
              <w:jc w:val="right"/>
              <w:rPr>
                <w:rFonts w:ascii="Arial Narrow" w:hAnsi="Arial Narrow"/>
                <w:b/>
                <w:sz w:val="20"/>
              </w:rPr>
            </w:pPr>
            <w:r>
              <w:rPr>
                <w:rFonts w:ascii="Arial Narrow" w:hAnsi="Arial Narrow"/>
                <w:b/>
                <w:bCs/>
                <w:noProof/>
                <w:color w:val="000000"/>
                <w:sz w:val="20"/>
                <w:szCs w:val="20"/>
                <w:highlight w:val="black"/>
              </w:rPr>
              <w:t>''''''''</w:t>
            </w:r>
            <w:r w:rsidR="00861B82">
              <w:rPr>
                <w:rFonts w:ascii="Arial Narrow" w:hAnsi="Arial Narrow"/>
                <w:sz w:val="20"/>
                <w:szCs w:val="20"/>
                <w:vertAlign w:val="superscript"/>
              </w:rPr>
              <w:t>2</w:t>
            </w:r>
          </w:p>
        </w:tc>
        <w:tc>
          <w:tcPr>
            <w:tcW w:w="389"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587099" w:rsidRPr="004B7986" w:rsidRDefault="004B7986" w:rsidP="003D070A">
            <w:pPr>
              <w:keepNext/>
              <w:keepLines/>
              <w:spacing w:before="0"/>
              <w:jc w:val="right"/>
              <w:rPr>
                <w:rFonts w:ascii="Arial Narrow" w:hAnsi="Arial Narrow"/>
                <w:b/>
                <w:sz w:val="20"/>
              </w:rPr>
            </w:pPr>
            <w:r>
              <w:rPr>
                <w:rFonts w:ascii="Arial Narrow" w:hAnsi="Arial Narrow"/>
                <w:b/>
                <w:bCs/>
                <w:noProof/>
                <w:color w:val="000000"/>
                <w:sz w:val="20"/>
                <w:szCs w:val="20"/>
                <w:highlight w:val="black"/>
              </w:rPr>
              <w:t>'''''''</w:t>
            </w:r>
            <w:r w:rsidR="00861B82">
              <w:rPr>
                <w:rFonts w:ascii="Arial Narrow" w:hAnsi="Arial Narrow"/>
                <w:sz w:val="20"/>
                <w:szCs w:val="20"/>
                <w:vertAlign w:val="superscript"/>
              </w:rPr>
              <w:t>2</w:t>
            </w:r>
          </w:p>
        </w:tc>
        <w:tc>
          <w:tcPr>
            <w:tcW w:w="84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87099" w:rsidRPr="00F573A7" w:rsidRDefault="00587099" w:rsidP="0006229B">
            <w:pPr>
              <w:keepNext/>
              <w:keepLines/>
              <w:spacing w:before="0"/>
              <w:jc w:val="center"/>
              <w:rPr>
                <w:rFonts w:ascii="Arial Narrow" w:eastAsia="Times New Roman" w:hAnsi="Arial Narrow"/>
                <w:sz w:val="20"/>
                <w:szCs w:val="20"/>
              </w:rPr>
            </w:pPr>
            <w:r w:rsidRPr="00F573A7">
              <w:rPr>
                <w:rFonts w:ascii="Arial Narrow" w:hAnsi="Arial Narrow"/>
                <w:sz w:val="20"/>
                <w:szCs w:val="20"/>
              </w:rPr>
              <w:t>A x (1-B)</w:t>
            </w:r>
          </w:p>
        </w:tc>
      </w:tr>
      <w:tr w:rsidR="003934F6" w:rsidRPr="00F573A7" w:rsidTr="00E75F56">
        <w:trPr>
          <w:trHeight w:val="412"/>
        </w:trPr>
        <w:tc>
          <w:tcPr>
            <w:tcW w:w="23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3934F6" w:rsidRPr="00F573A7" w:rsidRDefault="003934F6" w:rsidP="0006229B">
            <w:pPr>
              <w:keepNext/>
              <w:keepLines/>
              <w:spacing w:before="0"/>
              <w:jc w:val="center"/>
              <w:rPr>
                <w:rFonts w:ascii="Arial Narrow" w:hAnsi="Arial Narrow"/>
                <w:sz w:val="20"/>
                <w:szCs w:val="20"/>
              </w:rPr>
            </w:pPr>
            <w:r w:rsidRPr="00F573A7">
              <w:rPr>
                <w:rFonts w:ascii="Arial Narrow" w:hAnsi="Arial Narrow"/>
                <w:sz w:val="20"/>
                <w:szCs w:val="20"/>
              </w:rPr>
              <w:t>D</w:t>
            </w:r>
          </w:p>
        </w:tc>
        <w:tc>
          <w:tcPr>
            <w:tcW w:w="157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3934F6" w:rsidRPr="00F573A7" w:rsidRDefault="003934F6" w:rsidP="0006229B">
            <w:pPr>
              <w:keepNext/>
              <w:keepLines/>
              <w:spacing w:before="0"/>
              <w:jc w:val="left"/>
              <w:rPr>
                <w:rFonts w:ascii="Arial Narrow" w:hAnsi="Arial Narrow"/>
                <w:bCs/>
                <w:sz w:val="20"/>
                <w:szCs w:val="20"/>
              </w:rPr>
            </w:pPr>
            <w:r w:rsidRPr="00F573A7">
              <w:rPr>
                <w:rFonts w:ascii="Arial Narrow" w:hAnsi="Arial Narrow"/>
                <w:bCs/>
                <w:sz w:val="20"/>
                <w:szCs w:val="20"/>
              </w:rPr>
              <w:t>Darolutamide uptake</w:t>
            </w:r>
          </w:p>
        </w:tc>
        <w:tc>
          <w:tcPr>
            <w:tcW w:w="39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3934F6" w:rsidRPr="00F573A7" w:rsidRDefault="004B7986" w:rsidP="003D070A">
            <w:pPr>
              <w:keepNext/>
              <w:keepLines/>
              <w:spacing w:before="0"/>
              <w:jc w:val="right"/>
              <w:rPr>
                <w:rFonts w:ascii="Arial Narrow" w:hAnsi="Arial Narrow"/>
                <w:b/>
                <w:bCs/>
                <w:sz w:val="20"/>
                <w:szCs w:val="20"/>
              </w:rPr>
            </w:pPr>
            <w:r>
              <w:rPr>
                <w:rFonts w:ascii="Arial Narrow" w:hAnsi="Arial Narrow" w:cs="Arial"/>
                <w:iCs/>
                <w:noProof/>
                <w:color w:val="000000"/>
                <w:sz w:val="20"/>
                <w:szCs w:val="20"/>
                <w:highlight w:val="black"/>
              </w:rPr>
              <w:t>'''''''</w:t>
            </w:r>
            <w:r w:rsidR="003934F6" w:rsidRPr="00F573A7">
              <w:rPr>
                <w:rFonts w:ascii="Arial Narrow" w:hAnsi="Arial Narrow" w:cs="Arial"/>
                <w:iCs/>
                <w:sz w:val="20"/>
                <w:szCs w:val="20"/>
              </w:rPr>
              <w:t>%</w:t>
            </w:r>
          </w:p>
        </w:tc>
        <w:tc>
          <w:tcPr>
            <w:tcW w:w="39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3934F6" w:rsidRPr="00F573A7" w:rsidRDefault="004B7986" w:rsidP="003D070A">
            <w:pPr>
              <w:keepNext/>
              <w:keepLines/>
              <w:spacing w:before="0"/>
              <w:jc w:val="right"/>
              <w:rPr>
                <w:rFonts w:ascii="Arial Narrow" w:hAnsi="Arial Narrow"/>
                <w:b/>
                <w:bCs/>
                <w:sz w:val="20"/>
                <w:szCs w:val="20"/>
              </w:rPr>
            </w:pPr>
            <w:r>
              <w:rPr>
                <w:rFonts w:ascii="Arial Narrow" w:hAnsi="Arial Narrow" w:cs="Arial"/>
                <w:iCs/>
                <w:noProof/>
                <w:color w:val="000000"/>
                <w:sz w:val="20"/>
                <w:szCs w:val="20"/>
                <w:highlight w:val="black"/>
              </w:rPr>
              <w:t>''''''</w:t>
            </w:r>
            <w:r w:rsidR="003934F6" w:rsidRPr="00F573A7">
              <w:rPr>
                <w:rFonts w:ascii="Arial Narrow" w:hAnsi="Arial Narrow" w:cs="Arial"/>
                <w:iCs/>
                <w:sz w:val="20"/>
                <w:szCs w:val="20"/>
              </w:rPr>
              <w:t>%</w:t>
            </w:r>
          </w:p>
        </w:tc>
        <w:tc>
          <w:tcPr>
            <w:tcW w:w="39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3934F6" w:rsidRPr="00F573A7" w:rsidRDefault="004B7986" w:rsidP="003D070A">
            <w:pPr>
              <w:keepNext/>
              <w:keepLines/>
              <w:spacing w:before="0"/>
              <w:jc w:val="right"/>
              <w:rPr>
                <w:rFonts w:ascii="Arial Narrow" w:hAnsi="Arial Narrow"/>
                <w:b/>
                <w:bCs/>
                <w:sz w:val="20"/>
                <w:szCs w:val="20"/>
              </w:rPr>
            </w:pPr>
            <w:r>
              <w:rPr>
                <w:rFonts w:ascii="Arial Narrow" w:hAnsi="Arial Narrow" w:cs="Arial"/>
                <w:iCs/>
                <w:noProof/>
                <w:color w:val="000000"/>
                <w:sz w:val="20"/>
                <w:szCs w:val="20"/>
                <w:highlight w:val="black"/>
              </w:rPr>
              <w:t>'''''''</w:t>
            </w:r>
            <w:r w:rsidR="003934F6" w:rsidRPr="00F573A7">
              <w:rPr>
                <w:rFonts w:ascii="Arial Narrow" w:hAnsi="Arial Narrow" w:cs="Arial"/>
                <w:iCs/>
                <w:sz w:val="20"/>
                <w:szCs w:val="20"/>
              </w:rPr>
              <w:t>%</w:t>
            </w:r>
          </w:p>
        </w:tc>
        <w:tc>
          <w:tcPr>
            <w:tcW w:w="39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3934F6" w:rsidRPr="00F573A7" w:rsidRDefault="004B7986" w:rsidP="003D070A">
            <w:pPr>
              <w:keepNext/>
              <w:keepLines/>
              <w:spacing w:before="0"/>
              <w:jc w:val="right"/>
              <w:rPr>
                <w:rFonts w:ascii="Arial Narrow" w:hAnsi="Arial Narrow"/>
                <w:b/>
                <w:bCs/>
                <w:sz w:val="20"/>
                <w:szCs w:val="20"/>
              </w:rPr>
            </w:pPr>
            <w:r>
              <w:rPr>
                <w:rFonts w:ascii="Arial Narrow" w:hAnsi="Arial Narrow" w:cs="Arial"/>
                <w:iCs/>
                <w:noProof/>
                <w:color w:val="000000"/>
                <w:sz w:val="20"/>
                <w:szCs w:val="20"/>
                <w:highlight w:val="black"/>
              </w:rPr>
              <w:t>'''''''</w:t>
            </w:r>
            <w:r w:rsidR="003934F6" w:rsidRPr="00F573A7">
              <w:rPr>
                <w:rFonts w:ascii="Arial Narrow" w:hAnsi="Arial Narrow" w:cs="Arial"/>
                <w:iCs/>
                <w:sz w:val="20"/>
                <w:szCs w:val="20"/>
              </w:rPr>
              <w:t>%</w:t>
            </w:r>
          </w:p>
        </w:tc>
        <w:tc>
          <w:tcPr>
            <w:tcW w:w="39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3934F6" w:rsidRPr="00F573A7" w:rsidRDefault="004B7986" w:rsidP="003D070A">
            <w:pPr>
              <w:keepNext/>
              <w:keepLines/>
              <w:spacing w:before="0"/>
              <w:jc w:val="right"/>
              <w:rPr>
                <w:rFonts w:ascii="Arial Narrow" w:hAnsi="Arial Narrow"/>
                <w:b/>
                <w:bCs/>
                <w:sz w:val="20"/>
                <w:szCs w:val="20"/>
              </w:rPr>
            </w:pPr>
            <w:r>
              <w:rPr>
                <w:rFonts w:ascii="Arial Narrow" w:hAnsi="Arial Narrow" w:cs="Arial"/>
                <w:iCs/>
                <w:noProof/>
                <w:color w:val="000000"/>
                <w:sz w:val="20"/>
                <w:szCs w:val="20"/>
                <w:highlight w:val="black"/>
              </w:rPr>
              <w:t>'''''''</w:t>
            </w:r>
            <w:r w:rsidR="003934F6" w:rsidRPr="00F573A7">
              <w:rPr>
                <w:rFonts w:ascii="Arial Narrow" w:hAnsi="Arial Narrow" w:cs="Arial"/>
                <w:iCs/>
                <w:sz w:val="20"/>
                <w:szCs w:val="20"/>
              </w:rPr>
              <w:t>%</w:t>
            </w:r>
          </w:p>
        </w:tc>
        <w:tc>
          <w:tcPr>
            <w:tcW w:w="389"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3934F6" w:rsidRPr="00F573A7" w:rsidRDefault="004B7986" w:rsidP="003D070A">
            <w:pPr>
              <w:keepNext/>
              <w:keepLines/>
              <w:spacing w:before="0"/>
              <w:jc w:val="right"/>
              <w:rPr>
                <w:rFonts w:ascii="Arial Narrow" w:hAnsi="Arial Narrow"/>
                <w:b/>
                <w:bCs/>
                <w:sz w:val="20"/>
                <w:szCs w:val="20"/>
              </w:rPr>
            </w:pPr>
            <w:r>
              <w:rPr>
                <w:rFonts w:ascii="Arial Narrow" w:hAnsi="Arial Narrow" w:cs="Arial"/>
                <w:iCs/>
                <w:noProof/>
                <w:color w:val="000000"/>
                <w:sz w:val="20"/>
                <w:szCs w:val="20"/>
                <w:highlight w:val="black"/>
              </w:rPr>
              <w:t>'''''''</w:t>
            </w:r>
            <w:r w:rsidR="003934F6" w:rsidRPr="00F573A7">
              <w:rPr>
                <w:rFonts w:ascii="Arial Narrow" w:hAnsi="Arial Narrow" w:cs="Arial"/>
                <w:iCs/>
                <w:sz w:val="20"/>
                <w:szCs w:val="20"/>
              </w:rPr>
              <w:t>%</w:t>
            </w:r>
          </w:p>
        </w:tc>
        <w:tc>
          <w:tcPr>
            <w:tcW w:w="84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3934F6" w:rsidRPr="00F573A7" w:rsidRDefault="003934F6" w:rsidP="0006229B">
            <w:pPr>
              <w:keepNext/>
              <w:keepLines/>
              <w:spacing w:before="0"/>
              <w:jc w:val="center"/>
              <w:rPr>
                <w:rFonts w:ascii="Arial Narrow" w:hAnsi="Arial Narrow"/>
                <w:sz w:val="20"/>
                <w:szCs w:val="20"/>
              </w:rPr>
            </w:pPr>
            <w:r w:rsidRPr="00F573A7">
              <w:rPr>
                <w:rFonts w:ascii="Arial Narrow" w:hAnsi="Arial Narrow"/>
                <w:sz w:val="20"/>
                <w:szCs w:val="20"/>
              </w:rPr>
              <w:t>March 2021 resubmission</w:t>
            </w:r>
          </w:p>
        </w:tc>
      </w:tr>
      <w:tr w:rsidR="00E75F56" w:rsidRPr="00F573A7" w:rsidTr="00E75F56">
        <w:trPr>
          <w:trHeight w:val="412"/>
        </w:trPr>
        <w:tc>
          <w:tcPr>
            <w:tcW w:w="233" w:type="pct"/>
            <w:tcBorders>
              <w:top w:val="single" w:sz="4" w:space="0" w:color="auto"/>
              <w:left w:val="single" w:sz="4" w:space="0" w:color="auto"/>
              <w:bottom w:val="single" w:sz="8" w:space="0" w:color="auto"/>
              <w:right w:val="single" w:sz="4" w:space="0" w:color="auto"/>
            </w:tcBorders>
            <w:shd w:val="clear" w:color="auto" w:fill="auto"/>
            <w:tcMar>
              <w:left w:w="28" w:type="dxa"/>
              <w:right w:w="28" w:type="dxa"/>
            </w:tcMar>
            <w:vAlign w:val="center"/>
          </w:tcPr>
          <w:p w:rsidR="00E75F56" w:rsidRPr="00F573A7" w:rsidRDefault="00E75F56" w:rsidP="0006229B">
            <w:pPr>
              <w:keepNext/>
              <w:keepLines/>
              <w:spacing w:before="0"/>
              <w:jc w:val="center"/>
              <w:rPr>
                <w:rFonts w:ascii="Arial Narrow" w:hAnsi="Arial Narrow"/>
                <w:sz w:val="20"/>
                <w:szCs w:val="20"/>
              </w:rPr>
            </w:pPr>
            <w:r w:rsidRPr="00F573A7">
              <w:rPr>
                <w:rFonts w:ascii="Arial Narrow" w:hAnsi="Arial Narrow"/>
                <w:sz w:val="20"/>
                <w:szCs w:val="20"/>
              </w:rPr>
              <w:t>E</w:t>
            </w:r>
          </w:p>
        </w:tc>
        <w:tc>
          <w:tcPr>
            <w:tcW w:w="1572" w:type="pct"/>
            <w:tcBorders>
              <w:top w:val="single" w:sz="4" w:space="0" w:color="auto"/>
              <w:left w:val="single" w:sz="4" w:space="0" w:color="auto"/>
              <w:bottom w:val="single" w:sz="8" w:space="0" w:color="auto"/>
              <w:right w:val="single" w:sz="4" w:space="0" w:color="auto"/>
            </w:tcBorders>
            <w:shd w:val="clear" w:color="auto" w:fill="auto"/>
            <w:tcMar>
              <w:left w:w="28" w:type="dxa"/>
              <w:right w:w="28" w:type="dxa"/>
            </w:tcMar>
            <w:vAlign w:val="center"/>
          </w:tcPr>
          <w:p w:rsidR="00E75F56" w:rsidRPr="00F573A7" w:rsidRDefault="00E75F56" w:rsidP="0006229B">
            <w:pPr>
              <w:keepNext/>
              <w:keepLines/>
              <w:spacing w:before="0"/>
              <w:jc w:val="left"/>
              <w:rPr>
                <w:rFonts w:ascii="Arial Narrow" w:hAnsi="Arial Narrow"/>
                <w:bCs/>
                <w:sz w:val="20"/>
                <w:szCs w:val="20"/>
              </w:rPr>
            </w:pPr>
            <w:r w:rsidRPr="00F573A7">
              <w:rPr>
                <w:rFonts w:ascii="Arial Narrow" w:hAnsi="Arial Narrow"/>
                <w:bCs/>
                <w:sz w:val="20"/>
                <w:szCs w:val="20"/>
              </w:rPr>
              <w:t>Patients treated with darolutamide</w:t>
            </w:r>
          </w:p>
        </w:tc>
        <w:tc>
          <w:tcPr>
            <w:tcW w:w="393" w:type="pct"/>
            <w:tcBorders>
              <w:top w:val="single" w:sz="4" w:space="0" w:color="auto"/>
              <w:left w:val="single" w:sz="4" w:space="0" w:color="auto"/>
              <w:bottom w:val="single" w:sz="8" w:space="0" w:color="auto"/>
              <w:right w:val="single" w:sz="4" w:space="0" w:color="auto"/>
            </w:tcBorders>
            <w:shd w:val="clear" w:color="auto" w:fill="auto"/>
            <w:noWrap/>
            <w:tcMar>
              <w:left w:w="28" w:type="dxa"/>
              <w:right w:w="28" w:type="dxa"/>
            </w:tcMar>
            <w:vAlign w:val="center"/>
          </w:tcPr>
          <w:p w:rsidR="00E75F56" w:rsidRPr="004B7986" w:rsidRDefault="004B7986" w:rsidP="003D070A">
            <w:pPr>
              <w:keepNext/>
              <w:keepLines/>
              <w:spacing w:before="0"/>
              <w:jc w:val="right"/>
              <w:rPr>
                <w:rFonts w:ascii="Arial Narrow" w:hAnsi="Arial Narrow" w:cs="Arial"/>
                <w:iCs/>
                <w:sz w:val="20"/>
                <w:szCs w:val="20"/>
              </w:rPr>
            </w:pPr>
            <w:r>
              <w:rPr>
                <w:rFonts w:ascii="Arial Narrow" w:hAnsi="Arial Narrow" w:cs="Calibri"/>
                <w:noProof/>
                <w:color w:val="000000"/>
                <w:sz w:val="20"/>
                <w:szCs w:val="20"/>
                <w:highlight w:val="black"/>
              </w:rPr>
              <w:t>'''''''''</w:t>
            </w:r>
            <w:r w:rsidR="00861B82">
              <w:rPr>
                <w:rFonts w:ascii="Arial Narrow" w:hAnsi="Arial Narrow"/>
                <w:sz w:val="20"/>
                <w:szCs w:val="20"/>
                <w:vertAlign w:val="superscript"/>
              </w:rPr>
              <w:t>2</w:t>
            </w:r>
          </w:p>
        </w:tc>
        <w:tc>
          <w:tcPr>
            <w:tcW w:w="393" w:type="pct"/>
            <w:tcBorders>
              <w:top w:val="single" w:sz="4" w:space="0" w:color="auto"/>
              <w:left w:val="single" w:sz="4" w:space="0" w:color="auto"/>
              <w:bottom w:val="single" w:sz="8" w:space="0" w:color="auto"/>
              <w:right w:val="single" w:sz="4" w:space="0" w:color="auto"/>
            </w:tcBorders>
            <w:shd w:val="clear" w:color="auto" w:fill="auto"/>
            <w:noWrap/>
            <w:tcMar>
              <w:left w:w="28" w:type="dxa"/>
              <w:right w:w="28" w:type="dxa"/>
            </w:tcMar>
            <w:vAlign w:val="center"/>
          </w:tcPr>
          <w:p w:rsidR="00E75F56" w:rsidRPr="004B7986" w:rsidRDefault="004B7986" w:rsidP="003D070A">
            <w:pPr>
              <w:keepNext/>
              <w:keepLines/>
              <w:spacing w:before="0"/>
              <w:jc w:val="right"/>
              <w:rPr>
                <w:rFonts w:ascii="Arial Narrow" w:hAnsi="Arial Narrow" w:cs="Arial"/>
                <w:iCs/>
                <w:sz w:val="20"/>
                <w:szCs w:val="20"/>
              </w:rPr>
            </w:pPr>
            <w:r>
              <w:rPr>
                <w:rFonts w:ascii="Arial Narrow" w:hAnsi="Arial Narrow" w:cs="Calibri"/>
                <w:noProof/>
                <w:color w:val="000000"/>
                <w:sz w:val="20"/>
                <w:szCs w:val="20"/>
                <w:highlight w:val="black"/>
              </w:rPr>
              <w:t>''''''''</w:t>
            </w:r>
            <w:r w:rsidR="00861B82">
              <w:rPr>
                <w:rFonts w:ascii="Arial Narrow" w:hAnsi="Arial Narrow"/>
                <w:sz w:val="20"/>
                <w:szCs w:val="20"/>
                <w:vertAlign w:val="superscript"/>
              </w:rPr>
              <w:t>2</w:t>
            </w:r>
          </w:p>
        </w:tc>
        <w:tc>
          <w:tcPr>
            <w:tcW w:w="393" w:type="pct"/>
            <w:tcBorders>
              <w:top w:val="single" w:sz="4" w:space="0" w:color="auto"/>
              <w:left w:val="single" w:sz="4" w:space="0" w:color="auto"/>
              <w:bottom w:val="single" w:sz="8" w:space="0" w:color="auto"/>
              <w:right w:val="single" w:sz="4" w:space="0" w:color="auto"/>
            </w:tcBorders>
            <w:shd w:val="clear" w:color="auto" w:fill="auto"/>
            <w:noWrap/>
            <w:tcMar>
              <w:left w:w="28" w:type="dxa"/>
              <w:right w:w="28" w:type="dxa"/>
            </w:tcMar>
            <w:vAlign w:val="center"/>
          </w:tcPr>
          <w:p w:rsidR="00E75F56" w:rsidRPr="004B7986" w:rsidRDefault="004B7986" w:rsidP="003D070A">
            <w:pPr>
              <w:keepNext/>
              <w:keepLines/>
              <w:spacing w:before="0"/>
              <w:jc w:val="right"/>
              <w:rPr>
                <w:rFonts w:ascii="Arial Narrow" w:hAnsi="Arial Narrow" w:cs="Arial"/>
                <w:iCs/>
                <w:sz w:val="20"/>
                <w:szCs w:val="20"/>
              </w:rPr>
            </w:pPr>
            <w:r>
              <w:rPr>
                <w:rFonts w:ascii="Arial Narrow" w:hAnsi="Arial Narrow" w:cs="Calibri"/>
                <w:noProof/>
                <w:color w:val="000000"/>
                <w:sz w:val="20"/>
                <w:szCs w:val="20"/>
                <w:highlight w:val="black"/>
              </w:rPr>
              <w:t>''''''''</w:t>
            </w:r>
            <w:r w:rsidR="00861B82">
              <w:rPr>
                <w:rFonts w:ascii="Arial Narrow" w:hAnsi="Arial Narrow"/>
                <w:sz w:val="20"/>
                <w:szCs w:val="20"/>
                <w:vertAlign w:val="superscript"/>
              </w:rPr>
              <w:t>2</w:t>
            </w:r>
          </w:p>
        </w:tc>
        <w:tc>
          <w:tcPr>
            <w:tcW w:w="393" w:type="pct"/>
            <w:tcBorders>
              <w:top w:val="single" w:sz="4" w:space="0" w:color="auto"/>
              <w:left w:val="single" w:sz="4" w:space="0" w:color="auto"/>
              <w:bottom w:val="single" w:sz="8" w:space="0" w:color="auto"/>
              <w:right w:val="single" w:sz="4" w:space="0" w:color="auto"/>
            </w:tcBorders>
            <w:shd w:val="clear" w:color="auto" w:fill="auto"/>
            <w:noWrap/>
            <w:tcMar>
              <w:left w:w="28" w:type="dxa"/>
              <w:right w:w="28" w:type="dxa"/>
            </w:tcMar>
            <w:vAlign w:val="center"/>
          </w:tcPr>
          <w:p w:rsidR="00E75F56" w:rsidRPr="004B7986" w:rsidRDefault="004B7986" w:rsidP="003D070A">
            <w:pPr>
              <w:keepNext/>
              <w:keepLines/>
              <w:spacing w:before="0"/>
              <w:jc w:val="right"/>
              <w:rPr>
                <w:rFonts w:ascii="Arial Narrow" w:hAnsi="Arial Narrow" w:cs="Arial"/>
                <w:iCs/>
                <w:sz w:val="20"/>
                <w:szCs w:val="20"/>
              </w:rPr>
            </w:pPr>
            <w:r>
              <w:rPr>
                <w:rFonts w:ascii="Arial Narrow" w:hAnsi="Arial Narrow" w:cs="Calibri"/>
                <w:noProof/>
                <w:color w:val="000000"/>
                <w:sz w:val="20"/>
                <w:szCs w:val="20"/>
                <w:highlight w:val="black"/>
              </w:rPr>
              <w:t>''''''''</w:t>
            </w:r>
            <w:r w:rsidR="00861B82">
              <w:rPr>
                <w:rFonts w:ascii="Arial Narrow" w:hAnsi="Arial Narrow"/>
                <w:sz w:val="20"/>
                <w:szCs w:val="20"/>
                <w:vertAlign w:val="superscript"/>
              </w:rPr>
              <w:t>2</w:t>
            </w:r>
          </w:p>
        </w:tc>
        <w:tc>
          <w:tcPr>
            <w:tcW w:w="393" w:type="pct"/>
            <w:tcBorders>
              <w:top w:val="single" w:sz="4" w:space="0" w:color="auto"/>
              <w:left w:val="single" w:sz="4" w:space="0" w:color="auto"/>
              <w:bottom w:val="single" w:sz="8" w:space="0" w:color="auto"/>
              <w:right w:val="single" w:sz="4" w:space="0" w:color="auto"/>
            </w:tcBorders>
            <w:shd w:val="clear" w:color="auto" w:fill="auto"/>
            <w:noWrap/>
            <w:tcMar>
              <w:left w:w="28" w:type="dxa"/>
              <w:right w:w="28" w:type="dxa"/>
            </w:tcMar>
            <w:vAlign w:val="center"/>
          </w:tcPr>
          <w:p w:rsidR="00E75F56" w:rsidRPr="004B7986" w:rsidRDefault="004B7986" w:rsidP="003D070A">
            <w:pPr>
              <w:keepNext/>
              <w:keepLines/>
              <w:spacing w:before="0"/>
              <w:jc w:val="right"/>
              <w:rPr>
                <w:rFonts w:ascii="Arial Narrow" w:hAnsi="Arial Narrow" w:cs="Arial"/>
                <w:iCs/>
                <w:sz w:val="20"/>
                <w:szCs w:val="20"/>
              </w:rPr>
            </w:pPr>
            <w:r>
              <w:rPr>
                <w:rFonts w:ascii="Arial Narrow" w:hAnsi="Arial Narrow" w:cs="Calibri"/>
                <w:noProof/>
                <w:color w:val="000000"/>
                <w:sz w:val="20"/>
                <w:szCs w:val="20"/>
                <w:highlight w:val="black"/>
              </w:rPr>
              <w:t>''''''''</w:t>
            </w:r>
            <w:r w:rsidR="00861B82">
              <w:rPr>
                <w:rFonts w:ascii="Arial Narrow" w:hAnsi="Arial Narrow"/>
                <w:sz w:val="20"/>
                <w:szCs w:val="20"/>
                <w:vertAlign w:val="superscript"/>
              </w:rPr>
              <w:t>2</w:t>
            </w:r>
          </w:p>
        </w:tc>
        <w:tc>
          <w:tcPr>
            <w:tcW w:w="389" w:type="pct"/>
            <w:tcBorders>
              <w:top w:val="single" w:sz="4" w:space="0" w:color="auto"/>
              <w:left w:val="single" w:sz="4" w:space="0" w:color="auto"/>
              <w:bottom w:val="single" w:sz="8" w:space="0" w:color="auto"/>
              <w:right w:val="single" w:sz="4" w:space="0" w:color="auto"/>
            </w:tcBorders>
            <w:shd w:val="clear" w:color="auto" w:fill="auto"/>
            <w:noWrap/>
            <w:tcMar>
              <w:left w:w="28" w:type="dxa"/>
              <w:right w:w="28" w:type="dxa"/>
            </w:tcMar>
            <w:vAlign w:val="center"/>
          </w:tcPr>
          <w:p w:rsidR="00E75F56" w:rsidRPr="004B7986" w:rsidRDefault="004B7986" w:rsidP="003D070A">
            <w:pPr>
              <w:keepNext/>
              <w:keepLines/>
              <w:spacing w:before="0"/>
              <w:jc w:val="right"/>
              <w:rPr>
                <w:rFonts w:ascii="Arial Narrow" w:hAnsi="Arial Narrow" w:cs="Arial"/>
                <w:iCs/>
                <w:sz w:val="20"/>
                <w:szCs w:val="20"/>
              </w:rPr>
            </w:pPr>
            <w:r>
              <w:rPr>
                <w:rFonts w:ascii="Arial Narrow" w:hAnsi="Arial Narrow" w:cs="Calibri"/>
                <w:noProof/>
                <w:color w:val="000000"/>
                <w:sz w:val="20"/>
                <w:szCs w:val="20"/>
                <w:highlight w:val="black"/>
              </w:rPr>
              <w:t>''''''''''</w:t>
            </w:r>
            <w:r w:rsidR="00861B82">
              <w:rPr>
                <w:rFonts w:ascii="Arial Narrow" w:hAnsi="Arial Narrow"/>
                <w:sz w:val="20"/>
                <w:szCs w:val="20"/>
                <w:vertAlign w:val="superscript"/>
              </w:rPr>
              <w:t>2</w:t>
            </w:r>
          </w:p>
        </w:tc>
        <w:tc>
          <w:tcPr>
            <w:tcW w:w="840" w:type="pct"/>
            <w:tcBorders>
              <w:top w:val="single" w:sz="4" w:space="0" w:color="auto"/>
              <w:left w:val="single" w:sz="4" w:space="0" w:color="auto"/>
              <w:bottom w:val="single" w:sz="8" w:space="0" w:color="auto"/>
              <w:right w:val="single" w:sz="4" w:space="0" w:color="auto"/>
            </w:tcBorders>
            <w:shd w:val="clear" w:color="auto" w:fill="auto"/>
            <w:tcMar>
              <w:left w:w="28" w:type="dxa"/>
              <w:right w:w="28" w:type="dxa"/>
            </w:tcMar>
            <w:vAlign w:val="center"/>
          </w:tcPr>
          <w:p w:rsidR="00E75F56" w:rsidRPr="00F573A7" w:rsidRDefault="00E75F56" w:rsidP="0006229B">
            <w:pPr>
              <w:keepNext/>
              <w:keepLines/>
              <w:spacing w:before="0"/>
              <w:jc w:val="center"/>
              <w:rPr>
                <w:rFonts w:ascii="Arial Narrow" w:hAnsi="Arial Narrow"/>
                <w:sz w:val="20"/>
                <w:szCs w:val="20"/>
              </w:rPr>
            </w:pPr>
            <w:r w:rsidRPr="00F573A7">
              <w:rPr>
                <w:rFonts w:ascii="Arial Narrow" w:hAnsi="Arial Narrow"/>
                <w:sz w:val="20"/>
                <w:szCs w:val="20"/>
              </w:rPr>
              <w:t>C x D</w:t>
            </w:r>
          </w:p>
        </w:tc>
      </w:tr>
      <w:tr w:rsidR="00587099" w:rsidRPr="00F573A7" w:rsidTr="00E75F56">
        <w:trPr>
          <w:trHeight w:val="255"/>
        </w:trPr>
        <w:tc>
          <w:tcPr>
            <w:tcW w:w="233" w:type="pct"/>
            <w:tcBorders>
              <w:top w:val="single" w:sz="8"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87099" w:rsidRPr="00F573A7" w:rsidRDefault="00E75F56" w:rsidP="0006229B">
            <w:pPr>
              <w:keepNext/>
              <w:keepLines/>
              <w:spacing w:before="0"/>
              <w:jc w:val="center"/>
              <w:rPr>
                <w:rFonts w:ascii="Arial Narrow" w:eastAsia="Times New Roman" w:hAnsi="Arial Narrow"/>
                <w:sz w:val="20"/>
                <w:szCs w:val="20"/>
              </w:rPr>
            </w:pPr>
            <w:r w:rsidRPr="00F573A7">
              <w:rPr>
                <w:rFonts w:ascii="Arial Narrow" w:hAnsi="Arial Narrow"/>
                <w:sz w:val="20"/>
                <w:szCs w:val="20"/>
              </w:rPr>
              <w:t>F</w:t>
            </w:r>
          </w:p>
        </w:tc>
        <w:tc>
          <w:tcPr>
            <w:tcW w:w="1572" w:type="pct"/>
            <w:tcBorders>
              <w:top w:val="single" w:sz="8"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87099" w:rsidRPr="00F573A7" w:rsidRDefault="00587099" w:rsidP="0006229B">
            <w:pPr>
              <w:keepNext/>
              <w:keepLines/>
              <w:spacing w:before="0"/>
              <w:jc w:val="left"/>
              <w:rPr>
                <w:rFonts w:ascii="Arial Narrow" w:eastAsia="Times New Roman" w:hAnsi="Arial Narrow"/>
                <w:sz w:val="20"/>
                <w:szCs w:val="20"/>
              </w:rPr>
            </w:pPr>
            <w:r w:rsidRPr="00F573A7">
              <w:rPr>
                <w:rFonts w:ascii="Arial Narrow" w:hAnsi="Arial Narrow"/>
                <w:sz w:val="20"/>
                <w:szCs w:val="20"/>
              </w:rPr>
              <w:t>% of ‘CRPC; CI negative’ population that have no distant metastases on PSMA-PET</w:t>
            </w:r>
          </w:p>
        </w:tc>
        <w:tc>
          <w:tcPr>
            <w:tcW w:w="393" w:type="pct"/>
            <w:tcBorders>
              <w:top w:val="single" w:sz="8"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587099" w:rsidRPr="00F573A7" w:rsidRDefault="00587099" w:rsidP="003D070A">
            <w:pPr>
              <w:keepNext/>
              <w:keepLines/>
              <w:spacing w:before="0"/>
              <w:jc w:val="right"/>
              <w:rPr>
                <w:rFonts w:ascii="Arial Narrow" w:eastAsia="Times New Roman" w:hAnsi="Arial Narrow"/>
                <w:sz w:val="20"/>
                <w:szCs w:val="20"/>
              </w:rPr>
            </w:pPr>
            <w:r w:rsidRPr="00F573A7">
              <w:rPr>
                <w:rFonts w:ascii="Arial Narrow" w:hAnsi="Arial Narrow"/>
                <w:sz w:val="20"/>
                <w:szCs w:val="20"/>
              </w:rPr>
              <w:t>45%</w:t>
            </w:r>
          </w:p>
        </w:tc>
        <w:tc>
          <w:tcPr>
            <w:tcW w:w="393" w:type="pct"/>
            <w:tcBorders>
              <w:top w:val="single" w:sz="8"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587099" w:rsidRPr="00F573A7" w:rsidRDefault="00587099" w:rsidP="003D070A">
            <w:pPr>
              <w:keepNext/>
              <w:keepLines/>
              <w:spacing w:before="0"/>
              <w:jc w:val="right"/>
              <w:rPr>
                <w:rFonts w:ascii="Arial Narrow" w:eastAsia="Times New Roman" w:hAnsi="Arial Narrow"/>
                <w:sz w:val="20"/>
                <w:szCs w:val="20"/>
              </w:rPr>
            </w:pPr>
            <w:r w:rsidRPr="00F573A7">
              <w:rPr>
                <w:rFonts w:ascii="Arial Narrow" w:hAnsi="Arial Narrow"/>
                <w:sz w:val="20"/>
                <w:szCs w:val="20"/>
              </w:rPr>
              <w:t>45%</w:t>
            </w:r>
          </w:p>
        </w:tc>
        <w:tc>
          <w:tcPr>
            <w:tcW w:w="393" w:type="pct"/>
            <w:tcBorders>
              <w:top w:val="single" w:sz="8"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587099" w:rsidRPr="00F573A7" w:rsidRDefault="00587099" w:rsidP="003D070A">
            <w:pPr>
              <w:keepNext/>
              <w:keepLines/>
              <w:spacing w:before="0"/>
              <w:jc w:val="right"/>
              <w:rPr>
                <w:rFonts w:ascii="Arial Narrow" w:eastAsia="Times New Roman" w:hAnsi="Arial Narrow"/>
                <w:sz w:val="20"/>
                <w:szCs w:val="20"/>
              </w:rPr>
            </w:pPr>
            <w:r w:rsidRPr="00F573A7">
              <w:rPr>
                <w:rFonts w:ascii="Arial Narrow" w:hAnsi="Arial Narrow"/>
                <w:sz w:val="20"/>
                <w:szCs w:val="20"/>
              </w:rPr>
              <w:t>45%</w:t>
            </w:r>
          </w:p>
        </w:tc>
        <w:tc>
          <w:tcPr>
            <w:tcW w:w="393" w:type="pct"/>
            <w:tcBorders>
              <w:top w:val="single" w:sz="8"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587099" w:rsidRPr="00F573A7" w:rsidRDefault="00587099" w:rsidP="003D070A">
            <w:pPr>
              <w:keepNext/>
              <w:keepLines/>
              <w:spacing w:before="0"/>
              <w:jc w:val="right"/>
              <w:rPr>
                <w:rFonts w:ascii="Arial Narrow" w:eastAsia="Times New Roman" w:hAnsi="Arial Narrow"/>
                <w:sz w:val="20"/>
                <w:szCs w:val="20"/>
              </w:rPr>
            </w:pPr>
            <w:r w:rsidRPr="00F573A7">
              <w:rPr>
                <w:rFonts w:ascii="Arial Narrow" w:hAnsi="Arial Narrow"/>
                <w:sz w:val="20"/>
                <w:szCs w:val="20"/>
              </w:rPr>
              <w:t>45%</w:t>
            </w:r>
          </w:p>
        </w:tc>
        <w:tc>
          <w:tcPr>
            <w:tcW w:w="393" w:type="pct"/>
            <w:tcBorders>
              <w:top w:val="single" w:sz="8"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587099" w:rsidRPr="00F573A7" w:rsidRDefault="00587099" w:rsidP="003D070A">
            <w:pPr>
              <w:keepNext/>
              <w:keepLines/>
              <w:spacing w:before="0"/>
              <w:jc w:val="right"/>
              <w:rPr>
                <w:rFonts w:ascii="Arial Narrow" w:eastAsia="Times New Roman" w:hAnsi="Arial Narrow"/>
                <w:sz w:val="20"/>
                <w:szCs w:val="20"/>
              </w:rPr>
            </w:pPr>
            <w:r w:rsidRPr="00F573A7">
              <w:rPr>
                <w:rFonts w:ascii="Arial Narrow" w:hAnsi="Arial Narrow"/>
                <w:sz w:val="20"/>
                <w:szCs w:val="20"/>
              </w:rPr>
              <w:t>45%</w:t>
            </w:r>
          </w:p>
        </w:tc>
        <w:tc>
          <w:tcPr>
            <w:tcW w:w="389" w:type="pct"/>
            <w:tcBorders>
              <w:top w:val="single" w:sz="8"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587099" w:rsidRPr="00F573A7" w:rsidRDefault="00587099" w:rsidP="003D070A">
            <w:pPr>
              <w:keepNext/>
              <w:keepLines/>
              <w:spacing w:before="0"/>
              <w:jc w:val="right"/>
              <w:rPr>
                <w:rFonts w:ascii="Arial Narrow" w:eastAsia="Times New Roman" w:hAnsi="Arial Narrow"/>
                <w:sz w:val="20"/>
                <w:szCs w:val="20"/>
              </w:rPr>
            </w:pPr>
            <w:r w:rsidRPr="00F573A7">
              <w:rPr>
                <w:rFonts w:ascii="Arial Narrow" w:hAnsi="Arial Narrow"/>
                <w:sz w:val="20"/>
                <w:szCs w:val="20"/>
              </w:rPr>
              <w:t>45%</w:t>
            </w:r>
          </w:p>
        </w:tc>
        <w:tc>
          <w:tcPr>
            <w:tcW w:w="840" w:type="pct"/>
            <w:tcBorders>
              <w:top w:val="single" w:sz="8"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87099" w:rsidRPr="00F573A7" w:rsidRDefault="00587099" w:rsidP="0006229B">
            <w:pPr>
              <w:keepNext/>
              <w:keepLines/>
              <w:spacing w:before="0"/>
              <w:jc w:val="center"/>
              <w:rPr>
                <w:rFonts w:ascii="Arial Narrow" w:eastAsia="Times New Roman" w:hAnsi="Arial Narrow"/>
                <w:sz w:val="20"/>
                <w:szCs w:val="20"/>
              </w:rPr>
            </w:pPr>
            <w:r w:rsidRPr="00F573A7">
              <w:rPr>
                <w:rFonts w:ascii="Arial Narrow" w:hAnsi="Arial Narrow"/>
                <w:sz w:val="20"/>
                <w:szCs w:val="20"/>
              </w:rPr>
              <w:t>Fendler 2019</w:t>
            </w:r>
          </w:p>
        </w:tc>
      </w:tr>
      <w:tr w:rsidR="00587099" w:rsidRPr="00F573A7" w:rsidTr="00E75F56">
        <w:trPr>
          <w:trHeight w:val="255"/>
        </w:trPr>
        <w:tc>
          <w:tcPr>
            <w:tcW w:w="23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87099" w:rsidRPr="00F573A7" w:rsidRDefault="00E75F56" w:rsidP="0006229B">
            <w:pPr>
              <w:keepNext/>
              <w:keepLines/>
              <w:spacing w:before="0"/>
              <w:jc w:val="center"/>
              <w:rPr>
                <w:rFonts w:ascii="Arial Narrow" w:eastAsia="Times New Roman" w:hAnsi="Arial Narrow"/>
                <w:sz w:val="20"/>
                <w:szCs w:val="20"/>
              </w:rPr>
            </w:pPr>
            <w:r w:rsidRPr="00F573A7">
              <w:rPr>
                <w:rFonts w:ascii="Arial Narrow" w:hAnsi="Arial Narrow"/>
                <w:sz w:val="20"/>
                <w:szCs w:val="20"/>
              </w:rPr>
              <w:t>G</w:t>
            </w:r>
          </w:p>
        </w:tc>
        <w:tc>
          <w:tcPr>
            <w:tcW w:w="157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87099" w:rsidRPr="00F573A7" w:rsidRDefault="00587099" w:rsidP="0006229B">
            <w:pPr>
              <w:keepNext/>
              <w:keepLines/>
              <w:spacing w:before="0"/>
              <w:jc w:val="left"/>
              <w:rPr>
                <w:rFonts w:ascii="Arial Narrow" w:eastAsia="Times New Roman" w:hAnsi="Arial Narrow"/>
                <w:b/>
                <w:bCs/>
                <w:sz w:val="20"/>
                <w:szCs w:val="20"/>
              </w:rPr>
            </w:pPr>
            <w:r w:rsidRPr="00F573A7">
              <w:rPr>
                <w:rFonts w:ascii="Arial Narrow" w:hAnsi="Arial Narrow"/>
                <w:b/>
                <w:bCs/>
                <w:sz w:val="20"/>
                <w:szCs w:val="20"/>
              </w:rPr>
              <w:t>CRPC; CI negative; PSMA-PET negative</w:t>
            </w:r>
          </w:p>
        </w:tc>
        <w:tc>
          <w:tcPr>
            <w:tcW w:w="39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587099" w:rsidRPr="004B7986" w:rsidRDefault="004B7986" w:rsidP="003D070A">
            <w:pPr>
              <w:keepNext/>
              <w:keepLines/>
              <w:spacing w:before="0"/>
              <w:jc w:val="right"/>
              <w:rPr>
                <w:rFonts w:ascii="Arial Narrow" w:hAnsi="Arial Narrow"/>
                <w:b/>
                <w:sz w:val="20"/>
              </w:rPr>
            </w:pPr>
            <w:r>
              <w:rPr>
                <w:rFonts w:ascii="Arial Narrow" w:hAnsi="Arial Narrow"/>
                <w:b/>
                <w:noProof/>
                <w:color w:val="000000"/>
                <w:sz w:val="20"/>
                <w:highlight w:val="black"/>
              </w:rPr>
              <w:t>'''''''''''</w:t>
            </w:r>
            <w:r w:rsidR="00861B82" w:rsidRPr="00BD7A41">
              <w:rPr>
                <w:rFonts w:ascii="Arial Narrow" w:hAnsi="Arial Narrow"/>
                <w:sz w:val="20"/>
                <w:szCs w:val="20"/>
                <w:vertAlign w:val="superscript"/>
              </w:rPr>
              <w:t>1</w:t>
            </w:r>
          </w:p>
        </w:tc>
        <w:tc>
          <w:tcPr>
            <w:tcW w:w="39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587099" w:rsidRPr="004B7986" w:rsidRDefault="004B7986" w:rsidP="003D070A">
            <w:pPr>
              <w:keepNext/>
              <w:keepLines/>
              <w:spacing w:before="0"/>
              <w:jc w:val="right"/>
              <w:rPr>
                <w:rFonts w:ascii="Arial Narrow" w:hAnsi="Arial Narrow"/>
                <w:b/>
                <w:sz w:val="20"/>
              </w:rPr>
            </w:pPr>
            <w:r>
              <w:rPr>
                <w:rFonts w:ascii="Arial Narrow" w:hAnsi="Arial Narrow" w:cs="Arial"/>
                <w:b/>
                <w:bCs/>
                <w:noProof/>
                <w:color w:val="000000"/>
                <w:sz w:val="20"/>
                <w:szCs w:val="20"/>
                <w:highlight w:val="black"/>
              </w:rPr>
              <w:t>'''''''</w:t>
            </w:r>
            <w:r w:rsidR="00861B82" w:rsidRPr="00BD7A41">
              <w:rPr>
                <w:rFonts w:ascii="Arial Narrow" w:hAnsi="Arial Narrow"/>
                <w:sz w:val="20"/>
                <w:szCs w:val="20"/>
                <w:vertAlign w:val="superscript"/>
              </w:rPr>
              <w:t>1</w:t>
            </w:r>
          </w:p>
        </w:tc>
        <w:tc>
          <w:tcPr>
            <w:tcW w:w="39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587099" w:rsidRPr="004B7986" w:rsidRDefault="004B7986" w:rsidP="003D070A">
            <w:pPr>
              <w:keepNext/>
              <w:keepLines/>
              <w:spacing w:before="0"/>
              <w:jc w:val="right"/>
              <w:rPr>
                <w:rFonts w:ascii="Arial Narrow" w:hAnsi="Arial Narrow"/>
                <w:b/>
                <w:sz w:val="20"/>
              </w:rPr>
            </w:pPr>
            <w:r>
              <w:rPr>
                <w:rFonts w:ascii="Arial Narrow" w:hAnsi="Arial Narrow" w:cs="Arial"/>
                <w:b/>
                <w:bCs/>
                <w:noProof/>
                <w:color w:val="000000"/>
                <w:sz w:val="20"/>
                <w:szCs w:val="20"/>
                <w:highlight w:val="black"/>
              </w:rPr>
              <w:t>''''''''</w:t>
            </w:r>
            <w:r w:rsidR="00861B82" w:rsidRPr="00BD7A41">
              <w:rPr>
                <w:rFonts w:ascii="Arial Narrow" w:hAnsi="Arial Narrow"/>
                <w:sz w:val="20"/>
                <w:szCs w:val="20"/>
                <w:vertAlign w:val="superscript"/>
              </w:rPr>
              <w:t>1</w:t>
            </w:r>
          </w:p>
        </w:tc>
        <w:tc>
          <w:tcPr>
            <w:tcW w:w="39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587099" w:rsidRPr="004B7986" w:rsidRDefault="004B7986" w:rsidP="003D070A">
            <w:pPr>
              <w:keepNext/>
              <w:keepLines/>
              <w:spacing w:before="0"/>
              <w:jc w:val="right"/>
              <w:rPr>
                <w:rFonts w:ascii="Arial Narrow" w:hAnsi="Arial Narrow"/>
                <w:b/>
                <w:sz w:val="20"/>
              </w:rPr>
            </w:pPr>
            <w:r>
              <w:rPr>
                <w:rFonts w:ascii="Arial Narrow" w:hAnsi="Arial Narrow" w:cs="Arial"/>
                <w:b/>
                <w:bCs/>
                <w:noProof/>
                <w:color w:val="000000"/>
                <w:sz w:val="20"/>
                <w:szCs w:val="20"/>
                <w:highlight w:val="black"/>
              </w:rPr>
              <w:t>''''''''</w:t>
            </w:r>
            <w:r w:rsidR="00861B82" w:rsidRPr="00BD7A41">
              <w:rPr>
                <w:rFonts w:ascii="Arial Narrow" w:hAnsi="Arial Narrow"/>
                <w:sz w:val="20"/>
                <w:szCs w:val="20"/>
                <w:vertAlign w:val="superscript"/>
              </w:rPr>
              <w:t>1</w:t>
            </w:r>
          </w:p>
        </w:tc>
        <w:tc>
          <w:tcPr>
            <w:tcW w:w="39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587099" w:rsidRPr="004B7986" w:rsidRDefault="004B7986" w:rsidP="003D070A">
            <w:pPr>
              <w:keepNext/>
              <w:keepLines/>
              <w:spacing w:before="0"/>
              <w:jc w:val="right"/>
              <w:rPr>
                <w:rFonts w:ascii="Arial Narrow" w:hAnsi="Arial Narrow"/>
                <w:b/>
                <w:sz w:val="20"/>
              </w:rPr>
            </w:pPr>
            <w:r>
              <w:rPr>
                <w:rFonts w:ascii="Arial Narrow" w:hAnsi="Arial Narrow" w:cs="Arial"/>
                <w:b/>
                <w:bCs/>
                <w:noProof/>
                <w:color w:val="000000"/>
                <w:sz w:val="20"/>
                <w:szCs w:val="20"/>
                <w:highlight w:val="black"/>
              </w:rPr>
              <w:t>'''''''</w:t>
            </w:r>
            <w:r w:rsidR="00861B82" w:rsidRPr="00BD7A41">
              <w:rPr>
                <w:rFonts w:ascii="Arial Narrow" w:hAnsi="Arial Narrow"/>
                <w:sz w:val="20"/>
                <w:szCs w:val="20"/>
                <w:vertAlign w:val="superscript"/>
              </w:rPr>
              <w:t>1</w:t>
            </w:r>
          </w:p>
        </w:tc>
        <w:tc>
          <w:tcPr>
            <w:tcW w:w="389"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587099" w:rsidRPr="004B7986" w:rsidRDefault="004B7986" w:rsidP="003D070A">
            <w:pPr>
              <w:keepNext/>
              <w:keepLines/>
              <w:spacing w:before="0"/>
              <w:jc w:val="right"/>
              <w:rPr>
                <w:rFonts w:ascii="Arial Narrow" w:hAnsi="Arial Narrow"/>
                <w:b/>
                <w:sz w:val="20"/>
              </w:rPr>
            </w:pPr>
            <w:r>
              <w:rPr>
                <w:rFonts w:ascii="Arial Narrow" w:hAnsi="Arial Narrow" w:cs="Arial"/>
                <w:b/>
                <w:bCs/>
                <w:noProof/>
                <w:color w:val="000000"/>
                <w:sz w:val="20"/>
                <w:szCs w:val="20"/>
                <w:highlight w:val="black"/>
              </w:rPr>
              <w:t>''''''''</w:t>
            </w:r>
            <w:r w:rsidR="00861B82" w:rsidRPr="00BD7A41">
              <w:rPr>
                <w:rFonts w:ascii="Arial Narrow" w:hAnsi="Arial Narrow"/>
                <w:sz w:val="20"/>
                <w:szCs w:val="20"/>
                <w:vertAlign w:val="superscript"/>
              </w:rPr>
              <w:t>1</w:t>
            </w:r>
          </w:p>
        </w:tc>
        <w:tc>
          <w:tcPr>
            <w:tcW w:w="84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87099" w:rsidRPr="00F573A7" w:rsidRDefault="00587099" w:rsidP="0006229B">
            <w:pPr>
              <w:keepNext/>
              <w:keepLines/>
              <w:spacing w:before="0"/>
              <w:jc w:val="center"/>
              <w:rPr>
                <w:rFonts w:ascii="Arial Narrow" w:eastAsia="Times New Roman" w:hAnsi="Arial Narrow"/>
                <w:sz w:val="20"/>
                <w:szCs w:val="20"/>
              </w:rPr>
            </w:pPr>
            <w:r w:rsidRPr="00F573A7">
              <w:rPr>
                <w:rFonts w:ascii="Arial Narrow" w:hAnsi="Arial Narrow"/>
                <w:sz w:val="20"/>
                <w:szCs w:val="20"/>
              </w:rPr>
              <w:t xml:space="preserve">A x B x </w:t>
            </w:r>
            <w:r w:rsidR="00E75F56" w:rsidRPr="00F573A7">
              <w:rPr>
                <w:rFonts w:ascii="Arial Narrow" w:hAnsi="Arial Narrow"/>
                <w:sz w:val="20"/>
                <w:szCs w:val="20"/>
              </w:rPr>
              <w:t>F</w:t>
            </w:r>
          </w:p>
        </w:tc>
      </w:tr>
      <w:tr w:rsidR="003934F6" w:rsidRPr="00F573A7" w:rsidTr="00E75F56">
        <w:trPr>
          <w:trHeight w:val="255"/>
        </w:trPr>
        <w:tc>
          <w:tcPr>
            <w:tcW w:w="23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3934F6" w:rsidRPr="00F573A7" w:rsidRDefault="00E75F56" w:rsidP="0006229B">
            <w:pPr>
              <w:keepNext/>
              <w:keepLines/>
              <w:spacing w:before="0"/>
              <w:jc w:val="center"/>
              <w:rPr>
                <w:rFonts w:ascii="Arial Narrow" w:hAnsi="Arial Narrow"/>
                <w:sz w:val="20"/>
                <w:szCs w:val="20"/>
              </w:rPr>
            </w:pPr>
            <w:r w:rsidRPr="00F573A7">
              <w:rPr>
                <w:rFonts w:ascii="Arial Narrow" w:hAnsi="Arial Narrow"/>
                <w:sz w:val="20"/>
                <w:szCs w:val="20"/>
              </w:rPr>
              <w:t>H</w:t>
            </w:r>
          </w:p>
        </w:tc>
        <w:tc>
          <w:tcPr>
            <w:tcW w:w="157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3934F6" w:rsidRPr="00F573A7" w:rsidRDefault="003934F6" w:rsidP="0006229B">
            <w:pPr>
              <w:keepNext/>
              <w:keepLines/>
              <w:spacing w:before="0"/>
              <w:jc w:val="left"/>
              <w:rPr>
                <w:rFonts w:ascii="Arial Narrow" w:hAnsi="Arial Narrow"/>
                <w:sz w:val="20"/>
                <w:szCs w:val="20"/>
              </w:rPr>
            </w:pPr>
            <w:r w:rsidRPr="00F573A7">
              <w:rPr>
                <w:rFonts w:ascii="Arial Narrow" w:hAnsi="Arial Narrow"/>
                <w:sz w:val="20"/>
                <w:szCs w:val="20"/>
              </w:rPr>
              <w:t>Darolutamide uptake</w:t>
            </w:r>
          </w:p>
        </w:tc>
        <w:tc>
          <w:tcPr>
            <w:tcW w:w="39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3934F6" w:rsidRPr="00F573A7" w:rsidRDefault="004B7986" w:rsidP="003D070A">
            <w:pPr>
              <w:keepNext/>
              <w:keepLines/>
              <w:spacing w:before="0"/>
              <w:jc w:val="right"/>
              <w:rPr>
                <w:rFonts w:ascii="Arial Narrow" w:hAnsi="Arial Narrow"/>
                <w:sz w:val="20"/>
                <w:szCs w:val="20"/>
              </w:rPr>
            </w:pPr>
            <w:r>
              <w:rPr>
                <w:rFonts w:ascii="Arial Narrow" w:hAnsi="Arial Narrow" w:cs="Arial"/>
                <w:iCs/>
                <w:noProof/>
                <w:color w:val="000000"/>
                <w:sz w:val="20"/>
                <w:szCs w:val="20"/>
                <w:highlight w:val="black"/>
              </w:rPr>
              <w:t>''''''</w:t>
            </w:r>
            <w:r w:rsidR="003934F6" w:rsidRPr="00F573A7">
              <w:rPr>
                <w:rFonts w:ascii="Arial Narrow" w:hAnsi="Arial Narrow" w:cs="Arial"/>
                <w:iCs/>
                <w:sz w:val="20"/>
                <w:szCs w:val="20"/>
              </w:rPr>
              <w:t>%</w:t>
            </w:r>
          </w:p>
        </w:tc>
        <w:tc>
          <w:tcPr>
            <w:tcW w:w="39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3934F6" w:rsidRPr="00F573A7" w:rsidRDefault="004B7986" w:rsidP="003D070A">
            <w:pPr>
              <w:keepNext/>
              <w:keepLines/>
              <w:spacing w:before="0"/>
              <w:jc w:val="right"/>
              <w:rPr>
                <w:rFonts w:ascii="Arial Narrow" w:hAnsi="Arial Narrow"/>
                <w:sz w:val="20"/>
                <w:szCs w:val="20"/>
              </w:rPr>
            </w:pPr>
            <w:r>
              <w:rPr>
                <w:rFonts w:ascii="Arial Narrow" w:hAnsi="Arial Narrow" w:cs="Arial"/>
                <w:iCs/>
                <w:noProof/>
                <w:color w:val="000000"/>
                <w:sz w:val="20"/>
                <w:szCs w:val="20"/>
                <w:highlight w:val="black"/>
              </w:rPr>
              <w:t>''''''</w:t>
            </w:r>
            <w:r w:rsidR="003934F6" w:rsidRPr="00F573A7">
              <w:rPr>
                <w:rFonts w:ascii="Arial Narrow" w:hAnsi="Arial Narrow" w:cs="Arial"/>
                <w:iCs/>
                <w:sz w:val="20"/>
                <w:szCs w:val="20"/>
              </w:rPr>
              <w:t>%</w:t>
            </w:r>
          </w:p>
        </w:tc>
        <w:tc>
          <w:tcPr>
            <w:tcW w:w="39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3934F6" w:rsidRPr="00F573A7" w:rsidRDefault="004B7986" w:rsidP="003D070A">
            <w:pPr>
              <w:keepNext/>
              <w:keepLines/>
              <w:spacing w:before="0"/>
              <w:jc w:val="right"/>
              <w:rPr>
                <w:rFonts w:ascii="Arial Narrow" w:hAnsi="Arial Narrow"/>
                <w:sz w:val="20"/>
                <w:szCs w:val="20"/>
              </w:rPr>
            </w:pPr>
            <w:r>
              <w:rPr>
                <w:rFonts w:ascii="Arial Narrow" w:hAnsi="Arial Narrow" w:cs="Arial"/>
                <w:iCs/>
                <w:noProof/>
                <w:color w:val="000000"/>
                <w:sz w:val="20"/>
                <w:szCs w:val="20"/>
                <w:highlight w:val="black"/>
              </w:rPr>
              <w:t>''''''</w:t>
            </w:r>
            <w:r w:rsidR="003934F6" w:rsidRPr="00F573A7">
              <w:rPr>
                <w:rFonts w:ascii="Arial Narrow" w:hAnsi="Arial Narrow" w:cs="Arial"/>
                <w:iCs/>
                <w:sz w:val="20"/>
                <w:szCs w:val="20"/>
              </w:rPr>
              <w:t>%</w:t>
            </w:r>
          </w:p>
        </w:tc>
        <w:tc>
          <w:tcPr>
            <w:tcW w:w="39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3934F6" w:rsidRPr="00F573A7" w:rsidRDefault="004B7986" w:rsidP="003D070A">
            <w:pPr>
              <w:keepNext/>
              <w:keepLines/>
              <w:spacing w:before="0"/>
              <w:jc w:val="right"/>
              <w:rPr>
                <w:rFonts w:ascii="Arial Narrow" w:hAnsi="Arial Narrow"/>
                <w:sz w:val="20"/>
                <w:szCs w:val="20"/>
              </w:rPr>
            </w:pPr>
            <w:r>
              <w:rPr>
                <w:rFonts w:ascii="Arial Narrow" w:hAnsi="Arial Narrow" w:cs="Arial"/>
                <w:iCs/>
                <w:noProof/>
                <w:color w:val="000000"/>
                <w:sz w:val="20"/>
                <w:szCs w:val="20"/>
                <w:highlight w:val="black"/>
              </w:rPr>
              <w:t>''''''</w:t>
            </w:r>
            <w:r w:rsidR="003934F6" w:rsidRPr="00F573A7">
              <w:rPr>
                <w:rFonts w:ascii="Arial Narrow" w:hAnsi="Arial Narrow" w:cs="Arial"/>
                <w:iCs/>
                <w:sz w:val="20"/>
                <w:szCs w:val="20"/>
              </w:rPr>
              <w:t>%</w:t>
            </w:r>
          </w:p>
        </w:tc>
        <w:tc>
          <w:tcPr>
            <w:tcW w:w="39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3934F6" w:rsidRPr="00F573A7" w:rsidRDefault="004B7986" w:rsidP="003D070A">
            <w:pPr>
              <w:keepNext/>
              <w:keepLines/>
              <w:spacing w:before="0"/>
              <w:jc w:val="right"/>
              <w:rPr>
                <w:rFonts w:ascii="Arial Narrow" w:hAnsi="Arial Narrow"/>
                <w:sz w:val="20"/>
                <w:szCs w:val="20"/>
              </w:rPr>
            </w:pPr>
            <w:r>
              <w:rPr>
                <w:rFonts w:ascii="Arial Narrow" w:hAnsi="Arial Narrow" w:cs="Arial"/>
                <w:iCs/>
                <w:noProof/>
                <w:color w:val="000000"/>
                <w:sz w:val="20"/>
                <w:szCs w:val="20"/>
                <w:highlight w:val="black"/>
              </w:rPr>
              <w:t>''''''</w:t>
            </w:r>
            <w:r w:rsidR="003934F6" w:rsidRPr="00F573A7">
              <w:rPr>
                <w:rFonts w:ascii="Arial Narrow" w:hAnsi="Arial Narrow" w:cs="Arial"/>
                <w:iCs/>
                <w:sz w:val="20"/>
                <w:szCs w:val="20"/>
              </w:rPr>
              <w:t>%</w:t>
            </w:r>
          </w:p>
        </w:tc>
        <w:tc>
          <w:tcPr>
            <w:tcW w:w="389"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3934F6" w:rsidRPr="00F573A7" w:rsidRDefault="004B7986" w:rsidP="003D070A">
            <w:pPr>
              <w:keepNext/>
              <w:keepLines/>
              <w:spacing w:before="0"/>
              <w:jc w:val="right"/>
              <w:rPr>
                <w:rFonts w:ascii="Arial Narrow" w:hAnsi="Arial Narrow"/>
                <w:sz w:val="20"/>
                <w:szCs w:val="20"/>
              </w:rPr>
            </w:pPr>
            <w:r>
              <w:rPr>
                <w:rFonts w:ascii="Arial Narrow" w:hAnsi="Arial Narrow" w:cs="Arial"/>
                <w:iCs/>
                <w:noProof/>
                <w:color w:val="000000"/>
                <w:sz w:val="20"/>
                <w:szCs w:val="20"/>
                <w:highlight w:val="black"/>
              </w:rPr>
              <w:t>''''''</w:t>
            </w:r>
            <w:r w:rsidR="003934F6" w:rsidRPr="00F573A7">
              <w:rPr>
                <w:rFonts w:ascii="Arial Narrow" w:hAnsi="Arial Narrow" w:cs="Arial"/>
                <w:iCs/>
                <w:sz w:val="20"/>
                <w:szCs w:val="20"/>
              </w:rPr>
              <w:t>%</w:t>
            </w:r>
          </w:p>
        </w:tc>
        <w:tc>
          <w:tcPr>
            <w:tcW w:w="84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3934F6" w:rsidRPr="00F573A7" w:rsidRDefault="003934F6" w:rsidP="0006229B">
            <w:pPr>
              <w:keepNext/>
              <w:keepLines/>
              <w:spacing w:before="0"/>
              <w:jc w:val="center"/>
              <w:rPr>
                <w:rFonts w:ascii="Arial Narrow" w:hAnsi="Arial Narrow"/>
                <w:sz w:val="20"/>
                <w:szCs w:val="20"/>
              </w:rPr>
            </w:pPr>
            <w:r w:rsidRPr="00F573A7">
              <w:rPr>
                <w:rFonts w:ascii="Arial Narrow" w:hAnsi="Arial Narrow"/>
                <w:sz w:val="20"/>
                <w:szCs w:val="20"/>
              </w:rPr>
              <w:t>March 2021 resubmission</w:t>
            </w:r>
          </w:p>
        </w:tc>
      </w:tr>
      <w:tr w:rsidR="00E75F56" w:rsidRPr="00F573A7" w:rsidTr="00E75F56">
        <w:trPr>
          <w:trHeight w:val="255"/>
        </w:trPr>
        <w:tc>
          <w:tcPr>
            <w:tcW w:w="233" w:type="pct"/>
            <w:tcBorders>
              <w:top w:val="single" w:sz="4" w:space="0" w:color="auto"/>
              <w:left w:val="single" w:sz="4" w:space="0" w:color="auto"/>
              <w:bottom w:val="single" w:sz="8" w:space="0" w:color="auto"/>
              <w:right w:val="single" w:sz="4" w:space="0" w:color="auto"/>
            </w:tcBorders>
            <w:shd w:val="clear" w:color="auto" w:fill="auto"/>
            <w:tcMar>
              <w:left w:w="28" w:type="dxa"/>
              <w:right w:w="28" w:type="dxa"/>
            </w:tcMar>
            <w:vAlign w:val="center"/>
          </w:tcPr>
          <w:p w:rsidR="00E75F56" w:rsidRPr="00F573A7" w:rsidRDefault="00E75F56" w:rsidP="0006229B">
            <w:pPr>
              <w:keepNext/>
              <w:keepLines/>
              <w:spacing w:before="0"/>
              <w:jc w:val="center"/>
              <w:rPr>
                <w:rFonts w:ascii="Arial Narrow" w:hAnsi="Arial Narrow"/>
                <w:sz w:val="20"/>
                <w:szCs w:val="20"/>
              </w:rPr>
            </w:pPr>
            <w:r w:rsidRPr="00F573A7">
              <w:rPr>
                <w:rFonts w:ascii="Arial Narrow" w:hAnsi="Arial Narrow"/>
                <w:sz w:val="20"/>
                <w:szCs w:val="20"/>
              </w:rPr>
              <w:t>I</w:t>
            </w:r>
          </w:p>
        </w:tc>
        <w:tc>
          <w:tcPr>
            <w:tcW w:w="1572" w:type="pct"/>
            <w:tcBorders>
              <w:top w:val="single" w:sz="4" w:space="0" w:color="auto"/>
              <w:left w:val="single" w:sz="4" w:space="0" w:color="auto"/>
              <w:bottom w:val="single" w:sz="8" w:space="0" w:color="auto"/>
              <w:right w:val="single" w:sz="4" w:space="0" w:color="auto"/>
            </w:tcBorders>
            <w:shd w:val="clear" w:color="auto" w:fill="auto"/>
            <w:tcMar>
              <w:left w:w="28" w:type="dxa"/>
              <w:right w:w="28" w:type="dxa"/>
            </w:tcMar>
            <w:vAlign w:val="center"/>
          </w:tcPr>
          <w:p w:rsidR="00E75F56" w:rsidRPr="00F573A7" w:rsidRDefault="00E75F56" w:rsidP="0006229B">
            <w:pPr>
              <w:keepNext/>
              <w:keepLines/>
              <w:spacing w:before="0"/>
              <w:jc w:val="left"/>
              <w:rPr>
                <w:rFonts w:ascii="Arial Narrow" w:hAnsi="Arial Narrow"/>
                <w:sz w:val="20"/>
                <w:szCs w:val="20"/>
              </w:rPr>
            </w:pPr>
            <w:r w:rsidRPr="00F573A7">
              <w:rPr>
                <w:rFonts w:ascii="Arial Narrow" w:hAnsi="Arial Narrow"/>
                <w:sz w:val="20"/>
                <w:szCs w:val="20"/>
              </w:rPr>
              <w:t>Patients treated with darolutamide</w:t>
            </w:r>
          </w:p>
        </w:tc>
        <w:tc>
          <w:tcPr>
            <w:tcW w:w="393" w:type="pct"/>
            <w:tcBorders>
              <w:top w:val="single" w:sz="4" w:space="0" w:color="auto"/>
              <w:left w:val="single" w:sz="4" w:space="0" w:color="auto"/>
              <w:bottom w:val="single" w:sz="8" w:space="0" w:color="auto"/>
              <w:right w:val="single" w:sz="4" w:space="0" w:color="auto"/>
            </w:tcBorders>
            <w:shd w:val="clear" w:color="auto" w:fill="auto"/>
            <w:noWrap/>
            <w:tcMar>
              <w:left w:w="28" w:type="dxa"/>
              <w:right w:w="28" w:type="dxa"/>
            </w:tcMar>
            <w:vAlign w:val="center"/>
          </w:tcPr>
          <w:p w:rsidR="00E75F56" w:rsidRPr="004B7986" w:rsidRDefault="004B7986" w:rsidP="003D070A">
            <w:pPr>
              <w:keepNext/>
              <w:keepLines/>
              <w:spacing w:before="0"/>
              <w:jc w:val="right"/>
              <w:rPr>
                <w:rFonts w:ascii="Arial Narrow" w:hAnsi="Arial Narrow" w:cs="Arial"/>
                <w:iCs/>
                <w:sz w:val="20"/>
                <w:szCs w:val="20"/>
              </w:rPr>
            </w:pPr>
            <w:r>
              <w:rPr>
                <w:rFonts w:ascii="Arial Narrow" w:hAnsi="Arial Narrow" w:cs="Calibri"/>
                <w:noProof/>
                <w:color w:val="000000"/>
                <w:sz w:val="20"/>
                <w:szCs w:val="20"/>
                <w:highlight w:val="black"/>
              </w:rPr>
              <w:t>''''''''''</w:t>
            </w:r>
            <w:r w:rsidR="00861B82" w:rsidRPr="00BD7A41">
              <w:rPr>
                <w:rFonts w:ascii="Arial Narrow" w:hAnsi="Arial Narrow"/>
                <w:sz w:val="20"/>
                <w:szCs w:val="20"/>
                <w:vertAlign w:val="superscript"/>
              </w:rPr>
              <w:t>1</w:t>
            </w:r>
          </w:p>
        </w:tc>
        <w:tc>
          <w:tcPr>
            <w:tcW w:w="393" w:type="pct"/>
            <w:tcBorders>
              <w:top w:val="single" w:sz="4" w:space="0" w:color="auto"/>
              <w:left w:val="single" w:sz="4" w:space="0" w:color="auto"/>
              <w:bottom w:val="single" w:sz="8" w:space="0" w:color="auto"/>
              <w:right w:val="single" w:sz="4" w:space="0" w:color="auto"/>
            </w:tcBorders>
            <w:shd w:val="clear" w:color="auto" w:fill="auto"/>
            <w:noWrap/>
            <w:tcMar>
              <w:left w:w="28" w:type="dxa"/>
              <w:right w:w="28" w:type="dxa"/>
            </w:tcMar>
            <w:vAlign w:val="center"/>
          </w:tcPr>
          <w:p w:rsidR="00E75F56" w:rsidRPr="004B7986" w:rsidRDefault="004B7986" w:rsidP="003D070A">
            <w:pPr>
              <w:keepNext/>
              <w:keepLines/>
              <w:spacing w:before="0"/>
              <w:jc w:val="right"/>
              <w:rPr>
                <w:rFonts w:ascii="Arial Narrow" w:hAnsi="Arial Narrow" w:cs="Arial"/>
                <w:iCs/>
                <w:sz w:val="20"/>
                <w:szCs w:val="20"/>
              </w:rPr>
            </w:pPr>
            <w:r>
              <w:rPr>
                <w:rFonts w:ascii="Arial Narrow" w:hAnsi="Arial Narrow" w:cs="Calibri"/>
                <w:noProof/>
                <w:color w:val="000000"/>
                <w:sz w:val="20"/>
                <w:szCs w:val="20"/>
                <w:highlight w:val="black"/>
              </w:rPr>
              <w:t>'''''''''</w:t>
            </w:r>
            <w:r w:rsidR="00861B82">
              <w:rPr>
                <w:rFonts w:ascii="Arial Narrow" w:hAnsi="Arial Narrow"/>
                <w:sz w:val="20"/>
                <w:szCs w:val="20"/>
                <w:vertAlign w:val="superscript"/>
              </w:rPr>
              <w:t>2</w:t>
            </w:r>
          </w:p>
        </w:tc>
        <w:tc>
          <w:tcPr>
            <w:tcW w:w="393" w:type="pct"/>
            <w:tcBorders>
              <w:top w:val="single" w:sz="4" w:space="0" w:color="auto"/>
              <w:left w:val="single" w:sz="4" w:space="0" w:color="auto"/>
              <w:bottom w:val="single" w:sz="8" w:space="0" w:color="auto"/>
              <w:right w:val="single" w:sz="4" w:space="0" w:color="auto"/>
            </w:tcBorders>
            <w:shd w:val="clear" w:color="auto" w:fill="auto"/>
            <w:noWrap/>
            <w:tcMar>
              <w:left w:w="28" w:type="dxa"/>
              <w:right w:w="28" w:type="dxa"/>
            </w:tcMar>
            <w:vAlign w:val="center"/>
          </w:tcPr>
          <w:p w:rsidR="00E75F56" w:rsidRPr="004B7986" w:rsidRDefault="004B7986" w:rsidP="003D070A">
            <w:pPr>
              <w:keepNext/>
              <w:keepLines/>
              <w:spacing w:before="0"/>
              <w:jc w:val="right"/>
              <w:rPr>
                <w:rFonts w:ascii="Arial Narrow" w:hAnsi="Arial Narrow" w:cs="Arial"/>
                <w:iCs/>
                <w:sz w:val="20"/>
                <w:szCs w:val="20"/>
              </w:rPr>
            </w:pPr>
            <w:r>
              <w:rPr>
                <w:rFonts w:ascii="Arial Narrow" w:hAnsi="Arial Narrow" w:cs="Calibri"/>
                <w:noProof/>
                <w:color w:val="000000"/>
                <w:sz w:val="20"/>
                <w:szCs w:val="20"/>
                <w:highlight w:val="black"/>
              </w:rPr>
              <w:t>'''''''''</w:t>
            </w:r>
            <w:r w:rsidR="00861B82">
              <w:rPr>
                <w:rFonts w:ascii="Arial Narrow" w:hAnsi="Arial Narrow"/>
                <w:sz w:val="20"/>
                <w:szCs w:val="20"/>
                <w:vertAlign w:val="superscript"/>
              </w:rPr>
              <w:t>2</w:t>
            </w:r>
          </w:p>
        </w:tc>
        <w:tc>
          <w:tcPr>
            <w:tcW w:w="393" w:type="pct"/>
            <w:tcBorders>
              <w:top w:val="single" w:sz="4" w:space="0" w:color="auto"/>
              <w:left w:val="single" w:sz="4" w:space="0" w:color="auto"/>
              <w:bottom w:val="single" w:sz="8" w:space="0" w:color="auto"/>
              <w:right w:val="single" w:sz="4" w:space="0" w:color="auto"/>
            </w:tcBorders>
            <w:shd w:val="clear" w:color="auto" w:fill="auto"/>
            <w:noWrap/>
            <w:tcMar>
              <w:left w:w="28" w:type="dxa"/>
              <w:right w:w="28" w:type="dxa"/>
            </w:tcMar>
            <w:vAlign w:val="center"/>
          </w:tcPr>
          <w:p w:rsidR="00E75F56" w:rsidRPr="004B7986" w:rsidRDefault="004B7986" w:rsidP="003D070A">
            <w:pPr>
              <w:keepNext/>
              <w:keepLines/>
              <w:spacing w:before="0"/>
              <w:jc w:val="right"/>
              <w:rPr>
                <w:rFonts w:ascii="Arial Narrow" w:hAnsi="Arial Narrow" w:cs="Arial"/>
                <w:iCs/>
                <w:sz w:val="20"/>
                <w:szCs w:val="20"/>
              </w:rPr>
            </w:pPr>
            <w:r>
              <w:rPr>
                <w:rFonts w:ascii="Arial Narrow" w:hAnsi="Arial Narrow" w:cs="Calibri"/>
                <w:noProof/>
                <w:color w:val="000000"/>
                <w:sz w:val="20"/>
                <w:szCs w:val="20"/>
                <w:highlight w:val="black"/>
              </w:rPr>
              <w:t>''''''''</w:t>
            </w:r>
            <w:r w:rsidR="00861B82">
              <w:rPr>
                <w:rFonts w:ascii="Arial Narrow" w:hAnsi="Arial Narrow"/>
                <w:sz w:val="20"/>
                <w:szCs w:val="20"/>
                <w:vertAlign w:val="superscript"/>
              </w:rPr>
              <w:t>2</w:t>
            </w:r>
          </w:p>
        </w:tc>
        <w:tc>
          <w:tcPr>
            <w:tcW w:w="393" w:type="pct"/>
            <w:tcBorders>
              <w:top w:val="single" w:sz="4" w:space="0" w:color="auto"/>
              <w:left w:val="single" w:sz="4" w:space="0" w:color="auto"/>
              <w:bottom w:val="single" w:sz="8" w:space="0" w:color="auto"/>
              <w:right w:val="single" w:sz="4" w:space="0" w:color="auto"/>
            </w:tcBorders>
            <w:shd w:val="clear" w:color="auto" w:fill="auto"/>
            <w:noWrap/>
            <w:tcMar>
              <w:left w:w="28" w:type="dxa"/>
              <w:right w:w="28" w:type="dxa"/>
            </w:tcMar>
            <w:vAlign w:val="center"/>
          </w:tcPr>
          <w:p w:rsidR="00E75F56" w:rsidRPr="004B7986" w:rsidRDefault="004B7986" w:rsidP="003D070A">
            <w:pPr>
              <w:keepNext/>
              <w:keepLines/>
              <w:spacing w:before="0"/>
              <w:jc w:val="right"/>
              <w:rPr>
                <w:rFonts w:ascii="Arial Narrow" w:hAnsi="Arial Narrow" w:cs="Arial"/>
                <w:iCs/>
                <w:sz w:val="20"/>
                <w:szCs w:val="20"/>
              </w:rPr>
            </w:pPr>
            <w:r>
              <w:rPr>
                <w:rFonts w:ascii="Arial Narrow" w:hAnsi="Arial Narrow" w:cs="Calibri"/>
                <w:noProof/>
                <w:color w:val="000000"/>
                <w:sz w:val="20"/>
                <w:szCs w:val="20"/>
                <w:highlight w:val="black"/>
              </w:rPr>
              <w:t>''''''''</w:t>
            </w:r>
            <w:r w:rsidR="00861B82">
              <w:rPr>
                <w:rFonts w:ascii="Arial Narrow" w:hAnsi="Arial Narrow"/>
                <w:sz w:val="20"/>
                <w:szCs w:val="20"/>
                <w:vertAlign w:val="superscript"/>
              </w:rPr>
              <w:t>2</w:t>
            </w:r>
          </w:p>
        </w:tc>
        <w:tc>
          <w:tcPr>
            <w:tcW w:w="389" w:type="pct"/>
            <w:tcBorders>
              <w:top w:val="single" w:sz="4" w:space="0" w:color="auto"/>
              <w:left w:val="single" w:sz="4" w:space="0" w:color="auto"/>
              <w:bottom w:val="single" w:sz="8" w:space="0" w:color="auto"/>
              <w:right w:val="single" w:sz="4" w:space="0" w:color="auto"/>
            </w:tcBorders>
            <w:shd w:val="clear" w:color="auto" w:fill="auto"/>
            <w:noWrap/>
            <w:tcMar>
              <w:left w:w="28" w:type="dxa"/>
              <w:right w:w="28" w:type="dxa"/>
            </w:tcMar>
            <w:vAlign w:val="center"/>
          </w:tcPr>
          <w:p w:rsidR="00E75F56" w:rsidRPr="004B7986" w:rsidRDefault="004B7986" w:rsidP="003D070A">
            <w:pPr>
              <w:keepNext/>
              <w:keepLines/>
              <w:spacing w:before="0"/>
              <w:jc w:val="right"/>
              <w:rPr>
                <w:rFonts w:ascii="Arial Narrow" w:hAnsi="Arial Narrow" w:cs="Arial"/>
                <w:iCs/>
                <w:sz w:val="20"/>
                <w:szCs w:val="20"/>
              </w:rPr>
            </w:pPr>
            <w:r>
              <w:rPr>
                <w:rFonts w:ascii="Arial Narrow" w:hAnsi="Arial Narrow" w:cs="Calibri"/>
                <w:noProof/>
                <w:color w:val="000000"/>
                <w:sz w:val="20"/>
                <w:szCs w:val="20"/>
                <w:highlight w:val="black"/>
              </w:rPr>
              <w:t>'''''''''</w:t>
            </w:r>
            <w:r w:rsidR="00861B82" w:rsidRPr="00BD7A41">
              <w:rPr>
                <w:rFonts w:ascii="Arial Narrow" w:hAnsi="Arial Narrow"/>
                <w:sz w:val="20"/>
                <w:szCs w:val="20"/>
                <w:vertAlign w:val="superscript"/>
              </w:rPr>
              <w:t>1</w:t>
            </w:r>
          </w:p>
        </w:tc>
        <w:tc>
          <w:tcPr>
            <w:tcW w:w="840" w:type="pct"/>
            <w:tcBorders>
              <w:top w:val="single" w:sz="4" w:space="0" w:color="auto"/>
              <w:left w:val="single" w:sz="4" w:space="0" w:color="auto"/>
              <w:bottom w:val="single" w:sz="8" w:space="0" w:color="auto"/>
              <w:right w:val="single" w:sz="4" w:space="0" w:color="auto"/>
            </w:tcBorders>
            <w:shd w:val="clear" w:color="auto" w:fill="auto"/>
            <w:tcMar>
              <w:left w:w="28" w:type="dxa"/>
              <w:right w:w="28" w:type="dxa"/>
            </w:tcMar>
            <w:vAlign w:val="center"/>
          </w:tcPr>
          <w:p w:rsidR="00E75F56" w:rsidRPr="00F573A7" w:rsidRDefault="00E75F56" w:rsidP="0006229B">
            <w:pPr>
              <w:keepNext/>
              <w:keepLines/>
              <w:spacing w:before="0"/>
              <w:jc w:val="center"/>
              <w:rPr>
                <w:rFonts w:ascii="Arial Narrow" w:hAnsi="Arial Narrow"/>
                <w:sz w:val="20"/>
                <w:szCs w:val="20"/>
              </w:rPr>
            </w:pPr>
            <w:r w:rsidRPr="00F573A7">
              <w:rPr>
                <w:rFonts w:ascii="Arial Narrow" w:hAnsi="Arial Narrow"/>
                <w:sz w:val="20"/>
                <w:szCs w:val="20"/>
              </w:rPr>
              <w:t>G x H</w:t>
            </w:r>
          </w:p>
        </w:tc>
      </w:tr>
      <w:tr w:rsidR="00587099" w:rsidRPr="00F573A7" w:rsidTr="00E75F56">
        <w:trPr>
          <w:trHeight w:val="255"/>
        </w:trPr>
        <w:tc>
          <w:tcPr>
            <w:tcW w:w="233" w:type="pct"/>
            <w:tcBorders>
              <w:top w:val="single" w:sz="8"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87099" w:rsidRPr="00F573A7" w:rsidRDefault="00E75F56" w:rsidP="0006229B">
            <w:pPr>
              <w:keepNext/>
              <w:keepLines/>
              <w:spacing w:before="0"/>
              <w:jc w:val="center"/>
              <w:rPr>
                <w:rFonts w:ascii="Arial Narrow" w:eastAsia="Times New Roman" w:hAnsi="Arial Narrow"/>
                <w:sz w:val="20"/>
                <w:szCs w:val="20"/>
              </w:rPr>
            </w:pPr>
            <w:r w:rsidRPr="00F573A7">
              <w:rPr>
                <w:rFonts w:ascii="Arial Narrow" w:hAnsi="Arial Narrow"/>
                <w:sz w:val="20"/>
                <w:szCs w:val="20"/>
              </w:rPr>
              <w:t>J</w:t>
            </w:r>
          </w:p>
        </w:tc>
        <w:tc>
          <w:tcPr>
            <w:tcW w:w="1572" w:type="pct"/>
            <w:tcBorders>
              <w:top w:val="single" w:sz="8"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87099" w:rsidRPr="00F573A7" w:rsidRDefault="00587099" w:rsidP="0006229B">
            <w:pPr>
              <w:keepNext/>
              <w:keepLines/>
              <w:spacing w:before="0"/>
              <w:jc w:val="left"/>
              <w:rPr>
                <w:rFonts w:ascii="Arial Narrow" w:eastAsia="Times New Roman" w:hAnsi="Arial Narrow"/>
                <w:b/>
                <w:bCs/>
                <w:i/>
                <w:iCs/>
                <w:color w:val="4BACC6" w:themeColor="accent5"/>
                <w:sz w:val="20"/>
                <w:szCs w:val="20"/>
              </w:rPr>
            </w:pPr>
            <w:r w:rsidRPr="00F573A7">
              <w:rPr>
                <w:rFonts w:ascii="Arial Narrow" w:hAnsi="Arial Narrow"/>
                <w:sz w:val="20"/>
                <w:szCs w:val="20"/>
              </w:rPr>
              <w:t>% of ‘CRPC; CI negative’ population that have distant metastases on PSMA-PET</w:t>
            </w:r>
          </w:p>
        </w:tc>
        <w:tc>
          <w:tcPr>
            <w:tcW w:w="393" w:type="pct"/>
            <w:tcBorders>
              <w:top w:val="single" w:sz="8"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587099" w:rsidRPr="00F573A7" w:rsidRDefault="00587099" w:rsidP="003D070A">
            <w:pPr>
              <w:keepNext/>
              <w:keepLines/>
              <w:spacing w:before="0"/>
              <w:jc w:val="right"/>
              <w:rPr>
                <w:rFonts w:ascii="Arial Narrow" w:hAnsi="Arial Narrow" w:cs="Arial"/>
                <w:i/>
                <w:iCs/>
                <w:sz w:val="20"/>
                <w:szCs w:val="20"/>
              </w:rPr>
            </w:pPr>
            <w:r w:rsidRPr="00F573A7">
              <w:rPr>
                <w:rFonts w:ascii="Arial Narrow" w:hAnsi="Arial Narrow"/>
                <w:sz w:val="20"/>
                <w:szCs w:val="20"/>
              </w:rPr>
              <w:t>55%</w:t>
            </w:r>
          </w:p>
        </w:tc>
        <w:tc>
          <w:tcPr>
            <w:tcW w:w="393" w:type="pct"/>
            <w:tcBorders>
              <w:top w:val="single" w:sz="8"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587099" w:rsidRPr="00F573A7" w:rsidRDefault="00587099" w:rsidP="003D070A">
            <w:pPr>
              <w:keepNext/>
              <w:keepLines/>
              <w:spacing w:before="0"/>
              <w:jc w:val="right"/>
              <w:rPr>
                <w:rFonts w:ascii="Arial Narrow" w:hAnsi="Arial Narrow" w:cs="Arial"/>
                <w:i/>
                <w:iCs/>
                <w:sz w:val="20"/>
                <w:szCs w:val="20"/>
              </w:rPr>
            </w:pPr>
            <w:r w:rsidRPr="00F573A7">
              <w:rPr>
                <w:rFonts w:ascii="Arial Narrow" w:hAnsi="Arial Narrow"/>
                <w:sz w:val="20"/>
                <w:szCs w:val="20"/>
              </w:rPr>
              <w:t>55%</w:t>
            </w:r>
          </w:p>
        </w:tc>
        <w:tc>
          <w:tcPr>
            <w:tcW w:w="393" w:type="pct"/>
            <w:tcBorders>
              <w:top w:val="single" w:sz="8"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587099" w:rsidRPr="00F573A7" w:rsidRDefault="00587099" w:rsidP="003D070A">
            <w:pPr>
              <w:keepNext/>
              <w:keepLines/>
              <w:spacing w:before="0"/>
              <w:jc w:val="right"/>
              <w:rPr>
                <w:rFonts w:ascii="Arial Narrow" w:hAnsi="Arial Narrow" w:cs="Arial"/>
                <w:i/>
                <w:iCs/>
                <w:sz w:val="20"/>
                <w:szCs w:val="20"/>
              </w:rPr>
            </w:pPr>
            <w:r w:rsidRPr="00F573A7">
              <w:rPr>
                <w:rFonts w:ascii="Arial Narrow" w:hAnsi="Arial Narrow"/>
                <w:sz w:val="20"/>
                <w:szCs w:val="20"/>
              </w:rPr>
              <w:t>55%</w:t>
            </w:r>
          </w:p>
        </w:tc>
        <w:tc>
          <w:tcPr>
            <w:tcW w:w="393" w:type="pct"/>
            <w:tcBorders>
              <w:top w:val="single" w:sz="8"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587099" w:rsidRPr="00F573A7" w:rsidRDefault="00587099" w:rsidP="003D070A">
            <w:pPr>
              <w:keepNext/>
              <w:keepLines/>
              <w:spacing w:before="0"/>
              <w:jc w:val="right"/>
              <w:rPr>
                <w:rFonts w:ascii="Arial Narrow" w:hAnsi="Arial Narrow" w:cs="Arial"/>
                <w:i/>
                <w:iCs/>
                <w:sz w:val="20"/>
                <w:szCs w:val="20"/>
              </w:rPr>
            </w:pPr>
            <w:r w:rsidRPr="00F573A7">
              <w:rPr>
                <w:rFonts w:ascii="Arial Narrow" w:hAnsi="Arial Narrow"/>
                <w:sz w:val="20"/>
                <w:szCs w:val="20"/>
              </w:rPr>
              <w:t>55%</w:t>
            </w:r>
          </w:p>
        </w:tc>
        <w:tc>
          <w:tcPr>
            <w:tcW w:w="393" w:type="pct"/>
            <w:tcBorders>
              <w:top w:val="single" w:sz="8"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587099" w:rsidRPr="00F573A7" w:rsidRDefault="00587099" w:rsidP="003D070A">
            <w:pPr>
              <w:keepNext/>
              <w:keepLines/>
              <w:spacing w:before="0"/>
              <w:jc w:val="right"/>
              <w:rPr>
                <w:rFonts w:ascii="Arial Narrow" w:hAnsi="Arial Narrow" w:cs="Arial"/>
                <w:i/>
                <w:iCs/>
                <w:sz w:val="20"/>
                <w:szCs w:val="20"/>
              </w:rPr>
            </w:pPr>
            <w:r w:rsidRPr="00F573A7">
              <w:rPr>
                <w:rFonts w:ascii="Arial Narrow" w:hAnsi="Arial Narrow"/>
                <w:sz w:val="20"/>
                <w:szCs w:val="20"/>
              </w:rPr>
              <w:t>55%</w:t>
            </w:r>
          </w:p>
        </w:tc>
        <w:tc>
          <w:tcPr>
            <w:tcW w:w="389" w:type="pct"/>
            <w:tcBorders>
              <w:top w:val="single" w:sz="8"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587099" w:rsidRPr="00F573A7" w:rsidRDefault="00587099" w:rsidP="003D070A">
            <w:pPr>
              <w:keepNext/>
              <w:keepLines/>
              <w:spacing w:before="0"/>
              <w:jc w:val="right"/>
              <w:rPr>
                <w:rFonts w:ascii="Arial Narrow" w:hAnsi="Arial Narrow" w:cs="Arial"/>
                <w:i/>
                <w:iCs/>
                <w:sz w:val="20"/>
                <w:szCs w:val="20"/>
              </w:rPr>
            </w:pPr>
            <w:r w:rsidRPr="00F573A7">
              <w:rPr>
                <w:rFonts w:ascii="Arial Narrow" w:hAnsi="Arial Narrow"/>
                <w:sz w:val="20"/>
                <w:szCs w:val="20"/>
              </w:rPr>
              <w:t>55%</w:t>
            </w:r>
          </w:p>
        </w:tc>
        <w:tc>
          <w:tcPr>
            <w:tcW w:w="840" w:type="pct"/>
            <w:tcBorders>
              <w:top w:val="single" w:sz="8"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87099" w:rsidRPr="00F573A7" w:rsidRDefault="00587099" w:rsidP="0006229B">
            <w:pPr>
              <w:keepNext/>
              <w:keepLines/>
              <w:spacing w:before="0"/>
              <w:jc w:val="center"/>
              <w:rPr>
                <w:rFonts w:ascii="Arial Narrow" w:eastAsia="Times New Roman" w:hAnsi="Arial Narrow"/>
                <w:sz w:val="20"/>
                <w:szCs w:val="20"/>
              </w:rPr>
            </w:pPr>
            <w:r w:rsidRPr="00F573A7">
              <w:rPr>
                <w:rFonts w:ascii="Arial Narrow" w:hAnsi="Arial Narrow"/>
                <w:sz w:val="20"/>
                <w:szCs w:val="20"/>
              </w:rPr>
              <w:t>Fendler 2019</w:t>
            </w:r>
          </w:p>
        </w:tc>
      </w:tr>
      <w:tr w:rsidR="00587099" w:rsidRPr="00F573A7" w:rsidTr="00E75F56">
        <w:trPr>
          <w:trHeight w:val="255"/>
        </w:trPr>
        <w:tc>
          <w:tcPr>
            <w:tcW w:w="23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87099" w:rsidRPr="00F573A7" w:rsidRDefault="00E75F56" w:rsidP="0006229B">
            <w:pPr>
              <w:keepNext/>
              <w:keepLines/>
              <w:spacing w:before="0"/>
              <w:jc w:val="center"/>
              <w:rPr>
                <w:rFonts w:ascii="Arial Narrow" w:eastAsia="Times New Roman" w:hAnsi="Arial Narrow"/>
                <w:sz w:val="20"/>
                <w:szCs w:val="20"/>
              </w:rPr>
            </w:pPr>
            <w:r w:rsidRPr="00F573A7">
              <w:rPr>
                <w:rFonts w:ascii="Arial Narrow" w:hAnsi="Arial Narrow"/>
                <w:sz w:val="20"/>
                <w:szCs w:val="20"/>
              </w:rPr>
              <w:t>K</w:t>
            </w:r>
          </w:p>
        </w:tc>
        <w:tc>
          <w:tcPr>
            <w:tcW w:w="157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87099" w:rsidRPr="00F573A7" w:rsidRDefault="00587099" w:rsidP="0006229B">
            <w:pPr>
              <w:keepNext/>
              <w:keepLines/>
              <w:spacing w:before="0"/>
              <w:jc w:val="left"/>
              <w:rPr>
                <w:rFonts w:ascii="Arial Narrow" w:eastAsia="Times New Roman" w:hAnsi="Arial Narrow"/>
                <w:b/>
                <w:bCs/>
                <w:sz w:val="20"/>
                <w:szCs w:val="20"/>
              </w:rPr>
            </w:pPr>
            <w:r w:rsidRPr="00F573A7">
              <w:rPr>
                <w:rFonts w:ascii="Arial Narrow" w:hAnsi="Arial Narrow"/>
                <w:b/>
                <w:bCs/>
                <w:sz w:val="20"/>
                <w:szCs w:val="20"/>
              </w:rPr>
              <w:t>CRPC; CI negative; PSMA-PET positive</w:t>
            </w:r>
          </w:p>
        </w:tc>
        <w:tc>
          <w:tcPr>
            <w:tcW w:w="39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587099" w:rsidRPr="004B7986" w:rsidRDefault="004B7986" w:rsidP="003D070A">
            <w:pPr>
              <w:keepNext/>
              <w:keepLines/>
              <w:spacing w:before="0"/>
              <w:jc w:val="right"/>
              <w:rPr>
                <w:rFonts w:ascii="Arial Narrow" w:hAnsi="Arial Narrow"/>
                <w:b/>
                <w:sz w:val="20"/>
              </w:rPr>
            </w:pPr>
            <w:r>
              <w:rPr>
                <w:rFonts w:ascii="Arial Narrow" w:hAnsi="Arial Narrow"/>
                <w:b/>
                <w:noProof/>
                <w:color w:val="000000"/>
                <w:sz w:val="20"/>
                <w:highlight w:val="black"/>
              </w:rPr>
              <w:t>''''''''''''</w:t>
            </w:r>
            <w:r w:rsidR="00861B82" w:rsidRPr="00BD7A41">
              <w:rPr>
                <w:rFonts w:ascii="Arial Narrow" w:hAnsi="Arial Narrow"/>
                <w:sz w:val="20"/>
                <w:szCs w:val="20"/>
                <w:vertAlign w:val="superscript"/>
              </w:rPr>
              <w:t>1</w:t>
            </w:r>
          </w:p>
        </w:tc>
        <w:tc>
          <w:tcPr>
            <w:tcW w:w="39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587099" w:rsidRPr="004B7986" w:rsidRDefault="004B7986" w:rsidP="003D070A">
            <w:pPr>
              <w:keepNext/>
              <w:keepLines/>
              <w:spacing w:before="0"/>
              <w:jc w:val="right"/>
              <w:rPr>
                <w:rFonts w:ascii="Arial Narrow" w:hAnsi="Arial Narrow"/>
                <w:b/>
                <w:sz w:val="20"/>
              </w:rPr>
            </w:pPr>
            <w:r>
              <w:rPr>
                <w:rFonts w:ascii="Arial Narrow" w:hAnsi="Arial Narrow" w:cs="Arial"/>
                <w:b/>
                <w:bCs/>
                <w:noProof/>
                <w:color w:val="000000"/>
                <w:sz w:val="20"/>
                <w:szCs w:val="20"/>
                <w:highlight w:val="black"/>
              </w:rPr>
              <w:t>'''''''</w:t>
            </w:r>
            <w:r w:rsidR="00861B82" w:rsidRPr="00BD7A41">
              <w:rPr>
                <w:rFonts w:ascii="Arial Narrow" w:hAnsi="Arial Narrow"/>
                <w:sz w:val="20"/>
                <w:szCs w:val="20"/>
                <w:vertAlign w:val="superscript"/>
              </w:rPr>
              <w:t>1</w:t>
            </w:r>
          </w:p>
        </w:tc>
        <w:tc>
          <w:tcPr>
            <w:tcW w:w="39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587099" w:rsidRPr="004B7986" w:rsidRDefault="004B7986" w:rsidP="003D070A">
            <w:pPr>
              <w:keepNext/>
              <w:keepLines/>
              <w:spacing w:before="0"/>
              <w:jc w:val="right"/>
              <w:rPr>
                <w:rFonts w:ascii="Arial Narrow" w:hAnsi="Arial Narrow"/>
                <w:b/>
                <w:sz w:val="20"/>
              </w:rPr>
            </w:pPr>
            <w:r>
              <w:rPr>
                <w:rFonts w:ascii="Arial Narrow" w:hAnsi="Arial Narrow" w:cs="Arial"/>
                <w:b/>
                <w:bCs/>
                <w:noProof/>
                <w:color w:val="000000"/>
                <w:sz w:val="20"/>
                <w:szCs w:val="20"/>
                <w:highlight w:val="black"/>
              </w:rPr>
              <w:t>'''''''</w:t>
            </w:r>
            <w:r w:rsidR="00861B82" w:rsidRPr="00BD7A41">
              <w:rPr>
                <w:rFonts w:ascii="Arial Narrow" w:hAnsi="Arial Narrow"/>
                <w:sz w:val="20"/>
                <w:szCs w:val="20"/>
                <w:vertAlign w:val="superscript"/>
              </w:rPr>
              <w:t>1</w:t>
            </w:r>
          </w:p>
        </w:tc>
        <w:tc>
          <w:tcPr>
            <w:tcW w:w="39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587099" w:rsidRPr="004B7986" w:rsidRDefault="004B7986" w:rsidP="003D070A">
            <w:pPr>
              <w:keepNext/>
              <w:keepLines/>
              <w:spacing w:before="0"/>
              <w:jc w:val="right"/>
              <w:rPr>
                <w:rFonts w:ascii="Arial Narrow" w:hAnsi="Arial Narrow"/>
                <w:b/>
                <w:sz w:val="20"/>
              </w:rPr>
            </w:pPr>
            <w:r>
              <w:rPr>
                <w:rFonts w:ascii="Arial Narrow" w:hAnsi="Arial Narrow" w:cs="Arial"/>
                <w:b/>
                <w:bCs/>
                <w:noProof/>
                <w:color w:val="000000"/>
                <w:sz w:val="20"/>
                <w:szCs w:val="20"/>
                <w:highlight w:val="black"/>
              </w:rPr>
              <w:t>'''''''</w:t>
            </w:r>
            <w:r w:rsidR="00861B82" w:rsidRPr="00BD7A41">
              <w:rPr>
                <w:rFonts w:ascii="Arial Narrow" w:hAnsi="Arial Narrow"/>
                <w:sz w:val="20"/>
                <w:szCs w:val="20"/>
                <w:vertAlign w:val="superscript"/>
              </w:rPr>
              <w:t>1</w:t>
            </w:r>
          </w:p>
        </w:tc>
        <w:tc>
          <w:tcPr>
            <w:tcW w:w="39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587099" w:rsidRPr="004B7986" w:rsidRDefault="004B7986" w:rsidP="003D070A">
            <w:pPr>
              <w:keepNext/>
              <w:keepLines/>
              <w:spacing w:before="0"/>
              <w:jc w:val="right"/>
              <w:rPr>
                <w:rFonts w:ascii="Arial Narrow" w:hAnsi="Arial Narrow"/>
                <w:b/>
                <w:sz w:val="20"/>
              </w:rPr>
            </w:pPr>
            <w:r>
              <w:rPr>
                <w:rFonts w:ascii="Arial Narrow" w:hAnsi="Arial Narrow" w:cs="Arial"/>
                <w:b/>
                <w:bCs/>
                <w:noProof/>
                <w:color w:val="000000"/>
                <w:sz w:val="20"/>
                <w:szCs w:val="20"/>
                <w:highlight w:val="black"/>
              </w:rPr>
              <w:t>''''''''</w:t>
            </w:r>
            <w:r w:rsidR="00861B82" w:rsidRPr="00BD7A41">
              <w:rPr>
                <w:rFonts w:ascii="Arial Narrow" w:hAnsi="Arial Narrow"/>
                <w:sz w:val="20"/>
                <w:szCs w:val="20"/>
                <w:vertAlign w:val="superscript"/>
              </w:rPr>
              <w:t>1</w:t>
            </w:r>
          </w:p>
        </w:tc>
        <w:tc>
          <w:tcPr>
            <w:tcW w:w="389"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587099" w:rsidRPr="004B7986" w:rsidRDefault="004B7986" w:rsidP="003D070A">
            <w:pPr>
              <w:keepNext/>
              <w:keepLines/>
              <w:spacing w:before="0"/>
              <w:jc w:val="right"/>
              <w:rPr>
                <w:rFonts w:ascii="Arial Narrow" w:hAnsi="Arial Narrow"/>
                <w:b/>
                <w:sz w:val="20"/>
              </w:rPr>
            </w:pPr>
            <w:r>
              <w:rPr>
                <w:rFonts w:ascii="Arial Narrow" w:hAnsi="Arial Narrow" w:cs="Arial"/>
                <w:b/>
                <w:bCs/>
                <w:noProof/>
                <w:color w:val="000000"/>
                <w:sz w:val="20"/>
                <w:szCs w:val="20"/>
                <w:highlight w:val="black"/>
              </w:rPr>
              <w:t>''''''''</w:t>
            </w:r>
            <w:r w:rsidR="00861B82" w:rsidRPr="00BD7A41">
              <w:rPr>
                <w:rFonts w:ascii="Arial Narrow" w:hAnsi="Arial Narrow"/>
                <w:sz w:val="20"/>
                <w:szCs w:val="20"/>
                <w:vertAlign w:val="superscript"/>
              </w:rPr>
              <w:t>1</w:t>
            </w:r>
          </w:p>
        </w:tc>
        <w:tc>
          <w:tcPr>
            <w:tcW w:w="84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87099" w:rsidRPr="00F573A7" w:rsidRDefault="00587099" w:rsidP="0006229B">
            <w:pPr>
              <w:keepNext/>
              <w:keepLines/>
              <w:spacing w:before="0"/>
              <w:jc w:val="center"/>
              <w:rPr>
                <w:rFonts w:ascii="Arial Narrow" w:eastAsia="Times New Roman" w:hAnsi="Arial Narrow"/>
                <w:sz w:val="20"/>
                <w:szCs w:val="20"/>
              </w:rPr>
            </w:pPr>
            <w:r w:rsidRPr="00F573A7">
              <w:rPr>
                <w:rFonts w:ascii="Arial Narrow" w:hAnsi="Arial Narrow"/>
                <w:sz w:val="20"/>
                <w:szCs w:val="20"/>
              </w:rPr>
              <w:t xml:space="preserve">A x B x </w:t>
            </w:r>
            <w:r w:rsidR="00E75F56" w:rsidRPr="00F573A7">
              <w:rPr>
                <w:rFonts w:ascii="Arial Narrow" w:hAnsi="Arial Narrow"/>
                <w:sz w:val="20"/>
                <w:szCs w:val="20"/>
              </w:rPr>
              <w:t>J</w:t>
            </w:r>
          </w:p>
        </w:tc>
      </w:tr>
      <w:tr w:rsidR="003934F6" w:rsidRPr="00F573A7" w:rsidTr="00A50569">
        <w:trPr>
          <w:trHeight w:val="255"/>
        </w:trPr>
        <w:tc>
          <w:tcPr>
            <w:tcW w:w="23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3934F6" w:rsidRPr="00F573A7" w:rsidRDefault="00E75F56" w:rsidP="0006229B">
            <w:pPr>
              <w:keepNext/>
              <w:keepLines/>
              <w:spacing w:before="0"/>
              <w:jc w:val="center"/>
              <w:rPr>
                <w:rFonts w:ascii="Arial Narrow" w:hAnsi="Arial Narrow"/>
                <w:sz w:val="20"/>
                <w:szCs w:val="20"/>
              </w:rPr>
            </w:pPr>
            <w:r w:rsidRPr="00F573A7">
              <w:rPr>
                <w:rFonts w:ascii="Arial Narrow" w:hAnsi="Arial Narrow"/>
                <w:sz w:val="20"/>
                <w:szCs w:val="20"/>
              </w:rPr>
              <w:t>L</w:t>
            </w:r>
          </w:p>
        </w:tc>
        <w:tc>
          <w:tcPr>
            <w:tcW w:w="157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3934F6" w:rsidRPr="00F573A7" w:rsidRDefault="003934F6" w:rsidP="0006229B">
            <w:pPr>
              <w:keepNext/>
              <w:keepLines/>
              <w:spacing w:before="0"/>
              <w:jc w:val="left"/>
              <w:rPr>
                <w:rFonts w:ascii="Arial Narrow" w:hAnsi="Arial Narrow"/>
                <w:bCs/>
                <w:sz w:val="20"/>
                <w:szCs w:val="20"/>
              </w:rPr>
            </w:pPr>
            <w:r w:rsidRPr="00F573A7">
              <w:rPr>
                <w:rFonts w:ascii="Arial Narrow" w:hAnsi="Arial Narrow"/>
                <w:bCs/>
                <w:sz w:val="20"/>
                <w:szCs w:val="20"/>
              </w:rPr>
              <w:t>Darolutamide uptake</w:t>
            </w:r>
          </w:p>
        </w:tc>
        <w:tc>
          <w:tcPr>
            <w:tcW w:w="39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3934F6" w:rsidRPr="00F573A7" w:rsidRDefault="004B7986" w:rsidP="003D070A">
            <w:pPr>
              <w:keepNext/>
              <w:keepLines/>
              <w:spacing w:before="0"/>
              <w:jc w:val="right"/>
              <w:rPr>
                <w:rFonts w:ascii="Arial Narrow" w:hAnsi="Arial Narrow"/>
                <w:b/>
                <w:sz w:val="20"/>
              </w:rPr>
            </w:pPr>
            <w:r>
              <w:rPr>
                <w:rFonts w:ascii="Arial Narrow" w:hAnsi="Arial Narrow" w:cs="Arial"/>
                <w:iCs/>
                <w:noProof/>
                <w:color w:val="000000"/>
                <w:sz w:val="20"/>
                <w:szCs w:val="20"/>
                <w:highlight w:val="black"/>
              </w:rPr>
              <w:t>''''''''''''</w:t>
            </w:r>
            <w:r w:rsidR="003934F6" w:rsidRPr="00F573A7">
              <w:rPr>
                <w:rFonts w:ascii="Arial Narrow" w:hAnsi="Arial Narrow" w:cs="Arial"/>
                <w:iCs/>
                <w:sz w:val="20"/>
                <w:szCs w:val="20"/>
              </w:rPr>
              <w:t>%</w:t>
            </w:r>
          </w:p>
        </w:tc>
        <w:tc>
          <w:tcPr>
            <w:tcW w:w="39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3934F6" w:rsidRPr="00F573A7" w:rsidRDefault="004B7986" w:rsidP="003D070A">
            <w:pPr>
              <w:keepNext/>
              <w:keepLines/>
              <w:spacing w:before="0"/>
              <w:jc w:val="right"/>
              <w:rPr>
                <w:rFonts w:ascii="Arial Narrow" w:hAnsi="Arial Narrow" w:cs="Arial"/>
                <w:b/>
                <w:bCs/>
                <w:sz w:val="20"/>
                <w:szCs w:val="20"/>
              </w:rPr>
            </w:pPr>
            <w:r>
              <w:rPr>
                <w:rFonts w:ascii="Arial Narrow" w:hAnsi="Arial Narrow" w:cs="Arial"/>
                <w:iCs/>
                <w:noProof/>
                <w:color w:val="000000"/>
                <w:sz w:val="20"/>
                <w:szCs w:val="20"/>
                <w:highlight w:val="black"/>
              </w:rPr>
              <w:t>''''''''''</w:t>
            </w:r>
            <w:r w:rsidR="003934F6" w:rsidRPr="00F573A7">
              <w:rPr>
                <w:rFonts w:ascii="Arial Narrow" w:hAnsi="Arial Narrow" w:cs="Arial"/>
                <w:iCs/>
                <w:sz w:val="20"/>
                <w:szCs w:val="20"/>
              </w:rPr>
              <w:t>%</w:t>
            </w:r>
          </w:p>
        </w:tc>
        <w:tc>
          <w:tcPr>
            <w:tcW w:w="39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3934F6" w:rsidRPr="00F573A7" w:rsidRDefault="004B7986" w:rsidP="003D070A">
            <w:pPr>
              <w:keepNext/>
              <w:keepLines/>
              <w:spacing w:before="0"/>
              <w:jc w:val="right"/>
              <w:rPr>
                <w:rFonts w:ascii="Arial Narrow" w:hAnsi="Arial Narrow" w:cs="Arial"/>
                <w:b/>
                <w:bCs/>
                <w:sz w:val="20"/>
                <w:szCs w:val="20"/>
              </w:rPr>
            </w:pPr>
            <w:r>
              <w:rPr>
                <w:rFonts w:ascii="Arial Narrow" w:hAnsi="Arial Narrow" w:cs="Arial"/>
                <w:iCs/>
                <w:noProof/>
                <w:color w:val="000000"/>
                <w:sz w:val="20"/>
                <w:szCs w:val="20"/>
                <w:highlight w:val="black"/>
              </w:rPr>
              <w:t>''''''''''''</w:t>
            </w:r>
            <w:r w:rsidR="003934F6" w:rsidRPr="00F573A7">
              <w:rPr>
                <w:rFonts w:ascii="Arial Narrow" w:hAnsi="Arial Narrow" w:cs="Arial"/>
                <w:iCs/>
                <w:sz w:val="20"/>
                <w:szCs w:val="20"/>
              </w:rPr>
              <w:t>%</w:t>
            </w:r>
          </w:p>
        </w:tc>
        <w:tc>
          <w:tcPr>
            <w:tcW w:w="39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3934F6" w:rsidRPr="00F573A7" w:rsidRDefault="004B7986" w:rsidP="003D070A">
            <w:pPr>
              <w:keepNext/>
              <w:keepLines/>
              <w:spacing w:before="0"/>
              <w:jc w:val="right"/>
              <w:rPr>
                <w:rFonts w:ascii="Arial Narrow" w:hAnsi="Arial Narrow" w:cs="Arial"/>
                <w:b/>
                <w:bCs/>
                <w:sz w:val="20"/>
                <w:szCs w:val="20"/>
              </w:rPr>
            </w:pPr>
            <w:r>
              <w:rPr>
                <w:rFonts w:ascii="Arial Narrow" w:hAnsi="Arial Narrow" w:cs="Arial"/>
                <w:iCs/>
                <w:noProof/>
                <w:color w:val="000000"/>
                <w:sz w:val="20"/>
                <w:szCs w:val="20"/>
                <w:highlight w:val="black"/>
              </w:rPr>
              <w:t>''''''''''''</w:t>
            </w:r>
            <w:r w:rsidR="003934F6" w:rsidRPr="00F573A7">
              <w:rPr>
                <w:rFonts w:ascii="Arial Narrow" w:hAnsi="Arial Narrow" w:cs="Arial"/>
                <w:iCs/>
                <w:sz w:val="20"/>
                <w:szCs w:val="20"/>
              </w:rPr>
              <w:t>%</w:t>
            </w:r>
          </w:p>
        </w:tc>
        <w:tc>
          <w:tcPr>
            <w:tcW w:w="393"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3934F6" w:rsidRPr="00F573A7" w:rsidRDefault="004B7986" w:rsidP="003D070A">
            <w:pPr>
              <w:keepNext/>
              <w:keepLines/>
              <w:spacing w:before="0"/>
              <w:jc w:val="right"/>
              <w:rPr>
                <w:rFonts w:ascii="Arial Narrow" w:hAnsi="Arial Narrow" w:cs="Arial"/>
                <w:b/>
                <w:bCs/>
                <w:sz w:val="20"/>
                <w:szCs w:val="20"/>
              </w:rPr>
            </w:pPr>
            <w:r>
              <w:rPr>
                <w:rFonts w:ascii="Arial Narrow" w:hAnsi="Arial Narrow" w:cs="Arial"/>
                <w:iCs/>
                <w:noProof/>
                <w:color w:val="000000"/>
                <w:sz w:val="20"/>
                <w:szCs w:val="20"/>
                <w:highlight w:val="black"/>
              </w:rPr>
              <w:t>''''''''''</w:t>
            </w:r>
            <w:r w:rsidR="003934F6" w:rsidRPr="00F573A7">
              <w:rPr>
                <w:rFonts w:ascii="Arial Narrow" w:hAnsi="Arial Narrow" w:cs="Arial"/>
                <w:iCs/>
                <w:sz w:val="20"/>
                <w:szCs w:val="20"/>
              </w:rPr>
              <w:t>%</w:t>
            </w:r>
          </w:p>
        </w:tc>
        <w:tc>
          <w:tcPr>
            <w:tcW w:w="389"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3934F6" w:rsidRPr="00F573A7" w:rsidRDefault="004B7986" w:rsidP="003D070A">
            <w:pPr>
              <w:keepNext/>
              <w:keepLines/>
              <w:spacing w:before="0"/>
              <w:jc w:val="right"/>
              <w:rPr>
                <w:rFonts w:ascii="Arial Narrow" w:hAnsi="Arial Narrow" w:cs="Arial"/>
                <w:b/>
                <w:bCs/>
                <w:sz w:val="20"/>
                <w:szCs w:val="20"/>
              </w:rPr>
            </w:pPr>
            <w:r>
              <w:rPr>
                <w:rFonts w:ascii="Arial Narrow" w:hAnsi="Arial Narrow" w:cs="Arial"/>
                <w:iCs/>
                <w:noProof/>
                <w:color w:val="000000"/>
                <w:sz w:val="20"/>
                <w:szCs w:val="20"/>
                <w:highlight w:val="black"/>
              </w:rPr>
              <w:t>''''''''''</w:t>
            </w:r>
            <w:r w:rsidR="003934F6" w:rsidRPr="00F573A7">
              <w:rPr>
                <w:rFonts w:ascii="Arial Narrow" w:hAnsi="Arial Narrow" w:cs="Arial"/>
                <w:iCs/>
                <w:sz w:val="20"/>
                <w:szCs w:val="20"/>
              </w:rPr>
              <w:t>%</w:t>
            </w:r>
          </w:p>
        </w:tc>
        <w:tc>
          <w:tcPr>
            <w:tcW w:w="84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3934F6" w:rsidRPr="00F573A7" w:rsidRDefault="003934F6" w:rsidP="0006229B">
            <w:pPr>
              <w:keepNext/>
              <w:keepLines/>
              <w:spacing w:before="0"/>
              <w:jc w:val="center"/>
              <w:rPr>
                <w:rFonts w:ascii="Arial Narrow" w:hAnsi="Arial Narrow"/>
                <w:sz w:val="20"/>
                <w:szCs w:val="20"/>
              </w:rPr>
            </w:pPr>
            <w:r w:rsidRPr="00F573A7">
              <w:rPr>
                <w:rFonts w:ascii="Arial Narrow" w:hAnsi="Arial Narrow"/>
                <w:sz w:val="20"/>
                <w:szCs w:val="20"/>
              </w:rPr>
              <w:t>Assumed 50% uptake of March 2021 resubmission</w:t>
            </w:r>
          </w:p>
        </w:tc>
      </w:tr>
      <w:tr w:rsidR="00E75F56" w:rsidRPr="00F573A7" w:rsidTr="00A50569">
        <w:trPr>
          <w:trHeight w:val="255"/>
        </w:trPr>
        <w:tc>
          <w:tcPr>
            <w:tcW w:w="233" w:type="pct"/>
            <w:tcBorders>
              <w:top w:val="single" w:sz="4" w:space="0" w:color="auto"/>
              <w:left w:val="single" w:sz="4" w:space="0" w:color="auto"/>
              <w:bottom w:val="single" w:sz="8" w:space="0" w:color="auto"/>
              <w:right w:val="single" w:sz="4" w:space="0" w:color="auto"/>
            </w:tcBorders>
            <w:shd w:val="clear" w:color="auto" w:fill="auto"/>
            <w:tcMar>
              <w:left w:w="28" w:type="dxa"/>
              <w:right w:w="28" w:type="dxa"/>
            </w:tcMar>
            <w:vAlign w:val="center"/>
          </w:tcPr>
          <w:p w:rsidR="00E75F56" w:rsidRPr="00F573A7" w:rsidRDefault="00E75F56" w:rsidP="0006229B">
            <w:pPr>
              <w:keepNext/>
              <w:keepLines/>
              <w:spacing w:before="0"/>
              <w:jc w:val="center"/>
              <w:rPr>
                <w:rFonts w:ascii="Arial Narrow" w:hAnsi="Arial Narrow"/>
                <w:sz w:val="20"/>
                <w:szCs w:val="20"/>
              </w:rPr>
            </w:pPr>
            <w:r w:rsidRPr="00F573A7">
              <w:rPr>
                <w:rFonts w:ascii="Arial Narrow" w:hAnsi="Arial Narrow"/>
                <w:sz w:val="20"/>
                <w:szCs w:val="20"/>
              </w:rPr>
              <w:t>M</w:t>
            </w:r>
          </w:p>
        </w:tc>
        <w:tc>
          <w:tcPr>
            <w:tcW w:w="1572" w:type="pct"/>
            <w:tcBorders>
              <w:top w:val="single" w:sz="4" w:space="0" w:color="auto"/>
              <w:left w:val="single" w:sz="4" w:space="0" w:color="auto"/>
              <w:bottom w:val="single" w:sz="8" w:space="0" w:color="auto"/>
              <w:right w:val="single" w:sz="4" w:space="0" w:color="auto"/>
            </w:tcBorders>
            <w:shd w:val="clear" w:color="auto" w:fill="auto"/>
            <w:tcMar>
              <w:left w:w="28" w:type="dxa"/>
              <w:right w:w="28" w:type="dxa"/>
            </w:tcMar>
            <w:vAlign w:val="center"/>
          </w:tcPr>
          <w:p w:rsidR="00E75F56" w:rsidRPr="00F573A7" w:rsidRDefault="00E75F56" w:rsidP="0006229B">
            <w:pPr>
              <w:keepNext/>
              <w:keepLines/>
              <w:spacing w:before="0"/>
              <w:jc w:val="left"/>
              <w:rPr>
                <w:rFonts w:ascii="Arial Narrow" w:hAnsi="Arial Narrow"/>
                <w:bCs/>
                <w:sz w:val="20"/>
                <w:szCs w:val="20"/>
              </w:rPr>
            </w:pPr>
            <w:r w:rsidRPr="00F573A7">
              <w:rPr>
                <w:rFonts w:ascii="Arial Narrow" w:hAnsi="Arial Narrow"/>
                <w:bCs/>
                <w:sz w:val="20"/>
                <w:szCs w:val="20"/>
              </w:rPr>
              <w:t>Patients treated with darolutamide</w:t>
            </w:r>
          </w:p>
        </w:tc>
        <w:tc>
          <w:tcPr>
            <w:tcW w:w="393" w:type="pct"/>
            <w:tcBorders>
              <w:top w:val="single" w:sz="4" w:space="0" w:color="auto"/>
              <w:left w:val="single" w:sz="4" w:space="0" w:color="auto"/>
              <w:bottom w:val="single" w:sz="8" w:space="0" w:color="auto"/>
              <w:right w:val="single" w:sz="4" w:space="0" w:color="auto"/>
            </w:tcBorders>
            <w:shd w:val="clear" w:color="auto" w:fill="auto"/>
            <w:noWrap/>
            <w:tcMar>
              <w:left w:w="28" w:type="dxa"/>
              <w:right w:w="28" w:type="dxa"/>
            </w:tcMar>
            <w:vAlign w:val="center"/>
          </w:tcPr>
          <w:p w:rsidR="00E75F56" w:rsidRPr="004B7986" w:rsidRDefault="004B7986" w:rsidP="003D070A">
            <w:pPr>
              <w:keepNext/>
              <w:keepLines/>
              <w:spacing w:before="0"/>
              <w:jc w:val="right"/>
              <w:rPr>
                <w:rFonts w:ascii="Arial Narrow" w:hAnsi="Arial Narrow" w:cs="Arial"/>
                <w:iCs/>
                <w:sz w:val="20"/>
                <w:szCs w:val="20"/>
              </w:rPr>
            </w:pPr>
            <w:r>
              <w:rPr>
                <w:rFonts w:ascii="Arial Narrow" w:hAnsi="Arial Narrow" w:cs="Calibri"/>
                <w:noProof/>
                <w:color w:val="000000"/>
                <w:sz w:val="20"/>
                <w:szCs w:val="20"/>
                <w:highlight w:val="black"/>
              </w:rPr>
              <w:t>'''''''''</w:t>
            </w:r>
            <w:r w:rsidR="00861B82">
              <w:rPr>
                <w:rFonts w:ascii="Arial Narrow" w:hAnsi="Arial Narrow"/>
                <w:sz w:val="20"/>
                <w:szCs w:val="20"/>
                <w:vertAlign w:val="superscript"/>
              </w:rPr>
              <w:t>2</w:t>
            </w:r>
          </w:p>
        </w:tc>
        <w:tc>
          <w:tcPr>
            <w:tcW w:w="393" w:type="pct"/>
            <w:tcBorders>
              <w:top w:val="single" w:sz="4" w:space="0" w:color="auto"/>
              <w:left w:val="single" w:sz="4" w:space="0" w:color="auto"/>
              <w:bottom w:val="single" w:sz="8" w:space="0" w:color="auto"/>
              <w:right w:val="single" w:sz="4" w:space="0" w:color="auto"/>
            </w:tcBorders>
            <w:shd w:val="clear" w:color="auto" w:fill="auto"/>
            <w:noWrap/>
            <w:tcMar>
              <w:left w:w="28" w:type="dxa"/>
              <w:right w:w="28" w:type="dxa"/>
            </w:tcMar>
            <w:vAlign w:val="center"/>
          </w:tcPr>
          <w:p w:rsidR="00E75F56" w:rsidRPr="004B7986" w:rsidRDefault="004B7986" w:rsidP="003D070A">
            <w:pPr>
              <w:keepNext/>
              <w:keepLines/>
              <w:spacing w:before="0"/>
              <w:jc w:val="right"/>
              <w:rPr>
                <w:rFonts w:ascii="Arial Narrow" w:hAnsi="Arial Narrow" w:cs="Arial"/>
                <w:iCs/>
                <w:sz w:val="20"/>
                <w:szCs w:val="20"/>
              </w:rPr>
            </w:pPr>
            <w:r>
              <w:rPr>
                <w:rFonts w:ascii="Arial Narrow" w:hAnsi="Arial Narrow" w:cs="Calibri"/>
                <w:noProof/>
                <w:color w:val="000000"/>
                <w:sz w:val="20"/>
                <w:szCs w:val="20"/>
                <w:highlight w:val="black"/>
              </w:rPr>
              <w:t>''''''''''</w:t>
            </w:r>
            <w:r w:rsidR="00861B82">
              <w:rPr>
                <w:rFonts w:ascii="Arial Narrow" w:hAnsi="Arial Narrow"/>
                <w:sz w:val="20"/>
                <w:szCs w:val="20"/>
                <w:vertAlign w:val="superscript"/>
              </w:rPr>
              <w:t>2</w:t>
            </w:r>
          </w:p>
        </w:tc>
        <w:tc>
          <w:tcPr>
            <w:tcW w:w="393" w:type="pct"/>
            <w:tcBorders>
              <w:top w:val="single" w:sz="4" w:space="0" w:color="auto"/>
              <w:left w:val="single" w:sz="4" w:space="0" w:color="auto"/>
              <w:bottom w:val="single" w:sz="8" w:space="0" w:color="auto"/>
              <w:right w:val="single" w:sz="4" w:space="0" w:color="auto"/>
            </w:tcBorders>
            <w:shd w:val="clear" w:color="auto" w:fill="auto"/>
            <w:noWrap/>
            <w:tcMar>
              <w:left w:w="28" w:type="dxa"/>
              <w:right w:w="28" w:type="dxa"/>
            </w:tcMar>
            <w:vAlign w:val="center"/>
          </w:tcPr>
          <w:p w:rsidR="00E75F56" w:rsidRPr="004B7986" w:rsidRDefault="004B7986" w:rsidP="003D070A">
            <w:pPr>
              <w:keepNext/>
              <w:keepLines/>
              <w:spacing w:before="0"/>
              <w:jc w:val="right"/>
              <w:rPr>
                <w:rFonts w:ascii="Arial Narrow" w:hAnsi="Arial Narrow" w:cs="Arial"/>
                <w:iCs/>
                <w:sz w:val="20"/>
                <w:szCs w:val="20"/>
              </w:rPr>
            </w:pPr>
            <w:r>
              <w:rPr>
                <w:rFonts w:ascii="Arial Narrow" w:hAnsi="Arial Narrow" w:cs="Calibri"/>
                <w:noProof/>
                <w:color w:val="000000"/>
                <w:sz w:val="20"/>
                <w:szCs w:val="20"/>
                <w:highlight w:val="black"/>
              </w:rPr>
              <w:t>''''''''</w:t>
            </w:r>
            <w:r w:rsidR="00861B82">
              <w:rPr>
                <w:rFonts w:ascii="Arial Narrow" w:hAnsi="Arial Narrow"/>
                <w:sz w:val="20"/>
                <w:szCs w:val="20"/>
                <w:vertAlign w:val="superscript"/>
              </w:rPr>
              <w:t>2</w:t>
            </w:r>
          </w:p>
        </w:tc>
        <w:tc>
          <w:tcPr>
            <w:tcW w:w="393" w:type="pct"/>
            <w:tcBorders>
              <w:top w:val="single" w:sz="4" w:space="0" w:color="auto"/>
              <w:left w:val="single" w:sz="4" w:space="0" w:color="auto"/>
              <w:bottom w:val="single" w:sz="8" w:space="0" w:color="auto"/>
              <w:right w:val="single" w:sz="4" w:space="0" w:color="auto"/>
            </w:tcBorders>
            <w:shd w:val="clear" w:color="auto" w:fill="auto"/>
            <w:noWrap/>
            <w:tcMar>
              <w:left w:w="28" w:type="dxa"/>
              <w:right w:w="28" w:type="dxa"/>
            </w:tcMar>
            <w:vAlign w:val="center"/>
          </w:tcPr>
          <w:p w:rsidR="00E75F56" w:rsidRPr="004B7986" w:rsidRDefault="004B7986" w:rsidP="003D070A">
            <w:pPr>
              <w:keepNext/>
              <w:keepLines/>
              <w:spacing w:before="0"/>
              <w:jc w:val="right"/>
              <w:rPr>
                <w:rFonts w:ascii="Arial Narrow" w:hAnsi="Arial Narrow" w:cs="Arial"/>
                <w:iCs/>
                <w:sz w:val="20"/>
                <w:szCs w:val="20"/>
              </w:rPr>
            </w:pPr>
            <w:r>
              <w:rPr>
                <w:rFonts w:ascii="Arial Narrow" w:hAnsi="Arial Narrow" w:cs="Calibri"/>
                <w:noProof/>
                <w:color w:val="000000"/>
                <w:sz w:val="20"/>
                <w:szCs w:val="20"/>
                <w:highlight w:val="black"/>
              </w:rPr>
              <w:t>''''''''''</w:t>
            </w:r>
            <w:r w:rsidR="00861B82">
              <w:rPr>
                <w:rFonts w:ascii="Arial Narrow" w:hAnsi="Arial Narrow"/>
                <w:sz w:val="20"/>
                <w:szCs w:val="20"/>
                <w:vertAlign w:val="superscript"/>
              </w:rPr>
              <w:t>2</w:t>
            </w:r>
          </w:p>
        </w:tc>
        <w:tc>
          <w:tcPr>
            <w:tcW w:w="393" w:type="pct"/>
            <w:tcBorders>
              <w:top w:val="single" w:sz="4" w:space="0" w:color="auto"/>
              <w:left w:val="single" w:sz="4" w:space="0" w:color="auto"/>
              <w:bottom w:val="single" w:sz="8" w:space="0" w:color="auto"/>
              <w:right w:val="single" w:sz="4" w:space="0" w:color="auto"/>
            </w:tcBorders>
            <w:shd w:val="clear" w:color="auto" w:fill="auto"/>
            <w:noWrap/>
            <w:tcMar>
              <w:left w:w="28" w:type="dxa"/>
              <w:right w:w="28" w:type="dxa"/>
            </w:tcMar>
            <w:vAlign w:val="center"/>
          </w:tcPr>
          <w:p w:rsidR="00E75F56" w:rsidRPr="004B7986" w:rsidRDefault="004B7986" w:rsidP="003D070A">
            <w:pPr>
              <w:keepNext/>
              <w:keepLines/>
              <w:spacing w:before="0"/>
              <w:jc w:val="right"/>
              <w:rPr>
                <w:rFonts w:ascii="Arial Narrow" w:hAnsi="Arial Narrow" w:cs="Arial"/>
                <w:iCs/>
                <w:sz w:val="20"/>
                <w:szCs w:val="20"/>
              </w:rPr>
            </w:pPr>
            <w:r>
              <w:rPr>
                <w:rFonts w:ascii="Arial Narrow" w:hAnsi="Arial Narrow" w:cs="Calibri"/>
                <w:noProof/>
                <w:color w:val="000000"/>
                <w:sz w:val="20"/>
                <w:szCs w:val="20"/>
                <w:highlight w:val="black"/>
              </w:rPr>
              <w:t>''''''''</w:t>
            </w:r>
            <w:r w:rsidR="00861B82">
              <w:rPr>
                <w:rFonts w:ascii="Arial Narrow" w:hAnsi="Arial Narrow"/>
                <w:sz w:val="20"/>
                <w:szCs w:val="20"/>
                <w:vertAlign w:val="superscript"/>
              </w:rPr>
              <w:t>2</w:t>
            </w:r>
          </w:p>
        </w:tc>
        <w:tc>
          <w:tcPr>
            <w:tcW w:w="389" w:type="pct"/>
            <w:tcBorders>
              <w:top w:val="single" w:sz="4" w:space="0" w:color="auto"/>
              <w:left w:val="single" w:sz="4" w:space="0" w:color="auto"/>
              <w:bottom w:val="single" w:sz="8" w:space="0" w:color="auto"/>
              <w:right w:val="single" w:sz="4" w:space="0" w:color="auto"/>
            </w:tcBorders>
            <w:shd w:val="clear" w:color="auto" w:fill="auto"/>
            <w:noWrap/>
            <w:tcMar>
              <w:left w:w="28" w:type="dxa"/>
              <w:right w:w="28" w:type="dxa"/>
            </w:tcMar>
            <w:vAlign w:val="center"/>
          </w:tcPr>
          <w:p w:rsidR="00E75F56" w:rsidRPr="004B7986" w:rsidRDefault="004B7986" w:rsidP="003D070A">
            <w:pPr>
              <w:keepNext/>
              <w:keepLines/>
              <w:spacing w:before="0"/>
              <w:jc w:val="right"/>
              <w:rPr>
                <w:rFonts w:ascii="Arial Narrow" w:hAnsi="Arial Narrow" w:cs="Arial"/>
                <w:iCs/>
                <w:sz w:val="20"/>
                <w:szCs w:val="20"/>
              </w:rPr>
            </w:pPr>
            <w:r>
              <w:rPr>
                <w:rFonts w:ascii="Arial Narrow" w:hAnsi="Arial Narrow" w:cs="Calibri"/>
                <w:noProof/>
                <w:color w:val="000000"/>
                <w:sz w:val="20"/>
                <w:szCs w:val="20"/>
                <w:highlight w:val="black"/>
              </w:rPr>
              <w:t>''''''''''</w:t>
            </w:r>
            <w:r w:rsidR="00861B82">
              <w:rPr>
                <w:rFonts w:ascii="Arial Narrow" w:hAnsi="Arial Narrow"/>
                <w:sz w:val="20"/>
                <w:szCs w:val="20"/>
                <w:vertAlign w:val="superscript"/>
              </w:rPr>
              <w:t>2</w:t>
            </w:r>
          </w:p>
        </w:tc>
        <w:tc>
          <w:tcPr>
            <w:tcW w:w="840" w:type="pct"/>
            <w:tcBorders>
              <w:top w:val="single" w:sz="4" w:space="0" w:color="auto"/>
              <w:left w:val="single" w:sz="4" w:space="0" w:color="auto"/>
              <w:bottom w:val="single" w:sz="8" w:space="0" w:color="auto"/>
              <w:right w:val="single" w:sz="4" w:space="0" w:color="auto"/>
            </w:tcBorders>
            <w:shd w:val="clear" w:color="auto" w:fill="auto"/>
            <w:tcMar>
              <w:left w:w="28" w:type="dxa"/>
              <w:right w:w="28" w:type="dxa"/>
            </w:tcMar>
            <w:vAlign w:val="center"/>
          </w:tcPr>
          <w:p w:rsidR="00E75F56" w:rsidRPr="00F573A7" w:rsidRDefault="00E75F56" w:rsidP="0006229B">
            <w:pPr>
              <w:keepNext/>
              <w:keepLines/>
              <w:spacing w:before="0"/>
              <w:jc w:val="center"/>
              <w:rPr>
                <w:rFonts w:ascii="Arial Narrow" w:hAnsi="Arial Narrow"/>
                <w:sz w:val="20"/>
                <w:szCs w:val="20"/>
              </w:rPr>
            </w:pPr>
            <w:r w:rsidRPr="00F573A7">
              <w:rPr>
                <w:rFonts w:ascii="Arial Narrow" w:hAnsi="Arial Narrow"/>
                <w:sz w:val="20"/>
                <w:szCs w:val="20"/>
              </w:rPr>
              <w:t>K x L</w:t>
            </w:r>
          </w:p>
        </w:tc>
      </w:tr>
      <w:tr w:rsidR="00A50569" w:rsidRPr="00F573A7" w:rsidTr="00A50569">
        <w:trPr>
          <w:trHeight w:val="269"/>
        </w:trPr>
        <w:tc>
          <w:tcPr>
            <w:tcW w:w="233" w:type="pct"/>
            <w:tcBorders>
              <w:top w:val="single" w:sz="8"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A50569" w:rsidRPr="00F573A7" w:rsidRDefault="00A50569" w:rsidP="00A50569">
            <w:pPr>
              <w:keepNext/>
              <w:keepLines/>
              <w:spacing w:before="0"/>
              <w:jc w:val="center"/>
              <w:rPr>
                <w:rFonts w:ascii="Arial Narrow" w:hAnsi="Arial Narrow"/>
                <w:sz w:val="20"/>
                <w:szCs w:val="20"/>
              </w:rPr>
            </w:pPr>
            <w:r w:rsidRPr="00F573A7">
              <w:rPr>
                <w:rFonts w:ascii="Arial Narrow" w:hAnsi="Arial Narrow"/>
                <w:sz w:val="20"/>
                <w:szCs w:val="20"/>
              </w:rPr>
              <w:t>N</w:t>
            </w:r>
          </w:p>
        </w:tc>
        <w:tc>
          <w:tcPr>
            <w:tcW w:w="1572" w:type="pct"/>
            <w:tcBorders>
              <w:top w:val="single" w:sz="8"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A50569" w:rsidRPr="00F573A7" w:rsidRDefault="00A50569" w:rsidP="00A50569">
            <w:pPr>
              <w:keepNext/>
              <w:keepLines/>
              <w:spacing w:before="0"/>
              <w:jc w:val="left"/>
              <w:rPr>
                <w:rFonts w:ascii="Arial Narrow" w:hAnsi="Arial Narrow"/>
                <w:bCs/>
                <w:sz w:val="20"/>
                <w:szCs w:val="20"/>
              </w:rPr>
            </w:pPr>
            <w:r w:rsidRPr="00F573A7">
              <w:rPr>
                <w:rFonts w:ascii="Arial Narrow" w:hAnsi="Arial Narrow"/>
                <w:bCs/>
                <w:sz w:val="20"/>
                <w:szCs w:val="20"/>
              </w:rPr>
              <w:t>Total number of ‘CRPC; CI negative’ patients treated with darolutamide</w:t>
            </w:r>
          </w:p>
        </w:tc>
        <w:tc>
          <w:tcPr>
            <w:tcW w:w="393" w:type="pct"/>
            <w:tcBorders>
              <w:top w:val="single" w:sz="8"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A50569" w:rsidRPr="004B7986" w:rsidRDefault="004B7986" w:rsidP="003D070A">
            <w:pPr>
              <w:keepNext/>
              <w:keepLines/>
              <w:spacing w:before="0"/>
              <w:jc w:val="right"/>
              <w:rPr>
                <w:rFonts w:ascii="Arial Narrow" w:hAnsi="Arial Narrow" w:cs="Calibri"/>
                <w:color w:val="000000"/>
                <w:sz w:val="20"/>
                <w:szCs w:val="20"/>
              </w:rPr>
            </w:pPr>
            <w:r>
              <w:rPr>
                <w:rFonts w:ascii="Arial Narrow" w:hAnsi="Arial Narrow" w:cs="Calibri"/>
                <w:noProof/>
                <w:color w:val="000000"/>
                <w:sz w:val="20"/>
                <w:szCs w:val="20"/>
                <w:highlight w:val="black"/>
              </w:rPr>
              <w:t>'''''''''''''</w:t>
            </w:r>
            <w:r w:rsidR="00861B82" w:rsidRPr="00BD7A41">
              <w:rPr>
                <w:rFonts w:ascii="Arial Narrow" w:hAnsi="Arial Narrow"/>
                <w:sz w:val="20"/>
                <w:szCs w:val="20"/>
                <w:vertAlign w:val="superscript"/>
              </w:rPr>
              <w:t>1</w:t>
            </w:r>
          </w:p>
        </w:tc>
        <w:tc>
          <w:tcPr>
            <w:tcW w:w="393" w:type="pct"/>
            <w:tcBorders>
              <w:top w:val="single" w:sz="8"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A50569" w:rsidRPr="004B7986" w:rsidRDefault="004B7986" w:rsidP="003D070A">
            <w:pPr>
              <w:keepNext/>
              <w:keepLines/>
              <w:spacing w:before="0"/>
              <w:jc w:val="right"/>
              <w:rPr>
                <w:rFonts w:ascii="Arial Narrow" w:hAnsi="Arial Narrow" w:cs="Calibri"/>
                <w:color w:val="000000"/>
                <w:sz w:val="20"/>
                <w:szCs w:val="20"/>
              </w:rPr>
            </w:pPr>
            <w:r>
              <w:rPr>
                <w:rFonts w:ascii="Arial Narrow" w:hAnsi="Arial Narrow" w:cs="Calibri"/>
                <w:noProof/>
                <w:color w:val="000000"/>
                <w:sz w:val="20"/>
                <w:szCs w:val="20"/>
                <w:highlight w:val="black"/>
              </w:rPr>
              <w:t>''''''''''''''</w:t>
            </w:r>
            <w:r w:rsidR="00861B82" w:rsidRPr="00BD7A41">
              <w:rPr>
                <w:rFonts w:ascii="Arial Narrow" w:hAnsi="Arial Narrow"/>
                <w:sz w:val="20"/>
                <w:szCs w:val="20"/>
                <w:vertAlign w:val="superscript"/>
              </w:rPr>
              <w:t>1</w:t>
            </w:r>
          </w:p>
        </w:tc>
        <w:tc>
          <w:tcPr>
            <w:tcW w:w="393" w:type="pct"/>
            <w:tcBorders>
              <w:top w:val="single" w:sz="8"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A50569" w:rsidRPr="004B7986" w:rsidRDefault="004B7986" w:rsidP="003D070A">
            <w:pPr>
              <w:keepNext/>
              <w:keepLines/>
              <w:spacing w:before="0"/>
              <w:jc w:val="right"/>
              <w:rPr>
                <w:rFonts w:ascii="Arial Narrow" w:hAnsi="Arial Narrow" w:cs="Calibri"/>
                <w:color w:val="000000"/>
                <w:sz w:val="20"/>
                <w:szCs w:val="20"/>
              </w:rPr>
            </w:pPr>
            <w:r>
              <w:rPr>
                <w:rFonts w:ascii="Arial Narrow" w:hAnsi="Arial Narrow" w:cs="Calibri"/>
                <w:noProof/>
                <w:color w:val="000000"/>
                <w:sz w:val="20"/>
                <w:szCs w:val="20"/>
                <w:highlight w:val="black"/>
              </w:rPr>
              <w:t>''''''''''''''</w:t>
            </w:r>
            <w:r w:rsidR="00861B82" w:rsidRPr="00BD7A41">
              <w:rPr>
                <w:rFonts w:ascii="Arial Narrow" w:hAnsi="Arial Narrow"/>
                <w:sz w:val="20"/>
                <w:szCs w:val="20"/>
                <w:vertAlign w:val="superscript"/>
              </w:rPr>
              <w:t>1</w:t>
            </w:r>
          </w:p>
        </w:tc>
        <w:tc>
          <w:tcPr>
            <w:tcW w:w="393" w:type="pct"/>
            <w:tcBorders>
              <w:top w:val="single" w:sz="8"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A50569" w:rsidRPr="004B7986" w:rsidRDefault="004B7986" w:rsidP="003D070A">
            <w:pPr>
              <w:keepNext/>
              <w:keepLines/>
              <w:spacing w:before="0"/>
              <w:jc w:val="right"/>
              <w:rPr>
                <w:rFonts w:ascii="Arial Narrow" w:hAnsi="Arial Narrow" w:cs="Calibri"/>
                <w:color w:val="000000"/>
                <w:sz w:val="20"/>
                <w:szCs w:val="20"/>
              </w:rPr>
            </w:pPr>
            <w:r>
              <w:rPr>
                <w:rFonts w:ascii="Arial Narrow" w:hAnsi="Arial Narrow" w:cs="Calibri"/>
                <w:noProof/>
                <w:color w:val="000000"/>
                <w:sz w:val="20"/>
                <w:szCs w:val="20"/>
                <w:highlight w:val="black"/>
              </w:rPr>
              <w:t>''''''''''''''</w:t>
            </w:r>
            <w:r w:rsidR="00861B82" w:rsidRPr="00BD7A41">
              <w:rPr>
                <w:rFonts w:ascii="Arial Narrow" w:hAnsi="Arial Narrow"/>
                <w:sz w:val="20"/>
                <w:szCs w:val="20"/>
                <w:vertAlign w:val="superscript"/>
              </w:rPr>
              <w:t>1</w:t>
            </w:r>
          </w:p>
        </w:tc>
        <w:tc>
          <w:tcPr>
            <w:tcW w:w="393" w:type="pct"/>
            <w:tcBorders>
              <w:top w:val="single" w:sz="8"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A50569" w:rsidRPr="004B7986" w:rsidRDefault="004B7986" w:rsidP="003D070A">
            <w:pPr>
              <w:keepNext/>
              <w:keepLines/>
              <w:spacing w:before="0"/>
              <w:jc w:val="right"/>
              <w:rPr>
                <w:rFonts w:ascii="Arial Narrow" w:hAnsi="Arial Narrow" w:cs="Calibri"/>
                <w:color w:val="000000"/>
                <w:sz w:val="20"/>
                <w:szCs w:val="20"/>
              </w:rPr>
            </w:pPr>
            <w:r>
              <w:rPr>
                <w:rFonts w:ascii="Arial Narrow" w:hAnsi="Arial Narrow" w:cs="Calibri"/>
                <w:noProof/>
                <w:color w:val="000000"/>
                <w:sz w:val="20"/>
                <w:szCs w:val="20"/>
                <w:highlight w:val="black"/>
              </w:rPr>
              <w:t>'''''''''''''</w:t>
            </w:r>
            <w:r w:rsidR="00861B82" w:rsidRPr="00BD7A41">
              <w:rPr>
                <w:rFonts w:ascii="Arial Narrow" w:hAnsi="Arial Narrow"/>
                <w:sz w:val="20"/>
                <w:szCs w:val="20"/>
                <w:vertAlign w:val="superscript"/>
              </w:rPr>
              <w:t>1</w:t>
            </w:r>
          </w:p>
        </w:tc>
        <w:tc>
          <w:tcPr>
            <w:tcW w:w="389" w:type="pct"/>
            <w:tcBorders>
              <w:top w:val="single" w:sz="8"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A50569" w:rsidRPr="004B7986" w:rsidRDefault="004B7986" w:rsidP="003D070A">
            <w:pPr>
              <w:keepNext/>
              <w:keepLines/>
              <w:spacing w:before="0"/>
              <w:jc w:val="right"/>
              <w:rPr>
                <w:rFonts w:ascii="Arial Narrow" w:hAnsi="Arial Narrow" w:cs="Calibri"/>
                <w:color w:val="000000"/>
                <w:sz w:val="20"/>
                <w:szCs w:val="20"/>
              </w:rPr>
            </w:pPr>
            <w:r>
              <w:rPr>
                <w:rFonts w:ascii="Arial Narrow" w:hAnsi="Arial Narrow" w:cs="Calibri"/>
                <w:noProof/>
                <w:color w:val="000000"/>
                <w:sz w:val="20"/>
                <w:szCs w:val="20"/>
                <w:highlight w:val="black"/>
              </w:rPr>
              <w:t>''''''''''''''</w:t>
            </w:r>
            <w:r w:rsidR="00861B82" w:rsidRPr="00BD7A41">
              <w:rPr>
                <w:rFonts w:ascii="Arial Narrow" w:hAnsi="Arial Narrow"/>
                <w:sz w:val="20"/>
                <w:szCs w:val="20"/>
                <w:vertAlign w:val="superscript"/>
              </w:rPr>
              <w:t>1</w:t>
            </w:r>
          </w:p>
        </w:tc>
        <w:tc>
          <w:tcPr>
            <w:tcW w:w="840" w:type="pct"/>
            <w:tcBorders>
              <w:top w:val="single" w:sz="8"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A50569" w:rsidRPr="00F573A7" w:rsidRDefault="00A50569" w:rsidP="00A50569">
            <w:pPr>
              <w:keepNext/>
              <w:keepLines/>
              <w:spacing w:before="0"/>
              <w:jc w:val="center"/>
              <w:rPr>
                <w:rFonts w:ascii="Arial Narrow" w:hAnsi="Arial Narrow"/>
                <w:sz w:val="20"/>
                <w:szCs w:val="20"/>
              </w:rPr>
            </w:pPr>
            <w:r w:rsidRPr="00F573A7">
              <w:rPr>
                <w:rFonts w:ascii="Arial Narrow" w:hAnsi="Arial Narrow"/>
                <w:sz w:val="20"/>
                <w:szCs w:val="20"/>
              </w:rPr>
              <w:t>E + I + M</w:t>
            </w:r>
          </w:p>
        </w:tc>
      </w:tr>
    </w:tbl>
    <w:p w:rsidR="00587099" w:rsidRPr="00F573A7" w:rsidRDefault="00587099" w:rsidP="003934F6">
      <w:pPr>
        <w:pStyle w:val="3-BodyText"/>
        <w:numPr>
          <w:ilvl w:val="0"/>
          <w:numId w:val="0"/>
        </w:numPr>
        <w:spacing w:after="0"/>
        <w:rPr>
          <w:rFonts w:ascii="Arial Narrow" w:eastAsia="Times New Roman" w:hAnsi="Arial Narrow"/>
          <w:sz w:val="20"/>
          <w:szCs w:val="20"/>
        </w:rPr>
      </w:pPr>
      <w:r w:rsidRPr="00F573A7">
        <w:rPr>
          <w:rFonts w:ascii="Arial Narrow" w:eastAsia="Times New Roman" w:hAnsi="Arial Narrow"/>
          <w:sz w:val="20"/>
          <w:szCs w:val="20"/>
        </w:rPr>
        <w:t>Source: Table 5, p6 of the early re-entry submission</w:t>
      </w:r>
    </w:p>
    <w:p w:rsidR="00587099" w:rsidRPr="00F573A7" w:rsidRDefault="00587099" w:rsidP="003934F6">
      <w:pPr>
        <w:pStyle w:val="3-BodyText"/>
        <w:numPr>
          <w:ilvl w:val="0"/>
          <w:numId w:val="0"/>
        </w:numPr>
        <w:spacing w:after="0"/>
        <w:rPr>
          <w:rFonts w:ascii="Arial Narrow" w:eastAsia="Times New Roman" w:hAnsi="Arial Narrow"/>
          <w:sz w:val="20"/>
          <w:szCs w:val="20"/>
        </w:rPr>
      </w:pPr>
      <w:r w:rsidRPr="00F573A7">
        <w:rPr>
          <w:rFonts w:ascii="Arial Narrow" w:eastAsia="Times New Roman" w:hAnsi="Arial Narrow"/>
          <w:sz w:val="20"/>
          <w:szCs w:val="20"/>
        </w:rPr>
        <w:t xml:space="preserve">CI = conventional imaging; CRPC = castration resistant prostate cancer; </w:t>
      </w:r>
      <w:r w:rsidR="003934F6" w:rsidRPr="00F573A7">
        <w:rPr>
          <w:rFonts w:ascii="Arial Narrow" w:eastAsia="Times New Roman" w:hAnsi="Arial Narrow"/>
          <w:sz w:val="20"/>
          <w:szCs w:val="20"/>
        </w:rPr>
        <w:t>m</w:t>
      </w:r>
      <w:r w:rsidR="006D6787" w:rsidRPr="00F573A7">
        <w:rPr>
          <w:rFonts w:ascii="Arial Narrow" w:eastAsia="Times New Roman" w:hAnsi="Arial Narrow"/>
          <w:sz w:val="20"/>
          <w:szCs w:val="20"/>
        </w:rPr>
        <w:t>0</w:t>
      </w:r>
      <w:r w:rsidR="003934F6" w:rsidRPr="00F573A7">
        <w:rPr>
          <w:rFonts w:ascii="Arial Narrow" w:eastAsia="Times New Roman" w:hAnsi="Arial Narrow"/>
          <w:sz w:val="20"/>
          <w:szCs w:val="20"/>
        </w:rPr>
        <w:t xml:space="preserve">CRPC = non-metastatic castration resistant prostate cancer; PS = performance status; </w:t>
      </w:r>
      <w:r w:rsidRPr="00F573A7">
        <w:rPr>
          <w:rFonts w:ascii="Arial Narrow" w:eastAsia="Times New Roman" w:hAnsi="Arial Narrow"/>
          <w:sz w:val="20"/>
          <w:szCs w:val="20"/>
        </w:rPr>
        <w:t>PSMA = prostate-specific membrane antigen</w:t>
      </w:r>
      <w:r w:rsidR="003934F6" w:rsidRPr="00F573A7">
        <w:rPr>
          <w:rFonts w:ascii="Arial Narrow" w:eastAsia="Times New Roman" w:hAnsi="Arial Narrow"/>
          <w:sz w:val="20"/>
          <w:szCs w:val="20"/>
        </w:rPr>
        <w:t>; WHO = World Health Organisation</w:t>
      </w:r>
    </w:p>
    <w:p w:rsidR="00587099" w:rsidRDefault="00587099" w:rsidP="003934F6">
      <w:pPr>
        <w:pStyle w:val="3-BodyText"/>
        <w:numPr>
          <w:ilvl w:val="0"/>
          <w:numId w:val="0"/>
        </w:numPr>
        <w:spacing w:after="0"/>
        <w:rPr>
          <w:rFonts w:ascii="Arial Narrow" w:eastAsia="Times New Roman" w:hAnsi="Arial Narrow"/>
          <w:sz w:val="20"/>
          <w:szCs w:val="20"/>
        </w:rPr>
      </w:pPr>
      <w:r w:rsidRPr="00F573A7">
        <w:rPr>
          <w:rFonts w:ascii="Arial Narrow" w:eastAsia="Times New Roman" w:hAnsi="Arial Narrow"/>
          <w:sz w:val="20"/>
          <w:szCs w:val="20"/>
          <w:vertAlign w:val="superscript"/>
        </w:rPr>
        <w:t>a</w:t>
      </w:r>
      <w:r w:rsidRPr="00F573A7">
        <w:rPr>
          <w:rFonts w:ascii="Arial Narrow" w:eastAsia="Times New Roman" w:hAnsi="Arial Narrow"/>
          <w:sz w:val="20"/>
          <w:szCs w:val="20"/>
        </w:rPr>
        <w:t xml:space="preserve"> Total</w:t>
      </w:r>
      <w:r w:rsidR="006D6787" w:rsidRPr="00F573A7">
        <w:rPr>
          <w:rFonts w:ascii="Arial Narrow" w:eastAsia="Times New Roman" w:hAnsi="Arial Narrow"/>
          <w:sz w:val="20"/>
          <w:szCs w:val="20"/>
        </w:rPr>
        <w:t xml:space="preserve"> high risk </w:t>
      </w:r>
      <w:r w:rsidRPr="00F573A7">
        <w:rPr>
          <w:rFonts w:ascii="Arial Narrow" w:eastAsia="Times New Roman" w:hAnsi="Arial Narrow"/>
          <w:sz w:val="20"/>
          <w:szCs w:val="20"/>
        </w:rPr>
        <w:t>m</w:t>
      </w:r>
      <w:r w:rsidR="006D6787" w:rsidRPr="00F573A7">
        <w:rPr>
          <w:rFonts w:ascii="Arial Narrow" w:eastAsia="Times New Roman" w:hAnsi="Arial Narrow"/>
          <w:sz w:val="20"/>
          <w:szCs w:val="20"/>
        </w:rPr>
        <w:t>0</w:t>
      </w:r>
      <w:r w:rsidRPr="00F573A7">
        <w:rPr>
          <w:rFonts w:ascii="Arial Narrow" w:eastAsia="Times New Roman" w:hAnsi="Arial Narrow"/>
          <w:sz w:val="20"/>
          <w:szCs w:val="20"/>
        </w:rPr>
        <w:t xml:space="preserve">CRPC patients with WHO </w:t>
      </w:r>
      <w:r w:rsidR="003934F6" w:rsidRPr="00F573A7">
        <w:rPr>
          <w:rFonts w:ascii="Arial Narrow" w:eastAsia="Times New Roman" w:hAnsi="Arial Narrow"/>
          <w:sz w:val="20"/>
          <w:szCs w:val="20"/>
        </w:rPr>
        <w:t xml:space="preserve">PS of </w:t>
      </w:r>
      <w:r w:rsidRPr="00F573A7">
        <w:rPr>
          <w:rFonts w:ascii="Arial Narrow" w:eastAsia="Times New Roman" w:hAnsi="Arial Narrow"/>
          <w:sz w:val="20"/>
          <w:szCs w:val="20"/>
        </w:rPr>
        <w:t>0-1</w:t>
      </w:r>
    </w:p>
    <w:p w:rsidR="00861B82" w:rsidRPr="009A6D58" w:rsidRDefault="00861B82" w:rsidP="00861B82">
      <w:pPr>
        <w:rPr>
          <w:rFonts w:ascii="Arial Narrow" w:hAnsi="Arial Narrow" w:cs="Arial"/>
          <w:i/>
          <w:sz w:val="18"/>
          <w:szCs w:val="18"/>
        </w:rPr>
      </w:pPr>
      <w:r w:rsidRPr="009A6D58">
        <w:rPr>
          <w:rFonts w:ascii="Arial Narrow" w:hAnsi="Arial Narrow" w:cs="Arial"/>
          <w:i/>
          <w:sz w:val="18"/>
          <w:szCs w:val="18"/>
        </w:rPr>
        <w:t xml:space="preserve">The redacted values correspond to the following ranges: </w:t>
      </w:r>
    </w:p>
    <w:p w:rsidR="00861B82" w:rsidRPr="009A6D58" w:rsidRDefault="00861B82" w:rsidP="00861B82">
      <w:pPr>
        <w:rPr>
          <w:rFonts w:ascii="Arial Narrow" w:hAnsi="Arial Narrow" w:cs="Arial"/>
          <w:i/>
          <w:sz w:val="18"/>
          <w:szCs w:val="18"/>
        </w:rPr>
      </w:pPr>
      <w:r w:rsidRPr="009A6D58">
        <w:rPr>
          <w:rFonts w:ascii="Arial Narrow" w:hAnsi="Arial Narrow" w:cs="Arial"/>
          <w:i/>
          <w:sz w:val="18"/>
          <w:szCs w:val="18"/>
          <w:vertAlign w:val="superscript"/>
        </w:rPr>
        <w:t>1</w:t>
      </w:r>
      <w:r>
        <w:rPr>
          <w:rFonts w:ascii="Arial Narrow" w:hAnsi="Arial Narrow" w:cs="Arial"/>
          <w:i/>
          <w:sz w:val="18"/>
          <w:szCs w:val="18"/>
        </w:rPr>
        <w:t xml:space="preserve"> </w:t>
      </w:r>
      <w:r w:rsidRPr="00861B82">
        <w:rPr>
          <w:rFonts w:ascii="Arial Narrow" w:hAnsi="Arial Narrow" w:cs="Arial"/>
          <w:i/>
          <w:sz w:val="18"/>
          <w:szCs w:val="18"/>
        </w:rPr>
        <w:t>500 to &lt; 5,000</w:t>
      </w:r>
    </w:p>
    <w:p w:rsidR="003934F6" w:rsidRPr="00F573A7" w:rsidRDefault="00861B82" w:rsidP="003934F6">
      <w:r w:rsidRPr="009A6D58">
        <w:rPr>
          <w:rFonts w:ascii="Arial Narrow" w:hAnsi="Arial Narrow" w:cs="Arial"/>
          <w:i/>
          <w:sz w:val="18"/>
          <w:szCs w:val="18"/>
          <w:vertAlign w:val="superscript"/>
        </w:rPr>
        <w:t>2</w:t>
      </w:r>
      <w:r>
        <w:rPr>
          <w:rFonts w:ascii="Arial Narrow" w:hAnsi="Arial Narrow" w:cs="Arial"/>
          <w:i/>
          <w:sz w:val="18"/>
          <w:szCs w:val="18"/>
        </w:rPr>
        <w:t xml:space="preserve"> </w:t>
      </w:r>
      <w:r w:rsidRPr="00861B82">
        <w:rPr>
          <w:rFonts w:ascii="Arial Narrow" w:hAnsi="Arial Narrow" w:cs="Arial"/>
          <w:i/>
          <w:sz w:val="18"/>
          <w:szCs w:val="18"/>
        </w:rPr>
        <w:t>&lt; 500</w:t>
      </w:r>
    </w:p>
    <w:p w:rsidR="000A068C" w:rsidRPr="00F573A7" w:rsidRDefault="000A068C" w:rsidP="004A2E21">
      <w:pPr>
        <w:pStyle w:val="3-BodyText"/>
      </w:pPr>
      <w:r w:rsidRPr="00F573A7">
        <w:t xml:space="preserve">The PBAC noted that the estimated number of patients treated with darolutamide in the m0CRPC setting was </w:t>
      </w:r>
      <w:r w:rsidR="004A2E21" w:rsidRPr="004A2E21">
        <w:t>500 to &lt; 5,000</w:t>
      </w:r>
      <w:r w:rsidRPr="00F573A7">
        <w:t xml:space="preserve"> in Year 1 and </w:t>
      </w:r>
      <w:r w:rsidR="004A2E21" w:rsidRPr="004A2E21">
        <w:t>500 to &lt; 5,000</w:t>
      </w:r>
      <w:r w:rsidRPr="00F573A7">
        <w:t xml:space="preserve"> in Year 6 (i.e. Row N of Table 6).</w:t>
      </w:r>
    </w:p>
    <w:p w:rsidR="006D6787" w:rsidRPr="00F573A7" w:rsidRDefault="003934F6" w:rsidP="00F627C7">
      <w:pPr>
        <w:pStyle w:val="3-BodyText"/>
      </w:pPr>
      <w:r w:rsidRPr="00F573A7">
        <w:t xml:space="preserve">The number of newly eligible CRPC patients with distant metastases on conventional imaging was based on </w:t>
      </w:r>
      <w:r w:rsidR="00D733AE" w:rsidRPr="00F573A7">
        <w:t xml:space="preserve">data from the </w:t>
      </w:r>
      <w:r w:rsidRPr="00F573A7">
        <w:t xml:space="preserve">DUSC </w:t>
      </w:r>
      <w:r w:rsidR="00D733AE" w:rsidRPr="00F573A7">
        <w:t>Secretariat</w:t>
      </w:r>
      <w:r w:rsidRPr="00F573A7">
        <w:t xml:space="preserve"> of the prevalent mCRPC population treated on the PBS. The early re-entry submission assumed </w:t>
      </w:r>
      <w:r w:rsidR="0079178A">
        <w:rPr>
          <w:noProof/>
          <w:color w:val="000000"/>
          <w:highlight w:val="black"/>
        </w:rPr>
        <w:t>'''''</w:t>
      </w:r>
      <w:r w:rsidRPr="00F573A7">
        <w:t xml:space="preserve">% of patients would have already received treatment with darolutamide, abiraterone or enzalutamide and that uptake of darolutamide </w:t>
      </w:r>
      <w:r w:rsidR="0072501C" w:rsidRPr="00F573A7">
        <w:t xml:space="preserve">would be low as abiraterone and enzalutamide are established therapies (Table </w:t>
      </w:r>
      <w:r w:rsidR="0006229B" w:rsidRPr="00F573A7">
        <w:t>7</w:t>
      </w:r>
      <w:r w:rsidR="0072501C" w:rsidRPr="00F573A7">
        <w:t>).</w:t>
      </w:r>
      <w:r w:rsidR="00A50569" w:rsidRPr="00F573A7">
        <w:t xml:space="preserve"> </w:t>
      </w:r>
    </w:p>
    <w:p w:rsidR="006D6787" w:rsidRPr="00F573A7" w:rsidRDefault="006D6787" w:rsidP="006D6787">
      <w:pPr>
        <w:pStyle w:val="TableFigureHeading"/>
      </w:pPr>
      <w:bookmarkStart w:id="3" w:name="_Ref70350676"/>
      <w:r w:rsidRPr="00F573A7">
        <w:t xml:space="preserve">Table </w:t>
      </w:r>
      <w:bookmarkEnd w:id="3"/>
      <w:r w:rsidRPr="00F573A7">
        <w:t>7: Total number of eligible patients and market share of darolutamide in the ‘CRPC; CI positive’ population</w:t>
      </w:r>
    </w:p>
    <w:tbl>
      <w:tblPr>
        <w:tblStyle w:val="TableGrid1"/>
        <w:tblW w:w="9067" w:type="dxa"/>
        <w:tblInd w:w="0" w:type="dxa"/>
        <w:tblLayout w:type="fixed"/>
        <w:tblLook w:val="04A0" w:firstRow="1" w:lastRow="0" w:firstColumn="1" w:lastColumn="0" w:noHBand="0" w:noVBand="1"/>
        <w:tblCaption w:val="Table 7: Total number of eligible patients and market share of darolutamide in the ‘CRPC; CI positive’ population"/>
      </w:tblPr>
      <w:tblGrid>
        <w:gridCol w:w="421"/>
        <w:gridCol w:w="2693"/>
        <w:gridCol w:w="709"/>
        <w:gridCol w:w="708"/>
        <w:gridCol w:w="709"/>
        <w:gridCol w:w="709"/>
        <w:gridCol w:w="709"/>
        <w:gridCol w:w="708"/>
        <w:gridCol w:w="1701"/>
      </w:tblGrid>
      <w:tr w:rsidR="006D6787" w:rsidRPr="00F573A7" w:rsidTr="003D67B6">
        <w:trPr>
          <w:trHeight w:val="255"/>
          <w:tblHeader/>
        </w:trPr>
        <w:tc>
          <w:tcPr>
            <w:tcW w:w="421" w:type="dxa"/>
            <w:tcBorders>
              <w:top w:val="single" w:sz="4" w:space="0" w:color="auto"/>
              <w:left w:val="single" w:sz="4" w:space="0" w:color="auto"/>
              <w:bottom w:val="single" w:sz="4" w:space="0" w:color="auto"/>
              <w:right w:val="single" w:sz="4" w:space="0" w:color="auto"/>
            </w:tcBorders>
            <w:tcMar>
              <w:left w:w="28" w:type="dxa"/>
              <w:right w:w="28" w:type="dxa"/>
            </w:tcMar>
            <w:hideMark/>
          </w:tcPr>
          <w:p w:rsidR="006D6787" w:rsidRPr="00F573A7" w:rsidRDefault="006D6787" w:rsidP="008216A6">
            <w:pPr>
              <w:keepNext/>
              <w:keepLines/>
              <w:spacing w:before="0"/>
              <w:jc w:val="left"/>
              <w:rPr>
                <w:rFonts w:ascii="Arial Narrow" w:eastAsia="Times New Roman" w:hAnsi="Arial Narrow"/>
                <w:b/>
                <w:bCs/>
                <w:sz w:val="20"/>
                <w:szCs w:val="20"/>
              </w:rPr>
            </w:pPr>
            <w:r w:rsidRPr="00F573A7">
              <w:rPr>
                <w:rFonts w:ascii="Arial Narrow" w:hAnsi="Arial Narrow"/>
                <w:b/>
                <w:bCs/>
                <w:sz w:val="20"/>
                <w:szCs w:val="20"/>
              </w:rPr>
              <w:t>Row</w:t>
            </w:r>
          </w:p>
        </w:tc>
        <w:tc>
          <w:tcPr>
            <w:tcW w:w="2693" w:type="dxa"/>
            <w:tcBorders>
              <w:top w:val="single" w:sz="4" w:space="0" w:color="auto"/>
              <w:left w:val="single" w:sz="4" w:space="0" w:color="auto"/>
              <w:bottom w:val="single" w:sz="4" w:space="0" w:color="auto"/>
              <w:right w:val="single" w:sz="4" w:space="0" w:color="auto"/>
            </w:tcBorders>
            <w:tcMar>
              <w:left w:w="28" w:type="dxa"/>
              <w:right w:w="28" w:type="dxa"/>
            </w:tcMar>
            <w:hideMark/>
          </w:tcPr>
          <w:p w:rsidR="006D6787" w:rsidRPr="00F573A7" w:rsidRDefault="006D6787" w:rsidP="008216A6">
            <w:pPr>
              <w:keepNext/>
              <w:keepLines/>
              <w:spacing w:before="0"/>
              <w:jc w:val="left"/>
              <w:rPr>
                <w:rFonts w:ascii="Arial Narrow" w:eastAsia="Times New Roman" w:hAnsi="Arial Narrow"/>
                <w:b/>
                <w:bCs/>
                <w:sz w:val="20"/>
                <w:szCs w:val="20"/>
              </w:rPr>
            </w:pPr>
            <w:r w:rsidRPr="00F573A7">
              <w:rPr>
                <w:rFonts w:ascii="Arial Narrow" w:hAnsi="Arial Narrow"/>
                <w:b/>
                <w:bCs/>
                <w:sz w:val="20"/>
                <w:szCs w:val="20"/>
              </w:rPr>
              <w:t>Parameter</w:t>
            </w: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hideMark/>
          </w:tcPr>
          <w:p w:rsidR="006D6787" w:rsidRPr="00F573A7" w:rsidRDefault="006D6787" w:rsidP="008216A6">
            <w:pPr>
              <w:keepNext/>
              <w:keepLines/>
              <w:spacing w:before="0"/>
              <w:jc w:val="center"/>
              <w:rPr>
                <w:rFonts w:ascii="Arial Narrow" w:eastAsia="Times New Roman" w:hAnsi="Arial Narrow"/>
                <w:b/>
                <w:bCs/>
                <w:sz w:val="20"/>
                <w:szCs w:val="20"/>
              </w:rPr>
            </w:pPr>
            <w:r w:rsidRPr="00F573A7">
              <w:rPr>
                <w:rFonts w:ascii="Arial Narrow" w:hAnsi="Arial Narrow"/>
                <w:b/>
                <w:bCs/>
                <w:sz w:val="20"/>
                <w:szCs w:val="20"/>
              </w:rPr>
              <w:t>2022</w:t>
            </w: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hideMark/>
          </w:tcPr>
          <w:p w:rsidR="006D6787" w:rsidRPr="00F573A7" w:rsidRDefault="006D6787" w:rsidP="008216A6">
            <w:pPr>
              <w:keepNext/>
              <w:keepLines/>
              <w:spacing w:before="0"/>
              <w:jc w:val="center"/>
              <w:rPr>
                <w:rFonts w:ascii="Arial Narrow" w:eastAsia="Times New Roman" w:hAnsi="Arial Narrow"/>
                <w:b/>
                <w:bCs/>
                <w:sz w:val="20"/>
                <w:szCs w:val="20"/>
              </w:rPr>
            </w:pPr>
            <w:r w:rsidRPr="00F573A7">
              <w:rPr>
                <w:rFonts w:ascii="Arial Narrow" w:hAnsi="Arial Narrow"/>
                <w:b/>
                <w:bCs/>
                <w:sz w:val="20"/>
                <w:szCs w:val="20"/>
              </w:rPr>
              <w:t>2023</w:t>
            </w: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hideMark/>
          </w:tcPr>
          <w:p w:rsidR="006D6787" w:rsidRPr="00F573A7" w:rsidRDefault="006D6787" w:rsidP="008216A6">
            <w:pPr>
              <w:keepNext/>
              <w:keepLines/>
              <w:spacing w:before="0"/>
              <w:jc w:val="center"/>
              <w:rPr>
                <w:rFonts w:ascii="Arial Narrow" w:eastAsia="Times New Roman" w:hAnsi="Arial Narrow"/>
                <w:b/>
                <w:bCs/>
                <w:sz w:val="20"/>
                <w:szCs w:val="20"/>
              </w:rPr>
            </w:pPr>
            <w:r w:rsidRPr="00F573A7">
              <w:rPr>
                <w:rFonts w:ascii="Arial Narrow" w:hAnsi="Arial Narrow"/>
                <w:b/>
                <w:bCs/>
                <w:sz w:val="20"/>
                <w:szCs w:val="20"/>
              </w:rPr>
              <w:t>2024</w:t>
            </w: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hideMark/>
          </w:tcPr>
          <w:p w:rsidR="006D6787" w:rsidRPr="00F573A7" w:rsidRDefault="006D6787" w:rsidP="008216A6">
            <w:pPr>
              <w:keepNext/>
              <w:keepLines/>
              <w:spacing w:before="0"/>
              <w:jc w:val="center"/>
              <w:rPr>
                <w:rFonts w:ascii="Arial Narrow" w:eastAsia="Times New Roman" w:hAnsi="Arial Narrow"/>
                <w:b/>
                <w:bCs/>
                <w:sz w:val="20"/>
                <w:szCs w:val="20"/>
              </w:rPr>
            </w:pPr>
            <w:r w:rsidRPr="00F573A7">
              <w:rPr>
                <w:rFonts w:ascii="Arial Narrow" w:hAnsi="Arial Narrow"/>
                <w:b/>
                <w:bCs/>
                <w:sz w:val="20"/>
                <w:szCs w:val="20"/>
              </w:rPr>
              <w:t>2025</w:t>
            </w: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hideMark/>
          </w:tcPr>
          <w:p w:rsidR="006D6787" w:rsidRPr="00F573A7" w:rsidRDefault="006D6787" w:rsidP="008216A6">
            <w:pPr>
              <w:keepNext/>
              <w:keepLines/>
              <w:spacing w:before="0"/>
              <w:jc w:val="center"/>
              <w:rPr>
                <w:rFonts w:ascii="Arial Narrow" w:eastAsia="Times New Roman" w:hAnsi="Arial Narrow"/>
                <w:b/>
                <w:bCs/>
                <w:sz w:val="20"/>
                <w:szCs w:val="20"/>
              </w:rPr>
            </w:pPr>
            <w:r w:rsidRPr="00F573A7">
              <w:rPr>
                <w:rFonts w:ascii="Arial Narrow" w:hAnsi="Arial Narrow"/>
                <w:b/>
                <w:bCs/>
                <w:sz w:val="20"/>
                <w:szCs w:val="20"/>
              </w:rPr>
              <w:t>2026</w:t>
            </w: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hideMark/>
          </w:tcPr>
          <w:p w:rsidR="006D6787" w:rsidRPr="00F573A7" w:rsidRDefault="006D6787" w:rsidP="008216A6">
            <w:pPr>
              <w:keepNext/>
              <w:keepLines/>
              <w:spacing w:before="0"/>
              <w:jc w:val="center"/>
              <w:rPr>
                <w:rFonts w:ascii="Arial Narrow" w:eastAsia="Times New Roman" w:hAnsi="Arial Narrow"/>
                <w:b/>
                <w:bCs/>
                <w:sz w:val="20"/>
                <w:szCs w:val="20"/>
              </w:rPr>
            </w:pPr>
            <w:r w:rsidRPr="00F573A7">
              <w:rPr>
                <w:rFonts w:ascii="Arial Narrow" w:hAnsi="Arial Narrow"/>
                <w:b/>
                <w:bCs/>
                <w:sz w:val="20"/>
                <w:szCs w:val="20"/>
              </w:rPr>
              <w:t>2027</w:t>
            </w:r>
          </w:p>
        </w:tc>
        <w:tc>
          <w:tcPr>
            <w:tcW w:w="1701" w:type="dxa"/>
            <w:tcBorders>
              <w:top w:val="single" w:sz="4" w:space="0" w:color="auto"/>
              <w:left w:val="single" w:sz="4" w:space="0" w:color="auto"/>
              <w:bottom w:val="single" w:sz="4" w:space="0" w:color="auto"/>
              <w:right w:val="single" w:sz="4" w:space="0" w:color="auto"/>
            </w:tcBorders>
            <w:tcMar>
              <w:left w:w="28" w:type="dxa"/>
              <w:right w:w="28" w:type="dxa"/>
            </w:tcMar>
            <w:hideMark/>
          </w:tcPr>
          <w:p w:rsidR="006D6787" w:rsidRPr="00F573A7" w:rsidRDefault="006D6787" w:rsidP="008216A6">
            <w:pPr>
              <w:keepNext/>
              <w:keepLines/>
              <w:spacing w:before="0"/>
              <w:jc w:val="center"/>
              <w:rPr>
                <w:rFonts w:ascii="Arial Narrow" w:eastAsia="Times New Roman" w:hAnsi="Arial Narrow"/>
                <w:b/>
                <w:bCs/>
                <w:sz w:val="20"/>
                <w:szCs w:val="20"/>
              </w:rPr>
            </w:pPr>
            <w:r w:rsidRPr="00F573A7">
              <w:rPr>
                <w:rFonts w:ascii="Arial Narrow" w:hAnsi="Arial Narrow"/>
                <w:b/>
                <w:bCs/>
                <w:sz w:val="20"/>
                <w:szCs w:val="20"/>
              </w:rPr>
              <w:t>Source/calculation</w:t>
            </w:r>
          </w:p>
        </w:tc>
      </w:tr>
      <w:tr w:rsidR="006D6787" w:rsidRPr="00F573A7" w:rsidTr="008216A6">
        <w:trPr>
          <w:trHeight w:val="615"/>
        </w:trPr>
        <w:tc>
          <w:tcPr>
            <w:tcW w:w="421"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6D6787" w:rsidRPr="00F573A7" w:rsidRDefault="006D6787" w:rsidP="008216A6">
            <w:pPr>
              <w:keepNext/>
              <w:keepLines/>
              <w:spacing w:before="0"/>
              <w:jc w:val="center"/>
              <w:rPr>
                <w:rFonts w:ascii="Arial Narrow" w:eastAsia="Times New Roman" w:hAnsi="Arial Narrow"/>
                <w:sz w:val="20"/>
                <w:szCs w:val="20"/>
              </w:rPr>
            </w:pPr>
            <w:r w:rsidRPr="00F573A7">
              <w:rPr>
                <w:rFonts w:ascii="Arial Narrow" w:hAnsi="Arial Narrow"/>
                <w:sz w:val="20"/>
                <w:szCs w:val="20"/>
              </w:rPr>
              <w:t>A</w:t>
            </w:r>
          </w:p>
        </w:tc>
        <w:tc>
          <w:tcPr>
            <w:tcW w:w="2693"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6D6787" w:rsidRPr="00F573A7" w:rsidRDefault="006D6787" w:rsidP="008216A6">
            <w:pPr>
              <w:keepNext/>
              <w:keepLines/>
              <w:spacing w:before="0"/>
              <w:jc w:val="left"/>
              <w:rPr>
                <w:rFonts w:ascii="Arial Narrow" w:eastAsia="Times New Roman" w:hAnsi="Arial Narrow"/>
                <w:sz w:val="20"/>
                <w:szCs w:val="20"/>
              </w:rPr>
            </w:pPr>
            <w:r w:rsidRPr="00F573A7">
              <w:rPr>
                <w:rFonts w:ascii="Arial Narrow" w:hAnsi="Arial Narrow"/>
                <w:sz w:val="20"/>
                <w:szCs w:val="20"/>
              </w:rPr>
              <w:t>Number of prevalent patients treated with enza or abi on the PBS</w:t>
            </w: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6D6787" w:rsidRPr="004B7986" w:rsidRDefault="004B7986" w:rsidP="003D070A">
            <w:pPr>
              <w:keepNext/>
              <w:keepLines/>
              <w:spacing w:before="0"/>
              <w:jc w:val="right"/>
              <w:rPr>
                <w:rFonts w:ascii="Arial Narrow" w:eastAsia="Times New Roman" w:hAnsi="Arial Narrow"/>
                <w:sz w:val="20"/>
                <w:szCs w:val="20"/>
                <w:vertAlign w:val="superscript"/>
              </w:rPr>
            </w:pPr>
            <w:r>
              <w:rPr>
                <w:rFonts w:ascii="Arial Narrow" w:hAnsi="Arial Narrow"/>
                <w:noProof/>
                <w:color w:val="000000"/>
                <w:sz w:val="20"/>
                <w:szCs w:val="20"/>
                <w:highlight w:val="black"/>
              </w:rPr>
              <w:t>''''''''''''''</w:t>
            </w:r>
            <w:r w:rsidR="00A94C72" w:rsidRPr="000E7FF4">
              <w:rPr>
                <w:rFonts w:ascii="Arial Narrow" w:hAnsi="Arial Narrow"/>
                <w:sz w:val="20"/>
                <w:szCs w:val="20"/>
                <w:vertAlign w:val="superscript"/>
              </w:rPr>
              <w:t>1</w:t>
            </w: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6D6787" w:rsidRPr="004B7986" w:rsidRDefault="004B7986" w:rsidP="003D070A">
            <w:pPr>
              <w:keepNext/>
              <w:keepLines/>
              <w:spacing w:before="0"/>
              <w:jc w:val="right"/>
              <w:rPr>
                <w:rFonts w:ascii="Arial Narrow" w:eastAsia="Times New Roman" w:hAnsi="Arial Narrow"/>
                <w:sz w:val="20"/>
                <w:szCs w:val="20"/>
              </w:rPr>
            </w:pPr>
            <w:r>
              <w:rPr>
                <w:rFonts w:ascii="Arial Narrow" w:hAnsi="Arial Narrow"/>
                <w:noProof/>
                <w:color w:val="000000"/>
                <w:sz w:val="20"/>
                <w:szCs w:val="20"/>
                <w:highlight w:val="black"/>
              </w:rPr>
              <w:t>'''''''''''''</w:t>
            </w:r>
            <w:r w:rsidR="00A94C72" w:rsidRPr="00D12472">
              <w:rPr>
                <w:rFonts w:ascii="Arial Narrow" w:hAnsi="Arial Narrow"/>
                <w:sz w:val="20"/>
                <w:szCs w:val="20"/>
                <w:vertAlign w:val="superscript"/>
              </w:rPr>
              <w:t>1</w:t>
            </w: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6D6787" w:rsidRPr="004B7986" w:rsidRDefault="004B7986" w:rsidP="003D070A">
            <w:pPr>
              <w:keepNext/>
              <w:keepLines/>
              <w:spacing w:before="0"/>
              <w:jc w:val="right"/>
              <w:rPr>
                <w:rFonts w:ascii="Arial Narrow" w:eastAsia="Times New Roman" w:hAnsi="Arial Narrow"/>
                <w:sz w:val="20"/>
                <w:szCs w:val="20"/>
              </w:rPr>
            </w:pPr>
            <w:r>
              <w:rPr>
                <w:rFonts w:ascii="Arial Narrow" w:hAnsi="Arial Narrow"/>
                <w:noProof/>
                <w:color w:val="000000"/>
                <w:sz w:val="20"/>
                <w:szCs w:val="20"/>
                <w:highlight w:val="black"/>
              </w:rPr>
              <w:t>'''''''''''''''''</w:t>
            </w:r>
            <w:r w:rsidR="00A94C72">
              <w:rPr>
                <w:rFonts w:ascii="Arial Narrow" w:hAnsi="Arial Narrow"/>
                <w:sz w:val="20"/>
                <w:szCs w:val="20"/>
                <w:vertAlign w:val="superscript"/>
              </w:rPr>
              <w:t>2</w:t>
            </w: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6D6787" w:rsidRPr="004B7986" w:rsidRDefault="004B7986" w:rsidP="003D070A">
            <w:pPr>
              <w:keepNext/>
              <w:keepLines/>
              <w:spacing w:before="0"/>
              <w:jc w:val="right"/>
              <w:rPr>
                <w:rFonts w:ascii="Arial Narrow" w:eastAsia="Times New Roman" w:hAnsi="Arial Narrow"/>
                <w:sz w:val="20"/>
                <w:szCs w:val="20"/>
              </w:rPr>
            </w:pPr>
            <w:r>
              <w:rPr>
                <w:rFonts w:ascii="Arial Narrow" w:hAnsi="Arial Narrow"/>
                <w:noProof/>
                <w:color w:val="000000"/>
                <w:sz w:val="20"/>
                <w:szCs w:val="20"/>
                <w:highlight w:val="black"/>
              </w:rPr>
              <w:t>'''''''''''''''</w:t>
            </w:r>
            <w:r w:rsidR="00A94C72">
              <w:rPr>
                <w:rFonts w:ascii="Arial Narrow" w:hAnsi="Arial Narrow"/>
                <w:sz w:val="20"/>
                <w:szCs w:val="20"/>
                <w:vertAlign w:val="superscript"/>
              </w:rPr>
              <w:t>2</w:t>
            </w: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6D6787" w:rsidRPr="004B7986" w:rsidRDefault="004B7986" w:rsidP="003D070A">
            <w:pPr>
              <w:keepNext/>
              <w:keepLines/>
              <w:spacing w:before="0"/>
              <w:jc w:val="right"/>
              <w:rPr>
                <w:rFonts w:ascii="Arial Narrow" w:eastAsia="Times New Roman" w:hAnsi="Arial Narrow"/>
                <w:sz w:val="20"/>
                <w:szCs w:val="20"/>
              </w:rPr>
            </w:pPr>
            <w:r>
              <w:rPr>
                <w:rFonts w:ascii="Arial Narrow" w:hAnsi="Arial Narrow"/>
                <w:noProof/>
                <w:color w:val="000000"/>
                <w:sz w:val="20"/>
                <w:szCs w:val="20"/>
                <w:highlight w:val="black"/>
              </w:rPr>
              <w:t>'''''''''''''''''</w:t>
            </w:r>
            <w:r w:rsidR="00A94C72">
              <w:rPr>
                <w:rFonts w:ascii="Arial Narrow" w:hAnsi="Arial Narrow"/>
                <w:sz w:val="20"/>
                <w:szCs w:val="20"/>
                <w:vertAlign w:val="superscript"/>
              </w:rPr>
              <w:t>2</w:t>
            </w: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6D6787" w:rsidRPr="004B7986" w:rsidRDefault="004B7986" w:rsidP="0031611E">
            <w:pPr>
              <w:keepNext/>
              <w:keepLines/>
              <w:spacing w:before="0"/>
              <w:jc w:val="right"/>
              <w:rPr>
                <w:rFonts w:ascii="Arial Narrow" w:eastAsia="Times New Roman" w:hAnsi="Arial Narrow"/>
                <w:sz w:val="20"/>
                <w:szCs w:val="20"/>
              </w:rPr>
            </w:pPr>
            <w:r>
              <w:rPr>
                <w:rFonts w:ascii="Arial Narrow" w:hAnsi="Arial Narrow"/>
                <w:noProof/>
                <w:color w:val="000000"/>
                <w:sz w:val="20"/>
                <w:szCs w:val="20"/>
                <w:highlight w:val="black"/>
              </w:rPr>
              <w:t>'''''''''''''''</w:t>
            </w:r>
            <w:r w:rsidR="00A94C72">
              <w:rPr>
                <w:rFonts w:ascii="Arial Narrow" w:hAnsi="Arial Narrow"/>
                <w:sz w:val="20"/>
                <w:szCs w:val="20"/>
                <w:vertAlign w:val="superscript"/>
              </w:rPr>
              <w:t>2</w:t>
            </w:r>
          </w:p>
        </w:tc>
        <w:tc>
          <w:tcPr>
            <w:tcW w:w="1701" w:type="dxa"/>
            <w:tcBorders>
              <w:top w:val="single" w:sz="4" w:space="0" w:color="auto"/>
              <w:left w:val="single" w:sz="4" w:space="0" w:color="auto"/>
              <w:bottom w:val="single" w:sz="4" w:space="0" w:color="auto"/>
              <w:right w:val="single" w:sz="4" w:space="0" w:color="auto"/>
            </w:tcBorders>
            <w:tcMar>
              <w:left w:w="28" w:type="dxa"/>
              <w:right w:w="28" w:type="dxa"/>
            </w:tcMar>
          </w:tcPr>
          <w:p w:rsidR="006D6787" w:rsidRPr="00F573A7" w:rsidRDefault="006D6787" w:rsidP="008216A6">
            <w:pPr>
              <w:keepNext/>
              <w:keepLines/>
              <w:spacing w:before="0"/>
              <w:jc w:val="center"/>
              <w:rPr>
                <w:rFonts w:ascii="Arial Narrow" w:eastAsia="Times New Roman" w:hAnsi="Arial Narrow"/>
                <w:sz w:val="20"/>
                <w:szCs w:val="20"/>
              </w:rPr>
            </w:pPr>
            <w:r w:rsidRPr="00F573A7">
              <w:rPr>
                <w:rFonts w:ascii="Arial Narrow" w:hAnsi="Arial Narrow"/>
                <w:sz w:val="20"/>
                <w:szCs w:val="20"/>
              </w:rPr>
              <w:t xml:space="preserve">DUSC </w:t>
            </w:r>
            <w:r w:rsidR="00D733AE" w:rsidRPr="00F573A7">
              <w:rPr>
                <w:rFonts w:ascii="Arial Narrow" w:hAnsi="Arial Narrow"/>
                <w:sz w:val="20"/>
                <w:szCs w:val="20"/>
              </w:rPr>
              <w:t>Secretariat data</w:t>
            </w:r>
            <w:r w:rsidRPr="00F573A7">
              <w:rPr>
                <w:rFonts w:ascii="Arial Narrow" w:hAnsi="Arial Narrow"/>
                <w:sz w:val="20"/>
                <w:szCs w:val="20"/>
              </w:rPr>
              <w:t>; Assumed to increase by 3% per year</w:t>
            </w:r>
          </w:p>
        </w:tc>
      </w:tr>
      <w:tr w:rsidR="006D6787" w:rsidRPr="00F573A7" w:rsidTr="008216A6">
        <w:trPr>
          <w:trHeight w:val="255"/>
        </w:trPr>
        <w:tc>
          <w:tcPr>
            <w:tcW w:w="42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D6787" w:rsidRPr="00F573A7" w:rsidRDefault="006D6787" w:rsidP="008216A6">
            <w:pPr>
              <w:keepNext/>
              <w:keepLines/>
              <w:spacing w:before="0"/>
              <w:jc w:val="center"/>
              <w:rPr>
                <w:rFonts w:ascii="Arial Narrow" w:eastAsia="Times New Roman" w:hAnsi="Arial Narrow"/>
                <w:sz w:val="20"/>
                <w:szCs w:val="20"/>
              </w:rPr>
            </w:pPr>
            <w:r w:rsidRPr="00F573A7">
              <w:rPr>
                <w:rFonts w:ascii="Arial Narrow" w:hAnsi="Arial Narrow"/>
                <w:sz w:val="20"/>
                <w:szCs w:val="20"/>
              </w:rPr>
              <w:t>B</w:t>
            </w:r>
          </w:p>
        </w:tc>
        <w:tc>
          <w:tcPr>
            <w:tcW w:w="269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D6787" w:rsidRPr="00F573A7" w:rsidRDefault="006D6787" w:rsidP="008216A6">
            <w:pPr>
              <w:keepNext/>
              <w:keepLines/>
              <w:spacing w:before="0"/>
              <w:jc w:val="left"/>
              <w:rPr>
                <w:rFonts w:ascii="Arial Narrow" w:eastAsia="Times New Roman" w:hAnsi="Arial Narrow"/>
                <w:sz w:val="20"/>
                <w:szCs w:val="20"/>
              </w:rPr>
            </w:pPr>
            <w:r w:rsidRPr="00F573A7">
              <w:rPr>
                <w:rFonts w:ascii="Arial Narrow" w:hAnsi="Arial Narrow"/>
                <w:sz w:val="20"/>
                <w:szCs w:val="20"/>
              </w:rPr>
              <w:t>% of patients already treated with daro/enza/abi</w:t>
            </w: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6D6787" w:rsidRPr="00F573A7" w:rsidRDefault="004B7986" w:rsidP="003D070A">
            <w:pPr>
              <w:keepNext/>
              <w:keepLines/>
              <w:spacing w:before="0"/>
              <w:jc w:val="right"/>
              <w:rPr>
                <w:rFonts w:ascii="Arial Narrow" w:eastAsia="Times New Roman" w:hAnsi="Arial Narrow"/>
                <w:sz w:val="20"/>
                <w:szCs w:val="20"/>
              </w:rPr>
            </w:pPr>
            <w:r>
              <w:rPr>
                <w:rFonts w:ascii="Arial Narrow" w:hAnsi="Arial Narrow"/>
                <w:noProof/>
                <w:color w:val="000000"/>
                <w:sz w:val="20"/>
                <w:szCs w:val="20"/>
                <w:highlight w:val="black"/>
              </w:rPr>
              <w:t>'''''''</w:t>
            </w:r>
            <w:r w:rsidR="006D6787" w:rsidRPr="00F573A7">
              <w:rPr>
                <w:rFonts w:ascii="Arial Narrow" w:hAnsi="Arial Narrow"/>
                <w:sz w:val="20"/>
                <w:szCs w:val="20"/>
              </w:rPr>
              <w:t>%</w:t>
            </w: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6D6787" w:rsidRPr="00F573A7" w:rsidRDefault="004B7986" w:rsidP="003D070A">
            <w:pPr>
              <w:keepNext/>
              <w:keepLines/>
              <w:spacing w:before="0"/>
              <w:jc w:val="right"/>
              <w:rPr>
                <w:rFonts w:ascii="Arial Narrow" w:eastAsia="Times New Roman" w:hAnsi="Arial Narrow"/>
                <w:sz w:val="20"/>
                <w:szCs w:val="20"/>
              </w:rPr>
            </w:pPr>
            <w:r>
              <w:rPr>
                <w:rFonts w:ascii="Arial Narrow" w:hAnsi="Arial Narrow"/>
                <w:noProof/>
                <w:color w:val="000000"/>
                <w:sz w:val="20"/>
                <w:szCs w:val="20"/>
                <w:highlight w:val="black"/>
              </w:rPr>
              <w:t>'''''''</w:t>
            </w:r>
            <w:r w:rsidR="006D6787" w:rsidRPr="00F573A7">
              <w:rPr>
                <w:rFonts w:ascii="Arial Narrow" w:hAnsi="Arial Narrow"/>
                <w:sz w:val="20"/>
                <w:szCs w:val="20"/>
              </w:rPr>
              <w:t>%</w:t>
            </w: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6D6787" w:rsidRPr="00F573A7" w:rsidRDefault="004B7986" w:rsidP="003D070A">
            <w:pPr>
              <w:keepNext/>
              <w:keepLines/>
              <w:spacing w:before="0"/>
              <w:jc w:val="right"/>
              <w:rPr>
                <w:rFonts w:ascii="Arial Narrow" w:eastAsia="Times New Roman" w:hAnsi="Arial Narrow"/>
                <w:sz w:val="20"/>
                <w:szCs w:val="20"/>
              </w:rPr>
            </w:pPr>
            <w:r>
              <w:rPr>
                <w:rFonts w:ascii="Arial Narrow" w:hAnsi="Arial Narrow"/>
                <w:noProof/>
                <w:color w:val="000000"/>
                <w:sz w:val="20"/>
                <w:szCs w:val="20"/>
                <w:highlight w:val="black"/>
              </w:rPr>
              <w:t>''''''</w:t>
            </w:r>
            <w:r w:rsidR="006D6787" w:rsidRPr="00F573A7">
              <w:rPr>
                <w:rFonts w:ascii="Arial Narrow" w:hAnsi="Arial Narrow"/>
                <w:sz w:val="20"/>
                <w:szCs w:val="20"/>
              </w:rPr>
              <w:t>%</w:t>
            </w: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6D6787" w:rsidRPr="00F573A7" w:rsidRDefault="004B7986" w:rsidP="003D070A">
            <w:pPr>
              <w:keepNext/>
              <w:keepLines/>
              <w:spacing w:before="0"/>
              <w:jc w:val="right"/>
              <w:rPr>
                <w:rFonts w:ascii="Arial Narrow" w:eastAsia="Times New Roman" w:hAnsi="Arial Narrow"/>
                <w:sz w:val="20"/>
                <w:szCs w:val="20"/>
              </w:rPr>
            </w:pPr>
            <w:r>
              <w:rPr>
                <w:rFonts w:ascii="Arial Narrow" w:hAnsi="Arial Narrow"/>
                <w:noProof/>
                <w:color w:val="000000"/>
                <w:sz w:val="20"/>
                <w:szCs w:val="20"/>
                <w:highlight w:val="black"/>
              </w:rPr>
              <w:t>''''''</w:t>
            </w:r>
            <w:r w:rsidR="006D6787" w:rsidRPr="00F573A7">
              <w:rPr>
                <w:rFonts w:ascii="Arial Narrow" w:hAnsi="Arial Narrow"/>
                <w:sz w:val="20"/>
                <w:szCs w:val="20"/>
              </w:rPr>
              <w:t>%</w:t>
            </w: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6D6787" w:rsidRPr="00F573A7" w:rsidRDefault="004B7986" w:rsidP="003D070A">
            <w:pPr>
              <w:keepNext/>
              <w:keepLines/>
              <w:spacing w:before="0"/>
              <w:jc w:val="right"/>
              <w:rPr>
                <w:rFonts w:ascii="Arial Narrow" w:eastAsia="Times New Roman" w:hAnsi="Arial Narrow"/>
                <w:sz w:val="20"/>
                <w:szCs w:val="20"/>
              </w:rPr>
            </w:pPr>
            <w:r>
              <w:rPr>
                <w:rFonts w:ascii="Arial Narrow" w:hAnsi="Arial Narrow"/>
                <w:noProof/>
                <w:color w:val="000000"/>
                <w:sz w:val="20"/>
                <w:szCs w:val="20"/>
                <w:highlight w:val="black"/>
              </w:rPr>
              <w:t>''''''</w:t>
            </w:r>
            <w:r w:rsidR="006D6787" w:rsidRPr="00F573A7">
              <w:rPr>
                <w:rFonts w:ascii="Arial Narrow" w:hAnsi="Arial Narrow"/>
                <w:sz w:val="20"/>
                <w:szCs w:val="20"/>
              </w:rPr>
              <w:t>%</w:t>
            </w: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6D6787" w:rsidRPr="00F573A7" w:rsidRDefault="004B7986" w:rsidP="003D070A">
            <w:pPr>
              <w:keepNext/>
              <w:keepLines/>
              <w:spacing w:before="0"/>
              <w:jc w:val="right"/>
              <w:rPr>
                <w:rFonts w:ascii="Arial Narrow" w:eastAsia="Times New Roman" w:hAnsi="Arial Narrow"/>
                <w:sz w:val="20"/>
                <w:szCs w:val="20"/>
              </w:rPr>
            </w:pPr>
            <w:r>
              <w:rPr>
                <w:rFonts w:ascii="Arial Narrow" w:hAnsi="Arial Narrow"/>
                <w:noProof/>
                <w:color w:val="000000"/>
                <w:sz w:val="20"/>
                <w:szCs w:val="20"/>
                <w:highlight w:val="black"/>
              </w:rPr>
              <w:t>''''''</w:t>
            </w:r>
            <w:r w:rsidR="006D6787" w:rsidRPr="00F573A7">
              <w:rPr>
                <w:rFonts w:ascii="Arial Narrow" w:hAnsi="Arial Narrow"/>
                <w:sz w:val="20"/>
                <w:szCs w:val="20"/>
              </w:rPr>
              <w:t>%</w:t>
            </w:r>
          </w:p>
        </w:tc>
        <w:tc>
          <w:tcPr>
            <w:tcW w:w="170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D6787" w:rsidRPr="00F573A7" w:rsidRDefault="006D6787" w:rsidP="008216A6">
            <w:pPr>
              <w:keepNext/>
              <w:keepLines/>
              <w:spacing w:before="0"/>
              <w:jc w:val="center"/>
              <w:rPr>
                <w:rFonts w:ascii="Arial Narrow" w:eastAsia="Times New Roman" w:hAnsi="Arial Narrow"/>
                <w:sz w:val="20"/>
                <w:szCs w:val="20"/>
              </w:rPr>
            </w:pPr>
            <w:r w:rsidRPr="00F573A7">
              <w:rPr>
                <w:rFonts w:ascii="Arial Narrow" w:hAnsi="Arial Narrow"/>
                <w:sz w:val="20"/>
                <w:szCs w:val="20"/>
              </w:rPr>
              <w:t>Assumption</w:t>
            </w:r>
          </w:p>
        </w:tc>
      </w:tr>
      <w:tr w:rsidR="006D6787" w:rsidRPr="00F573A7" w:rsidTr="008216A6">
        <w:trPr>
          <w:trHeight w:val="255"/>
        </w:trPr>
        <w:tc>
          <w:tcPr>
            <w:tcW w:w="42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6D6787" w:rsidRPr="00F573A7" w:rsidRDefault="006D6787" w:rsidP="008216A6">
            <w:pPr>
              <w:keepNext/>
              <w:keepLines/>
              <w:spacing w:before="0"/>
              <w:jc w:val="center"/>
              <w:rPr>
                <w:rFonts w:ascii="Arial Narrow" w:eastAsia="Times New Roman" w:hAnsi="Arial Narrow"/>
                <w:b/>
                <w:bCs/>
                <w:sz w:val="20"/>
                <w:szCs w:val="20"/>
              </w:rPr>
            </w:pPr>
            <w:r w:rsidRPr="00F573A7">
              <w:rPr>
                <w:rFonts w:ascii="Arial Narrow" w:hAnsi="Arial Narrow"/>
                <w:b/>
                <w:bCs/>
                <w:sz w:val="20"/>
                <w:szCs w:val="20"/>
              </w:rPr>
              <w:t>C</w:t>
            </w:r>
          </w:p>
        </w:tc>
        <w:tc>
          <w:tcPr>
            <w:tcW w:w="269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6D6787" w:rsidRPr="00F573A7" w:rsidRDefault="006D6787" w:rsidP="008216A6">
            <w:pPr>
              <w:keepNext/>
              <w:keepLines/>
              <w:spacing w:before="0"/>
              <w:jc w:val="left"/>
              <w:rPr>
                <w:rFonts w:ascii="Arial Narrow" w:eastAsia="Times New Roman" w:hAnsi="Arial Narrow"/>
                <w:b/>
                <w:bCs/>
                <w:sz w:val="20"/>
                <w:szCs w:val="20"/>
              </w:rPr>
            </w:pPr>
            <w:r w:rsidRPr="00F573A7">
              <w:rPr>
                <w:rFonts w:ascii="Arial Narrow" w:hAnsi="Arial Narrow"/>
                <w:b/>
                <w:bCs/>
                <w:sz w:val="20"/>
                <w:szCs w:val="20"/>
              </w:rPr>
              <w:t>CRPC; CI positive</w:t>
            </w:r>
          </w:p>
        </w:tc>
        <w:tc>
          <w:tcPr>
            <w:tcW w:w="70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6D6787" w:rsidRPr="004B7986" w:rsidRDefault="004B7986" w:rsidP="003D070A">
            <w:pPr>
              <w:keepNext/>
              <w:keepLines/>
              <w:spacing w:before="0"/>
              <w:jc w:val="right"/>
              <w:rPr>
                <w:rFonts w:ascii="Arial Narrow" w:eastAsia="Times New Roman" w:hAnsi="Arial Narrow"/>
                <w:b/>
                <w:bCs/>
                <w:sz w:val="20"/>
                <w:szCs w:val="20"/>
              </w:rPr>
            </w:pPr>
            <w:r>
              <w:rPr>
                <w:rFonts w:ascii="Arial Narrow" w:hAnsi="Arial Narrow"/>
                <w:b/>
                <w:bCs/>
                <w:noProof/>
                <w:color w:val="000000"/>
                <w:sz w:val="20"/>
                <w:szCs w:val="20"/>
                <w:highlight w:val="black"/>
              </w:rPr>
              <w:t>'''''''''''</w:t>
            </w:r>
            <w:r w:rsidR="00A94C72" w:rsidRPr="00D12472">
              <w:rPr>
                <w:rFonts w:ascii="Arial Narrow" w:hAnsi="Arial Narrow"/>
                <w:sz w:val="20"/>
                <w:szCs w:val="20"/>
                <w:vertAlign w:val="superscript"/>
              </w:rPr>
              <w:t>1</w:t>
            </w:r>
          </w:p>
        </w:tc>
        <w:tc>
          <w:tcPr>
            <w:tcW w:w="70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6D6787" w:rsidRPr="004B7986" w:rsidRDefault="004B7986" w:rsidP="003D070A">
            <w:pPr>
              <w:keepNext/>
              <w:keepLines/>
              <w:spacing w:before="0"/>
              <w:jc w:val="right"/>
              <w:rPr>
                <w:rFonts w:ascii="Arial Narrow" w:eastAsia="Times New Roman" w:hAnsi="Arial Narrow"/>
                <w:b/>
                <w:bCs/>
                <w:sz w:val="20"/>
                <w:szCs w:val="20"/>
              </w:rPr>
            </w:pPr>
            <w:r>
              <w:rPr>
                <w:rFonts w:ascii="Arial Narrow" w:hAnsi="Arial Narrow"/>
                <w:b/>
                <w:bCs/>
                <w:noProof/>
                <w:color w:val="000000"/>
                <w:sz w:val="20"/>
                <w:szCs w:val="20"/>
                <w:highlight w:val="black"/>
              </w:rPr>
              <w:t>''''''''''</w:t>
            </w:r>
            <w:r w:rsidR="00A94C72" w:rsidRPr="00D12472">
              <w:rPr>
                <w:rFonts w:ascii="Arial Narrow" w:hAnsi="Arial Narrow"/>
                <w:sz w:val="20"/>
                <w:szCs w:val="20"/>
                <w:vertAlign w:val="superscript"/>
              </w:rPr>
              <w:t>1</w:t>
            </w:r>
          </w:p>
        </w:tc>
        <w:tc>
          <w:tcPr>
            <w:tcW w:w="70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6D6787" w:rsidRPr="004B7986" w:rsidRDefault="004B7986" w:rsidP="003D070A">
            <w:pPr>
              <w:keepNext/>
              <w:keepLines/>
              <w:spacing w:before="0"/>
              <w:jc w:val="right"/>
              <w:rPr>
                <w:rFonts w:ascii="Arial Narrow" w:eastAsia="Times New Roman" w:hAnsi="Arial Narrow"/>
                <w:b/>
                <w:bCs/>
                <w:sz w:val="20"/>
                <w:szCs w:val="20"/>
              </w:rPr>
            </w:pPr>
            <w:r>
              <w:rPr>
                <w:rFonts w:ascii="Arial Narrow" w:hAnsi="Arial Narrow"/>
                <w:b/>
                <w:bCs/>
                <w:noProof/>
                <w:color w:val="000000"/>
                <w:sz w:val="20"/>
                <w:szCs w:val="20"/>
                <w:highlight w:val="black"/>
              </w:rPr>
              <w:t>''''''''''''</w:t>
            </w:r>
            <w:r w:rsidR="00A94C72" w:rsidRPr="00D12472">
              <w:rPr>
                <w:rFonts w:ascii="Arial Narrow" w:hAnsi="Arial Narrow"/>
                <w:sz w:val="20"/>
                <w:szCs w:val="20"/>
                <w:vertAlign w:val="superscript"/>
              </w:rPr>
              <w:t>1</w:t>
            </w:r>
          </w:p>
        </w:tc>
        <w:tc>
          <w:tcPr>
            <w:tcW w:w="70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6D6787" w:rsidRPr="004B7986" w:rsidRDefault="004B7986" w:rsidP="003D070A">
            <w:pPr>
              <w:keepNext/>
              <w:keepLines/>
              <w:spacing w:before="0"/>
              <w:jc w:val="right"/>
              <w:rPr>
                <w:rFonts w:ascii="Arial Narrow" w:eastAsia="Times New Roman" w:hAnsi="Arial Narrow"/>
                <w:b/>
                <w:bCs/>
                <w:sz w:val="20"/>
                <w:szCs w:val="20"/>
              </w:rPr>
            </w:pPr>
            <w:r>
              <w:rPr>
                <w:rFonts w:ascii="Arial Narrow" w:hAnsi="Arial Narrow"/>
                <w:b/>
                <w:bCs/>
                <w:noProof/>
                <w:color w:val="000000"/>
                <w:sz w:val="20"/>
                <w:szCs w:val="20"/>
                <w:highlight w:val="black"/>
              </w:rPr>
              <w:t>'''''''''''</w:t>
            </w:r>
            <w:r w:rsidR="00A94C72" w:rsidRPr="00D12472">
              <w:rPr>
                <w:rFonts w:ascii="Arial Narrow" w:hAnsi="Arial Narrow"/>
                <w:sz w:val="20"/>
                <w:szCs w:val="20"/>
                <w:vertAlign w:val="superscript"/>
              </w:rPr>
              <w:t>1</w:t>
            </w:r>
          </w:p>
        </w:tc>
        <w:tc>
          <w:tcPr>
            <w:tcW w:w="70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6D6787" w:rsidRPr="004B7986" w:rsidRDefault="004B7986" w:rsidP="003D070A">
            <w:pPr>
              <w:keepNext/>
              <w:keepLines/>
              <w:spacing w:before="0"/>
              <w:jc w:val="right"/>
              <w:rPr>
                <w:rFonts w:ascii="Arial Narrow" w:eastAsia="Times New Roman" w:hAnsi="Arial Narrow"/>
                <w:b/>
                <w:bCs/>
                <w:sz w:val="20"/>
                <w:szCs w:val="20"/>
              </w:rPr>
            </w:pPr>
            <w:r>
              <w:rPr>
                <w:rFonts w:ascii="Arial Narrow" w:hAnsi="Arial Narrow"/>
                <w:b/>
                <w:bCs/>
                <w:noProof/>
                <w:color w:val="000000"/>
                <w:sz w:val="20"/>
                <w:szCs w:val="20"/>
                <w:highlight w:val="black"/>
              </w:rPr>
              <w:t>'''''''''''</w:t>
            </w:r>
            <w:r w:rsidR="00A94C72" w:rsidRPr="00D12472">
              <w:rPr>
                <w:rFonts w:ascii="Arial Narrow" w:hAnsi="Arial Narrow"/>
                <w:sz w:val="20"/>
                <w:szCs w:val="20"/>
                <w:vertAlign w:val="superscript"/>
              </w:rPr>
              <w:t>1</w:t>
            </w:r>
          </w:p>
        </w:tc>
        <w:tc>
          <w:tcPr>
            <w:tcW w:w="70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6D6787" w:rsidRPr="004B7986" w:rsidRDefault="004B7986" w:rsidP="003D070A">
            <w:pPr>
              <w:keepNext/>
              <w:keepLines/>
              <w:spacing w:before="0"/>
              <w:jc w:val="right"/>
              <w:rPr>
                <w:rFonts w:ascii="Arial Narrow" w:eastAsia="Times New Roman" w:hAnsi="Arial Narrow"/>
                <w:b/>
                <w:bCs/>
                <w:sz w:val="20"/>
                <w:szCs w:val="20"/>
              </w:rPr>
            </w:pPr>
            <w:r>
              <w:rPr>
                <w:rFonts w:ascii="Arial Narrow" w:hAnsi="Arial Narrow"/>
                <w:b/>
                <w:bCs/>
                <w:noProof/>
                <w:color w:val="000000"/>
                <w:sz w:val="20"/>
                <w:szCs w:val="20"/>
                <w:highlight w:val="black"/>
              </w:rPr>
              <w:t>''''''''''</w:t>
            </w:r>
            <w:r w:rsidR="00A94C72" w:rsidRPr="00D12472">
              <w:rPr>
                <w:rFonts w:ascii="Arial Narrow" w:hAnsi="Arial Narrow"/>
                <w:sz w:val="20"/>
                <w:szCs w:val="20"/>
                <w:vertAlign w:val="superscript"/>
              </w:rPr>
              <w:t>1</w:t>
            </w:r>
          </w:p>
        </w:tc>
        <w:tc>
          <w:tcPr>
            <w:tcW w:w="170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6D6787" w:rsidRPr="00F573A7" w:rsidRDefault="006D6787" w:rsidP="008216A6">
            <w:pPr>
              <w:keepNext/>
              <w:keepLines/>
              <w:spacing w:before="0"/>
              <w:jc w:val="center"/>
              <w:rPr>
                <w:rFonts w:ascii="Arial Narrow" w:eastAsia="Times New Roman" w:hAnsi="Arial Narrow"/>
                <w:b/>
                <w:bCs/>
                <w:sz w:val="20"/>
                <w:szCs w:val="20"/>
              </w:rPr>
            </w:pPr>
            <w:r w:rsidRPr="00F573A7">
              <w:rPr>
                <w:rFonts w:ascii="Arial Narrow" w:hAnsi="Arial Narrow"/>
                <w:b/>
                <w:bCs/>
                <w:sz w:val="20"/>
                <w:szCs w:val="20"/>
              </w:rPr>
              <w:t>A x B</w:t>
            </w:r>
          </w:p>
        </w:tc>
      </w:tr>
      <w:tr w:rsidR="006D6787" w:rsidRPr="00F573A7" w:rsidTr="008216A6">
        <w:trPr>
          <w:trHeight w:val="255"/>
        </w:trPr>
        <w:tc>
          <w:tcPr>
            <w:tcW w:w="42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D6787" w:rsidRPr="00F573A7" w:rsidRDefault="006D6787" w:rsidP="008216A6">
            <w:pPr>
              <w:keepNext/>
              <w:keepLines/>
              <w:spacing w:before="0"/>
              <w:jc w:val="center"/>
              <w:rPr>
                <w:rFonts w:ascii="Arial Narrow" w:eastAsia="Times New Roman" w:hAnsi="Arial Narrow"/>
                <w:sz w:val="20"/>
                <w:szCs w:val="20"/>
              </w:rPr>
            </w:pPr>
            <w:r w:rsidRPr="00F573A7">
              <w:rPr>
                <w:rFonts w:ascii="Arial Narrow" w:hAnsi="Arial Narrow"/>
                <w:sz w:val="20"/>
                <w:szCs w:val="20"/>
              </w:rPr>
              <w:t>D</w:t>
            </w:r>
          </w:p>
        </w:tc>
        <w:tc>
          <w:tcPr>
            <w:tcW w:w="269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D6787" w:rsidRPr="00F573A7" w:rsidRDefault="006D6787" w:rsidP="008216A6">
            <w:pPr>
              <w:keepNext/>
              <w:keepLines/>
              <w:spacing w:before="0"/>
              <w:jc w:val="left"/>
              <w:rPr>
                <w:rFonts w:ascii="Arial Narrow" w:eastAsia="Times New Roman" w:hAnsi="Arial Narrow"/>
                <w:iCs/>
                <w:color w:val="4BACC6" w:themeColor="accent5"/>
                <w:sz w:val="20"/>
                <w:szCs w:val="20"/>
              </w:rPr>
            </w:pPr>
            <w:r w:rsidRPr="00F573A7">
              <w:rPr>
                <w:rFonts w:ascii="Arial Narrow" w:hAnsi="Arial Narrow"/>
                <w:iCs/>
                <w:sz w:val="20"/>
                <w:szCs w:val="20"/>
              </w:rPr>
              <w:t xml:space="preserve">Darolutamide uptake </w:t>
            </w:r>
          </w:p>
        </w:tc>
        <w:tc>
          <w:tcPr>
            <w:tcW w:w="70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6D6787" w:rsidRPr="00F573A7" w:rsidRDefault="004B7986" w:rsidP="003D070A">
            <w:pPr>
              <w:keepNext/>
              <w:keepLines/>
              <w:spacing w:before="0"/>
              <w:jc w:val="right"/>
              <w:rPr>
                <w:rFonts w:ascii="Arial Narrow" w:eastAsia="Times New Roman" w:hAnsi="Arial Narrow"/>
                <w:sz w:val="20"/>
                <w:szCs w:val="20"/>
              </w:rPr>
            </w:pPr>
            <w:r>
              <w:rPr>
                <w:rFonts w:ascii="Arial Narrow" w:hAnsi="Arial Narrow"/>
                <w:noProof/>
                <w:color w:val="000000"/>
                <w:sz w:val="20"/>
                <w:szCs w:val="20"/>
                <w:highlight w:val="black"/>
              </w:rPr>
              <w:t>''''''''</w:t>
            </w:r>
            <w:r w:rsidR="006D6787" w:rsidRPr="00F573A7">
              <w:rPr>
                <w:rFonts w:ascii="Arial Narrow" w:hAnsi="Arial Narrow"/>
                <w:sz w:val="20"/>
                <w:szCs w:val="20"/>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6D6787" w:rsidRPr="00F573A7" w:rsidRDefault="004B7986" w:rsidP="003D070A">
            <w:pPr>
              <w:keepNext/>
              <w:keepLines/>
              <w:spacing w:before="0"/>
              <w:jc w:val="right"/>
              <w:rPr>
                <w:rFonts w:ascii="Arial Narrow" w:eastAsia="Times New Roman" w:hAnsi="Arial Narrow"/>
                <w:sz w:val="20"/>
                <w:szCs w:val="20"/>
              </w:rPr>
            </w:pPr>
            <w:r>
              <w:rPr>
                <w:rFonts w:ascii="Arial Narrow" w:hAnsi="Arial Narrow"/>
                <w:noProof/>
                <w:color w:val="000000"/>
                <w:sz w:val="20"/>
                <w:szCs w:val="20"/>
                <w:highlight w:val="black"/>
              </w:rPr>
              <w:t>'''''''</w:t>
            </w:r>
            <w:r w:rsidR="006D6787" w:rsidRPr="00F573A7">
              <w:rPr>
                <w:rFonts w:ascii="Arial Narrow" w:hAnsi="Arial Narrow"/>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6D6787" w:rsidRPr="00F573A7" w:rsidRDefault="004B7986" w:rsidP="003D070A">
            <w:pPr>
              <w:keepNext/>
              <w:keepLines/>
              <w:spacing w:before="0"/>
              <w:jc w:val="right"/>
              <w:rPr>
                <w:rFonts w:ascii="Arial Narrow" w:eastAsia="Times New Roman" w:hAnsi="Arial Narrow"/>
                <w:sz w:val="20"/>
                <w:szCs w:val="20"/>
              </w:rPr>
            </w:pPr>
            <w:r>
              <w:rPr>
                <w:rFonts w:ascii="Arial Narrow" w:hAnsi="Arial Narrow"/>
                <w:noProof/>
                <w:color w:val="000000"/>
                <w:sz w:val="20"/>
                <w:szCs w:val="20"/>
                <w:highlight w:val="black"/>
              </w:rPr>
              <w:t>''''''''''</w:t>
            </w:r>
            <w:r w:rsidR="006D6787" w:rsidRPr="00F573A7">
              <w:rPr>
                <w:rFonts w:ascii="Arial Narrow" w:hAnsi="Arial Narrow"/>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6D6787" w:rsidRPr="00F573A7" w:rsidRDefault="004B7986" w:rsidP="003D070A">
            <w:pPr>
              <w:keepNext/>
              <w:keepLines/>
              <w:spacing w:before="0"/>
              <w:jc w:val="right"/>
              <w:rPr>
                <w:rFonts w:ascii="Arial Narrow" w:eastAsia="Times New Roman" w:hAnsi="Arial Narrow"/>
                <w:sz w:val="20"/>
                <w:szCs w:val="20"/>
              </w:rPr>
            </w:pPr>
            <w:r>
              <w:rPr>
                <w:rFonts w:ascii="Arial Narrow" w:hAnsi="Arial Narrow"/>
                <w:noProof/>
                <w:color w:val="000000"/>
                <w:sz w:val="20"/>
                <w:szCs w:val="20"/>
                <w:highlight w:val="black"/>
              </w:rPr>
              <w:t>''''''''''</w:t>
            </w:r>
            <w:r w:rsidR="006D6787" w:rsidRPr="00F573A7">
              <w:rPr>
                <w:rFonts w:ascii="Arial Narrow" w:hAnsi="Arial Narrow"/>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6D6787" w:rsidRPr="00F573A7" w:rsidRDefault="004B7986" w:rsidP="003D070A">
            <w:pPr>
              <w:keepNext/>
              <w:keepLines/>
              <w:spacing w:before="0"/>
              <w:jc w:val="right"/>
              <w:rPr>
                <w:rFonts w:ascii="Arial Narrow" w:eastAsia="Times New Roman" w:hAnsi="Arial Narrow"/>
                <w:sz w:val="20"/>
                <w:szCs w:val="20"/>
              </w:rPr>
            </w:pPr>
            <w:r>
              <w:rPr>
                <w:rFonts w:ascii="Arial Narrow" w:hAnsi="Arial Narrow"/>
                <w:noProof/>
                <w:color w:val="000000"/>
                <w:sz w:val="20"/>
                <w:szCs w:val="20"/>
                <w:highlight w:val="black"/>
              </w:rPr>
              <w:t>'''''''''''</w:t>
            </w:r>
            <w:r w:rsidR="006D6787" w:rsidRPr="00F573A7">
              <w:rPr>
                <w:rFonts w:ascii="Arial Narrow" w:hAnsi="Arial Narrow"/>
                <w:sz w:val="20"/>
                <w:szCs w:val="20"/>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6D6787" w:rsidRPr="00F573A7" w:rsidRDefault="004B7986" w:rsidP="003D070A">
            <w:pPr>
              <w:keepNext/>
              <w:keepLines/>
              <w:spacing w:before="0"/>
              <w:jc w:val="right"/>
              <w:rPr>
                <w:rFonts w:ascii="Arial Narrow" w:eastAsia="Times New Roman" w:hAnsi="Arial Narrow"/>
                <w:sz w:val="20"/>
                <w:szCs w:val="20"/>
              </w:rPr>
            </w:pPr>
            <w:r>
              <w:rPr>
                <w:rFonts w:ascii="Arial Narrow" w:hAnsi="Arial Narrow"/>
                <w:noProof/>
                <w:color w:val="000000"/>
                <w:sz w:val="20"/>
                <w:szCs w:val="20"/>
                <w:highlight w:val="black"/>
              </w:rPr>
              <w:t>'''''''''''</w:t>
            </w:r>
            <w:r w:rsidR="006D6787" w:rsidRPr="00F573A7">
              <w:rPr>
                <w:rFonts w:ascii="Arial Narrow" w:hAnsi="Arial Narrow"/>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6D6787" w:rsidRPr="00F573A7" w:rsidRDefault="006D6787" w:rsidP="008216A6">
            <w:pPr>
              <w:keepNext/>
              <w:keepLines/>
              <w:spacing w:before="0"/>
              <w:jc w:val="center"/>
              <w:rPr>
                <w:rFonts w:ascii="Arial Narrow" w:eastAsia="Times New Roman" w:hAnsi="Arial Narrow"/>
                <w:sz w:val="20"/>
                <w:szCs w:val="20"/>
              </w:rPr>
            </w:pPr>
            <w:r w:rsidRPr="00F573A7">
              <w:rPr>
                <w:rFonts w:ascii="Arial Narrow" w:hAnsi="Arial Narrow"/>
                <w:sz w:val="20"/>
                <w:szCs w:val="20"/>
              </w:rPr>
              <w:t>Assumption</w:t>
            </w:r>
          </w:p>
        </w:tc>
      </w:tr>
      <w:tr w:rsidR="006D6787" w:rsidRPr="00F573A7" w:rsidTr="008216A6">
        <w:trPr>
          <w:trHeight w:val="255"/>
        </w:trPr>
        <w:tc>
          <w:tcPr>
            <w:tcW w:w="42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D6787" w:rsidRPr="00F573A7" w:rsidRDefault="006D6787" w:rsidP="008216A6">
            <w:pPr>
              <w:keepNext/>
              <w:keepLines/>
              <w:spacing w:before="0"/>
              <w:jc w:val="center"/>
              <w:rPr>
                <w:rFonts w:ascii="Arial Narrow" w:hAnsi="Arial Narrow"/>
                <w:sz w:val="20"/>
                <w:szCs w:val="20"/>
              </w:rPr>
            </w:pPr>
            <w:r w:rsidRPr="00F573A7">
              <w:rPr>
                <w:rFonts w:ascii="Arial Narrow" w:hAnsi="Arial Narrow"/>
                <w:sz w:val="20"/>
                <w:szCs w:val="20"/>
              </w:rPr>
              <w:t>E</w:t>
            </w:r>
          </w:p>
        </w:tc>
        <w:tc>
          <w:tcPr>
            <w:tcW w:w="269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D6787" w:rsidRPr="00F573A7" w:rsidRDefault="006D6787" w:rsidP="008216A6">
            <w:pPr>
              <w:keepNext/>
              <w:keepLines/>
              <w:spacing w:before="0"/>
              <w:jc w:val="left"/>
              <w:rPr>
                <w:rFonts w:ascii="Arial Narrow" w:hAnsi="Arial Narrow"/>
                <w:iCs/>
                <w:sz w:val="20"/>
                <w:szCs w:val="20"/>
              </w:rPr>
            </w:pPr>
            <w:r w:rsidRPr="00F573A7">
              <w:rPr>
                <w:rFonts w:ascii="Arial Narrow" w:hAnsi="Arial Narrow"/>
                <w:iCs/>
                <w:sz w:val="20"/>
                <w:szCs w:val="20"/>
              </w:rPr>
              <w:t>Patients treated with darolutamide</w:t>
            </w:r>
          </w:p>
        </w:tc>
        <w:tc>
          <w:tcPr>
            <w:tcW w:w="70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6D6787" w:rsidRPr="004B7986" w:rsidRDefault="004B7986" w:rsidP="003D070A">
            <w:pPr>
              <w:keepNext/>
              <w:keepLines/>
              <w:spacing w:before="0"/>
              <w:jc w:val="right"/>
              <w:rPr>
                <w:rFonts w:ascii="Arial Narrow" w:hAnsi="Arial Narrow"/>
                <w:sz w:val="20"/>
                <w:szCs w:val="20"/>
              </w:rPr>
            </w:pPr>
            <w:r>
              <w:rPr>
                <w:rFonts w:ascii="Arial Narrow" w:hAnsi="Arial Narrow" w:cs="Calibri"/>
                <w:noProof/>
                <w:color w:val="000000"/>
                <w:sz w:val="20"/>
                <w:szCs w:val="20"/>
                <w:highlight w:val="black"/>
              </w:rPr>
              <w:t>'''''''''</w:t>
            </w:r>
            <w:r w:rsidR="00A94C72">
              <w:rPr>
                <w:rFonts w:ascii="Arial Narrow" w:hAnsi="Arial Narrow"/>
                <w:sz w:val="20"/>
                <w:szCs w:val="20"/>
                <w:vertAlign w:val="superscript"/>
              </w:rPr>
              <w:t>3</w:t>
            </w:r>
          </w:p>
        </w:tc>
        <w:tc>
          <w:tcPr>
            <w:tcW w:w="70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6D6787" w:rsidRPr="004B7986" w:rsidRDefault="004B7986" w:rsidP="003D070A">
            <w:pPr>
              <w:keepNext/>
              <w:keepLines/>
              <w:spacing w:before="0"/>
              <w:jc w:val="right"/>
              <w:rPr>
                <w:rFonts w:ascii="Arial Narrow" w:hAnsi="Arial Narrow"/>
                <w:sz w:val="20"/>
                <w:szCs w:val="20"/>
              </w:rPr>
            </w:pPr>
            <w:r>
              <w:rPr>
                <w:rFonts w:ascii="Arial Narrow" w:hAnsi="Arial Narrow" w:cs="Calibri"/>
                <w:noProof/>
                <w:color w:val="000000"/>
                <w:sz w:val="20"/>
                <w:szCs w:val="20"/>
                <w:highlight w:val="black"/>
              </w:rPr>
              <w:t>'''''''''</w:t>
            </w:r>
            <w:r w:rsidR="00A94C72">
              <w:rPr>
                <w:rFonts w:ascii="Arial Narrow" w:hAnsi="Arial Narrow"/>
                <w:sz w:val="20"/>
                <w:szCs w:val="20"/>
                <w:vertAlign w:val="superscript"/>
              </w:rPr>
              <w:t>4</w:t>
            </w:r>
          </w:p>
        </w:tc>
        <w:tc>
          <w:tcPr>
            <w:tcW w:w="70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6D6787" w:rsidRPr="004B7986" w:rsidRDefault="004B7986" w:rsidP="003D070A">
            <w:pPr>
              <w:keepNext/>
              <w:keepLines/>
              <w:spacing w:before="0"/>
              <w:jc w:val="right"/>
              <w:rPr>
                <w:rFonts w:ascii="Arial Narrow" w:hAnsi="Arial Narrow"/>
                <w:sz w:val="20"/>
                <w:szCs w:val="20"/>
              </w:rPr>
            </w:pPr>
            <w:r>
              <w:rPr>
                <w:rFonts w:ascii="Arial Narrow" w:hAnsi="Arial Narrow" w:cs="Calibri"/>
                <w:noProof/>
                <w:color w:val="000000"/>
                <w:sz w:val="20"/>
                <w:szCs w:val="20"/>
                <w:highlight w:val="black"/>
              </w:rPr>
              <w:t>'''''''''</w:t>
            </w:r>
            <w:r w:rsidR="00A94C72">
              <w:rPr>
                <w:rFonts w:ascii="Arial Narrow" w:hAnsi="Arial Narrow"/>
                <w:sz w:val="20"/>
                <w:szCs w:val="20"/>
                <w:vertAlign w:val="superscript"/>
              </w:rPr>
              <w:t>4</w:t>
            </w:r>
          </w:p>
        </w:tc>
        <w:tc>
          <w:tcPr>
            <w:tcW w:w="70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6D6787" w:rsidRPr="004B7986" w:rsidRDefault="004B7986" w:rsidP="003D070A">
            <w:pPr>
              <w:keepNext/>
              <w:keepLines/>
              <w:spacing w:before="0"/>
              <w:jc w:val="right"/>
              <w:rPr>
                <w:rFonts w:ascii="Arial Narrow" w:hAnsi="Arial Narrow"/>
                <w:sz w:val="20"/>
                <w:szCs w:val="20"/>
              </w:rPr>
            </w:pPr>
            <w:r>
              <w:rPr>
                <w:rFonts w:ascii="Arial Narrow" w:hAnsi="Arial Narrow" w:cs="Calibri"/>
                <w:noProof/>
                <w:color w:val="000000"/>
                <w:sz w:val="20"/>
                <w:szCs w:val="20"/>
                <w:highlight w:val="black"/>
              </w:rPr>
              <w:t>''''''''</w:t>
            </w:r>
            <w:r w:rsidR="00A94C72">
              <w:rPr>
                <w:rFonts w:ascii="Arial Narrow" w:hAnsi="Arial Narrow"/>
                <w:sz w:val="20"/>
                <w:szCs w:val="20"/>
                <w:vertAlign w:val="superscript"/>
              </w:rPr>
              <w:t>4</w:t>
            </w:r>
          </w:p>
        </w:tc>
        <w:tc>
          <w:tcPr>
            <w:tcW w:w="70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6D6787" w:rsidRPr="004B7986" w:rsidRDefault="004B7986" w:rsidP="003D070A">
            <w:pPr>
              <w:keepNext/>
              <w:keepLines/>
              <w:spacing w:before="0"/>
              <w:jc w:val="right"/>
              <w:rPr>
                <w:rFonts w:ascii="Arial Narrow" w:hAnsi="Arial Narrow"/>
                <w:sz w:val="20"/>
                <w:szCs w:val="20"/>
              </w:rPr>
            </w:pPr>
            <w:r>
              <w:rPr>
                <w:rFonts w:ascii="Arial Narrow" w:hAnsi="Arial Narrow" w:cs="Calibri"/>
                <w:noProof/>
                <w:color w:val="000000"/>
                <w:sz w:val="20"/>
                <w:szCs w:val="20"/>
                <w:highlight w:val="black"/>
              </w:rPr>
              <w:t>''''''''''</w:t>
            </w:r>
            <w:r w:rsidR="00A94C72">
              <w:rPr>
                <w:rFonts w:ascii="Arial Narrow" w:hAnsi="Arial Narrow"/>
                <w:sz w:val="20"/>
                <w:szCs w:val="20"/>
                <w:vertAlign w:val="superscript"/>
              </w:rPr>
              <w:t>4</w:t>
            </w:r>
          </w:p>
        </w:tc>
        <w:tc>
          <w:tcPr>
            <w:tcW w:w="70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6D6787" w:rsidRPr="004B7986" w:rsidRDefault="004B7986" w:rsidP="003D070A">
            <w:pPr>
              <w:keepNext/>
              <w:keepLines/>
              <w:spacing w:before="0"/>
              <w:jc w:val="right"/>
              <w:rPr>
                <w:rFonts w:ascii="Arial Narrow" w:hAnsi="Arial Narrow"/>
                <w:sz w:val="20"/>
                <w:szCs w:val="20"/>
              </w:rPr>
            </w:pPr>
            <w:r>
              <w:rPr>
                <w:rFonts w:ascii="Arial Narrow" w:hAnsi="Arial Narrow" w:cs="Calibri"/>
                <w:noProof/>
                <w:color w:val="000000"/>
                <w:sz w:val="20"/>
                <w:szCs w:val="20"/>
                <w:highlight w:val="black"/>
              </w:rPr>
              <w:t>'''''''''</w:t>
            </w:r>
            <w:r w:rsidR="00A94C72">
              <w:rPr>
                <w:rFonts w:ascii="Arial Narrow" w:hAnsi="Arial Narrow"/>
                <w:sz w:val="20"/>
                <w:szCs w:val="20"/>
                <w:vertAlign w:val="superscript"/>
              </w:rPr>
              <w:t>4</w:t>
            </w:r>
          </w:p>
        </w:tc>
        <w:tc>
          <w:tcPr>
            <w:tcW w:w="170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6D6787" w:rsidRPr="00F573A7" w:rsidRDefault="006D6787" w:rsidP="008216A6">
            <w:pPr>
              <w:keepNext/>
              <w:keepLines/>
              <w:spacing w:before="0"/>
              <w:jc w:val="center"/>
              <w:rPr>
                <w:rFonts w:ascii="Arial Narrow" w:hAnsi="Arial Narrow"/>
                <w:sz w:val="20"/>
                <w:szCs w:val="20"/>
              </w:rPr>
            </w:pPr>
            <w:r w:rsidRPr="00F573A7">
              <w:rPr>
                <w:rFonts w:ascii="Arial Narrow" w:hAnsi="Arial Narrow"/>
                <w:sz w:val="20"/>
                <w:szCs w:val="20"/>
              </w:rPr>
              <w:t>C x D</w:t>
            </w:r>
          </w:p>
        </w:tc>
      </w:tr>
    </w:tbl>
    <w:p w:rsidR="006D6787" w:rsidRPr="00F573A7" w:rsidRDefault="006D6787" w:rsidP="006D6787">
      <w:pPr>
        <w:rPr>
          <w:rFonts w:ascii="Arial Narrow" w:hAnsi="Arial Narrow"/>
          <w:sz w:val="18"/>
          <w:szCs w:val="18"/>
        </w:rPr>
      </w:pPr>
      <w:r w:rsidRPr="00F573A7">
        <w:rPr>
          <w:rFonts w:ascii="Arial Narrow" w:hAnsi="Arial Narrow"/>
          <w:sz w:val="18"/>
          <w:szCs w:val="18"/>
        </w:rPr>
        <w:t>Source: Table 6, p7 of the early re-entry submission</w:t>
      </w:r>
    </w:p>
    <w:p w:rsidR="006D6787" w:rsidRPr="00F573A7" w:rsidRDefault="006D6787" w:rsidP="006D6787">
      <w:pPr>
        <w:rPr>
          <w:rFonts w:ascii="Arial Narrow" w:hAnsi="Arial Narrow"/>
          <w:sz w:val="18"/>
          <w:szCs w:val="18"/>
        </w:rPr>
      </w:pPr>
      <w:r w:rsidRPr="00F573A7">
        <w:rPr>
          <w:rFonts w:ascii="Arial Narrow" w:hAnsi="Arial Narrow"/>
          <w:sz w:val="18"/>
          <w:szCs w:val="18"/>
        </w:rPr>
        <w:t>abi = abiraterone; CI = conventional imaging; CRPC = castrate resistant prostate cancer; daro = darolutamide; DUSC = Drug Utilisation Sub-Committee; enza = enzalutamide</w:t>
      </w:r>
    </w:p>
    <w:p w:rsidR="00A94C72" w:rsidRPr="009A6D58" w:rsidRDefault="00A94C72" w:rsidP="00A94C72">
      <w:pPr>
        <w:rPr>
          <w:rFonts w:ascii="Arial Narrow" w:hAnsi="Arial Narrow" w:cs="Arial"/>
          <w:i/>
          <w:sz w:val="18"/>
          <w:szCs w:val="18"/>
        </w:rPr>
      </w:pPr>
      <w:r w:rsidRPr="009A6D58">
        <w:rPr>
          <w:rFonts w:ascii="Arial Narrow" w:hAnsi="Arial Narrow" w:cs="Arial"/>
          <w:i/>
          <w:sz w:val="18"/>
          <w:szCs w:val="18"/>
        </w:rPr>
        <w:t xml:space="preserve">The redacted values correspond to the following ranges: </w:t>
      </w:r>
    </w:p>
    <w:p w:rsidR="00A94C72" w:rsidRPr="009A6D58" w:rsidRDefault="00A94C72" w:rsidP="00A94C72">
      <w:pPr>
        <w:rPr>
          <w:rFonts w:ascii="Arial Narrow" w:hAnsi="Arial Narrow" w:cs="Arial"/>
          <w:i/>
          <w:sz w:val="18"/>
          <w:szCs w:val="18"/>
        </w:rPr>
      </w:pPr>
      <w:r w:rsidRPr="009A6D58">
        <w:rPr>
          <w:rFonts w:ascii="Arial Narrow" w:hAnsi="Arial Narrow" w:cs="Arial"/>
          <w:i/>
          <w:sz w:val="18"/>
          <w:szCs w:val="18"/>
          <w:vertAlign w:val="superscript"/>
        </w:rPr>
        <w:t>1</w:t>
      </w:r>
      <w:r>
        <w:rPr>
          <w:rFonts w:ascii="Arial Narrow" w:hAnsi="Arial Narrow" w:cs="Arial"/>
          <w:i/>
          <w:sz w:val="18"/>
          <w:szCs w:val="18"/>
        </w:rPr>
        <w:t xml:space="preserve"> </w:t>
      </w:r>
      <w:r w:rsidRPr="00A94C72">
        <w:rPr>
          <w:rFonts w:ascii="Arial Narrow" w:hAnsi="Arial Narrow" w:cs="Arial"/>
          <w:i/>
          <w:sz w:val="18"/>
          <w:szCs w:val="18"/>
        </w:rPr>
        <w:t>5,000 to &lt; 10,000</w:t>
      </w:r>
    </w:p>
    <w:p w:rsidR="00A94C72" w:rsidRPr="009A6D58" w:rsidRDefault="00A94C72" w:rsidP="00A94C72">
      <w:pPr>
        <w:rPr>
          <w:rFonts w:ascii="Arial Narrow" w:hAnsi="Arial Narrow" w:cs="Arial"/>
          <w:i/>
          <w:sz w:val="18"/>
          <w:szCs w:val="18"/>
        </w:rPr>
      </w:pPr>
      <w:r w:rsidRPr="009A6D58">
        <w:rPr>
          <w:rFonts w:ascii="Arial Narrow" w:hAnsi="Arial Narrow" w:cs="Arial"/>
          <w:i/>
          <w:sz w:val="18"/>
          <w:szCs w:val="18"/>
          <w:vertAlign w:val="superscript"/>
        </w:rPr>
        <w:t>2</w:t>
      </w:r>
      <w:r>
        <w:rPr>
          <w:rFonts w:ascii="Arial Narrow" w:hAnsi="Arial Narrow" w:cs="Arial"/>
          <w:i/>
          <w:sz w:val="18"/>
          <w:szCs w:val="18"/>
        </w:rPr>
        <w:t xml:space="preserve"> </w:t>
      </w:r>
      <w:r w:rsidRPr="00A94C72">
        <w:rPr>
          <w:rFonts w:ascii="Arial Narrow" w:hAnsi="Arial Narrow" w:cs="Arial"/>
          <w:i/>
          <w:sz w:val="18"/>
          <w:szCs w:val="18"/>
        </w:rPr>
        <w:t>10,000 to &lt; 20,000</w:t>
      </w:r>
    </w:p>
    <w:p w:rsidR="00A94C72" w:rsidRDefault="00A94C72" w:rsidP="00A94C72">
      <w:pPr>
        <w:rPr>
          <w:rFonts w:ascii="Arial Narrow" w:hAnsi="Arial Narrow" w:cs="Arial"/>
          <w:i/>
          <w:sz w:val="18"/>
          <w:szCs w:val="18"/>
        </w:rPr>
      </w:pPr>
      <w:r w:rsidRPr="009A6D58">
        <w:rPr>
          <w:rFonts w:ascii="Arial Narrow" w:hAnsi="Arial Narrow" w:cs="Arial"/>
          <w:i/>
          <w:sz w:val="18"/>
          <w:szCs w:val="18"/>
          <w:vertAlign w:val="superscript"/>
        </w:rPr>
        <w:t>3</w:t>
      </w:r>
      <w:r>
        <w:rPr>
          <w:rFonts w:ascii="Arial Narrow" w:hAnsi="Arial Narrow" w:cs="Arial"/>
          <w:i/>
          <w:sz w:val="18"/>
          <w:szCs w:val="18"/>
        </w:rPr>
        <w:t xml:space="preserve"> </w:t>
      </w:r>
      <w:r w:rsidRPr="00A94C72">
        <w:rPr>
          <w:rFonts w:ascii="Arial Narrow" w:hAnsi="Arial Narrow" w:cs="Arial"/>
          <w:i/>
          <w:sz w:val="18"/>
          <w:szCs w:val="18"/>
        </w:rPr>
        <w:t>&lt; 500</w:t>
      </w:r>
    </w:p>
    <w:p w:rsidR="00A94C72" w:rsidRDefault="00A94C72" w:rsidP="0031611E">
      <w:pPr>
        <w:spacing w:after="120"/>
        <w:rPr>
          <w:rFonts w:ascii="Arial Narrow" w:hAnsi="Arial Narrow" w:cs="Arial"/>
          <w:i/>
          <w:sz w:val="18"/>
          <w:szCs w:val="18"/>
        </w:rPr>
      </w:pPr>
      <w:r>
        <w:rPr>
          <w:rFonts w:ascii="Arial Narrow" w:hAnsi="Arial Narrow" w:cs="Arial"/>
          <w:i/>
          <w:sz w:val="18"/>
          <w:szCs w:val="18"/>
          <w:vertAlign w:val="superscript"/>
        </w:rPr>
        <w:t>4</w:t>
      </w:r>
      <w:r>
        <w:rPr>
          <w:rFonts w:ascii="Arial Narrow" w:hAnsi="Arial Narrow" w:cs="Arial"/>
          <w:i/>
          <w:sz w:val="18"/>
          <w:szCs w:val="18"/>
        </w:rPr>
        <w:t xml:space="preserve"> </w:t>
      </w:r>
      <w:r w:rsidRPr="00A94C72">
        <w:rPr>
          <w:rFonts w:ascii="Arial Narrow" w:hAnsi="Arial Narrow" w:cs="Arial"/>
          <w:i/>
          <w:sz w:val="18"/>
          <w:szCs w:val="18"/>
        </w:rPr>
        <w:t>500 to &lt; 5,000</w:t>
      </w:r>
    </w:p>
    <w:p w:rsidR="00587099" w:rsidRPr="00F573A7" w:rsidRDefault="00A50569" w:rsidP="00F627C7">
      <w:pPr>
        <w:pStyle w:val="3-BodyText"/>
      </w:pPr>
      <w:r w:rsidRPr="00F573A7">
        <w:t>The total number of patients treated with darolutamide in this early re-entry submission is compared with the March 2021 resubmission in Table 8.</w:t>
      </w:r>
    </w:p>
    <w:p w:rsidR="00A50569" w:rsidRPr="00F573A7" w:rsidRDefault="00A50569" w:rsidP="00A50569">
      <w:pPr>
        <w:pStyle w:val="Tableheadingrow"/>
        <w:rPr>
          <w:lang w:val="en-AU"/>
        </w:rPr>
      </w:pPr>
      <w:r w:rsidRPr="00F573A7">
        <w:rPr>
          <w:lang w:val="en-AU"/>
        </w:rPr>
        <w:t>Table 8: Total number of patients treated with darolutamide – July 2021 versus March 2021 submissions</w:t>
      </w:r>
      <w:r w:rsidR="006D6787" w:rsidRPr="00F573A7">
        <w:rPr>
          <w:vertAlign w:val="superscript"/>
          <w:lang w:val="en-AU"/>
        </w:rPr>
        <w:t>a</w:t>
      </w:r>
    </w:p>
    <w:tbl>
      <w:tblPr>
        <w:tblStyle w:val="TableGrid1"/>
        <w:tblW w:w="9067" w:type="dxa"/>
        <w:tblInd w:w="0" w:type="dxa"/>
        <w:tblLayout w:type="fixed"/>
        <w:tblLook w:val="04A0" w:firstRow="1" w:lastRow="0" w:firstColumn="1" w:lastColumn="0" w:noHBand="0" w:noVBand="1"/>
        <w:tblCaption w:val="Table 8: Total number of patients treated with darolutamide – July 2021 versus March 2021 submissionsa"/>
      </w:tblPr>
      <w:tblGrid>
        <w:gridCol w:w="4815"/>
        <w:gridCol w:w="709"/>
        <w:gridCol w:w="708"/>
        <w:gridCol w:w="709"/>
        <w:gridCol w:w="709"/>
        <w:gridCol w:w="709"/>
        <w:gridCol w:w="708"/>
      </w:tblGrid>
      <w:tr w:rsidR="006D6787" w:rsidRPr="00F573A7" w:rsidTr="003D67B6">
        <w:trPr>
          <w:trHeight w:val="255"/>
          <w:tblHeader/>
        </w:trPr>
        <w:tc>
          <w:tcPr>
            <w:tcW w:w="4815" w:type="dxa"/>
            <w:tcBorders>
              <w:top w:val="single" w:sz="4" w:space="0" w:color="auto"/>
              <w:left w:val="single" w:sz="4" w:space="0" w:color="auto"/>
              <w:bottom w:val="single" w:sz="4" w:space="0" w:color="auto"/>
              <w:right w:val="single" w:sz="4" w:space="0" w:color="auto"/>
            </w:tcBorders>
            <w:tcMar>
              <w:left w:w="28" w:type="dxa"/>
              <w:right w:w="28" w:type="dxa"/>
            </w:tcMar>
            <w:hideMark/>
          </w:tcPr>
          <w:p w:rsidR="006D6787" w:rsidRPr="00F573A7" w:rsidRDefault="006D6787" w:rsidP="008216A6">
            <w:pPr>
              <w:keepNext/>
              <w:keepLines/>
              <w:spacing w:before="0"/>
              <w:jc w:val="left"/>
              <w:rPr>
                <w:rFonts w:ascii="Arial Narrow" w:eastAsia="Times New Roman" w:hAnsi="Arial Narrow"/>
                <w:b/>
                <w:bCs/>
                <w:sz w:val="20"/>
                <w:szCs w:val="20"/>
              </w:rPr>
            </w:pPr>
            <w:r w:rsidRPr="00F573A7">
              <w:rPr>
                <w:rFonts w:ascii="Arial Narrow" w:hAnsi="Arial Narrow"/>
                <w:b/>
                <w:bCs/>
                <w:sz w:val="20"/>
                <w:szCs w:val="20"/>
              </w:rPr>
              <w:t>Parameter</w:t>
            </w: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hideMark/>
          </w:tcPr>
          <w:p w:rsidR="006D6787" w:rsidRPr="00F573A7" w:rsidRDefault="006D6787" w:rsidP="008216A6">
            <w:pPr>
              <w:keepNext/>
              <w:keepLines/>
              <w:spacing w:before="0"/>
              <w:jc w:val="center"/>
              <w:rPr>
                <w:rFonts w:ascii="Arial Narrow" w:eastAsia="Times New Roman" w:hAnsi="Arial Narrow"/>
                <w:b/>
                <w:bCs/>
                <w:sz w:val="20"/>
                <w:szCs w:val="20"/>
              </w:rPr>
            </w:pPr>
            <w:r w:rsidRPr="00F573A7">
              <w:rPr>
                <w:rFonts w:ascii="Arial Narrow" w:hAnsi="Arial Narrow"/>
                <w:b/>
                <w:bCs/>
                <w:sz w:val="20"/>
                <w:szCs w:val="20"/>
              </w:rPr>
              <w:t>2022</w:t>
            </w: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hideMark/>
          </w:tcPr>
          <w:p w:rsidR="006D6787" w:rsidRPr="00F573A7" w:rsidRDefault="006D6787" w:rsidP="008216A6">
            <w:pPr>
              <w:keepNext/>
              <w:keepLines/>
              <w:spacing w:before="0"/>
              <w:jc w:val="center"/>
              <w:rPr>
                <w:rFonts w:ascii="Arial Narrow" w:eastAsia="Times New Roman" w:hAnsi="Arial Narrow"/>
                <w:b/>
                <w:bCs/>
                <w:sz w:val="20"/>
                <w:szCs w:val="20"/>
              </w:rPr>
            </w:pPr>
            <w:r w:rsidRPr="00F573A7">
              <w:rPr>
                <w:rFonts w:ascii="Arial Narrow" w:hAnsi="Arial Narrow"/>
                <w:b/>
                <w:bCs/>
                <w:sz w:val="20"/>
                <w:szCs w:val="20"/>
              </w:rPr>
              <w:t>2023</w:t>
            </w: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hideMark/>
          </w:tcPr>
          <w:p w:rsidR="006D6787" w:rsidRPr="00F573A7" w:rsidRDefault="006D6787" w:rsidP="008216A6">
            <w:pPr>
              <w:keepNext/>
              <w:keepLines/>
              <w:spacing w:before="0"/>
              <w:jc w:val="center"/>
              <w:rPr>
                <w:rFonts w:ascii="Arial Narrow" w:eastAsia="Times New Roman" w:hAnsi="Arial Narrow"/>
                <w:b/>
                <w:bCs/>
                <w:sz w:val="20"/>
                <w:szCs w:val="20"/>
              </w:rPr>
            </w:pPr>
            <w:r w:rsidRPr="00F573A7">
              <w:rPr>
                <w:rFonts w:ascii="Arial Narrow" w:hAnsi="Arial Narrow"/>
                <w:b/>
                <w:bCs/>
                <w:sz w:val="20"/>
                <w:szCs w:val="20"/>
              </w:rPr>
              <w:t>2024</w:t>
            </w: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hideMark/>
          </w:tcPr>
          <w:p w:rsidR="006D6787" w:rsidRPr="00F573A7" w:rsidRDefault="006D6787" w:rsidP="008216A6">
            <w:pPr>
              <w:keepNext/>
              <w:keepLines/>
              <w:spacing w:before="0"/>
              <w:jc w:val="center"/>
              <w:rPr>
                <w:rFonts w:ascii="Arial Narrow" w:eastAsia="Times New Roman" w:hAnsi="Arial Narrow"/>
                <w:b/>
                <w:bCs/>
                <w:sz w:val="20"/>
                <w:szCs w:val="20"/>
              </w:rPr>
            </w:pPr>
            <w:r w:rsidRPr="00F573A7">
              <w:rPr>
                <w:rFonts w:ascii="Arial Narrow" w:hAnsi="Arial Narrow"/>
                <w:b/>
                <w:bCs/>
                <w:sz w:val="20"/>
                <w:szCs w:val="20"/>
              </w:rPr>
              <w:t>2025</w:t>
            </w: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hideMark/>
          </w:tcPr>
          <w:p w:rsidR="006D6787" w:rsidRPr="00F573A7" w:rsidRDefault="006D6787" w:rsidP="008216A6">
            <w:pPr>
              <w:keepNext/>
              <w:keepLines/>
              <w:spacing w:before="0"/>
              <w:jc w:val="center"/>
              <w:rPr>
                <w:rFonts w:ascii="Arial Narrow" w:eastAsia="Times New Roman" w:hAnsi="Arial Narrow"/>
                <w:b/>
                <w:bCs/>
                <w:sz w:val="20"/>
                <w:szCs w:val="20"/>
              </w:rPr>
            </w:pPr>
            <w:r w:rsidRPr="00F573A7">
              <w:rPr>
                <w:rFonts w:ascii="Arial Narrow" w:hAnsi="Arial Narrow"/>
                <w:b/>
                <w:bCs/>
                <w:sz w:val="20"/>
                <w:szCs w:val="20"/>
              </w:rPr>
              <w:t>2026</w:t>
            </w: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hideMark/>
          </w:tcPr>
          <w:p w:rsidR="006D6787" w:rsidRPr="00F573A7" w:rsidRDefault="006D6787" w:rsidP="008216A6">
            <w:pPr>
              <w:keepNext/>
              <w:keepLines/>
              <w:spacing w:before="0"/>
              <w:jc w:val="center"/>
              <w:rPr>
                <w:rFonts w:ascii="Arial Narrow" w:eastAsia="Times New Roman" w:hAnsi="Arial Narrow"/>
                <w:b/>
                <w:bCs/>
                <w:sz w:val="20"/>
                <w:szCs w:val="20"/>
              </w:rPr>
            </w:pPr>
            <w:r w:rsidRPr="00F573A7">
              <w:rPr>
                <w:rFonts w:ascii="Arial Narrow" w:hAnsi="Arial Narrow"/>
                <w:b/>
                <w:bCs/>
                <w:sz w:val="20"/>
                <w:szCs w:val="20"/>
              </w:rPr>
              <w:t>2027</w:t>
            </w:r>
          </w:p>
        </w:tc>
      </w:tr>
      <w:tr w:rsidR="006D6787" w:rsidRPr="00F573A7" w:rsidTr="00964A6B">
        <w:trPr>
          <w:trHeight w:val="205"/>
        </w:trPr>
        <w:tc>
          <w:tcPr>
            <w:tcW w:w="481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D6787" w:rsidRPr="00F573A7" w:rsidRDefault="006D6787" w:rsidP="006D6787">
            <w:pPr>
              <w:keepNext/>
              <w:keepLines/>
              <w:spacing w:before="0"/>
              <w:jc w:val="left"/>
              <w:rPr>
                <w:rFonts w:ascii="Arial Narrow" w:eastAsia="Times New Roman" w:hAnsi="Arial Narrow"/>
                <w:sz w:val="20"/>
                <w:szCs w:val="20"/>
              </w:rPr>
            </w:pPr>
            <w:r w:rsidRPr="00F573A7">
              <w:rPr>
                <w:rFonts w:ascii="Arial Narrow" w:hAnsi="Arial Narrow"/>
                <w:sz w:val="20"/>
                <w:szCs w:val="20"/>
              </w:rPr>
              <w:t>July 2021 - total number of patients treated with darolutamide</w:t>
            </w: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6D6787" w:rsidRPr="004B7986" w:rsidRDefault="004B7986" w:rsidP="003D070A">
            <w:pPr>
              <w:keepNext/>
              <w:keepLines/>
              <w:spacing w:before="0"/>
              <w:jc w:val="right"/>
              <w:rPr>
                <w:rFonts w:ascii="Arial Narrow" w:eastAsia="Times New Roman" w:hAnsi="Arial Narrow"/>
                <w:sz w:val="20"/>
                <w:szCs w:val="20"/>
              </w:rPr>
            </w:pPr>
            <w:r>
              <w:rPr>
                <w:rFonts w:ascii="Arial Narrow" w:hAnsi="Arial Narrow" w:cs="Arial"/>
                <w:noProof/>
                <w:color w:val="000000"/>
                <w:sz w:val="20"/>
                <w:szCs w:val="20"/>
                <w:highlight w:val="black"/>
              </w:rPr>
              <w:t>''''''''''''''</w:t>
            </w:r>
            <w:r w:rsidR="0031611E" w:rsidRPr="00D12472">
              <w:rPr>
                <w:rFonts w:ascii="Arial Narrow" w:hAnsi="Arial Narrow"/>
                <w:sz w:val="20"/>
                <w:szCs w:val="20"/>
                <w:vertAlign w:val="superscript"/>
              </w:rPr>
              <w:t>1</w:t>
            </w: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6D6787" w:rsidRPr="004B7986" w:rsidRDefault="004B7986" w:rsidP="003D070A">
            <w:pPr>
              <w:keepNext/>
              <w:keepLines/>
              <w:spacing w:before="0"/>
              <w:jc w:val="right"/>
              <w:rPr>
                <w:rFonts w:ascii="Arial Narrow" w:eastAsia="Times New Roman" w:hAnsi="Arial Narrow"/>
                <w:sz w:val="20"/>
                <w:szCs w:val="20"/>
              </w:rPr>
            </w:pPr>
            <w:r>
              <w:rPr>
                <w:rFonts w:ascii="Arial Narrow" w:hAnsi="Arial Narrow" w:cs="Arial"/>
                <w:noProof/>
                <w:color w:val="000000"/>
                <w:sz w:val="20"/>
                <w:szCs w:val="20"/>
                <w:highlight w:val="black"/>
              </w:rPr>
              <w:t>''''''''''''''</w:t>
            </w:r>
            <w:r w:rsidR="0031611E" w:rsidRPr="00D12472">
              <w:rPr>
                <w:rFonts w:ascii="Arial Narrow" w:hAnsi="Arial Narrow"/>
                <w:sz w:val="20"/>
                <w:szCs w:val="20"/>
                <w:vertAlign w:val="superscript"/>
              </w:rPr>
              <w:t>1</w:t>
            </w: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6D6787" w:rsidRPr="004B7986" w:rsidRDefault="004B7986" w:rsidP="003D070A">
            <w:pPr>
              <w:keepNext/>
              <w:keepLines/>
              <w:spacing w:before="0"/>
              <w:jc w:val="right"/>
              <w:rPr>
                <w:rFonts w:ascii="Arial Narrow" w:eastAsia="Times New Roman" w:hAnsi="Arial Narrow"/>
                <w:sz w:val="20"/>
                <w:szCs w:val="20"/>
              </w:rPr>
            </w:pPr>
            <w:r>
              <w:rPr>
                <w:rFonts w:ascii="Arial Narrow" w:hAnsi="Arial Narrow" w:cs="Arial"/>
                <w:noProof/>
                <w:color w:val="000000"/>
                <w:sz w:val="20"/>
                <w:szCs w:val="20"/>
                <w:highlight w:val="black"/>
              </w:rPr>
              <w:t>''''''''''''''</w:t>
            </w:r>
            <w:r w:rsidR="0031611E" w:rsidRPr="00D12472">
              <w:rPr>
                <w:rFonts w:ascii="Arial Narrow" w:hAnsi="Arial Narrow"/>
                <w:sz w:val="20"/>
                <w:szCs w:val="20"/>
                <w:vertAlign w:val="superscript"/>
              </w:rPr>
              <w:t>1</w:t>
            </w: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6D6787" w:rsidRPr="004B7986" w:rsidRDefault="004B7986" w:rsidP="003D070A">
            <w:pPr>
              <w:keepNext/>
              <w:keepLines/>
              <w:spacing w:before="0"/>
              <w:jc w:val="right"/>
              <w:rPr>
                <w:rFonts w:ascii="Arial Narrow" w:eastAsia="Times New Roman" w:hAnsi="Arial Narrow"/>
                <w:sz w:val="20"/>
                <w:szCs w:val="20"/>
              </w:rPr>
            </w:pPr>
            <w:r>
              <w:rPr>
                <w:rFonts w:ascii="Arial Narrow" w:hAnsi="Arial Narrow" w:cs="Arial"/>
                <w:noProof/>
                <w:color w:val="000000"/>
                <w:sz w:val="20"/>
                <w:szCs w:val="20"/>
                <w:highlight w:val="black"/>
              </w:rPr>
              <w:t>'''''''''''''</w:t>
            </w:r>
            <w:r w:rsidR="0031611E" w:rsidRPr="00D12472">
              <w:rPr>
                <w:rFonts w:ascii="Arial Narrow" w:hAnsi="Arial Narrow"/>
                <w:sz w:val="20"/>
                <w:szCs w:val="20"/>
                <w:vertAlign w:val="superscript"/>
              </w:rPr>
              <w:t>1</w:t>
            </w: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6D6787" w:rsidRPr="004B7986" w:rsidRDefault="004B7986" w:rsidP="003D070A">
            <w:pPr>
              <w:keepNext/>
              <w:keepLines/>
              <w:spacing w:before="0"/>
              <w:jc w:val="right"/>
              <w:rPr>
                <w:rFonts w:ascii="Arial Narrow" w:eastAsia="Times New Roman" w:hAnsi="Arial Narrow"/>
                <w:sz w:val="20"/>
                <w:szCs w:val="20"/>
              </w:rPr>
            </w:pPr>
            <w:r>
              <w:rPr>
                <w:rFonts w:ascii="Arial Narrow" w:hAnsi="Arial Narrow" w:cs="Arial"/>
                <w:noProof/>
                <w:color w:val="000000"/>
                <w:sz w:val="20"/>
                <w:szCs w:val="20"/>
                <w:highlight w:val="black"/>
              </w:rPr>
              <w:t>''''''''''''''</w:t>
            </w:r>
            <w:r w:rsidR="0031611E" w:rsidRPr="00D12472">
              <w:rPr>
                <w:rFonts w:ascii="Arial Narrow" w:hAnsi="Arial Narrow"/>
                <w:sz w:val="20"/>
                <w:szCs w:val="20"/>
                <w:vertAlign w:val="superscript"/>
              </w:rPr>
              <w:t>1</w:t>
            </w: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6D6787" w:rsidRPr="004B7986" w:rsidRDefault="004B7986" w:rsidP="003D070A">
            <w:pPr>
              <w:keepNext/>
              <w:keepLines/>
              <w:spacing w:before="0"/>
              <w:jc w:val="right"/>
              <w:rPr>
                <w:rFonts w:ascii="Arial Narrow" w:eastAsia="Times New Roman" w:hAnsi="Arial Narrow"/>
                <w:sz w:val="20"/>
                <w:szCs w:val="20"/>
              </w:rPr>
            </w:pPr>
            <w:r>
              <w:rPr>
                <w:rFonts w:ascii="Arial Narrow" w:hAnsi="Arial Narrow" w:cs="Arial"/>
                <w:noProof/>
                <w:color w:val="000000"/>
                <w:sz w:val="20"/>
                <w:szCs w:val="20"/>
                <w:highlight w:val="black"/>
              </w:rPr>
              <w:t>'''''''''''''</w:t>
            </w:r>
            <w:r w:rsidR="0031611E" w:rsidRPr="00D12472">
              <w:rPr>
                <w:rFonts w:ascii="Arial Narrow" w:hAnsi="Arial Narrow"/>
                <w:sz w:val="20"/>
                <w:szCs w:val="20"/>
                <w:vertAlign w:val="superscript"/>
              </w:rPr>
              <w:t>1</w:t>
            </w:r>
          </w:p>
        </w:tc>
      </w:tr>
      <w:tr w:rsidR="000A068C" w:rsidRPr="00F573A7" w:rsidTr="00296834">
        <w:trPr>
          <w:trHeight w:val="241"/>
        </w:trPr>
        <w:tc>
          <w:tcPr>
            <w:tcW w:w="481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A068C" w:rsidRPr="00F573A7" w:rsidRDefault="000A068C" w:rsidP="00296834">
            <w:pPr>
              <w:keepNext/>
              <w:keepLines/>
              <w:spacing w:before="0"/>
              <w:jc w:val="left"/>
              <w:rPr>
                <w:rFonts w:ascii="Arial Narrow" w:hAnsi="Arial Narrow"/>
                <w:sz w:val="20"/>
                <w:szCs w:val="20"/>
              </w:rPr>
            </w:pPr>
            <w:r w:rsidRPr="00F573A7">
              <w:rPr>
                <w:rFonts w:ascii="Arial Narrow" w:hAnsi="Arial Narrow"/>
                <w:sz w:val="20"/>
                <w:szCs w:val="20"/>
              </w:rPr>
              <w:t>July 2021 – total number of CI negative patients treated with darolutamide (i.e. m0CRPC)</w:t>
            </w: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0A068C" w:rsidRPr="004B7986" w:rsidRDefault="004B7986" w:rsidP="003D070A">
            <w:pPr>
              <w:keepNext/>
              <w:keepLines/>
              <w:spacing w:before="0"/>
              <w:jc w:val="right"/>
              <w:rPr>
                <w:rFonts w:ascii="Arial Narrow" w:hAnsi="Arial Narrow" w:cs="Arial"/>
                <w:sz w:val="20"/>
                <w:szCs w:val="20"/>
              </w:rPr>
            </w:pPr>
            <w:r>
              <w:rPr>
                <w:rFonts w:ascii="Arial Narrow" w:hAnsi="Arial Narrow" w:cs="Calibri"/>
                <w:noProof/>
                <w:color w:val="000000"/>
                <w:sz w:val="20"/>
                <w:szCs w:val="20"/>
                <w:highlight w:val="black"/>
              </w:rPr>
              <w:t>'''''''''''''</w:t>
            </w:r>
            <w:r w:rsidR="0031611E" w:rsidRPr="00D12472">
              <w:rPr>
                <w:rFonts w:ascii="Arial Narrow" w:hAnsi="Arial Narrow"/>
                <w:sz w:val="20"/>
                <w:szCs w:val="20"/>
                <w:vertAlign w:val="superscript"/>
              </w:rPr>
              <w:t>1</w:t>
            </w: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0A068C" w:rsidRPr="004B7986" w:rsidRDefault="004B7986" w:rsidP="003D070A">
            <w:pPr>
              <w:keepNext/>
              <w:keepLines/>
              <w:spacing w:before="0"/>
              <w:jc w:val="right"/>
              <w:rPr>
                <w:rFonts w:ascii="Arial Narrow" w:hAnsi="Arial Narrow" w:cs="Arial"/>
                <w:sz w:val="20"/>
                <w:szCs w:val="20"/>
              </w:rPr>
            </w:pPr>
            <w:r>
              <w:rPr>
                <w:rFonts w:ascii="Arial Narrow" w:hAnsi="Arial Narrow" w:cs="Calibri"/>
                <w:noProof/>
                <w:color w:val="000000"/>
                <w:sz w:val="20"/>
                <w:szCs w:val="20"/>
                <w:highlight w:val="black"/>
              </w:rPr>
              <w:t>''''''''''''''</w:t>
            </w:r>
            <w:r w:rsidR="0031611E" w:rsidRPr="00D12472">
              <w:rPr>
                <w:rFonts w:ascii="Arial Narrow" w:hAnsi="Arial Narrow"/>
                <w:sz w:val="20"/>
                <w:szCs w:val="20"/>
                <w:vertAlign w:val="superscript"/>
              </w:rPr>
              <w:t>1</w:t>
            </w: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0A068C" w:rsidRPr="004B7986" w:rsidRDefault="004B7986" w:rsidP="003D070A">
            <w:pPr>
              <w:keepNext/>
              <w:keepLines/>
              <w:spacing w:before="0"/>
              <w:jc w:val="right"/>
              <w:rPr>
                <w:rFonts w:ascii="Arial Narrow" w:hAnsi="Arial Narrow" w:cs="Arial"/>
                <w:sz w:val="20"/>
                <w:szCs w:val="20"/>
              </w:rPr>
            </w:pPr>
            <w:r>
              <w:rPr>
                <w:rFonts w:ascii="Arial Narrow" w:hAnsi="Arial Narrow" w:cs="Calibri"/>
                <w:noProof/>
                <w:color w:val="000000"/>
                <w:sz w:val="20"/>
                <w:szCs w:val="20"/>
                <w:highlight w:val="black"/>
              </w:rPr>
              <w:t>''''''''''''''</w:t>
            </w:r>
            <w:r w:rsidR="0031611E" w:rsidRPr="00D12472">
              <w:rPr>
                <w:rFonts w:ascii="Arial Narrow" w:hAnsi="Arial Narrow"/>
                <w:sz w:val="20"/>
                <w:szCs w:val="20"/>
                <w:vertAlign w:val="superscript"/>
              </w:rPr>
              <w:t>1</w:t>
            </w: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0A068C" w:rsidRPr="004B7986" w:rsidRDefault="004B7986" w:rsidP="003D070A">
            <w:pPr>
              <w:keepNext/>
              <w:keepLines/>
              <w:spacing w:before="0"/>
              <w:jc w:val="right"/>
              <w:rPr>
                <w:rFonts w:ascii="Arial Narrow" w:hAnsi="Arial Narrow" w:cs="Arial"/>
                <w:sz w:val="20"/>
                <w:szCs w:val="20"/>
              </w:rPr>
            </w:pPr>
            <w:r>
              <w:rPr>
                <w:rFonts w:ascii="Arial Narrow" w:hAnsi="Arial Narrow" w:cs="Calibri"/>
                <w:noProof/>
                <w:color w:val="000000"/>
                <w:sz w:val="20"/>
                <w:szCs w:val="20"/>
                <w:highlight w:val="black"/>
              </w:rPr>
              <w:t>''''''''''''''</w:t>
            </w:r>
            <w:r w:rsidR="0031611E" w:rsidRPr="00D12472">
              <w:rPr>
                <w:rFonts w:ascii="Arial Narrow" w:hAnsi="Arial Narrow"/>
                <w:sz w:val="20"/>
                <w:szCs w:val="20"/>
                <w:vertAlign w:val="superscript"/>
              </w:rPr>
              <w:t>1</w:t>
            </w: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0A068C" w:rsidRPr="004B7986" w:rsidRDefault="004B7986" w:rsidP="003D070A">
            <w:pPr>
              <w:keepNext/>
              <w:keepLines/>
              <w:spacing w:before="0"/>
              <w:jc w:val="right"/>
              <w:rPr>
                <w:rFonts w:ascii="Arial Narrow" w:hAnsi="Arial Narrow" w:cs="Arial"/>
                <w:sz w:val="20"/>
                <w:szCs w:val="20"/>
              </w:rPr>
            </w:pPr>
            <w:r>
              <w:rPr>
                <w:rFonts w:ascii="Arial Narrow" w:hAnsi="Arial Narrow" w:cs="Calibri"/>
                <w:noProof/>
                <w:color w:val="000000"/>
                <w:sz w:val="20"/>
                <w:szCs w:val="20"/>
                <w:highlight w:val="black"/>
              </w:rPr>
              <w:t>'''''''''''''</w:t>
            </w:r>
            <w:r w:rsidR="0031611E" w:rsidRPr="00D12472">
              <w:rPr>
                <w:rFonts w:ascii="Arial Narrow" w:hAnsi="Arial Narrow"/>
                <w:sz w:val="20"/>
                <w:szCs w:val="20"/>
                <w:vertAlign w:val="superscript"/>
              </w:rPr>
              <w:t>1</w:t>
            </w: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0A068C" w:rsidRPr="004B7986" w:rsidRDefault="004B7986" w:rsidP="003D070A">
            <w:pPr>
              <w:keepNext/>
              <w:keepLines/>
              <w:spacing w:before="0"/>
              <w:jc w:val="right"/>
              <w:rPr>
                <w:rFonts w:ascii="Arial Narrow" w:hAnsi="Arial Narrow" w:cs="Arial"/>
                <w:sz w:val="20"/>
                <w:szCs w:val="20"/>
              </w:rPr>
            </w:pPr>
            <w:r>
              <w:rPr>
                <w:rFonts w:ascii="Arial Narrow" w:hAnsi="Arial Narrow" w:cs="Calibri"/>
                <w:noProof/>
                <w:color w:val="000000"/>
                <w:sz w:val="20"/>
                <w:szCs w:val="20"/>
                <w:highlight w:val="black"/>
              </w:rPr>
              <w:t>'''''''''''''</w:t>
            </w:r>
            <w:r w:rsidR="0031611E" w:rsidRPr="00D12472">
              <w:rPr>
                <w:rFonts w:ascii="Arial Narrow" w:hAnsi="Arial Narrow"/>
                <w:sz w:val="20"/>
                <w:szCs w:val="20"/>
                <w:vertAlign w:val="superscript"/>
              </w:rPr>
              <w:t>1</w:t>
            </w:r>
          </w:p>
        </w:tc>
      </w:tr>
      <w:tr w:rsidR="006D6787" w:rsidRPr="00F573A7" w:rsidTr="00964A6B">
        <w:trPr>
          <w:trHeight w:val="109"/>
        </w:trPr>
        <w:tc>
          <w:tcPr>
            <w:tcW w:w="481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D6787" w:rsidRPr="00F573A7" w:rsidRDefault="006D6787" w:rsidP="006D6787">
            <w:pPr>
              <w:keepNext/>
              <w:keepLines/>
              <w:spacing w:before="0"/>
              <w:jc w:val="left"/>
              <w:rPr>
                <w:rFonts w:ascii="Arial Narrow" w:eastAsia="Times New Roman" w:hAnsi="Arial Narrow"/>
                <w:sz w:val="20"/>
                <w:szCs w:val="20"/>
              </w:rPr>
            </w:pPr>
            <w:r w:rsidRPr="00F573A7">
              <w:rPr>
                <w:rFonts w:ascii="Arial Narrow" w:hAnsi="Arial Narrow"/>
                <w:sz w:val="20"/>
                <w:szCs w:val="20"/>
              </w:rPr>
              <w:t xml:space="preserve">March 2021 - total number of patients treated with darolutamide </w:t>
            </w: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6D6787" w:rsidRPr="004B7986" w:rsidRDefault="004B7986" w:rsidP="003D070A">
            <w:pPr>
              <w:keepNext/>
              <w:keepLines/>
              <w:spacing w:before="0"/>
              <w:jc w:val="right"/>
              <w:rPr>
                <w:rFonts w:ascii="Arial Narrow" w:eastAsia="Times New Roman" w:hAnsi="Arial Narrow"/>
                <w:sz w:val="20"/>
                <w:szCs w:val="20"/>
              </w:rPr>
            </w:pPr>
            <w:r>
              <w:rPr>
                <w:rFonts w:ascii="Arial Narrow" w:hAnsi="Arial Narrow" w:cs="Calibri"/>
                <w:noProof/>
                <w:color w:val="000000"/>
                <w:sz w:val="20"/>
                <w:szCs w:val="20"/>
                <w:highlight w:val="black"/>
              </w:rPr>
              <w:t>''''''''''''</w:t>
            </w:r>
            <w:r w:rsidR="0031611E" w:rsidRPr="00D12472">
              <w:rPr>
                <w:rFonts w:ascii="Arial Narrow" w:hAnsi="Arial Narrow"/>
                <w:sz w:val="20"/>
                <w:szCs w:val="20"/>
                <w:vertAlign w:val="superscript"/>
              </w:rPr>
              <w:t>1</w:t>
            </w: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6D6787" w:rsidRPr="004B7986" w:rsidRDefault="004B7986" w:rsidP="003D070A">
            <w:pPr>
              <w:keepNext/>
              <w:keepLines/>
              <w:spacing w:before="0"/>
              <w:jc w:val="right"/>
              <w:rPr>
                <w:rFonts w:ascii="Arial Narrow" w:eastAsia="Times New Roman" w:hAnsi="Arial Narrow"/>
                <w:sz w:val="20"/>
                <w:szCs w:val="20"/>
              </w:rPr>
            </w:pPr>
            <w:r>
              <w:rPr>
                <w:rFonts w:ascii="Arial Narrow" w:hAnsi="Arial Narrow" w:cs="Calibri"/>
                <w:noProof/>
                <w:color w:val="000000"/>
                <w:sz w:val="20"/>
                <w:szCs w:val="20"/>
                <w:highlight w:val="black"/>
              </w:rPr>
              <w:t>''''''''''''''</w:t>
            </w:r>
            <w:r w:rsidR="0031611E" w:rsidRPr="00D12472">
              <w:rPr>
                <w:rFonts w:ascii="Arial Narrow" w:hAnsi="Arial Narrow"/>
                <w:sz w:val="20"/>
                <w:szCs w:val="20"/>
                <w:vertAlign w:val="superscript"/>
              </w:rPr>
              <w:t>1</w:t>
            </w: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6D6787" w:rsidRPr="004B7986" w:rsidRDefault="004B7986" w:rsidP="003D070A">
            <w:pPr>
              <w:keepNext/>
              <w:keepLines/>
              <w:spacing w:before="0"/>
              <w:jc w:val="right"/>
              <w:rPr>
                <w:rFonts w:ascii="Arial Narrow" w:eastAsia="Times New Roman" w:hAnsi="Arial Narrow"/>
                <w:sz w:val="20"/>
                <w:szCs w:val="20"/>
              </w:rPr>
            </w:pPr>
            <w:r>
              <w:rPr>
                <w:rFonts w:ascii="Arial Narrow" w:hAnsi="Arial Narrow" w:cs="Calibri"/>
                <w:noProof/>
                <w:color w:val="000000"/>
                <w:sz w:val="20"/>
                <w:szCs w:val="20"/>
                <w:highlight w:val="black"/>
              </w:rPr>
              <w:t>''''''''''''''</w:t>
            </w:r>
            <w:r w:rsidR="0031611E" w:rsidRPr="00D12472">
              <w:rPr>
                <w:rFonts w:ascii="Arial Narrow" w:hAnsi="Arial Narrow"/>
                <w:sz w:val="20"/>
                <w:szCs w:val="20"/>
                <w:vertAlign w:val="superscript"/>
              </w:rPr>
              <w:t>1</w:t>
            </w: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6D6787" w:rsidRPr="004B7986" w:rsidRDefault="004B7986" w:rsidP="003D070A">
            <w:pPr>
              <w:keepNext/>
              <w:keepLines/>
              <w:spacing w:before="0"/>
              <w:jc w:val="right"/>
              <w:rPr>
                <w:rFonts w:ascii="Arial Narrow" w:eastAsia="Times New Roman" w:hAnsi="Arial Narrow"/>
                <w:sz w:val="20"/>
                <w:szCs w:val="20"/>
              </w:rPr>
            </w:pPr>
            <w:r>
              <w:rPr>
                <w:rFonts w:ascii="Arial Narrow" w:hAnsi="Arial Narrow" w:cs="Calibri"/>
                <w:noProof/>
                <w:color w:val="000000"/>
                <w:sz w:val="20"/>
                <w:szCs w:val="20"/>
                <w:highlight w:val="black"/>
              </w:rPr>
              <w:t>''''''''''''''</w:t>
            </w:r>
            <w:r w:rsidR="0031611E" w:rsidRPr="00D12472">
              <w:rPr>
                <w:rFonts w:ascii="Arial Narrow" w:hAnsi="Arial Narrow"/>
                <w:sz w:val="20"/>
                <w:szCs w:val="20"/>
                <w:vertAlign w:val="superscript"/>
              </w:rPr>
              <w:t>1</w:t>
            </w:r>
          </w:p>
        </w:tc>
        <w:tc>
          <w:tcPr>
            <w:tcW w:w="709"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6D6787" w:rsidRPr="004B7986" w:rsidRDefault="004B7986" w:rsidP="003D070A">
            <w:pPr>
              <w:keepNext/>
              <w:keepLines/>
              <w:spacing w:before="0"/>
              <w:jc w:val="right"/>
              <w:rPr>
                <w:rFonts w:ascii="Arial Narrow" w:eastAsia="Times New Roman" w:hAnsi="Arial Narrow"/>
                <w:sz w:val="20"/>
                <w:szCs w:val="20"/>
              </w:rPr>
            </w:pPr>
            <w:r>
              <w:rPr>
                <w:rFonts w:ascii="Arial Narrow" w:hAnsi="Arial Narrow" w:cs="Calibri"/>
                <w:noProof/>
                <w:color w:val="000000"/>
                <w:sz w:val="20"/>
                <w:szCs w:val="20"/>
                <w:highlight w:val="black"/>
              </w:rPr>
              <w:t>'''''''''''''</w:t>
            </w:r>
            <w:r w:rsidR="0031611E" w:rsidRPr="00D12472">
              <w:rPr>
                <w:rFonts w:ascii="Arial Narrow" w:hAnsi="Arial Narrow"/>
                <w:sz w:val="20"/>
                <w:szCs w:val="20"/>
                <w:vertAlign w:val="superscript"/>
              </w:rPr>
              <w:t>1</w:t>
            </w:r>
          </w:p>
        </w:tc>
        <w:tc>
          <w:tcPr>
            <w:tcW w:w="708"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6D6787" w:rsidRPr="004B7986" w:rsidRDefault="004B7986" w:rsidP="003D070A">
            <w:pPr>
              <w:keepNext/>
              <w:keepLines/>
              <w:spacing w:before="0"/>
              <w:jc w:val="right"/>
              <w:rPr>
                <w:rFonts w:ascii="Arial Narrow" w:eastAsia="Times New Roman" w:hAnsi="Arial Narrow"/>
                <w:sz w:val="20"/>
                <w:szCs w:val="20"/>
              </w:rPr>
            </w:pPr>
            <w:r>
              <w:rPr>
                <w:rFonts w:ascii="Arial Narrow" w:hAnsi="Arial Narrow" w:cs="Calibri"/>
                <w:noProof/>
                <w:color w:val="000000"/>
                <w:sz w:val="20"/>
                <w:szCs w:val="20"/>
                <w:highlight w:val="black"/>
              </w:rPr>
              <w:t>'''''''''''''</w:t>
            </w:r>
            <w:r w:rsidR="0031611E" w:rsidRPr="00D12472">
              <w:rPr>
                <w:rFonts w:ascii="Arial Narrow" w:hAnsi="Arial Narrow"/>
                <w:sz w:val="20"/>
                <w:szCs w:val="20"/>
                <w:vertAlign w:val="superscript"/>
              </w:rPr>
              <w:t>1</w:t>
            </w:r>
          </w:p>
        </w:tc>
      </w:tr>
    </w:tbl>
    <w:p w:rsidR="00A50569" w:rsidRPr="00F573A7" w:rsidRDefault="006D6787" w:rsidP="0072501C">
      <w:pPr>
        <w:pStyle w:val="3-BodyText"/>
        <w:numPr>
          <w:ilvl w:val="0"/>
          <w:numId w:val="0"/>
        </w:numPr>
        <w:spacing w:after="0"/>
        <w:rPr>
          <w:rFonts w:ascii="Arial Narrow" w:hAnsi="Arial Narrow"/>
          <w:sz w:val="18"/>
          <w:szCs w:val="18"/>
        </w:rPr>
      </w:pPr>
      <w:r w:rsidRPr="00F573A7">
        <w:rPr>
          <w:rFonts w:ascii="Arial Narrow" w:hAnsi="Arial Narrow"/>
          <w:sz w:val="18"/>
          <w:szCs w:val="18"/>
        </w:rPr>
        <w:t>Source: Compiled during preparation of the submission overview</w:t>
      </w:r>
    </w:p>
    <w:p w:rsidR="0072501C" w:rsidRPr="00F573A7" w:rsidRDefault="00964A6B" w:rsidP="0072501C">
      <w:pPr>
        <w:rPr>
          <w:rFonts w:ascii="Arial Narrow" w:hAnsi="Arial Narrow"/>
          <w:sz w:val="18"/>
          <w:szCs w:val="18"/>
        </w:rPr>
      </w:pPr>
      <w:r w:rsidRPr="00F573A7">
        <w:rPr>
          <w:rFonts w:ascii="Arial Narrow" w:hAnsi="Arial Narrow"/>
          <w:sz w:val="18"/>
          <w:szCs w:val="18"/>
        </w:rPr>
        <w:t>a Does not include grandfather patients in Year 1</w:t>
      </w:r>
    </w:p>
    <w:p w:rsidR="0031611E" w:rsidRPr="009A6D58" w:rsidRDefault="0031611E" w:rsidP="0031611E">
      <w:pPr>
        <w:rPr>
          <w:rFonts w:ascii="Arial Narrow" w:hAnsi="Arial Narrow" w:cs="Arial"/>
          <w:i/>
          <w:sz w:val="18"/>
          <w:szCs w:val="18"/>
        </w:rPr>
      </w:pPr>
      <w:r w:rsidRPr="009A6D58">
        <w:rPr>
          <w:rFonts w:ascii="Arial Narrow" w:hAnsi="Arial Narrow" w:cs="Arial"/>
          <w:i/>
          <w:sz w:val="18"/>
          <w:szCs w:val="18"/>
        </w:rPr>
        <w:t xml:space="preserve">The redacted values correspond to the following ranges: </w:t>
      </w:r>
    </w:p>
    <w:p w:rsidR="0031611E" w:rsidRPr="009A6D58" w:rsidRDefault="0031611E" w:rsidP="0031611E">
      <w:pPr>
        <w:rPr>
          <w:rFonts w:ascii="Arial Narrow" w:hAnsi="Arial Narrow" w:cs="Arial"/>
          <w:i/>
          <w:sz w:val="18"/>
          <w:szCs w:val="18"/>
        </w:rPr>
      </w:pPr>
      <w:r w:rsidRPr="009A6D58">
        <w:rPr>
          <w:rFonts w:ascii="Arial Narrow" w:hAnsi="Arial Narrow" w:cs="Arial"/>
          <w:i/>
          <w:sz w:val="18"/>
          <w:szCs w:val="18"/>
          <w:vertAlign w:val="superscript"/>
        </w:rPr>
        <w:t>1</w:t>
      </w:r>
      <w:r>
        <w:rPr>
          <w:rFonts w:ascii="Arial Narrow" w:hAnsi="Arial Narrow" w:cs="Arial"/>
          <w:i/>
          <w:sz w:val="18"/>
          <w:szCs w:val="18"/>
        </w:rPr>
        <w:t xml:space="preserve"> </w:t>
      </w:r>
      <w:r w:rsidRPr="0031611E">
        <w:rPr>
          <w:rFonts w:ascii="Arial Narrow" w:hAnsi="Arial Narrow" w:cs="Arial"/>
          <w:i/>
          <w:sz w:val="18"/>
          <w:szCs w:val="18"/>
        </w:rPr>
        <w:t>500 to &lt; 5,000</w:t>
      </w:r>
    </w:p>
    <w:p w:rsidR="00964A6B" w:rsidRPr="00F573A7" w:rsidRDefault="00964A6B" w:rsidP="0072501C"/>
    <w:p w:rsidR="0072501C" w:rsidRPr="00F573A7" w:rsidRDefault="00E75F56" w:rsidP="00F627C7">
      <w:pPr>
        <w:pStyle w:val="3-BodyText"/>
      </w:pPr>
      <w:r w:rsidRPr="00F573A7">
        <w:t>The estimated financial impact of darolutamide across the four eligible patient populations is presented below.</w:t>
      </w:r>
    </w:p>
    <w:p w:rsidR="00364F59" w:rsidRPr="00F573A7" w:rsidRDefault="00364F59" w:rsidP="0006229B">
      <w:pPr>
        <w:pStyle w:val="TableFigureHeading"/>
      </w:pPr>
      <w:r w:rsidRPr="00F573A7">
        <w:t xml:space="preserve">Table </w:t>
      </w:r>
      <w:r w:rsidR="006D6787" w:rsidRPr="00F573A7">
        <w:t>9</w:t>
      </w:r>
      <w:r w:rsidRPr="00F573A7">
        <w:t>: Total number of patients eligible for and treated with darolutamide on the PBS/</w:t>
      </w:r>
      <w:proofErr w:type="spellStart"/>
      <w:r w:rsidRPr="00F573A7">
        <w:t>RPBS</w:t>
      </w:r>
      <w:r w:rsidR="00E1195D" w:rsidRPr="00F573A7">
        <w:rPr>
          <w:vertAlign w:val="superscript"/>
        </w:rPr>
        <w:t>a</w:t>
      </w:r>
      <w:proofErr w:type="spellEnd"/>
    </w:p>
    <w:tbl>
      <w:tblPr>
        <w:tblStyle w:val="TableGrid1"/>
        <w:tblW w:w="5189" w:type="pct"/>
        <w:tblInd w:w="-289" w:type="dxa"/>
        <w:tblLayout w:type="fixed"/>
        <w:tblLook w:val="04A0" w:firstRow="1" w:lastRow="0" w:firstColumn="1" w:lastColumn="0" w:noHBand="0" w:noVBand="1"/>
        <w:tblCaption w:val="Table 9: Total number of patients eligible for and treated with darolutamide on the PBS/RPBSa"/>
      </w:tblPr>
      <w:tblGrid>
        <w:gridCol w:w="994"/>
        <w:gridCol w:w="1134"/>
        <w:gridCol w:w="1134"/>
        <w:gridCol w:w="1276"/>
        <w:gridCol w:w="1134"/>
        <w:gridCol w:w="1276"/>
        <w:gridCol w:w="1133"/>
        <w:gridCol w:w="1276"/>
      </w:tblGrid>
      <w:tr w:rsidR="003C35B3" w:rsidRPr="00F573A7" w:rsidTr="00C07E24">
        <w:trPr>
          <w:trHeight w:val="252"/>
          <w:tblHeader/>
        </w:trPr>
        <w:tc>
          <w:tcPr>
            <w:tcW w:w="994"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E75F56" w:rsidRPr="00F573A7" w:rsidRDefault="00E75F56" w:rsidP="0006229B">
            <w:pPr>
              <w:keepNext/>
              <w:keepLines/>
              <w:spacing w:before="60"/>
              <w:rPr>
                <w:rFonts w:ascii="Arial Narrow" w:eastAsia="Times New Roman" w:hAnsi="Arial Narrow"/>
                <w:b/>
                <w:bCs/>
                <w:sz w:val="20"/>
                <w:szCs w:val="20"/>
              </w:rPr>
            </w:pPr>
            <w:r w:rsidRPr="00F573A7">
              <w:rPr>
                <w:rFonts w:ascii="Arial Narrow" w:hAnsi="Arial Narrow"/>
                <w:b/>
                <w:bCs/>
                <w:sz w:val="20"/>
                <w:szCs w:val="20"/>
              </w:rPr>
              <w:t>Parameter</w:t>
            </w:r>
          </w:p>
        </w:tc>
        <w:tc>
          <w:tcPr>
            <w:tcW w:w="113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rsidR="00E75F56" w:rsidRPr="00F573A7" w:rsidRDefault="00964A6B" w:rsidP="0006229B">
            <w:pPr>
              <w:keepNext/>
              <w:keepLines/>
              <w:spacing w:before="60"/>
              <w:jc w:val="center"/>
              <w:rPr>
                <w:rFonts w:ascii="Arial Narrow" w:eastAsia="Times New Roman" w:hAnsi="Arial Narrow"/>
                <w:b/>
                <w:bCs/>
                <w:sz w:val="20"/>
                <w:szCs w:val="20"/>
              </w:rPr>
            </w:pPr>
            <w:r w:rsidRPr="00F573A7">
              <w:rPr>
                <w:rFonts w:ascii="Arial Narrow" w:hAnsi="Arial Narrow"/>
                <w:b/>
                <w:bCs/>
                <w:sz w:val="20"/>
                <w:szCs w:val="20"/>
              </w:rPr>
              <w:t>2022</w:t>
            </w:r>
          </w:p>
        </w:tc>
        <w:tc>
          <w:tcPr>
            <w:tcW w:w="113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rsidR="00E75F56" w:rsidRPr="00F573A7" w:rsidRDefault="00964A6B" w:rsidP="0006229B">
            <w:pPr>
              <w:keepNext/>
              <w:keepLines/>
              <w:spacing w:before="60"/>
              <w:jc w:val="center"/>
              <w:rPr>
                <w:rFonts w:ascii="Arial Narrow" w:eastAsia="Times New Roman" w:hAnsi="Arial Narrow"/>
                <w:b/>
                <w:bCs/>
                <w:sz w:val="20"/>
                <w:szCs w:val="20"/>
              </w:rPr>
            </w:pPr>
            <w:r w:rsidRPr="00F573A7">
              <w:rPr>
                <w:rFonts w:ascii="Arial Narrow" w:hAnsi="Arial Narrow"/>
                <w:b/>
                <w:bCs/>
                <w:sz w:val="20"/>
                <w:szCs w:val="20"/>
              </w:rPr>
              <w:t>2023</w:t>
            </w:r>
          </w:p>
        </w:tc>
        <w:tc>
          <w:tcPr>
            <w:tcW w:w="1276"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rsidR="00E75F56" w:rsidRPr="00F573A7" w:rsidRDefault="00964A6B" w:rsidP="0006229B">
            <w:pPr>
              <w:keepNext/>
              <w:keepLines/>
              <w:spacing w:before="60"/>
              <w:jc w:val="center"/>
              <w:rPr>
                <w:rFonts w:ascii="Arial Narrow" w:eastAsia="Times New Roman" w:hAnsi="Arial Narrow"/>
                <w:b/>
                <w:bCs/>
                <w:sz w:val="20"/>
                <w:szCs w:val="20"/>
              </w:rPr>
            </w:pPr>
            <w:r w:rsidRPr="00F573A7">
              <w:rPr>
                <w:rFonts w:ascii="Arial Narrow" w:hAnsi="Arial Narrow"/>
                <w:b/>
                <w:bCs/>
                <w:sz w:val="20"/>
                <w:szCs w:val="20"/>
              </w:rPr>
              <w:t>2024</w:t>
            </w:r>
          </w:p>
        </w:tc>
        <w:tc>
          <w:tcPr>
            <w:tcW w:w="113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rsidR="00E75F56" w:rsidRPr="00F573A7" w:rsidRDefault="00964A6B" w:rsidP="0006229B">
            <w:pPr>
              <w:keepNext/>
              <w:keepLines/>
              <w:spacing w:before="60"/>
              <w:jc w:val="center"/>
              <w:rPr>
                <w:rFonts w:ascii="Arial Narrow" w:eastAsia="Times New Roman" w:hAnsi="Arial Narrow"/>
                <w:b/>
                <w:bCs/>
                <w:sz w:val="20"/>
                <w:szCs w:val="20"/>
              </w:rPr>
            </w:pPr>
            <w:r w:rsidRPr="00F573A7">
              <w:rPr>
                <w:rFonts w:ascii="Arial Narrow" w:hAnsi="Arial Narrow"/>
                <w:b/>
                <w:bCs/>
                <w:sz w:val="20"/>
                <w:szCs w:val="20"/>
              </w:rPr>
              <w:t>2025</w:t>
            </w:r>
          </w:p>
        </w:tc>
        <w:tc>
          <w:tcPr>
            <w:tcW w:w="1276"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rsidR="00E75F56" w:rsidRPr="00F573A7" w:rsidRDefault="00964A6B" w:rsidP="0006229B">
            <w:pPr>
              <w:keepNext/>
              <w:keepLines/>
              <w:spacing w:before="60"/>
              <w:jc w:val="center"/>
              <w:rPr>
                <w:rFonts w:ascii="Arial Narrow" w:eastAsia="Times New Roman" w:hAnsi="Arial Narrow"/>
                <w:b/>
                <w:bCs/>
                <w:sz w:val="20"/>
                <w:szCs w:val="20"/>
              </w:rPr>
            </w:pPr>
            <w:r w:rsidRPr="00F573A7">
              <w:rPr>
                <w:rFonts w:ascii="Arial Narrow" w:hAnsi="Arial Narrow"/>
                <w:b/>
                <w:bCs/>
                <w:sz w:val="20"/>
                <w:szCs w:val="20"/>
              </w:rPr>
              <w:t>2026</w:t>
            </w:r>
          </w:p>
        </w:tc>
        <w:tc>
          <w:tcPr>
            <w:tcW w:w="113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rsidR="00E75F56" w:rsidRPr="00F573A7" w:rsidRDefault="00964A6B" w:rsidP="0006229B">
            <w:pPr>
              <w:keepNext/>
              <w:keepLines/>
              <w:spacing w:before="60"/>
              <w:jc w:val="center"/>
              <w:rPr>
                <w:rFonts w:ascii="Arial Narrow" w:eastAsia="Times New Roman" w:hAnsi="Arial Narrow"/>
                <w:b/>
                <w:bCs/>
                <w:sz w:val="20"/>
                <w:szCs w:val="20"/>
              </w:rPr>
            </w:pPr>
            <w:r w:rsidRPr="00F573A7">
              <w:rPr>
                <w:rFonts w:ascii="Arial Narrow" w:hAnsi="Arial Narrow"/>
                <w:b/>
                <w:bCs/>
                <w:sz w:val="20"/>
                <w:szCs w:val="20"/>
              </w:rPr>
              <w:t>2027</w:t>
            </w:r>
          </w:p>
        </w:tc>
        <w:tc>
          <w:tcPr>
            <w:tcW w:w="1276"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E75F56" w:rsidRPr="00F573A7" w:rsidRDefault="00E75F56" w:rsidP="0006229B">
            <w:pPr>
              <w:keepNext/>
              <w:keepLines/>
              <w:spacing w:before="60"/>
              <w:jc w:val="center"/>
              <w:rPr>
                <w:rFonts w:ascii="Arial Narrow" w:eastAsia="Times New Roman" w:hAnsi="Arial Narrow"/>
                <w:b/>
                <w:bCs/>
                <w:sz w:val="20"/>
                <w:szCs w:val="20"/>
              </w:rPr>
            </w:pPr>
            <w:r w:rsidRPr="00F573A7">
              <w:rPr>
                <w:rFonts w:ascii="Arial Narrow" w:hAnsi="Arial Narrow"/>
                <w:b/>
                <w:bCs/>
                <w:sz w:val="20"/>
                <w:szCs w:val="20"/>
              </w:rPr>
              <w:t>Source</w:t>
            </w:r>
            <w:r w:rsidR="003C35B3" w:rsidRPr="00F573A7">
              <w:rPr>
                <w:rFonts w:ascii="Arial Narrow" w:hAnsi="Arial Narrow"/>
                <w:b/>
                <w:bCs/>
                <w:sz w:val="20"/>
                <w:szCs w:val="20"/>
              </w:rPr>
              <w:t>/</w:t>
            </w:r>
            <w:r w:rsidR="00AE0F58" w:rsidRPr="00F573A7">
              <w:rPr>
                <w:rFonts w:ascii="Arial Narrow" w:hAnsi="Arial Narrow"/>
                <w:b/>
                <w:bCs/>
                <w:sz w:val="20"/>
                <w:szCs w:val="20"/>
              </w:rPr>
              <w:br/>
            </w:r>
            <w:r w:rsidRPr="00F573A7">
              <w:rPr>
                <w:rFonts w:ascii="Arial Narrow" w:hAnsi="Arial Narrow"/>
                <w:b/>
                <w:bCs/>
                <w:sz w:val="20"/>
                <w:szCs w:val="20"/>
              </w:rPr>
              <w:t>calculation</w:t>
            </w:r>
          </w:p>
        </w:tc>
      </w:tr>
      <w:tr w:rsidR="00E75F56" w:rsidRPr="00F573A7" w:rsidTr="00C07E24">
        <w:trPr>
          <w:trHeight w:val="46"/>
        </w:trPr>
        <w:tc>
          <w:tcPr>
            <w:tcW w:w="9357" w:type="dxa"/>
            <w:gridSpan w:val="8"/>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E75F56" w:rsidRPr="00F573A7" w:rsidRDefault="00E75F56" w:rsidP="0006229B">
            <w:pPr>
              <w:keepNext/>
              <w:keepLines/>
              <w:spacing w:before="60"/>
              <w:jc w:val="left"/>
              <w:rPr>
                <w:rFonts w:ascii="Arial Narrow" w:eastAsia="Times New Roman" w:hAnsi="Arial Narrow"/>
                <w:sz w:val="20"/>
                <w:szCs w:val="20"/>
              </w:rPr>
            </w:pPr>
            <w:r w:rsidRPr="00F573A7">
              <w:rPr>
                <w:rFonts w:ascii="Arial Narrow" w:hAnsi="Arial Narrow"/>
                <w:b/>
                <w:bCs/>
                <w:sz w:val="20"/>
                <w:szCs w:val="20"/>
              </w:rPr>
              <w:t>CRPC</w:t>
            </w:r>
            <w:r w:rsidR="003C35B3" w:rsidRPr="00F573A7">
              <w:rPr>
                <w:rFonts w:ascii="Arial Narrow" w:hAnsi="Arial Narrow"/>
                <w:b/>
                <w:bCs/>
                <w:sz w:val="20"/>
                <w:szCs w:val="20"/>
              </w:rPr>
              <w:t>;</w:t>
            </w:r>
            <w:r w:rsidRPr="00F573A7">
              <w:rPr>
                <w:rFonts w:ascii="Arial Narrow" w:hAnsi="Arial Narrow"/>
                <w:b/>
                <w:bCs/>
                <w:sz w:val="20"/>
                <w:szCs w:val="20"/>
              </w:rPr>
              <w:t xml:space="preserve"> CI negative</w:t>
            </w:r>
            <w:r w:rsidR="003C35B3" w:rsidRPr="00F573A7">
              <w:rPr>
                <w:rFonts w:ascii="Arial Narrow" w:hAnsi="Arial Narrow"/>
                <w:b/>
                <w:bCs/>
                <w:sz w:val="20"/>
                <w:szCs w:val="20"/>
              </w:rPr>
              <w:t xml:space="preserve">; </w:t>
            </w:r>
            <w:r w:rsidRPr="00F573A7">
              <w:rPr>
                <w:rFonts w:ascii="Arial Narrow" w:hAnsi="Arial Narrow"/>
                <w:b/>
                <w:bCs/>
                <w:sz w:val="20"/>
                <w:szCs w:val="20"/>
              </w:rPr>
              <w:t xml:space="preserve">No PSMA-PET </w:t>
            </w:r>
          </w:p>
        </w:tc>
      </w:tr>
      <w:tr w:rsidR="00AE0F58" w:rsidRPr="00F573A7" w:rsidTr="00C07E24">
        <w:trPr>
          <w:trHeight w:val="197"/>
        </w:trPr>
        <w:tc>
          <w:tcPr>
            <w:tcW w:w="994" w:type="dxa"/>
            <w:tcBorders>
              <w:top w:val="single" w:sz="4" w:space="0" w:color="auto"/>
              <w:left w:val="single" w:sz="4" w:space="0" w:color="auto"/>
              <w:right w:val="single" w:sz="4" w:space="0" w:color="auto"/>
            </w:tcBorders>
            <w:tcMar>
              <w:left w:w="28" w:type="dxa"/>
              <w:right w:w="28" w:type="dxa"/>
            </w:tcMar>
            <w:vAlign w:val="center"/>
          </w:tcPr>
          <w:p w:rsidR="00AE0F58" w:rsidRPr="00F573A7" w:rsidRDefault="00AE0F58" w:rsidP="006D6787">
            <w:pPr>
              <w:keepNext/>
              <w:keepLines/>
              <w:spacing w:before="0"/>
              <w:jc w:val="left"/>
              <w:rPr>
                <w:rFonts w:ascii="Arial Narrow" w:eastAsia="Times New Roman" w:hAnsi="Arial Narrow"/>
                <w:iCs/>
                <w:sz w:val="20"/>
                <w:szCs w:val="20"/>
              </w:rPr>
            </w:pPr>
            <w:r w:rsidRPr="00F573A7">
              <w:rPr>
                <w:rFonts w:ascii="Arial Narrow" w:hAnsi="Arial Narrow"/>
                <w:iCs/>
                <w:sz w:val="20"/>
                <w:szCs w:val="20"/>
              </w:rPr>
              <w:t xml:space="preserve">Patients treated </w:t>
            </w:r>
          </w:p>
        </w:tc>
        <w:tc>
          <w:tcPr>
            <w:tcW w:w="1134" w:type="dxa"/>
            <w:tcBorders>
              <w:top w:val="single" w:sz="4" w:space="0" w:color="auto"/>
              <w:left w:val="single" w:sz="4" w:space="0" w:color="auto"/>
              <w:right w:val="single" w:sz="4" w:space="0" w:color="auto"/>
            </w:tcBorders>
            <w:noWrap/>
            <w:tcMar>
              <w:left w:w="28" w:type="dxa"/>
              <w:right w:w="28" w:type="dxa"/>
            </w:tcMar>
            <w:vAlign w:val="center"/>
          </w:tcPr>
          <w:p w:rsidR="00AE0F58" w:rsidRPr="004B7986" w:rsidRDefault="004B7986" w:rsidP="003D070A">
            <w:pPr>
              <w:keepNext/>
              <w:keepLines/>
              <w:spacing w:before="0"/>
              <w:jc w:val="right"/>
              <w:rPr>
                <w:rFonts w:ascii="Arial Narrow" w:eastAsia="Times New Roman" w:hAnsi="Arial Narrow"/>
                <w:i/>
                <w:iCs/>
                <w:color w:val="4BACC6" w:themeColor="accent5"/>
                <w:sz w:val="20"/>
                <w:szCs w:val="20"/>
                <w:vertAlign w:val="superscript"/>
              </w:rPr>
            </w:pPr>
            <w:r>
              <w:rPr>
                <w:rFonts w:ascii="Arial Narrow" w:hAnsi="Arial Narrow" w:cs="Calibri"/>
                <w:noProof/>
                <w:color w:val="000000"/>
                <w:sz w:val="20"/>
                <w:szCs w:val="20"/>
                <w:highlight w:val="black"/>
              </w:rPr>
              <w:t>'''''''''</w:t>
            </w:r>
            <w:r w:rsidR="009F01BB" w:rsidRPr="000E7FF4">
              <w:rPr>
                <w:rFonts w:ascii="Arial Narrow" w:hAnsi="Arial Narrow" w:cs="Calibri"/>
                <w:color w:val="000000"/>
                <w:sz w:val="20"/>
                <w:szCs w:val="20"/>
                <w:vertAlign w:val="superscript"/>
              </w:rPr>
              <w:t>1</w:t>
            </w:r>
          </w:p>
        </w:tc>
        <w:tc>
          <w:tcPr>
            <w:tcW w:w="1134" w:type="dxa"/>
            <w:tcBorders>
              <w:top w:val="single" w:sz="4" w:space="0" w:color="auto"/>
              <w:left w:val="single" w:sz="4" w:space="0" w:color="auto"/>
              <w:right w:val="single" w:sz="4" w:space="0" w:color="auto"/>
            </w:tcBorders>
            <w:noWrap/>
            <w:tcMar>
              <w:left w:w="28" w:type="dxa"/>
              <w:right w:w="28" w:type="dxa"/>
            </w:tcMar>
            <w:vAlign w:val="center"/>
          </w:tcPr>
          <w:p w:rsidR="00AE0F58" w:rsidRPr="004B7986" w:rsidRDefault="004B7986" w:rsidP="003D070A">
            <w:pPr>
              <w:keepNext/>
              <w:keepLines/>
              <w:spacing w:before="0"/>
              <w:jc w:val="right"/>
              <w:rPr>
                <w:rFonts w:ascii="Arial Narrow" w:eastAsia="Times New Roman" w:hAnsi="Arial Narrow"/>
                <w:i/>
                <w:iCs/>
                <w:color w:val="4BACC6" w:themeColor="accent5"/>
                <w:sz w:val="20"/>
                <w:szCs w:val="20"/>
              </w:rPr>
            </w:pPr>
            <w:r>
              <w:rPr>
                <w:rFonts w:ascii="Arial Narrow" w:hAnsi="Arial Narrow" w:cs="Calibri"/>
                <w:noProof/>
                <w:color w:val="000000"/>
                <w:sz w:val="20"/>
                <w:szCs w:val="20"/>
                <w:highlight w:val="black"/>
              </w:rPr>
              <w:t>''''''''</w:t>
            </w:r>
            <w:r w:rsidR="009F01BB" w:rsidRPr="00D12472">
              <w:rPr>
                <w:rFonts w:ascii="Arial Narrow" w:hAnsi="Arial Narrow" w:cs="Calibri"/>
                <w:color w:val="000000"/>
                <w:sz w:val="20"/>
                <w:szCs w:val="20"/>
                <w:vertAlign w:val="superscript"/>
              </w:rPr>
              <w:t>1</w:t>
            </w:r>
          </w:p>
        </w:tc>
        <w:tc>
          <w:tcPr>
            <w:tcW w:w="1276" w:type="dxa"/>
            <w:tcBorders>
              <w:top w:val="single" w:sz="4" w:space="0" w:color="auto"/>
              <w:left w:val="single" w:sz="4" w:space="0" w:color="auto"/>
              <w:right w:val="single" w:sz="4" w:space="0" w:color="auto"/>
            </w:tcBorders>
            <w:noWrap/>
            <w:tcMar>
              <w:left w:w="28" w:type="dxa"/>
              <w:right w:w="28" w:type="dxa"/>
            </w:tcMar>
            <w:vAlign w:val="center"/>
          </w:tcPr>
          <w:p w:rsidR="00AE0F58" w:rsidRPr="004B7986" w:rsidRDefault="004B7986" w:rsidP="003D070A">
            <w:pPr>
              <w:keepNext/>
              <w:keepLines/>
              <w:spacing w:before="0"/>
              <w:jc w:val="right"/>
              <w:rPr>
                <w:rFonts w:ascii="Arial Narrow" w:eastAsia="Times New Roman" w:hAnsi="Arial Narrow"/>
                <w:i/>
                <w:iCs/>
                <w:color w:val="4BACC6" w:themeColor="accent5"/>
                <w:sz w:val="20"/>
                <w:szCs w:val="20"/>
              </w:rPr>
            </w:pPr>
            <w:r>
              <w:rPr>
                <w:rFonts w:ascii="Arial Narrow" w:hAnsi="Arial Narrow" w:cs="Calibri"/>
                <w:noProof/>
                <w:color w:val="000000"/>
                <w:sz w:val="20"/>
                <w:szCs w:val="20"/>
                <w:highlight w:val="black"/>
              </w:rPr>
              <w:t>''''''''''</w:t>
            </w:r>
            <w:r w:rsidR="009F01BB" w:rsidRPr="00D12472">
              <w:rPr>
                <w:rFonts w:ascii="Arial Narrow" w:hAnsi="Arial Narrow" w:cs="Calibri"/>
                <w:color w:val="000000"/>
                <w:sz w:val="20"/>
                <w:szCs w:val="20"/>
                <w:vertAlign w:val="superscript"/>
              </w:rPr>
              <w:t>1</w:t>
            </w:r>
          </w:p>
        </w:tc>
        <w:tc>
          <w:tcPr>
            <w:tcW w:w="1134" w:type="dxa"/>
            <w:tcBorders>
              <w:top w:val="single" w:sz="4" w:space="0" w:color="auto"/>
              <w:left w:val="single" w:sz="4" w:space="0" w:color="auto"/>
              <w:right w:val="single" w:sz="4" w:space="0" w:color="auto"/>
            </w:tcBorders>
            <w:noWrap/>
            <w:tcMar>
              <w:left w:w="28" w:type="dxa"/>
              <w:right w:w="28" w:type="dxa"/>
            </w:tcMar>
            <w:vAlign w:val="center"/>
          </w:tcPr>
          <w:p w:rsidR="00AE0F58" w:rsidRPr="004B7986" w:rsidRDefault="004B7986" w:rsidP="003D070A">
            <w:pPr>
              <w:keepNext/>
              <w:keepLines/>
              <w:spacing w:before="0"/>
              <w:jc w:val="right"/>
              <w:rPr>
                <w:rFonts w:ascii="Arial Narrow" w:eastAsia="Times New Roman" w:hAnsi="Arial Narrow"/>
                <w:i/>
                <w:iCs/>
                <w:color w:val="4BACC6" w:themeColor="accent5"/>
                <w:sz w:val="20"/>
                <w:szCs w:val="20"/>
              </w:rPr>
            </w:pPr>
            <w:r>
              <w:rPr>
                <w:rFonts w:ascii="Arial Narrow" w:hAnsi="Arial Narrow" w:cs="Calibri"/>
                <w:noProof/>
                <w:color w:val="000000"/>
                <w:sz w:val="20"/>
                <w:szCs w:val="20"/>
                <w:highlight w:val="black"/>
              </w:rPr>
              <w:t>'''''''''</w:t>
            </w:r>
            <w:r w:rsidR="009F01BB" w:rsidRPr="00D12472">
              <w:rPr>
                <w:rFonts w:ascii="Arial Narrow" w:hAnsi="Arial Narrow" w:cs="Calibri"/>
                <w:color w:val="000000"/>
                <w:sz w:val="20"/>
                <w:szCs w:val="20"/>
                <w:vertAlign w:val="superscript"/>
              </w:rPr>
              <w:t>1</w:t>
            </w:r>
          </w:p>
        </w:tc>
        <w:tc>
          <w:tcPr>
            <w:tcW w:w="1276" w:type="dxa"/>
            <w:tcBorders>
              <w:top w:val="single" w:sz="4" w:space="0" w:color="auto"/>
              <w:left w:val="single" w:sz="4" w:space="0" w:color="auto"/>
              <w:right w:val="single" w:sz="4" w:space="0" w:color="auto"/>
            </w:tcBorders>
            <w:noWrap/>
            <w:tcMar>
              <w:left w:w="28" w:type="dxa"/>
              <w:right w:w="28" w:type="dxa"/>
            </w:tcMar>
            <w:vAlign w:val="center"/>
          </w:tcPr>
          <w:p w:rsidR="00AE0F58" w:rsidRPr="004B7986" w:rsidRDefault="004B7986" w:rsidP="003D070A">
            <w:pPr>
              <w:keepNext/>
              <w:keepLines/>
              <w:spacing w:before="0"/>
              <w:jc w:val="right"/>
              <w:rPr>
                <w:rFonts w:ascii="Arial Narrow" w:eastAsia="Times New Roman" w:hAnsi="Arial Narrow"/>
                <w:i/>
                <w:iCs/>
                <w:color w:val="4BACC6" w:themeColor="accent5"/>
                <w:sz w:val="20"/>
                <w:szCs w:val="20"/>
              </w:rPr>
            </w:pPr>
            <w:r>
              <w:rPr>
                <w:rFonts w:ascii="Arial Narrow" w:hAnsi="Arial Narrow" w:cs="Calibri"/>
                <w:noProof/>
                <w:color w:val="000000"/>
                <w:sz w:val="20"/>
                <w:szCs w:val="20"/>
                <w:highlight w:val="black"/>
              </w:rPr>
              <w:t>''''''''''</w:t>
            </w:r>
            <w:r w:rsidR="009F01BB" w:rsidRPr="00D12472">
              <w:rPr>
                <w:rFonts w:ascii="Arial Narrow" w:hAnsi="Arial Narrow" w:cs="Calibri"/>
                <w:color w:val="000000"/>
                <w:sz w:val="20"/>
                <w:szCs w:val="20"/>
                <w:vertAlign w:val="superscript"/>
              </w:rPr>
              <w:t>1</w:t>
            </w:r>
          </w:p>
        </w:tc>
        <w:tc>
          <w:tcPr>
            <w:tcW w:w="1133" w:type="dxa"/>
            <w:tcBorders>
              <w:top w:val="single" w:sz="4" w:space="0" w:color="auto"/>
              <w:left w:val="single" w:sz="4" w:space="0" w:color="auto"/>
              <w:right w:val="single" w:sz="4" w:space="0" w:color="auto"/>
            </w:tcBorders>
            <w:noWrap/>
            <w:tcMar>
              <w:left w:w="28" w:type="dxa"/>
              <w:right w:w="28" w:type="dxa"/>
            </w:tcMar>
            <w:vAlign w:val="center"/>
          </w:tcPr>
          <w:p w:rsidR="00AE0F58" w:rsidRPr="004B7986" w:rsidRDefault="004B7986" w:rsidP="003D070A">
            <w:pPr>
              <w:keepNext/>
              <w:keepLines/>
              <w:spacing w:before="0"/>
              <w:jc w:val="right"/>
              <w:rPr>
                <w:rFonts w:ascii="Arial Narrow" w:eastAsia="Times New Roman" w:hAnsi="Arial Narrow"/>
                <w:i/>
                <w:iCs/>
                <w:color w:val="4BACC6" w:themeColor="accent5"/>
                <w:sz w:val="20"/>
                <w:szCs w:val="20"/>
              </w:rPr>
            </w:pPr>
            <w:r>
              <w:rPr>
                <w:rFonts w:ascii="Arial Narrow" w:hAnsi="Arial Narrow" w:cs="Calibri"/>
                <w:noProof/>
                <w:color w:val="000000"/>
                <w:sz w:val="20"/>
                <w:szCs w:val="20"/>
                <w:highlight w:val="black"/>
              </w:rPr>
              <w:t>''''''''''</w:t>
            </w:r>
            <w:r w:rsidR="009F01BB" w:rsidRPr="00D12472">
              <w:rPr>
                <w:rFonts w:ascii="Arial Narrow" w:hAnsi="Arial Narrow" w:cs="Calibri"/>
                <w:color w:val="000000"/>
                <w:sz w:val="20"/>
                <w:szCs w:val="20"/>
                <w:vertAlign w:val="superscript"/>
              </w:rPr>
              <w:t>1</w:t>
            </w:r>
          </w:p>
        </w:tc>
        <w:tc>
          <w:tcPr>
            <w:tcW w:w="1276" w:type="dxa"/>
            <w:tcBorders>
              <w:top w:val="single" w:sz="4" w:space="0" w:color="auto"/>
              <w:left w:val="single" w:sz="4" w:space="0" w:color="auto"/>
              <w:right w:val="single" w:sz="4" w:space="0" w:color="auto"/>
            </w:tcBorders>
            <w:tcMar>
              <w:left w:w="28" w:type="dxa"/>
              <w:right w:w="28" w:type="dxa"/>
            </w:tcMar>
            <w:vAlign w:val="center"/>
          </w:tcPr>
          <w:p w:rsidR="00AE0F58" w:rsidRPr="00F573A7" w:rsidRDefault="00AE0F58" w:rsidP="0006229B">
            <w:pPr>
              <w:keepNext/>
              <w:keepLines/>
              <w:spacing w:before="0"/>
              <w:jc w:val="center"/>
              <w:rPr>
                <w:rFonts w:ascii="Arial Narrow" w:eastAsia="Times New Roman" w:hAnsi="Arial Narrow"/>
                <w:sz w:val="20"/>
                <w:szCs w:val="20"/>
              </w:rPr>
            </w:pPr>
            <w:r w:rsidRPr="00F573A7">
              <w:rPr>
                <w:rFonts w:ascii="Arial Narrow" w:hAnsi="Arial Narrow"/>
                <w:sz w:val="20"/>
                <w:szCs w:val="20"/>
              </w:rPr>
              <w:t xml:space="preserve">Row E, Table </w:t>
            </w:r>
            <w:r w:rsidR="0006229B" w:rsidRPr="00F573A7">
              <w:rPr>
                <w:rFonts w:ascii="Arial Narrow" w:hAnsi="Arial Narrow"/>
                <w:sz w:val="20"/>
                <w:szCs w:val="20"/>
              </w:rPr>
              <w:t>6</w:t>
            </w:r>
          </w:p>
        </w:tc>
      </w:tr>
      <w:tr w:rsidR="00AE0F58" w:rsidRPr="00F573A7" w:rsidTr="00C07E24">
        <w:trPr>
          <w:trHeight w:val="252"/>
        </w:trPr>
        <w:tc>
          <w:tcPr>
            <w:tcW w:w="99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E0F58" w:rsidRPr="00F573A7" w:rsidRDefault="00AE0F58" w:rsidP="0006229B">
            <w:pPr>
              <w:keepNext/>
              <w:keepLines/>
              <w:spacing w:before="0"/>
              <w:jc w:val="left"/>
              <w:rPr>
                <w:rFonts w:ascii="Arial Narrow" w:eastAsia="Times New Roman" w:hAnsi="Arial Narrow"/>
                <w:iCs/>
                <w:sz w:val="20"/>
                <w:szCs w:val="20"/>
              </w:rPr>
            </w:pPr>
            <w:r w:rsidRPr="00F573A7">
              <w:rPr>
                <w:rFonts w:ascii="Arial Narrow" w:hAnsi="Arial Narrow"/>
                <w:iCs/>
                <w:sz w:val="20"/>
                <w:szCs w:val="20"/>
              </w:rPr>
              <w:t xml:space="preserve">Cost to PBS/RPBS </w:t>
            </w:r>
          </w:p>
        </w:tc>
        <w:tc>
          <w:tcPr>
            <w:tcW w:w="113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AE0F58" w:rsidRPr="00F573A7" w:rsidRDefault="00AE0F58" w:rsidP="003D070A">
            <w:pPr>
              <w:keepNext/>
              <w:keepLines/>
              <w:spacing w:before="0"/>
              <w:jc w:val="right"/>
              <w:rPr>
                <w:rFonts w:ascii="Arial Narrow" w:hAnsi="Arial Narrow" w:cs="Calibri"/>
                <w:color w:val="000000"/>
                <w:sz w:val="20"/>
                <w:szCs w:val="20"/>
              </w:rPr>
            </w:pPr>
            <w:r w:rsidRPr="00F573A7">
              <w:rPr>
                <w:rFonts w:ascii="Arial Narrow" w:hAnsi="Arial Narrow" w:cs="Calibri"/>
                <w:color w:val="000000"/>
                <w:sz w:val="20"/>
                <w:szCs w:val="20"/>
              </w:rPr>
              <w:t>$</w:t>
            </w:r>
            <w:r w:rsidR="004B7986">
              <w:rPr>
                <w:rFonts w:ascii="Arial Narrow" w:hAnsi="Arial Narrow" w:cs="Calibri"/>
                <w:noProof/>
                <w:color w:val="000000"/>
                <w:sz w:val="20"/>
                <w:szCs w:val="20"/>
                <w:highlight w:val="black"/>
              </w:rPr>
              <w:t>''''''''''''''''''''''</w:t>
            </w:r>
            <w:r w:rsidR="009F01BB">
              <w:rPr>
                <w:rFonts w:ascii="Arial Narrow" w:hAnsi="Arial Narrow" w:cs="Calibri"/>
                <w:color w:val="000000"/>
                <w:sz w:val="20"/>
                <w:szCs w:val="20"/>
                <w:vertAlign w:val="superscript"/>
              </w:rPr>
              <w:t>2</w:t>
            </w:r>
          </w:p>
        </w:tc>
        <w:tc>
          <w:tcPr>
            <w:tcW w:w="113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AE0F58" w:rsidRPr="00F573A7" w:rsidRDefault="00AE0F58" w:rsidP="003D070A">
            <w:pPr>
              <w:keepNext/>
              <w:keepLines/>
              <w:spacing w:before="0"/>
              <w:jc w:val="right"/>
              <w:rPr>
                <w:rFonts w:ascii="Arial Narrow" w:hAnsi="Arial Narrow" w:cs="Calibri"/>
                <w:color w:val="000000"/>
                <w:sz w:val="20"/>
                <w:szCs w:val="20"/>
              </w:rPr>
            </w:pPr>
            <w:r w:rsidRPr="00F573A7">
              <w:rPr>
                <w:rFonts w:ascii="Arial Narrow" w:hAnsi="Arial Narrow" w:cs="Calibri"/>
                <w:color w:val="000000"/>
                <w:sz w:val="20"/>
                <w:szCs w:val="20"/>
              </w:rPr>
              <w:t>$</w:t>
            </w:r>
            <w:r w:rsidR="004B7986">
              <w:rPr>
                <w:rFonts w:ascii="Arial Narrow" w:hAnsi="Arial Narrow" w:cs="Calibri"/>
                <w:noProof/>
                <w:color w:val="000000"/>
                <w:sz w:val="20"/>
                <w:szCs w:val="20"/>
                <w:highlight w:val="black"/>
              </w:rPr>
              <w:t>'''''''''''''''''''''''''</w:t>
            </w:r>
            <w:r w:rsidR="009F01BB">
              <w:rPr>
                <w:rFonts w:ascii="Arial Narrow" w:hAnsi="Arial Narrow" w:cs="Calibri"/>
                <w:color w:val="000000"/>
                <w:sz w:val="20"/>
                <w:szCs w:val="20"/>
                <w:vertAlign w:val="superscript"/>
              </w:rPr>
              <w:t>2</w:t>
            </w:r>
          </w:p>
        </w:tc>
        <w:tc>
          <w:tcPr>
            <w:tcW w:w="1276"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AE0F58" w:rsidRPr="00F573A7" w:rsidRDefault="00AE0F58" w:rsidP="003D070A">
            <w:pPr>
              <w:keepNext/>
              <w:keepLines/>
              <w:spacing w:before="0"/>
              <w:jc w:val="right"/>
              <w:rPr>
                <w:rFonts w:ascii="Arial Narrow" w:hAnsi="Arial Narrow" w:cs="Calibri"/>
                <w:color w:val="000000"/>
                <w:sz w:val="20"/>
                <w:szCs w:val="20"/>
              </w:rPr>
            </w:pPr>
            <w:r w:rsidRPr="00F573A7">
              <w:rPr>
                <w:rFonts w:ascii="Arial Narrow" w:hAnsi="Arial Narrow" w:cs="Calibri"/>
                <w:color w:val="000000"/>
                <w:sz w:val="20"/>
                <w:szCs w:val="20"/>
              </w:rPr>
              <w:t>$</w:t>
            </w:r>
            <w:r w:rsidR="004B7986">
              <w:rPr>
                <w:rFonts w:ascii="Arial Narrow" w:hAnsi="Arial Narrow" w:cs="Calibri"/>
                <w:noProof/>
                <w:color w:val="000000"/>
                <w:sz w:val="20"/>
                <w:szCs w:val="20"/>
                <w:highlight w:val="black"/>
              </w:rPr>
              <w:t>'''''''''''''''''''''''</w:t>
            </w:r>
            <w:r w:rsidR="009F01BB">
              <w:rPr>
                <w:rFonts w:ascii="Arial Narrow" w:hAnsi="Arial Narrow" w:cs="Calibri"/>
                <w:color w:val="000000"/>
                <w:sz w:val="20"/>
                <w:szCs w:val="20"/>
                <w:vertAlign w:val="superscript"/>
              </w:rPr>
              <w:t>2</w:t>
            </w:r>
          </w:p>
        </w:tc>
        <w:tc>
          <w:tcPr>
            <w:tcW w:w="113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AE0F58" w:rsidRPr="00F573A7" w:rsidRDefault="00AE0F58" w:rsidP="003D070A">
            <w:pPr>
              <w:keepNext/>
              <w:keepLines/>
              <w:spacing w:before="0"/>
              <w:jc w:val="right"/>
              <w:rPr>
                <w:rFonts w:ascii="Arial Narrow" w:hAnsi="Arial Narrow" w:cs="Calibri"/>
                <w:color w:val="000000"/>
                <w:sz w:val="20"/>
                <w:szCs w:val="20"/>
              </w:rPr>
            </w:pPr>
            <w:r w:rsidRPr="00F573A7">
              <w:rPr>
                <w:rFonts w:ascii="Arial Narrow" w:hAnsi="Arial Narrow" w:cs="Calibri"/>
                <w:color w:val="000000"/>
                <w:sz w:val="20"/>
                <w:szCs w:val="20"/>
              </w:rPr>
              <w:t>$</w:t>
            </w:r>
            <w:r w:rsidR="004B7986">
              <w:rPr>
                <w:rFonts w:ascii="Arial Narrow" w:hAnsi="Arial Narrow" w:cs="Calibri"/>
                <w:noProof/>
                <w:color w:val="000000"/>
                <w:sz w:val="20"/>
                <w:szCs w:val="20"/>
                <w:highlight w:val="black"/>
              </w:rPr>
              <w:t>'''''''''''''''''''''''''</w:t>
            </w:r>
            <w:r w:rsidR="009F01BB">
              <w:rPr>
                <w:rFonts w:ascii="Arial Narrow" w:hAnsi="Arial Narrow" w:cs="Calibri"/>
                <w:color w:val="000000"/>
                <w:sz w:val="20"/>
                <w:szCs w:val="20"/>
                <w:vertAlign w:val="superscript"/>
              </w:rPr>
              <w:t>2</w:t>
            </w:r>
          </w:p>
        </w:tc>
        <w:tc>
          <w:tcPr>
            <w:tcW w:w="1276"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AE0F58" w:rsidRPr="00F573A7" w:rsidRDefault="00AE0F58" w:rsidP="003D070A">
            <w:pPr>
              <w:keepNext/>
              <w:keepLines/>
              <w:spacing w:before="0"/>
              <w:jc w:val="right"/>
              <w:rPr>
                <w:rFonts w:ascii="Arial Narrow" w:hAnsi="Arial Narrow" w:cs="Calibri"/>
                <w:color w:val="000000"/>
                <w:sz w:val="20"/>
                <w:szCs w:val="20"/>
              </w:rPr>
            </w:pPr>
            <w:r w:rsidRPr="00F573A7">
              <w:rPr>
                <w:rFonts w:ascii="Arial Narrow" w:hAnsi="Arial Narrow" w:cs="Calibri"/>
                <w:color w:val="000000"/>
                <w:sz w:val="20"/>
                <w:szCs w:val="20"/>
              </w:rPr>
              <w:t>$</w:t>
            </w:r>
            <w:r w:rsidR="004B7986">
              <w:rPr>
                <w:rFonts w:ascii="Arial Narrow" w:hAnsi="Arial Narrow" w:cs="Calibri"/>
                <w:noProof/>
                <w:color w:val="000000"/>
                <w:sz w:val="20"/>
                <w:szCs w:val="20"/>
                <w:highlight w:val="black"/>
              </w:rPr>
              <w:t>'''''''''''''''''''''''''</w:t>
            </w:r>
            <w:r w:rsidR="009F01BB">
              <w:rPr>
                <w:rFonts w:ascii="Arial Narrow" w:hAnsi="Arial Narrow" w:cs="Calibri"/>
                <w:color w:val="000000"/>
                <w:sz w:val="20"/>
                <w:szCs w:val="20"/>
                <w:vertAlign w:val="superscript"/>
              </w:rPr>
              <w:t>2</w:t>
            </w:r>
          </w:p>
        </w:tc>
        <w:tc>
          <w:tcPr>
            <w:tcW w:w="113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AE0F58" w:rsidRPr="00F573A7" w:rsidRDefault="00AE0F58" w:rsidP="003D070A">
            <w:pPr>
              <w:keepNext/>
              <w:keepLines/>
              <w:spacing w:before="0"/>
              <w:jc w:val="right"/>
              <w:rPr>
                <w:rFonts w:ascii="Arial Narrow" w:hAnsi="Arial Narrow" w:cs="Calibri"/>
                <w:color w:val="000000"/>
                <w:sz w:val="20"/>
                <w:szCs w:val="20"/>
              </w:rPr>
            </w:pPr>
            <w:r w:rsidRPr="00F573A7">
              <w:rPr>
                <w:rFonts w:ascii="Arial Narrow" w:hAnsi="Arial Narrow" w:cs="Calibri"/>
                <w:color w:val="000000"/>
                <w:sz w:val="20"/>
                <w:szCs w:val="20"/>
              </w:rPr>
              <w:t>$</w:t>
            </w:r>
            <w:r w:rsidR="004B7986">
              <w:rPr>
                <w:rFonts w:ascii="Arial Narrow" w:hAnsi="Arial Narrow" w:cs="Calibri"/>
                <w:noProof/>
                <w:color w:val="000000"/>
                <w:sz w:val="20"/>
                <w:szCs w:val="20"/>
                <w:highlight w:val="black"/>
              </w:rPr>
              <w:t>'''''''''''''''''''''''</w:t>
            </w:r>
            <w:r w:rsidR="009F01BB">
              <w:rPr>
                <w:rFonts w:ascii="Arial Narrow" w:hAnsi="Arial Narrow" w:cs="Calibri"/>
                <w:color w:val="000000"/>
                <w:sz w:val="20"/>
                <w:szCs w:val="20"/>
                <w:vertAlign w:val="superscript"/>
              </w:rPr>
              <w:t>2</w:t>
            </w:r>
          </w:p>
        </w:tc>
        <w:tc>
          <w:tcPr>
            <w:tcW w:w="1276" w:type="dxa"/>
            <w:tcBorders>
              <w:left w:val="single" w:sz="4" w:space="0" w:color="auto"/>
              <w:bottom w:val="single" w:sz="4" w:space="0" w:color="auto"/>
              <w:right w:val="single" w:sz="4" w:space="0" w:color="auto"/>
            </w:tcBorders>
            <w:tcMar>
              <w:left w:w="28" w:type="dxa"/>
              <w:right w:w="28" w:type="dxa"/>
            </w:tcMar>
            <w:vAlign w:val="center"/>
          </w:tcPr>
          <w:p w:rsidR="00AE0F58" w:rsidRPr="00F573A7" w:rsidRDefault="00927E81" w:rsidP="0006229B">
            <w:pPr>
              <w:keepNext/>
              <w:keepLines/>
              <w:spacing w:before="0"/>
              <w:jc w:val="center"/>
              <w:rPr>
                <w:rFonts w:ascii="Arial Narrow" w:eastAsia="Times New Roman" w:hAnsi="Arial Narrow"/>
                <w:sz w:val="20"/>
                <w:szCs w:val="20"/>
              </w:rPr>
            </w:pPr>
            <w:r w:rsidRPr="00927E81">
              <w:rPr>
                <w:rFonts w:ascii="Arial Narrow" w:hAnsi="Arial Narrow" w:cs="Calibri"/>
                <w:color w:val="000000"/>
                <w:sz w:val="20"/>
                <w:szCs w:val="20"/>
              </w:rPr>
              <w:t>Attachment 4 of July 2021 submission</w:t>
            </w:r>
          </w:p>
        </w:tc>
      </w:tr>
      <w:tr w:rsidR="003C35B3" w:rsidRPr="00F573A7" w:rsidTr="00C07E24">
        <w:trPr>
          <w:trHeight w:val="252"/>
        </w:trPr>
        <w:tc>
          <w:tcPr>
            <w:tcW w:w="99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75F56" w:rsidRPr="00F573A7" w:rsidRDefault="00E75F56" w:rsidP="0006229B">
            <w:pPr>
              <w:keepNext/>
              <w:keepLines/>
              <w:spacing w:before="0"/>
              <w:jc w:val="left"/>
              <w:rPr>
                <w:rFonts w:ascii="Arial Narrow" w:eastAsia="Times New Roman" w:hAnsi="Arial Narrow"/>
                <w:iCs/>
                <w:sz w:val="20"/>
                <w:szCs w:val="20"/>
              </w:rPr>
            </w:pPr>
            <w:r w:rsidRPr="00F573A7">
              <w:rPr>
                <w:rFonts w:ascii="Arial Narrow" w:hAnsi="Arial Narrow"/>
                <w:iCs/>
                <w:sz w:val="20"/>
                <w:szCs w:val="20"/>
              </w:rPr>
              <w:t xml:space="preserve">Cost offsets </w:t>
            </w:r>
            <w:r w:rsidR="003C35B3" w:rsidRPr="00F573A7">
              <w:rPr>
                <w:rFonts w:ascii="Arial Narrow" w:hAnsi="Arial Narrow"/>
                <w:iCs/>
                <w:sz w:val="20"/>
                <w:szCs w:val="20"/>
              </w:rPr>
              <w:t>(</w:t>
            </w:r>
            <w:r w:rsidRPr="00F573A7">
              <w:rPr>
                <w:rFonts w:ascii="Arial Narrow" w:hAnsi="Arial Narrow"/>
                <w:iCs/>
                <w:sz w:val="20"/>
                <w:szCs w:val="20"/>
              </w:rPr>
              <w:t>substituted therapies</w:t>
            </w:r>
            <w:r w:rsidR="003C35B3" w:rsidRPr="00F573A7">
              <w:rPr>
                <w:rFonts w:ascii="Arial Narrow" w:hAnsi="Arial Narrow"/>
                <w:iCs/>
                <w:sz w:val="20"/>
                <w:szCs w:val="20"/>
              </w:rPr>
              <w:t>)</w:t>
            </w:r>
          </w:p>
        </w:tc>
        <w:tc>
          <w:tcPr>
            <w:tcW w:w="113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E75F56" w:rsidRPr="00F573A7" w:rsidRDefault="00E75F56" w:rsidP="003D070A">
            <w:pPr>
              <w:keepNext/>
              <w:keepLines/>
              <w:spacing w:before="0"/>
              <w:jc w:val="right"/>
              <w:rPr>
                <w:rFonts w:ascii="Arial Narrow" w:hAnsi="Arial Narrow" w:cs="Calibri"/>
                <w:color w:val="000000"/>
                <w:sz w:val="20"/>
                <w:szCs w:val="20"/>
              </w:rPr>
            </w:pPr>
            <w:r w:rsidRPr="00F573A7">
              <w:rPr>
                <w:rFonts w:ascii="Arial Narrow" w:hAnsi="Arial Narrow" w:cs="Calibri"/>
                <w:color w:val="000000"/>
                <w:sz w:val="20"/>
                <w:szCs w:val="20"/>
              </w:rPr>
              <w:t>$</w:t>
            </w:r>
            <w:r w:rsidR="004B7986">
              <w:rPr>
                <w:rFonts w:ascii="Arial Narrow" w:hAnsi="Arial Narrow" w:cs="Calibri"/>
                <w:noProof/>
                <w:color w:val="000000"/>
                <w:sz w:val="20"/>
                <w:szCs w:val="20"/>
                <w:highlight w:val="black"/>
              </w:rPr>
              <w:t>''''</w:t>
            </w:r>
            <w:r w:rsidR="009F01BB">
              <w:rPr>
                <w:rFonts w:ascii="Arial Narrow" w:hAnsi="Arial Narrow" w:cs="Calibri"/>
                <w:color w:val="000000"/>
                <w:sz w:val="20"/>
                <w:szCs w:val="20"/>
                <w:vertAlign w:val="superscript"/>
              </w:rPr>
              <w:t>2</w:t>
            </w:r>
          </w:p>
        </w:tc>
        <w:tc>
          <w:tcPr>
            <w:tcW w:w="113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E75F56" w:rsidRPr="00F573A7" w:rsidRDefault="00E75F56" w:rsidP="003D070A">
            <w:pPr>
              <w:keepNext/>
              <w:keepLines/>
              <w:spacing w:before="0"/>
              <w:jc w:val="right"/>
              <w:rPr>
                <w:rFonts w:ascii="Arial Narrow" w:hAnsi="Arial Narrow" w:cs="Calibri"/>
                <w:color w:val="000000"/>
                <w:sz w:val="20"/>
                <w:szCs w:val="20"/>
              </w:rPr>
            </w:pPr>
            <w:r w:rsidRPr="00F573A7">
              <w:rPr>
                <w:rFonts w:ascii="Arial Narrow" w:hAnsi="Arial Narrow" w:cs="Calibri"/>
                <w:color w:val="000000"/>
                <w:sz w:val="20"/>
                <w:szCs w:val="20"/>
              </w:rPr>
              <w:t>$</w:t>
            </w:r>
            <w:r w:rsidR="004B7986">
              <w:rPr>
                <w:rFonts w:ascii="Arial Narrow" w:hAnsi="Arial Narrow" w:cs="Calibri"/>
                <w:noProof/>
                <w:color w:val="000000"/>
                <w:sz w:val="20"/>
                <w:szCs w:val="20"/>
                <w:highlight w:val="black"/>
              </w:rPr>
              <w:t>'''</w:t>
            </w:r>
            <w:r w:rsidR="009F01BB">
              <w:rPr>
                <w:rFonts w:ascii="Arial Narrow" w:hAnsi="Arial Narrow" w:cs="Calibri"/>
                <w:color w:val="000000"/>
                <w:sz w:val="20"/>
                <w:szCs w:val="20"/>
                <w:vertAlign w:val="superscript"/>
              </w:rPr>
              <w:t>2</w:t>
            </w:r>
          </w:p>
        </w:tc>
        <w:tc>
          <w:tcPr>
            <w:tcW w:w="1276"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E75F56" w:rsidRPr="00F573A7" w:rsidRDefault="00E75F56" w:rsidP="003D070A">
            <w:pPr>
              <w:keepNext/>
              <w:keepLines/>
              <w:spacing w:before="0"/>
              <w:jc w:val="right"/>
              <w:rPr>
                <w:rFonts w:ascii="Arial Narrow" w:hAnsi="Arial Narrow" w:cs="Calibri"/>
                <w:color w:val="000000"/>
                <w:sz w:val="20"/>
                <w:szCs w:val="20"/>
              </w:rPr>
            </w:pPr>
            <w:r w:rsidRPr="00F573A7">
              <w:rPr>
                <w:rFonts w:ascii="Arial Narrow" w:hAnsi="Arial Narrow" w:cs="Calibri"/>
                <w:color w:val="000000"/>
                <w:sz w:val="20"/>
                <w:szCs w:val="20"/>
              </w:rPr>
              <w:t>$</w:t>
            </w:r>
            <w:r w:rsidR="004B7986">
              <w:rPr>
                <w:rFonts w:ascii="Arial Narrow" w:hAnsi="Arial Narrow" w:cs="Calibri"/>
                <w:noProof/>
                <w:color w:val="000000"/>
                <w:sz w:val="20"/>
                <w:szCs w:val="20"/>
                <w:highlight w:val="black"/>
              </w:rPr>
              <w:t>''''</w:t>
            </w:r>
            <w:r w:rsidR="009F01BB">
              <w:rPr>
                <w:rFonts w:ascii="Arial Narrow" w:hAnsi="Arial Narrow" w:cs="Calibri"/>
                <w:color w:val="000000"/>
                <w:sz w:val="20"/>
                <w:szCs w:val="20"/>
                <w:vertAlign w:val="superscript"/>
              </w:rPr>
              <w:t>2</w:t>
            </w:r>
          </w:p>
        </w:tc>
        <w:tc>
          <w:tcPr>
            <w:tcW w:w="113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E75F56" w:rsidRPr="00F573A7" w:rsidRDefault="00E75F56" w:rsidP="003D070A">
            <w:pPr>
              <w:keepNext/>
              <w:keepLines/>
              <w:spacing w:before="0"/>
              <w:jc w:val="right"/>
              <w:rPr>
                <w:rFonts w:ascii="Arial Narrow" w:hAnsi="Arial Narrow" w:cs="Calibri"/>
                <w:color w:val="000000"/>
                <w:sz w:val="20"/>
                <w:szCs w:val="20"/>
              </w:rPr>
            </w:pPr>
            <w:r w:rsidRPr="00F573A7">
              <w:rPr>
                <w:rFonts w:ascii="Arial Narrow" w:hAnsi="Arial Narrow" w:cs="Calibri"/>
                <w:color w:val="000000"/>
                <w:sz w:val="20"/>
                <w:szCs w:val="20"/>
              </w:rPr>
              <w:t>$</w:t>
            </w:r>
            <w:r w:rsidR="004B7986">
              <w:rPr>
                <w:rFonts w:ascii="Arial Narrow" w:hAnsi="Arial Narrow" w:cs="Calibri"/>
                <w:noProof/>
                <w:color w:val="000000"/>
                <w:sz w:val="20"/>
                <w:szCs w:val="20"/>
                <w:highlight w:val="black"/>
              </w:rPr>
              <w:t>'''</w:t>
            </w:r>
            <w:r w:rsidR="009F01BB">
              <w:rPr>
                <w:rFonts w:ascii="Arial Narrow" w:hAnsi="Arial Narrow" w:cs="Calibri"/>
                <w:color w:val="000000"/>
                <w:sz w:val="20"/>
                <w:szCs w:val="20"/>
                <w:vertAlign w:val="superscript"/>
              </w:rPr>
              <w:t>2</w:t>
            </w:r>
          </w:p>
        </w:tc>
        <w:tc>
          <w:tcPr>
            <w:tcW w:w="1276"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E75F56" w:rsidRPr="00F573A7" w:rsidRDefault="00E75F56" w:rsidP="003D070A">
            <w:pPr>
              <w:keepNext/>
              <w:keepLines/>
              <w:spacing w:before="0"/>
              <w:jc w:val="right"/>
              <w:rPr>
                <w:rFonts w:ascii="Arial Narrow" w:hAnsi="Arial Narrow" w:cs="Calibri"/>
                <w:color w:val="000000"/>
                <w:sz w:val="20"/>
                <w:szCs w:val="20"/>
              </w:rPr>
            </w:pPr>
            <w:r w:rsidRPr="00F573A7">
              <w:rPr>
                <w:rFonts w:ascii="Arial Narrow" w:hAnsi="Arial Narrow" w:cs="Calibri"/>
                <w:color w:val="000000"/>
                <w:sz w:val="20"/>
                <w:szCs w:val="20"/>
              </w:rPr>
              <w:t>$</w:t>
            </w:r>
            <w:r w:rsidR="004B7986">
              <w:rPr>
                <w:rFonts w:ascii="Arial Narrow" w:hAnsi="Arial Narrow" w:cs="Calibri"/>
                <w:noProof/>
                <w:color w:val="000000"/>
                <w:sz w:val="20"/>
                <w:szCs w:val="20"/>
                <w:highlight w:val="black"/>
              </w:rPr>
              <w:t>''''</w:t>
            </w:r>
            <w:r w:rsidR="009F01BB">
              <w:rPr>
                <w:rFonts w:ascii="Arial Narrow" w:hAnsi="Arial Narrow" w:cs="Calibri"/>
                <w:color w:val="000000"/>
                <w:sz w:val="20"/>
                <w:szCs w:val="20"/>
                <w:vertAlign w:val="superscript"/>
              </w:rPr>
              <w:t>2</w:t>
            </w:r>
          </w:p>
        </w:tc>
        <w:tc>
          <w:tcPr>
            <w:tcW w:w="113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E75F56" w:rsidRPr="00F573A7" w:rsidRDefault="00E75F56" w:rsidP="003D070A">
            <w:pPr>
              <w:keepNext/>
              <w:keepLines/>
              <w:spacing w:before="0"/>
              <w:jc w:val="right"/>
              <w:rPr>
                <w:rFonts w:ascii="Arial Narrow" w:hAnsi="Arial Narrow" w:cs="Calibri"/>
                <w:color w:val="000000"/>
                <w:sz w:val="20"/>
                <w:szCs w:val="20"/>
              </w:rPr>
            </w:pPr>
            <w:r w:rsidRPr="00F573A7">
              <w:rPr>
                <w:rFonts w:ascii="Arial Narrow" w:hAnsi="Arial Narrow" w:cs="Calibri"/>
                <w:color w:val="000000"/>
                <w:sz w:val="20"/>
                <w:szCs w:val="20"/>
              </w:rPr>
              <w:t>$</w:t>
            </w:r>
            <w:r w:rsidR="004B7986">
              <w:rPr>
                <w:rFonts w:ascii="Arial Narrow" w:hAnsi="Arial Narrow" w:cs="Calibri"/>
                <w:noProof/>
                <w:color w:val="000000"/>
                <w:sz w:val="20"/>
                <w:szCs w:val="20"/>
                <w:highlight w:val="black"/>
              </w:rPr>
              <w:t>'''</w:t>
            </w:r>
            <w:r w:rsidR="009F01BB">
              <w:rPr>
                <w:rFonts w:ascii="Arial Narrow" w:hAnsi="Arial Narrow" w:cs="Calibri"/>
                <w:color w:val="000000"/>
                <w:sz w:val="20"/>
                <w:szCs w:val="20"/>
                <w:vertAlign w:val="superscript"/>
              </w:rPr>
              <w:t>2</w:t>
            </w:r>
          </w:p>
        </w:tc>
        <w:tc>
          <w:tcPr>
            <w:tcW w:w="127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75F56" w:rsidRPr="00F573A7" w:rsidRDefault="00AE0F58" w:rsidP="0006229B">
            <w:pPr>
              <w:keepNext/>
              <w:keepLines/>
              <w:spacing w:before="0"/>
              <w:jc w:val="center"/>
              <w:rPr>
                <w:rFonts w:ascii="Arial Narrow" w:hAnsi="Arial Narrow" w:cs="Calibri"/>
                <w:color w:val="000000"/>
                <w:sz w:val="20"/>
                <w:szCs w:val="20"/>
              </w:rPr>
            </w:pPr>
            <w:r w:rsidRPr="00F573A7">
              <w:rPr>
                <w:rFonts w:ascii="Arial Narrow" w:hAnsi="Arial Narrow" w:cs="Calibri"/>
                <w:color w:val="000000"/>
                <w:sz w:val="20"/>
                <w:szCs w:val="20"/>
              </w:rPr>
              <w:t>NA</w:t>
            </w:r>
          </w:p>
        </w:tc>
      </w:tr>
      <w:tr w:rsidR="003C35B3" w:rsidRPr="00F573A7" w:rsidTr="00C07E24">
        <w:trPr>
          <w:trHeight w:val="252"/>
        </w:trPr>
        <w:tc>
          <w:tcPr>
            <w:tcW w:w="99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75F56" w:rsidRPr="00F573A7" w:rsidRDefault="00E75F56" w:rsidP="0006229B">
            <w:pPr>
              <w:keepNext/>
              <w:keepLines/>
              <w:spacing w:before="0"/>
              <w:jc w:val="left"/>
              <w:rPr>
                <w:rFonts w:ascii="Arial Narrow" w:eastAsia="Times New Roman" w:hAnsi="Arial Narrow"/>
                <w:iCs/>
                <w:sz w:val="20"/>
                <w:szCs w:val="20"/>
              </w:rPr>
            </w:pPr>
            <w:r w:rsidRPr="00F573A7">
              <w:rPr>
                <w:rFonts w:ascii="Arial Narrow" w:hAnsi="Arial Narrow"/>
                <w:iCs/>
                <w:sz w:val="20"/>
                <w:szCs w:val="20"/>
              </w:rPr>
              <w:t xml:space="preserve">Cost-offsets </w:t>
            </w:r>
            <w:r w:rsidR="003C35B3" w:rsidRPr="00F573A7">
              <w:rPr>
                <w:rFonts w:ascii="Arial Narrow" w:hAnsi="Arial Narrow"/>
                <w:iCs/>
                <w:sz w:val="20"/>
                <w:szCs w:val="20"/>
              </w:rPr>
              <w:t>(</w:t>
            </w:r>
            <w:r w:rsidRPr="00F573A7">
              <w:rPr>
                <w:rFonts w:ascii="Arial Narrow" w:hAnsi="Arial Narrow"/>
                <w:iCs/>
                <w:sz w:val="20"/>
                <w:szCs w:val="20"/>
              </w:rPr>
              <w:t>prevention of downstream therapy)</w:t>
            </w:r>
          </w:p>
        </w:tc>
        <w:tc>
          <w:tcPr>
            <w:tcW w:w="113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E75F56" w:rsidRPr="00F573A7" w:rsidRDefault="00E75F56" w:rsidP="003D070A">
            <w:pPr>
              <w:keepNext/>
              <w:keepLines/>
              <w:spacing w:before="0"/>
              <w:jc w:val="right"/>
              <w:rPr>
                <w:rFonts w:ascii="Arial Narrow" w:hAnsi="Arial Narrow" w:cs="Calibri"/>
                <w:sz w:val="20"/>
                <w:szCs w:val="20"/>
              </w:rPr>
            </w:pPr>
            <w:r w:rsidRPr="00F573A7">
              <w:rPr>
                <w:rFonts w:ascii="Arial Narrow" w:hAnsi="Arial Narrow" w:cs="Calibri"/>
                <w:sz w:val="20"/>
                <w:szCs w:val="20"/>
              </w:rPr>
              <w:t>-$</w:t>
            </w:r>
            <w:r w:rsidR="004B7986">
              <w:rPr>
                <w:rFonts w:ascii="Arial Narrow" w:hAnsi="Arial Narrow" w:cs="Calibri"/>
                <w:noProof/>
                <w:color w:val="000000"/>
                <w:sz w:val="20"/>
                <w:szCs w:val="20"/>
                <w:highlight w:val="black"/>
              </w:rPr>
              <w:t>'''''''''''''''''''</w:t>
            </w:r>
            <w:r w:rsidR="009F01BB">
              <w:rPr>
                <w:rFonts w:ascii="Arial Narrow" w:hAnsi="Arial Narrow" w:cs="Calibri"/>
                <w:color w:val="000000"/>
                <w:sz w:val="20"/>
                <w:szCs w:val="20"/>
                <w:vertAlign w:val="superscript"/>
              </w:rPr>
              <w:t>2</w:t>
            </w:r>
          </w:p>
        </w:tc>
        <w:tc>
          <w:tcPr>
            <w:tcW w:w="113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E75F56" w:rsidRPr="00F573A7" w:rsidRDefault="00E75F56" w:rsidP="003D070A">
            <w:pPr>
              <w:keepNext/>
              <w:keepLines/>
              <w:spacing w:before="0"/>
              <w:jc w:val="right"/>
              <w:rPr>
                <w:rFonts w:ascii="Arial Narrow" w:hAnsi="Arial Narrow" w:cs="Calibri"/>
                <w:sz w:val="20"/>
                <w:szCs w:val="20"/>
              </w:rPr>
            </w:pPr>
            <w:r w:rsidRPr="00F573A7">
              <w:rPr>
                <w:rFonts w:ascii="Arial Narrow" w:hAnsi="Arial Narrow" w:cs="Calibri"/>
                <w:sz w:val="20"/>
                <w:szCs w:val="20"/>
              </w:rPr>
              <w:t>-$</w:t>
            </w:r>
            <w:r w:rsidR="004B7986">
              <w:rPr>
                <w:rFonts w:ascii="Arial Narrow" w:hAnsi="Arial Narrow" w:cs="Calibri"/>
                <w:noProof/>
                <w:color w:val="000000"/>
                <w:sz w:val="20"/>
                <w:szCs w:val="20"/>
                <w:highlight w:val="black"/>
              </w:rPr>
              <w:t>''''''''''''''''''''</w:t>
            </w:r>
            <w:r w:rsidR="009F01BB">
              <w:rPr>
                <w:rFonts w:ascii="Arial Narrow" w:hAnsi="Arial Narrow" w:cs="Calibri"/>
                <w:color w:val="000000"/>
                <w:sz w:val="20"/>
                <w:szCs w:val="20"/>
                <w:vertAlign w:val="superscript"/>
              </w:rPr>
              <w:t>2</w:t>
            </w:r>
          </w:p>
        </w:tc>
        <w:tc>
          <w:tcPr>
            <w:tcW w:w="1276"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E75F56" w:rsidRPr="00F573A7" w:rsidRDefault="00E75F56" w:rsidP="003D070A">
            <w:pPr>
              <w:keepNext/>
              <w:keepLines/>
              <w:spacing w:before="0"/>
              <w:jc w:val="right"/>
              <w:rPr>
                <w:rFonts w:ascii="Arial Narrow" w:hAnsi="Arial Narrow" w:cs="Calibri"/>
                <w:sz w:val="20"/>
                <w:szCs w:val="20"/>
              </w:rPr>
            </w:pPr>
            <w:r w:rsidRPr="00F573A7">
              <w:rPr>
                <w:rFonts w:ascii="Arial Narrow" w:hAnsi="Arial Narrow" w:cs="Calibri"/>
                <w:sz w:val="20"/>
                <w:szCs w:val="20"/>
              </w:rPr>
              <w:t>-$</w:t>
            </w:r>
            <w:r w:rsidR="004B7986">
              <w:rPr>
                <w:rFonts w:ascii="Arial Narrow" w:hAnsi="Arial Narrow" w:cs="Calibri"/>
                <w:noProof/>
                <w:color w:val="000000"/>
                <w:sz w:val="20"/>
                <w:szCs w:val="20"/>
                <w:highlight w:val="black"/>
              </w:rPr>
              <w:t>''''''''''''''''''''</w:t>
            </w:r>
            <w:r w:rsidR="009F01BB">
              <w:rPr>
                <w:rFonts w:ascii="Arial Narrow" w:hAnsi="Arial Narrow" w:cs="Calibri"/>
                <w:color w:val="000000"/>
                <w:sz w:val="20"/>
                <w:szCs w:val="20"/>
                <w:vertAlign w:val="superscript"/>
              </w:rPr>
              <w:t>2</w:t>
            </w:r>
          </w:p>
        </w:tc>
        <w:tc>
          <w:tcPr>
            <w:tcW w:w="113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E75F56" w:rsidRPr="00F573A7" w:rsidRDefault="00E75F56" w:rsidP="003D070A">
            <w:pPr>
              <w:keepNext/>
              <w:keepLines/>
              <w:spacing w:before="0"/>
              <w:jc w:val="right"/>
              <w:rPr>
                <w:rFonts w:ascii="Arial Narrow" w:hAnsi="Arial Narrow" w:cs="Calibri"/>
                <w:sz w:val="20"/>
                <w:szCs w:val="20"/>
              </w:rPr>
            </w:pPr>
            <w:r w:rsidRPr="00F573A7">
              <w:rPr>
                <w:rFonts w:ascii="Arial Narrow" w:hAnsi="Arial Narrow" w:cs="Calibri"/>
                <w:sz w:val="20"/>
                <w:szCs w:val="20"/>
              </w:rPr>
              <w:t>-$</w:t>
            </w:r>
            <w:r w:rsidR="004B7986">
              <w:rPr>
                <w:rFonts w:ascii="Arial Narrow" w:hAnsi="Arial Narrow" w:cs="Calibri"/>
                <w:noProof/>
                <w:color w:val="000000"/>
                <w:sz w:val="20"/>
                <w:szCs w:val="20"/>
                <w:highlight w:val="black"/>
              </w:rPr>
              <w:t>'''''''''''''''''''''</w:t>
            </w:r>
            <w:r w:rsidR="009F01BB">
              <w:rPr>
                <w:rFonts w:ascii="Arial Narrow" w:hAnsi="Arial Narrow" w:cs="Calibri"/>
                <w:color w:val="000000"/>
                <w:sz w:val="20"/>
                <w:szCs w:val="20"/>
                <w:vertAlign w:val="superscript"/>
              </w:rPr>
              <w:t>2</w:t>
            </w:r>
          </w:p>
        </w:tc>
        <w:tc>
          <w:tcPr>
            <w:tcW w:w="1276"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E75F56" w:rsidRPr="00F573A7" w:rsidRDefault="00E75F56" w:rsidP="003D070A">
            <w:pPr>
              <w:keepNext/>
              <w:keepLines/>
              <w:spacing w:before="0"/>
              <w:jc w:val="right"/>
              <w:rPr>
                <w:rFonts w:ascii="Arial Narrow" w:hAnsi="Arial Narrow" w:cs="Calibri"/>
                <w:sz w:val="20"/>
                <w:szCs w:val="20"/>
              </w:rPr>
            </w:pPr>
            <w:r w:rsidRPr="00F573A7">
              <w:rPr>
                <w:rFonts w:ascii="Arial Narrow" w:hAnsi="Arial Narrow" w:cs="Calibri"/>
                <w:sz w:val="20"/>
                <w:szCs w:val="20"/>
              </w:rPr>
              <w:t>-$</w:t>
            </w:r>
            <w:r w:rsidR="004B7986">
              <w:rPr>
                <w:rFonts w:ascii="Arial Narrow" w:hAnsi="Arial Narrow" w:cs="Calibri"/>
                <w:noProof/>
                <w:color w:val="000000"/>
                <w:sz w:val="20"/>
                <w:szCs w:val="20"/>
                <w:highlight w:val="black"/>
              </w:rPr>
              <w:t>''''''''''''''''''''</w:t>
            </w:r>
            <w:r w:rsidR="009F01BB">
              <w:rPr>
                <w:rFonts w:ascii="Arial Narrow" w:hAnsi="Arial Narrow" w:cs="Calibri"/>
                <w:color w:val="000000"/>
                <w:sz w:val="20"/>
                <w:szCs w:val="20"/>
                <w:vertAlign w:val="superscript"/>
              </w:rPr>
              <w:t>2</w:t>
            </w:r>
          </w:p>
        </w:tc>
        <w:tc>
          <w:tcPr>
            <w:tcW w:w="113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E75F56" w:rsidRPr="00F573A7" w:rsidRDefault="00E75F56" w:rsidP="003D070A">
            <w:pPr>
              <w:keepNext/>
              <w:keepLines/>
              <w:spacing w:before="0"/>
              <w:jc w:val="right"/>
              <w:rPr>
                <w:rFonts w:ascii="Arial Narrow" w:hAnsi="Arial Narrow" w:cs="Calibri"/>
                <w:sz w:val="20"/>
                <w:szCs w:val="20"/>
              </w:rPr>
            </w:pPr>
            <w:r w:rsidRPr="00F573A7">
              <w:rPr>
                <w:rFonts w:ascii="Arial Narrow" w:hAnsi="Arial Narrow" w:cs="Calibri"/>
                <w:sz w:val="20"/>
                <w:szCs w:val="20"/>
              </w:rPr>
              <w:t>-$</w:t>
            </w:r>
            <w:r w:rsidR="004B7986">
              <w:rPr>
                <w:rFonts w:ascii="Arial Narrow" w:hAnsi="Arial Narrow" w:cs="Calibri"/>
                <w:noProof/>
                <w:color w:val="000000"/>
                <w:sz w:val="20"/>
                <w:szCs w:val="20"/>
                <w:highlight w:val="black"/>
              </w:rPr>
              <w:t>'''''''''''''''''</w:t>
            </w:r>
            <w:r w:rsidR="009F01BB">
              <w:rPr>
                <w:rFonts w:ascii="Arial Narrow" w:hAnsi="Arial Narrow" w:cs="Calibri"/>
                <w:color w:val="000000"/>
                <w:sz w:val="20"/>
                <w:szCs w:val="20"/>
                <w:vertAlign w:val="superscript"/>
              </w:rPr>
              <w:t>2</w:t>
            </w:r>
          </w:p>
        </w:tc>
        <w:tc>
          <w:tcPr>
            <w:tcW w:w="127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75F56" w:rsidRPr="00F573A7" w:rsidRDefault="00E75F56" w:rsidP="0006229B">
            <w:pPr>
              <w:keepNext/>
              <w:keepLines/>
              <w:spacing w:before="0"/>
              <w:jc w:val="center"/>
              <w:rPr>
                <w:rFonts w:ascii="Arial Narrow" w:eastAsia="Times New Roman" w:hAnsi="Arial Narrow"/>
                <w:sz w:val="20"/>
                <w:szCs w:val="20"/>
              </w:rPr>
            </w:pPr>
            <w:r w:rsidRPr="00F573A7">
              <w:rPr>
                <w:rFonts w:ascii="Arial Narrow" w:hAnsi="Arial Narrow" w:cs="Calibri"/>
                <w:color w:val="000000"/>
                <w:sz w:val="20"/>
                <w:szCs w:val="20"/>
              </w:rPr>
              <w:t>Cost-offsets per patient as per the March 2021 submission</w:t>
            </w:r>
          </w:p>
        </w:tc>
      </w:tr>
      <w:tr w:rsidR="003C35B3" w:rsidRPr="00F573A7" w:rsidTr="00C07E24">
        <w:trPr>
          <w:trHeight w:val="299"/>
        </w:trPr>
        <w:tc>
          <w:tcPr>
            <w:tcW w:w="99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75F56" w:rsidRPr="00F573A7" w:rsidRDefault="003C35B3" w:rsidP="0006229B">
            <w:pPr>
              <w:keepNext/>
              <w:keepLines/>
              <w:spacing w:before="0"/>
              <w:jc w:val="left"/>
              <w:rPr>
                <w:rFonts w:ascii="Arial Narrow" w:eastAsia="Times New Roman" w:hAnsi="Arial Narrow"/>
                <w:iCs/>
                <w:sz w:val="20"/>
                <w:szCs w:val="20"/>
              </w:rPr>
            </w:pPr>
            <w:r w:rsidRPr="00F573A7">
              <w:rPr>
                <w:rFonts w:ascii="Arial Narrow" w:hAnsi="Arial Narrow"/>
                <w:iCs/>
                <w:sz w:val="20"/>
                <w:szCs w:val="20"/>
              </w:rPr>
              <w:t>Total</w:t>
            </w:r>
            <w:r w:rsidR="00E75F56" w:rsidRPr="00F573A7">
              <w:rPr>
                <w:rFonts w:ascii="Arial Narrow" w:hAnsi="Arial Narrow"/>
                <w:iCs/>
                <w:sz w:val="20"/>
                <w:szCs w:val="20"/>
              </w:rPr>
              <w:t xml:space="preserve"> cost to PBS/RPBS</w:t>
            </w:r>
          </w:p>
        </w:tc>
        <w:tc>
          <w:tcPr>
            <w:tcW w:w="113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E75F56" w:rsidRPr="00F573A7" w:rsidRDefault="00E75F56" w:rsidP="003D070A">
            <w:pPr>
              <w:keepNext/>
              <w:keepLines/>
              <w:spacing w:before="0"/>
              <w:jc w:val="right"/>
              <w:rPr>
                <w:rFonts w:ascii="Arial Narrow" w:hAnsi="Arial Narrow" w:cs="Calibri"/>
                <w:color w:val="000000"/>
                <w:sz w:val="20"/>
                <w:szCs w:val="20"/>
              </w:rPr>
            </w:pPr>
            <w:r w:rsidRPr="00F573A7">
              <w:rPr>
                <w:rFonts w:ascii="Arial Narrow" w:hAnsi="Arial Narrow" w:cs="Calibri"/>
                <w:color w:val="000000"/>
                <w:sz w:val="20"/>
                <w:szCs w:val="20"/>
              </w:rPr>
              <w:t>$</w:t>
            </w:r>
            <w:r w:rsidR="004B7986">
              <w:rPr>
                <w:rFonts w:ascii="Arial Narrow" w:hAnsi="Arial Narrow" w:cs="Calibri"/>
                <w:noProof/>
                <w:color w:val="000000"/>
                <w:sz w:val="20"/>
                <w:szCs w:val="20"/>
                <w:highlight w:val="black"/>
              </w:rPr>
              <w:t>''''''''''''''''''''''''</w:t>
            </w:r>
            <w:r w:rsidR="009F01BB">
              <w:rPr>
                <w:rFonts w:ascii="Arial Narrow" w:hAnsi="Arial Narrow" w:cs="Calibri"/>
                <w:color w:val="000000"/>
                <w:sz w:val="20"/>
                <w:szCs w:val="20"/>
                <w:vertAlign w:val="superscript"/>
              </w:rPr>
              <w:t>2</w:t>
            </w:r>
          </w:p>
        </w:tc>
        <w:tc>
          <w:tcPr>
            <w:tcW w:w="113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E75F56" w:rsidRPr="00F573A7" w:rsidRDefault="00E75F56" w:rsidP="003D070A">
            <w:pPr>
              <w:keepNext/>
              <w:keepLines/>
              <w:spacing w:before="0"/>
              <w:jc w:val="right"/>
              <w:rPr>
                <w:rFonts w:ascii="Arial Narrow" w:hAnsi="Arial Narrow" w:cs="Calibri"/>
                <w:color w:val="000000"/>
                <w:sz w:val="20"/>
                <w:szCs w:val="20"/>
              </w:rPr>
            </w:pPr>
            <w:r w:rsidRPr="00F573A7">
              <w:rPr>
                <w:rFonts w:ascii="Arial Narrow" w:hAnsi="Arial Narrow" w:cs="Calibri"/>
                <w:color w:val="000000"/>
                <w:sz w:val="20"/>
                <w:szCs w:val="20"/>
              </w:rPr>
              <w:t>$</w:t>
            </w:r>
            <w:r w:rsidR="004B7986">
              <w:rPr>
                <w:rFonts w:ascii="Arial Narrow" w:hAnsi="Arial Narrow" w:cs="Calibri"/>
                <w:noProof/>
                <w:color w:val="000000"/>
                <w:sz w:val="20"/>
                <w:szCs w:val="20"/>
                <w:highlight w:val="black"/>
              </w:rPr>
              <w:t>''''''''''''''''''''''</w:t>
            </w:r>
            <w:r w:rsidR="009F01BB">
              <w:rPr>
                <w:rFonts w:ascii="Arial Narrow" w:hAnsi="Arial Narrow" w:cs="Calibri"/>
                <w:color w:val="000000"/>
                <w:sz w:val="20"/>
                <w:szCs w:val="20"/>
                <w:vertAlign w:val="superscript"/>
              </w:rPr>
              <w:t>2</w:t>
            </w:r>
          </w:p>
        </w:tc>
        <w:tc>
          <w:tcPr>
            <w:tcW w:w="1276"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E75F56" w:rsidRPr="00F573A7" w:rsidRDefault="00E75F56" w:rsidP="003D070A">
            <w:pPr>
              <w:keepNext/>
              <w:keepLines/>
              <w:spacing w:before="0"/>
              <w:jc w:val="right"/>
              <w:rPr>
                <w:rFonts w:ascii="Arial Narrow" w:hAnsi="Arial Narrow" w:cs="Calibri"/>
                <w:color w:val="000000"/>
                <w:sz w:val="20"/>
                <w:szCs w:val="20"/>
              </w:rPr>
            </w:pPr>
            <w:r w:rsidRPr="00F573A7">
              <w:rPr>
                <w:rFonts w:ascii="Arial Narrow" w:hAnsi="Arial Narrow" w:cs="Calibri"/>
                <w:color w:val="000000"/>
                <w:sz w:val="20"/>
                <w:szCs w:val="20"/>
              </w:rPr>
              <w:t>$</w:t>
            </w:r>
            <w:r w:rsidR="004B7986">
              <w:rPr>
                <w:rFonts w:ascii="Arial Narrow" w:hAnsi="Arial Narrow" w:cs="Calibri"/>
                <w:noProof/>
                <w:color w:val="000000"/>
                <w:sz w:val="20"/>
                <w:szCs w:val="20"/>
                <w:highlight w:val="black"/>
              </w:rPr>
              <w:t>''''''''''''''''''''''''</w:t>
            </w:r>
            <w:r w:rsidR="009F01BB">
              <w:rPr>
                <w:rFonts w:ascii="Arial Narrow" w:hAnsi="Arial Narrow" w:cs="Calibri"/>
                <w:color w:val="000000"/>
                <w:sz w:val="20"/>
                <w:szCs w:val="20"/>
                <w:vertAlign w:val="superscript"/>
              </w:rPr>
              <w:t>2</w:t>
            </w:r>
          </w:p>
        </w:tc>
        <w:tc>
          <w:tcPr>
            <w:tcW w:w="113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E75F56" w:rsidRPr="00F573A7" w:rsidRDefault="00E75F56" w:rsidP="003D070A">
            <w:pPr>
              <w:keepNext/>
              <w:keepLines/>
              <w:spacing w:before="0"/>
              <w:jc w:val="right"/>
              <w:rPr>
                <w:rFonts w:ascii="Arial Narrow" w:hAnsi="Arial Narrow" w:cs="Calibri"/>
                <w:color w:val="000000"/>
                <w:sz w:val="20"/>
                <w:szCs w:val="20"/>
              </w:rPr>
            </w:pPr>
            <w:r w:rsidRPr="00F573A7">
              <w:rPr>
                <w:rFonts w:ascii="Arial Narrow" w:hAnsi="Arial Narrow" w:cs="Calibri"/>
                <w:color w:val="000000"/>
                <w:sz w:val="20"/>
                <w:szCs w:val="20"/>
              </w:rPr>
              <w:t>$</w:t>
            </w:r>
            <w:r w:rsidR="004B7986">
              <w:rPr>
                <w:rFonts w:ascii="Arial Narrow" w:hAnsi="Arial Narrow" w:cs="Calibri"/>
                <w:noProof/>
                <w:color w:val="000000"/>
                <w:sz w:val="20"/>
                <w:szCs w:val="20"/>
                <w:highlight w:val="black"/>
              </w:rPr>
              <w:t>'''''''''''''''''''''''</w:t>
            </w:r>
            <w:r w:rsidR="009F01BB">
              <w:rPr>
                <w:rFonts w:ascii="Arial Narrow" w:hAnsi="Arial Narrow" w:cs="Calibri"/>
                <w:color w:val="000000"/>
                <w:sz w:val="20"/>
                <w:szCs w:val="20"/>
                <w:vertAlign w:val="superscript"/>
              </w:rPr>
              <w:t>2</w:t>
            </w:r>
          </w:p>
        </w:tc>
        <w:tc>
          <w:tcPr>
            <w:tcW w:w="1276"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E75F56" w:rsidRPr="00F573A7" w:rsidRDefault="00E75F56" w:rsidP="003D070A">
            <w:pPr>
              <w:keepNext/>
              <w:keepLines/>
              <w:spacing w:before="0"/>
              <w:jc w:val="right"/>
              <w:rPr>
                <w:rFonts w:ascii="Arial Narrow" w:hAnsi="Arial Narrow" w:cs="Calibri"/>
                <w:color w:val="000000"/>
                <w:sz w:val="20"/>
                <w:szCs w:val="20"/>
              </w:rPr>
            </w:pPr>
            <w:r w:rsidRPr="00F573A7">
              <w:rPr>
                <w:rFonts w:ascii="Arial Narrow" w:hAnsi="Arial Narrow" w:cs="Calibri"/>
                <w:color w:val="000000"/>
                <w:sz w:val="20"/>
                <w:szCs w:val="20"/>
              </w:rPr>
              <w:t>$</w:t>
            </w:r>
            <w:r w:rsidR="004B7986">
              <w:rPr>
                <w:rFonts w:ascii="Arial Narrow" w:hAnsi="Arial Narrow" w:cs="Calibri"/>
                <w:noProof/>
                <w:color w:val="000000"/>
                <w:sz w:val="20"/>
                <w:szCs w:val="20"/>
                <w:highlight w:val="black"/>
              </w:rPr>
              <w:t>'''''''''''''''''''''</w:t>
            </w:r>
            <w:r w:rsidR="009F01BB">
              <w:rPr>
                <w:rFonts w:ascii="Arial Narrow" w:hAnsi="Arial Narrow" w:cs="Calibri"/>
                <w:color w:val="000000"/>
                <w:sz w:val="20"/>
                <w:szCs w:val="20"/>
                <w:vertAlign w:val="superscript"/>
              </w:rPr>
              <w:t>2</w:t>
            </w:r>
          </w:p>
        </w:tc>
        <w:tc>
          <w:tcPr>
            <w:tcW w:w="113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E75F56" w:rsidRPr="00F573A7" w:rsidRDefault="00E75F56" w:rsidP="003D070A">
            <w:pPr>
              <w:keepNext/>
              <w:keepLines/>
              <w:spacing w:before="0"/>
              <w:jc w:val="right"/>
              <w:rPr>
                <w:rFonts w:ascii="Arial Narrow" w:hAnsi="Arial Narrow" w:cs="Calibri"/>
                <w:color w:val="000000"/>
                <w:sz w:val="20"/>
                <w:szCs w:val="20"/>
              </w:rPr>
            </w:pPr>
            <w:r w:rsidRPr="00F573A7">
              <w:rPr>
                <w:rFonts w:ascii="Arial Narrow" w:hAnsi="Arial Narrow" w:cs="Calibri"/>
                <w:color w:val="000000"/>
                <w:sz w:val="20"/>
                <w:szCs w:val="20"/>
              </w:rPr>
              <w:t>$</w:t>
            </w:r>
            <w:r w:rsidR="004B7986">
              <w:rPr>
                <w:rFonts w:ascii="Arial Narrow" w:hAnsi="Arial Narrow" w:cs="Calibri"/>
                <w:noProof/>
                <w:color w:val="000000"/>
                <w:sz w:val="20"/>
                <w:szCs w:val="20"/>
                <w:highlight w:val="black"/>
              </w:rPr>
              <w:t>'''''''''''''''''''''''''</w:t>
            </w:r>
            <w:r w:rsidR="009F01BB">
              <w:rPr>
                <w:rFonts w:ascii="Arial Narrow" w:hAnsi="Arial Narrow" w:cs="Calibri"/>
                <w:color w:val="000000"/>
                <w:sz w:val="20"/>
                <w:szCs w:val="20"/>
                <w:vertAlign w:val="superscript"/>
              </w:rPr>
              <w:t>2</w:t>
            </w:r>
          </w:p>
        </w:tc>
        <w:tc>
          <w:tcPr>
            <w:tcW w:w="1276" w:type="dxa"/>
            <w:tcBorders>
              <w:top w:val="nil"/>
              <w:left w:val="single" w:sz="4" w:space="0" w:color="auto"/>
              <w:bottom w:val="single" w:sz="4" w:space="0" w:color="auto"/>
              <w:right w:val="single" w:sz="4" w:space="0" w:color="auto"/>
            </w:tcBorders>
            <w:tcMar>
              <w:left w:w="28" w:type="dxa"/>
              <w:right w:w="28" w:type="dxa"/>
            </w:tcMar>
            <w:vAlign w:val="center"/>
          </w:tcPr>
          <w:p w:rsidR="00E75F56" w:rsidRPr="00F573A7" w:rsidRDefault="000A2498" w:rsidP="0006229B">
            <w:pPr>
              <w:keepNext/>
              <w:keepLines/>
              <w:spacing w:before="0"/>
              <w:jc w:val="center"/>
              <w:rPr>
                <w:rFonts w:ascii="Arial Narrow" w:hAnsi="Arial Narrow" w:cs="Calibri"/>
                <w:color w:val="000000"/>
                <w:sz w:val="20"/>
                <w:szCs w:val="20"/>
              </w:rPr>
            </w:pPr>
            <w:r w:rsidRPr="00F573A7">
              <w:rPr>
                <w:rFonts w:ascii="Arial Narrow" w:hAnsi="Arial Narrow" w:cs="Calibri"/>
                <w:color w:val="000000"/>
                <w:sz w:val="20"/>
                <w:szCs w:val="20"/>
              </w:rPr>
              <w:t>-</w:t>
            </w:r>
          </w:p>
        </w:tc>
      </w:tr>
      <w:tr w:rsidR="00E75F56" w:rsidRPr="00F573A7" w:rsidTr="00C07E24">
        <w:trPr>
          <w:trHeight w:val="252"/>
        </w:trPr>
        <w:tc>
          <w:tcPr>
            <w:tcW w:w="9357" w:type="dxa"/>
            <w:gridSpan w:val="8"/>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E75F56" w:rsidRPr="00F573A7" w:rsidRDefault="00E75F56" w:rsidP="0006229B">
            <w:pPr>
              <w:keepNext/>
              <w:keepLines/>
              <w:spacing w:before="60"/>
              <w:jc w:val="left"/>
              <w:rPr>
                <w:rFonts w:ascii="Arial Narrow" w:eastAsia="Times New Roman" w:hAnsi="Arial Narrow"/>
                <w:sz w:val="20"/>
                <w:szCs w:val="20"/>
              </w:rPr>
            </w:pPr>
            <w:r w:rsidRPr="00F573A7">
              <w:rPr>
                <w:rFonts w:ascii="Arial Narrow" w:hAnsi="Arial Narrow"/>
                <w:b/>
                <w:bCs/>
                <w:sz w:val="20"/>
                <w:szCs w:val="20"/>
              </w:rPr>
              <w:t>CRPC</w:t>
            </w:r>
            <w:r w:rsidR="003C35B3" w:rsidRPr="00F573A7">
              <w:rPr>
                <w:rFonts w:ascii="Arial Narrow" w:hAnsi="Arial Narrow"/>
                <w:b/>
                <w:bCs/>
                <w:sz w:val="20"/>
                <w:szCs w:val="20"/>
              </w:rPr>
              <w:t>;</w:t>
            </w:r>
            <w:r w:rsidRPr="00F573A7">
              <w:rPr>
                <w:rFonts w:ascii="Arial Narrow" w:hAnsi="Arial Narrow"/>
                <w:b/>
                <w:bCs/>
                <w:sz w:val="20"/>
                <w:szCs w:val="20"/>
              </w:rPr>
              <w:t xml:space="preserve"> CI negative</w:t>
            </w:r>
            <w:r w:rsidR="003C35B3" w:rsidRPr="00F573A7">
              <w:rPr>
                <w:rFonts w:ascii="Arial Narrow" w:hAnsi="Arial Narrow"/>
                <w:b/>
                <w:bCs/>
                <w:sz w:val="20"/>
                <w:szCs w:val="20"/>
              </w:rPr>
              <w:t xml:space="preserve">; </w:t>
            </w:r>
            <w:r w:rsidRPr="00F573A7">
              <w:rPr>
                <w:rFonts w:ascii="Arial Narrow" w:hAnsi="Arial Narrow"/>
                <w:b/>
                <w:bCs/>
                <w:sz w:val="20"/>
                <w:szCs w:val="20"/>
              </w:rPr>
              <w:t>PSMA-PET negative</w:t>
            </w:r>
          </w:p>
        </w:tc>
      </w:tr>
      <w:tr w:rsidR="00AE0F58" w:rsidRPr="00F573A7" w:rsidTr="00C07E24">
        <w:trPr>
          <w:trHeight w:val="117"/>
        </w:trPr>
        <w:tc>
          <w:tcPr>
            <w:tcW w:w="994" w:type="dxa"/>
            <w:tcBorders>
              <w:top w:val="single" w:sz="4" w:space="0" w:color="auto"/>
              <w:left w:val="single" w:sz="4" w:space="0" w:color="auto"/>
              <w:right w:val="single" w:sz="4" w:space="0" w:color="auto"/>
            </w:tcBorders>
            <w:tcMar>
              <w:left w:w="28" w:type="dxa"/>
              <w:right w:w="28" w:type="dxa"/>
            </w:tcMar>
            <w:vAlign w:val="center"/>
          </w:tcPr>
          <w:p w:rsidR="00AE0F58" w:rsidRPr="00F573A7" w:rsidRDefault="00AE0F58" w:rsidP="006D6787">
            <w:pPr>
              <w:keepNext/>
              <w:keepLines/>
              <w:spacing w:before="0"/>
              <w:jc w:val="left"/>
              <w:rPr>
                <w:rFonts w:ascii="Arial Narrow" w:eastAsia="Times New Roman" w:hAnsi="Arial Narrow"/>
                <w:iCs/>
                <w:sz w:val="20"/>
                <w:szCs w:val="20"/>
              </w:rPr>
            </w:pPr>
            <w:r w:rsidRPr="00F573A7">
              <w:rPr>
                <w:rFonts w:ascii="Arial Narrow" w:hAnsi="Arial Narrow"/>
                <w:iCs/>
                <w:sz w:val="20"/>
                <w:szCs w:val="20"/>
              </w:rPr>
              <w:t>Pa</w:t>
            </w:r>
            <w:r w:rsidR="00364F59" w:rsidRPr="00F573A7">
              <w:rPr>
                <w:rFonts w:ascii="Arial Narrow" w:hAnsi="Arial Narrow"/>
                <w:iCs/>
                <w:sz w:val="20"/>
                <w:szCs w:val="20"/>
              </w:rPr>
              <w:t xml:space="preserve">tients treated </w:t>
            </w:r>
          </w:p>
        </w:tc>
        <w:tc>
          <w:tcPr>
            <w:tcW w:w="1134" w:type="dxa"/>
            <w:tcBorders>
              <w:top w:val="single" w:sz="4" w:space="0" w:color="auto"/>
              <w:left w:val="single" w:sz="4" w:space="0" w:color="auto"/>
              <w:right w:val="single" w:sz="4" w:space="0" w:color="auto"/>
            </w:tcBorders>
            <w:noWrap/>
            <w:tcMar>
              <w:left w:w="28" w:type="dxa"/>
              <w:right w:w="28" w:type="dxa"/>
            </w:tcMar>
            <w:vAlign w:val="center"/>
          </w:tcPr>
          <w:p w:rsidR="00AE0F58" w:rsidRPr="004B7986" w:rsidRDefault="004B7986" w:rsidP="003D070A">
            <w:pPr>
              <w:keepNext/>
              <w:keepLines/>
              <w:spacing w:before="0"/>
              <w:jc w:val="right"/>
              <w:rPr>
                <w:rFonts w:ascii="Arial Narrow" w:eastAsia="Times New Roman" w:hAnsi="Arial Narrow"/>
                <w:i/>
                <w:iCs/>
                <w:color w:val="4BACC6" w:themeColor="accent5"/>
                <w:sz w:val="20"/>
                <w:szCs w:val="20"/>
              </w:rPr>
            </w:pPr>
            <w:r>
              <w:rPr>
                <w:rFonts w:ascii="Arial Narrow" w:hAnsi="Arial Narrow" w:cs="Calibri"/>
                <w:noProof/>
                <w:color w:val="000000"/>
                <w:sz w:val="20"/>
                <w:szCs w:val="20"/>
                <w:highlight w:val="black"/>
              </w:rPr>
              <w:t>''''''''</w:t>
            </w:r>
            <w:r w:rsidR="009F01BB">
              <w:rPr>
                <w:rFonts w:ascii="Arial Narrow" w:hAnsi="Arial Narrow" w:cs="Calibri"/>
                <w:color w:val="000000"/>
                <w:sz w:val="20"/>
                <w:szCs w:val="20"/>
                <w:vertAlign w:val="superscript"/>
              </w:rPr>
              <w:t>3</w:t>
            </w:r>
          </w:p>
        </w:tc>
        <w:tc>
          <w:tcPr>
            <w:tcW w:w="1134" w:type="dxa"/>
            <w:tcBorders>
              <w:top w:val="single" w:sz="4" w:space="0" w:color="auto"/>
              <w:left w:val="single" w:sz="4" w:space="0" w:color="auto"/>
              <w:right w:val="single" w:sz="4" w:space="0" w:color="auto"/>
            </w:tcBorders>
            <w:noWrap/>
            <w:tcMar>
              <w:left w:w="28" w:type="dxa"/>
              <w:right w:w="28" w:type="dxa"/>
            </w:tcMar>
            <w:vAlign w:val="center"/>
          </w:tcPr>
          <w:p w:rsidR="00AE0F58" w:rsidRPr="004B7986" w:rsidRDefault="004B7986" w:rsidP="003D070A">
            <w:pPr>
              <w:keepNext/>
              <w:keepLines/>
              <w:spacing w:before="0"/>
              <w:jc w:val="right"/>
              <w:rPr>
                <w:rFonts w:ascii="Arial Narrow" w:eastAsia="Times New Roman" w:hAnsi="Arial Narrow"/>
                <w:i/>
                <w:iCs/>
                <w:color w:val="4BACC6" w:themeColor="accent5"/>
                <w:sz w:val="20"/>
                <w:szCs w:val="20"/>
              </w:rPr>
            </w:pPr>
            <w:r>
              <w:rPr>
                <w:rFonts w:ascii="Arial Narrow" w:hAnsi="Arial Narrow" w:cs="Calibri"/>
                <w:noProof/>
                <w:color w:val="000000"/>
                <w:sz w:val="20"/>
                <w:szCs w:val="20"/>
                <w:highlight w:val="black"/>
              </w:rPr>
              <w:t>'''''''''</w:t>
            </w:r>
            <w:r w:rsidR="009F01BB">
              <w:rPr>
                <w:rFonts w:ascii="Arial Narrow" w:hAnsi="Arial Narrow" w:cs="Calibri"/>
                <w:color w:val="000000"/>
                <w:sz w:val="20"/>
                <w:szCs w:val="20"/>
                <w:vertAlign w:val="superscript"/>
              </w:rPr>
              <w:t>1</w:t>
            </w:r>
          </w:p>
        </w:tc>
        <w:tc>
          <w:tcPr>
            <w:tcW w:w="1276" w:type="dxa"/>
            <w:tcBorders>
              <w:top w:val="single" w:sz="4" w:space="0" w:color="auto"/>
              <w:left w:val="single" w:sz="4" w:space="0" w:color="auto"/>
              <w:right w:val="single" w:sz="4" w:space="0" w:color="auto"/>
            </w:tcBorders>
            <w:noWrap/>
            <w:tcMar>
              <w:left w:w="28" w:type="dxa"/>
              <w:right w:w="28" w:type="dxa"/>
            </w:tcMar>
            <w:vAlign w:val="center"/>
          </w:tcPr>
          <w:p w:rsidR="00AE0F58" w:rsidRPr="004B7986" w:rsidRDefault="004B7986" w:rsidP="003D070A">
            <w:pPr>
              <w:keepNext/>
              <w:keepLines/>
              <w:spacing w:before="0"/>
              <w:jc w:val="right"/>
              <w:rPr>
                <w:rFonts w:ascii="Arial Narrow" w:eastAsia="Times New Roman" w:hAnsi="Arial Narrow"/>
                <w:i/>
                <w:iCs/>
                <w:color w:val="4BACC6" w:themeColor="accent5"/>
                <w:sz w:val="20"/>
                <w:szCs w:val="20"/>
              </w:rPr>
            </w:pPr>
            <w:r>
              <w:rPr>
                <w:rFonts w:ascii="Arial Narrow" w:hAnsi="Arial Narrow" w:cs="Calibri"/>
                <w:noProof/>
                <w:color w:val="000000"/>
                <w:sz w:val="20"/>
                <w:szCs w:val="20"/>
                <w:highlight w:val="black"/>
              </w:rPr>
              <w:t>'''''''''</w:t>
            </w:r>
            <w:r w:rsidR="009F01BB">
              <w:rPr>
                <w:rFonts w:ascii="Arial Narrow" w:hAnsi="Arial Narrow" w:cs="Calibri"/>
                <w:color w:val="000000"/>
                <w:sz w:val="20"/>
                <w:szCs w:val="20"/>
                <w:vertAlign w:val="superscript"/>
              </w:rPr>
              <w:t>1</w:t>
            </w:r>
          </w:p>
        </w:tc>
        <w:tc>
          <w:tcPr>
            <w:tcW w:w="1134" w:type="dxa"/>
            <w:tcBorders>
              <w:top w:val="single" w:sz="4" w:space="0" w:color="auto"/>
              <w:left w:val="single" w:sz="4" w:space="0" w:color="auto"/>
              <w:right w:val="single" w:sz="4" w:space="0" w:color="auto"/>
            </w:tcBorders>
            <w:noWrap/>
            <w:tcMar>
              <w:left w:w="28" w:type="dxa"/>
              <w:right w:w="28" w:type="dxa"/>
            </w:tcMar>
            <w:vAlign w:val="center"/>
          </w:tcPr>
          <w:p w:rsidR="00AE0F58" w:rsidRPr="004B7986" w:rsidRDefault="004B7986" w:rsidP="003D070A">
            <w:pPr>
              <w:keepNext/>
              <w:keepLines/>
              <w:spacing w:before="0"/>
              <w:jc w:val="right"/>
              <w:rPr>
                <w:rFonts w:ascii="Arial Narrow" w:eastAsia="Times New Roman" w:hAnsi="Arial Narrow"/>
                <w:i/>
                <w:iCs/>
                <w:color w:val="4BACC6" w:themeColor="accent5"/>
                <w:sz w:val="20"/>
                <w:szCs w:val="20"/>
              </w:rPr>
            </w:pPr>
            <w:r>
              <w:rPr>
                <w:rFonts w:ascii="Arial Narrow" w:hAnsi="Arial Narrow" w:cs="Calibri"/>
                <w:noProof/>
                <w:color w:val="000000"/>
                <w:sz w:val="20"/>
                <w:szCs w:val="20"/>
                <w:highlight w:val="black"/>
              </w:rPr>
              <w:t>''''''''</w:t>
            </w:r>
            <w:r w:rsidR="009F01BB">
              <w:rPr>
                <w:rFonts w:ascii="Arial Narrow" w:hAnsi="Arial Narrow" w:cs="Calibri"/>
                <w:color w:val="000000"/>
                <w:sz w:val="20"/>
                <w:szCs w:val="20"/>
                <w:vertAlign w:val="superscript"/>
              </w:rPr>
              <w:t>1</w:t>
            </w:r>
          </w:p>
        </w:tc>
        <w:tc>
          <w:tcPr>
            <w:tcW w:w="1276" w:type="dxa"/>
            <w:tcBorders>
              <w:top w:val="single" w:sz="4" w:space="0" w:color="auto"/>
              <w:left w:val="single" w:sz="4" w:space="0" w:color="auto"/>
              <w:right w:val="single" w:sz="4" w:space="0" w:color="auto"/>
            </w:tcBorders>
            <w:noWrap/>
            <w:tcMar>
              <w:left w:w="28" w:type="dxa"/>
              <w:right w:w="28" w:type="dxa"/>
            </w:tcMar>
            <w:vAlign w:val="center"/>
          </w:tcPr>
          <w:p w:rsidR="00AE0F58" w:rsidRPr="004B7986" w:rsidRDefault="004B7986" w:rsidP="003D070A">
            <w:pPr>
              <w:keepNext/>
              <w:keepLines/>
              <w:spacing w:before="0"/>
              <w:jc w:val="right"/>
              <w:rPr>
                <w:rFonts w:ascii="Arial Narrow" w:eastAsia="Times New Roman" w:hAnsi="Arial Narrow"/>
                <w:i/>
                <w:iCs/>
                <w:color w:val="4BACC6" w:themeColor="accent5"/>
                <w:sz w:val="20"/>
                <w:szCs w:val="20"/>
              </w:rPr>
            </w:pPr>
            <w:r>
              <w:rPr>
                <w:rFonts w:ascii="Arial Narrow" w:hAnsi="Arial Narrow" w:cs="Calibri"/>
                <w:noProof/>
                <w:color w:val="000000"/>
                <w:sz w:val="20"/>
                <w:szCs w:val="20"/>
                <w:highlight w:val="black"/>
              </w:rPr>
              <w:t>'''''''''</w:t>
            </w:r>
            <w:r w:rsidR="009F01BB">
              <w:rPr>
                <w:rFonts w:ascii="Arial Narrow" w:hAnsi="Arial Narrow" w:cs="Calibri"/>
                <w:color w:val="000000"/>
                <w:sz w:val="20"/>
                <w:szCs w:val="20"/>
                <w:vertAlign w:val="superscript"/>
              </w:rPr>
              <w:t>1</w:t>
            </w:r>
          </w:p>
        </w:tc>
        <w:tc>
          <w:tcPr>
            <w:tcW w:w="1133" w:type="dxa"/>
            <w:tcBorders>
              <w:top w:val="single" w:sz="4" w:space="0" w:color="auto"/>
              <w:left w:val="single" w:sz="4" w:space="0" w:color="auto"/>
              <w:right w:val="single" w:sz="4" w:space="0" w:color="auto"/>
            </w:tcBorders>
            <w:noWrap/>
            <w:tcMar>
              <w:left w:w="28" w:type="dxa"/>
              <w:right w:w="28" w:type="dxa"/>
            </w:tcMar>
            <w:vAlign w:val="center"/>
          </w:tcPr>
          <w:p w:rsidR="00AE0F58" w:rsidRPr="004B7986" w:rsidRDefault="004B7986" w:rsidP="003D070A">
            <w:pPr>
              <w:keepNext/>
              <w:keepLines/>
              <w:spacing w:before="0"/>
              <w:jc w:val="right"/>
              <w:rPr>
                <w:rFonts w:ascii="Arial Narrow" w:eastAsia="Times New Roman" w:hAnsi="Arial Narrow"/>
                <w:i/>
                <w:iCs/>
                <w:color w:val="4BACC6" w:themeColor="accent5"/>
                <w:sz w:val="20"/>
                <w:szCs w:val="20"/>
              </w:rPr>
            </w:pPr>
            <w:r>
              <w:rPr>
                <w:rFonts w:ascii="Arial Narrow" w:hAnsi="Arial Narrow" w:cs="Calibri"/>
                <w:noProof/>
                <w:color w:val="000000"/>
                <w:sz w:val="20"/>
                <w:szCs w:val="20"/>
                <w:highlight w:val="black"/>
              </w:rPr>
              <w:t>''''''''''</w:t>
            </w:r>
            <w:r w:rsidR="009F01BB">
              <w:rPr>
                <w:rFonts w:ascii="Arial Narrow" w:hAnsi="Arial Narrow" w:cs="Calibri"/>
                <w:color w:val="000000"/>
                <w:sz w:val="20"/>
                <w:szCs w:val="20"/>
                <w:vertAlign w:val="superscript"/>
              </w:rPr>
              <w:t>3</w:t>
            </w:r>
          </w:p>
        </w:tc>
        <w:tc>
          <w:tcPr>
            <w:tcW w:w="1276" w:type="dxa"/>
            <w:tcBorders>
              <w:top w:val="single" w:sz="4" w:space="0" w:color="auto"/>
              <w:left w:val="single" w:sz="4" w:space="0" w:color="auto"/>
              <w:right w:val="single" w:sz="4" w:space="0" w:color="auto"/>
            </w:tcBorders>
            <w:tcMar>
              <w:left w:w="28" w:type="dxa"/>
              <w:right w:w="28" w:type="dxa"/>
            </w:tcMar>
            <w:vAlign w:val="center"/>
          </w:tcPr>
          <w:p w:rsidR="00AE0F58" w:rsidRPr="00F573A7" w:rsidRDefault="00AE0F58" w:rsidP="0006229B">
            <w:pPr>
              <w:keepNext/>
              <w:keepLines/>
              <w:spacing w:before="0"/>
              <w:jc w:val="center"/>
              <w:rPr>
                <w:rFonts w:ascii="Arial Narrow" w:eastAsia="Times New Roman" w:hAnsi="Arial Narrow"/>
                <w:sz w:val="20"/>
                <w:szCs w:val="20"/>
              </w:rPr>
            </w:pPr>
            <w:r w:rsidRPr="00F573A7">
              <w:rPr>
                <w:rFonts w:ascii="Arial Narrow" w:hAnsi="Arial Narrow"/>
                <w:sz w:val="20"/>
                <w:szCs w:val="20"/>
              </w:rPr>
              <w:t xml:space="preserve">Row I, Table </w:t>
            </w:r>
            <w:r w:rsidR="0006229B" w:rsidRPr="00F573A7">
              <w:rPr>
                <w:rFonts w:ascii="Arial Narrow" w:hAnsi="Arial Narrow"/>
                <w:sz w:val="20"/>
                <w:szCs w:val="20"/>
              </w:rPr>
              <w:t>6</w:t>
            </w:r>
          </w:p>
        </w:tc>
      </w:tr>
      <w:tr w:rsidR="00AE0F58" w:rsidRPr="00F573A7" w:rsidTr="00C07E24">
        <w:trPr>
          <w:trHeight w:val="252"/>
        </w:trPr>
        <w:tc>
          <w:tcPr>
            <w:tcW w:w="99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E0F58" w:rsidRPr="00F573A7" w:rsidRDefault="00AE0F58" w:rsidP="0006229B">
            <w:pPr>
              <w:keepNext/>
              <w:keepLines/>
              <w:spacing w:before="0"/>
              <w:jc w:val="left"/>
              <w:rPr>
                <w:rFonts w:ascii="Arial Narrow" w:eastAsia="Times New Roman" w:hAnsi="Arial Narrow"/>
                <w:iCs/>
                <w:sz w:val="20"/>
                <w:szCs w:val="20"/>
              </w:rPr>
            </w:pPr>
            <w:r w:rsidRPr="00F573A7">
              <w:rPr>
                <w:rFonts w:ascii="Arial Narrow" w:hAnsi="Arial Narrow"/>
                <w:iCs/>
                <w:sz w:val="20"/>
                <w:szCs w:val="20"/>
              </w:rPr>
              <w:t xml:space="preserve">Cost to PBS/RPBS </w:t>
            </w:r>
          </w:p>
        </w:tc>
        <w:tc>
          <w:tcPr>
            <w:tcW w:w="113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AE0F58" w:rsidRPr="00F573A7" w:rsidRDefault="00AE0F58" w:rsidP="003D070A">
            <w:pPr>
              <w:keepNext/>
              <w:keepLines/>
              <w:spacing w:before="0"/>
              <w:jc w:val="right"/>
              <w:rPr>
                <w:rFonts w:ascii="Arial Narrow" w:hAnsi="Arial Narrow" w:cs="Calibri"/>
                <w:color w:val="000000"/>
                <w:sz w:val="20"/>
                <w:szCs w:val="20"/>
              </w:rPr>
            </w:pPr>
            <w:r w:rsidRPr="00F573A7">
              <w:rPr>
                <w:rFonts w:ascii="Arial Narrow" w:hAnsi="Arial Narrow" w:cs="Calibri"/>
                <w:color w:val="000000"/>
                <w:sz w:val="20"/>
                <w:szCs w:val="20"/>
              </w:rPr>
              <w:t>$</w:t>
            </w:r>
            <w:r w:rsidR="004B7986">
              <w:rPr>
                <w:rFonts w:ascii="Arial Narrow" w:hAnsi="Arial Narrow" w:cs="Calibri"/>
                <w:noProof/>
                <w:color w:val="000000"/>
                <w:sz w:val="20"/>
                <w:szCs w:val="20"/>
                <w:highlight w:val="black"/>
              </w:rPr>
              <w:t>'''''''''''''''''''''</w:t>
            </w:r>
            <w:r w:rsidR="009F01BB">
              <w:rPr>
                <w:rFonts w:ascii="Arial Narrow" w:hAnsi="Arial Narrow" w:cs="Calibri"/>
                <w:color w:val="000000"/>
                <w:sz w:val="20"/>
                <w:szCs w:val="20"/>
                <w:vertAlign w:val="superscript"/>
              </w:rPr>
              <w:t>2</w:t>
            </w:r>
          </w:p>
        </w:tc>
        <w:tc>
          <w:tcPr>
            <w:tcW w:w="113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AE0F58" w:rsidRPr="00F573A7" w:rsidRDefault="00AE0F58" w:rsidP="003D070A">
            <w:pPr>
              <w:keepNext/>
              <w:keepLines/>
              <w:spacing w:before="0"/>
              <w:jc w:val="right"/>
              <w:rPr>
                <w:rFonts w:ascii="Arial Narrow" w:hAnsi="Arial Narrow" w:cs="Calibri"/>
                <w:color w:val="000000"/>
                <w:sz w:val="20"/>
                <w:szCs w:val="20"/>
              </w:rPr>
            </w:pPr>
            <w:r w:rsidRPr="00F573A7">
              <w:rPr>
                <w:rFonts w:ascii="Arial Narrow" w:hAnsi="Arial Narrow" w:cs="Calibri"/>
                <w:color w:val="000000"/>
                <w:sz w:val="20"/>
                <w:szCs w:val="20"/>
              </w:rPr>
              <w:t>$</w:t>
            </w:r>
            <w:r w:rsidR="004B7986">
              <w:rPr>
                <w:rFonts w:ascii="Arial Narrow" w:hAnsi="Arial Narrow" w:cs="Calibri"/>
                <w:noProof/>
                <w:color w:val="000000"/>
                <w:sz w:val="20"/>
                <w:szCs w:val="20"/>
                <w:highlight w:val="black"/>
              </w:rPr>
              <w:t>''''''''''''''''''''''''''</w:t>
            </w:r>
            <w:r w:rsidR="009F01BB">
              <w:rPr>
                <w:rFonts w:ascii="Arial Narrow" w:hAnsi="Arial Narrow" w:cs="Calibri"/>
                <w:color w:val="000000"/>
                <w:sz w:val="20"/>
                <w:szCs w:val="20"/>
                <w:vertAlign w:val="superscript"/>
              </w:rPr>
              <w:t>4</w:t>
            </w:r>
          </w:p>
        </w:tc>
        <w:tc>
          <w:tcPr>
            <w:tcW w:w="1276"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AE0F58" w:rsidRPr="00F573A7" w:rsidRDefault="00AE0F58" w:rsidP="003D070A">
            <w:pPr>
              <w:keepNext/>
              <w:keepLines/>
              <w:spacing w:before="0"/>
              <w:jc w:val="right"/>
              <w:rPr>
                <w:rFonts w:ascii="Arial Narrow" w:hAnsi="Arial Narrow" w:cs="Calibri"/>
                <w:color w:val="000000"/>
                <w:sz w:val="20"/>
                <w:szCs w:val="20"/>
              </w:rPr>
            </w:pPr>
            <w:r w:rsidRPr="00F573A7">
              <w:rPr>
                <w:rFonts w:ascii="Arial Narrow" w:hAnsi="Arial Narrow" w:cs="Calibri"/>
                <w:color w:val="000000"/>
                <w:sz w:val="20"/>
                <w:szCs w:val="20"/>
              </w:rPr>
              <w:t>$</w:t>
            </w:r>
            <w:r w:rsidR="004B7986">
              <w:rPr>
                <w:rFonts w:ascii="Arial Narrow" w:hAnsi="Arial Narrow" w:cs="Calibri"/>
                <w:noProof/>
                <w:color w:val="000000"/>
                <w:sz w:val="20"/>
                <w:szCs w:val="20"/>
                <w:highlight w:val="black"/>
              </w:rPr>
              <w:t>'''''''''''''''''''''''''</w:t>
            </w:r>
            <w:r w:rsidR="009F01BB">
              <w:rPr>
                <w:rFonts w:ascii="Arial Narrow" w:hAnsi="Arial Narrow" w:cs="Calibri"/>
                <w:color w:val="000000"/>
                <w:sz w:val="20"/>
                <w:szCs w:val="20"/>
                <w:vertAlign w:val="superscript"/>
              </w:rPr>
              <w:t>4</w:t>
            </w:r>
          </w:p>
        </w:tc>
        <w:tc>
          <w:tcPr>
            <w:tcW w:w="113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AE0F58" w:rsidRPr="00F573A7" w:rsidRDefault="00AE0F58" w:rsidP="003D070A">
            <w:pPr>
              <w:keepNext/>
              <w:keepLines/>
              <w:spacing w:before="0"/>
              <w:jc w:val="right"/>
              <w:rPr>
                <w:rFonts w:ascii="Arial Narrow" w:hAnsi="Arial Narrow" w:cs="Calibri"/>
                <w:color w:val="000000"/>
                <w:sz w:val="20"/>
                <w:szCs w:val="20"/>
              </w:rPr>
            </w:pPr>
            <w:r w:rsidRPr="00F573A7">
              <w:rPr>
                <w:rFonts w:ascii="Arial Narrow" w:hAnsi="Arial Narrow" w:cs="Calibri"/>
                <w:color w:val="000000"/>
                <w:sz w:val="20"/>
                <w:szCs w:val="20"/>
              </w:rPr>
              <w:t>$</w:t>
            </w:r>
            <w:r w:rsidR="004B7986">
              <w:rPr>
                <w:rFonts w:ascii="Arial Narrow" w:hAnsi="Arial Narrow" w:cs="Calibri"/>
                <w:noProof/>
                <w:color w:val="000000"/>
                <w:sz w:val="20"/>
                <w:szCs w:val="20"/>
                <w:highlight w:val="black"/>
              </w:rPr>
              <w:t>'''''''''''''''''''''''''''''</w:t>
            </w:r>
            <w:r w:rsidR="009F01BB">
              <w:rPr>
                <w:rFonts w:ascii="Arial Narrow" w:hAnsi="Arial Narrow" w:cs="Calibri"/>
                <w:color w:val="000000"/>
                <w:sz w:val="20"/>
                <w:szCs w:val="20"/>
                <w:vertAlign w:val="superscript"/>
              </w:rPr>
              <w:t>4</w:t>
            </w:r>
          </w:p>
        </w:tc>
        <w:tc>
          <w:tcPr>
            <w:tcW w:w="1276"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AE0F58" w:rsidRPr="00F573A7" w:rsidRDefault="00AE0F58" w:rsidP="003D070A">
            <w:pPr>
              <w:keepNext/>
              <w:keepLines/>
              <w:spacing w:before="0"/>
              <w:jc w:val="right"/>
              <w:rPr>
                <w:rFonts w:ascii="Arial Narrow" w:hAnsi="Arial Narrow" w:cs="Calibri"/>
                <w:color w:val="000000"/>
                <w:sz w:val="20"/>
                <w:szCs w:val="20"/>
              </w:rPr>
            </w:pPr>
            <w:r w:rsidRPr="00F573A7">
              <w:rPr>
                <w:rFonts w:ascii="Arial Narrow" w:hAnsi="Arial Narrow" w:cs="Calibri"/>
                <w:color w:val="000000"/>
                <w:sz w:val="20"/>
                <w:szCs w:val="20"/>
              </w:rPr>
              <w:t>$</w:t>
            </w:r>
            <w:r w:rsidR="004B7986">
              <w:rPr>
                <w:rFonts w:ascii="Arial Narrow" w:hAnsi="Arial Narrow" w:cs="Calibri"/>
                <w:noProof/>
                <w:color w:val="000000"/>
                <w:sz w:val="20"/>
                <w:szCs w:val="20"/>
                <w:highlight w:val="black"/>
              </w:rPr>
              <w:t>'''''''''''''''''''''''''''</w:t>
            </w:r>
            <w:r w:rsidR="009F01BB">
              <w:rPr>
                <w:rFonts w:ascii="Arial Narrow" w:hAnsi="Arial Narrow" w:cs="Calibri"/>
                <w:color w:val="000000"/>
                <w:sz w:val="20"/>
                <w:szCs w:val="20"/>
                <w:vertAlign w:val="superscript"/>
              </w:rPr>
              <w:t>4</w:t>
            </w:r>
          </w:p>
        </w:tc>
        <w:tc>
          <w:tcPr>
            <w:tcW w:w="113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AE0F58" w:rsidRPr="00F573A7" w:rsidRDefault="00AE0F58" w:rsidP="003D070A">
            <w:pPr>
              <w:keepNext/>
              <w:keepLines/>
              <w:spacing w:before="0"/>
              <w:jc w:val="right"/>
              <w:rPr>
                <w:rFonts w:ascii="Arial Narrow" w:hAnsi="Arial Narrow" w:cs="Calibri"/>
                <w:color w:val="000000"/>
                <w:sz w:val="20"/>
                <w:szCs w:val="20"/>
              </w:rPr>
            </w:pPr>
            <w:r w:rsidRPr="00F573A7">
              <w:rPr>
                <w:rFonts w:ascii="Arial Narrow" w:hAnsi="Arial Narrow" w:cs="Calibri"/>
                <w:color w:val="000000"/>
                <w:sz w:val="20"/>
                <w:szCs w:val="20"/>
              </w:rPr>
              <w:t>$</w:t>
            </w:r>
            <w:r w:rsidR="004B7986">
              <w:rPr>
                <w:rFonts w:ascii="Arial Narrow" w:hAnsi="Arial Narrow" w:cs="Calibri"/>
                <w:noProof/>
                <w:color w:val="000000"/>
                <w:sz w:val="20"/>
                <w:szCs w:val="20"/>
                <w:highlight w:val="black"/>
              </w:rPr>
              <w:t>''''''''''''''''''''''''''</w:t>
            </w:r>
            <w:r w:rsidR="009F01BB">
              <w:rPr>
                <w:rFonts w:ascii="Arial Narrow" w:hAnsi="Arial Narrow" w:cs="Calibri"/>
                <w:color w:val="000000"/>
                <w:sz w:val="20"/>
                <w:szCs w:val="20"/>
                <w:vertAlign w:val="superscript"/>
              </w:rPr>
              <w:t>4</w:t>
            </w:r>
          </w:p>
        </w:tc>
        <w:tc>
          <w:tcPr>
            <w:tcW w:w="1276" w:type="dxa"/>
            <w:tcBorders>
              <w:left w:val="single" w:sz="4" w:space="0" w:color="auto"/>
              <w:bottom w:val="single" w:sz="4" w:space="0" w:color="auto"/>
              <w:right w:val="single" w:sz="4" w:space="0" w:color="auto"/>
            </w:tcBorders>
            <w:tcMar>
              <w:left w:w="28" w:type="dxa"/>
              <w:right w:w="28" w:type="dxa"/>
            </w:tcMar>
            <w:vAlign w:val="center"/>
          </w:tcPr>
          <w:p w:rsidR="00AE0F58" w:rsidRPr="00F573A7" w:rsidRDefault="00927E81" w:rsidP="0006229B">
            <w:pPr>
              <w:keepNext/>
              <w:keepLines/>
              <w:spacing w:before="0"/>
              <w:jc w:val="center"/>
              <w:rPr>
                <w:rFonts w:ascii="Arial Narrow" w:hAnsi="Arial Narrow" w:cs="Calibri"/>
                <w:color w:val="000000"/>
                <w:sz w:val="20"/>
                <w:szCs w:val="20"/>
              </w:rPr>
            </w:pPr>
            <w:r w:rsidRPr="00927E81">
              <w:rPr>
                <w:rFonts w:ascii="Arial Narrow" w:hAnsi="Arial Narrow" w:cs="Calibri"/>
                <w:color w:val="000000"/>
                <w:sz w:val="20"/>
                <w:szCs w:val="20"/>
              </w:rPr>
              <w:t>Attachment 4 of July 2021 submission</w:t>
            </w:r>
          </w:p>
        </w:tc>
      </w:tr>
      <w:tr w:rsidR="009F01BB" w:rsidRPr="00F573A7" w:rsidTr="00C07E24">
        <w:trPr>
          <w:trHeight w:val="252"/>
        </w:trPr>
        <w:tc>
          <w:tcPr>
            <w:tcW w:w="99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F01BB" w:rsidRPr="00F573A7" w:rsidRDefault="009F01BB" w:rsidP="009F01BB">
            <w:pPr>
              <w:keepNext/>
              <w:keepLines/>
              <w:spacing w:before="0"/>
              <w:jc w:val="left"/>
              <w:rPr>
                <w:rFonts w:ascii="Arial Narrow" w:eastAsia="Times New Roman" w:hAnsi="Arial Narrow"/>
                <w:iCs/>
                <w:sz w:val="20"/>
                <w:szCs w:val="20"/>
              </w:rPr>
            </w:pPr>
            <w:r w:rsidRPr="00F573A7">
              <w:rPr>
                <w:rFonts w:ascii="Arial Narrow" w:hAnsi="Arial Narrow"/>
                <w:iCs/>
                <w:sz w:val="20"/>
                <w:szCs w:val="20"/>
              </w:rPr>
              <w:t>Cost offsets (substituted therapies)</w:t>
            </w:r>
          </w:p>
        </w:tc>
        <w:tc>
          <w:tcPr>
            <w:tcW w:w="113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9F01BB" w:rsidRPr="00F573A7" w:rsidRDefault="009F01BB" w:rsidP="009F01BB">
            <w:pPr>
              <w:keepNext/>
              <w:keepLines/>
              <w:spacing w:before="0"/>
              <w:jc w:val="right"/>
              <w:rPr>
                <w:rFonts w:ascii="Arial Narrow" w:hAnsi="Arial Narrow" w:cs="Calibri"/>
                <w:color w:val="000000"/>
                <w:sz w:val="20"/>
                <w:szCs w:val="20"/>
              </w:rPr>
            </w:pPr>
            <w:r w:rsidRPr="00F573A7">
              <w:rPr>
                <w:rFonts w:ascii="Arial Narrow" w:hAnsi="Arial Narrow" w:cs="Calibri"/>
                <w:color w:val="000000"/>
                <w:sz w:val="20"/>
                <w:szCs w:val="20"/>
              </w:rPr>
              <w:t>$</w:t>
            </w:r>
            <w:r w:rsidR="004B7986">
              <w:rPr>
                <w:rFonts w:ascii="Arial Narrow" w:hAnsi="Arial Narrow" w:cs="Calibri"/>
                <w:noProof/>
                <w:color w:val="000000"/>
                <w:sz w:val="20"/>
                <w:szCs w:val="20"/>
                <w:highlight w:val="black"/>
              </w:rPr>
              <w:t>'''</w:t>
            </w:r>
            <w:r>
              <w:rPr>
                <w:rFonts w:ascii="Arial Narrow" w:hAnsi="Arial Narrow" w:cs="Calibri"/>
                <w:color w:val="000000"/>
                <w:sz w:val="20"/>
                <w:szCs w:val="20"/>
                <w:vertAlign w:val="superscript"/>
              </w:rPr>
              <w:t>2</w:t>
            </w:r>
          </w:p>
        </w:tc>
        <w:tc>
          <w:tcPr>
            <w:tcW w:w="113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9F01BB" w:rsidRPr="00F573A7" w:rsidRDefault="009F01BB" w:rsidP="009F01BB">
            <w:pPr>
              <w:keepNext/>
              <w:keepLines/>
              <w:spacing w:before="0"/>
              <w:jc w:val="right"/>
              <w:rPr>
                <w:rFonts w:ascii="Arial Narrow" w:hAnsi="Arial Narrow" w:cs="Calibri"/>
                <w:color w:val="000000"/>
                <w:sz w:val="20"/>
                <w:szCs w:val="20"/>
              </w:rPr>
            </w:pPr>
            <w:r w:rsidRPr="00F573A7">
              <w:rPr>
                <w:rFonts w:ascii="Arial Narrow" w:hAnsi="Arial Narrow" w:cs="Calibri"/>
                <w:color w:val="000000"/>
                <w:sz w:val="20"/>
                <w:szCs w:val="20"/>
              </w:rPr>
              <w:t>$</w:t>
            </w:r>
            <w:r w:rsidR="004B7986">
              <w:rPr>
                <w:rFonts w:ascii="Arial Narrow" w:hAnsi="Arial Narrow" w:cs="Calibri"/>
                <w:noProof/>
                <w:color w:val="000000"/>
                <w:sz w:val="20"/>
                <w:szCs w:val="20"/>
                <w:highlight w:val="black"/>
              </w:rPr>
              <w:t>'''</w:t>
            </w:r>
            <w:r>
              <w:rPr>
                <w:rFonts w:ascii="Arial Narrow" w:hAnsi="Arial Narrow" w:cs="Calibri"/>
                <w:color w:val="000000"/>
                <w:sz w:val="20"/>
                <w:szCs w:val="20"/>
                <w:vertAlign w:val="superscript"/>
              </w:rPr>
              <w:t>2</w:t>
            </w:r>
          </w:p>
        </w:tc>
        <w:tc>
          <w:tcPr>
            <w:tcW w:w="1276"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9F01BB" w:rsidRPr="00F573A7" w:rsidRDefault="009F01BB" w:rsidP="009F01BB">
            <w:pPr>
              <w:keepNext/>
              <w:keepLines/>
              <w:spacing w:before="0"/>
              <w:jc w:val="right"/>
              <w:rPr>
                <w:rFonts w:ascii="Arial Narrow" w:hAnsi="Arial Narrow" w:cs="Calibri"/>
                <w:color w:val="000000"/>
                <w:sz w:val="20"/>
                <w:szCs w:val="20"/>
              </w:rPr>
            </w:pPr>
            <w:r w:rsidRPr="00F573A7">
              <w:rPr>
                <w:rFonts w:ascii="Arial Narrow" w:hAnsi="Arial Narrow" w:cs="Calibri"/>
                <w:color w:val="000000"/>
                <w:sz w:val="20"/>
                <w:szCs w:val="20"/>
              </w:rPr>
              <w:t>$</w:t>
            </w:r>
            <w:r w:rsidR="004B7986">
              <w:rPr>
                <w:rFonts w:ascii="Arial Narrow" w:hAnsi="Arial Narrow" w:cs="Calibri"/>
                <w:noProof/>
                <w:color w:val="000000"/>
                <w:sz w:val="20"/>
                <w:szCs w:val="20"/>
                <w:highlight w:val="black"/>
              </w:rPr>
              <w:t>''''</w:t>
            </w:r>
            <w:r>
              <w:rPr>
                <w:rFonts w:ascii="Arial Narrow" w:hAnsi="Arial Narrow" w:cs="Calibri"/>
                <w:color w:val="000000"/>
                <w:sz w:val="20"/>
                <w:szCs w:val="20"/>
                <w:vertAlign w:val="superscript"/>
              </w:rPr>
              <w:t>2</w:t>
            </w:r>
          </w:p>
        </w:tc>
        <w:tc>
          <w:tcPr>
            <w:tcW w:w="113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9F01BB" w:rsidRPr="00F573A7" w:rsidRDefault="009F01BB" w:rsidP="009F01BB">
            <w:pPr>
              <w:keepNext/>
              <w:keepLines/>
              <w:spacing w:before="0"/>
              <w:jc w:val="right"/>
              <w:rPr>
                <w:rFonts w:ascii="Arial Narrow" w:hAnsi="Arial Narrow" w:cs="Calibri"/>
                <w:color w:val="000000"/>
                <w:sz w:val="20"/>
                <w:szCs w:val="20"/>
              </w:rPr>
            </w:pPr>
            <w:r w:rsidRPr="00F573A7">
              <w:rPr>
                <w:rFonts w:ascii="Arial Narrow" w:hAnsi="Arial Narrow" w:cs="Calibri"/>
                <w:color w:val="000000"/>
                <w:sz w:val="20"/>
                <w:szCs w:val="20"/>
              </w:rPr>
              <w:t>$</w:t>
            </w:r>
            <w:r w:rsidR="004B7986">
              <w:rPr>
                <w:rFonts w:ascii="Arial Narrow" w:hAnsi="Arial Narrow" w:cs="Calibri"/>
                <w:noProof/>
                <w:color w:val="000000"/>
                <w:sz w:val="20"/>
                <w:szCs w:val="20"/>
                <w:highlight w:val="black"/>
              </w:rPr>
              <w:t>'''</w:t>
            </w:r>
            <w:r>
              <w:rPr>
                <w:rFonts w:ascii="Arial Narrow" w:hAnsi="Arial Narrow" w:cs="Calibri"/>
                <w:color w:val="000000"/>
                <w:sz w:val="20"/>
                <w:szCs w:val="20"/>
                <w:vertAlign w:val="superscript"/>
              </w:rPr>
              <w:t>2</w:t>
            </w:r>
          </w:p>
        </w:tc>
        <w:tc>
          <w:tcPr>
            <w:tcW w:w="1276"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9F01BB" w:rsidRPr="00F573A7" w:rsidRDefault="009F01BB" w:rsidP="009F01BB">
            <w:pPr>
              <w:keepNext/>
              <w:keepLines/>
              <w:spacing w:before="0"/>
              <w:jc w:val="right"/>
              <w:rPr>
                <w:rFonts w:ascii="Arial Narrow" w:hAnsi="Arial Narrow" w:cs="Calibri"/>
                <w:color w:val="000000"/>
                <w:sz w:val="20"/>
                <w:szCs w:val="20"/>
              </w:rPr>
            </w:pPr>
            <w:r w:rsidRPr="00F573A7">
              <w:rPr>
                <w:rFonts w:ascii="Arial Narrow" w:hAnsi="Arial Narrow" w:cs="Calibri"/>
                <w:color w:val="000000"/>
                <w:sz w:val="20"/>
                <w:szCs w:val="20"/>
              </w:rPr>
              <w:t>$</w:t>
            </w:r>
            <w:r w:rsidR="004B7986">
              <w:rPr>
                <w:rFonts w:ascii="Arial Narrow" w:hAnsi="Arial Narrow" w:cs="Calibri"/>
                <w:noProof/>
                <w:color w:val="000000"/>
                <w:sz w:val="20"/>
                <w:szCs w:val="20"/>
                <w:highlight w:val="black"/>
              </w:rPr>
              <w:t>'''</w:t>
            </w:r>
            <w:r>
              <w:rPr>
                <w:rFonts w:ascii="Arial Narrow" w:hAnsi="Arial Narrow" w:cs="Calibri"/>
                <w:color w:val="000000"/>
                <w:sz w:val="20"/>
                <w:szCs w:val="20"/>
                <w:vertAlign w:val="superscript"/>
              </w:rPr>
              <w:t>2</w:t>
            </w:r>
          </w:p>
        </w:tc>
        <w:tc>
          <w:tcPr>
            <w:tcW w:w="113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9F01BB" w:rsidRPr="00F573A7" w:rsidRDefault="009F01BB" w:rsidP="009F01BB">
            <w:pPr>
              <w:keepNext/>
              <w:keepLines/>
              <w:spacing w:before="0"/>
              <w:jc w:val="right"/>
              <w:rPr>
                <w:rFonts w:ascii="Arial Narrow" w:hAnsi="Arial Narrow" w:cs="Calibri"/>
                <w:color w:val="000000"/>
                <w:sz w:val="20"/>
                <w:szCs w:val="20"/>
              </w:rPr>
            </w:pPr>
            <w:r w:rsidRPr="00F573A7">
              <w:rPr>
                <w:rFonts w:ascii="Arial Narrow" w:hAnsi="Arial Narrow" w:cs="Calibri"/>
                <w:color w:val="000000"/>
                <w:sz w:val="20"/>
                <w:szCs w:val="20"/>
              </w:rPr>
              <w:t>$</w:t>
            </w:r>
            <w:r w:rsidR="004B7986">
              <w:rPr>
                <w:rFonts w:ascii="Arial Narrow" w:hAnsi="Arial Narrow" w:cs="Calibri"/>
                <w:noProof/>
                <w:color w:val="000000"/>
                <w:sz w:val="20"/>
                <w:szCs w:val="20"/>
                <w:highlight w:val="black"/>
              </w:rPr>
              <w:t>'''</w:t>
            </w:r>
            <w:r>
              <w:rPr>
                <w:rFonts w:ascii="Arial Narrow" w:hAnsi="Arial Narrow" w:cs="Calibri"/>
                <w:color w:val="000000"/>
                <w:sz w:val="20"/>
                <w:szCs w:val="20"/>
                <w:vertAlign w:val="superscript"/>
              </w:rPr>
              <w:t>2</w:t>
            </w:r>
          </w:p>
        </w:tc>
        <w:tc>
          <w:tcPr>
            <w:tcW w:w="127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F01BB" w:rsidRPr="00F573A7" w:rsidRDefault="009F01BB" w:rsidP="009F01BB">
            <w:pPr>
              <w:keepNext/>
              <w:keepLines/>
              <w:spacing w:before="0"/>
              <w:jc w:val="center"/>
              <w:rPr>
                <w:rFonts w:ascii="Arial Narrow" w:hAnsi="Arial Narrow" w:cs="Calibri"/>
                <w:color w:val="000000"/>
                <w:sz w:val="20"/>
                <w:szCs w:val="20"/>
              </w:rPr>
            </w:pPr>
            <w:r w:rsidRPr="00F573A7">
              <w:rPr>
                <w:rFonts w:ascii="Arial Narrow" w:hAnsi="Arial Narrow" w:cs="Calibri"/>
                <w:color w:val="000000"/>
                <w:sz w:val="20"/>
                <w:szCs w:val="20"/>
              </w:rPr>
              <w:t>NA</w:t>
            </w:r>
          </w:p>
        </w:tc>
      </w:tr>
      <w:tr w:rsidR="003C35B3" w:rsidRPr="00F573A7" w:rsidTr="00C07E24">
        <w:trPr>
          <w:trHeight w:val="252"/>
        </w:trPr>
        <w:tc>
          <w:tcPr>
            <w:tcW w:w="99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75F56" w:rsidRPr="00F573A7" w:rsidRDefault="00E75F56" w:rsidP="0006229B">
            <w:pPr>
              <w:keepNext/>
              <w:keepLines/>
              <w:spacing w:before="0"/>
              <w:jc w:val="left"/>
              <w:rPr>
                <w:rFonts w:ascii="Arial Narrow" w:eastAsia="Times New Roman" w:hAnsi="Arial Narrow"/>
                <w:iCs/>
                <w:sz w:val="20"/>
                <w:szCs w:val="20"/>
              </w:rPr>
            </w:pPr>
            <w:r w:rsidRPr="00F573A7">
              <w:rPr>
                <w:rFonts w:ascii="Arial Narrow" w:hAnsi="Arial Narrow"/>
                <w:iCs/>
                <w:sz w:val="20"/>
                <w:szCs w:val="20"/>
              </w:rPr>
              <w:t xml:space="preserve">Cost-offsets </w:t>
            </w:r>
            <w:r w:rsidR="003C35B3" w:rsidRPr="00F573A7">
              <w:rPr>
                <w:rFonts w:ascii="Arial Narrow" w:hAnsi="Arial Narrow"/>
                <w:iCs/>
                <w:sz w:val="20"/>
                <w:szCs w:val="20"/>
              </w:rPr>
              <w:t>(</w:t>
            </w:r>
            <w:r w:rsidRPr="00F573A7">
              <w:rPr>
                <w:rFonts w:ascii="Arial Narrow" w:hAnsi="Arial Narrow"/>
                <w:iCs/>
                <w:sz w:val="20"/>
                <w:szCs w:val="20"/>
              </w:rPr>
              <w:t>prevention of downstream therapy)</w:t>
            </w:r>
          </w:p>
        </w:tc>
        <w:tc>
          <w:tcPr>
            <w:tcW w:w="113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E75F56" w:rsidRPr="00F573A7" w:rsidRDefault="00E75F56" w:rsidP="003D070A">
            <w:pPr>
              <w:keepNext/>
              <w:keepLines/>
              <w:spacing w:before="0"/>
              <w:jc w:val="right"/>
              <w:rPr>
                <w:rFonts w:ascii="Arial Narrow" w:hAnsi="Arial Narrow" w:cs="Calibri"/>
                <w:sz w:val="20"/>
                <w:szCs w:val="20"/>
              </w:rPr>
            </w:pPr>
            <w:r w:rsidRPr="00F573A7">
              <w:rPr>
                <w:rFonts w:ascii="Arial Narrow" w:hAnsi="Arial Narrow" w:cs="Calibri"/>
                <w:sz w:val="20"/>
                <w:szCs w:val="20"/>
              </w:rPr>
              <w:t>-$</w:t>
            </w:r>
            <w:r w:rsidR="004B7986">
              <w:rPr>
                <w:rFonts w:ascii="Arial Narrow" w:hAnsi="Arial Narrow" w:cs="Calibri"/>
                <w:noProof/>
                <w:color w:val="000000"/>
                <w:sz w:val="20"/>
                <w:szCs w:val="20"/>
                <w:highlight w:val="black"/>
              </w:rPr>
              <w:t>''''''''''''''''''''</w:t>
            </w:r>
            <w:r w:rsidR="009F01BB">
              <w:rPr>
                <w:rFonts w:ascii="Arial Narrow" w:hAnsi="Arial Narrow" w:cs="Calibri"/>
                <w:color w:val="000000"/>
                <w:sz w:val="20"/>
                <w:szCs w:val="20"/>
                <w:vertAlign w:val="superscript"/>
              </w:rPr>
              <w:t>2</w:t>
            </w:r>
          </w:p>
        </w:tc>
        <w:tc>
          <w:tcPr>
            <w:tcW w:w="113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E75F56" w:rsidRPr="00F573A7" w:rsidRDefault="00E75F56" w:rsidP="003D070A">
            <w:pPr>
              <w:keepNext/>
              <w:keepLines/>
              <w:spacing w:before="0"/>
              <w:jc w:val="right"/>
              <w:rPr>
                <w:rFonts w:ascii="Arial Narrow" w:hAnsi="Arial Narrow" w:cs="Calibri"/>
                <w:sz w:val="20"/>
                <w:szCs w:val="20"/>
              </w:rPr>
            </w:pPr>
            <w:r w:rsidRPr="00F573A7">
              <w:rPr>
                <w:rFonts w:ascii="Arial Narrow" w:hAnsi="Arial Narrow" w:cs="Calibri"/>
                <w:sz w:val="20"/>
                <w:szCs w:val="20"/>
              </w:rPr>
              <w:t>-$</w:t>
            </w:r>
            <w:r w:rsidR="004B7986">
              <w:rPr>
                <w:rFonts w:ascii="Arial Narrow" w:hAnsi="Arial Narrow" w:cs="Calibri"/>
                <w:noProof/>
                <w:color w:val="000000"/>
                <w:sz w:val="20"/>
                <w:szCs w:val="20"/>
                <w:highlight w:val="black"/>
              </w:rPr>
              <w:t>'''''''''''''''''''''''</w:t>
            </w:r>
            <w:r w:rsidR="009F01BB">
              <w:rPr>
                <w:rFonts w:ascii="Arial Narrow" w:hAnsi="Arial Narrow" w:cs="Calibri"/>
                <w:color w:val="000000"/>
                <w:sz w:val="20"/>
                <w:szCs w:val="20"/>
                <w:vertAlign w:val="superscript"/>
              </w:rPr>
              <w:t>2</w:t>
            </w:r>
          </w:p>
        </w:tc>
        <w:tc>
          <w:tcPr>
            <w:tcW w:w="1276"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E75F56" w:rsidRPr="00F573A7" w:rsidRDefault="00E75F56" w:rsidP="003D070A">
            <w:pPr>
              <w:keepNext/>
              <w:keepLines/>
              <w:spacing w:before="0"/>
              <w:jc w:val="right"/>
              <w:rPr>
                <w:rFonts w:ascii="Arial Narrow" w:hAnsi="Arial Narrow" w:cs="Calibri"/>
                <w:sz w:val="20"/>
                <w:szCs w:val="20"/>
              </w:rPr>
            </w:pPr>
            <w:r w:rsidRPr="00F573A7">
              <w:rPr>
                <w:rFonts w:ascii="Arial Narrow" w:hAnsi="Arial Narrow" w:cs="Calibri"/>
                <w:sz w:val="20"/>
                <w:szCs w:val="20"/>
              </w:rPr>
              <w:t>-$</w:t>
            </w:r>
            <w:r w:rsidR="004B7986">
              <w:rPr>
                <w:rFonts w:ascii="Arial Narrow" w:hAnsi="Arial Narrow" w:cs="Calibri"/>
                <w:noProof/>
                <w:color w:val="000000"/>
                <w:sz w:val="20"/>
                <w:szCs w:val="20"/>
                <w:highlight w:val="black"/>
              </w:rPr>
              <w:t>'''''''''''''''''''''''''</w:t>
            </w:r>
            <w:r w:rsidR="009F01BB">
              <w:rPr>
                <w:rFonts w:ascii="Arial Narrow" w:hAnsi="Arial Narrow" w:cs="Calibri"/>
                <w:color w:val="000000"/>
                <w:sz w:val="20"/>
                <w:szCs w:val="20"/>
                <w:vertAlign w:val="superscript"/>
              </w:rPr>
              <w:t>2</w:t>
            </w:r>
          </w:p>
        </w:tc>
        <w:tc>
          <w:tcPr>
            <w:tcW w:w="113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E75F56" w:rsidRPr="00F573A7" w:rsidRDefault="00E75F56" w:rsidP="003D070A">
            <w:pPr>
              <w:keepNext/>
              <w:keepLines/>
              <w:spacing w:before="0"/>
              <w:jc w:val="right"/>
              <w:rPr>
                <w:rFonts w:ascii="Arial Narrow" w:hAnsi="Arial Narrow" w:cs="Calibri"/>
                <w:sz w:val="20"/>
                <w:szCs w:val="20"/>
              </w:rPr>
            </w:pPr>
            <w:r w:rsidRPr="00F573A7">
              <w:rPr>
                <w:rFonts w:ascii="Arial Narrow" w:hAnsi="Arial Narrow" w:cs="Calibri"/>
                <w:sz w:val="20"/>
                <w:szCs w:val="20"/>
              </w:rPr>
              <w:t>-$</w:t>
            </w:r>
            <w:r w:rsidR="004B7986">
              <w:rPr>
                <w:rFonts w:ascii="Arial Narrow" w:hAnsi="Arial Narrow" w:cs="Calibri"/>
                <w:noProof/>
                <w:color w:val="000000"/>
                <w:sz w:val="20"/>
                <w:szCs w:val="20"/>
                <w:highlight w:val="black"/>
              </w:rPr>
              <w:t>'''''''''''''''''''''''</w:t>
            </w:r>
            <w:r w:rsidR="009F01BB">
              <w:rPr>
                <w:rFonts w:ascii="Arial Narrow" w:hAnsi="Arial Narrow" w:cs="Calibri"/>
                <w:color w:val="000000"/>
                <w:sz w:val="20"/>
                <w:szCs w:val="20"/>
                <w:vertAlign w:val="superscript"/>
              </w:rPr>
              <w:t>2</w:t>
            </w:r>
          </w:p>
        </w:tc>
        <w:tc>
          <w:tcPr>
            <w:tcW w:w="1276"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E75F56" w:rsidRPr="00F573A7" w:rsidRDefault="00E75F56" w:rsidP="003D070A">
            <w:pPr>
              <w:keepNext/>
              <w:keepLines/>
              <w:spacing w:before="0"/>
              <w:jc w:val="right"/>
              <w:rPr>
                <w:rFonts w:ascii="Arial Narrow" w:hAnsi="Arial Narrow" w:cs="Calibri"/>
                <w:sz w:val="20"/>
                <w:szCs w:val="20"/>
              </w:rPr>
            </w:pPr>
            <w:r w:rsidRPr="00F573A7">
              <w:rPr>
                <w:rFonts w:ascii="Arial Narrow" w:hAnsi="Arial Narrow" w:cs="Calibri"/>
                <w:sz w:val="20"/>
                <w:szCs w:val="20"/>
              </w:rPr>
              <w:t>-$</w:t>
            </w:r>
            <w:r w:rsidR="004B7986">
              <w:rPr>
                <w:rFonts w:ascii="Arial Narrow" w:hAnsi="Arial Narrow" w:cs="Calibri"/>
                <w:noProof/>
                <w:color w:val="000000"/>
                <w:sz w:val="20"/>
                <w:szCs w:val="20"/>
                <w:highlight w:val="black"/>
              </w:rPr>
              <w:t>'''''''''''''''''''''''</w:t>
            </w:r>
            <w:r w:rsidR="009F01BB">
              <w:rPr>
                <w:rFonts w:ascii="Arial Narrow" w:hAnsi="Arial Narrow" w:cs="Calibri"/>
                <w:color w:val="000000"/>
                <w:sz w:val="20"/>
                <w:szCs w:val="20"/>
                <w:vertAlign w:val="superscript"/>
              </w:rPr>
              <w:t>2</w:t>
            </w:r>
          </w:p>
        </w:tc>
        <w:tc>
          <w:tcPr>
            <w:tcW w:w="113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E75F56" w:rsidRPr="00F573A7" w:rsidRDefault="00E75F56" w:rsidP="003D070A">
            <w:pPr>
              <w:keepNext/>
              <w:keepLines/>
              <w:spacing w:before="0"/>
              <w:jc w:val="right"/>
              <w:rPr>
                <w:rFonts w:ascii="Arial Narrow" w:hAnsi="Arial Narrow" w:cs="Calibri"/>
                <w:sz w:val="20"/>
                <w:szCs w:val="20"/>
              </w:rPr>
            </w:pPr>
            <w:r w:rsidRPr="00F573A7">
              <w:rPr>
                <w:rFonts w:ascii="Arial Narrow" w:hAnsi="Arial Narrow" w:cs="Calibri"/>
                <w:sz w:val="20"/>
                <w:szCs w:val="20"/>
              </w:rPr>
              <w:t>-$</w:t>
            </w:r>
            <w:r w:rsidR="004B7986">
              <w:rPr>
                <w:rFonts w:ascii="Arial Narrow" w:hAnsi="Arial Narrow" w:cs="Calibri"/>
                <w:noProof/>
                <w:color w:val="000000"/>
                <w:sz w:val="20"/>
                <w:szCs w:val="20"/>
                <w:highlight w:val="black"/>
              </w:rPr>
              <w:t>''''''''''''''''''''''</w:t>
            </w:r>
            <w:r w:rsidR="009F01BB">
              <w:rPr>
                <w:rFonts w:ascii="Arial Narrow" w:hAnsi="Arial Narrow" w:cs="Calibri"/>
                <w:color w:val="000000"/>
                <w:sz w:val="20"/>
                <w:szCs w:val="20"/>
                <w:vertAlign w:val="superscript"/>
              </w:rPr>
              <w:t>2</w:t>
            </w:r>
          </w:p>
        </w:tc>
        <w:tc>
          <w:tcPr>
            <w:tcW w:w="127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75F56" w:rsidRPr="00F573A7" w:rsidRDefault="00E75F56" w:rsidP="0006229B">
            <w:pPr>
              <w:keepNext/>
              <w:keepLines/>
              <w:spacing w:before="0"/>
              <w:jc w:val="center"/>
              <w:rPr>
                <w:rFonts w:ascii="Arial Narrow" w:hAnsi="Arial Narrow" w:cs="Calibri"/>
                <w:color w:val="000000"/>
                <w:sz w:val="20"/>
                <w:szCs w:val="20"/>
              </w:rPr>
            </w:pPr>
            <w:r w:rsidRPr="00F573A7">
              <w:rPr>
                <w:rFonts w:ascii="Arial Narrow" w:hAnsi="Arial Narrow" w:cs="Calibri"/>
                <w:color w:val="000000"/>
                <w:sz w:val="20"/>
                <w:szCs w:val="20"/>
              </w:rPr>
              <w:t>Cost-offsets per patient as per the March 2021 submission</w:t>
            </w:r>
          </w:p>
        </w:tc>
      </w:tr>
      <w:tr w:rsidR="003C35B3" w:rsidRPr="00F573A7" w:rsidTr="00C07E24">
        <w:trPr>
          <w:trHeight w:val="252"/>
        </w:trPr>
        <w:tc>
          <w:tcPr>
            <w:tcW w:w="99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75F56" w:rsidRPr="00F573A7" w:rsidRDefault="003C35B3" w:rsidP="0006229B">
            <w:pPr>
              <w:keepNext/>
              <w:keepLines/>
              <w:spacing w:before="0"/>
              <w:jc w:val="left"/>
              <w:rPr>
                <w:rFonts w:ascii="Arial Narrow" w:eastAsia="Times New Roman" w:hAnsi="Arial Narrow"/>
                <w:iCs/>
                <w:sz w:val="20"/>
                <w:szCs w:val="20"/>
              </w:rPr>
            </w:pPr>
            <w:r w:rsidRPr="00F573A7">
              <w:rPr>
                <w:rFonts w:ascii="Arial Narrow" w:hAnsi="Arial Narrow"/>
                <w:iCs/>
                <w:sz w:val="20"/>
                <w:szCs w:val="20"/>
              </w:rPr>
              <w:t xml:space="preserve">Total </w:t>
            </w:r>
            <w:r w:rsidR="00E75F56" w:rsidRPr="00F573A7">
              <w:rPr>
                <w:rFonts w:ascii="Arial Narrow" w:hAnsi="Arial Narrow"/>
                <w:iCs/>
                <w:sz w:val="20"/>
                <w:szCs w:val="20"/>
              </w:rPr>
              <w:t>cost to PBS/RPBS</w:t>
            </w:r>
          </w:p>
        </w:tc>
        <w:tc>
          <w:tcPr>
            <w:tcW w:w="113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E75F56" w:rsidRPr="00F573A7" w:rsidRDefault="00E75F56" w:rsidP="003D070A">
            <w:pPr>
              <w:keepNext/>
              <w:keepLines/>
              <w:spacing w:before="0"/>
              <w:jc w:val="right"/>
              <w:rPr>
                <w:rFonts w:ascii="Arial Narrow" w:hAnsi="Arial Narrow" w:cs="Calibri"/>
                <w:color w:val="000000"/>
                <w:sz w:val="20"/>
                <w:szCs w:val="20"/>
              </w:rPr>
            </w:pPr>
            <w:r w:rsidRPr="00F573A7">
              <w:rPr>
                <w:rFonts w:ascii="Arial Narrow" w:hAnsi="Arial Narrow" w:cs="Calibri"/>
                <w:color w:val="000000"/>
                <w:sz w:val="20"/>
                <w:szCs w:val="20"/>
              </w:rPr>
              <w:t>$</w:t>
            </w:r>
            <w:r w:rsidR="004B7986">
              <w:rPr>
                <w:rFonts w:ascii="Arial Narrow" w:hAnsi="Arial Narrow" w:cs="Calibri"/>
                <w:noProof/>
                <w:color w:val="000000"/>
                <w:sz w:val="20"/>
                <w:szCs w:val="20"/>
                <w:highlight w:val="black"/>
              </w:rPr>
              <w:t>'''''''''''''''''''''''</w:t>
            </w:r>
            <w:r w:rsidR="009F01BB">
              <w:rPr>
                <w:rFonts w:ascii="Arial Narrow" w:hAnsi="Arial Narrow" w:cs="Calibri"/>
                <w:color w:val="000000"/>
                <w:sz w:val="20"/>
                <w:szCs w:val="20"/>
                <w:vertAlign w:val="superscript"/>
              </w:rPr>
              <w:t>2</w:t>
            </w:r>
          </w:p>
        </w:tc>
        <w:tc>
          <w:tcPr>
            <w:tcW w:w="113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E75F56" w:rsidRPr="00F573A7" w:rsidRDefault="00E75F56" w:rsidP="003D070A">
            <w:pPr>
              <w:keepNext/>
              <w:keepLines/>
              <w:spacing w:before="0"/>
              <w:jc w:val="right"/>
              <w:rPr>
                <w:rFonts w:ascii="Arial Narrow" w:hAnsi="Arial Narrow" w:cs="Calibri"/>
                <w:color w:val="000000"/>
                <w:sz w:val="20"/>
                <w:szCs w:val="20"/>
              </w:rPr>
            </w:pPr>
            <w:r w:rsidRPr="00F573A7">
              <w:rPr>
                <w:rFonts w:ascii="Arial Narrow" w:hAnsi="Arial Narrow" w:cs="Calibri"/>
                <w:color w:val="000000"/>
                <w:sz w:val="20"/>
                <w:szCs w:val="20"/>
              </w:rPr>
              <w:t>$</w:t>
            </w:r>
            <w:r w:rsidR="004B7986">
              <w:rPr>
                <w:rFonts w:ascii="Arial Narrow" w:hAnsi="Arial Narrow" w:cs="Calibri"/>
                <w:noProof/>
                <w:color w:val="000000"/>
                <w:sz w:val="20"/>
                <w:szCs w:val="20"/>
                <w:highlight w:val="black"/>
              </w:rPr>
              <w:t>'''''''''''''''''''''''''</w:t>
            </w:r>
            <w:r w:rsidR="009F01BB">
              <w:rPr>
                <w:rFonts w:ascii="Arial Narrow" w:hAnsi="Arial Narrow" w:cs="Calibri"/>
                <w:color w:val="000000"/>
                <w:sz w:val="20"/>
                <w:szCs w:val="20"/>
                <w:vertAlign w:val="superscript"/>
              </w:rPr>
              <w:t>4</w:t>
            </w:r>
          </w:p>
        </w:tc>
        <w:tc>
          <w:tcPr>
            <w:tcW w:w="1276"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E75F56" w:rsidRPr="00F573A7" w:rsidRDefault="00E75F56" w:rsidP="003D070A">
            <w:pPr>
              <w:keepNext/>
              <w:keepLines/>
              <w:spacing w:before="0"/>
              <w:jc w:val="right"/>
              <w:rPr>
                <w:rFonts w:ascii="Arial Narrow" w:hAnsi="Arial Narrow" w:cs="Calibri"/>
                <w:color w:val="000000"/>
                <w:sz w:val="20"/>
                <w:szCs w:val="20"/>
              </w:rPr>
            </w:pPr>
            <w:r w:rsidRPr="00F573A7">
              <w:rPr>
                <w:rFonts w:ascii="Arial Narrow" w:hAnsi="Arial Narrow" w:cs="Calibri"/>
                <w:color w:val="000000"/>
                <w:sz w:val="20"/>
                <w:szCs w:val="20"/>
              </w:rPr>
              <w:t>$</w:t>
            </w:r>
            <w:r w:rsidR="004B7986">
              <w:rPr>
                <w:rFonts w:ascii="Arial Narrow" w:hAnsi="Arial Narrow" w:cs="Calibri"/>
                <w:noProof/>
                <w:color w:val="000000"/>
                <w:sz w:val="20"/>
                <w:szCs w:val="20"/>
                <w:highlight w:val="black"/>
              </w:rPr>
              <w:t>''''''''''''''''''''''''</w:t>
            </w:r>
            <w:r w:rsidR="009F01BB">
              <w:rPr>
                <w:rFonts w:ascii="Arial Narrow" w:hAnsi="Arial Narrow" w:cs="Calibri"/>
                <w:color w:val="000000"/>
                <w:sz w:val="20"/>
                <w:szCs w:val="20"/>
                <w:vertAlign w:val="superscript"/>
              </w:rPr>
              <w:t>4</w:t>
            </w:r>
          </w:p>
        </w:tc>
        <w:tc>
          <w:tcPr>
            <w:tcW w:w="113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E75F56" w:rsidRPr="00F573A7" w:rsidRDefault="00E75F56" w:rsidP="003D070A">
            <w:pPr>
              <w:keepNext/>
              <w:keepLines/>
              <w:spacing w:before="0"/>
              <w:jc w:val="right"/>
              <w:rPr>
                <w:rFonts w:ascii="Arial Narrow" w:hAnsi="Arial Narrow" w:cs="Calibri"/>
                <w:color w:val="000000"/>
                <w:sz w:val="20"/>
                <w:szCs w:val="20"/>
              </w:rPr>
            </w:pPr>
            <w:r w:rsidRPr="00F573A7">
              <w:rPr>
                <w:rFonts w:ascii="Arial Narrow" w:hAnsi="Arial Narrow" w:cs="Calibri"/>
                <w:color w:val="000000"/>
                <w:sz w:val="20"/>
                <w:szCs w:val="20"/>
              </w:rPr>
              <w:t>$</w:t>
            </w:r>
            <w:r w:rsidR="004B7986">
              <w:rPr>
                <w:rFonts w:ascii="Arial Narrow" w:hAnsi="Arial Narrow" w:cs="Calibri"/>
                <w:noProof/>
                <w:color w:val="000000"/>
                <w:sz w:val="20"/>
                <w:szCs w:val="20"/>
                <w:highlight w:val="black"/>
              </w:rPr>
              <w:t>''''''''''''''''''''''''''''</w:t>
            </w:r>
            <w:r w:rsidR="009F01BB">
              <w:rPr>
                <w:rFonts w:ascii="Arial Narrow" w:hAnsi="Arial Narrow" w:cs="Calibri"/>
                <w:color w:val="000000"/>
                <w:sz w:val="20"/>
                <w:szCs w:val="20"/>
                <w:vertAlign w:val="superscript"/>
              </w:rPr>
              <w:t>4</w:t>
            </w:r>
          </w:p>
        </w:tc>
        <w:tc>
          <w:tcPr>
            <w:tcW w:w="1276"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E75F56" w:rsidRPr="00F573A7" w:rsidRDefault="00E75F56" w:rsidP="003D070A">
            <w:pPr>
              <w:keepNext/>
              <w:keepLines/>
              <w:spacing w:before="0"/>
              <w:jc w:val="right"/>
              <w:rPr>
                <w:rFonts w:ascii="Arial Narrow" w:hAnsi="Arial Narrow" w:cs="Calibri"/>
                <w:color w:val="000000"/>
                <w:sz w:val="20"/>
                <w:szCs w:val="20"/>
              </w:rPr>
            </w:pPr>
            <w:r w:rsidRPr="00F573A7">
              <w:rPr>
                <w:rFonts w:ascii="Arial Narrow" w:hAnsi="Arial Narrow" w:cs="Calibri"/>
                <w:color w:val="000000"/>
                <w:sz w:val="20"/>
                <w:szCs w:val="20"/>
              </w:rPr>
              <w:t>$</w:t>
            </w:r>
            <w:r w:rsidR="004B7986">
              <w:rPr>
                <w:rFonts w:ascii="Arial Narrow" w:hAnsi="Arial Narrow" w:cs="Calibri"/>
                <w:noProof/>
                <w:color w:val="000000"/>
                <w:sz w:val="20"/>
                <w:szCs w:val="20"/>
                <w:highlight w:val="black"/>
              </w:rPr>
              <w:t>'''''''''''''''''''''''''''</w:t>
            </w:r>
            <w:r w:rsidR="009F01BB">
              <w:rPr>
                <w:rFonts w:ascii="Arial Narrow" w:hAnsi="Arial Narrow" w:cs="Calibri"/>
                <w:color w:val="000000"/>
                <w:sz w:val="20"/>
                <w:szCs w:val="20"/>
                <w:vertAlign w:val="superscript"/>
              </w:rPr>
              <w:t>4</w:t>
            </w:r>
          </w:p>
        </w:tc>
        <w:tc>
          <w:tcPr>
            <w:tcW w:w="113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E75F56" w:rsidRPr="00F573A7" w:rsidRDefault="00E75F56" w:rsidP="003D070A">
            <w:pPr>
              <w:keepNext/>
              <w:keepLines/>
              <w:spacing w:before="0"/>
              <w:jc w:val="right"/>
              <w:rPr>
                <w:rFonts w:ascii="Arial Narrow" w:hAnsi="Arial Narrow" w:cs="Calibri"/>
                <w:color w:val="000000"/>
                <w:sz w:val="20"/>
                <w:szCs w:val="20"/>
              </w:rPr>
            </w:pPr>
            <w:r w:rsidRPr="00F573A7">
              <w:rPr>
                <w:rFonts w:ascii="Arial Narrow" w:hAnsi="Arial Narrow" w:cs="Calibri"/>
                <w:color w:val="000000"/>
                <w:sz w:val="20"/>
                <w:szCs w:val="20"/>
              </w:rPr>
              <w:t>$</w:t>
            </w:r>
            <w:r w:rsidR="004B7986">
              <w:rPr>
                <w:rFonts w:ascii="Arial Narrow" w:hAnsi="Arial Narrow" w:cs="Calibri"/>
                <w:noProof/>
                <w:color w:val="000000"/>
                <w:sz w:val="20"/>
                <w:szCs w:val="20"/>
                <w:highlight w:val="black"/>
              </w:rPr>
              <w:t>''''''''''''''''''''''''</w:t>
            </w:r>
            <w:r w:rsidR="009F01BB">
              <w:rPr>
                <w:rFonts w:ascii="Arial Narrow" w:hAnsi="Arial Narrow" w:cs="Calibri"/>
                <w:color w:val="000000"/>
                <w:sz w:val="20"/>
                <w:szCs w:val="20"/>
                <w:vertAlign w:val="superscript"/>
              </w:rPr>
              <w:t>4</w:t>
            </w:r>
          </w:p>
        </w:tc>
        <w:tc>
          <w:tcPr>
            <w:tcW w:w="127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75F56" w:rsidRPr="00F573A7" w:rsidRDefault="000A2498" w:rsidP="0006229B">
            <w:pPr>
              <w:keepNext/>
              <w:keepLines/>
              <w:spacing w:before="0"/>
              <w:jc w:val="center"/>
              <w:rPr>
                <w:rFonts w:ascii="Arial Narrow" w:eastAsia="Times New Roman" w:hAnsi="Arial Narrow"/>
                <w:sz w:val="20"/>
                <w:szCs w:val="20"/>
              </w:rPr>
            </w:pPr>
            <w:r w:rsidRPr="00F573A7">
              <w:rPr>
                <w:rFonts w:ascii="Arial Narrow" w:hAnsi="Arial Narrow"/>
                <w:sz w:val="20"/>
                <w:szCs w:val="20"/>
              </w:rPr>
              <w:t>-</w:t>
            </w:r>
          </w:p>
        </w:tc>
      </w:tr>
      <w:tr w:rsidR="00E75F56" w:rsidRPr="00F573A7" w:rsidTr="00C07E24">
        <w:trPr>
          <w:trHeight w:val="252"/>
        </w:trPr>
        <w:tc>
          <w:tcPr>
            <w:tcW w:w="9357" w:type="dxa"/>
            <w:gridSpan w:val="8"/>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E75F56" w:rsidRPr="00F573A7" w:rsidRDefault="00E75F56" w:rsidP="0006229B">
            <w:pPr>
              <w:keepNext/>
              <w:keepLines/>
              <w:spacing w:before="0"/>
              <w:jc w:val="left"/>
              <w:rPr>
                <w:rFonts w:ascii="Arial Narrow" w:eastAsia="Times New Roman" w:hAnsi="Arial Narrow"/>
                <w:sz w:val="20"/>
                <w:szCs w:val="20"/>
              </w:rPr>
            </w:pPr>
            <w:r w:rsidRPr="00F573A7">
              <w:rPr>
                <w:rFonts w:ascii="Arial Narrow" w:hAnsi="Arial Narrow"/>
                <w:b/>
                <w:bCs/>
                <w:sz w:val="20"/>
                <w:szCs w:val="20"/>
              </w:rPr>
              <w:t>CRPC</w:t>
            </w:r>
            <w:r w:rsidR="003C35B3" w:rsidRPr="00F573A7">
              <w:rPr>
                <w:rFonts w:ascii="Arial Narrow" w:hAnsi="Arial Narrow"/>
                <w:b/>
                <w:bCs/>
                <w:sz w:val="20"/>
                <w:szCs w:val="20"/>
              </w:rPr>
              <w:t>;</w:t>
            </w:r>
            <w:r w:rsidRPr="00F573A7">
              <w:rPr>
                <w:rFonts w:ascii="Arial Narrow" w:hAnsi="Arial Narrow"/>
                <w:b/>
                <w:bCs/>
                <w:sz w:val="20"/>
                <w:szCs w:val="20"/>
              </w:rPr>
              <w:t xml:space="preserve"> CI negative</w:t>
            </w:r>
            <w:r w:rsidR="003C35B3" w:rsidRPr="00F573A7">
              <w:rPr>
                <w:rFonts w:ascii="Arial Narrow" w:hAnsi="Arial Narrow"/>
                <w:b/>
                <w:bCs/>
                <w:sz w:val="20"/>
                <w:szCs w:val="20"/>
              </w:rPr>
              <w:t xml:space="preserve">; </w:t>
            </w:r>
            <w:r w:rsidRPr="00F573A7">
              <w:rPr>
                <w:rFonts w:ascii="Arial Narrow" w:hAnsi="Arial Narrow"/>
                <w:b/>
                <w:bCs/>
                <w:sz w:val="20"/>
                <w:szCs w:val="20"/>
              </w:rPr>
              <w:t>PSMA-PET positive</w:t>
            </w:r>
          </w:p>
        </w:tc>
      </w:tr>
      <w:tr w:rsidR="00AE0F58" w:rsidRPr="00F573A7" w:rsidTr="00C07E24">
        <w:trPr>
          <w:trHeight w:val="377"/>
        </w:trPr>
        <w:tc>
          <w:tcPr>
            <w:tcW w:w="994" w:type="dxa"/>
            <w:tcBorders>
              <w:top w:val="single" w:sz="4" w:space="0" w:color="auto"/>
              <w:left w:val="single" w:sz="4" w:space="0" w:color="auto"/>
              <w:right w:val="single" w:sz="4" w:space="0" w:color="auto"/>
            </w:tcBorders>
            <w:tcMar>
              <w:left w:w="28" w:type="dxa"/>
              <w:right w:w="28" w:type="dxa"/>
            </w:tcMar>
            <w:vAlign w:val="center"/>
          </w:tcPr>
          <w:p w:rsidR="00AE0F58" w:rsidRPr="00F573A7" w:rsidRDefault="00AE0F58" w:rsidP="006D6787">
            <w:pPr>
              <w:keepNext/>
              <w:keepLines/>
              <w:spacing w:before="0"/>
              <w:jc w:val="left"/>
              <w:rPr>
                <w:rFonts w:ascii="Arial Narrow" w:eastAsia="Times New Roman" w:hAnsi="Arial Narrow"/>
                <w:iCs/>
                <w:sz w:val="20"/>
                <w:szCs w:val="20"/>
              </w:rPr>
            </w:pPr>
            <w:r w:rsidRPr="00F573A7">
              <w:rPr>
                <w:rFonts w:ascii="Arial Narrow" w:hAnsi="Arial Narrow"/>
                <w:iCs/>
                <w:sz w:val="20"/>
                <w:szCs w:val="20"/>
              </w:rPr>
              <w:t>Patients tr</w:t>
            </w:r>
            <w:r w:rsidR="00364F59" w:rsidRPr="00F573A7">
              <w:rPr>
                <w:rFonts w:ascii="Arial Narrow" w:hAnsi="Arial Narrow"/>
                <w:iCs/>
                <w:sz w:val="20"/>
                <w:szCs w:val="20"/>
              </w:rPr>
              <w:t xml:space="preserve">eated </w:t>
            </w:r>
          </w:p>
        </w:tc>
        <w:tc>
          <w:tcPr>
            <w:tcW w:w="1134" w:type="dxa"/>
            <w:tcBorders>
              <w:top w:val="single" w:sz="4" w:space="0" w:color="auto"/>
              <w:left w:val="single" w:sz="4" w:space="0" w:color="auto"/>
              <w:right w:val="single" w:sz="4" w:space="0" w:color="auto"/>
            </w:tcBorders>
            <w:noWrap/>
            <w:tcMar>
              <w:left w:w="28" w:type="dxa"/>
              <w:right w:w="28" w:type="dxa"/>
            </w:tcMar>
            <w:vAlign w:val="center"/>
          </w:tcPr>
          <w:p w:rsidR="00AE0F58" w:rsidRPr="004B7986" w:rsidRDefault="004B7986" w:rsidP="003D070A">
            <w:pPr>
              <w:keepNext/>
              <w:keepLines/>
              <w:spacing w:before="0"/>
              <w:jc w:val="right"/>
              <w:rPr>
                <w:rFonts w:ascii="Arial Narrow" w:eastAsia="Times New Roman" w:hAnsi="Arial Narrow"/>
                <w:sz w:val="20"/>
                <w:szCs w:val="20"/>
              </w:rPr>
            </w:pPr>
            <w:r>
              <w:rPr>
                <w:rFonts w:ascii="Arial Narrow" w:hAnsi="Arial Narrow" w:cs="Calibri"/>
                <w:noProof/>
                <w:color w:val="000000"/>
                <w:sz w:val="20"/>
                <w:szCs w:val="20"/>
                <w:highlight w:val="black"/>
              </w:rPr>
              <w:t>''''''''''</w:t>
            </w:r>
            <w:r w:rsidR="00B61A0C">
              <w:rPr>
                <w:rFonts w:ascii="Arial Narrow" w:hAnsi="Arial Narrow" w:cs="Calibri"/>
                <w:color w:val="000000"/>
                <w:sz w:val="20"/>
                <w:szCs w:val="20"/>
                <w:vertAlign w:val="superscript"/>
              </w:rPr>
              <w:t>1</w:t>
            </w:r>
          </w:p>
        </w:tc>
        <w:tc>
          <w:tcPr>
            <w:tcW w:w="1134" w:type="dxa"/>
            <w:tcBorders>
              <w:top w:val="single" w:sz="4" w:space="0" w:color="auto"/>
              <w:left w:val="single" w:sz="4" w:space="0" w:color="auto"/>
              <w:right w:val="single" w:sz="4" w:space="0" w:color="auto"/>
            </w:tcBorders>
            <w:noWrap/>
            <w:tcMar>
              <w:left w:w="28" w:type="dxa"/>
              <w:right w:w="28" w:type="dxa"/>
            </w:tcMar>
            <w:vAlign w:val="center"/>
          </w:tcPr>
          <w:p w:rsidR="00AE0F58" w:rsidRPr="004B7986" w:rsidRDefault="004B7986" w:rsidP="003D070A">
            <w:pPr>
              <w:keepNext/>
              <w:keepLines/>
              <w:spacing w:before="0"/>
              <w:jc w:val="right"/>
              <w:rPr>
                <w:rFonts w:ascii="Arial Narrow" w:eastAsia="Times New Roman" w:hAnsi="Arial Narrow"/>
                <w:sz w:val="20"/>
                <w:szCs w:val="20"/>
              </w:rPr>
            </w:pPr>
            <w:r>
              <w:rPr>
                <w:rFonts w:ascii="Arial Narrow" w:hAnsi="Arial Narrow" w:cs="Calibri"/>
                <w:noProof/>
                <w:color w:val="000000"/>
                <w:sz w:val="20"/>
                <w:szCs w:val="20"/>
                <w:highlight w:val="black"/>
              </w:rPr>
              <w:t>'''''''''</w:t>
            </w:r>
            <w:r w:rsidR="00B61A0C">
              <w:rPr>
                <w:rFonts w:ascii="Arial Narrow" w:hAnsi="Arial Narrow" w:cs="Calibri"/>
                <w:color w:val="000000"/>
                <w:sz w:val="20"/>
                <w:szCs w:val="20"/>
                <w:vertAlign w:val="superscript"/>
              </w:rPr>
              <w:t>1</w:t>
            </w:r>
          </w:p>
        </w:tc>
        <w:tc>
          <w:tcPr>
            <w:tcW w:w="1276" w:type="dxa"/>
            <w:tcBorders>
              <w:top w:val="single" w:sz="4" w:space="0" w:color="auto"/>
              <w:left w:val="single" w:sz="4" w:space="0" w:color="auto"/>
              <w:right w:val="single" w:sz="4" w:space="0" w:color="auto"/>
            </w:tcBorders>
            <w:noWrap/>
            <w:tcMar>
              <w:left w:w="28" w:type="dxa"/>
              <w:right w:w="28" w:type="dxa"/>
            </w:tcMar>
            <w:vAlign w:val="center"/>
          </w:tcPr>
          <w:p w:rsidR="00AE0F58" w:rsidRPr="004B7986" w:rsidRDefault="004B7986" w:rsidP="003D070A">
            <w:pPr>
              <w:keepNext/>
              <w:keepLines/>
              <w:spacing w:before="0"/>
              <w:jc w:val="right"/>
              <w:rPr>
                <w:rFonts w:ascii="Arial Narrow" w:eastAsia="Times New Roman" w:hAnsi="Arial Narrow"/>
                <w:sz w:val="20"/>
                <w:szCs w:val="20"/>
              </w:rPr>
            </w:pPr>
            <w:r>
              <w:rPr>
                <w:rFonts w:ascii="Arial Narrow" w:hAnsi="Arial Narrow" w:cs="Calibri"/>
                <w:noProof/>
                <w:color w:val="000000"/>
                <w:sz w:val="20"/>
                <w:szCs w:val="20"/>
                <w:highlight w:val="black"/>
              </w:rPr>
              <w:t>'''''''''</w:t>
            </w:r>
            <w:r w:rsidR="00B61A0C">
              <w:rPr>
                <w:rFonts w:ascii="Arial Narrow" w:hAnsi="Arial Narrow" w:cs="Calibri"/>
                <w:color w:val="000000"/>
                <w:sz w:val="20"/>
                <w:szCs w:val="20"/>
                <w:vertAlign w:val="superscript"/>
              </w:rPr>
              <w:t>1</w:t>
            </w:r>
          </w:p>
        </w:tc>
        <w:tc>
          <w:tcPr>
            <w:tcW w:w="1134" w:type="dxa"/>
            <w:tcBorders>
              <w:top w:val="single" w:sz="4" w:space="0" w:color="auto"/>
              <w:left w:val="single" w:sz="4" w:space="0" w:color="auto"/>
              <w:right w:val="single" w:sz="4" w:space="0" w:color="auto"/>
            </w:tcBorders>
            <w:noWrap/>
            <w:tcMar>
              <w:left w:w="28" w:type="dxa"/>
              <w:right w:w="28" w:type="dxa"/>
            </w:tcMar>
            <w:vAlign w:val="center"/>
          </w:tcPr>
          <w:p w:rsidR="00AE0F58" w:rsidRPr="004B7986" w:rsidRDefault="004B7986" w:rsidP="003D070A">
            <w:pPr>
              <w:keepNext/>
              <w:keepLines/>
              <w:spacing w:before="0"/>
              <w:jc w:val="right"/>
              <w:rPr>
                <w:rFonts w:ascii="Arial Narrow" w:eastAsia="Times New Roman" w:hAnsi="Arial Narrow"/>
                <w:sz w:val="20"/>
                <w:szCs w:val="20"/>
              </w:rPr>
            </w:pPr>
            <w:r>
              <w:rPr>
                <w:rFonts w:ascii="Arial Narrow" w:hAnsi="Arial Narrow" w:cs="Calibri"/>
                <w:noProof/>
                <w:color w:val="000000"/>
                <w:sz w:val="20"/>
                <w:szCs w:val="20"/>
                <w:highlight w:val="black"/>
              </w:rPr>
              <w:t>''''''''''</w:t>
            </w:r>
            <w:r w:rsidR="00B61A0C">
              <w:rPr>
                <w:rFonts w:ascii="Arial Narrow" w:hAnsi="Arial Narrow" w:cs="Calibri"/>
                <w:color w:val="000000"/>
                <w:sz w:val="20"/>
                <w:szCs w:val="20"/>
                <w:vertAlign w:val="superscript"/>
              </w:rPr>
              <w:t>1</w:t>
            </w:r>
          </w:p>
        </w:tc>
        <w:tc>
          <w:tcPr>
            <w:tcW w:w="1276" w:type="dxa"/>
            <w:tcBorders>
              <w:top w:val="single" w:sz="4" w:space="0" w:color="auto"/>
              <w:left w:val="single" w:sz="4" w:space="0" w:color="auto"/>
              <w:right w:val="single" w:sz="4" w:space="0" w:color="auto"/>
            </w:tcBorders>
            <w:noWrap/>
            <w:tcMar>
              <w:left w:w="28" w:type="dxa"/>
              <w:right w:w="28" w:type="dxa"/>
            </w:tcMar>
            <w:vAlign w:val="center"/>
          </w:tcPr>
          <w:p w:rsidR="00AE0F58" w:rsidRPr="004B7986" w:rsidRDefault="004B7986" w:rsidP="003D070A">
            <w:pPr>
              <w:keepNext/>
              <w:keepLines/>
              <w:spacing w:before="0"/>
              <w:jc w:val="right"/>
              <w:rPr>
                <w:rFonts w:ascii="Arial Narrow" w:eastAsia="Times New Roman" w:hAnsi="Arial Narrow"/>
                <w:sz w:val="20"/>
                <w:szCs w:val="20"/>
              </w:rPr>
            </w:pPr>
            <w:r>
              <w:rPr>
                <w:rFonts w:ascii="Arial Narrow" w:hAnsi="Arial Narrow" w:cs="Calibri"/>
                <w:noProof/>
                <w:color w:val="000000"/>
                <w:sz w:val="20"/>
                <w:szCs w:val="20"/>
                <w:highlight w:val="black"/>
              </w:rPr>
              <w:t>'''''''''</w:t>
            </w:r>
            <w:r w:rsidR="00B61A0C">
              <w:rPr>
                <w:rFonts w:ascii="Arial Narrow" w:hAnsi="Arial Narrow" w:cs="Calibri"/>
                <w:color w:val="000000"/>
                <w:sz w:val="20"/>
                <w:szCs w:val="20"/>
                <w:vertAlign w:val="superscript"/>
              </w:rPr>
              <w:t>1</w:t>
            </w:r>
          </w:p>
        </w:tc>
        <w:tc>
          <w:tcPr>
            <w:tcW w:w="1133" w:type="dxa"/>
            <w:tcBorders>
              <w:top w:val="single" w:sz="4" w:space="0" w:color="auto"/>
              <w:left w:val="single" w:sz="4" w:space="0" w:color="auto"/>
              <w:right w:val="single" w:sz="4" w:space="0" w:color="auto"/>
            </w:tcBorders>
            <w:noWrap/>
            <w:tcMar>
              <w:left w:w="28" w:type="dxa"/>
              <w:right w:w="28" w:type="dxa"/>
            </w:tcMar>
            <w:vAlign w:val="center"/>
          </w:tcPr>
          <w:p w:rsidR="00AE0F58" w:rsidRPr="004B7986" w:rsidRDefault="004B7986" w:rsidP="003D070A">
            <w:pPr>
              <w:keepNext/>
              <w:keepLines/>
              <w:spacing w:before="0"/>
              <w:jc w:val="right"/>
              <w:rPr>
                <w:rFonts w:ascii="Arial Narrow" w:eastAsia="Times New Roman" w:hAnsi="Arial Narrow"/>
                <w:sz w:val="20"/>
                <w:szCs w:val="20"/>
              </w:rPr>
            </w:pPr>
            <w:r>
              <w:rPr>
                <w:rFonts w:ascii="Arial Narrow" w:hAnsi="Arial Narrow" w:cs="Calibri"/>
                <w:noProof/>
                <w:color w:val="000000"/>
                <w:sz w:val="20"/>
                <w:szCs w:val="20"/>
                <w:highlight w:val="black"/>
              </w:rPr>
              <w:t>''''''''</w:t>
            </w:r>
            <w:r w:rsidR="00B61A0C">
              <w:rPr>
                <w:rFonts w:ascii="Arial Narrow" w:hAnsi="Arial Narrow" w:cs="Calibri"/>
                <w:color w:val="000000"/>
                <w:sz w:val="20"/>
                <w:szCs w:val="20"/>
                <w:vertAlign w:val="superscript"/>
              </w:rPr>
              <w:t>1</w:t>
            </w:r>
          </w:p>
        </w:tc>
        <w:tc>
          <w:tcPr>
            <w:tcW w:w="1276" w:type="dxa"/>
            <w:tcBorders>
              <w:top w:val="single" w:sz="4" w:space="0" w:color="auto"/>
              <w:left w:val="single" w:sz="4" w:space="0" w:color="auto"/>
              <w:right w:val="single" w:sz="4" w:space="0" w:color="auto"/>
            </w:tcBorders>
            <w:tcMar>
              <w:left w:w="28" w:type="dxa"/>
              <w:right w:w="28" w:type="dxa"/>
            </w:tcMar>
            <w:vAlign w:val="center"/>
          </w:tcPr>
          <w:p w:rsidR="00AE0F58" w:rsidRPr="00F573A7" w:rsidRDefault="00AE0F58" w:rsidP="0006229B">
            <w:pPr>
              <w:keepNext/>
              <w:keepLines/>
              <w:spacing w:before="0"/>
              <w:jc w:val="center"/>
              <w:rPr>
                <w:rFonts w:ascii="Arial Narrow" w:eastAsia="Times New Roman" w:hAnsi="Arial Narrow"/>
                <w:sz w:val="20"/>
                <w:szCs w:val="20"/>
              </w:rPr>
            </w:pPr>
            <w:r w:rsidRPr="00F573A7">
              <w:rPr>
                <w:rFonts w:ascii="Arial Narrow" w:hAnsi="Arial Narrow"/>
                <w:sz w:val="20"/>
                <w:szCs w:val="20"/>
              </w:rPr>
              <w:t xml:space="preserve">Row M, Table </w:t>
            </w:r>
            <w:r w:rsidR="0006229B" w:rsidRPr="00F573A7">
              <w:rPr>
                <w:rFonts w:ascii="Arial Narrow" w:hAnsi="Arial Narrow"/>
                <w:sz w:val="20"/>
                <w:szCs w:val="20"/>
              </w:rPr>
              <w:t>6</w:t>
            </w:r>
          </w:p>
        </w:tc>
      </w:tr>
      <w:tr w:rsidR="00AE0F58" w:rsidRPr="00F573A7" w:rsidTr="00C07E24">
        <w:trPr>
          <w:trHeight w:val="252"/>
        </w:trPr>
        <w:tc>
          <w:tcPr>
            <w:tcW w:w="99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E0F58" w:rsidRPr="00F573A7" w:rsidRDefault="00AE0F58" w:rsidP="0006229B">
            <w:pPr>
              <w:keepNext/>
              <w:keepLines/>
              <w:spacing w:before="0"/>
              <w:jc w:val="left"/>
              <w:rPr>
                <w:rFonts w:ascii="Arial Narrow" w:eastAsia="Times New Roman" w:hAnsi="Arial Narrow"/>
                <w:iCs/>
                <w:sz w:val="20"/>
                <w:szCs w:val="20"/>
              </w:rPr>
            </w:pPr>
            <w:r w:rsidRPr="00F573A7">
              <w:rPr>
                <w:rFonts w:ascii="Arial Narrow" w:hAnsi="Arial Narrow"/>
                <w:iCs/>
                <w:sz w:val="20"/>
                <w:szCs w:val="20"/>
              </w:rPr>
              <w:t xml:space="preserve">Cost to PBS/RPBS </w:t>
            </w:r>
          </w:p>
        </w:tc>
        <w:tc>
          <w:tcPr>
            <w:tcW w:w="113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AE0F58" w:rsidRPr="00F573A7" w:rsidRDefault="00AE0F58" w:rsidP="003D070A">
            <w:pPr>
              <w:keepNext/>
              <w:keepLines/>
              <w:spacing w:before="0"/>
              <w:jc w:val="right"/>
              <w:rPr>
                <w:rFonts w:ascii="Arial Narrow" w:hAnsi="Arial Narrow" w:cs="Calibri"/>
                <w:color w:val="000000"/>
                <w:sz w:val="20"/>
                <w:szCs w:val="20"/>
              </w:rPr>
            </w:pPr>
            <w:r w:rsidRPr="00F573A7">
              <w:rPr>
                <w:rFonts w:ascii="Arial Narrow" w:hAnsi="Arial Narrow" w:cs="Calibri"/>
                <w:color w:val="000000"/>
                <w:sz w:val="20"/>
                <w:szCs w:val="20"/>
              </w:rPr>
              <w:t>$</w:t>
            </w:r>
            <w:r w:rsidR="004B7986">
              <w:rPr>
                <w:rFonts w:ascii="Arial Narrow" w:hAnsi="Arial Narrow" w:cs="Calibri"/>
                <w:noProof/>
                <w:color w:val="000000"/>
                <w:sz w:val="20"/>
                <w:szCs w:val="20"/>
                <w:highlight w:val="black"/>
              </w:rPr>
              <w:t>'''''''''''''''''''''''''</w:t>
            </w:r>
            <w:r w:rsidR="00B61A0C">
              <w:rPr>
                <w:rFonts w:ascii="Arial Narrow" w:hAnsi="Arial Narrow" w:cs="Calibri"/>
                <w:color w:val="000000"/>
                <w:sz w:val="20"/>
                <w:szCs w:val="20"/>
                <w:vertAlign w:val="superscript"/>
              </w:rPr>
              <w:t>2</w:t>
            </w:r>
          </w:p>
        </w:tc>
        <w:tc>
          <w:tcPr>
            <w:tcW w:w="113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AE0F58" w:rsidRPr="00F573A7" w:rsidRDefault="00AE0F58" w:rsidP="003D070A">
            <w:pPr>
              <w:keepNext/>
              <w:keepLines/>
              <w:spacing w:before="0"/>
              <w:jc w:val="right"/>
              <w:rPr>
                <w:rFonts w:ascii="Arial Narrow" w:hAnsi="Arial Narrow" w:cs="Calibri"/>
                <w:color w:val="000000"/>
                <w:sz w:val="20"/>
                <w:szCs w:val="20"/>
              </w:rPr>
            </w:pPr>
            <w:r w:rsidRPr="00F573A7">
              <w:rPr>
                <w:rFonts w:ascii="Arial Narrow" w:hAnsi="Arial Narrow" w:cs="Calibri"/>
                <w:color w:val="000000"/>
                <w:sz w:val="20"/>
                <w:szCs w:val="20"/>
              </w:rPr>
              <w:t>$</w:t>
            </w:r>
            <w:r w:rsidR="004B7986">
              <w:rPr>
                <w:rFonts w:ascii="Arial Narrow" w:hAnsi="Arial Narrow" w:cs="Calibri"/>
                <w:noProof/>
                <w:color w:val="000000"/>
                <w:sz w:val="20"/>
                <w:szCs w:val="20"/>
                <w:highlight w:val="black"/>
              </w:rPr>
              <w:t>'''''''''''''''''''''''</w:t>
            </w:r>
            <w:r w:rsidR="00B61A0C">
              <w:rPr>
                <w:rFonts w:ascii="Arial Narrow" w:hAnsi="Arial Narrow" w:cs="Calibri"/>
                <w:color w:val="000000"/>
                <w:sz w:val="20"/>
                <w:szCs w:val="20"/>
                <w:vertAlign w:val="superscript"/>
              </w:rPr>
              <w:t>2</w:t>
            </w:r>
          </w:p>
        </w:tc>
        <w:tc>
          <w:tcPr>
            <w:tcW w:w="1276"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AE0F58" w:rsidRPr="00F573A7" w:rsidRDefault="00AE0F58" w:rsidP="003D070A">
            <w:pPr>
              <w:keepNext/>
              <w:keepLines/>
              <w:spacing w:before="0"/>
              <w:jc w:val="right"/>
              <w:rPr>
                <w:rFonts w:ascii="Arial Narrow" w:hAnsi="Arial Narrow" w:cs="Calibri"/>
                <w:color w:val="000000"/>
                <w:sz w:val="20"/>
                <w:szCs w:val="20"/>
              </w:rPr>
            </w:pPr>
            <w:r w:rsidRPr="00F573A7">
              <w:rPr>
                <w:rFonts w:ascii="Arial Narrow" w:hAnsi="Arial Narrow" w:cs="Calibri"/>
                <w:color w:val="000000"/>
                <w:sz w:val="20"/>
                <w:szCs w:val="20"/>
              </w:rPr>
              <w:t>$</w:t>
            </w:r>
            <w:r w:rsidR="004B7986">
              <w:rPr>
                <w:rFonts w:ascii="Arial Narrow" w:hAnsi="Arial Narrow" w:cs="Calibri"/>
                <w:noProof/>
                <w:color w:val="000000"/>
                <w:sz w:val="20"/>
                <w:szCs w:val="20"/>
                <w:highlight w:val="black"/>
              </w:rPr>
              <w:t>''''''''''''''''''''''''''''</w:t>
            </w:r>
            <w:r w:rsidR="00B61A0C">
              <w:rPr>
                <w:rFonts w:ascii="Arial Narrow" w:hAnsi="Arial Narrow" w:cs="Calibri"/>
                <w:color w:val="000000"/>
                <w:sz w:val="20"/>
                <w:szCs w:val="20"/>
                <w:vertAlign w:val="superscript"/>
              </w:rPr>
              <w:t>4</w:t>
            </w:r>
          </w:p>
        </w:tc>
        <w:tc>
          <w:tcPr>
            <w:tcW w:w="113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AE0F58" w:rsidRPr="00F573A7" w:rsidRDefault="00AE0F58" w:rsidP="003D070A">
            <w:pPr>
              <w:keepNext/>
              <w:keepLines/>
              <w:spacing w:before="0"/>
              <w:jc w:val="right"/>
              <w:rPr>
                <w:rFonts w:ascii="Arial Narrow" w:hAnsi="Arial Narrow" w:cs="Calibri"/>
                <w:color w:val="000000"/>
                <w:sz w:val="20"/>
                <w:szCs w:val="20"/>
              </w:rPr>
            </w:pPr>
            <w:r w:rsidRPr="00F573A7">
              <w:rPr>
                <w:rFonts w:ascii="Arial Narrow" w:hAnsi="Arial Narrow" w:cs="Calibri"/>
                <w:color w:val="000000"/>
                <w:sz w:val="20"/>
                <w:szCs w:val="20"/>
              </w:rPr>
              <w:t>$</w:t>
            </w:r>
            <w:r w:rsidR="004B7986">
              <w:rPr>
                <w:rFonts w:ascii="Arial Narrow" w:hAnsi="Arial Narrow" w:cs="Calibri"/>
                <w:noProof/>
                <w:color w:val="000000"/>
                <w:sz w:val="20"/>
                <w:szCs w:val="20"/>
                <w:highlight w:val="black"/>
              </w:rPr>
              <w:t>''''''''''''''''''''''''''</w:t>
            </w:r>
            <w:r w:rsidR="00B61A0C">
              <w:rPr>
                <w:rFonts w:ascii="Arial Narrow" w:hAnsi="Arial Narrow" w:cs="Calibri"/>
                <w:color w:val="000000"/>
                <w:sz w:val="20"/>
                <w:szCs w:val="20"/>
                <w:vertAlign w:val="superscript"/>
              </w:rPr>
              <w:t>4</w:t>
            </w:r>
          </w:p>
        </w:tc>
        <w:tc>
          <w:tcPr>
            <w:tcW w:w="1276"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AE0F58" w:rsidRPr="00F573A7" w:rsidRDefault="00AE0F58" w:rsidP="003D070A">
            <w:pPr>
              <w:keepNext/>
              <w:keepLines/>
              <w:spacing w:before="0"/>
              <w:jc w:val="right"/>
              <w:rPr>
                <w:rFonts w:ascii="Arial Narrow" w:hAnsi="Arial Narrow" w:cs="Calibri"/>
                <w:color w:val="000000"/>
                <w:sz w:val="20"/>
                <w:szCs w:val="20"/>
              </w:rPr>
            </w:pPr>
            <w:r w:rsidRPr="00F573A7">
              <w:rPr>
                <w:rFonts w:ascii="Arial Narrow" w:hAnsi="Arial Narrow" w:cs="Calibri"/>
                <w:color w:val="000000"/>
                <w:sz w:val="20"/>
                <w:szCs w:val="20"/>
              </w:rPr>
              <w:t>$</w:t>
            </w:r>
            <w:r w:rsidR="004B7986">
              <w:rPr>
                <w:rFonts w:ascii="Arial Narrow" w:hAnsi="Arial Narrow" w:cs="Calibri"/>
                <w:noProof/>
                <w:color w:val="000000"/>
                <w:sz w:val="20"/>
                <w:szCs w:val="20"/>
                <w:highlight w:val="black"/>
              </w:rPr>
              <w:t>''''''''''''''''''''''''</w:t>
            </w:r>
            <w:r w:rsidR="00B61A0C">
              <w:rPr>
                <w:rFonts w:ascii="Arial Narrow" w:hAnsi="Arial Narrow" w:cs="Calibri"/>
                <w:color w:val="000000"/>
                <w:sz w:val="20"/>
                <w:szCs w:val="20"/>
                <w:vertAlign w:val="superscript"/>
              </w:rPr>
              <w:t>4</w:t>
            </w:r>
          </w:p>
        </w:tc>
        <w:tc>
          <w:tcPr>
            <w:tcW w:w="113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AE0F58" w:rsidRPr="00F573A7" w:rsidRDefault="00AE0F58" w:rsidP="003D070A">
            <w:pPr>
              <w:keepNext/>
              <w:keepLines/>
              <w:spacing w:before="0"/>
              <w:jc w:val="right"/>
              <w:rPr>
                <w:rFonts w:ascii="Arial Narrow" w:hAnsi="Arial Narrow" w:cs="Calibri"/>
                <w:color w:val="000000"/>
                <w:sz w:val="20"/>
                <w:szCs w:val="20"/>
              </w:rPr>
            </w:pPr>
            <w:r w:rsidRPr="00F573A7">
              <w:rPr>
                <w:rFonts w:ascii="Arial Narrow" w:hAnsi="Arial Narrow" w:cs="Calibri"/>
                <w:color w:val="000000"/>
                <w:sz w:val="20"/>
                <w:szCs w:val="20"/>
              </w:rPr>
              <w:t>$</w:t>
            </w:r>
            <w:r w:rsidR="004B7986">
              <w:rPr>
                <w:rFonts w:ascii="Arial Narrow" w:hAnsi="Arial Narrow" w:cs="Calibri"/>
                <w:noProof/>
                <w:color w:val="000000"/>
                <w:sz w:val="20"/>
                <w:szCs w:val="20"/>
                <w:highlight w:val="black"/>
              </w:rPr>
              <w:t>'''''''''''''''''''''''''</w:t>
            </w:r>
            <w:r w:rsidR="00B61A0C">
              <w:rPr>
                <w:rFonts w:ascii="Arial Narrow" w:hAnsi="Arial Narrow" w:cs="Calibri"/>
                <w:color w:val="000000"/>
                <w:sz w:val="20"/>
                <w:szCs w:val="20"/>
                <w:vertAlign w:val="superscript"/>
              </w:rPr>
              <w:t>4</w:t>
            </w:r>
          </w:p>
        </w:tc>
        <w:tc>
          <w:tcPr>
            <w:tcW w:w="1276" w:type="dxa"/>
            <w:tcBorders>
              <w:left w:val="single" w:sz="4" w:space="0" w:color="auto"/>
              <w:bottom w:val="single" w:sz="4" w:space="0" w:color="auto"/>
              <w:right w:val="single" w:sz="4" w:space="0" w:color="auto"/>
            </w:tcBorders>
            <w:tcMar>
              <w:left w:w="28" w:type="dxa"/>
              <w:right w:w="28" w:type="dxa"/>
            </w:tcMar>
            <w:vAlign w:val="center"/>
          </w:tcPr>
          <w:p w:rsidR="00AE0F58" w:rsidRPr="00F573A7" w:rsidRDefault="00927E81" w:rsidP="0006229B">
            <w:pPr>
              <w:keepNext/>
              <w:keepLines/>
              <w:spacing w:before="0"/>
              <w:jc w:val="center"/>
              <w:rPr>
                <w:rFonts w:ascii="Arial Narrow" w:eastAsia="Times New Roman" w:hAnsi="Arial Narrow"/>
                <w:sz w:val="20"/>
                <w:szCs w:val="20"/>
              </w:rPr>
            </w:pPr>
            <w:r w:rsidRPr="00927E81">
              <w:rPr>
                <w:rFonts w:ascii="Arial Narrow" w:hAnsi="Arial Narrow" w:cs="Calibri"/>
                <w:color w:val="000000"/>
                <w:sz w:val="20"/>
                <w:szCs w:val="20"/>
              </w:rPr>
              <w:t>Attachment 4 of July 2021 submission</w:t>
            </w:r>
          </w:p>
        </w:tc>
      </w:tr>
      <w:tr w:rsidR="003C35B3" w:rsidRPr="00F573A7" w:rsidTr="00C07E24">
        <w:trPr>
          <w:trHeight w:val="252"/>
        </w:trPr>
        <w:tc>
          <w:tcPr>
            <w:tcW w:w="99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75F56" w:rsidRPr="00F573A7" w:rsidRDefault="00E75F56" w:rsidP="0006229B">
            <w:pPr>
              <w:keepNext/>
              <w:keepLines/>
              <w:spacing w:before="0"/>
              <w:jc w:val="left"/>
              <w:rPr>
                <w:rFonts w:ascii="Arial Narrow" w:eastAsia="Times New Roman" w:hAnsi="Arial Narrow"/>
                <w:iCs/>
                <w:sz w:val="20"/>
                <w:szCs w:val="20"/>
              </w:rPr>
            </w:pPr>
            <w:r w:rsidRPr="00F573A7">
              <w:rPr>
                <w:rFonts w:ascii="Arial Narrow" w:hAnsi="Arial Narrow"/>
                <w:iCs/>
                <w:sz w:val="20"/>
                <w:szCs w:val="20"/>
              </w:rPr>
              <w:t xml:space="preserve">Cost offsets </w:t>
            </w:r>
            <w:r w:rsidR="003C35B3" w:rsidRPr="00F573A7">
              <w:rPr>
                <w:rFonts w:ascii="Arial Narrow" w:hAnsi="Arial Narrow"/>
                <w:iCs/>
                <w:sz w:val="20"/>
                <w:szCs w:val="20"/>
              </w:rPr>
              <w:t>(</w:t>
            </w:r>
            <w:r w:rsidRPr="00F573A7">
              <w:rPr>
                <w:rFonts w:ascii="Arial Narrow" w:hAnsi="Arial Narrow"/>
                <w:iCs/>
                <w:sz w:val="20"/>
                <w:szCs w:val="20"/>
              </w:rPr>
              <w:t>substituted therapies</w:t>
            </w:r>
            <w:r w:rsidR="003C35B3" w:rsidRPr="00F573A7">
              <w:rPr>
                <w:rFonts w:ascii="Arial Narrow" w:hAnsi="Arial Narrow"/>
                <w:iCs/>
                <w:sz w:val="20"/>
                <w:szCs w:val="20"/>
              </w:rPr>
              <w:t>)</w:t>
            </w:r>
          </w:p>
        </w:tc>
        <w:tc>
          <w:tcPr>
            <w:tcW w:w="113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E75F56" w:rsidRPr="00F573A7" w:rsidRDefault="00E75F56" w:rsidP="003D070A">
            <w:pPr>
              <w:keepNext/>
              <w:keepLines/>
              <w:spacing w:before="0"/>
              <w:jc w:val="right"/>
              <w:rPr>
                <w:rFonts w:ascii="Arial Narrow" w:hAnsi="Arial Narrow" w:cs="Calibri"/>
                <w:sz w:val="20"/>
                <w:szCs w:val="20"/>
              </w:rPr>
            </w:pPr>
            <w:r w:rsidRPr="00F573A7">
              <w:rPr>
                <w:rFonts w:ascii="Arial Narrow" w:hAnsi="Arial Narrow" w:cs="Calibri"/>
                <w:sz w:val="20"/>
                <w:szCs w:val="20"/>
              </w:rPr>
              <w:t>-$</w:t>
            </w:r>
            <w:r w:rsidR="004B7986">
              <w:rPr>
                <w:rFonts w:ascii="Arial Narrow" w:hAnsi="Arial Narrow" w:cs="Calibri"/>
                <w:noProof/>
                <w:color w:val="000000"/>
                <w:sz w:val="20"/>
                <w:szCs w:val="20"/>
                <w:highlight w:val="black"/>
              </w:rPr>
              <w:t>''''''''''''''''''''''''</w:t>
            </w:r>
            <w:r w:rsidR="00B61A0C">
              <w:rPr>
                <w:rFonts w:ascii="Arial Narrow" w:hAnsi="Arial Narrow" w:cs="Calibri"/>
                <w:color w:val="000000"/>
                <w:sz w:val="20"/>
                <w:szCs w:val="20"/>
                <w:vertAlign w:val="superscript"/>
              </w:rPr>
              <w:t>2</w:t>
            </w:r>
          </w:p>
        </w:tc>
        <w:tc>
          <w:tcPr>
            <w:tcW w:w="113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E75F56" w:rsidRPr="00F573A7" w:rsidRDefault="00E75F56" w:rsidP="003D070A">
            <w:pPr>
              <w:keepNext/>
              <w:keepLines/>
              <w:spacing w:before="0"/>
              <w:jc w:val="right"/>
              <w:rPr>
                <w:rFonts w:ascii="Arial Narrow" w:hAnsi="Arial Narrow" w:cs="Calibri"/>
                <w:sz w:val="20"/>
                <w:szCs w:val="20"/>
              </w:rPr>
            </w:pPr>
            <w:r w:rsidRPr="00F573A7">
              <w:rPr>
                <w:rFonts w:ascii="Arial Narrow" w:hAnsi="Arial Narrow" w:cs="Calibri"/>
                <w:sz w:val="20"/>
                <w:szCs w:val="20"/>
              </w:rPr>
              <w:t>-$</w:t>
            </w:r>
            <w:r w:rsidR="004B7986">
              <w:rPr>
                <w:rFonts w:ascii="Arial Narrow" w:hAnsi="Arial Narrow" w:cs="Calibri"/>
                <w:noProof/>
                <w:color w:val="000000"/>
                <w:sz w:val="20"/>
                <w:szCs w:val="20"/>
                <w:highlight w:val="black"/>
              </w:rPr>
              <w:t>'''''''''''''''''''''''</w:t>
            </w:r>
            <w:r w:rsidR="00B61A0C">
              <w:rPr>
                <w:rFonts w:ascii="Arial Narrow" w:hAnsi="Arial Narrow" w:cs="Calibri"/>
                <w:color w:val="000000"/>
                <w:sz w:val="20"/>
                <w:szCs w:val="20"/>
                <w:vertAlign w:val="superscript"/>
              </w:rPr>
              <w:t>2</w:t>
            </w:r>
          </w:p>
        </w:tc>
        <w:tc>
          <w:tcPr>
            <w:tcW w:w="1276"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E75F56" w:rsidRPr="00F573A7" w:rsidRDefault="00E75F56" w:rsidP="003D070A">
            <w:pPr>
              <w:keepNext/>
              <w:keepLines/>
              <w:spacing w:before="0"/>
              <w:jc w:val="right"/>
              <w:rPr>
                <w:rFonts w:ascii="Arial Narrow" w:hAnsi="Arial Narrow" w:cs="Calibri"/>
                <w:sz w:val="20"/>
                <w:szCs w:val="20"/>
              </w:rPr>
            </w:pPr>
            <w:r w:rsidRPr="00F573A7">
              <w:rPr>
                <w:rFonts w:ascii="Arial Narrow" w:hAnsi="Arial Narrow" w:cs="Calibri"/>
                <w:sz w:val="20"/>
                <w:szCs w:val="20"/>
              </w:rPr>
              <w:t>-$</w:t>
            </w:r>
            <w:r w:rsidR="004B7986">
              <w:rPr>
                <w:rFonts w:ascii="Arial Narrow" w:hAnsi="Arial Narrow" w:cs="Calibri"/>
                <w:noProof/>
                <w:color w:val="000000"/>
                <w:sz w:val="20"/>
                <w:szCs w:val="20"/>
                <w:highlight w:val="black"/>
              </w:rPr>
              <w:t>''''''''''''''''''''''''''''</w:t>
            </w:r>
            <w:r w:rsidR="00B61A0C">
              <w:rPr>
                <w:rFonts w:ascii="Arial Narrow" w:hAnsi="Arial Narrow" w:cs="Calibri"/>
                <w:color w:val="000000"/>
                <w:sz w:val="20"/>
                <w:szCs w:val="20"/>
                <w:vertAlign w:val="superscript"/>
              </w:rPr>
              <w:t>4</w:t>
            </w:r>
          </w:p>
        </w:tc>
        <w:tc>
          <w:tcPr>
            <w:tcW w:w="113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E75F56" w:rsidRPr="00F573A7" w:rsidRDefault="00E75F56" w:rsidP="003D070A">
            <w:pPr>
              <w:keepNext/>
              <w:keepLines/>
              <w:spacing w:before="0"/>
              <w:jc w:val="right"/>
              <w:rPr>
                <w:rFonts w:ascii="Arial Narrow" w:hAnsi="Arial Narrow" w:cs="Calibri"/>
                <w:sz w:val="20"/>
                <w:szCs w:val="20"/>
              </w:rPr>
            </w:pPr>
            <w:r w:rsidRPr="00F573A7">
              <w:rPr>
                <w:rFonts w:ascii="Arial Narrow" w:hAnsi="Arial Narrow" w:cs="Calibri"/>
                <w:sz w:val="20"/>
                <w:szCs w:val="20"/>
              </w:rPr>
              <w:t>-$</w:t>
            </w:r>
            <w:r w:rsidR="004B7986">
              <w:rPr>
                <w:rFonts w:ascii="Arial Narrow" w:hAnsi="Arial Narrow" w:cs="Calibri"/>
                <w:noProof/>
                <w:color w:val="000000"/>
                <w:sz w:val="20"/>
                <w:szCs w:val="20"/>
                <w:highlight w:val="black"/>
              </w:rPr>
              <w:t>''''''''''''''''''''''''''</w:t>
            </w:r>
            <w:r w:rsidR="00B61A0C">
              <w:rPr>
                <w:rFonts w:ascii="Arial Narrow" w:hAnsi="Arial Narrow" w:cs="Calibri"/>
                <w:color w:val="000000"/>
                <w:sz w:val="20"/>
                <w:szCs w:val="20"/>
                <w:vertAlign w:val="superscript"/>
              </w:rPr>
              <w:t>4</w:t>
            </w:r>
          </w:p>
        </w:tc>
        <w:tc>
          <w:tcPr>
            <w:tcW w:w="1276"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E75F56" w:rsidRPr="00F573A7" w:rsidRDefault="00E75F56" w:rsidP="003D070A">
            <w:pPr>
              <w:keepNext/>
              <w:keepLines/>
              <w:spacing w:before="0"/>
              <w:jc w:val="right"/>
              <w:rPr>
                <w:rFonts w:ascii="Arial Narrow" w:hAnsi="Arial Narrow" w:cs="Calibri"/>
                <w:sz w:val="20"/>
                <w:szCs w:val="20"/>
              </w:rPr>
            </w:pPr>
            <w:r w:rsidRPr="00F573A7">
              <w:rPr>
                <w:rFonts w:ascii="Arial Narrow" w:hAnsi="Arial Narrow" w:cs="Calibri"/>
                <w:sz w:val="20"/>
                <w:szCs w:val="20"/>
              </w:rPr>
              <w:t>-$</w:t>
            </w:r>
            <w:r w:rsidR="004B7986">
              <w:rPr>
                <w:rFonts w:ascii="Arial Narrow" w:hAnsi="Arial Narrow" w:cs="Calibri"/>
                <w:noProof/>
                <w:color w:val="000000"/>
                <w:sz w:val="20"/>
                <w:szCs w:val="20"/>
                <w:highlight w:val="black"/>
              </w:rPr>
              <w:t>''''''''''''''''''''''''</w:t>
            </w:r>
            <w:r w:rsidR="00B61A0C">
              <w:rPr>
                <w:rFonts w:ascii="Arial Narrow" w:hAnsi="Arial Narrow" w:cs="Calibri"/>
                <w:color w:val="000000"/>
                <w:sz w:val="20"/>
                <w:szCs w:val="20"/>
                <w:vertAlign w:val="superscript"/>
              </w:rPr>
              <w:t>4</w:t>
            </w:r>
          </w:p>
        </w:tc>
        <w:tc>
          <w:tcPr>
            <w:tcW w:w="113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E75F56" w:rsidRPr="00F573A7" w:rsidRDefault="00E75F56" w:rsidP="003D070A">
            <w:pPr>
              <w:keepNext/>
              <w:keepLines/>
              <w:spacing w:before="0"/>
              <w:jc w:val="right"/>
              <w:rPr>
                <w:rFonts w:ascii="Arial Narrow" w:hAnsi="Arial Narrow" w:cs="Calibri"/>
                <w:sz w:val="20"/>
                <w:szCs w:val="20"/>
              </w:rPr>
            </w:pPr>
            <w:r w:rsidRPr="00F573A7">
              <w:rPr>
                <w:rFonts w:ascii="Arial Narrow" w:hAnsi="Arial Narrow" w:cs="Calibri"/>
                <w:sz w:val="20"/>
                <w:szCs w:val="20"/>
              </w:rPr>
              <w:t>-$</w:t>
            </w:r>
            <w:r w:rsidR="004B7986">
              <w:rPr>
                <w:rFonts w:ascii="Arial Narrow" w:hAnsi="Arial Narrow" w:cs="Calibri"/>
                <w:noProof/>
                <w:color w:val="000000"/>
                <w:sz w:val="20"/>
                <w:szCs w:val="20"/>
                <w:highlight w:val="black"/>
              </w:rPr>
              <w:t>'''''''''''''''''''''''''</w:t>
            </w:r>
            <w:r w:rsidR="00B61A0C">
              <w:rPr>
                <w:rFonts w:ascii="Arial Narrow" w:hAnsi="Arial Narrow" w:cs="Calibri"/>
                <w:color w:val="000000"/>
                <w:sz w:val="20"/>
                <w:szCs w:val="20"/>
                <w:vertAlign w:val="superscript"/>
              </w:rPr>
              <w:t>4</w:t>
            </w:r>
          </w:p>
        </w:tc>
        <w:tc>
          <w:tcPr>
            <w:tcW w:w="1276" w:type="dxa"/>
            <w:tcBorders>
              <w:top w:val="nil"/>
              <w:left w:val="single" w:sz="4" w:space="0" w:color="auto"/>
              <w:bottom w:val="single" w:sz="4" w:space="0" w:color="auto"/>
              <w:right w:val="single" w:sz="4" w:space="0" w:color="auto"/>
            </w:tcBorders>
            <w:tcMar>
              <w:left w:w="28" w:type="dxa"/>
              <w:right w:w="28" w:type="dxa"/>
            </w:tcMar>
            <w:vAlign w:val="center"/>
          </w:tcPr>
          <w:p w:rsidR="00E75F56" w:rsidRPr="00F573A7" w:rsidRDefault="00E75F56" w:rsidP="0006229B">
            <w:pPr>
              <w:keepNext/>
              <w:keepLines/>
              <w:spacing w:before="0"/>
              <w:jc w:val="center"/>
              <w:rPr>
                <w:rFonts w:ascii="Arial Narrow" w:eastAsia="Times New Roman" w:hAnsi="Arial Narrow"/>
                <w:sz w:val="20"/>
                <w:szCs w:val="20"/>
              </w:rPr>
            </w:pPr>
            <w:r w:rsidRPr="00F573A7">
              <w:rPr>
                <w:rFonts w:ascii="Arial Narrow" w:hAnsi="Arial Narrow" w:cs="Calibri"/>
                <w:color w:val="000000"/>
                <w:sz w:val="20"/>
                <w:szCs w:val="20"/>
              </w:rPr>
              <w:t xml:space="preserve">Cost neutral due to same price as </w:t>
            </w:r>
            <w:proofErr w:type="spellStart"/>
            <w:r w:rsidR="00364F59" w:rsidRPr="00F573A7">
              <w:rPr>
                <w:rFonts w:ascii="Arial Narrow" w:hAnsi="Arial Narrow" w:cs="Calibri"/>
                <w:color w:val="000000"/>
                <w:sz w:val="20"/>
                <w:szCs w:val="20"/>
              </w:rPr>
              <w:t>abi</w:t>
            </w:r>
            <w:proofErr w:type="spellEnd"/>
            <w:r w:rsidR="00364F59" w:rsidRPr="00F573A7">
              <w:rPr>
                <w:rFonts w:ascii="Arial Narrow" w:hAnsi="Arial Narrow" w:cs="Calibri"/>
                <w:color w:val="000000"/>
                <w:sz w:val="20"/>
                <w:szCs w:val="20"/>
              </w:rPr>
              <w:t>/</w:t>
            </w:r>
            <w:proofErr w:type="spellStart"/>
            <w:r w:rsidRPr="00F573A7">
              <w:rPr>
                <w:rFonts w:ascii="Arial Narrow" w:hAnsi="Arial Narrow" w:cs="Calibri"/>
                <w:color w:val="000000"/>
                <w:sz w:val="20"/>
                <w:szCs w:val="20"/>
              </w:rPr>
              <w:t>enza</w:t>
            </w:r>
            <w:r w:rsidR="00E1195D" w:rsidRPr="00F573A7">
              <w:rPr>
                <w:rFonts w:ascii="Arial Narrow" w:hAnsi="Arial Narrow" w:cs="Calibri"/>
                <w:color w:val="000000"/>
                <w:sz w:val="20"/>
                <w:szCs w:val="20"/>
                <w:vertAlign w:val="superscript"/>
              </w:rPr>
              <w:t>b</w:t>
            </w:r>
            <w:proofErr w:type="spellEnd"/>
          </w:p>
        </w:tc>
      </w:tr>
      <w:tr w:rsidR="009F01BB" w:rsidRPr="00F573A7" w:rsidTr="00C07E24">
        <w:trPr>
          <w:trHeight w:val="252"/>
        </w:trPr>
        <w:tc>
          <w:tcPr>
            <w:tcW w:w="99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F01BB" w:rsidRPr="00F573A7" w:rsidRDefault="009F01BB" w:rsidP="009F01BB">
            <w:pPr>
              <w:keepNext/>
              <w:keepLines/>
              <w:spacing w:before="0"/>
              <w:jc w:val="left"/>
              <w:rPr>
                <w:rFonts w:ascii="Arial Narrow" w:eastAsia="Times New Roman" w:hAnsi="Arial Narrow"/>
                <w:iCs/>
                <w:sz w:val="20"/>
                <w:szCs w:val="20"/>
              </w:rPr>
            </w:pPr>
            <w:r w:rsidRPr="00F573A7">
              <w:rPr>
                <w:rFonts w:ascii="Arial Narrow" w:hAnsi="Arial Narrow"/>
                <w:iCs/>
                <w:sz w:val="20"/>
                <w:szCs w:val="20"/>
              </w:rPr>
              <w:t>Cost-offsets (prevention of downstream therapy)</w:t>
            </w:r>
          </w:p>
        </w:tc>
        <w:tc>
          <w:tcPr>
            <w:tcW w:w="113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9F01BB" w:rsidRPr="00F573A7" w:rsidRDefault="009F01BB" w:rsidP="009F01BB">
            <w:pPr>
              <w:keepNext/>
              <w:keepLines/>
              <w:spacing w:before="0"/>
              <w:jc w:val="right"/>
              <w:rPr>
                <w:rFonts w:ascii="Arial Narrow" w:hAnsi="Arial Narrow" w:cs="Calibri"/>
                <w:sz w:val="20"/>
                <w:szCs w:val="20"/>
              </w:rPr>
            </w:pPr>
            <w:r w:rsidRPr="00F573A7">
              <w:rPr>
                <w:rFonts w:ascii="Arial Narrow" w:hAnsi="Arial Narrow" w:cs="Calibri"/>
                <w:color w:val="000000"/>
                <w:sz w:val="20"/>
                <w:szCs w:val="20"/>
              </w:rPr>
              <w:t>$</w:t>
            </w:r>
            <w:r w:rsidR="004B7986">
              <w:rPr>
                <w:rFonts w:ascii="Arial Narrow" w:hAnsi="Arial Narrow" w:cs="Calibri"/>
                <w:noProof/>
                <w:color w:val="000000"/>
                <w:sz w:val="20"/>
                <w:szCs w:val="20"/>
                <w:highlight w:val="black"/>
              </w:rPr>
              <w:t>'''</w:t>
            </w:r>
            <w:r>
              <w:rPr>
                <w:rFonts w:ascii="Arial Narrow" w:hAnsi="Arial Narrow" w:cs="Calibri"/>
                <w:color w:val="000000"/>
                <w:sz w:val="20"/>
                <w:szCs w:val="20"/>
                <w:vertAlign w:val="superscript"/>
              </w:rPr>
              <w:t>2</w:t>
            </w:r>
          </w:p>
        </w:tc>
        <w:tc>
          <w:tcPr>
            <w:tcW w:w="113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9F01BB" w:rsidRPr="00F573A7" w:rsidRDefault="009F01BB" w:rsidP="009F01BB">
            <w:pPr>
              <w:keepNext/>
              <w:keepLines/>
              <w:spacing w:before="0"/>
              <w:jc w:val="right"/>
              <w:rPr>
                <w:rFonts w:ascii="Arial Narrow" w:hAnsi="Arial Narrow" w:cs="Calibri"/>
                <w:sz w:val="20"/>
                <w:szCs w:val="20"/>
              </w:rPr>
            </w:pPr>
            <w:r w:rsidRPr="00F573A7">
              <w:rPr>
                <w:rFonts w:ascii="Arial Narrow" w:hAnsi="Arial Narrow" w:cs="Calibri"/>
                <w:color w:val="000000"/>
                <w:sz w:val="20"/>
                <w:szCs w:val="20"/>
              </w:rPr>
              <w:t>$</w:t>
            </w:r>
            <w:r w:rsidR="004B7986">
              <w:rPr>
                <w:rFonts w:ascii="Arial Narrow" w:hAnsi="Arial Narrow" w:cs="Calibri"/>
                <w:noProof/>
                <w:color w:val="000000"/>
                <w:sz w:val="20"/>
                <w:szCs w:val="20"/>
                <w:highlight w:val="black"/>
              </w:rPr>
              <w:t>''''</w:t>
            </w:r>
            <w:r>
              <w:rPr>
                <w:rFonts w:ascii="Arial Narrow" w:hAnsi="Arial Narrow" w:cs="Calibri"/>
                <w:color w:val="000000"/>
                <w:sz w:val="20"/>
                <w:szCs w:val="20"/>
                <w:vertAlign w:val="superscript"/>
              </w:rPr>
              <w:t>2</w:t>
            </w:r>
          </w:p>
        </w:tc>
        <w:tc>
          <w:tcPr>
            <w:tcW w:w="1276"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9F01BB" w:rsidRPr="00F573A7" w:rsidRDefault="009F01BB" w:rsidP="009F01BB">
            <w:pPr>
              <w:keepNext/>
              <w:keepLines/>
              <w:spacing w:before="0"/>
              <w:jc w:val="right"/>
              <w:rPr>
                <w:rFonts w:ascii="Arial Narrow" w:hAnsi="Arial Narrow" w:cs="Calibri"/>
                <w:sz w:val="20"/>
                <w:szCs w:val="20"/>
              </w:rPr>
            </w:pPr>
            <w:r w:rsidRPr="00F573A7">
              <w:rPr>
                <w:rFonts w:ascii="Arial Narrow" w:hAnsi="Arial Narrow" w:cs="Calibri"/>
                <w:color w:val="000000"/>
                <w:sz w:val="20"/>
                <w:szCs w:val="20"/>
              </w:rPr>
              <w:t>$</w:t>
            </w:r>
            <w:r w:rsidR="004B7986">
              <w:rPr>
                <w:rFonts w:ascii="Arial Narrow" w:hAnsi="Arial Narrow" w:cs="Calibri"/>
                <w:noProof/>
                <w:color w:val="000000"/>
                <w:sz w:val="20"/>
                <w:szCs w:val="20"/>
                <w:highlight w:val="black"/>
              </w:rPr>
              <w:t>'''</w:t>
            </w:r>
            <w:r>
              <w:rPr>
                <w:rFonts w:ascii="Arial Narrow" w:hAnsi="Arial Narrow" w:cs="Calibri"/>
                <w:color w:val="000000"/>
                <w:sz w:val="20"/>
                <w:szCs w:val="20"/>
                <w:vertAlign w:val="superscript"/>
              </w:rPr>
              <w:t>2</w:t>
            </w:r>
          </w:p>
        </w:tc>
        <w:tc>
          <w:tcPr>
            <w:tcW w:w="113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9F01BB" w:rsidRPr="00F573A7" w:rsidRDefault="009F01BB" w:rsidP="009F01BB">
            <w:pPr>
              <w:keepNext/>
              <w:keepLines/>
              <w:spacing w:before="0"/>
              <w:jc w:val="right"/>
              <w:rPr>
                <w:rFonts w:ascii="Arial Narrow" w:hAnsi="Arial Narrow" w:cs="Calibri"/>
                <w:sz w:val="20"/>
                <w:szCs w:val="20"/>
              </w:rPr>
            </w:pPr>
            <w:r w:rsidRPr="00F573A7">
              <w:rPr>
                <w:rFonts w:ascii="Arial Narrow" w:hAnsi="Arial Narrow" w:cs="Calibri"/>
                <w:color w:val="000000"/>
                <w:sz w:val="20"/>
                <w:szCs w:val="20"/>
              </w:rPr>
              <w:t>$</w:t>
            </w:r>
            <w:r w:rsidR="004B7986">
              <w:rPr>
                <w:rFonts w:ascii="Arial Narrow" w:hAnsi="Arial Narrow" w:cs="Calibri"/>
                <w:noProof/>
                <w:color w:val="000000"/>
                <w:sz w:val="20"/>
                <w:szCs w:val="20"/>
                <w:highlight w:val="black"/>
              </w:rPr>
              <w:t>''''</w:t>
            </w:r>
            <w:r>
              <w:rPr>
                <w:rFonts w:ascii="Arial Narrow" w:hAnsi="Arial Narrow" w:cs="Calibri"/>
                <w:color w:val="000000"/>
                <w:sz w:val="20"/>
                <w:szCs w:val="20"/>
                <w:vertAlign w:val="superscript"/>
              </w:rPr>
              <w:t>2</w:t>
            </w:r>
          </w:p>
        </w:tc>
        <w:tc>
          <w:tcPr>
            <w:tcW w:w="1276"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9F01BB" w:rsidRPr="00F573A7" w:rsidRDefault="009F01BB" w:rsidP="009F01BB">
            <w:pPr>
              <w:keepNext/>
              <w:keepLines/>
              <w:spacing w:before="0"/>
              <w:jc w:val="right"/>
              <w:rPr>
                <w:rFonts w:ascii="Arial Narrow" w:hAnsi="Arial Narrow" w:cs="Calibri"/>
                <w:sz w:val="20"/>
                <w:szCs w:val="20"/>
              </w:rPr>
            </w:pPr>
            <w:r w:rsidRPr="00F573A7">
              <w:rPr>
                <w:rFonts w:ascii="Arial Narrow" w:hAnsi="Arial Narrow" w:cs="Calibri"/>
                <w:color w:val="000000"/>
                <w:sz w:val="20"/>
                <w:szCs w:val="20"/>
              </w:rPr>
              <w:t>$</w:t>
            </w:r>
            <w:r w:rsidR="004B7986">
              <w:rPr>
                <w:rFonts w:ascii="Arial Narrow" w:hAnsi="Arial Narrow" w:cs="Calibri"/>
                <w:noProof/>
                <w:color w:val="000000"/>
                <w:sz w:val="20"/>
                <w:szCs w:val="20"/>
                <w:highlight w:val="black"/>
              </w:rPr>
              <w:t>'''</w:t>
            </w:r>
            <w:r>
              <w:rPr>
                <w:rFonts w:ascii="Arial Narrow" w:hAnsi="Arial Narrow" w:cs="Calibri"/>
                <w:color w:val="000000"/>
                <w:sz w:val="20"/>
                <w:szCs w:val="20"/>
                <w:vertAlign w:val="superscript"/>
              </w:rPr>
              <w:t>2</w:t>
            </w:r>
          </w:p>
        </w:tc>
        <w:tc>
          <w:tcPr>
            <w:tcW w:w="113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9F01BB" w:rsidRPr="00F573A7" w:rsidRDefault="009F01BB" w:rsidP="009F01BB">
            <w:pPr>
              <w:keepNext/>
              <w:keepLines/>
              <w:spacing w:before="0"/>
              <w:jc w:val="right"/>
              <w:rPr>
                <w:rFonts w:ascii="Arial Narrow" w:hAnsi="Arial Narrow" w:cs="Calibri"/>
                <w:sz w:val="20"/>
                <w:szCs w:val="20"/>
              </w:rPr>
            </w:pPr>
            <w:r w:rsidRPr="00F573A7">
              <w:rPr>
                <w:rFonts w:ascii="Arial Narrow" w:hAnsi="Arial Narrow" w:cs="Calibri"/>
                <w:color w:val="000000"/>
                <w:sz w:val="20"/>
                <w:szCs w:val="20"/>
              </w:rPr>
              <w:t>$</w:t>
            </w:r>
            <w:r w:rsidR="004B7986">
              <w:rPr>
                <w:rFonts w:ascii="Arial Narrow" w:hAnsi="Arial Narrow" w:cs="Calibri"/>
                <w:noProof/>
                <w:color w:val="000000"/>
                <w:sz w:val="20"/>
                <w:szCs w:val="20"/>
                <w:highlight w:val="black"/>
              </w:rPr>
              <w:t>'''</w:t>
            </w:r>
            <w:r>
              <w:rPr>
                <w:rFonts w:ascii="Arial Narrow" w:hAnsi="Arial Narrow" w:cs="Calibri"/>
                <w:color w:val="000000"/>
                <w:sz w:val="20"/>
                <w:szCs w:val="20"/>
                <w:vertAlign w:val="superscript"/>
              </w:rPr>
              <w:t>2</w:t>
            </w:r>
          </w:p>
        </w:tc>
        <w:tc>
          <w:tcPr>
            <w:tcW w:w="1276" w:type="dxa"/>
            <w:tcBorders>
              <w:top w:val="nil"/>
              <w:left w:val="single" w:sz="4" w:space="0" w:color="auto"/>
              <w:bottom w:val="single" w:sz="4" w:space="0" w:color="auto"/>
              <w:right w:val="single" w:sz="4" w:space="0" w:color="auto"/>
            </w:tcBorders>
            <w:tcMar>
              <w:left w:w="28" w:type="dxa"/>
              <w:right w:w="28" w:type="dxa"/>
            </w:tcMar>
            <w:vAlign w:val="center"/>
          </w:tcPr>
          <w:p w:rsidR="009F01BB" w:rsidRPr="00F573A7" w:rsidRDefault="009F01BB" w:rsidP="009F01BB">
            <w:pPr>
              <w:keepNext/>
              <w:keepLines/>
              <w:spacing w:before="0"/>
              <w:jc w:val="center"/>
              <w:rPr>
                <w:rFonts w:ascii="Arial Narrow" w:eastAsia="Times New Roman" w:hAnsi="Arial Narrow"/>
                <w:sz w:val="20"/>
                <w:szCs w:val="20"/>
              </w:rPr>
            </w:pPr>
            <w:r w:rsidRPr="00F573A7">
              <w:rPr>
                <w:rFonts w:ascii="Arial Narrow" w:hAnsi="Arial Narrow" w:cs="Calibri"/>
                <w:color w:val="000000"/>
                <w:sz w:val="20"/>
                <w:szCs w:val="20"/>
              </w:rPr>
              <w:t>NA</w:t>
            </w:r>
          </w:p>
        </w:tc>
      </w:tr>
      <w:tr w:rsidR="003C35B3" w:rsidRPr="00F573A7" w:rsidTr="00C07E24">
        <w:trPr>
          <w:trHeight w:val="252"/>
        </w:trPr>
        <w:tc>
          <w:tcPr>
            <w:tcW w:w="99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75F56" w:rsidRPr="00F573A7" w:rsidRDefault="003C35B3" w:rsidP="0006229B">
            <w:pPr>
              <w:keepNext/>
              <w:keepLines/>
              <w:spacing w:before="0"/>
              <w:jc w:val="left"/>
              <w:rPr>
                <w:rFonts w:ascii="Arial Narrow" w:eastAsia="Times New Roman" w:hAnsi="Arial Narrow"/>
                <w:iCs/>
                <w:sz w:val="20"/>
                <w:szCs w:val="20"/>
              </w:rPr>
            </w:pPr>
            <w:r w:rsidRPr="00F573A7">
              <w:rPr>
                <w:rFonts w:ascii="Arial Narrow" w:hAnsi="Arial Narrow"/>
                <w:iCs/>
                <w:sz w:val="20"/>
                <w:szCs w:val="20"/>
              </w:rPr>
              <w:t xml:space="preserve">Total </w:t>
            </w:r>
            <w:r w:rsidR="00E75F56" w:rsidRPr="00F573A7">
              <w:rPr>
                <w:rFonts w:ascii="Arial Narrow" w:hAnsi="Arial Narrow"/>
                <w:iCs/>
                <w:sz w:val="20"/>
                <w:szCs w:val="20"/>
              </w:rPr>
              <w:t>cost to PBS/RPBS</w:t>
            </w:r>
          </w:p>
        </w:tc>
        <w:tc>
          <w:tcPr>
            <w:tcW w:w="113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E75F56" w:rsidRPr="00F573A7" w:rsidRDefault="00E75F56" w:rsidP="003D070A">
            <w:pPr>
              <w:keepNext/>
              <w:keepLines/>
              <w:spacing w:before="0"/>
              <w:jc w:val="right"/>
              <w:rPr>
                <w:rFonts w:ascii="Arial Narrow" w:hAnsi="Arial Narrow" w:cs="Calibri"/>
                <w:sz w:val="20"/>
                <w:szCs w:val="20"/>
              </w:rPr>
            </w:pPr>
            <w:r w:rsidRPr="00F573A7">
              <w:rPr>
                <w:rFonts w:ascii="Arial Narrow" w:hAnsi="Arial Narrow" w:cs="Calibri"/>
                <w:sz w:val="20"/>
                <w:szCs w:val="20"/>
              </w:rPr>
              <w:t>$</w:t>
            </w:r>
            <w:r w:rsidR="004B7986">
              <w:rPr>
                <w:rFonts w:ascii="Arial Narrow" w:hAnsi="Arial Narrow" w:cs="Calibri"/>
                <w:noProof/>
                <w:color w:val="000000"/>
                <w:sz w:val="20"/>
                <w:szCs w:val="20"/>
                <w:highlight w:val="black"/>
              </w:rPr>
              <w:t>''''''''''''</w:t>
            </w:r>
            <w:r w:rsidR="00B61A0C">
              <w:rPr>
                <w:rFonts w:ascii="Arial Narrow" w:hAnsi="Arial Narrow" w:cs="Calibri"/>
                <w:color w:val="000000"/>
                <w:sz w:val="20"/>
                <w:szCs w:val="20"/>
                <w:vertAlign w:val="superscript"/>
              </w:rPr>
              <w:t>2</w:t>
            </w:r>
          </w:p>
        </w:tc>
        <w:tc>
          <w:tcPr>
            <w:tcW w:w="113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E75F56" w:rsidRPr="00F573A7" w:rsidRDefault="00E75F56" w:rsidP="003D070A">
            <w:pPr>
              <w:keepNext/>
              <w:keepLines/>
              <w:spacing w:before="0"/>
              <w:jc w:val="right"/>
              <w:rPr>
                <w:rFonts w:ascii="Arial Narrow" w:hAnsi="Arial Narrow" w:cs="Calibri"/>
                <w:sz w:val="20"/>
                <w:szCs w:val="20"/>
              </w:rPr>
            </w:pPr>
            <w:r w:rsidRPr="00F573A7">
              <w:rPr>
                <w:rFonts w:ascii="Arial Narrow" w:hAnsi="Arial Narrow" w:cs="Calibri"/>
                <w:sz w:val="20"/>
                <w:szCs w:val="20"/>
              </w:rPr>
              <w:t>$</w:t>
            </w:r>
            <w:r w:rsidR="004B7986">
              <w:rPr>
                <w:rFonts w:ascii="Arial Narrow" w:hAnsi="Arial Narrow" w:cs="Calibri"/>
                <w:noProof/>
                <w:color w:val="000000"/>
                <w:sz w:val="20"/>
                <w:szCs w:val="20"/>
                <w:highlight w:val="black"/>
              </w:rPr>
              <w:t>''''''''''''''</w:t>
            </w:r>
            <w:r w:rsidR="00B61A0C">
              <w:rPr>
                <w:rFonts w:ascii="Arial Narrow" w:hAnsi="Arial Narrow" w:cs="Calibri"/>
                <w:color w:val="000000"/>
                <w:sz w:val="20"/>
                <w:szCs w:val="20"/>
                <w:vertAlign w:val="superscript"/>
              </w:rPr>
              <w:t>2</w:t>
            </w:r>
          </w:p>
        </w:tc>
        <w:tc>
          <w:tcPr>
            <w:tcW w:w="1276"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E75F56" w:rsidRPr="00F573A7" w:rsidRDefault="00E75F56" w:rsidP="003D070A">
            <w:pPr>
              <w:keepNext/>
              <w:keepLines/>
              <w:spacing w:before="0"/>
              <w:jc w:val="right"/>
              <w:rPr>
                <w:rFonts w:ascii="Arial Narrow" w:hAnsi="Arial Narrow" w:cs="Calibri"/>
                <w:sz w:val="20"/>
                <w:szCs w:val="20"/>
              </w:rPr>
            </w:pPr>
            <w:r w:rsidRPr="00F573A7">
              <w:rPr>
                <w:rFonts w:ascii="Arial Narrow" w:hAnsi="Arial Narrow" w:cs="Calibri"/>
                <w:sz w:val="20"/>
                <w:szCs w:val="20"/>
              </w:rPr>
              <w:t>$</w:t>
            </w:r>
            <w:r w:rsidR="004B7986">
              <w:rPr>
                <w:rFonts w:ascii="Arial Narrow" w:hAnsi="Arial Narrow" w:cs="Calibri"/>
                <w:noProof/>
                <w:color w:val="000000"/>
                <w:sz w:val="20"/>
                <w:szCs w:val="20"/>
                <w:highlight w:val="black"/>
              </w:rPr>
              <w:t>'''''''''''''</w:t>
            </w:r>
            <w:r w:rsidR="00B61A0C">
              <w:rPr>
                <w:rFonts w:ascii="Arial Narrow" w:hAnsi="Arial Narrow" w:cs="Calibri"/>
                <w:color w:val="000000"/>
                <w:sz w:val="20"/>
                <w:szCs w:val="20"/>
                <w:vertAlign w:val="superscript"/>
              </w:rPr>
              <w:t>2</w:t>
            </w:r>
          </w:p>
        </w:tc>
        <w:tc>
          <w:tcPr>
            <w:tcW w:w="113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E75F56" w:rsidRPr="00F573A7" w:rsidRDefault="00E75F56" w:rsidP="003D070A">
            <w:pPr>
              <w:keepNext/>
              <w:keepLines/>
              <w:spacing w:before="0"/>
              <w:jc w:val="right"/>
              <w:rPr>
                <w:rFonts w:ascii="Arial Narrow" w:hAnsi="Arial Narrow" w:cs="Calibri"/>
                <w:sz w:val="20"/>
                <w:szCs w:val="20"/>
              </w:rPr>
            </w:pPr>
            <w:r w:rsidRPr="00F573A7">
              <w:rPr>
                <w:rFonts w:ascii="Arial Narrow" w:hAnsi="Arial Narrow" w:cs="Calibri"/>
                <w:sz w:val="20"/>
                <w:szCs w:val="20"/>
              </w:rPr>
              <w:t>$</w:t>
            </w:r>
            <w:r w:rsidR="004B7986">
              <w:rPr>
                <w:rFonts w:ascii="Arial Narrow" w:hAnsi="Arial Narrow" w:cs="Calibri"/>
                <w:noProof/>
                <w:color w:val="000000"/>
                <w:sz w:val="20"/>
                <w:szCs w:val="20"/>
                <w:highlight w:val="black"/>
              </w:rPr>
              <w:t>''''''''''''''</w:t>
            </w:r>
            <w:r w:rsidR="00B61A0C">
              <w:rPr>
                <w:rFonts w:ascii="Arial Narrow" w:hAnsi="Arial Narrow" w:cs="Calibri"/>
                <w:color w:val="000000"/>
                <w:sz w:val="20"/>
                <w:szCs w:val="20"/>
                <w:vertAlign w:val="superscript"/>
              </w:rPr>
              <w:t>2</w:t>
            </w:r>
          </w:p>
        </w:tc>
        <w:tc>
          <w:tcPr>
            <w:tcW w:w="1276"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E75F56" w:rsidRPr="00F573A7" w:rsidRDefault="00E75F56" w:rsidP="003D070A">
            <w:pPr>
              <w:keepNext/>
              <w:keepLines/>
              <w:spacing w:before="0"/>
              <w:jc w:val="right"/>
              <w:rPr>
                <w:rFonts w:ascii="Arial Narrow" w:hAnsi="Arial Narrow" w:cs="Calibri"/>
                <w:sz w:val="20"/>
                <w:szCs w:val="20"/>
              </w:rPr>
            </w:pPr>
            <w:r w:rsidRPr="00F573A7">
              <w:rPr>
                <w:rFonts w:ascii="Arial Narrow" w:hAnsi="Arial Narrow" w:cs="Calibri"/>
                <w:sz w:val="20"/>
                <w:szCs w:val="20"/>
              </w:rPr>
              <w:t>$</w:t>
            </w:r>
            <w:r w:rsidR="004B7986">
              <w:rPr>
                <w:rFonts w:ascii="Arial Narrow" w:hAnsi="Arial Narrow" w:cs="Calibri"/>
                <w:noProof/>
                <w:color w:val="000000"/>
                <w:sz w:val="20"/>
                <w:szCs w:val="20"/>
                <w:highlight w:val="black"/>
              </w:rPr>
              <w:t>'''''''''''''</w:t>
            </w:r>
            <w:r w:rsidR="00B61A0C">
              <w:rPr>
                <w:rFonts w:ascii="Arial Narrow" w:hAnsi="Arial Narrow" w:cs="Calibri"/>
                <w:color w:val="000000"/>
                <w:sz w:val="20"/>
                <w:szCs w:val="20"/>
                <w:vertAlign w:val="superscript"/>
              </w:rPr>
              <w:t>2</w:t>
            </w:r>
          </w:p>
        </w:tc>
        <w:tc>
          <w:tcPr>
            <w:tcW w:w="113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E75F56" w:rsidRPr="00F573A7" w:rsidRDefault="00E75F56" w:rsidP="003D070A">
            <w:pPr>
              <w:keepNext/>
              <w:keepLines/>
              <w:spacing w:before="0"/>
              <w:jc w:val="right"/>
              <w:rPr>
                <w:rFonts w:ascii="Arial Narrow" w:hAnsi="Arial Narrow" w:cs="Calibri"/>
                <w:sz w:val="20"/>
                <w:szCs w:val="20"/>
              </w:rPr>
            </w:pPr>
            <w:r w:rsidRPr="00F573A7">
              <w:rPr>
                <w:rFonts w:ascii="Arial Narrow" w:hAnsi="Arial Narrow" w:cs="Calibri"/>
                <w:sz w:val="20"/>
                <w:szCs w:val="20"/>
              </w:rPr>
              <w:t>$</w:t>
            </w:r>
            <w:r w:rsidR="004B7986">
              <w:rPr>
                <w:rFonts w:ascii="Arial Narrow" w:hAnsi="Arial Narrow" w:cs="Calibri"/>
                <w:noProof/>
                <w:color w:val="000000"/>
                <w:sz w:val="20"/>
                <w:szCs w:val="20"/>
                <w:highlight w:val="black"/>
              </w:rPr>
              <w:t>''''''''''''''</w:t>
            </w:r>
            <w:r w:rsidR="00B61A0C">
              <w:rPr>
                <w:rFonts w:ascii="Arial Narrow" w:hAnsi="Arial Narrow" w:cs="Calibri"/>
                <w:color w:val="000000"/>
                <w:sz w:val="20"/>
                <w:szCs w:val="20"/>
                <w:vertAlign w:val="superscript"/>
              </w:rPr>
              <w:t>2</w:t>
            </w:r>
          </w:p>
        </w:tc>
        <w:tc>
          <w:tcPr>
            <w:tcW w:w="127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75F56" w:rsidRPr="00F573A7" w:rsidRDefault="000A2498" w:rsidP="0006229B">
            <w:pPr>
              <w:keepNext/>
              <w:keepLines/>
              <w:spacing w:before="0"/>
              <w:jc w:val="center"/>
              <w:rPr>
                <w:rFonts w:ascii="Arial Narrow" w:eastAsia="Times New Roman" w:hAnsi="Arial Narrow"/>
                <w:sz w:val="20"/>
                <w:szCs w:val="20"/>
                <w:vertAlign w:val="superscript"/>
              </w:rPr>
            </w:pPr>
            <w:r w:rsidRPr="00F573A7">
              <w:rPr>
                <w:rFonts w:ascii="Arial Narrow" w:hAnsi="Arial Narrow"/>
                <w:sz w:val="20"/>
                <w:szCs w:val="20"/>
                <w:vertAlign w:val="superscript"/>
              </w:rPr>
              <w:t>-</w:t>
            </w:r>
          </w:p>
        </w:tc>
      </w:tr>
      <w:tr w:rsidR="00E75F56" w:rsidRPr="00F573A7" w:rsidTr="00C07E24">
        <w:trPr>
          <w:trHeight w:val="252"/>
        </w:trPr>
        <w:tc>
          <w:tcPr>
            <w:tcW w:w="9357" w:type="dxa"/>
            <w:gridSpan w:val="8"/>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E75F56" w:rsidRPr="00F573A7" w:rsidRDefault="00E75F56" w:rsidP="00AE0F58">
            <w:pPr>
              <w:keepLines/>
              <w:spacing w:before="0"/>
              <w:jc w:val="left"/>
              <w:rPr>
                <w:rFonts w:ascii="Arial Narrow" w:eastAsia="Times New Roman" w:hAnsi="Arial Narrow"/>
                <w:b/>
                <w:bCs/>
                <w:sz w:val="20"/>
                <w:szCs w:val="20"/>
              </w:rPr>
            </w:pPr>
            <w:r w:rsidRPr="00F573A7">
              <w:rPr>
                <w:rFonts w:ascii="Arial Narrow" w:hAnsi="Arial Narrow"/>
                <w:b/>
                <w:bCs/>
                <w:sz w:val="20"/>
                <w:szCs w:val="20"/>
              </w:rPr>
              <w:t>CRPC</w:t>
            </w:r>
            <w:r w:rsidR="003C35B3" w:rsidRPr="00F573A7">
              <w:rPr>
                <w:rFonts w:ascii="Arial Narrow" w:hAnsi="Arial Narrow"/>
                <w:b/>
                <w:bCs/>
                <w:sz w:val="20"/>
                <w:szCs w:val="20"/>
              </w:rPr>
              <w:t>;</w:t>
            </w:r>
            <w:r w:rsidRPr="00F573A7">
              <w:rPr>
                <w:rFonts w:ascii="Arial Narrow" w:hAnsi="Arial Narrow"/>
                <w:b/>
                <w:bCs/>
                <w:sz w:val="20"/>
                <w:szCs w:val="20"/>
              </w:rPr>
              <w:t xml:space="preserve"> CI positive</w:t>
            </w:r>
          </w:p>
        </w:tc>
      </w:tr>
      <w:tr w:rsidR="003C35B3" w:rsidRPr="00F573A7" w:rsidTr="00C07E24">
        <w:trPr>
          <w:trHeight w:val="252"/>
        </w:trPr>
        <w:tc>
          <w:tcPr>
            <w:tcW w:w="99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75F56" w:rsidRPr="00F573A7" w:rsidRDefault="003C35B3" w:rsidP="006D6787">
            <w:pPr>
              <w:keepLines/>
              <w:spacing w:before="0"/>
              <w:jc w:val="left"/>
              <w:rPr>
                <w:rFonts w:ascii="Arial Narrow" w:eastAsia="Times New Roman" w:hAnsi="Arial Narrow"/>
                <w:iCs/>
                <w:sz w:val="20"/>
                <w:szCs w:val="20"/>
              </w:rPr>
            </w:pPr>
            <w:r w:rsidRPr="00F573A7">
              <w:rPr>
                <w:rFonts w:ascii="Arial Narrow" w:hAnsi="Arial Narrow"/>
                <w:iCs/>
                <w:sz w:val="20"/>
                <w:szCs w:val="20"/>
              </w:rPr>
              <w:t>P</w:t>
            </w:r>
            <w:r w:rsidR="00E75F56" w:rsidRPr="00F573A7">
              <w:rPr>
                <w:rFonts w:ascii="Arial Narrow" w:hAnsi="Arial Narrow"/>
                <w:iCs/>
                <w:sz w:val="20"/>
                <w:szCs w:val="20"/>
              </w:rPr>
              <w:t>a</w:t>
            </w:r>
            <w:r w:rsidR="00364F59" w:rsidRPr="00F573A7">
              <w:rPr>
                <w:rFonts w:ascii="Arial Narrow" w:hAnsi="Arial Narrow"/>
                <w:iCs/>
                <w:sz w:val="20"/>
                <w:szCs w:val="20"/>
              </w:rPr>
              <w:t xml:space="preserve">tients treated </w:t>
            </w:r>
          </w:p>
        </w:tc>
        <w:tc>
          <w:tcPr>
            <w:tcW w:w="113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E75F56" w:rsidRPr="004B7986" w:rsidRDefault="004B7986" w:rsidP="003D070A">
            <w:pPr>
              <w:keepLines/>
              <w:spacing w:before="0"/>
              <w:jc w:val="right"/>
              <w:rPr>
                <w:rFonts w:ascii="Arial Narrow" w:eastAsia="Times New Roman" w:hAnsi="Arial Narrow"/>
                <w:sz w:val="20"/>
                <w:szCs w:val="20"/>
              </w:rPr>
            </w:pPr>
            <w:r>
              <w:rPr>
                <w:rFonts w:ascii="Arial Narrow" w:hAnsi="Arial Narrow" w:cs="Calibri"/>
                <w:noProof/>
                <w:color w:val="000000"/>
                <w:sz w:val="20"/>
                <w:szCs w:val="20"/>
                <w:highlight w:val="black"/>
              </w:rPr>
              <w:t>''''''''</w:t>
            </w:r>
            <w:r w:rsidR="00B61A0C">
              <w:rPr>
                <w:rFonts w:ascii="Arial Narrow" w:hAnsi="Arial Narrow" w:cs="Calibri"/>
                <w:color w:val="000000"/>
                <w:sz w:val="20"/>
                <w:szCs w:val="20"/>
                <w:vertAlign w:val="superscript"/>
              </w:rPr>
              <w:t>1</w:t>
            </w:r>
          </w:p>
        </w:tc>
        <w:tc>
          <w:tcPr>
            <w:tcW w:w="113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E75F56" w:rsidRPr="004B7986" w:rsidRDefault="004B7986" w:rsidP="003D070A">
            <w:pPr>
              <w:keepLines/>
              <w:spacing w:before="0"/>
              <w:jc w:val="right"/>
              <w:rPr>
                <w:rFonts w:ascii="Arial Narrow" w:eastAsia="Times New Roman" w:hAnsi="Arial Narrow"/>
                <w:sz w:val="20"/>
                <w:szCs w:val="20"/>
              </w:rPr>
            </w:pPr>
            <w:r>
              <w:rPr>
                <w:rFonts w:ascii="Arial Narrow" w:hAnsi="Arial Narrow" w:cs="Calibri"/>
                <w:noProof/>
                <w:color w:val="000000"/>
                <w:sz w:val="20"/>
                <w:szCs w:val="20"/>
                <w:highlight w:val="black"/>
              </w:rPr>
              <w:t>'''''''''</w:t>
            </w:r>
            <w:r w:rsidR="00B61A0C">
              <w:rPr>
                <w:rFonts w:ascii="Arial Narrow" w:hAnsi="Arial Narrow" w:cs="Calibri"/>
                <w:color w:val="000000"/>
                <w:sz w:val="20"/>
                <w:szCs w:val="20"/>
                <w:vertAlign w:val="superscript"/>
              </w:rPr>
              <w:t>3</w:t>
            </w:r>
          </w:p>
        </w:tc>
        <w:tc>
          <w:tcPr>
            <w:tcW w:w="1276"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E75F56" w:rsidRPr="004B7986" w:rsidRDefault="004B7986" w:rsidP="003D070A">
            <w:pPr>
              <w:keepLines/>
              <w:spacing w:before="0"/>
              <w:jc w:val="right"/>
              <w:rPr>
                <w:rFonts w:ascii="Arial Narrow" w:eastAsia="Times New Roman" w:hAnsi="Arial Narrow"/>
                <w:sz w:val="20"/>
                <w:szCs w:val="20"/>
              </w:rPr>
            </w:pPr>
            <w:r>
              <w:rPr>
                <w:rFonts w:ascii="Arial Narrow" w:hAnsi="Arial Narrow" w:cs="Calibri"/>
                <w:noProof/>
                <w:color w:val="000000"/>
                <w:sz w:val="20"/>
                <w:szCs w:val="20"/>
                <w:highlight w:val="black"/>
              </w:rPr>
              <w:t>''''''''''</w:t>
            </w:r>
            <w:r w:rsidR="00B61A0C">
              <w:rPr>
                <w:rFonts w:ascii="Arial Narrow" w:hAnsi="Arial Narrow" w:cs="Calibri"/>
                <w:color w:val="000000"/>
                <w:sz w:val="20"/>
                <w:szCs w:val="20"/>
                <w:vertAlign w:val="superscript"/>
              </w:rPr>
              <w:t>3</w:t>
            </w:r>
          </w:p>
        </w:tc>
        <w:tc>
          <w:tcPr>
            <w:tcW w:w="113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E75F56" w:rsidRPr="004B7986" w:rsidRDefault="004B7986" w:rsidP="003D070A">
            <w:pPr>
              <w:keepLines/>
              <w:spacing w:before="0"/>
              <w:jc w:val="right"/>
              <w:rPr>
                <w:rFonts w:ascii="Arial Narrow" w:eastAsia="Times New Roman" w:hAnsi="Arial Narrow"/>
                <w:sz w:val="20"/>
                <w:szCs w:val="20"/>
              </w:rPr>
            </w:pPr>
            <w:r>
              <w:rPr>
                <w:rFonts w:ascii="Arial Narrow" w:hAnsi="Arial Narrow" w:cs="Calibri"/>
                <w:noProof/>
                <w:color w:val="000000"/>
                <w:sz w:val="20"/>
                <w:szCs w:val="20"/>
                <w:highlight w:val="black"/>
              </w:rPr>
              <w:t>''''''''''</w:t>
            </w:r>
            <w:r w:rsidR="00B61A0C">
              <w:rPr>
                <w:rFonts w:ascii="Arial Narrow" w:hAnsi="Arial Narrow" w:cs="Calibri"/>
                <w:color w:val="000000"/>
                <w:sz w:val="20"/>
                <w:szCs w:val="20"/>
                <w:vertAlign w:val="superscript"/>
              </w:rPr>
              <w:t>3</w:t>
            </w:r>
          </w:p>
        </w:tc>
        <w:tc>
          <w:tcPr>
            <w:tcW w:w="1276"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E75F56" w:rsidRPr="004B7986" w:rsidRDefault="004B7986" w:rsidP="003D070A">
            <w:pPr>
              <w:keepLines/>
              <w:spacing w:before="0"/>
              <w:jc w:val="right"/>
              <w:rPr>
                <w:rFonts w:ascii="Arial Narrow" w:eastAsia="Times New Roman" w:hAnsi="Arial Narrow"/>
                <w:sz w:val="20"/>
                <w:szCs w:val="20"/>
              </w:rPr>
            </w:pPr>
            <w:r>
              <w:rPr>
                <w:rFonts w:ascii="Arial Narrow" w:hAnsi="Arial Narrow" w:cs="Calibri"/>
                <w:noProof/>
                <w:color w:val="000000"/>
                <w:sz w:val="20"/>
                <w:szCs w:val="20"/>
                <w:highlight w:val="black"/>
              </w:rPr>
              <w:t>'''''''''</w:t>
            </w:r>
            <w:r w:rsidR="00B61A0C">
              <w:rPr>
                <w:rFonts w:ascii="Arial Narrow" w:hAnsi="Arial Narrow" w:cs="Calibri"/>
                <w:color w:val="000000"/>
                <w:sz w:val="20"/>
                <w:szCs w:val="20"/>
                <w:vertAlign w:val="superscript"/>
              </w:rPr>
              <w:t>3</w:t>
            </w:r>
          </w:p>
        </w:tc>
        <w:tc>
          <w:tcPr>
            <w:tcW w:w="113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E75F56" w:rsidRPr="004B7986" w:rsidRDefault="004B7986" w:rsidP="003D070A">
            <w:pPr>
              <w:keepLines/>
              <w:spacing w:before="0"/>
              <w:jc w:val="right"/>
              <w:rPr>
                <w:rFonts w:ascii="Arial Narrow" w:eastAsia="Times New Roman" w:hAnsi="Arial Narrow"/>
                <w:sz w:val="20"/>
                <w:szCs w:val="20"/>
              </w:rPr>
            </w:pPr>
            <w:r>
              <w:rPr>
                <w:rFonts w:ascii="Arial Narrow" w:hAnsi="Arial Narrow" w:cs="Calibri"/>
                <w:noProof/>
                <w:color w:val="000000"/>
                <w:sz w:val="20"/>
                <w:szCs w:val="20"/>
                <w:highlight w:val="black"/>
              </w:rPr>
              <w:t>''''''''</w:t>
            </w:r>
            <w:r w:rsidR="00B61A0C">
              <w:rPr>
                <w:rFonts w:ascii="Arial Narrow" w:hAnsi="Arial Narrow" w:cs="Calibri"/>
                <w:color w:val="000000"/>
                <w:sz w:val="20"/>
                <w:szCs w:val="20"/>
                <w:vertAlign w:val="superscript"/>
              </w:rPr>
              <w:t>3</w:t>
            </w:r>
          </w:p>
        </w:tc>
        <w:tc>
          <w:tcPr>
            <w:tcW w:w="127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75F56" w:rsidRPr="00F573A7" w:rsidRDefault="003C35B3" w:rsidP="006D6787">
            <w:pPr>
              <w:keepLines/>
              <w:spacing w:before="0"/>
              <w:jc w:val="center"/>
              <w:rPr>
                <w:rFonts w:ascii="Arial Narrow" w:eastAsia="Times New Roman" w:hAnsi="Arial Narrow"/>
                <w:sz w:val="20"/>
                <w:szCs w:val="20"/>
              </w:rPr>
            </w:pPr>
            <w:r w:rsidRPr="00F573A7">
              <w:rPr>
                <w:rFonts w:ascii="Arial Narrow" w:hAnsi="Arial Narrow"/>
                <w:sz w:val="20"/>
                <w:szCs w:val="20"/>
              </w:rPr>
              <w:t xml:space="preserve">Row E, Table </w:t>
            </w:r>
            <w:r w:rsidR="006D6787" w:rsidRPr="00F573A7">
              <w:rPr>
                <w:rFonts w:ascii="Arial Narrow" w:hAnsi="Arial Narrow"/>
                <w:sz w:val="20"/>
                <w:szCs w:val="20"/>
              </w:rPr>
              <w:t>7</w:t>
            </w:r>
          </w:p>
        </w:tc>
      </w:tr>
      <w:tr w:rsidR="003C35B3" w:rsidRPr="00F573A7" w:rsidTr="00C07E24">
        <w:trPr>
          <w:trHeight w:val="252"/>
        </w:trPr>
        <w:tc>
          <w:tcPr>
            <w:tcW w:w="99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75F56" w:rsidRPr="00F573A7" w:rsidRDefault="003C35B3" w:rsidP="00AE0F58">
            <w:pPr>
              <w:keepLines/>
              <w:spacing w:before="0"/>
              <w:jc w:val="left"/>
              <w:rPr>
                <w:rFonts w:ascii="Arial Narrow" w:eastAsia="Times New Roman" w:hAnsi="Arial Narrow"/>
                <w:iCs/>
                <w:sz w:val="20"/>
                <w:szCs w:val="20"/>
              </w:rPr>
            </w:pPr>
            <w:r w:rsidRPr="00F573A7">
              <w:rPr>
                <w:rFonts w:ascii="Arial Narrow" w:hAnsi="Arial Narrow"/>
                <w:iCs/>
                <w:sz w:val="20"/>
                <w:szCs w:val="20"/>
              </w:rPr>
              <w:t>C</w:t>
            </w:r>
            <w:r w:rsidR="00E75F56" w:rsidRPr="00F573A7">
              <w:rPr>
                <w:rFonts w:ascii="Arial Narrow" w:hAnsi="Arial Narrow"/>
                <w:iCs/>
                <w:sz w:val="20"/>
                <w:szCs w:val="20"/>
              </w:rPr>
              <w:t xml:space="preserve">ost to PBS/RPBS </w:t>
            </w:r>
          </w:p>
        </w:tc>
        <w:tc>
          <w:tcPr>
            <w:tcW w:w="113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E75F56" w:rsidRPr="00F573A7" w:rsidRDefault="00E75F56" w:rsidP="003D070A">
            <w:pPr>
              <w:keepLines/>
              <w:spacing w:before="0"/>
              <w:jc w:val="right"/>
              <w:rPr>
                <w:rFonts w:ascii="Arial Narrow" w:hAnsi="Arial Narrow" w:cs="Calibri"/>
                <w:sz w:val="20"/>
                <w:szCs w:val="20"/>
              </w:rPr>
            </w:pPr>
            <w:r w:rsidRPr="00F573A7">
              <w:rPr>
                <w:rFonts w:ascii="Arial Narrow" w:hAnsi="Arial Narrow" w:cs="Calibri"/>
                <w:sz w:val="20"/>
                <w:szCs w:val="20"/>
              </w:rPr>
              <w:t>$</w:t>
            </w:r>
            <w:r w:rsidR="004B7986">
              <w:rPr>
                <w:rFonts w:ascii="Arial Narrow" w:hAnsi="Arial Narrow" w:cs="Calibri"/>
                <w:noProof/>
                <w:color w:val="000000"/>
                <w:sz w:val="20"/>
                <w:szCs w:val="20"/>
                <w:highlight w:val="black"/>
              </w:rPr>
              <w:t>'''''''''''''''''''''''</w:t>
            </w:r>
            <w:r w:rsidR="00B61A0C">
              <w:rPr>
                <w:rFonts w:ascii="Arial Narrow" w:hAnsi="Arial Narrow" w:cs="Calibri"/>
                <w:color w:val="000000"/>
                <w:sz w:val="20"/>
                <w:szCs w:val="20"/>
                <w:vertAlign w:val="superscript"/>
              </w:rPr>
              <w:t>2</w:t>
            </w:r>
          </w:p>
        </w:tc>
        <w:tc>
          <w:tcPr>
            <w:tcW w:w="113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E75F56" w:rsidRPr="00F573A7" w:rsidRDefault="00E75F56" w:rsidP="003D070A">
            <w:pPr>
              <w:keepLines/>
              <w:spacing w:before="0"/>
              <w:jc w:val="right"/>
              <w:rPr>
                <w:rFonts w:ascii="Arial Narrow" w:hAnsi="Arial Narrow" w:cs="Calibri"/>
                <w:sz w:val="20"/>
                <w:szCs w:val="20"/>
              </w:rPr>
            </w:pPr>
            <w:r w:rsidRPr="00F573A7">
              <w:rPr>
                <w:rFonts w:ascii="Arial Narrow" w:hAnsi="Arial Narrow" w:cs="Calibri"/>
                <w:sz w:val="20"/>
                <w:szCs w:val="20"/>
              </w:rPr>
              <w:t>$</w:t>
            </w:r>
            <w:r w:rsidR="004B7986">
              <w:rPr>
                <w:rFonts w:ascii="Arial Narrow" w:hAnsi="Arial Narrow" w:cs="Calibri"/>
                <w:noProof/>
                <w:color w:val="000000"/>
                <w:sz w:val="20"/>
                <w:szCs w:val="20"/>
                <w:highlight w:val="black"/>
              </w:rPr>
              <w:t>'''''''''''''''''''''''''''</w:t>
            </w:r>
            <w:r w:rsidR="00B61A0C">
              <w:rPr>
                <w:rFonts w:ascii="Arial Narrow" w:hAnsi="Arial Narrow" w:cs="Calibri"/>
                <w:color w:val="000000"/>
                <w:sz w:val="20"/>
                <w:szCs w:val="20"/>
                <w:vertAlign w:val="superscript"/>
              </w:rPr>
              <w:t>4</w:t>
            </w:r>
          </w:p>
        </w:tc>
        <w:tc>
          <w:tcPr>
            <w:tcW w:w="1276"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E75F56" w:rsidRPr="00F573A7" w:rsidRDefault="00E75F56" w:rsidP="003D070A">
            <w:pPr>
              <w:keepLines/>
              <w:spacing w:before="0"/>
              <w:jc w:val="right"/>
              <w:rPr>
                <w:rFonts w:ascii="Arial Narrow" w:hAnsi="Arial Narrow" w:cs="Calibri"/>
                <w:sz w:val="20"/>
                <w:szCs w:val="20"/>
              </w:rPr>
            </w:pPr>
            <w:r w:rsidRPr="00F573A7">
              <w:rPr>
                <w:rFonts w:ascii="Arial Narrow" w:hAnsi="Arial Narrow" w:cs="Calibri"/>
                <w:sz w:val="20"/>
                <w:szCs w:val="20"/>
              </w:rPr>
              <w:t>$</w:t>
            </w:r>
            <w:r w:rsidR="004B7986">
              <w:rPr>
                <w:rFonts w:ascii="Arial Narrow" w:hAnsi="Arial Narrow" w:cs="Calibri"/>
                <w:noProof/>
                <w:color w:val="000000"/>
                <w:sz w:val="20"/>
                <w:szCs w:val="20"/>
                <w:highlight w:val="black"/>
              </w:rPr>
              <w:t>''''''''''''''''''''''''''''</w:t>
            </w:r>
            <w:r w:rsidR="00B61A0C">
              <w:rPr>
                <w:rFonts w:ascii="Arial Narrow" w:hAnsi="Arial Narrow" w:cs="Calibri"/>
                <w:color w:val="000000"/>
                <w:sz w:val="20"/>
                <w:szCs w:val="20"/>
                <w:vertAlign w:val="superscript"/>
              </w:rPr>
              <w:t>4</w:t>
            </w:r>
          </w:p>
        </w:tc>
        <w:tc>
          <w:tcPr>
            <w:tcW w:w="113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E75F56" w:rsidRPr="00F573A7" w:rsidRDefault="00E75F56" w:rsidP="003D070A">
            <w:pPr>
              <w:keepLines/>
              <w:spacing w:before="0"/>
              <w:jc w:val="right"/>
              <w:rPr>
                <w:rFonts w:ascii="Arial Narrow" w:hAnsi="Arial Narrow" w:cs="Calibri"/>
                <w:sz w:val="20"/>
                <w:szCs w:val="20"/>
              </w:rPr>
            </w:pPr>
            <w:r w:rsidRPr="00F573A7">
              <w:rPr>
                <w:rFonts w:ascii="Arial Narrow" w:hAnsi="Arial Narrow" w:cs="Calibri"/>
                <w:sz w:val="20"/>
                <w:szCs w:val="20"/>
              </w:rPr>
              <w:t>$</w:t>
            </w:r>
            <w:r w:rsidR="004B7986">
              <w:rPr>
                <w:rFonts w:ascii="Arial Narrow" w:hAnsi="Arial Narrow" w:cs="Calibri"/>
                <w:noProof/>
                <w:color w:val="000000"/>
                <w:sz w:val="20"/>
                <w:szCs w:val="20"/>
                <w:highlight w:val="black"/>
              </w:rPr>
              <w:t>'''''''''''''''''''''''''</w:t>
            </w:r>
            <w:r w:rsidR="00B61A0C">
              <w:rPr>
                <w:rFonts w:ascii="Arial Narrow" w:hAnsi="Arial Narrow" w:cs="Calibri"/>
                <w:color w:val="000000"/>
                <w:sz w:val="20"/>
                <w:szCs w:val="20"/>
                <w:vertAlign w:val="superscript"/>
              </w:rPr>
              <w:t>5</w:t>
            </w:r>
          </w:p>
        </w:tc>
        <w:tc>
          <w:tcPr>
            <w:tcW w:w="1276"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E75F56" w:rsidRPr="00F573A7" w:rsidRDefault="00E75F56" w:rsidP="003D070A">
            <w:pPr>
              <w:keepLines/>
              <w:spacing w:before="0"/>
              <w:jc w:val="right"/>
              <w:rPr>
                <w:rFonts w:ascii="Arial Narrow" w:hAnsi="Arial Narrow" w:cs="Calibri"/>
                <w:sz w:val="20"/>
                <w:szCs w:val="20"/>
              </w:rPr>
            </w:pPr>
            <w:r w:rsidRPr="00F573A7">
              <w:rPr>
                <w:rFonts w:ascii="Arial Narrow" w:hAnsi="Arial Narrow" w:cs="Calibri"/>
                <w:sz w:val="20"/>
                <w:szCs w:val="20"/>
              </w:rPr>
              <w:t>$</w:t>
            </w:r>
            <w:r w:rsidR="004B7986">
              <w:rPr>
                <w:rFonts w:ascii="Arial Narrow" w:hAnsi="Arial Narrow" w:cs="Calibri"/>
                <w:noProof/>
                <w:color w:val="000000"/>
                <w:sz w:val="20"/>
                <w:szCs w:val="20"/>
                <w:highlight w:val="black"/>
              </w:rPr>
              <w:t>'''''''''''''''''''''''''''''</w:t>
            </w:r>
            <w:r w:rsidR="00B61A0C">
              <w:rPr>
                <w:rFonts w:ascii="Arial Narrow" w:hAnsi="Arial Narrow" w:cs="Calibri"/>
                <w:color w:val="000000"/>
                <w:sz w:val="20"/>
                <w:szCs w:val="20"/>
                <w:vertAlign w:val="superscript"/>
              </w:rPr>
              <w:t>5</w:t>
            </w:r>
          </w:p>
        </w:tc>
        <w:tc>
          <w:tcPr>
            <w:tcW w:w="113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E75F56" w:rsidRPr="00F573A7" w:rsidRDefault="00E75F56" w:rsidP="003D070A">
            <w:pPr>
              <w:keepLines/>
              <w:spacing w:before="0"/>
              <w:jc w:val="right"/>
              <w:rPr>
                <w:rFonts w:ascii="Arial Narrow" w:hAnsi="Arial Narrow" w:cs="Calibri"/>
                <w:sz w:val="20"/>
                <w:szCs w:val="20"/>
              </w:rPr>
            </w:pPr>
            <w:r w:rsidRPr="00F573A7">
              <w:rPr>
                <w:rFonts w:ascii="Arial Narrow" w:hAnsi="Arial Narrow" w:cs="Calibri"/>
                <w:sz w:val="20"/>
                <w:szCs w:val="20"/>
              </w:rPr>
              <w:t>$</w:t>
            </w:r>
            <w:r w:rsidR="004B7986">
              <w:rPr>
                <w:rFonts w:ascii="Arial Narrow" w:hAnsi="Arial Narrow" w:cs="Calibri"/>
                <w:noProof/>
                <w:color w:val="000000"/>
                <w:sz w:val="20"/>
                <w:szCs w:val="20"/>
                <w:highlight w:val="black"/>
              </w:rPr>
              <w:t>''''''''''''''''''''''''</w:t>
            </w:r>
            <w:r w:rsidR="00B61A0C">
              <w:rPr>
                <w:rFonts w:ascii="Arial Narrow" w:hAnsi="Arial Narrow" w:cs="Calibri"/>
                <w:color w:val="000000"/>
                <w:sz w:val="20"/>
                <w:szCs w:val="20"/>
                <w:vertAlign w:val="superscript"/>
              </w:rPr>
              <w:t>5</w:t>
            </w:r>
          </w:p>
        </w:tc>
        <w:tc>
          <w:tcPr>
            <w:tcW w:w="127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75F56" w:rsidRPr="00F573A7" w:rsidRDefault="00927E81" w:rsidP="00AE0F58">
            <w:pPr>
              <w:keepLines/>
              <w:spacing w:before="0"/>
              <w:jc w:val="center"/>
              <w:rPr>
                <w:rFonts w:ascii="Arial Narrow" w:eastAsia="Times New Roman" w:hAnsi="Arial Narrow"/>
                <w:sz w:val="20"/>
                <w:szCs w:val="20"/>
              </w:rPr>
            </w:pPr>
            <w:r w:rsidRPr="00927E81">
              <w:rPr>
                <w:rFonts w:ascii="Arial Narrow" w:hAnsi="Arial Narrow" w:cs="Calibri"/>
                <w:color w:val="000000"/>
                <w:sz w:val="20"/>
                <w:szCs w:val="20"/>
              </w:rPr>
              <w:t>Attachment 4 of July 2021 submission</w:t>
            </w:r>
          </w:p>
        </w:tc>
      </w:tr>
      <w:tr w:rsidR="003C35B3" w:rsidRPr="00F573A7" w:rsidTr="00C07E24">
        <w:trPr>
          <w:trHeight w:val="252"/>
        </w:trPr>
        <w:tc>
          <w:tcPr>
            <w:tcW w:w="99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75F56" w:rsidRPr="00F573A7" w:rsidRDefault="00E75F56" w:rsidP="00AE0F58">
            <w:pPr>
              <w:keepLines/>
              <w:spacing w:before="0"/>
              <w:jc w:val="left"/>
              <w:rPr>
                <w:rFonts w:ascii="Arial Narrow" w:eastAsia="Times New Roman" w:hAnsi="Arial Narrow"/>
                <w:iCs/>
                <w:sz w:val="20"/>
                <w:szCs w:val="20"/>
              </w:rPr>
            </w:pPr>
            <w:r w:rsidRPr="00F573A7">
              <w:rPr>
                <w:rFonts w:ascii="Arial Narrow" w:hAnsi="Arial Narrow"/>
                <w:iCs/>
                <w:sz w:val="20"/>
                <w:szCs w:val="20"/>
              </w:rPr>
              <w:t xml:space="preserve">Cost offsets </w:t>
            </w:r>
            <w:r w:rsidR="003C35B3" w:rsidRPr="00F573A7">
              <w:rPr>
                <w:rFonts w:ascii="Arial Narrow" w:hAnsi="Arial Narrow"/>
                <w:iCs/>
                <w:sz w:val="20"/>
                <w:szCs w:val="20"/>
              </w:rPr>
              <w:t>(</w:t>
            </w:r>
            <w:r w:rsidRPr="00F573A7">
              <w:rPr>
                <w:rFonts w:ascii="Arial Narrow" w:hAnsi="Arial Narrow"/>
                <w:iCs/>
                <w:sz w:val="20"/>
                <w:szCs w:val="20"/>
              </w:rPr>
              <w:t>substituted therapies</w:t>
            </w:r>
            <w:r w:rsidR="003C35B3" w:rsidRPr="00F573A7">
              <w:rPr>
                <w:rFonts w:ascii="Arial Narrow" w:hAnsi="Arial Narrow"/>
                <w:iCs/>
                <w:sz w:val="20"/>
                <w:szCs w:val="20"/>
              </w:rPr>
              <w:t>)</w:t>
            </w:r>
          </w:p>
        </w:tc>
        <w:tc>
          <w:tcPr>
            <w:tcW w:w="113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E75F56" w:rsidRPr="00F573A7" w:rsidRDefault="00E75F56" w:rsidP="003D070A">
            <w:pPr>
              <w:keepLines/>
              <w:spacing w:before="0"/>
              <w:jc w:val="right"/>
              <w:rPr>
                <w:rFonts w:ascii="Arial Narrow" w:hAnsi="Arial Narrow" w:cs="Calibri"/>
                <w:sz w:val="20"/>
                <w:szCs w:val="20"/>
              </w:rPr>
            </w:pPr>
            <w:r w:rsidRPr="00F573A7">
              <w:rPr>
                <w:rFonts w:ascii="Arial Narrow" w:hAnsi="Arial Narrow" w:cs="Calibri"/>
                <w:sz w:val="20"/>
                <w:szCs w:val="20"/>
              </w:rPr>
              <w:t>-$</w:t>
            </w:r>
            <w:r w:rsidR="004B7986">
              <w:rPr>
                <w:rFonts w:ascii="Arial Narrow" w:hAnsi="Arial Narrow" w:cs="Calibri"/>
                <w:noProof/>
                <w:color w:val="000000"/>
                <w:sz w:val="20"/>
                <w:szCs w:val="20"/>
                <w:highlight w:val="black"/>
              </w:rPr>
              <w:t>'''''''''''''''''''''''''</w:t>
            </w:r>
            <w:r w:rsidR="00B61A0C">
              <w:rPr>
                <w:rFonts w:ascii="Arial Narrow" w:hAnsi="Arial Narrow" w:cs="Calibri"/>
                <w:color w:val="000000"/>
                <w:sz w:val="20"/>
                <w:szCs w:val="20"/>
                <w:vertAlign w:val="superscript"/>
              </w:rPr>
              <w:t>2</w:t>
            </w:r>
          </w:p>
        </w:tc>
        <w:tc>
          <w:tcPr>
            <w:tcW w:w="113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E75F56" w:rsidRPr="00F573A7" w:rsidRDefault="00E75F56" w:rsidP="003D070A">
            <w:pPr>
              <w:keepLines/>
              <w:spacing w:before="0"/>
              <w:jc w:val="right"/>
              <w:rPr>
                <w:rFonts w:ascii="Arial Narrow" w:hAnsi="Arial Narrow" w:cs="Calibri"/>
                <w:sz w:val="20"/>
                <w:szCs w:val="20"/>
              </w:rPr>
            </w:pPr>
            <w:r w:rsidRPr="00F573A7">
              <w:rPr>
                <w:rFonts w:ascii="Arial Narrow" w:hAnsi="Arial Narrow" w:cs="Calibri"/>
                <w:sz w:val="20"/>
                <w:szCs w:val="20"/>
              </w:rPr>
              <w:t>-$</w:t>
            </w:r>
            <w:r w:rsidR="004B7986">
              <w:rPr>
                <w:rFonts w:ascii="Arial Narrow" w:hAnsi="Arial Narrow" w:cs="Calibri"/>
                <w:noProof/>
                <w:color w:val="000000"/>
                <w:sz w:val="20"/>
                <w:szCs w:val="20"/>
                <w:highlight w:val="black"/>
              </w:rPr>
              <w:t>''''''''''''''''''''''''''</w:t>
            </w:r>
            <w:r w:rsidR="00B61A0C">
              <w:rPr>
                <w:rFonts w:ascii="Arial Narrow" w:hAnsi="Arial Narrow" w:cs="Calibri"/>
                <w:color w:val="000000"/>
                <w:sz w:val="20"/>
                <w:szCs w:val="20"/>
                <w:vertAlign w:val="superscript"/>
              </w:rPr>
              <w:t>4</w:t>
            </w:r>
          </w:p>
        </w:tc>
        <w:tc>
          <w:tcPr>
            <w:tcW w:w="1276"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E75F56" w:rsidRPr="00F573A7" w:rsidRDefault="00E75F56" w:rsidP="003D070A">
            <w:pPr>
              <w:keepLines/>
              <w:spacing w:before="0"/>
              <w:jc w:val="right"/>
              <w:rPr>
                <w:rFonts w:ascii="Arial Narrow" w:hAnsi="Arial Narrow" w:cs="Calibri"/>
                <w:sz w:val="20"/>
                <w:szCs w:val="20"/>
              </w:rPr>
            </w:pPr>
            <w:r w:rsidRPr="00F573A7">
              <w:rPr>
                <w:rFonts w:ascii="Arial Narrow" w:hAnsi="Arial Narrow" w:cs="Calibri"/>
                <w:sz w:val="20"/>
                <w:szCs w:val="20"/>
              </w:rPr>
              <w:t>-$</w:t>
            </w:r>
            <w:r w:rsidR="004B7986">
              <w:rPr>
                <w:rFonts w:ascii="Arial Narrow" w:hAnsi="Arial Narrow" w:cs="Calibri"/>
                <w:noProof/>
                <w:color w:val="000000"/>
                <w:sz w:val="20"/>
                <w:szCs w:val="20"/>
                <w:highlight w:val="black"/>
              </w:rPr>
              <w:t>'''''''''''''''''''''''''''''</w:t>
            </w:r>
            <w:r w:rsidR="00B61A0C">
              <w:rPr>
                <w:rFonts w:ascii="Arial Narrow" w:hAnsi="Arial Narrow" w:cs="Calibri"/>
                <w:color w:val="000000"/>
                <w:sz w:val="20"/>
                <w:szCs w:val="20"/>
                <w:vertAlign w:val="superscript"/>
              </w:rPr>
              <w:t>4</w:t>
            </w:r>
          </w:p>
        </w:tc>
        <w:tc>
          <w:tcPr>
            <w:tcW w:w="113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E75F56" w:rsidRPr="00F573A7" w:rsidRDefault="00E75F56" w:rsidP="003D070A">
            <w:pPr>
              <w:keepLines/>
              <w:spacing w:before="0"/>
              <w:jc w:val="right"/>
              <w:rPr>
                <w:rFonts w:ascii="Arial Narrow" w:hAnsi="Arial Narrow" w:cs="Calibri"/>
                <w:sz w:val="20"/>
                <w:szCs w:val="20"/>
              </w:rPr>
            </w:pPr>
            <w:r w:rsidRPr="00F573A7">
              <w:rPr>
                <w:rFonts w:ascii="Arial Narrow" w:hAnsi="Arial Narrow" w:cs="Calibri"/>
                <w:sz w:val="20"/>
                <w:szCs w:val="20"/>
              </w:rPr>
              <w:t>-$</w:t>
            </w:r>
            <w:r w:rsidR="004B7986">
              <w:rPr>
                <w:rFonts w:ascii="Arial Narrow" w:hAnsi="Arial Narrow" w:cs="Calibri"/>
                <w:noProof/>
                <w:color w:val="000000"/>
                <w:sz w:val="20"/>
                <w:szCs w:val="20"/>
                <w:highlight w:val="black"/>
              </w:rPr>
              <w:t>''''''''''''''''''''''''</w:t>
            </w:r>
            <w:r w:rsidR="00B61A0C">
              <w:rPr>
                <w:rFonts w:ascii="Arial Narrow" w:hAnsi="Arial Narrow" w:cs="Calibri"/>
                <w:color w:val="000000"/>
                <w:sz w:val="20"/>
                <w:szCs w:val="20"/>
                <w:vertAlign w:val="superscript"/>
              </w:rPr>
              <w:t>5</w:t>
            </w:r>
          </w:p>
        </w:tc>
        <w:tc>
          <w:tcPr>
            <w:tcW w:w="1276"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E75F56" w:rsidRPr="00F573A7" w:rsidRDefault="00E75F56" w:rsidP="003D070A">
            <w:pPr>
              <w:keepLines/>
              <w:spacing w:before="0"/>
              <w:jc w:val="right"/>
              <w:rPr>
                <w:rFonts w:ascii="Arial Narrow" w:hAnsi="Arial Narrow" w:cs="Calibri"/>
                <w:sz w:val="20"/>
                <w:szCs w:val="20"/>
              </w:rPr>
            </w:pPr>
            <w:r w:rsidRPr="00F573A7">
              <w:rPr>
                <w:rFonts w:ascii="Arial Narrow" w:hAnsi="Arial Narrow" w:cs="Calibri"/>
                <w:sz w:val="20"/>
                <w:szCs w:val="20"/>
              </w:rPr>
              <w:t>-$</w:t>
            </w:r>
            <w:r w:rsidR="004B7986">
              <w:rPr>
                <w:rFonts w:ascii="Arial Narrow" w:hAnsi="Arial Narrow" w:cs="Calibri"/>
                <w:noProof/>
                <w:color w:val="000000"/>
                <w:sz w:val="20"/>
                <w:szCs w:val="20"/>
                <w:highlight w:val="black"/>
              </w:rPr>
              <w:t>''''''''''''''''''''''''''''</w:t>
            </w:r>
            <w:r w:rsidR="00B61A0C">
              <w:rPr>
                <w:rFonts w:ascii="Arial Narrow" w:hAnsi="Arial Narrow" w:cs="Calibri"/>
                <w:color w:val="000000"/>
                <w:sz w:val="20"/>
                <w:szCs w:val="20"/>
                <w:vertAlign w:val="superscript"/>
              </w:rPr>
              <w:t>5</w:t>
            </w:r>
          </w:p>
        </w:tc>
        <w:tc>
          <w:tcPr>
            <w:tcW w:w="113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E75F56" w:rsidRPr="00F573A7" w:rsidRDefault="00E75F56" w:rsidP="003D070A">
            <w:pPr>
              <w:keepLines/>
              <w:spacing w:before="0"/>
              <w:jc w:val="right"/>
              <w:rPr>
                <w:rFonts w:ascii="Arial Narrow" w:hAnsi="Arial Narrow" w:cs="Calibri"/>
                <w:sz w:val="20"/>
                <w:szCs w:val="20"/>
              </w:rPr>
            </w:pPr>
            <w:r w:rsidRPr="00F573A7">
              <w:rPr>
                <w:rFonts w:ascii="Arial Narrow" w:hAnsi="Arial Narrow" w:cs="Calibri"/>
                <w:sz w:val="20"/>
                <w:szCs w:val="20"/>
              </w:rPr>
              <w:t>-$</w:t>
            </w:r>
            <w:r w:rsidR="004B7986">
              <w:rPr>
                <w:rFonts w:ascii="Arial Narrow" w:hAnsi="Arial Narrow" w:cs="Calibri"/>
                <w:noProof/>
                <w:color w:val="000000"/>
                <w:sz w:val="20"/>
                <w:szCs w:val="20"/>
                <w:highlight w:val="black"/>
              </w:rPr>
              <w:t>''''''''''''''''''''''''''</w:t>
            </w:r>
            <w:r w:rsidR="00B61A0C">
              <w:rPr>
                <w:rFonts w:ascii="Arial Narrow" w:hAnsi="Arial Narrow" w:cs="Calibri"/>
                <w:color w:val="000000"/>
                <w:sz w:val="20"/>
                <w:szCs w:val="20"/>
                <w:vertAlign w:val="superscript"/>
              </w:rPr>
              <w:t>5</w:t>
            </w:r>
          </w:p>
        </w:tc>
        <w:tc>
          <w:tcPr>
            <w:tcW w:w="127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75F56" w:rsidRPr="00F573A7" w:rsidRDefault="00E75F56" w:rsidP="00364F59">
            <w:pPr>
              <w:keepLines/>
              <w:spacing w:before="0"/>
              <w:jc w:val="center"/>
              <w:rPr>
                <w:rFonts w:ascii="Arial Narrow" w:hAnsi="Arial Narrow" w:cs="Calibri"/>
                <w:color w:val="000000"/>
                <w:sz w:val="20"/>
                <w:szCs w:val="20"/>
              </w:rPr>
            </w:pPr>
            <w:r w:rsidRPr="00F573A7">
              <w:rPr>
                <w:rFonts w:ascii="Arial Narrow" w:hAnsi="Arial Narrow" w:cs="Calibri"/>
                <w:color w:val="000000"/>
                <w:sz w:val="20"/>
                <w:szCs w:val="20"/>
              </w:rPr>
              <w:t xml:space="preserve">Cost neutral due to same price as </w:t>
            </w:r>
            <w:proofErr w:type="spellStart"/>
            <w:r w:rsidR="00364F59" w:rsidRPr="00F573A7">
              <w:rPr>
                <w:rFonts w:ascii="Arial Narrow" w:hAnsi="Arial Narrow" w:cs="Calibri"/>
                <w:color w:val="000000"/>
                <w:sz w:val="20"/>
                <w:szCs w:val="20"/>
              </w:rPr>
              <w:t>abi</w:t>
            </w:r>
            <w:proofErr w:type="spellEnd"/>
            <w:r w:rsidR="00364F59" w:rsidRPr="00F573A7">
              <w:rPr>
                <w:rFonts w:ascii="Arial Narrow" w:hAnsi="Arial Narrow" w:cs="Calibri"/>
                <w:color w:val="000000"/>
                <w:sz w:val="20"/>
                <w:szCs w:val="20"/>
              </w:rPr>
              <w:t>/</w:t>
            </w:r>
            <w:proofErr w:type="spellStart"/>
            <w:r w:rsidRPr="00F573A7">
              <w:rPr>
                <w:rFonts w:ascii="Arial Narrow" w:hAnsi="Arial Narrow" w:cs="Calibri"/>
                <w:color w:val="000000"/>
                <w:sz w:val="20"/>
                <w:szCs w:val="20"/>
              </w:rPr>
              <w:t>enza</w:t>
            </w:r>
            <w:r w:rsidR="00E1195D" w:rsidRPr="00F573A7">
              <w:rPr>
                <w:rFonts w:ascii="Arial Narrow" w:hAnsi="Arial Narrow" w:cs="Calibri"/>
                <w:color w:val="000000"/>
                <w:sz w:val="20"/>
                <w:szCs w:val="20"/>
                <w:vertAlign w:val="superscript"/>
              </w:rPr>
              <w:t>b</w:t>
            </w:r>
            <w:proofErr w:type="spellEnd"/>
          </w:p>
        </w:tc>
      </w:tr>
      <w:tr w:rsidR="009F01BB" w:rsidRPr="00F573A7" w:rsidTr="00C07E24">
        <w:trPr>
          <w:trHeight w:val="252"/>
        </w:trPr>
        <w:tc>
          <w:tcPr>
            <w:tcW w:w="99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F01BB" w:rsidRPr="00F573A7" w:rsidRDefault="009F01BB" w:rsidP="009F01BB">
            <w:pPr>
              <w:keepLines/>
              <w:spacing w:before="0"/>
              <w:jc w:val="left"/>
              <w:rPr>
                <w:rFonts w:ascii="Arial Narrow" w:eastAsia="Times New Roman" w:hAnsi="Arial Narrow"/>
                <w:iCs/>
                <w:sz w:val="20"/>
                <w:szCs w:val="20"/>
              </w:rPr>
            </w:pPr>
            <w:r w:rsidRPr="00F573A7">
              <w:rPr>
                <w:rFonts w:ascii="Arial Narrow" w:hAnsi="Arial Narrow"/>
                <w:iCs/>
                <w:sz w:val="20"/>
                <w:szCs w:val="20"/>
              </w:rPr>
              <w:t>Cost-offsets (prevention of downstream therapy)</w:t>
            </w:r>
          </w:p>
        </w:tc>
        <w:tc>
          <w:tcPr>
            <w:tcW w:w="113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9F01BB" w:rsidRPr="00F573A7" w:rsidRDefault="009F01BB" w:rsidP="009F01BB">
            <w:pPr>
              <w:keepLines/>
              <w:spacing w:before="0"/>
              <w:jc w:val="right"/>
              <w:rPr>
                <w:rFonts w:ascii="Arial Narrow" w:hAnsi="Arial Narrow" w:cs="Calibri"/>
                <w:color w:val="000000"/>
                <w:sz w:val="20"/>
                <w:szCs w:val="20"/>
              </w:rPr>
            </w:pPr>
            <w:r w:rsidRPr="00F573A7">
              <w:rPr>
                <w:rFonts w:ascii="Arial Narrow" w:hAnsi="Arial Narrow" w:cs="Calibri"/>
                <w:color w:val="000000"/>
                <w:sz w:val="20"/>
                <w:szCs w:val="20"/>
              </w:rPr>
              <w:t>$</w:t>
            </w:r>
            <w:r w:rsidR="004B7986">
              <w:rPr>
                <w:rFonts w:ascii="Arial Narrow" w:hAnsi="Arial Narrow" w:cs="Calibri"/>
                <w:noProof/>
                <w:color w:val="000000"/>
                <w:sz w:val="20"/>
                <w:szCs w:val="20"/>
                <w:highlight w:val="black"/>
              </w:rPr>
              <w:t>'''</w:t>
            </w:r>
            <w:r>
              <w:rPr>
                <w:rFonts w:ascii="Arial Narrow" w:hAnsi="Arial Narrow" w:cs="Calibri"/>
                <w:color w:val="000000"/>
                <w:sz w:val="20"/>
                <w:szCs w:val="20"/>
                <w:vertAlign w:val="superscript"/>
              </w:rPr>
              <w:t>2</w:t>
            </w:r>
          </w:p>
        </w:tc>
        <w:tc>
          <w:tcPr>
            <w:tcW w:w="113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9F01BB" w:rsidRPr="00F573A7" w:rsidRDefault="009F01BB" w:rsidP="009F01BB">
            <w:pPr>
              <w:keepLines/>
              <w:spacing w:before="0"/>
              <w:jc w:val="right"/>
              <w:rPr>
                <w:rFonts w:ascii="Arial Narrow" w:hAnsi="Arial Narrow" w:cs="Calibri"/>
                <w:color w:val="000000"/>
                <w:sz w:val="20"/>
                <w:szCs w:val="20"/>
              </w:rPr>
            </w:pPr>
            <w:r w:rsidRPr="00F573A7">
              <w:rPr>
                <w:rFonts w:ascii="Arial Narrow" w:hAnsi="Arial Narrow" w:cs="Calibri"/>
                <w:color w:val="000000"/>
                <w:sz w:val="20"/>
                <w:szCs w:val="20"/>
              </w:rPr>
              <w:t>$</w:t>
            </w:r>
            <w:r w:rsidR="004B7986">
              <w:rPr>
                <w:rFonts w:ascii="Arial Narrow" w:hAnsi="Arial Narrow" w:cs="Calibri"/>
                <w:noProof/>
                <w:color w:val="000000"/>
                <w:sz w:val="20"/>
                <w:szCs w:val="20"/>
                <w:highlight w:val="black"/>
              </w:rPr>
              <w:t>''''</w:t>
            </w:r>
            <w:r>
              <w:rPr>
                <w:rFonts w:ascii="Arial Narrow" w:hAnsi="Arial Narrow" w:cs="Calibri"/>
                <w:color w:val="000000"/>
                <w:sz w:val="20"/>
                <w:szCs w:val="20"/>
                <w:vertAlign w:val="superscript"/>
              </w:rPr>
              <w:t>2</w:t>
            </w:r>
          </w:p>
        </w:tc>
        <w:tc>
          <w:tcPr>
            <w:tcW w:w="1276"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9F01BB" w:rsidRPr="00F573A7" w:rsidRDefault="009F01BB" w:rsidP="009F01BB">
            <w:pPr>
              <w:keepLines/>
              <w:spacing w:before="0"/>
              <w:jc w:val="right"/>
              <w:rPr>
                <w:rFonts w:ascii="Arial Narrow" w:hAnsi="Arial Narrow" w:cs="Calibri"/>
                <w:color w:val="000000"/>
                <w:sz w:val="20"/>
                <w:szCs w:val="20"/>
              </w:rPr>
            </w:pPr>
            <w:r w:rsidRPr="00F573A7">
              <w:rPr>
                <w:rFonts w:ascii="Arial Narrow" w:hAnsi="Arial Narrow" w:cs="Calibri"/>
                <w:color w:val="000000"/>
                <w:sz w:val="20"/>
                <w:szCs w:val="20"/>
              </w:rPr>
              <w:t>$</w:t>
            </w:r>
            <w:r w:rsidR="004B7986">
              <w:rPr>
                <w:rFonts w:ascii="Arial Narrow" w:hAnsi="Arial Narrow" w:cs="Calibri"/>
                <w:noProof/>
                <w:color w:val="000000"/>
                <w:sz w:val="20"/>
                <w:szCs w:val="20"/>
                <w:highlight w:val="black"/>
              </w:rPr>
              <w:t>''''</w:t>
            </w:r>
            <w:r>
              <w:rPr>
                <w:rFonts w:ascii="Arial Narrow" w:hAnsi="Arial Narrow" w:cs="Calibri"/>
                <w:color w:val="000000"/>
                <w:sz w:val="20"/>
                <w:szCs w:val="20"/>
                <w:vertAlign w:val="superscript"/>
              </w:rPr>
              <w:t>2</w:t>
            </w:r>
          </w:p>
        </w:tc>
        <w:tc>
          <w:tcPr>
            <w:tcW w:w="113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9F01BB" w:rsidRPr="00F573A7" w:rsidRDefault="009F01BB" w:rsidP="009F01BB">
            <w:pPr>
              <w:keepLines/>
              <w:spacing w:before="0"/>
              <w:jc w:val="right"/>
              <w:rPr>
                <w:rFonts w:ascii="Arial Narrow" w:hAnsi="Arial Narrow" w:cs="Calibri"/>
                <w:color w:val="000000"/>
                <w:sz w:val="20"/>
                <w:szCs w:val="20"/>
              </w:rPr>
            </w:pPr>
            <w:r w:rsidRPr="00F573A7">
              <w:rPr>
                <w:rFonts w:ascii="Arial Narrow" w:hAnsi="Arial Narrow" w:cs="Calibri"/>
                <w:color w:val="000000"/>
                <w:sz w:val="20"/>
                <w:szCs w:val="20"/>
              </w:rPr>
              <w:t>$</w:t>
            </w:r>
            <w:r w:rsidR="004B7986">
              <w:rPr>
                <w:rFonts w:ascii="Arial Narrow" w:hAnsi="Arial Narrow" w:cs="Calibri"/>
                <w:noProof/>
                <w:color w:val="000000"/>
                <w:sz w:val="20"/>
                <w:szCs w:val="20"/>
                <w:highlight w:val="black"/>
              </w:rPr>
              <w:t>''''</w:t>
            </w:r>
            <w:r>
              <w:rPr>
                <w:rFonts w:ascii="Arial Narrow" w:hAnsi="Arial Narrow" w:cs="Calibri"/>
                <w:color w:val="000000"/>
                <w:sz w:val="20"/>
                <w:szCs w:val="20"/>
                <w:vertAlign w:val="superscript"/>
              </w:rPr>
              <w:t>2</w:t>
            </w:r>
          </w:p>
        </w:tc>
        <w:tc>
          <w:tcPr>
            <w:tcW w:w="1276"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9F01BB" w:rsidRPr="00F573A7" w:rsidRDefault="009F01BB" w:rsidP="009F01BB">
            <w:pPr>
              <w:keepLines/>
              <w:spacing w:before="0"/>
              <w:jc w:val="right"/>
              <w:rPr>
                <w:rFonts w:ascii="Arial Narrow" w:hAnsi="Arial Narrow" w:cs="Calibri"/>
                <w:color w:val="000000"/>
                <w:sz w:val="20"/>
                <w:szCs w:val="20"/>
              </w:rPr>
            </w:pPr>
            <w:r w:rsidRPr="00F573A7">
              <w:rPr>
                <w:rFonts w:ascii="Arial Narrow" w:hAnsi="Arial Narrow" w:cs="Calibri"/>
                <w:color w:val="000000"/>
                <w:sz w:val="20"/>
                <w:szCs w:val="20"/>
              </w:rPr>
              <w:t>$</w:t>
            </w:r>
            <w:r w:rsidR="004B7986">
              <w:rPr>
                <w:rFonts w:ascii="Arial Narrow" w:hAnsi="Arial Narrow" w:cs="Calibri"/>
                <w:noProof/>
                <w:color w:val="000000"/>
                <w:sz w:val="20"/>
                <w:szCs w:val="20"/>
                <w:highlight w:val="black"/>
              </w:rPr>
              <w:t>'''</w:t>
            </w:r>
            <w:r>
              <w:rPr>
                <w:rFonts w:ascii="Arial Narrow" w:hAnsi="Arial Narrow" w:cs="Calibri"/>
                <w:color w:val="000000"/>
                <w:sz w:val="20"/>
                <w:szCs w:val="20"/>
                <w:vertAlign w:val="superscript"/>
              </w:rPr>
              <w:t>2</w:t>
            </w:r>
          </w:p>
        </w:tc>
        <w:tc>
          <w:tcPr>
            <w:tcW w:w="113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9F01BB" w:rsidRPr="00F573A7" w:rsidRDefault="009F01BB" w:rsidP="009F01BB">
            <w:pPr>
              <w:keepLines/>
              <w:spacing w:before="0"/>
              <w:jc w:val="right"/>
              <w:rPr>
                <w:rFonts w:ascii="Arial Narrow" w:hAnsi="Arial Narrow" w:cs="Calibri"/>
                <w:color w:val="000000"/>
                <w:sz w:val="20"/>
                <w:szCs w:val="20"/>
              </w:rPr>
            </w:pPr>
            <w:r w:rsidRPr="00F573A7">
              <w:rPr>
                <w:rFonts w:ascii="Arial Narrow" w:hAnsi="Arial Narrow" w:cs="Calibri"/>
                <w:color w:val="000000"/>
                <w:sz w:val="20"/>
                <w:szCs w:val="20"/>
              </w:rPr>
              <w:t>$</w:t>
            </w:r>
            <w:r w:rsidR="004B7986">
              <w:rPr>
                <w:rFonts w:ascii="Arial Narrow" w:hAnsi="Arial Narrow" w:cs="Calibri"/>
                <w:noProof/>
                <w:color w:val="000000"/>
                <w:sz w:val="20"/>
                <w:szCs w:val="20"/>
                <w:highlight w:val="black"/>
              </w:rPr>
              <w:t>''''</w:t>
            </w:r>
            <w:r>
              <w:rPr>
                <w:rFonts w:ascii="Arial Narrow" w:hAnsi="Arial Narrow" w:cs="Calibri"/>
                <w:color w:val="000000"/>
                <w:sz w:val="20"/>
                <w:szCs w:val="20"/>
                <w:vertAlign w:val="superscript"/>
              </w:rPr>
              <w:t>2</w:t>
            </w:r>
          </w:p>
        </w:tc>
        <w:tc>
          <w:tcPr>
            <w:tcW w:w="127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F01BB" w:rsidRPr="00F573A7" w:rsidRDefault="009F01BB" w:rsidP="009F01BB">
            <w:pPr>
              <w:keepLines/>
              <w:spacing w:before="0"/>
              <w:jc w:val="center"/>
              <w:rPr>
                <w:rFonts w:ascii="Arial Narrow" w:hAnsi="Arial Narrow" w:cs="Calibri"/>
                <w:color w:val="000000"/>
                <w:sz w:val="20"/>
                <w:szCs w:val="20"/>
              </w:rPr>
            </w:pPr>
            <w:r w:rsidRPr="00F573A7">
              <w:rPr>
                <w:rFonts w:ascii="Arial Narrow" w:hAnsi="Arial Narrow" w:cs="Calibri"/>
                <w:color w:val="000000"/>
                <w:sz w:val="20"/>
                <w:szCs w:val="20"/>
              </w:rPr>
              <w:t>NA</w:t>
            </w:r>
          </w:p>
        </w:tc>
      </w:tr>
      <w:tr w:rsidR="003C35B3" w:rsidRPr="00F573A7" w:rsidTr="00C07E24">
        <w:trPr>
          <w:trHeight w:val="252"/>
        </w:trPr>
        <w:tc>
          <w:tcPr>
            <w:tcW w:w="99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75F56" w:rsidRPr="00F573A7" w:rsidRDefault="003C35B3" w:rsidP="00AE0F58">
            <w:pPr>
              <w:keepLines/>
              <w:spacing w:before="0"/>
              <w:jc w:val="left"/>
              <w:rPr>
                <w:rFonts w:ascii="Arial Narrow" w:eastAsia="Times New Roman" w:hAnsi="Arial Narrow"/>
                <w:iCs/>
                <w:sz w:val="20"/>
                <w:szCs w:val="20"/>
              </w:rPr>
            </w:pPr>
            <w:r w:rsidRPr="00F573A7">
              <w:rPr>
                <w:rFonts w:ascii="Arial Narrow" w:hAnsi="Arial Narrow"/>
                <w:iCs/>
                <w:sz w:val="20"/>
                <w:szCs w:val="20"/>
              </w:rPr>
              <w:t xml:space="preserve">Total </w:t>
            </w:r>
            <w:r w:rsidR="00E75F56" w:rsidRPr="00F573A7">
              <w:rPr>
                <w:rFonts w:ascii="Arial Narrow" w:hAnsi="Arial Narrow"/>
                <w:iCs/>
                <w:sz w:val="20"/>
                <w:szCs w:val="20"/>
              </w:rPr>
              <w:t>cost to PBS/RPBS</w:t>
            </w:r>
          </w:p>
        </w:tc>
        <w:tc>
          <w:tcPr>
            <w:tcW w:w="113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E75F56" w:rsidRPr="00F573A7" w:rsidRDefault="00E75F56" w:rsidP="003D070A">
            <w:pPr>
              <w:keepLines/>
              <w:spacing w:before="0"/>
              <w:jc w:val="right"/>
              <w:rPr>
                <w:rFonts w:ascii="Arial Narrow" w:hAnsi="Arial Narrow" w:cs="Calibri"/>
                <w:color w:val="000000"/>
                <w:sz w:val="20"/>
                <w:szCs w:val="20"/>
              </w:rPr>
            </w:pPr>
            <w:r w:rsidRPr="00F573A7">
              <w:rPr>
                <w:rFonts w:ascii="Arial Narrow" w:hAnsi="Arial Narrow" w:cs="Calibri"/>
                <w:color w:val="000000"/>
                <w:sz w:val="20"/>
                <w:szCs w:val="20"/>
              </w:rPr>
              <w:t>$</w:t>
            </w:r>
            <w:r w:rsidR="004B7986">
              <w:rPr>
                <w:rFonts w:ascii="Arial Narrow" w:hAnsi="Arial Narrow" w:cs="Calibri"/>
                <w:noProof/>
                <w:color w:val="000000"/>
                <w:sz w:val="20"/>
                <w:szCs w:val="20"/>
                <w:highlight w:val="black"/>
              </w:rPr>
              <w:t>''''''''''''''</w:t>
            </w:r>
            <w:r w:rsidR="00B61A0C">
              <w:rPr>
                <w:rFonts w:ascii="Arial Narrow" w:hAnsi="Arial Narrow" w:cs="Calibri"/>
                <w:color w:val="000000"/>
                <w:sz w:val="20"/>
                <w:szCs w:val="20"/>
                <w:vertAlign w:val="superscript"/>
              </w:rPr>
              <w:t>2</w:t>
            </w:r>
          </w:p>
        </w:tc>
        <w:tc>
          <w:tcPr>
            <w:tcW w:w="113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E75F56" w:rsidRPr="00F573A7" w:rsidRDefault="00E75F56" w:rsidP="003D070A">
            <w:pPr>
              <w:keepLines/>
              <w:spacing w:before="0"/>
              <w:jc w:val="right"/>
              <w:rPr>
                <w:rFonts w:ascii="Arial Narrow" w:hAnsi="Arial Narrow" w:cs="Calibri"/>
                <w:color w:val="000000"/>
                <w:sz w:val="20"/>
                <w:szCs w:val="20"/>
              </w:rPr>
            </w:pPr>
            <w:r w:rsidRPr="00F573A7">
              <w:rPr>
                <w:rFonts w:ascii="Arial Narrow" w:hAnsi="Arial Narrow" w:cs="Calibri"/>
                <w:color w:val="000000"/>
                <w:sz w:val="20"/>
                <w:szCs w:val="20"/>
              </w:rPr>
              <w:t>$</w:t>
            </w:r>
            <w:r w:rsidR="004B7986">
              <w:rPr>
                <w:rFonts w:ascii="Arial Narrow" w:hAnsi="Arial Narrow" w:cs="Calibri"/>
                <w:noProof/>
                <w:color w:val="000000"/>
                <w:sz w:val="20"/>
                <w:szCs w:val="20"/>
                <w:highlight w:val="black"/>
              </w:rPr>
              <w:t>'''''''''''''</w:t>
            </w:r>
            <w:r w:rsidR="00B61A0C">
              <w:rPr>
                <w:rFonts w:ascii="Arial Narrow" w:hAnsi="Arial Narrow" w:cs="Calibri"/>
                <w:color w:val="000000"/>
                <w:sz w:val="20"/>
                <w:szCs w:val="20"/>
                <w:vertAlign w:val="superscript"/>
              </w:rPr>
              <w:t>2</w:t>
            </w:r>
          </w:p>
        </w:tc>
        <w:tc>
          <w:tcPr>
            <w:tcW w:w="1276"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E75F56" w:rsidRPr="00F573A7" w:rsidRDefault="00E75F56" w:rsidP="003D070A">
            <w:pPr>
              <w:keepLines/>
              <w:spacing w:before="0"/>
              <w:jc w:val="right"/>
              <w:rPr>
                <w:rFonts w:ascii="Arial Narrow" w:hAnsi="Arial Narrow" w:cs="Calibri"/>
                <w:color w:val="000000"/>
                <w:sz w:val="20"/>
                <w:szCs w:val="20"/>
              </w:rPr>
            </w:pPr>
            <w:r w:rsidRPr="00F573A7">
              <w:rPr>
                <w:rFonts w:ascii="Arial Narrow" w:hAnsi="Arial Narrow" w:cs="Calibri"/>
                <w:color w:val="000000"/>
                <w:sz w:val="20"/>
                <w:szCs w:val="20"/>
              </w:rPr>
              <w:t>$</w:t>
            </w:r>
            <w:r w:rsidR="004B7986">
              <w:rPr>
                <w:rFonts w:ascii="Arial Narrow" w:hAnsi="Arial Narrow" w:cs="Calibri"/>
                <w:noProof/>
                <w:color w:val="000000"/>
                <w:sz w:val="20"/>
                <w:szCs w:val="20"/>
                <w:highlight w:val="black"/>
              </w:rPr>
              <w:t>''''''''''''</w:t>
            </w:r>
            <w:r w:rsidR="00B61A0C">
              <w:rPr>
                <w:rFonts w:ascii="Arial Narrow" w:hAnsi="Arial Narrow" w:cs="Calibri"/>
                <w:color w:val="000000"/>
                <w:sz w:val="20"/>
                <w:szCs w:val="20"/>
                <w:vertAlign w:val="superscript"/>
              </w:rPr>
              <w:t>2</w:t>
            </w:r>
          </w:p>
        </w:tc>
        <w:tc>
          <w:tcPr>
            <w:tcW w:w="113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E75F56" w:rsidRPr="00F573A7" w:rsidRDefault="00E75F56" w:rsidP="003D070A">
            <w:pPr>
              <w:keepLines/>
              <w:spacing w:before="0"/>
              <w:jc w:val="right"/>
              <w:rPr>
                <w:rFonts w:ascii="Arial Narrow" w:hAnsi="Arial Narrow" w:cs="Calibri"/>
                <w:color w:val="000000"/>
                <w:sz w:val="20"/>
                <w:szCs w:val="20"/>
              </w:rPr>
            </w:pPr>
            <w:r w:rsidRPr="00F573A7">
              <w:rPr>
                <w:rFonts w:ascii="Arial Narrow" w:hAnsi="Arial Narrow" w:cs="Calibri"/>
                <w:color w:val="000000"/>
                <w:sz w:val="20"/>
                <w:szCs w:val="20"/>
              </w:rPr>
              <w:t>$</w:t>
            </w:r>
            <w:r w:rsidR="004B7986">
              <w:rPr>
                <w:rFonts w:ascii="Arial Narrow" w:hAnsi="Arial Narrow" w:cs="Calibri"/>
                <w:noProof/>
                <w:color w:val="000000"/>
                <w:sz w:val="20"/>
                <w:szCs w:val="20"/>
                <w:highlight w:val="black"/>
              </w:rPr>
              <w:t>''''''''''''</w:t>
            </w:r>
            <w:r w:rsidR="00B61A0C">
              <w:rPr>
                <w:rFonts w:ascii="Arial Narrow" w:hAnsi="Arial Narrow" w:cs="Calibri"/>
                <w:color w:val="000000"/>
                <w:sz w:val="20"/>
                <w:szCs w:val="20"/>
                <w:vertAlign w:val="superscript"/>
              </w:rPr>
              <w:t>2</w:t>
            </w:r>
          </w:p>
        </w:tc>
        <w:tc>
          <w:tcPr>
            <w:tcW w:w="1276"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E75F56" w:rsidRPr="00F573A7" w:rsidRDefault="00E75F56" w:rsidP="003D070A">
            <w:pPr>
              <w:keepLines/>
              <w:spacing w:before="0"/>
              <w:jc w:val="right"/>
              <w:rPr>
                <w:rFonts w:ascii="Arial Narrow" w:hAnsi="Arial Narrow" w:cs="Calibri"/>
                <w:color w:val="000000"/>
                <w:sz w:val="20"/>
                <w:szCs w:val="20"/>
              </w:rPr>
            </w:pPr>
            <w:r w:rsidRPr="00F573A7">
              <w:rPr>
                <w:rFonts w:ascii="Arial Narrow" w:hAnsi="Arial Narrow" w:cs="Calibri"/>
                <w:color w:val="000000"/>
                <w:sz w:val="20"/>
                <w:szCs w:val="20"/>
              </w:rPr>
              <w:t>$</w:t>
            </w:r>
            <w:r w:rsidR="004B7986">
              <w:rPr>
                <w:rFonts w:ascii="Arial Narrow" w:hAnsi="Arial Narrow" w:cs="Calibri"/>
                <w:noProof/>
                <w:color w:val="000000"/>
                <w:sz w:val="20"/>
                <w:szCs w:val="20"/>
                <w:highlight w:val="black"/>
              </w:rPr>
              <w:t>''''''''''''''''</w:t>
            </w:r>
            <w:r w:rsidR="00B61A0C">
              <w:rPr>
                <w:rFonts w:ascii="Arial Narrow" w:hAnsi="Arial Narrow" w:cs="Calibri"/>
                <w:color w:val="000000"/>
                <w:sz w:val="20"/>
                <w:szCs w:val="20"/>
                <w:vertAlign w:val="superscript"/>
              </w:rPr>
              <w:t>2</w:t>
            </w:r>
          </w:p>
        </w:tc>
        <w:tc>
          <w:tcPr>
            <w:tcW w:w="1133"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E75F56" w:rsidRPr="00F573A7" w:rsidRDefault="00E75F56" w:rsidP="003D070A">
            <w:pPr>
              <w:keepLines/>
              <w:spacing w:before="0"/>
              <w:jc w:val="right"/>
              <w:rPr>
                <w:rFonts w:ascii="Arial Narrow" w:hAnsi="Arial Narrow" w:cs="Calibri"/>
                <w:color w:val="000000"/>
                <w:sz w:val="20"/>
                <w:szCs w:val="20"/>
              </w:rPr>
            </w:pPr>
            <w:r w:rsidRPr="00F573A7">
              <w:rPr>
                <w:rFonts w:ascii="Arial Narrow" w:hAnsi="Arial Narrow" w:cs="Calibri"/>
                <w:color w:val="000000"/>
                <w:sz w:val="20"/>
                <w:szCs w:val="20"/>
              </w:rPr>
              <w:t>$</w:t>
            </w:r>
            <w:r w:rsidR="004B7986">
              <w:rPr>
                <w:rFonts w:ascii="Arial Narrow" w:hAnsi="Arial Narrow" w:cs="Calibri"/>
                <w:noProof/>
                <w:color w:val="000000"/>
                <w:sz w:val="20"/>
                <w:szCs w:val="20"/>
                <w:highlight w:val="black"/>
              </w:rPr>
              <w:t>''''''''''''''''</w:t>
            </w:r>
            <w:r w:rsidR="00B61A0C">
              <w:rPr>
                <w:rFonts w:ascii="Arial Narrow" w:hAnsi="Arial Narrow" w:cs="Calibri"/>
                <w:color w:val="000000"/>
                <w:sz w:val="20"/>
                <w:szCs w:val="20"/>
                <w:vertAlign w:val="superscript"/>
              </w:rPr>
              <w:t>2</w:t>
            </w:r>
          </w:p>
        </w:tc>
        <w:tc>
          <w:tcPr>
            <w:tcW w:w="127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75F56" w:rsidRPr="00F573A7" w:rsidRDefault="004A3F6B" w:rsidP="00AE0F58">
            <w:pPr>
              <w:keepLines/>
              <w:spacing w:before="0"/>
              <w:jc w:val="center"/>
              <w:rPr>
                <w:rFonts w:ascii="Arial Narrow" w:eastAsia="Times New Roman" w:hAnsi="Arial Narrow"/>
                <w:sz w:val="20"/>
                <w:szCs w:val="20"/>
                <w:vertAlign w:val="superscript"/>
              </w:rPr>
            </w:pPr>
            <w:r w:rsidRPr="00F573A7">
              <w:rPr>
                <w:rFonts w:ascii="Arial Narrow" w:hAnsi="Arial Narrow"/>
                <w:sz w:val="20"/>
                <w:szCs w:val="20"/>
                <w:vertAlign w:val="superscript"/>
              </w:rPr>
              <w:t>-</w:t>
            </w:r>
          </w:p>
        </w:tc>
      </w:tr>
    </w:tbl>
    <w:p w:rsidR="00E75F56" w:rsidRPr="00F573A7" w:rsidRDefault="003C35B3" w:rsidP="00364F59">
      <w:pPr>
        <w:pStyle w:val="3-BodyText"/>
        <w:numPr>
          <w:ilvl w:val="0"/>
          <w:numId w:val="0"/>
        </w:numPr>
        <w:spacing w:after="0"/>
        <w:rPr>
          <w:rFonts w:ascii="Arial Narrow" w:hAnsi="Arial Narrow"/>
          <w:sz w:val="20"/>
          <w:szCs w:val="20"/>
        </w:rPr>
      </w:pPr>
      <w:r w:rsidRPr="00F573A7">
        <w:rPr>
          <w:rFonts w:ascii="Arial Narrow" w:hAnsi="Arial Narrow"/>
          <w:sz w:val="20"/>
          <w:szCs w:val="20"/>
        </w:rPr>
        <w:t>Source: Table 7, pp9-10 of the early re-entry submission</w:t>
      </w:r>
    </w:p>
    <w:p w:rsidR="00364F59" w:rsidRPr="00F573A7" w:rsidRDefault="00364F59" w:rsidP="00364F59">
      <w:pPr>
        <w:pStyle w:val="3-BodyText"/>
        <w:numPr>
          <w:ilvl w:val="0"/>
          <w:numId w:val="0"/>
        </w:numPr>
        <w:spacing w:after="0"/>
        <w:rPr>
          <w:rFonts w:ascii="Arial Narrow" w:hAnsi="Arial Narrow"/>
          <w:sz w:val="20"/>
          <w:szCs w:val="20"/>
        </w:rPr>
      </w:pPr>
      <w:r w:rsidRPr="00F573A7">
        <w:rPr>
          <w:rFonts w:ascii="Arial Narrow" w:hAnsi="Arial Narrow"/>
          <w:sz w:val="20"/>
          <w:szCs w:val="20"/>
        </w:rPr>
        <w:t>abi = abiraterone; CI = conventional imaging; CRPC = castration resistant prostate cancer; daro = darolutamide; enza = enzalutamide; NA = not applicable; PBS = Pharmaceutical Benefits Scheme; PSMA = prostate-specific membrane antigen; RPBS = Repatriation Pharmaceutical Benefits Scheme</w:t>
      </w:r>
    </w:p>
    <w:p w:rsidR="00E1195D" w:rsidRPr="00F573A7" w:rsidRDefault="00AE0F58" w:rsidP="00364F59">
      <w:pPr>
        <w:pStyle w:val="3-BodyText"/>
        <w:numPr>
          <w:ilvl w:val="0"/>
          <w:numId w:val="0"/>
        </w:numPr>
        <w:spacing w:after="0"/>
        <w:jc w:val="left"/>
        <w:rPr>
          <w:rFonts w:ascii="Arial Narrow" w:hAnsi="Arial Narrow"/>
          <w:sz w:val="20"/>
          <w:szCs w:val="20"/>
        </w:rPr>
      </w:pPr>
      <w:r w:rsidRPr="00F573A7">
        <w:rPr>
          <w:rFonts w:ascii="Arial Narrow" w:eastAsia="Calibri" w:hAnsi="Arial Narrow" w:cstheme="minorHAnsi"/>
          <w:sz w:val="20"/>
          <w:szCs w:val="20"/>
          <w:vertAlign w:val="superscript"/>
        </w:rPr>
        <w:t>a</w:t>
      </w:r>
      <w:r w:rsidRPr="00F573A7">
        <w:rPr>
          <w:rFonts w:ascii="Arial Narrow" w:hAnsi="Arial Narrow"/>
          <w:sz w:val="20"/>
          <w:szCs w:val="20"/>
        </w:rPr>
        <w:t xml:space="preserve"> </w:t>
      </w:r>
      <w:r w:rsidR="00E1195D" w:rsidRPr="00F573A7">
        <w:rPr>
          <w:rFonts w:ascii="Arial Narrow" w:hAnsi="Arial Narrow"/>
          <w:sz w:val="20"/>
          <w:szCs w:val="20"/>
        </w:rPr>
        <w:t>These estimates do not account for few prescriptions in grandfather patients</w:t>
      </w:r>
    </w:p>
    <w:p w:rsidR="00364F59" w:rsidRDefault="00E1195D" w:rsidP="00364F59">
      <w:pPr>
        <w:pStyle w:val="3-BodyText"/>
        <w:numPr>
          <w:ilvl w:val="0"/>
          <w:numId w:val="0"/>
        </w:numPr>
        <w:spacing w:after="0"/>
        <w:jc w:val="left"/>
        <w:rPr>
          <w:rFonts w:ascii="Arial Narrow" w:eastAsia="Calibri" w:hAnsi="Arial Narrow" w:cstheme="minorHAnsi"/>
          <w:sz w:val="20"/>
          <w:szCs w:val="20"/>
        </w:rPr>
      </w:pPr>
      <w:r w:rsidRPr="00F573A7">
        <w:rPr>
          <w:rFonts w:ascii="Arial Narrow" w:hAnsi="Arial Narrow"/>
          <w:sz w:val="20"/>
          <w:szCs w:val="20"/>
          <w:vertAlign w:val="superscript"/>
        </w:rPr>
        <w:t>b</w:t>
      </w:r>
      <w:r w:rsidRPr="00F573A7">
        <w:rPr>
          <w:rFonts w:ascii="Arial Narrow" w:hAnsi="Arial Narrow"/>
          <w:sz w:val="20"/>
          <w:szCs w:val="20"/>
        </w:rPr>
        <w:t xml:space="preserve"> </w:t>
      </w:r>
      <w:r w:rsidR="00364F59" w:rsidRPr="00F573A7">
        <w:rPr>
          <w:rFonts w:ascii="Arial Narrow" w:hAnsi="Arial Narrow"/>
          <w:sz w:val="20"/>
          <w:szCs w:val="20"/>
        </w:rPr>
        <w:t>T</w:t>
      </w:r>
      <w:r w:rsidR="00AE0F58" w:rsidRPr="00F573A7">
        <w:rPr>
          <w:rFonts w:ascii="Arial Narrow" w:eastAsia="Calibri" w:hAnsi="Arial Narrow" w:cstheme="minorHAnsi"/>
          <w:sz w:val="20"/>
          <w:szCs w:val="20"/>
        </w:rPr>
        <w:t xml:space="preserve">he offsets of </w:t>
      </w:r>
      <w:r w:rsidR="00364F59" w:rsidRPr="00F573A7">
        <w:rPr>
          <w:rFonts w:ascii="Arial Narrow" w:eastAsia="Calibri" w:hAnsi="Arial Narrow" w:cstheme="minorHAnsi"/>
          <w:sz w:val="20"/>
          <w:szCs w:val="20"/>
        </w:rPr>
        <w:t>abiraterone</w:t>
      </w:r>
      <w:r w:rsidR="00AE0F58" w:rsidRPr="00F573A7">
        <w:rPr>
          <w:rFonts w:ascii="Arial Narrow" w:eastAsia="Calibri" w:hAnsi="Arial Narrow" w:cstheme="minorHAnsi"/>
          <w:sz w:val="20"/>
          <w:szCs w:val="20"/>
        </w:rPr>
        <w:t xml:space="preserve"> and </w:t>
      </w:r>
      <w:r w:rsidR="00364F59" w:rsidRPr="00F573A7">
        <w:rPr>
          <w:rFonts w:ascii="Arial Narrow" w:eastAsia="Calibri" w:hAnsi="Arial Narrow" w:cstheme="minorHAnsi"/>
          <w:sz w:val="20"/>
          <w:szCs w:val="20"/>
        </w:rPr>
        <w:t>enzalutamide</w:t>
      </w:r>
      <w:r w:rsidR="00AE0F58" w:rsidRPr="00F573A7">
        <w:rPr>
          <w:rFonts w:ascii="Arial Narrow" w:eastAsia="Calibri" w:hAnsi="Arial Narrow" w:cstheme="minorHAnsi"/>
          <w:sz w:val="20"/>
          <w:szCs w:val="20"/>
        </w:rPr>
        <w:t xml:space="preserve"> are not exactly equal to the cost of </w:t>
      </w:r>
      <w:r w:rsidR="00364F59" w:rsidRPr="00F573A7">
        <w:rPr>
          <w:rFonts w:ascii="Arial Narrow" w:eastAsia="Calibri" w:hAnsi="Arial Narrow" w:cstheme="minorHAnsi"/>
          <w:sz w:val="20"/>
          <w:szCs w:val="20"/>
        </w:rPr>
        <w:t>darolutamide</w:t>
      </w:r>
      <w:r w:rsidR="00AE0F58" w:rsidRPr="00F573A7">
        <w:rPr>
          <w:rFonts w:ascii="Arial Narrow" w:eastAsia="Calibri" w:hAnsi="Arial Narrow" w:cstheme="minorHAnsi"/>
          <w:sz w:val="20"/>
          <w:szCs w:val="20"/>
        </w:rPr>
        <w:t xml:space="preserve"> due to the different pack sizes (30, 28 and 28 respectively) and consequently, a slightly different cost per d</w:t>
      </w:r>
      <w:r w:rsidR="00364F59" w:rsidRPr="00F573A7">
        <w:rPr>
          <w:rFonts w:ascii="Arial Narrow" w:eastAsia="Calibri" w:hAnsi="Arial Narrow" w:cstheme="minorHAnsi"/>
          <w:sz w:val="20"/>
          <w:szCs w:val="20"/>
        </w:rPr>
        <w:t>ay at the dispensed price level</w:t>
      </w:r>
    </w:p>
    <w:p w:rsidR="009F01BB" w:rsidRPr="009A6D58" w:rsidRDefault="009F01BB" w:rsidP="009F01BB">
      <w:pPr>
        <w:rPr>
          <w:rFonts w:ascii="Arial Narrow" w:hAnsi="Arial Narrow" w:cs="Arial"/>
          <w:i/>
          <w:sz w:val="18"/>
          <w:szCs w:val="18"/>
        </w:rPr>
      </w:pPr>
      <w:r w:rsidRPr="009A6D58">
        <w:rPr>
          <w:rFonts w:ascii="Arial Narrow" w:hAnsi="Arial Narrow" w:cs="Arial"/>
          <w:i/>
          <w:sz w:val="18"/>
          <w:szCs w:val="18"/>
        </w:rPr>
        <w:t xml:space="preserve">The redacted values correspond to the following ranges: </w:t>
      </w:r>
    </w:p>
    <w:p w:rsidR="009F01BB" w:rsidRPr="009A6D58" w:rsidRDefault="009F01BB" w:rsidP="009F01BB">
      <w:pPr>
        <w:rPr>
          <w:rFonts w:ascii="Arial Narrow" w:hAnsi="Arial Narrow" w:cs="Arial"/>
          <w:i/>
          <w:sz w:val="18"/>
          <w:szCs w:val="18"/>
        </w:rPr>
      </w:pPr>
      <w:r w:rsidRPr="009A6D58">
        <w:rPr>
          <w:rFonts w:ascii="Arial Narrow" w:hAnsi="Arial Narrow" w:cs="Arial"/>
          <w:i/>
          <w:sz w:val="18"/>
          <w:szCs w:val="18"/>
          <w:vertAlign w:val="superscript"/>
        </w:rPr>
        <w:t>1</w:t>
      </w:r>
      <w:r>
        <w:rPr>
          <w:rFonts w:ascii="Arial Narrow" w:hAnsi="Arial Narrow" w:cs="Arial"/>
          <w:i/>
          <w:sz w:val="18"/>
          <w:szCs w:val="18"/>
        </w:rPr>
        <w:t xml:space="preserve"> </w:t>
      </w:r>
      <w:r w:rsidRPr="009F01BB">
        <w:rPr>
          <w:rFonts w:ascii="Arial Narrow" w:hAnsi="Arial Narrow" w:cs="Arial"/>
          <w:i/>
          <w:sz w:val="18"/>
          <w:szCs w:val="18"/>
        </w:rPr>
        <w:t>&lt; 500</w:t>
      </w:r>
    </w:p>
    <w:p w:rsidR="009F01BB" w:rsidRPr="009A6D58" w:rsidRDefault="009F01BB" w:rsidP="009F01BB">
      <w:pPr>
        <w:rPr>
          <w:rFonts w:ascii="Arial Narrow" w:hAnsi="Arial Narrow" w:cs="Arial"/>
          <w:i/>
          <w:sz w:val="18"/>
          <w:szCs w:val="18"/>
        </w:rPr>
      </w:pPr>
      <w:r w:rsidRPr="009A6D58">
        <w:rPr>
          <w:rFonts w:ascii="Arial Narrow" w:hAnsi="Arial Narrow" w:cs="Arial"/>
          <w:i/>
          <w:sz w:val="18"/>
          <w:szCs w:val="18"/>
          <w:vertAlign w:val="superscript"/>
        </w:rPr>
        <w:t>2</w:t>
      </w:r>
      <w:r>
        <w:rPr>
          <w:rFonts w:ascii="Arial Narrow" w:hAnsi="Arial Narrow" w:cs="Arial"/>
          <w:i/>
          <w:sz w:val="18"/>
          <w:szCs w:val="18"/>
        </w:rPr>
        <w:t xml:space="preserve"> </w:t>
      </w:r>
      <w:r w:rsidRPr="009F01BB">
        <w:rPr>
          <w:rFonts w:ascii="Arial Narrow" w:hAnsi="Arial Narrow" w:cs="Arial"/>
          <w:i/>
          <w:sz w:val="18"/>
          <w:szCs w:val="18"/>
        </w:rPr>
        <w:t>$0 to &lt; $10 million</w:t>
      </w:r>
    </w:p>
    <w:p w:rsidR="009F01BB" w:rsidRDefault="009F01BB" w:rsidP="009F01BB">
      <w:pPr>
        <w:rPr>
          <w:rFonts w:ascii="Arial Narrow" w:hAnsi="Arial Narrow" w:cs="Arial"/>
          <w:i/>
          <w:sz w:val="18"/>
          <w:szCs w:val="18"/>
        </w:rPr>
      </w:pPr>
      <w:r w:rsidRPr="009A6D58">
        <w:rPr>
          <w:rFonts w:ascii="Arial Narrow" w:hAnsi="Arial Narrow" w:cs="Arial"/>
          <w:i/>
          <w:sz w:val="18"/>
          <w:szCs w:val="18"/>
          <w:vertAlign w:val="superscript"/>
        </w:rPr>
        <w:t>3</w:t>
      </w:r>
      <w:r>
        <w:rPr>
          <w:rFonts w:ascii="Arial Narrow" w:hAnsi="Arial Narrow" w:cs="Arial"/>
          <w:i/>
          <w:sz w:val="18"/>
          <w:szCs w:val="18"/>
        </w:rPr>
        <w:t xml:space="preserve"> </w:t>
      </w:r>
      <w:r w:rsidRPr="009F01BB">
        <w:rPr>
          <w:rFonts w:ascii="Arial Narrow" w:hAnsi="Arial Narrow" w:cs="Arial"/>
          <w:i/>
          <w:sz w:val="18"/>
          <w:szCs w:val="18"/>
        </w:rPr>
        <w:t>500 to &lt; 5,000</w:t>
      </w:r>
    </w:p>
    <w:p w:rsidR="009F01BB" w:rsidRDefault="009F01BB" w:rsidP="009F01BB">
      <w:pPr>
        <w:rPr>
          <w:rFonts w:ascii="Arial Narrow" w:hAnsi="Arial Narrow" w:cs="Arial"/>
          <w:i/>
          <w:sz w:val="18"/>
          <w:szCs w:val="18"/>
        </w:rPr>
      </w:pPr>
      <w:r>
        <w:rPr>
          <w:rFonts w:ascii="Arial Narrow" w:hAnsi="Arial Narrow" w:cs="Arial"/>
          <w:i/>
          <w:sz w:val="18"/>
          <w:szCs w:val="18"/>
          <w:vertAlign w:val="superscript"/>
        </w:rPr>
        <w:t>4</w:t>
      </w:r>
      <w:r>
        <w:rPr>
          <w:rFonts w:ascii="Arial Narrow" w:hAnsi="Arial Narrow" w:cs="Arial"/>
          <w:i/>
          <w:sz w:val="18"/>
          <w:szCs w:val="18"/>
        </w:rPr>
        <w:t xml:space="preserve"> </w:t>
      </w:r>
      <w:r w:rsidRPr="009F01BB">
        <w:rPr>
          <w:rFonts w:ascii="Arial Narrow" w:hAnsi="Arial Narrow" w:cs="Arial"/>
          <w:i/>
          <w:sz w:val="18"/>
          <w:szCs w:val="18"/>
        </w:rPr>
        <w:t>$10 million to &lt; $20 million</w:t>
      </w:r>
    </w:p>
    <w:p w:rsidR="009F01BB" w:rsidRPr="000E7FF4" w:rsidRDefault="009F01BB" w:rsidP="000E7FF4">
      <w:pPr>
        <w:rPr>
          <w:rFonts w:ascii="Arial Narrow" w:hAnsi="Arial Narrow" w:cs="Arial"/>
          <w:i/>
          <w:sz w:val="18"/>
          <w:szCs w:val="18"/>
        </w:rPr>
      </w:pPr>
      <w:r>
        <w:rPr>
          <w:rFonts w:ascii="Arial Narrow" w:hAnsi="Arial Narrow" w:cs="Arial"/>
          <w:i/>
          <w:sz w:val="18"/>
          <w:szCs w:val="18"/>
          <w:vertAlign w:val="superscript"/>
        </w:rPr>
        <w:t>5</w:t>
      </w:r>
      <w:r>
        <w:rPr>
          <w:rFonts w:ascii="Arial Narrow" w:hAnsi="Arial Narrow" w:cs="Arial"/>
          <w:i/>
          <w:sz w:val="18"/>
          <w:szCs w:val="18"/>
        </w:rPr>
        <w:t xml:space="preserve"> </w:t>
      </w:r>
      <w:r w:rsidR="00B61A0C" w:rsidRPr="00B61A0C">
        <w:rPr>
          <w:rFonts w:ascii="Arial Narrow" w:hAnsi="Arial Narrow" w:cs="Arial"/>
          <w:i/>
          <w:sz w:val="18"/>
          <w:szCs w:val="18"/>
        </w:rPr>
        <w:t>$20 million to &lt; $30 million</w:t>
      </w:r>
    </w:p>
    <w:p w:rsidR="003C35B3" w:rsidRPr="00F573A7" w:rsidRDefault="003C35B3" w:rsidP="00364F59"/>
    <w:p w:rsidR="00E75F56" w:rsidRPr="00F573A7" w:rsidRDefault="00364F59" w:rsidP="00F627C7">
      <w:pPr>
        <w:pStyle w:val="3-BodyText"/>
      </w:pPr>
      <w:r w:rsidRPr="00F573A7">
        <w:t xml:space="preserve">The financial impact </w:t>
      </w:r>
      <w:r w:rsidR="00AD18BC" w:rsidRPr="00F573A7">
        <w:t>of</w:t>
      </w:r>
      <w:r w:rsidRPr="00F573A7">
        <w:t xml:space="preserve"> the </w:t>
      </w:r>
      <w:r w:rsidR="00AD18BC" w:rsidRPr="00F573A7">
        <w:t>‘</w:t>
      </w:r>
      <w:r w:rsidRPr="00F573A7">
        <w:t xml:space="preserve">CRPC; </w:t>
      </w:r>
      <w:r w:rsidR="00F518DA" w:rsidRPr="00F573A7">
        <w:t xml:space="preserve">conventional imaging </w:t>
      </w:r>
      <w:r w:rsidRPr="00F573A7">
        <w:t>negative</w:t>
      </w:r>
      <w:r w:rsidR="00AD18BC" w:rsidRPr="00F573A7">
        <w:t xml:space="preserve">; no PSMA-PET’ and ‘CRPC; </w:t>
      </w:r>
      <w:r w:rsidR="00F518DA" w:rsidRPr="00F573A7">
        <w:t xml:space="preserve">conventional imaging </w:t>
      </w:r>
      <w:r w:rsidR="00AD18BC" w:rsidRPr="00F573A7">
        <w:t>negative; PSMA-PET negative’</w:t>
      </w:r>
      <w:r w:rsidRPr="00F573A7">
        <w:t xml:space="preserve"> population</w:t>
      </w:r>
      <w:r w:rsidR="00AD18BC" w:rsidRPr="00F573A7">
        <w:t>s</w:t>
      </w:r>
      <w:r w:rsidRPr="00F573A7">
        <w:t xml:space="preserve"> </w:t>
      </w:r>
      <w:r w:rsidR="00AD18BC" w:rsidRPr="00F573A7">
        <w:t xml:space="preserve">(i.e. those </w:t>
      </w:r>
      <w:r w:rsidRPr="00F573A7">
        <w:t>that do not have an overlapping restriction with abiraterone and enzalutamide</w:t>
      </w:r>
      <w:r w:rsidR="00AD18BC" w:rsidRPr="00F573A7">
        <w:t>)</w:t>
      </w:r>
      <w:r w:rsidRPr="00F573A7">
        <w:t xml:space="preserve"> </w:t>
      </w:r>
      <w:r w:rsidR="00AD18BC" w:rsidRPr="00F573A7">
        <w:t xml:space="preserve">were as per the March 2021 resubmission, but with a higher subsequent utilisation of cabazitaxel relative to docetaxel applied (5% in March 2021; 20% in this early re-entry submission). The early re-entry submission stated that this was to address previous concerns that the cost-offsets from subsequent cabazitaxel utilisation were underestimated (paragraph 6.62, darolutamide </w:t>
      </w:r>
      <w:r w:rsidR="007D33DD">
        <w:t>PSD</w:t>
      </w:r>
      <w:r w:rsidR="00AD18BC" w:rsidRPr="00F573A7">
        <w:t>, March 2021).</w:t>
      </w:r>
      <w:r w:rsidR="0041679C" w:rsidRPr="00F573A7">
        <w:t xml:space="preserve"> The PBAC considered that this change was reasonable.</w:t>
      </w:r>
    </w:p>
    <w:p w:rsidR="0072501C" w:rsidRPr="00F573A7" w:rsidRDefault="00AD18BC" w:rsidP="00F627C7">
      <w:pPr>
        <w:pStyle w:val="3-BodyText"/>
      </w:pPr>
      <w:r w:rsidRPr="00F573A7">
        <w:t xml:space="preserve">The financial impact of the ‘CRPC; </w:t>
      </w:r>
      <w:r w:rsidR="00F518DA" w:rsidRPr="00F573A7">
        <w:t xml:space="preserve">conventional imaging </w:t>
      </w:r>
      <w:r w:rsidRPr="00F573A7">
        <w:t xml:space="preserve">negative; PSMA-PET positive’ and </w:t>
      </w:r>
      <w:r w:rsidR="00886EAA">
        <w:t>‘</w:t>
      </w:r>
      <w:r w:rsidRPr="00F573A7">
        <w:t xml:space="preserve">CRPC; </w:t>
      </w:r>
      <w:r w:rsidR="00F518DA" w:rsidRPr="00F573A7">
        <w:t xml:space="preserve">conventional imaging </w:t>
      </w:r>
      <w:r w:rsidRPr="00F573A7">
        <w:t>positive’ patients (i.e. those that do have an overlapping restriction with abiraterone and enzalutamide) were approximately cost neutral give the equal price and place of darolutamide relative to the</w:t>
      </w:r>
      <w:r w:rsidR="00956FA0" w:rsidRPr="00F573A7">
        <w:t xml:space="preserve">se treatments on the PBS and due to the </w:t>
      </w:r>
      <w:r w:rsidR="005B3ACB" w:rsidRPr="00F573A7">
        <w:t xml:space="preserve">prior </w:t>
      </w:r>
      <w:r w:rsidR="00956FA0" w:rsidRPr="00F573A7">
        <w:t>PBAC advice that treatment with a novel hormonal agent should be limited to one treatment course per lifetime.</w:t>
      </w:r>
    </w:p>
    <w:p w:rsidR="005B3ACB" w:rsidRPr="00F573A7" w:rsidRDefault="005B3ACB" w:rsidP="00F627C7">
      <w:pPr>
        <w:pStyle w:val="3-BodyText"/>
      </w:pPr>
      <w:r w:rsidRPr="00F573A7">
        <w:t>The net cost of darolutamide to the PBS/RPBS for the treatment of CRPC is presented below.</w:t>
      </w:r>
    </w:p>
    <w:p w:rsidR="005B3ACB" w:rsidRPr="00F573A7" w:rsidRDefault="005B3ACB" w:rsidP="0006229B">
      <w:pPr>
        <w:pStyle w:val="TableFigureHeading"/>
      </w:pPr>
      <w:bookmarkStart w:id="4" w:name="_Ref70421800"/>
      <w:r w:rsidRPr="00F573A7">
        <w:t>Table</w:t>
      </w:r>
      <w:bookmarkEnd w:id="4"/>
      <w:r w:rsidRPr="00F573A7">
        <w:t xml:space="preserve"> </w:t>
      </w:r>
      <w:r w:rsidR="006D6787" w:rsidRPr="00F573A7">
        <w:t>10</w:t>
      </w:r>
      <w:r w:rsidR="0006229B" w:rsidRPr="00F573A7">
        <w:t xml:space="preserve">: </w:t>
      </w:r>
      <w:r w:rsidRPr="00F573A7">
        <w:t xml:space="preserve">Net cost </w:t>
      </w:r>
      <w:r w:rsidR="00E1195D" w:rsidRPr="00F573A7">
        <w:t>to the PBS/RPBS of darolutamide</w:t>
      </w:r>
      <w:r w:rsidR="00E1195D" w:rsidRPr="00F573A7">
        <w:rPr>
          <w:vertAlign w:val="superscript"/>
        </w:rPr>
        <w:t>a</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134"/>
        <w:gridCol w:w="1137"/>
        <w:gridCol w:w="1131"/>
        <w:gridCol w:w="1134"/>
        <w:gridCol w:w="1134"/>
        <w:gridCol w:w="1134"/>
      </w:tblGrid>
      <w:tr w:rsidR="005B3ACB" w:rsidRPr="00F573A7" w:rsidTr="005B3ACB">
        <w:trPr>
          <w:trHeight w:val="158"/>
        </w:trPr>
        <w:tc>
          <w:tcPr>
            <w:tcW w:w="2263" w:type="dxa"/>
            <w:shd w:val="clear" w:color="auto" w:fill="auto"/>
            <w:tcMar>
              <w:left w:w="28" w:type="dxa"/>
              <w:right w:w="28" w:type="dxa"/>
            </w:tcMar>
            <w:vAlign w:val="center"/>
            <w:hideMark/>
          </w:tcPr>
          <w:p w:rsidR="005B3ACB" w:rsidRPr="00F573A7" w:rsidRDefault="005B3ACB" w:rsidP="0006229B">
            <w:pPr>
              <w:keepNext/>
              <w:rPr>
                <w:rFonts w:ascii="Arial Narrow" w:hAnsi="Arial Narrow" w:cs="Calibri"/>
                <w:b/>
                <w:bCs/>
                <w:color w:val="000000"/>
                <w:sz w:val="20"/>
                <w:szCs w:val="20"/>
              </w:rPr>
            </w:pPr>
          </w:p>
        </w:tc>
        <w:tc>
          <w:tcPr>
            <w:tcW w:w="1134" w:type="dxa"/>
            <w:shd w:val="clear" w:color="auto" w:fill="auto"/>
            <w:noWrap/>
            <w:tcMar>
              <w:left w:w="28" w:type="dxa"/>
              <w:right w:w="28" w:type="dxa"/>
            </w:tcMar>
            <w:vAlign w:val="center"/>
            <w:hideMark/>
          </w:tcPr>
          <w:p w:rsidR="005B3ACB" w:rsidRPr="00F573A7" w:rsidRDefault="00964A6B" w:rsidP="0006229B">
            <w:pPr>
              <w:keepNext/>
              <w:jc w:val="center"/>
              <w:rPr>
                <w:rFonts w:ascii="Arial Narrow" w:hAnsi="Arial Narrow" w:cs="Calibri"/>
                <w:b/>
                <w:bCs/>
                <w:color w:val="000000"/>
                <w:sz w:val="20"/>
                <w:szCs w:val="20"/>
              </w:rPr>
            </w:pPr>
            <w:r w:rsidRPr="00F573A7">
              <w:rPr>
                <w:rFonts w:ascii="Arial Narrow" w:hAnsi="Arial Narrow" w:cs="Calibri"/>
                <w:b/>
                <w:bCs/>
                <w:color w:val="000000"/>
                <w:sz w:val="20"/>
                <w:szCs w:val="20"/>
              </w:rPr>
              <w:t>2022</w:t>
            </w:r>
          </w:p>
        </w:tc>
        <w:tc>
          <w:tcPr>
            <w:tcW w:w="1137" w:type="dxa"/>
            <w:shd w:val="clear" w:color="auto" w:fill="auto"/>
            <w:noWrap/>
            <w:tcMar>
              <w:left w:w="28" w:type="dxa"/>
              <w:right w:w="28" w:type="dxa"/>
            </w:tcMar>
            <w:vAlign w:val="center"/>
            <w:hideMark/>
          </w:tcPr>
          <w:p w:rsidR="005B3ACB" w:rsidRPr="00F573A7" w:rsidRDefault="00964A6B" w:rsidP="0006229B">
            <w:pPr>
              <w:keepNext/>
              <w:jc w:val="center"/>
              <w:rPr>
                <w:rFonts w:ascii="Arial Narrow" w:hAnsi="Arial Narrow" w:cs="Calibri"/>
                <w:b/>
                <w:bCs/>
                <w:color w:val="000000"/>
                <w:sz w:val="20"/>
                <w:szCs w:val="20"/>
              </w:rPr>
            </w:pPr>
            <w:r w:rsidRPr="00F573A7">
              <w:rPr>
                <w:rFonts w:ascii="Arial Narrow" w:hAnsi="Arial Narrow" w:cs="Calibri"/>
                <w:b/>
                <w:bCs/>
                <w:color w:val="000000"/>
                <w:sz w:val="20"/>
                <w:szCs w:val="20"/>
              </w:rPr>
              <w:t>2023</w:t>
            </w:r>
          </w:p>
        </w:tc>
        <w:tc>
          <w:tcPr>
            <w:tcW w:w="1131" w:type="dxa"/>
            <w:shd w:val="clear" w:color="auto" w:fill="auto"/>
            <w:noWrap/>
            <w:tcMar>
              <w:left w:w="28" w:type="dxa"/>
              <w:right w:w="28" w:type="dxa"/>
            </w:tcMar>
            <w:vAlign w:val="center"/>
            <w:hideMark/>
          </w:tcPr>
          <w:p w:rsidR="005B3ACB" w:rsidRPr="00F573A7" w:rsidRDefault="00964A6B" w:rsidP="0006229B">
            <w:pPr>
              <w:keepNext/>
              <w:jc w:val="center"/>
              <w:rPr>
                <w:rFonts w:ascii="Arial Narrow" w:hAnsi="Arial Narrow" w:cs="Calibri"/>
                <w:b/>
                <w:bCs/>
                <w:color w:val="000000"/>
                <w:sz w:val="20"/>
                <w:szCs w:val="20"/>
              </w:rPr>
            </w:pPr>
            <w:r w:rsidRPr="00F573A7">
              <w:rPr>
                <w:rFonts w:ascii="Arial Narrow" w:hAnsi="Arial Narrow" w:cs="Calibri"/>
                <w:b/>
                <w:bCs/>
                <w:color w:val="000000"/>
                <w:sz w:val="20"/>
                <w:szCs w:val="20"/>
              </w:rPr>
              <w:t>2024</w:t>
            </w:r>
          </w:p>
        </w:tc>
        <w:tc>
          <w:tcPr>
            <w:tcW w:w="1134" w:type="dxa"/>
            <w:shd w:val="clear" w:color="auto" w:fill="auto"/>
            <w:noWrap/>
            <w:tcMar>
              <w:left w:w="28" w:type="dxa"/>
              <w:right w:w="28" w:type="dxa"/>
            </w:tcMar>
            <w:vAlign w:val="center"/>
            <w:hideMark/>
          </w:tcPr>
          <w:p w:rsidR="005B3ACB" w:rsidRPr="00F573A7" w:rsidRDefault="00964A6B" w:rsidP="0006229B">
            <w:pPr>
              <w:keepNext/>
              <w:jc w:val="center"/>
              <w:rPr>
                <w:rFonts w:ascii="Arial Narrow" w:hAnsi="Arial Narrow" w:cs="Calibri"/>
                <w:b/>
                <w:bCs/>
                <w:color w:val="000000"/>
                <w:sz w:val="20"/>
                <w:szCs w:val="20"/>
              </w:rPr>
            </w:pPr>
            <w:r w:rsidRPr="00F573A7">
              <w:rPr>
                <w:rFonts w:ascii="Arial Narrow" w:hAnsi="Arial Narrow" w:cs="Calibri"/>
                <w:b/>
                <w:bCs/>
                <w:color w:val="000000"/>
                <w:sz w:val="20"/>
                <w:szCs w:val="20"/>
              </w:rPr>
              <w:t>2025</w:t>
            </w:r>
          </w:p>
        </w:tc>
        <w:tc>
          <w:tcPr>
            <w:tcW w:w="1134" w:type="dxa"/>
            <w:shd w:val="clear" w:color="auto" w:fill="auto"/>
            <w:noWrap/>
            <w:tcMar>
              <w:left w:w="28" w:type="dxa"/>
              <w:right w:w="28" w:type="dxa"/>
            </w:tcMar>
            <w:vAlign w:val="center"/>
            <w:hideMark/>
          </w:tcPr>
          <w:p w:rsidR="005B3ACB" w:rsidRPr="00F573A7" w:rsidRDefault="00964A6B" w:rsidP="0006229B">
            <w:pPr>
              <w:keepNext/>
              <w:jc w:val="center"/>
              <w:rPr>
                <w:rFonts w:ascii="Arial Narrow" w:hAnsi="Arial Narrow" w:cs="Calibri"/>
                <w:b/>
                <w:bCs/>
                <w:color w:val="000000"/>
                <w:sz w:val="20"/>
                <w:szCs w:val="20"/>
              </w:rPr>
            </w:pPr>
            <w:r w:rsidRPr="00F573A7">
              <w:rPr>
                <w:rFonts w:ascii="Arial Narrow" w:hAnsi="Arial Narrow" w:cs="Calibri"/>
                <w:b/>
                <w:bCs/>
                <w:color w:val="000000"/>
                <w:sz w:val="20"/>
                <w:szCs w:val="20"/>
              </w:rPr>
              <w:t>2026</w:t>
            </w:r>
          </w:p>
        </w:tc>
        <w:tc>
          <w:tcPr>
            <w:tcW w:w="1134" w:type="dxa"/>
            <w:shd w:val="clear" w:color="auto" w:fill="auto"/>
            <w:noWrap/>
            <w:tcMar>
              <w:left w:w="28" w:type="dxa"/>
              <w:right w:w="28" w:type="dxa"/>
            </w:tcMar>
            <w:vAlign w:val="center"/>
            <w:hideMark/>
          </w:tcPr>
          <w:p w:rsidR="005B3ACB" w:rsidRPr="00F573A7" w:rsidRDefault="00964A6B" w:rsidP="0006229B">
            <w:pPr>
              <w:keepNext/>
              <w:jc w:val="center"/>
              <w:rPr>
                <w:rFonts w:ascii="Arial Narrow" w:hAnsi="Arial Narrow" w:cs="Calibri"/>
                <w:b/>
                <w:bCs/>
                <w:color w:val="000000"/>
                <w:sz w:val="20"/>
                <w:szCs w:val="20"/>
              </w:rPr>
            </w:pPr>
            <w:r w:rsidRPr="00F573A7">
              <w:rPr>
                <w:rFonts w:ascii="Arial Narrow" w:hAnsi="Arial Narrow" w:cs="Calibri"/>
                <w:b/>
                <w:bCs/>
                <w:color w:val="000000"/>
                <w:sz w:val="20"/>
                <w:szCs w:val="20"/>
              </w:rPr>
              <w:t>2027</w:t>
            </w:r>
          </w:p>
        </w:tc>
      </w:tr>
      <w:tr w:rsidR="003F4446" w:rsidRPr="00F573A7" w:rsidTr="00BB060F">
        <w:trPr>
          <w:trHeight w:val="158"/>
        </w:trPr>
        <w:tc>
          <w:tcPr>
            <w:tcW w:w="9067" w:type="dxa"/>
            <w:gridSpan w:val="7"/>
            <w:shd w:val="clear" w:color="auto" w:fill="auto"/>
            <w:tcMar>
              <w:left w:w="28" w:type="dxa"/>
              <w:right w:w="28" w:type="dxa"/>
            </w:tcMar>
            <w:vAlign w:val="center"/>
          </w:tcPr>
          <w:p w:rsidR="003F4446" w:rsidRPr="00F573A7" w:rsidRDefault="003F4446" w:rsidP="003F4446">
            <w:pPr>
              <w:keepNext/>
              <w:jc w:val="left"/>
              <w:rPr>
                <w:rFonts w:ascii="Arial Narrow" w:hAnsi="Arial Narrow" w:cs="Calibri"/>
                <w:b/>
                <w:bCs/>
                <w:color w:val="000000"/>
                <w:sz w:val="20"/>
                <w:szCs w:val="20"/>
              </w:rPr>
            </w:pPr>
            <w:r w:rsidRPr="00F573A7">
              <w:rPr>
                <w:rFonts w:ascii="Arial Narrow" w:hAnsi="Arial Narrow" w:cs="Calibri"/>
                <w:b/>
                <w:bCs/>
                <w:color w:val="000000"/>
                <w:sz w:val="20"/>
                <w:szCs w:val="20"/>
              </w:rPr>
              <w:t>Net cost to the PBS/RPBS of darolutamide for CRPC</w:t>
            </w:r>
            <w:r w:rsidRPr="00F573A7">
              <w:rPr>
                <w:rFonts w:ascii="Arial Narrow" w:hAnsi="Arial Narrow" w:cs="Calibri"/>
                <w:b/>
                <w:bCs/>
                <w:color w:val="000000"/>
                <w:sz w:val="20"/>
                <w:szCs w:val="20"/>
                <w:vertAlign w:val="superscript"/>
              </w:rPr>
              <w:t>a</w:t>
            </w:r>
          </w:p>
        </w:tc>
      </w:tr>
      <w:tr w:rsidR="005B3ACB" w:rsidRPr="00F573A7" w:rsidTr="005B3ACB">
        <w:trPr>
          <w:trHeight w:val="199"/>
        </w:trPr>
        <w:tc>
          <w:tcPr>
            <w:tcW w:w="2263" w:type="dxa"/>
            <w:shd w:val="clear" w:color="000000" w:fill="FFFFFF"/>
            <w:tcMar>
              <w:left w:w="28" w:type="dxa"/>
              <w:right w:w="28" w:type="dxa"/>
            </w:tcMar>
            <w:vAlign w:val="center"/>
            <w:hideMark/>
          </w:tcPr>
          <w:p w:rsidR="005B3ACB" w:rsidRPr="00F573A7" w:rsidRDefault="005B3ACB" w:rsidP="0006229B">
            <w:pPr>
              <w:keepNext/>
              <w:jc w:val="left"/>
              <w:rPr>
                <w:rFonts w:ascii="Arial Narrow" w:hAnsi="Arial Narrow" w:cs="Calibri"/>
                <w:color w:val="000000"/>
                <w:sz w:val="20"/>
                <w:szCs w:val="20"/>
              </w:rPr>
            </w:pPr>
            <w:r w:rsidRPr="00F573A7">
              <w:rPr>
                <w:rFonts w:ascii="Arial Narrow" w:hAnsi="Arial Narrow" w:cs="Calibri"/>
                <w:color w:val="000000"/>
                <w:sz w:val="20"/>
                <w:szCs w:val="20"/>
              </w:rPr>
              <w:t>Total number of daro patients</w:t>
            </w:r>
          </w:p>
        </w:tc>
        <w:tc>
          <w:tcPr>
            <w:tcW w:w="1134" w:type="dxa"/>
            <w:shd w:val="clear" w:color="000000" w:fill="FFFFFF"/>
            <w:noWrap/>
            <w:tcMar>
              <w:left w:w="28" w:type="dxa"/>
              <w:right w:w="28" w:type="dxa"/>
            </w:tcMar>
            <w:vAlign w:val="center"/>
            <w:hideMark/>
          </w:tcPr>
          <w:p w:rsidR="005B3ACB" w:rsidRPr="004B7986" w:rsidRDefault="004B7986" w:rsidP="003D070A">
            <w:pPr>
              <w:keepNext/>
              <w:jc w:val="right"/>
              <w:rPr>
                <w:rFonts w:ascii="Arial Narrow" w:hAnsi="Arial Narrow" w:cs="Calibri"/>
                <w:color w:val="000000"/>
                <w:sz w:val="20"/>
                <w:szCs w:val="20"/>
                <w:vertAlign w:val="superscript"/>
              </w:rPr>
            </w:pPr>
            <w:r>
              <w:rPr>
                <w:rFonts w:ascii="Arial Narrow" w:hAnsi="Arial Narrow" w:cs="Calibri"/>
                <w:noProof/>
                <w:color w:val="000000"/>
                <w:sz w:val="20"/>
                <w:szCs w:val="20"/>
                <w:highlight w:val="black"/>
              </w:rPr>
              <w:t>'''''''''''''</w:t>
            </w:r>
            <w:r w:rsidR="00D10801" w:rsidRPr="000E7FF4">
              <w:rPr>
                <w:rFonts w:ascii="Arial Narrow" w:hAnsi="Arial Narrow" w:cs="Calibri"/>
                <w:color w:val="000000"/>
                <w:sz w:val="20"/>
                <w:szCs w:val="20"/>
                <w:vertAlign w:val="superscript"/>
              </w:rPr>
              <w:t>1</w:t>
            </w:r>
          </w:p>
        </w:tc>
        <w:tc>
          <w:tcPr>
            <w:tcW w:w="1137" w:type="dxa"/>
            <w:shd w:val="clear" w:color="000000" w:fill="FFFFFF"/>
            <w:noWrap/>
            <w:tcMar>
              <w:left w:w="28" w:type="dxa"/>
              <w:right w:w="28" w:type="dxa"/>
            </w:tcMar>
            <w:vAlign w:val="center"/>
            <w:hideMark/>
          </w:tcPr>
          <w:p w:rsidR="005B3ACB" w:rsidRPr="004B7986" w:rsidRDefault="004B7986" w:rsidP="003D070A">
            <w:pPr>
              <w:keepNext/>
              <w:jc w:val="right"/>
              <w:rPr>
                <w:rFonts w:ascii="Arial Narrow" w:hAnsi="Arial Narrow" w:cs="Calibri"/>
                <w:color w:val="000000"/>
                <w:sz w:val="20"/>
                <w:szCs w:val="20"/>
              </w:rPr>
            </w:pPr>
            <w:r>
              <w:rPr>
                <w:rFonts w:ascii="Arial Narrow" w:hAnsi="Arial Narrow" w:cs="Calibri"/>
                <w:noProof/>
                <w:color w:val="000000"/>
                <w:sz w:val="20"/>
                <w:szCs w:val="20"/>
                <w:highlight w:val="black"/>
              </w:rPr>
              <w:t>'''''''''''''</w:t>
            </w:r>
            <w:r w:rsidR="00D10801" w:rsidRPr="00D12472">
              <w:rPr>
                <w:rFonts w:ascii="Arial Narrow" w:hAnsi="Arial Narrow" w:cs="Calibri"/>
                <w:color w:val="000000"/>
                <w:sz w:val="20"/>
                <w:szCs w:val="20"/>
                <w:vertAlign w:val="superscript"/>
              </w:rPr>
              <w:t>1</w:t>
            </w:r>
          </w:p>
        </w:tc>
        <w:tc>
          <w:tcPr>
            <w:tcW w:w="1131" w:type="dxa"/>
            <w:shd w:val="clear" w:color="000000" w:fill="FFFFFF"/>
            <w:noWrap/>
            <w:tcMar>
              <w:left w:w="28" w:type="dxa"/>
              <w:right w:w="28" w:type="dxa"/>
            </w:tcMar>
            <w:vAlign w:val="center"/>
            <w:hideMark/>
          </w:tcPr>
          <w:p w:rsidR="005B3ACB" w:rsidRPr="004B7986" w:rsidRDefault="004B7986" w:rsidP="003D070A">
            <w:pPr>
              <w:keepNext/>
              <w:jc w:val="right"/>
              <w:rPr>
                <w:rFonts w:ascii="Arial Narrow" w:hAnsi="Arial Narrow" w:cs="Calibri"/>
                <w:color w:val="000000"/>
                <w:sz w:val="20"/>
                <w:szCs w:val="20"/>
              </w:rPr>
            </w:pPr>
            <w:r>
              <w:rPr>
                <w:rFonts w:ascii="Arial Narrow" w:hAnsi="Arial Narrow" w:cs="Calibri"/>
                <w:noProof/>
                <w:color w:val="000000"/>
                <w:sz w:val="20"/>
                <w:szCs w:val="20"/>
                <w:highlight w:val="black"/>
              </w:rPr>
              <w:t>''''''''''''''</w:t>
            </w:r>
            <w:r w:rsidR="00D10801" w:rsidRPr="00D12472">
              <w:rPr>
                <w:rFonts w:ascii="Arial Narrow" w:hAnsi="Arial Narrow" w:cs="Calibri"/>
                <w:color w:val="000000"/>
                <w:sz w:val="20"/>
                <w:szCs w:val="20"/>
                <w:vertAlign w:val="superscript"/>
              </w:rPr>
              <w:t>1</w:t>
            </w:r>
          </w:p>
        </w:tc>
        <w:tc>
          <w:tcPr>
            <w:tcW w:w="1134" w:type="dxa"/>
            <w:shd w:val="clear" w:color="000000" w:fill="FFFFFF"/>
            <w:noWrap/>
            <w:tcMar>
              <w:left w:w="28" w:type="dxa"/>
              <w:right w:w="28" w:type="dxa"/>
            </w:tcMar>
            <w:vAlign w:val="center"/>
            <w:hideMark/>
          </w:tcPr>
          <w:p w:rsidR="005B3ACB" w:rsidRPr="004B7986" w:rsidRDefault="004B7986" w:rsidP="003D070A">
            <w:pPr>
              <w:keepNext/>
              <w:jc w:val="right"/>
              <w:rPr>
                <w:rFonts w:ascii="Arial Narrow" w:hAnsi="Arial Narrow" w:cs="Calibri"/>
                <w:color w:val="000000"/>
                <w:sz w:val="20"/>
                <w:szCs w:val="20"/>
              </w:rPr>
            </w:pPr>
            <w:r>
              <w:rPr>
                <w:rFonts w:ascii="Arial Narrow" w:hAnsi="Arial Narrow" w:cs="Calibri"/>
                <w:noProof/>
                <w:color w:val="000000"/>
                <w:sz w:val="20"/>
                <w:szCs w:val="20"/>
                <w:highlight w:val="black"/>
              </w:rPr>
              <w:t>'''''''''''''</w:t>
            </w:r>
            <w:r w:rsidR="00D10801" w:rsidRPr="00D12472">
              <w:rPr>
                <w:rFonts w:ascii="Arial Narrow" w:hAnsi="Arial Narrow" w:cs="Calibri"/>
                <w:color w:val="000000"/>
                <w:sz w:val="20"/>
                <w:szCs w:val="20"/>
                <w:vertAlign w:val="superscript"/>
              </w:rPr>
              <w:t>1</w:t>
            </w:r>
          </w:p>
        </w:tc>
        <w:tc>
          <w:tcPr>
            <w:tcW w:w="1134" w:type="dxa"/>
            <w:shd w:val="clear" w:color="000000" w:fill="FFFFFF"/>
            <w:noWrap/>
            <w:tcMar>
              <w:left w:w="28" w:type="dxa"/>
              <w:right w:w="28" w:type="dxa"/>
            </w:tcMar>
            <w:vAlign w:val="center"/>
            <w:hideMark/>
          </w:tcPr>
          <w:p w:rsidR="005B3ACB" w:rsidRPr="004B7986" w:rsidRDefault="004B7986" w:rsidP="003D070A">
            <w:pPr>
              <w:keepNext/>
              <w:jc w:val="right"/>
              <w:rPr>
                <w:rFonts w:ascii="Arial Narrow" w:hAnsi="Arial Narrow" w:cs="Calibri"/>
                <w:color w:val="000000"/>
                <w:sz w:val="20"/>
                <w:szCs w:val="20"/>
              </w:rPr>
            </w:pPr>
            <w:r>
              <w:rPr>
                <w:rFonts w:ascii="Arial Narrow" w:hAnsi="Arial Narrow" w:cs="Calibri"/>
                <w:noProof/>
                <w:color w:val="000000"/>
                <w:sz w:val="20"/>
                <w:szCs w:val="20"/>
                <w:highlight w:val="black"/>
              </w:rPr>
              <w:t>'''''''''''''</w:t>
            </w:r>
            <w:r w:rsidR="00D10801" w:rsidRPr="00D12472">
              <w:rPr>
                <w:rFonts w:ascii="Arial Narrow" w:hAnsi="Arial Narrow" w:cs="Calibri"/>
                <w:color w:val="000000"/>
                <w:sz w:val="20"/>
                <w:szCs w:val="20"/>
                <w:vertAlign w:val="superscript"/>
              </w:rPr>
              <w:t>1</w:t>
            </w:r>
          </w:p>
        </w:tc>
        <w:tc>
          <w:tcPr>
            <w:tcW w:w="1134" w:type="dxa"/>
            <w:shd w:val="clear" w:color="000000" w:fill="FFFFFF"/>
            <w:noWrap/>
            <w:tcMar>
              <w:left w:w="28" w:type="dxa"/>
              <w:right w:w="28" w:type="dxa"/>
            </w:tcMar>
            <w:vAlign w:val="center"/>
            <w:hideMark/>
          </w:tcPr>
          <w:p w:rsidR="005B3ACB" w:rsidRPr="004B7986" w:rsidRDefault="004B7986" w:rsidP="003D070A">
            <w:pPr>
              <w:keepNext/>
              <w:jc w:val="right"/>
              <w:rPr>
                <w:rFonts w:ascii="Arial Narrow" w:hAnsi="Arial Narrow" w:cs="Calibri"/>
                <w:color w:val="000000"/>
                <w:sz w:val="20"/>
                <w:szCs w:val="20"/>
              </w:rPr>
            </w:pPr>
            <w:r>
              <w:rPr>
                <w:rFonts w:ascii="Arial Narrow" w:hAnsi="Arial Narrow" w:cs="Calibri"/>
                <w:noProof/>
                <w:color w:val="000000"/>
                <w:sz w:val="20"/>
                <w:szCs w:val="20"/>
                <w:highlight w:val="black"/>
              </w:rPr>
              <w:t>'''''''''''''</w:t>
            </w:r>
            <w:r w:rsidR="00D10801" w:rsidRPr="00D12472">
              <w:rPr>
                <w:rFonts w:ascii="Arial Narrow" w:hAnsi="Arial Narrow" w:cs="Calibri"/>
                <w:color w:val="000000"/>
                <w:sz w:val="20"/>
                <w:szCs w:val="20"/>
                <w:vertAlign w:val="superscript"/>
              </w:rPr>
              <w:t>1</w:t>
            </w:r>
          </w:p>
        </w:tc>
      </w:tr>
      <w:tr w:rsidR="00E1195D" w:rsidRPr="00F573A7" w:rsidTr="00E1195D">
        <w:trPr>
          <w:trHeight w:val="245"/>
        </w:trPr>
        <w:tc>
          <w:tcPr>
            <w:tcW w:w="2263" w:type="dxa"/>
            <w:shd w:val="clear" w:color="000000" w:fill="FFFFFF"/>
            <w:tcMar>
              <w:left w:w="28" w:type="dxa"/>
              <w:right w:w="28" w:type="dxa"/>
            </w:tcMar>
            <w:vAlign w:val="center"/>
            <w:hideMark/>
          </w:tcPr>
          <w:p w:rsidR="00E1195D" w:rsidRPr="00F573A7" w:rsidRDefault="00E1195D" w:rsidP="00E1195D">
            <w:pPr>
              <w:keepNext/>
              <w:jc w:val="left"/>
              <w:rPr>
                <w:rFonts w:ascii="Arial Narrow" w:hAnsi="Arial Narrow" w:cs="Calibri"/>
                <w:color w:val="000000"/>
                <w:sz w:val="20"/>
                <w:szCs w:val="20"/>
              </w:rPr>
            </w:pPr>
            <w:r w:rsidRPr="00F573A7">
              <w:rPr>
                <w:rFonts w:ascii="Arial Narrow" w:hAnsi="Arial Narrow" w:cs="Calibri"/>
                <w:color w:val="000000"/>
                <w:sz w:val="20"/>
                <w:szCs w:val="20"/>
              </w:rPr>
              <w:t xml:space="preserve">Total cost to PBS/RPBS </w:t>
            </w:r>
          </w:p>
        </w:tc>
        <w:tc>
          <w:tcPr>
            <w:tcW w:w="1134" w:type="dxa"/>
            <w:shd w:val="clear" w:color="000000" w:fill="FFFFFF"/>
            <w:noWrap/>
            <w:tcMar>
              <w:left w:w="28" w:type="dxa"/>
              <w:right w:w="28" w:type="dxa"/>
            </w:tcMar>
            <w:vAlign w:val="center"/>
            <w:hideMark/>
          </w:tcPr>
          <w:p w:rsidR="00E1195D" w:rsidRPr="00F573A7" w:rsidRDefault="00E1195D" w:rsidP="003D070A">
            <w:pPr>
              <w:keepNext/>
              <w:jc w:val="right"/>
              <w:rPr>
                <w:rFonts w:ascii="Arial Narrow" w:hAnsi="Arial Narrow" w:cs="Calibri"/>
                <w:sz w:val="20"/>
                <w:szCs w:val="20"/>
              </w:rPr>
            </w:pPr>
            <w:r w:rsidRPr="00F573A7">
              <w:rPr>
                <w:rFonts w:ascii="Arial Narrow" w:hAnsi="Arial Narrow" w:cs="Calibri"/>
                <w:sz w:val="20"/>
                <w:szCs w:val="20"/>
              </w:rPr>
              <w:t>$</w:t>
            </w:r>
            <w:r w:rsidR="004B7986">
              <w:rPr>
                <w:rFonts w:ascii="Arial Narrow" w:hAnsi="Arial Narrow" w:cs="Calibri"/>
                <w:noProof/>
                <w:color w:val="000000"/>
                <w:sz w:val="20"/>
                <w:szCs w:val="20"/>
                <w:highlight w:val="black"/>
              </w:rPr>
              <w:t>''''''''''''''''''''''''''</w:t>
            </w:r>
            <w:r w:rsidR="00D10801">
              <w:rPr>
                <w:rFonts w:ascii="Arial Narrow" w:hAnsi="Arial Narrow" w:cs="Calibri"/>
                <w:color w:val="000000"/>
                <w:sz w:val="20"/>
                <w:szCs w:val="20"/>
                <w:vertAlign w:val="superscript"/>
              </w:rPr>
              <w:t>2</w:t>
            </w:r>
          </w:p>
        </w:tc>
        <w:tc>
          <w:tcPr>
            <w:tcW w:w="1137" w:type="dxa"/>
            <w:shd w:val="clear" w:color="000000" w:fill="FFFFFF"/>
            <w:noWrap/>
            <w:tcMar>
              <w:left w:w="28" w:type="dxa"/>
              <w:right w:w="28" w:type="dxa"/>
            </w:tcMar>
            <w:vAlign w:val="center"/>
            <w:hideMark/>
          </w:tcPr>
          <w:p w:rsidR="00E1195D" w:rsidRPr="00F573A7" w:rsidRDefault="00E1195D" w:rsidP="003D070A">
            <w:pPr>
              <w:keepNext/>
              <w:jc w:val="right"/>
              <w:rPr>
                <w:rFonts w:ascii="Arial Narrow" w:hAnsi="Arial Narrow" w:cs="Calibri"/>
                <w:sz w:val="20"/>
                <w:szCs w:val="20"/>
              </w:rPr>
            </w:pPr>
            <w:r w:rsidRPr="00F573A7">
              <w:rPr>
                <w:rFonts w:ascii="Arial Narrow" w:hAnsi="Arial Narrow" w:cs="Calibri"/>
                <w:sz w:val="20"/>
                <w:szCs w:val="20"/>
              </w:rPr>
              <w:t>$</w:t>
            </w:r>
            <w:r w:rsidR="004B7986">
              <w:rPr>
                <w:rFonts w:ascii="Arial Narrow" w:hAnsi="Arial Narrow" w:cs="Calibri"/>
                <w:noProof/>
                <w:color w:val="000000"/>
                <w:sz w:val="20"/>
                <w:szCs w:val="20"/>
                <w:highlight w:val="black"/>
              </w:rPr>
              <w:t>''''''''''''''''''''''''</w:t>
            </w:r>
            <w:r w:rsidR="00D10801">
              <w:rPr>
                <w:rFonts w:ascii="Arial Narrow" w:hAnsi="Arial Narrow" w:cs="Calibri"/>
                <w:color w:val="000000"/>
                <w:sz w:val="20"/>
                <w:szCs w:val="20"/>
                <w:vertAlign w:val="superscript"/>
              </w:rPr>
              <w:t>3</w:t>
            </w:r>
          </w:p>
        </w:tc>
        <w:tc>
          <w:tcPr>
            <w:tcW w:w="1131" w:type="dxa"/>
            <w:shd w:val="clear" w:color="000000" w:fill="FFFFFF"/>
            <w:noWrap/>
            <w:tcMar>
              <w:left w:w="28" w:type="dxa"/>
              <w:right w:w="28" w:type="dxa"/>
            </w:tcMar>
            <w:vAlign w:val="center"/>
            <w:hideMark/>
          </w:tcPr>
          <w:p w:rsidR="00E1195D" w:rsidRPr="00F573A7" w:rsidRDefault="00E1195D" w:rsidP="003D070A">
            <w:pPr>
              <w:keepNext/>
              <w:jc w:val="right"/>
              <w:rPr>
                <w:rFonts w:ascii="Arial Narrow" w:hAnsi="Arial Narrow" w:cs="Calibri"/>
                <w:sz w:val="20"/>
                <w:szCs w:val="20"/>
              </w:rPr>
            </w:pPr>
            <w:r w:rsidRPr="00F573A7">
              <w:rPr>
                <w:rFonts w:ascii="Arial Narrow" w:hAnsi="Arial Narrow" w:cs="Calibri"/>
                <w:sz w:val="20"/>
                <w:szCs w:val="20"/>
              </w:rPr>
              <w:t>$</w:t>
            </w:r>
            <w:r w:rsidR="004B7986">
              <w:rPr>
                <w:rFonts w:ascii="Arial Narrow" w:hAnsi="Arial Narrow" w:cs="Calibri"/>
                <w:noProof/>
                <w:color w:val="000000"/>
                <w:sz w:val="20"/>
                <w:szCs w:val="20"/>
                <w:highlight w:val="black"/>
              </w:rPr>
              <w:t>''''''''''''''''''''''''''''</w:t>
            </w:r>
            <w:r w:rsidR="00D10801">
              <w:rPr>
                <w:rFonts w:ascii="Arial Narrow" w:hAnsi="Arial Narrow" w:cs="Calibri"/>
                <w:color w:val="000000"/>
                <w:sz w:val="20"/>
                <w:szCs w:val="20"/>
                <w:vertAlign w:val="superscript"/>
              </w:rPr>
              <w:t>4</w:t>
            </w:r>
          </w:p>
        </w:tc>
        <w:tc>
          <w:tcPr>
            <w:tcW w:w="1134" w:type="dxa"/>
            <w:shd w:val="clear" w:color="000000" w:fill="FFFFFF"/>
            <w:noWrap/>
            <w:tcMar>
              <w:left w:w="28" w:type="dxa"/>
              <w:right w:w="28" w:type="dxa"/>
            </w:tcMar>
            <w:vAlign w:val="center"/>
            <w:hideMark/>
          </w:tcPr>
          <w:p w:rsidR="00E1195D" w:rsidRPr="00F573A7" w:rsidRDefault="00E1195D" w:rsidP="003D070A">
            <w:pPr>
              <w:keepNext/>
              <w:jc w:val="right"/>
              <w:rPr>
                <w:rFonts w:ascii="Arial Narrow" w:hAnsi="Arial Narrow" w:cs="Calibri"/>
                <w:sz w:val="20"/>
                <w:szCs w:val="20"/>
              </w:rPr>
            </w:pPr>
            <w:r w:rsidRPr="00F573A7">
              <w:rPr>
                <w:rFonts w:ascii="Arial Narrow" w:hAnsi="Arial Narrow" w:cs="Calibri"/>
                <w:sz w:val="20"/>
                <w:szCs w:val="20"/>
              </w:rPr>
              <w:t>$</w:t>
            </w:r>
            <w:r w:rsidR="004B7986">
              <w:rPr>
                <w:rFonts w:ascii="Arial Narrow" w:hAnsi="Arial Narrow" w:cs="Calibri"/>
                <w:noProof/>
                <w:color w:val="000000"/>
                <w:sz w:val="20"/>
                <w:szCs w:val="20"/>
                <w:highlight w:val="black"/>
              </w:rPr>
              <w:t>'''''''''''''''''''''''''</w:t>
            </w:r>
            <w:r w:rsidR="00D10801">
              <w:rPr>
                <w:rFonts w:ascii="Arial Narrow" w:hAnsi="Arial Narrow" w:cs="Calibri"/>
                <w:color w:val="000000"/>
                <w:sz w:val="20"/>
                <w:szCs w:val="20"/>
                <w:vertAlign w:val="superscript"/>
              </w:rPr>
              <w:t>5</w:t>
            </w:r>
          </w:p>
        </w:tc>
        <w:tc>
          <w:tcPr>
            <w:tcW w:w="1134" w:type="dxa"/>
            <w:shd w:val="clear" w:color="000000" w:fill="FFFFFF"/>
            <w:noWrap/>
            <w:tcMar>
              <w:left w:w="28" w:type="dxa"/>
              <w:right w:w="28" w:type="dxa"/>
            </w:tcMar>
            <w:vAlign w:val="center"/>
            <w:hideMark/>
          </w:tcPr>
          <w:p w:rsidR="00E1195D" w:rsidRPr="00F573A7" w:rsidRDefault="00E1195D" w:rsidP="003D070A">
            <w:pPr>
              <w:keepNext/>
              <w:jc w:val="right"/>
              <w:rPr>
                <w:rFonts w:ascii="Arial Narrow" w:hAnsi="Arial Narrow" w:cs="Calibri"/>
                <w:sz w:val="20"/>
                <w:szCs w:val="20"/>
              </w:rPr>
            </w:pPr>
            <w:r w:rsidRPr="00F573A7">
              <w:rPr>
                <w:rFonts w:ascii="Arial Narrow" w:hAnsi="Arial Narrow" w:cs="Calibri"/>
                <w:sz w:val="20"/>
                <w:szCs w:val="20"/>
              </w:rPr>
              <w:t>$</w:t>
            </w:r>
            <w:r w:rsidR="004B7986">
              <w:rPr>
                <w:rFonts w:ascii="Arial Narrow" w:hAnsi="Arial Narrow" w:cs="Calibri"/>
                <w:noProof/>
                <w:color w:val="000000"/>
                <w:sz w:val="20"/>
                <w:szCs w:val="20"/>
                <w:highlight w:val="black"/>
              </w:rPr>
              <w:t>'''''''''''''''''''''''''''''</w:t>
            </w:r>
            <w:r w:rsidR="00D10801">
              <w:rPr>
                <w:rFonts w:ascii="Arial Narrow" w:hAnsi="Arial Narrow" w:cs="Calibri"/>
                <w:color w:val="000000"/>
                <w:sz w:val="20"/>
                <w:szCs w:val="20"/>
                <w:vertAlign w:val="superscript"/>
              </w:rPr>
              <w:t>5</w:t>
            </w:r>
          </w:p>
        </w:tc>
        <w:tc>
          <w:tcPr>
            <w:tcW w:w="1134" w:type="dxa"/>
            <w:shd w:val="clear" w:color="000000" w:fill="FFFFFF"/>
            <w:noWrap/>
            <w:tcMar>
              <w:left w:w="28" w:type="dxa"/>
              <w:right w:w="28" w:type="dxa"/>
            </w:tcMar>
            <w:vAlign w:val="center"/>
            <w:hideMark/>
          </w:tcPr>
          <w:p w:rsidR="00E1195D" w:rsidRPr="00F573A7" w:rsidRDefault="00E1195D" w:rsidP="003D070A">
            <w:pPr>
              <w:keepNext/>
              <w:jc w:val="right"/>
              <w:rPr>
                <w:rFonts w:ascii="Arial Narrow" w:hAnsi="Arial Narrow" w:cs="Calibri"/>
                <w:sz w:val="20"/>
                <w:szCs w:val="20"/>
              </w:rPr>
            </w:pPr>
            <w:r w:rsidRPr="00F573A7">
              <w:rPr>
                <w:rFonts w:ascii="Arial Narrow" w:hAnsi="Arial Narrow" w:cs="Calibri"/>
                <w:sz w:val="20"/>
                <w:szCs w:val="20"/>
              </w:rPr>
              <w:t>$</w:t>
            </w:r>
            <w:r w:rsidR="004B7986">
              <w:rPr>
                <w:rFonts w:ascii="Arial Narrow" w:hAnsi="Arial Narrow" w:cs="Calibri"/>
                <w:noProof/>
                <w:color w:val="000000"/>
                <w:sz w:val="20"/>
                <w:szCs w:val="20"/>
                <w:highlight w:val="black"/>
              </w:rPr>
              <w:t>''''''''''''''''''''''''''''</w:t>
            </w:r>
            <w:r w:rsidR="00D10801">
              <w:rPr>
                <w:rFonts w:ascii="Arial Narrow" w:hAnsi="Arial Narrow" w:cs="Calibri"/>
                <w:color w:val="000000"/>
                <w:sz w:val="20"/>
                <w:szCs w:val="20"/>
                <w:vertAlign w:val="superscript"/>
              </w:rPr>
              <w:t>6</w:t>
            </w:r>
          </w:p>
        </w:tc>
      </w:tr>
      <w:tr w:rsidR="00E1195D" w:rsidRPr="00F573A7" w:rsidTr="00E1195D">
        <w:trPr>
          <w:trHeight w:val="484"/>
        </w:trPr>
        <w:tc>
          <w:tcPr>
            <w:tcW w:w="2263" w:type="dxa"/>
            <w:shd w:val="clear" w:color="000000" w:fill="FFFFFF"/>
            <w:tcMar>
              <w:left w:w="28" w:type="dxa"/>
              <w:right w:w="28" w:type="dxa"/>
            </w:tcMar>
            <w:vAlign w:val="center"/>
          </w:tcPr>
          <w:p w:rsidR="00E1195D" w:rsidRPr="00F573A7" w:rsidRDefault="00E1195D" w:rsidP="00E1195D">
            <w:pPr>
              <w:keepNext/>
              <w:jc w:val="left"/>
              <w:rPr>
                <w:rFonts w:ascii="Arial Narrow" w:hAnsi="Arial Narrow" w:cs="Calibri"/>
                <w:color w:val="000000"/>
                <w:sz w:val="20"/>
                <w:szCs w:val="20"/>
              </w:rPr>
            </w:pPr>
            <w:r w:rsidRPr="00F573A7">
              <w:rPr>
                <w:rFonts w:ascii="Arial Narrow" w:hAnsi="Arial Narrow"/>
                <w:iCs/>
                <w:sz w:val="20"/>
                <w:szCs w:val="20"/>
              </w:rPr>
              <w:t>Total cost offsets (substituted therapies)</w:t>
            </w:r>
          </w:p>
        </w:tc>
        <w:tc>
          <w:tcPr>
            <w:tcW w:w="1134" w:type="dxa"/>
            <w:shd w:val="clear" w:color="000000" w:fill="FFFFFF"/>
            <w:noWrap/>
            <w:tcMar>
              <w:left w:w="28" w:type="dxa"/>
              <w:right w:w="28" w:type="dxa"/>
            </w:tcMar>
            <w:vAlign w:val="center"/>
          </w:tcPr>
          <w:p w:rsidR="00E1195D" w:rsidRPr="000E7FF4" w:rsidRDefault="00E1195D" w:rsidP="003D070A">
            <w:pPr>
              <w:keepNext/>
              <w:keepLines/>
              <w:jc w:val="right"/>
              <w:rPr>
                <w:rFonts w:ascii="Arial Narrow" w:hAnsi="Arial Narrow" w:cs="Calibri"/>
                <w:sz w:val="20"/>
                <w:szCs w:val="20"/>
                <w:vertAlign w:val="superscript"/>
              </w:rPr>
            </w:pPr>
            <w:r w:rsidRPr="00F573A7">
              <w:rPr>
                <w:rFonts w:ascii="Arial Narrow" w:hAnsi="Arial Narrow" w:cs="Calibri"/>
                <w:sz w:val="20"/>
                <w:szCs w:val="20"/>
              </w:rPr>
              <w:t>-$</w:t>
            </w:r>
            <w:r w:rsidR="004B7986">
              <w:rPr>
                <w:rFonts w:ascii="Arial Narrow" w:hAnsi="Arial Narrow" w:cs="Calibri"/>
                <w:noProof/>
                <w:color w:val="000000"/>
                <w:sz w:val="20"/>
                <w:szCs w:val="20"/>
                <w:highlight w:val="black"/>
              </w:rPr>
              <w:t>''''''''''''''''''''''</w:t>
            </w:r>
            <w:r w:rsidR="00D10801" w:rsidRPr="000E7FF4">
              <w:rPr>
                <w:rFonts w:ascii="Arial Narrow" w:hAnsi="Arial Narrow" w:cs="Calibri"/>
                <w:sz w:val="20"/>
                <w:szCs w:val="20"/>
                <w:vertAlign w:val="superscript"/>
              </w:rPr>
              <w:t>7</w:t>
            </w:r>
          </w:p>
        </w:tc>
        <w:tc>
          <w:tcPr>
            <w:tcW w:w="1137" w:type="dxa"/>
            <w:shd w:val="clear" w:color="000000" w:fill="FFFFFF"/>
            <w:noWrap/>
            <w:tcMar>
              <w:left w:w="28" w:type="dxa"/>
              <w:right w:w="28" w:type="dxa"/>
            </w:tcMar>
            <w:vAlign w:val="center"/>
          </w:tcPr>
          <w:p w:rsidR="00E1195D" w:rsidRPr="00F573A7" w:rsidRDefault="00E1195D" w:rsidP="003D070A">
            <w:pPr>
              <w:keepNext/>
              <w:keepLines/>
              <w:jc w:val="right"/>
              <w:rPr>
                <w:rFonts w:ascii="Arial Narrow" w:hAnsi="Arial Narrow" w:cs="Calibri"/>
                <w:sz w:val="20"/>
                <w:szCs w:val="20"/>
              </w:rPr>
            </w:pPr>
            <w:r w:rsidRPr="00F573A7">
              <w:rPr>
                <w:rFonts w:ascii="Arial Narrow" w:hAnsi="Arial Narrow" w:cs="Calibri"/>
                <w:sz w:val="20"/>
                <w:szCs w:val="20"/>
              </w:rPr>
              <w:t>-$</w:t>
            </w:r>
            <w:r w:rsidR="004B7986">
              <w:rPr>
                <w:rFonts w:ascii="Arial Narrow" w:hAnsi="Arial Narrow" w:cs="Calibri"/>
                <w:noProof/>
                <w:color w:val="000000"/>
                <w:sz w:val="20"/>
                <w:szCs w:val="20"/>
                <w:highlight w:val="black"/>
              </w:rPr>
              <w:t>'''''''''''''''''''''''''''</w:t>
            </w:r>
            <w:r w:rsidR="00B5396C">
              <w:rPr>
                <w:rFonts w:ascii="Arial Narrow" w:hAnsi="Arial Narrow" w:cs="Calibri"/>
                <w:sz w:val="20"/>
                <w:szCs w:val="20"/>
                <w:vertAlign w:val="superscript"/>
              </w:rPr>
              <w:t>8</w:t>
            </w:r>
          </w:p>
        </w:tc>
        <w:tc>
          <w:tcPr>
            <w:tcW w:w="1131" w:type="dxa"/>
            <w:shd w:val="clear" w:color="000000" w:fill="FFFFFF"/>
            <w:noWrap/>
            <w:tcMar>
              <w:left w:w="28" w:type="dxa"/>
              <w:right w:w="28" w:type="dxa"/>
            </w:tcMar>
            <w:vAlign w:val="center"/>
          </w:tcPr>
          <w:p w:rsidR="00E1195D" w:rsidRPr="00F573A7" w:rsidRDefault="00E1195D" w:rsidP="003D070A">
            <w:pPr>
              <w:keepNext/>
              <w:keepLines/>
              <w:jc w:val="right"/>
              <w:rPr>
                <w:rFonts w:ascii="Arial Narrow" w:hAnsi="Arial Narrow" w:cs="Calibri"/>
                <w:sz w:val="20"/>
                <w:szCs w:val="20"/>
              </w:rPr>
            </w:pPr>
            <w:r w:rsidRPr="00F573A7">
              <w:rPr>
                <w:rFonts w:ascii="Arial Narrow" w:hAnsi="Arial Narrow" w:cs="Calibri"/>
                <w:sz w:val="20"/>
                <w:szCs w:val="20"/>
              </w:rPr>
              <w:t>-$</w:t>
            </w:r>
            <w:r w:rsidR="004B7986">
              <w:rPr>
                <w:rFonts w:ascii="Arial Narrow" w:hAnsi="Arial Narrow" w:cs="Calibri"/>
                <w:noProof/>
                <w:color w:val="000000"/>
                <w:sz w:val="20"/>
                <w:szCs w:val="20"/>
                <w:highlight w:val="black"/>
              </w:rPr>
              <w:t>''''''''''''''''''''''''''</w:t>
            </w:r>
            <w:r w:rsidR="00B5396C">
              <w:rPr>
                <w:rFonts w:ascii="Arial Narrow" w:hAnsi="Arial Narrow" w:cs="Calibri"/>
                <w:sz w:val="20"/>
                <w:szCs w:val="20"/>
                <w:vertAlign w:val="superscript"/>
              </w:rPr>
              <w:t>2</w:t>
            </w:r>
          </w:p>
        </w:tc>
        <w:tc>
          <w:tcPr>
            <w:tcW w:w="1134" w:type="dxa"/>
            <w:shd w:val="clear" w:color="000000" w:fill="FFFFFF"/>
            <w:noWrap/>
            <w:tcMar>
              <w:left w:w="28" w:type="dxa"/>
              <w:right w:w="28" w:type="dxa"/>
            </w:tcMar>
            <w:vAlign w:val="center"/>
          </w:tcPr>
          <w:p w:rsidR="00E1195D" w:rsidRPr="00F573A7" w:rsidRDefault="00E1195D" w:rsidP="003D070A">
            <w:pPr>
              <w:keepNext/>
              <w:keepLines/>
              <w:jc w:val="right"/>
              <w:rPr>
                <w:rFonts w:ascii="Arial Narrow" w:hAnsi="Arial Narrow" w:cs="Calibri"/>
                <w:sz w:val="20"/>
                <w:szCs w:val="20"/>
              </w:rPr>
            </w:pPr>
            <w:r w:rsidRPr="00F573A7">
              <w:rPr>
                <w:rFonts w:ascii="Arial Narrow" w:hAnsi="Arial Narrow" w:cs="Calibri"/>
                <w:sz w:val="20"/>
                <w:szCs w:val="20"/>
              </w:rPr>
              <w:t>-$</w:t>
            </w:r>
            <w:r w:rsidR="00B07D71">
              <w:rPr>
                <w:rFonts w:ascii="Arial Narrow" w:hAnsi="Arial Narrow" w:cs="Calibri"/>
                <w:noProof/>
                <w:color w:val="000000"/>
                <w:sz w:val="20"/>
                <w:szCs w:val="20"/>
                <w:highlight w:val="black"/>
              </w:rPr>
              <w:t>''''''''''''''''</w:t>
            </w:r>
            <w:r w:rsidR="004B7986">
              <w:rPr>
                <w:rFonts w:ascii="Arial Narrow" w:hAnsi="Arial Narrow" w:cs="Calibri"/>
                <w:noProof/>
                <w:color w:val="000000"/>
                <w:sz w:val="20"/>
                <w:szCs w:val="20"/>
                <w:highlight w:val="black"/>
              </w:rPr>
              <w:t>''''''''''</w:t>
            </w:r>
            <w:r w:rsidR="00B5396C">
              <w:rPr>
                <w:rFonts w:ascii="Arial Narrow" w:hAnsi="Arial Narrow" w:cs="Calibri"/>
                <w:sz w:val="20"/>
                <w:szCs w:val="20"/>
                <w:vertAlign w:val="superscript"/>
              </w:rPr>
              <w:t>3</w:t>
            </w:r>
          </w:p>
        </w:tc>
        <w:tc>
          <w:tcPr>
            <w:tcW w:w="1134" w:type="dxa"/>
            <w:shd w:val="clear" w:color="000000" w:fill="FFFFFF"/>
            <w:noWrap/>
            <w:tcMar>
              <w:left w:w="28" w:type="dxa"/>
              <w:right w:w="28" w:type="dxa"/>
            </w:tcMar>
            <w:vAlign w:val="center"/>
          </w:tcPr>
          <w:p w:rsidR="00E1195D" w:rsidRPr="00F573A7" w:rsidRDefault="00E1195D" w:rsidP="003D070A">
            <w:pPr>
              <w:keepNext/>
              <w:keepLines/>
              <w:jc w:val="right"/>
              <w:rPr>
                <w:rFonts w:ascii="Arial Narrow" w:hAnsi="Arial Narrow" w:cs="Calibri"/>
                <w:sz w:val="20"/>
                <w:szCs w:val="20"/>
              </w:rPr>
            </w:pPr>
            <w:r w:rsidRPr="00F573A7">
              <w:rPr>
                <w:rFonts w:ascii="Arial Narrow" w:hAnsi="Arial Narrow" w:cs="Calibri"/>
                <w:sz w:val="20"/>
                <w:szCs w:val="20"/>
              </w:rPr>
              <w:t>-$</w:t>
            </w:r>
            <w:r w:rsidR="00B07D71">
              <w:rPr>
                <w:rFonts w:ascii="Arial Narrow" w:hAnsi="Arial Narrow" w:cs="Calibri"/>
                <w:noProof/>
                <w:color w:val="000000"/>
                <w:sz w:val="20"/>
                <w:szCs w:val="20"/>
                <w:highlight w:val="black"/>
              </w:rPr>
              <w:t>'''''''''''</w:t>
            </w:r>
            <w:r w:rsidR="004B7986">
              <w:rPr>
                <w:rFonts w:ascii="Arial Narrow" w:hAnsi="Arial Narrow" w:cs="Calibri"/>
                <w:noProof/>
                <w:color w:val="000000"/>
                <w:sz w:val="20"/>
                <w:szCs w:val="20"/>
                <w:highlight w:val="black"/>
              </w:rPr>
              <w:t>''''''''''''''</w:t>
            </w:r>
            <w:r w:rsidR="00B5396C">
              <w:rPr>
                <w:rFonts w:ascii="Arial Narrow" w:hAnsi="Arial Narrow" w:cs="Calibri"/>
                <w:sz w:val="20"/>
                <w:szCs w:val="20"/>
                <w:vertAlign w:val="superscript"/>
              </w:rPr>
              <w:t>3</w:t>
            </w:r>
          </w:p>
        </w:tc>
        <w:tc>
          <w:tcPr>
            <w:tcW w:w="1134" w:type="dxa"/>
            <w:shd w:val="clear" w:color="000000" w:fill="FFFFFF"/>
            <w:noWrap/>
            <w:tcMar>
              <w:left w:w="28" w:type="dxa"/>
              <w:right w:w="28" w:type="dxa"/>
            </w:tcMar>
            <w:vAlign w:val="center"/>
          </w:tcPr>
          <w:p w:rsidR="00E1195D" w:rsidRPr="00F573A7" w:rsidRDefault="00E1195D" w:rsidP="003D070A">
            <w:pPr>
              <w:keepNext/>
              <w:keepLines/>
              <w:jc w:val="right"/>
              <w:rPr>
                <w:rFonts w:ascii="Arial Narrow" w:hAnsi="Arial Narrow" w:cs="Calibri"/>
                <w:sz w:val="20"/>
                <w:szCs w:val="20"/>
              </w:rPr>
            </w:pPr>
            <w:r w:rsidRPr="00F573A7">
              <w:rPr>
                <w:rFonts w:ascii="Arial Narrow" w:hAnsi="Arial Narrow" w:cs="Calibri"/>
                <w:sz w:val="20"/>
                <w:szCs w:val="20"/>
              </w:rPr>
              <w:t>-$</w:t>
            </w:r>
            <w:r w:rsidR="004B7986">
              <w:rPr>
                <w:rFonts w:ascii="Arial Narrow" w:hAnsi="Arial Narrow" w:cs="Calibri"/>
                <w:noProof/>
                <w:color w:val="000000"/>
                <w:sz w:val="20"/>
                <w:szCs w:val="20"/>
                <w:highlight w:val="black"/>
              </w:rPr>
              <w:t>'''''''''''''''''''''''''''</w:t>
            </w:r>
            <w:r w:rsidR="00B5396C">
              <w:rPr>
                <w:rFonts w:ascii="Arial Narrow" w:hAnsi="Arial Narrow" w:cs="Calibri"/>
                <w:sz w:val="20"/>
                <w:szCs w:val="20"/>
                <w:vertAlign w:val="superscript"/>
              </w:rPr>
              <w:t>3</w:t>
            </w:r>
          </w:p>
        </w:tc>
      </w:tr>
      <w:tr w:rsidR="00E1195D" w:rsidRPr="00F573A7" w:rsidTr="00E1195D">
        <w:trPr>
          <w:trHeight w:val="484"/>
        </w:trPr>
        <w:tc>
          <w:tcPr>
            <w:tcW w:w="2263" w:type="dxa"/>
            <w:shd w:val="clear" w:color="000000" w:fill="FFFFFF"/>
            <w:tcMar>
              <w:left w:w="28" w:type="dxa"/>
              <w:right w:w="28" w:type="dxa"/>
            </w:tcMar>
            <w:vAlign w:val="center"/>
          </w:tcPr>
          <w:p w:rsidR="00E1195D" w:rsidRPr="00F573A7" w:rsidRDefault="00E1195D" w:rsidP="00E1195D">
            <w:pPr>
              <w:keepNext/>
              <w:jc w:val="left"/>
              <w:rPr>
                <w:rFonts w:ascii="Arial Narrow" w:hAnsi="Arial Narrow" w:cs="Calibri"/>
                <w:color w:val="000000"/>
                <w:sz w:val="20"/>
                <w:szCs w:val="20"/>
              </w:rPr>
            </w:pPr>
            <w:r w:rsidRPr="00F573A7">
              <w:rPr>
                <w:rFonts w:ascii="Arial Narrow" w:hAnsi="Arial Narrow"/>
                <w:iCs/>
                <w:sz w:val="20"/>
                <w:szCs w:val="20"/>
              </w:rPr>
              <w:t>Total cost-offsets (prevention of downstream therapy)</w:t>
            </w:r>
          </w:p>
        </w:tc>
        <w:tc>
          <w:tcPr>
            <w:tcW w:w="1134" w:type="dxa"/>
            <w:shd w:val="clear" w:color="000000" w:fill="FFFFFF"/>
            <w:noWrap/>
            <w:tcMar>
              <w:left w:w="28" w:type="dxa"/>
              <w:right w:w="28" w:type="dxa"/>
            </w:tcMar>
            <w:vAlign w:val="center"/>
          </w:tcPr>
          <w:p w:rsidR="00E1195D" w:rsidRPr="00F573A7" w:rsidRDefault="00E1195D" w:rsidP="003D070A">
            <w:pPr>
              <w:keepNext/>
              <w:keepLines/>
              <w:jc w:val="right"/>
              <w:rPr>
                <w:rFonts w:ascii="Arial Narrow" w:hAnsi="Arial Narrow" w:cs="Calibri"/>
                <w:sz w:val="20"/>
                <w:szCs w:val="20"/>
              </w:rPr>
            </w:pPr>
            <w:r w:rsidRPr="00F573A7">
              <w:rPr>
                <w:rFonts w:ascii="Arial Narrow" w:hAnsi="Arial Narrow" w:cs="Calibri"/>
                <w:sz w:val="20"/>
                <w:szCs w:val="20"/>
              </w:rPr>
              <w:t>-$</w:t>
            </w:r>
            <w:r w:rsidR="004B7986">
              <w:rPr>
                <w:rFonts w:ascii="Arial Narrow" w:hAnsi="Arial Narrow" w:cs="Calibri"/>
                <w:noProof/>
                <w:color w:val="000000"/>
                <w:sz w:val="20"/>
                <w:szCs w:val="20"/>
                <w:highlight w:val="black"/>
              </w:rPr>
              <w:t>''''''''''''''''''''''''''</w:t>
            </w:r>
            <w:r w:rsidR="00D10801" w:rsidRPr="00D12472">
              <w:rPr>
                <w:rFonts w:ascii="Arial Narrow" w:hAnsi="Arial Narrow" w:cs="Calibri"/>
                <w:sz w:val="20"/>
                <w:szCs w:val="20"/>
                <w:vertAlign w:val="superscript"/>
              </w:rPr>
              <w:t>7</w:t>
            </w:r>
          </w:p>
        </w:tc>
        <w:tc>
          <w:tcPr>
            <w:tcW w:w="1137" w:type="dxa"/>
            <w:shd w:val="clear" w:color="000000" w:fill="FFFFFF"/>
            <w:noWrap/>
            <w:tcMar>
              <w:left w:w="28" w:type="dxa"/>
              <w:right w:w="28" w:type="dxa"/>
            </w:tcMar>
            <w:vAlign w:val="center"/>
          </w:tcPr>
          <w:p w:rsidR="00E1195D" w:rsidRPr="00F573A7" w:rsidRDefault="00E1195D" w:rsidP="003D070A">
            <w:pPr>
              <w:keepNext/>
              <w:keepLines/>
              <w:jc w:val="right"/>
              <w:rPr>
                <w:rFonts w:ascii="Arial Narrow" w:hAnsi="Arial Narrow" w:cs="Calibri"/>
                <w:sz w:val="20"/>
                <w:szCs w:val="20"/>
              </w:rPr>
            </w:pPr>
            <w:r w:rsidRPr="00F573A7">
              <w:rPr>
                <w:rFonts w:ascii="Arial Narrow" w:hAnsi="Arial Narrow" w:cs="Calibri"/>
                <w:sz w:val="20"/>
                <w:szCs w:val="20"/>
              </w:rPr>
              <w:t>-$</w:t>
            </w:r>
            <w:r w:rsidR="004B7986">
              <w:rPr>
                <w:rFonts w:ascii="Arial Narrow" w:hAnsi="Arial Narrow" w:cs="Calibri"/>
                <w:noProof/>
                <w:color w:val="000000"/>
                <w:sz w:val="20"/>
                <w:szCs w:val="20"/>
                <w:highlight w:val="black"/>
              </w:rPr>
              <w:t>'''''''''''''''''''''</w:t>
            </w:r>
            <w:r w:rsidR="00D10801" w:rsidRPr="00D12472">
              <w:rPr>
                <w:rFonts w:ascii="Arial Narrow" w:hAnsi="Arial Narrow" w:cs="Calibri"/>
                <w:sz w:val="20"/>
                <w:szCs w:val="20"/>
                <w:vertAlign w:val="superscript"/>
              </w:rPr>
              <w:t>7</w:t>
            </w:r>
          </w:p>
        </w:tc>
        <w:tc>
          <w:tcPr>
            <w:tcW w:w="1131" w:type="dxa"/>
            <w:shd w:val="clear" w:color="000000" w:fill="FFFFFF"/>
            <w:noWrap/>
            <w:tcMar>
              <w:left w:w="28" w:type="dxa"/>
              <w:right w:w="28" w:type="dxa"/>
            </w:tcMar>
            <w:vAlign w:val="center"/>
          </w:tcPr>
          <w:p w:rsidR="00E1195D" w:rsidRPr="00F573A7" w:rsidRDefault="00E1195D" w:rsidP="003D070A">
            <w:pPr>
              <w:keepNext/>
              <w:keepLines/>
              <w:jc w:val="right"/>
              <w:rPr>
                <w:rFonts w:ascii="Arial Narrow" w:hAnsi="Arial Narrow" w:cs="Calibri"/>
                <w:sz w:val="20"/>
                <w:szCs w:val="20"/>
              </w:rPr>
            </w:pPr>
            <w:r w:rsidRPr="00F573A7">
              <w:rPr>
                <w:rFonts w:ascii="Arial Narrow" w:hAnsi="Arial Narrow" w:cs="Calibri"/>
                <w:sz w:val="20"/>
                <w:szCs w:val="20"/>
              </w:rPr>
              <w:t>-$</w:t>
            </w:r>
            <w:r w:rsidR="004B7986">
              <w:rPr>
                <w:rFonts w:ascii="Arial Narrow" w:hAnsi="Arial Narrow" w:cs="Calibri"/>
                <w:noProof/>
                <w:color w:val="000000"/>
                <w:sz w:val="20"/>
                <w:szCs w:val="20"/>
                <w:highlight w:val="black"/>
              </w:rPr>
              <w:t>''''''''''''''''''''''</w:t>
            </w:r>
            <w:r w:rsidR="00D10801" w:rsidRPr="00D12472">
              <w:rPr>
                <w:rFonts w:ascii="Arial Narrow" w:hAnsi="Arial Narrow" w:cs="Calibri"/>
                <w:sz w:val="20"/>
                <w:szCs w:val="20"/>
                <w:vertAlign w:val="superscript"/>
              </w:rPr>
              <w:t>7</w:t>
            </w:r>
          </w:p>
        </w:tc>
        <w:tc>
          <w:tcPr>
            <w:tcW w:w="1134" w:type="dxa"/>
            <w:shd w:val="clear" w:color="000000" w:fill="FFFFFF"/>
            <w:noWrap/>
            <w:tcMar>
              <w:left w:w="28" w:type="dxa"/>
              <w:right w:w="28" w:type="dxa"/>
            </w:tcMar>
            <w:vAlign w:val="center"/>
          </w:tcPr>
          <w:p w:rsidR="00E1195D" w:rsidRPr="00F573A7" w:rsidRDefault="00E1195D" w:rsidP="003D070A">
            <w:pPr>
              <w:keepNext/>
              <w:keepLines/>
              <w:jc w:val="right"/>
              <w:rPr>
                <w:rFonts w:ascii="Arial Narrow" w:hAnsi="Arial Narrow" w:cs="Calibri"/>
                <w:sz w:val="20"/>
                <w:szCs w:val="20"/>
              </w:rPr>
            </w:pPr>
            <w:r w:rsidRPr="00F573A7">
              <w:rPr>
                <w:rFonts w:ascii="Arial Narrow" w:hAnsi="Arial Narrow" w:cs="Calibri"/>
                <w:sz w:val="20"/>
                <w:szCs w:val="20"/>
              </w:rPr>
              <w:t>-$</w:t>
            </w:r>
            <w:r w:rsidR="004B7986">
              <w:rPr>
                <w:rFonts w:ascii="Arial Narrow" w:hAnsi="Arial Narrow" w:cs="Calibri"/>
                <w:noProof/>
                <w:color w:val="000000"/>
                <w:sz w:val="20"/>
                <w:szCs w:val="20"/>
                <w:highlight w:val="black"/>
              </w:rPr>
              <w:t>''''''''''''''''''''''''</w:t>
            </w:r>
            <w:r w:rsidR="00D10801" w:rsidRPr="00D12472">
              <w:rPr>
                <w:rFonts w:ascii="Arial Narrow" w:hAnsi="Arial Narrow" w:cs="Calibri"/>
                <w:sz w:val="20"/>
                <w:szCs w:val="20"/>
                <w:vertAlign w:val="superscript"/>
              </w:rPr>
              <w:t>7</w:t>
            </w:r>
          </w:p>
        </w:tc>
        <w:tc>
          <w:tcPr>
            <w:tcW w:w="1134" w:type="dxa"/>
            <w:shd w:val="clear" w:color="000000" w:fill="FFFFFF"/>
            <w:noWrap/>
            <w:tcMar>
              <w:left w:w="28" w:type="dxa"/>
              <w:right w:w="28" w:type="dxa"/>
            </w:tcMar>
            <w:vAlign w:val="center"/>
          </w:tcPr>
          <w:p w:rsidR="00E1195D" w:rsidRPr="00F573A7" w:rsidRDefault="00E1195D" w:rsidP="003D070A">
            <w:pPr>
              <w:keepNext/>
              <w:keepLines/>
              <w:jc w:val="right"/>
              <w:rPr>
                <w:rFonts w:ascii="Arial Narrow" w:hAnsi="Arial Narrow" w:cs="Calibri"/>
                <w:sz w:val="20"/>
                <w:szCs w:val="20"/>
              </w:rPr>
            </w:pPr>
            <w:r w:rsidRPr="00F573A7">
              <w:rPr>
                <w:rFonts w:ascii="Arial Narrow" w:hAnsi="Arial Narrow" w:cs="Calibri"/>
                <w:sz w:val="20"/>
                <w:szCs w:val="20"/>
              </w:rPr>
              <w:t>-$</w:t>
            </w:r>
            <w:r w:rsidR="004B7986">
              <w:rPr>
                <w:rFonts w:ascii="Arial Narrow" w:hAnsi="Arial Narrow" w:cs="Calibri"/>
                <w:noProof/>
                <w:color w:val="000000"/>
                <w:sz w:val="20"/>
                <w:szCs w:val="20"/>
                <w:highlight w:val="black"/>
              </w:rPr>
              <w:t>'''''''''''''''''''''''</w:t>
            </w:r>
            <w:r w:rsidR="00D10801" w:rsidRPr="00D12472">
              <w:rPr>
                <w:rFonts w:ascii="Arial Narrow" w:hAnsi="Arial Narrow" w:cs="Calibri"/>
                <w:sz w:val="20"/>
                <w:szCs w:val="20"/>
                <w:vertAlign w:val="superscript"/>
              </w:rPr>
              <w:t>7</w:t>
            </w:r>
          </w:p>
        </w:tc>
        <w:tc>
          <w:tcPr>
            <w:tcW w:w="1134" w:type="dxa"/>
            <w:shd w:val="clear" w:color="000000" w:fill="FFFFFF"/>
            <w:noWrap/>
            <w:tcMar>
              <w:left w:w="28" w:type="dxa"/>
              <w:right w:w="28" w:type="dxa"/>
            </w:tcMar>
            <w:vAlign w:val="center"/>
          </w:tcPr>
          <w:p w:rsidR="00E1195D" w:rsidRPr="00F573A7" w:rsidRDefault="00E1195D" w:rsidP="003D070A">
            <w:pPr>
              <w:keepNext/>
              <w:keepLines/>
              <w:jc w:val="right"/>
              <w:rPr>
                <w:rFonts w:ascii="Arial Narrow" w:hAnsi="Arial Narrow" w:cs="Calibri"/>
                <w:sz w:val="20"/>
                <w:szCs w:val="20"/>
              </w:rPr>
            </w:pPr>
            <w:r w:rsidRPr="00F573A7">
              <w:rPr>
                <w:rFonts w:ascii="Arial Narrow" w:hAnsi="Arial Narrow" w:cs="Calibri"/>
                <w:sz w:val="20"/>
                <w:szCs w:val="20"/>
              </w:rPr>
              <w:t>-$</w:t>
            </w:r>
            <w:r w:rsidR="004B7986">
              <w:rPr>
                <w:rFonts w:ascii="Arial Narrow" w:hAnsi="Arial Narrow" w:cs="Calibri"/>
                <w:noProof/>
                <w:color w:val="000000"/>
                <w:sz w:val="20"/>
                <w:szCs w:val="20"/>
                <w:highlight w:val="black"/>
              </w:rPr>
              <w:t>''''''''''''''''''''''</w:t>
            </w:r>
            <w:r w:rsidR="00D10801" w:rsidRPr="00D12472">
              <w:rPr>
                <w:rFonts w:ascii="Arial Narrow" w:hAnsi="Arial Narrow" w:cs="Calibri"/>
                <w:sz w:val="20"/>
                <w:szCs w:val="20"/>
                <w:vertAlign w:val="superscript"/>
              </w:rPr>
              <w:t>7</w:t>
            </w:r>
          </w:p>
        </w:tc>
      </w:tr>
      <w:tr w:rsidR="00E1195D" w:rsidRPr="00F573A7" w:rsidTr="00E1195D">
        <w:trPr>
          <w:trHeight w:val="135"/>
        </w:trPr>
        <w:tc>
          <w:tcPr>
            <w:tcW w:w="2263" w:type="dxa"/>
            <w:shd w:val="clear" w:color="000000" w:fill="FFFFFF"/>
            <w:tcMar>
              <w:left w:w="28" w:type="dxa"/>
              <w:right w:w="28" w:type="dxa"/>
            </w:tcMar>
            <w:vAlign w:val="center"/>
            <w:hideMark/>
          </w:tcPr>
          <w:p w:rsidR="00E1195D" w:rsidRPr="00F573A7" w:rsidRDefault="00E1195D" w:rsidP="00E1195D">
            <w:pPr>
              <w:keepNext/>
              <w:jc w:val="left"/>
              <w:rPr>
                <w:rFonts w:ascii="Arial Narrow" w:hAnsi="Arial Narrow" w:cs="Calibri"/>
                <w:b/>
                <w:color w:val="000000"/>
                <w:sz w:val="20"/>
                <w:szCs w:val="20"/>
              </w:rPr>
            </w:pPr>
            <w:r w:rsidRPr="00F573A7">
              <w:rPr>
                <w:rFonts w:ascii="Arial Narrow" w:hAnsi="Arial Narrow"/>
                <w:b/>
                <w:iCs/>
                <w:sz w:val="20"/>
                <w:szCs w:val="20"/>
              </w:rPr>
              <w:t>Net cost to PBS/RPBS</w:t>
            </w:r>
          </w:p>
        </w:tc>
        <w:tc>
          <w:tcPr>
            <w:tcW w:w="1134" w:type="dxa"/>
            <w:shd w:val="clear" w:color="000000" w:fill="FFFFFF"/>
            <w:noWrap/>
            <w:tcMar>
              <w:left w:w="28" w:type="dxa"/>
              <w:right w:w="28" w:type="dxa"/>
            </w:tcMar>
            <w:vAlign w:val="center"/>
            <w:hideMark/>
          </w:tcPr>
          <w:p w:rsidR="00E1195D" w:rsidRPr="00F573A7" w:rsidRDefault="00E1195D" w:rsidP="003D070A">
            <w:pPr>
              <w:keepNext/>
              <w:jc w:val="right"/>
              <w:rPr>
                <w:rFonts w:ascii="Arial Narrow" w:hAnsi="Arial Narrow" w:cs="Calibri"/>
                <w:b/>
                <w:sz w:val="20"/>
                <w:szCs w:val="20"/>
              </w:rPr>
            </w:pPr>
            <w:r w:rsidRPr="00F573A7">
              <w:rPr>
                <w:rFonts w:ascii="Arial Narrow" w:hAnsi="Arial Narrow" w:cs="Calibri"/>
                <w:sz w:val="20"/>
                <w:szCs w:val="20"/>
              </w:rPr>
              <w:t>$</w:t>
            </w:r>
            <w:r w:rsidR="004B7986">
              <w:rPr>
                <w:rFonts w:ascii="Arial Narrow" w:hAnsi="Arial Narrow" w:cs="Calibri"/>
                <w:noProof/>
                <w:color w:val="000000"/>
                <w:sz w:val="20"/>
                <w:szCs w:val="20"/>
                <w:highlight w:val="black"/>
              </w:rPr>
              <w:t>'''''''''''''''''''''''''</w:t>
            </w:r>
            <w:r w:rsidR="00B5396C">
              <w:rPr>
                <w:rFonts w:ascii="Arial Narrow" w:hAnsi="Arial Narrow" w:cs="Calibri"/>
                <w:sz w:val="20"/>
                <w:szCs w:val="20"/>
                <w:vertAlign w:val="superscript"/>
              </w:rPr>
              <w:t>8</w:t>
            </w:r>
          </w:p>
        </w:tc>
        <w:tc>
          <w:tcPr>
            <w:tcW w:w="1137" w:type="dxa"/>
            <w:shd w:val="clear" w:color="000000" w:fill="FFFFFF"/>
            <w:noWrap/>
            <w:tcMar>
              <w:left w:w="28" w:type="dxa"/>
              <w:right w:w="28" w:type="dxa"/>
            </w:tcMar>
            <w:vAlign w:val="center"/>
            <w:hideMark/>
          </w:tcPr>
          <w:p w:rsidR="00E1195D" w:rsidRPr="00F573A7" w:rsidRDefault="00E1195D" w:rsidP="003D070A">
            <w:pPr>
              <w:keepNext/>
              <w:jc w:val="right"/>
              <w:rPr>
                <w:rFonts w:ascii="Arial Narrow" w:hAnsi="Arial Narrow" w:cs="Calibri"/>
                <w:b/>
                <w:sz w:val="20"/>
                <w:szCs w:val="20"/>
              </w:rPr>
            </w:pPr>
            <w:r w:rsidRPr="00F573A7">
              <w:rPr>
                <w:rFonts w:ascii="Arial Narrow" w:hAnsi="Arial Narrow" w:cs="Calibri"/>
                <w:sz w:val="20"/>
                <w:szCs w:val="20"/>
              </w:rPr>
              <w:t>$</w:t>
            </w:r>
            <w:r w:rsidR="004B7986">
              <w:rPr>
                <w:rFonts w:ascii="Arial Narrow" w:hAnsi="Arial Narrow" w:cs="Calibri"/>
                <w:noProof/>
                <w:color w:val="000000"/>
                <w:sz w:val="20"/>
                <w:szCs w:val="20"/>
                <w:highlight w:val="black"/>
              </w:rPr>
              <w:t>''''''''''''''''''''''''''</w:t>
            </w:r>
            <w:r w:rsidR="00B5396C">
              <w:rPr>
                <w:rFonts w:ascii="Arial Narrow" w:hAnsi="Arial Narrow" w:cs="Calibri"/>
                <w:sz w:val="20"/>
                <w:szCs w:val="20"/>
                <w:vertAlign w:val="superscript"/>
              </w:rPr>
              <w:t>8</w:t>
            </w:r>
          </w:p>
        </w:tc>
        <w:tc>
          <w:tcPr>
            <w:tcW w:w="1131" w:type="dxa"/>
            <w:shd w:val="clear" w:color="000000" w:fill="FFFFFF"/>
            <w:noWrap/>
            <w:tcMar>
              <w:left w:w="28" w:type="dxa"/>
              <w:right w:w="28" w:type="dxa"/>
            </w:tcMar>
            <w:vAlign w:val="center"/>
            <w:hideMark/>
          </w:tcPr>
          <w:p w:rsidR="00E1195D" w:rsidRPr="00F573A7" w:rsidRDefault="00E1195D" w:rsidP="003D070A">
            <w:pPr>
              <w:keepNext/>
              <w:jc w:val="right"/>
              <w:rPr>
                <w:rFonts w:ascii="Arial Narrow" w:hAnsi="Arial Narrow" w:cs="Calibri"/>
                <w:b/>
                <w:sz w:val="20"/>
                <w:szCs w:val="20"/>
              </w:rPr>
            </w:pPr>
            <w:r w:rsidRPr="00F573A7">
              <w:rPr>
                <w:rFonts w:ascii="Arial Narrow" w:hAnsi="Arial Narrow" w:cs="Calibri"/>
                <w:sz w:val="20"/>
                <w:szCs w:val="20"/>
              </w:rPr>
              <w:t>$</w:t>
            </w:r>
            <w:r w:rsidR="004B7986">
              <w:rPr>
                <w:rFonts w:ascii="Arial Narrow" w:hAnsi="Arial Narrow" w:cs="Calibri"/>
                <w:noProof/>
                <w:color w:val="000000"/>
                <w:sz w:val="20"/>
                <w:szCs w:val="20"/>
                <w:highlight w:val="black"/>
              </w:rPr>
              <w:t>'''''''''''''''''''''''''''''</w:t>
            </w:r>
            <w:r w:rsidR="00B5396C">
              <w:rPr>
                <w:rFonts w:ascii="Arial Narrow" w:hAnsi="Arial Narrow" w:cs="Calibri"/>
                <w:sz w:val="20"/>
                <w:szCs w:val="20"/>
                <w:vertAlign w:val="superscript"/>
              </w:rPr>
              <w:t>8</w:t>
            </w:r>
          </w:p>
        </w:tc>
        <w:tc>
          <w:tcPr>
            <w:tcW w:w="1134" w:type="dxa"/>
            <w:shd w:val="clear" w:color="000000" w:fill="FFFFFF"/>
            <w:noWrap/>
            <w:tcMar>
              <w:left w:w="28" w:type="dxa"/>
              <w:right w:w="28" w:type="dxa"/>
            </w:tcMar>
            <w:vAlign w:val="center"/>
            <w:hideMark/>
          </w:tcPr>
          <w:p w:rsidR="00E1195D" w:rsidRPr="00F573A7" w:rsidRDefault="00E1195D" w:rsidP="003D070A">
            <w:pPr>
              <w:keepNext/>
              <w:jc w:val="right"/>
              <w:rPr>
                <w:rFonts w:ascii="Arial Narrow" w:hAnsi="Arial Narrow" w:cs="Calibri"/>
                <w:b/>
                <w:sz w:val="20"/>
                <w:szCs w:val="20"/>
              </w:rPr>
            </w:pPr>
            <w:r w:rsidRPr="00F573A7">
              <w:rPr>
                <w:rFonts w:ascii="Arial Narrow" w:hAnsi="Arial Narrow" w:cs="Calibri"/>
                <w:sz w:val="20"/>
                <w:szCs w:val="20"/>
              </w:rPr>
              <w:t>$</w:t>
            </w:r>
            <w:r w:rsidR="004B7986">
              <w:rPr>
                <w:rFonts w:ascii="Arial Narrow" w:hAnsi="Arial Narrow" w:cs="Calibri"/>
                <w:noProof/>
                <w:color w:val="000000"/>
                <w:sz w:val="20"/>
                <w:szCs w:val="20"/>
                <w:highlight w:val="black"/>
              </w:rPr>
              <w:t>'''''''''''''''''''''''''</w:t>
            </w:r>
            <w:r w:rsidR="00B5396C">
              <w:rPr>
                <w:rFonts w:ascii="Arial Narrow" w:hAnsi="Arial Narrow" w:cs="Calibri"/>
                <w:sz w:val="20"/>
                <w:szCs w:val="20"/>
                <w:vertAlign w:val="superscript"/>
              </w:rPr>
              <w:t>8</w:t>
            </w:r>
          </w:p>
        </w:tc>
        <w:tc>
          <w:tcPr>
            <w:tcW w:w="1134" w:type="dxa"/>
            <w:shd w:val="clear" w:color="000000" w:fill="FFFFFF"/>
            <w:noWrap/>
            <w:tcMar>
              <w:left w:w="28" w:type="dxa"/>
              <w:right w:w="28" w:type="dxa"/>
            </w:tcMar>
            <w:vAlign w:val="center"/>
            <w:hideMark/>
          </w:tcPr>
          <w:p w:rsidR="00E1195D" w:rsidRPr="00F573A7" w:rsidRDefault="00E1195D" w:rsidP="003D070A">
            <w:pPr>
              <w:keepNext/>
              <w:jc w:val="right"/>
              <w:rPr>
                <w:rFonts w:ascii="Arial Narrow" w:hAnsi="Arial Narrow" w:cs="Calibri"/>
                <w:b/>
                <w:sz w:val="20"/>
                <w:szCs w:val="20"/>
              </w:rPr>
            </w:pPr>
            <w:r w:rsidRPr="00F573A7">
              <w:rPr>
                <w:rFonts w:ascii="Arial Narrow" w:hAnsi="Arial Narrow" w:cs="Calibri"/>
                <w:sz w:val="20"/>
                <w:szCs w:val="20"/>
              </w:rPr>
              <w:t>$</w:t>
            </w:r>
            <w:r w:rsidR="004B7986">
              <w:rPr>
                <w:rFonts w:ascii="Arial Narrow" w:hAnsi="Arial Narrow" w:cs="Calibri"/>
                <w:noProof/>
                <w:color w:val="000000"/>
                <w:sz w:val="20"/>
                <w:szCs w:val="20"/>
                <w:highlight w:val="black"/>
              </w:rPr>
              <w:t>''''''''''''''''''''''''''''</w:t>
            </w:r>
            <w:r w:rsidR="00B5396C">
              <w:rPr>
                <w:rFonts w:ascii="Arial Narrow" w:hAnsi="Arial Narrow" w:cs="Calibri"/>
                <w:sz w:val="20"/>
                <w:szCs w:val="20"/>
                <w:vertAlign w:val="superscript"/>
              </w:rPr>
              <w:t>8</w:t>
            </w:r>
          </w:p>
        </w:tc>
        <w:tc>
          <w:tcPr>
            <w:tcW w:w="1134" w:type="dxa"/>
            <w:shd w:val="clear" w:color="000000" w:fill="FFFFFF"/>
            <w:noWrap/>
            <w:tcMar>
              <w:left w:w="28" w:type="dxa"/>
              <w:right w:w="28" w:type="dxa"/>
            </w:tcMar>
            <w:vAlign w:val="center"/>
            <w:hideMark/>
          </w:tcPr>
          <w:p w:rsidR="00E1195D" w:rsidRPr="00F573A7" w:rsidRDefault="00E1195D" w:rsidP="003D070A">
            <w:pPr>
              <w:keepNext/>
              <w:jc w:val="right"/>
              <w:rPr>
                <w:rFonts w:ascii="Arial Narrow" w:hAnsi="Arial Narrow" w:cs="Calibri"/>
                <w:b/>
                <w:sz w:val="20"/>
                <w:szCs w:val="20"/>
              </w:rPr>
            </w:pPr>
            <w:r w:rsidRPr="00F573A7">
              <w:rPr>
                <w:rFonts w:ascii="Arial Narrow" w:hAnsi="Arial Narrow" w:cs="Calibri"/>
                <w:sz w:val="20"/>
                <w:szCs w:val="20"/>
              </w:rPr>
              <w:t>$</w:t>
            </w:r>
            <w:r w:rsidR="004B7986">
              <w:rPr>
                <w:rFonts w:ascii="Arial Narrow" w:hAnsi="Arial Narrow" w:cs="Calibri"/>
                <w:noProof/>
                <w:color w:val="000000"/>
                <w:sz w:val="20"/>
                <w:szCs w:val="20"/>
                <w:highlight w:val="black"/>
              </w:rPr>
              <w:t>'''''''''''''''''''''''''''''</w:t>
            </w:r>
            <w:r w:rsidR="00B5396C">
              <w:rPr>
                <w:rFonts w:ascii="Arial Narrow" w:hAnsi="Arial Narrow" w:cs="Calibri"/>
                <w:sz w:val="20"/>
                <w:szCs w:val="20"/>
                <w:vertAlign w:val="superscript"/>
              </w:rPr>
              <w:t>8</w:t>
            </w:r>
          </w:p>
        </w:tc>
      </w:tr>
      <w:tr w:rsidR="003F4446" w:rsidRPr="00F573A7" w:rsidTr="00BB060F">
        <w:trPr>
          <w:trHeight w:val="135"/>
        </w:trPr>
        <w:tc>
          <w:tcPr>
            <w:tcW w:w="9067" w:type="dxa"/>
            <w:gridSpan w:val="7"/>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rsidR="003F4446" w:rsidRPr="00F573A7" w:rsidRDefault="003F4446" w:rsidP="007021C3">
            <w:pPr>
              <w:keepNext/>
              <w:jc w:val="left"/>
              <w:rPr>
                <w:rFonts w:ascii="Arial Narrow" w:hAnsi="Arial Narrow" w:cs="Calibri"/>
                <w:b/>
                <w:color w:val="000000"/>
                <w:sz w:val="20"/>
                <w:szCs w:val="20"/>
              </w:rPr>
            </w:pPr>
            <w:r w:rsidRPr="00F573A7">
              <w:rPr>
                <w:rFonts w:ascii="Arial Narrow" w:hAnsi="Arial Narrow" w:cs="Calibri"/>
                <w:b/>
                <w:color w:val="000000"/>
                <w:sz w:val="20"/>
                <w:szCs w:val="20"/>
              </w:rPr>
              <w:t>Net cost to the PBS of darolutamide for m0CRPC</w:t>
            </w:r>
            <w:r w:rsidR="007021C3" w:rsidRPr="00F573A7">
              <w:rPr>
                <w:rFonts w:ascii="Arial Narrow" w:hAnsi="Arial Narrow" w:cs="Calibri"/>
                <w:b/>
                <w:color w:val="000000"/>
                <w:sz w:val="20"/>
                <w:szCs w:val="20"/>
                <w:vertAlign w:val="superscript"/>
              </w:rPr>
              <w:t>b</w:t>
            </w:r>
          </w:p>
        </w:tc>
      </w:tr>
      <w:tr w:rsidR="0041679C" w:rsidRPr="00F573A7" w:rsidTr="0041679C">
        <w:trPr>
          <w:trHeight w:val="135"/>
        </w:trPr>
        <w:tc>
          <w:tcPr>
            <w:tcW w:w="2263"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rsidR="0041679C" w:rsidRPr="00F573A7" w:rsidRDefault="0041679C" w:rsidP="00BB060F">
            <w:pPr>
              <w:keepNext/>
              <w:jc w:val="left"/>
              <w:rPr>
                <w:rFonts w:ascii="Arial Narrow" w:hAnsi="Arial Narrow"/>
                <w:iCs/>
                <w:sz w:val="20"/>
                <w:szCs w:val="20"/>
              </w:rPr>
            </w:pPr>
            <w:r w:rsidRPr="00F573A7">
              <w:rPr>
                <w:rFonts w:ascii="Arial Narrow" w:hAnsi="Arial Narrow"/>
                <w:iCs/>
                <w:sz w:val="20"/>
                <w:szCs w:val="20"/>
              </w:rPr>
              <w:t>Total number of CI negative daro patients (i.e. m0CRPC)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rsidR="0041679C" w:rsidRPr="004B7986" w:rsidRDefault="004B7986" w:rsidP="003D070A">
            <w:pPr>
              <w:keepNext/>
              <w:jc w:val="right"/>
              <w:rPr>
                <w:rFonts w:ascii="Arial Narrow" w:hAnsi="Arial Narrow" w:cs="Calibri"/>
                <w:color w:val="000000"/>
                <w:sz w:val="20"/>
                <w:szCs w:val="20"/>
              </w:rPr>
            </w:pPr>
            <w:r>
              <w:rPr>
                <w:rFonts w:ascii="Arial Narrow" w:hAnsi="Arial Narrow" w:cs="Calibri"/>
                <w:noProof/>
                <w:color w:val="000000"/>
                <w:sz w:val="20"/>
                <w:szCs w:val="20"/>
                <w:highlight w:val="black"/>
              </w:rPr>
              <w:t>'''''''''''''</w:t>
            </w:r>
            <w:r w:rsidR="00D10801" w:rsidRPr="00D12472">
              <w:rPr>
                <w:rFonts w:ascii="Arial Narrow" w:hAnsi="Arial Narrow" w:cs="Calibri"/>
                <w:color w:val="000000"/>
                <w:sz w:val="20"/>
                <w:szCs w:val="20"/>
                <w:vertAlign w:val="superscript"/>
              </w:rPr>
              <w:t>1</w:t>
            </w:r>
          </w:p>
        </w:tc>
        <w:tc>
          <w:tcPr>
            <w:tcW w:w="1137"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rsidR="0041679C" w:rsidRPr="004B7986" w:rsidRDefault="004B7986" w:rsidP="003D070A">
            <w:pPr>
              <w:keepNext/>
              <w:jc w:val="right"/>
              <w:rPr>
                <w:rFonts w:ascii="Arial Narrow" w:hAnsi="Arial Narrow" w:cs="Calibri"/>
                <w:color w:val="000000"/>
                <w:sz w:val="20"/>
                <w:szCs w:val="20"/>
              </w:rPr>
            </w:pPr>
            <w:r>
              <w:rPr>
                <w:rFonts w:ascii="Arial Narrow" w:hAnsi="Arial Narrow" w:cs="Calibri"/>
                <w:noProof/>
                <w:color w:val="000000"/>
                <w:sz w:val="20"/>
                <w:szCs w:val="20"/>
                <w:highlight w:val="black"/>
              </w:rPr>
              <w:t>''''''''''''''</w:t>
            </w:r>
            <w:r w:rsidR="00D10801" w:rsidRPr="00D12472">
              <w:rPr>
                <w:rFonts w:ascii="Arial Narrow" w:hAnsi="Arial Narrow" w:cs="Calibri"/>
                <w:color w:val="000000"/>
                <w:sz w:val="20"/>
                <w:szCs w:val="20"/>
                <w:vertAlign w:val="superscript"/>
              </w:rPr>
              <w:t>1</w:t>
            </w:r>
          </w:p>
        </w:tc>
        <w:tc>
          <w:tcPr>
            <w:tcW w:w="1131"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rsidR="0041679C" w:rsidRPr="004B7986" w:rsidRDefault="004B7986" w:rsidP="003D070A">
            <w:pPr>
              <w:keepNext/>
              <w:jc w:val="right"/>
              <w:rPr>
                <w:rFonts w:ascii="Arial Narrow" w:hAnsi="Arial Narrow" w:cs="Calibri"/>
                <w:color w:val="000000"/>
                <w:sz w:val="20"/>
                <w:szCs w:val="20"/>
              </w:rPr>
            </w:pPr>
            <w:r>
              <w:rPr>
                <w:rFonts w:ascii="Arial Narrow" w:hAnsi="Arial Narrow" w:cs="Calibri"/>
                <w:noProof/>
                <w:color w:val="000000"/>
                <w:sz w:val="20"/>
                <w:szCs w:val="20"/>
                <w:highlight w:val="black"/>
              </w:rPr>
              <w:t>'''''''''''''''</w:t>
            </w:r>
            <w:r w:rsidR="00D10801" w:rsidRPr="00D12472">
              <w:rPr>
                <w:rFonts w:ascii="Arial Narrow" w:hAnsi="Arial Narrow" w:cs="Calibri"/>
                <w:color w:val="000000"/>
                <w:sz w:val="20"/>
                <w:szCs w:val="20"/>
                <w:vertAlign w:val="superscript"/>
              </w:rPr>
              <w:t>1</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rsidR="0041679C" w:rsidRPr="004B7986" w:rsidRDefault="004B7986" w:rsidP="003D070A">
            <w:pPr>
              <w:keepNext/>
              <w:jc w:val="right"/>
              <w:rPr>
                <w:rFonts w:ascii="Arial Narrow" w:hAnsi="Arial Narrow" w:cs="Calibri"/>
                <w:color w:val="000000"/>
                <w:sz w:val="20"/>
                <w:szCs w:val="20"/>
              </w:rPr>
            </w:pPr>
            <w:r>
              <w:rPr>
                <w:rFonts w:ascii="Arial Narrow" w:hAnsi="Arial Narrow" w:cs="Calibri"/>
                <w:noProof/>
                <w:color w:val="000000"/>
                <w:sz w:val="20"/>
                <w:szCs w:val="20"/>
                <w:highlight w:val="black"/>
              </w:rPr>
              <w:t>'''''''''''''</w:t>
            </w:r>
            <w:r w:rsidR="00D10801" w:rsidRPr="00D12472">
              <w:rPr>
                <w:rFonts w:ascii="Arial Narrow" w:hAnsi="Arial Narrow" w:cs="Calibri"/>
                <w:color w:val="000000"/>
                <w:sz w:val="20"/>
                <w:szCs w:val="20"/>
                <w:vertAlign w:val="superscript"/>
              </w:rPr>
              <w:t>1</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rsidR="0041679C" w:rsidRPr="004B7986" w:rsidRDefault="004B7986" w:rsidP="003D070A">
            <w:pPr>
              <w:keepNext/>
              <w:jc w:val="right"/>
              <w:rPr>
                <w:rFonts w:ascii="Arial Narrow" w:hAnsi="Arial Narrow" w:cs="Calibri"/>
                <w:color w:val="000000"/>
                <w:sz w:val="20"/>
                <w:szCs w:val="20"/>
              </w:rPr>
            </w:pPr>
            <w:r>
              <w:rPr>
                <w:rFonts w:ascii="Arial Narrow" w:hAnsi="Arial Narrow" w:cs="Calibri"/>
                <w:noProof/>
                <w:color w:val="000000"/>
                <w:sz w:val="20"/>
                <w:szCs w:val="20"/>
                <w:highlight w:val="black"/>
              </w:rPr>
              <w:t>''''''''''''''</w:t>
            </w:r>
            <w:r w:rsidR="00D10801" w:rsidRPr="00D12472">
              <w:rPr>
                <w:rFonts w:ascii="Arial Narrow" w:hAnsi="Arial Narrow" w:cs="Calibri"/>
                <w:color w:val="000000"/>
                <w:sz w:val="20"/>
                <w:szCs w:val="20"/>
                <w:vertAlign w:val="superscript"/>
              </w:rPr>
              <w:t>1</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rsidR="0041679C" w:rsidRPr="004B7986" w:rsidRDefault="004B7986" w:rsidP="003D070A">
            <w:pPr>
              <w:keepNext/>
              <w:jc w:val="right"/>
              <w:rPr>
                <w:rFonts w:ascii="Arial Narrow" w:hAnsi="Arial Narrow" w:cs="Calibri"/>
                <w:color w:val="000000"/>
                <w:sz w:val="20"/>
                <w:szCs w:val="20"/>
              </w:rPr>
            </w:pPr>
            <w:r>
              <w:rPr>
                <w:rFonts w:ascii="Arial Narrow" w:hAnsi="Arial Narrow" w:cs="Calibri"/>
                <w:noProof/>
                <w:color w:val="000000"/>
                <w:sz w:val="20"/>
                <w:szCs w:val="20"/>
                <w:highlight w:val="black"/>
              </w:rPr>
              <w:t>''''''''''''''</w:t>
            </w:r>
            <w:r w:rsidR="00D10801" w:rsidRPr="00D12472">
              <w:rPr>
                <w:rFonts w:ascii="Arial Narrow" w:hAnsi="Arial Narrow" w:cs="Calibri"/>
                <w:color w:val="000000"/>
                <w:sz w:val="20"/>
                <w:szCs w:val="20"/>
                <w:vertAlign w:val="superscript"/>
              </w:rPr>
              <w:t>1</w:t>
            </w:r>
          </w:p>
        </w:tc>
      </w:tr>
      <w:tr w:rsidR="003F4446" w:rsidRPr="00F573A7" w:rsidTr="007021C3">
        <w:trPr>
          <w:trHeight w:val="135"/>
        </w:trPr>
        <w:tc>
          <w:tcPr>
            <w:tcW w:w="2263"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rsidR="003F4446" w:rsidRPr="00F573A7" w:rsidRDefault="003F4446" w:rsidP="003F4446">
            <w:pPr>
              <w:keepNext/>
              <w:jc w:val="left"/>
              <w:rPr>
                <w:rFonts w:ascii="Arial Narrow" w:hAnsi="Arial Narrow"/>
                <w:iCs/>
                <w:sz w:val="20"/>
                <w:szCs w:val="20"/>
              </w:rPr>
            </w:pPr>
            <w:r w:rsidRPr="00F573A7">
              <w:rPr>
                <w:rFonts w:ascii="Arial Narrow" w:hAnsi="Arial Narrow"/>
                <w:iCs/>
                <w:sz w:val="20"/>
                <w:szCs w:val="20"/>
              </w:rPr>
              <w:t xml:space="preserve">Total cost to PBS/RPBS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rsidR="003F4446" w:rsidRPr="00F573A7" w:rsidRDefault="003F4446" w:rsidP="003D070A">
            <w:pPr>
              <w:keepNext/>
              <w:jc w:val="right"/>
              <w:rPr>
                <w:rFonts w:ascii="Arial Narrow" w:hAnsi="Arial Narrow" w:cs="Calibri"/>
                <w:color w:val="000000"/>
                <w:sz w:val="20"/>
                <w:szCs w:val="20"/>
              </w:rPr>
            </w:pPr>
            <w:r w:rsidRPr="00F573A7">
              <w:rPr>
                <w:rFonts w:ascii="Arial Narrow" w:hAnsi="Arial Narrow" w:cs="Calibri"/>
                <w:color w:val="000000"/>
                <w:sz w:val="20"/>
                <w:szCs w:val="20"/>
              </w:rPr>
              <w:t>$</w:t>
            </w:r>
            <w:r w:rsidR="004B7986">
              <w:rPr>
                <w:rFonts w:ascii="Arial Narrow" w:hAnsi="Arial Narrow" w:cs="Calibri"/>
                <w:noProof/>
                <w:color w:val="000000"/>
                <w:sz w:val="20"/>
                <w:szCs w:val="20"/>
                <w:highlight w:val="black"/>
              </w:rPr>
              <w:t>''''''''''''''''''''''''''</w:t>
            </w:r>
            <w:r w:rsidR="00B5396C">
              <w:rPr>
                <w:rFonts w:ascii="Arial Narrow" w:hAnsi="Arial Narrow" w:cs="Calibri"/>
                <w:sz w:val="20"/>
                <w:szCs w:val="20"/>
                <w:vertAlign w:val="superscript"/>
              </w:rPr>
              <w:t>8</w:t>
            </w:r>
          </w:p>
        </w:tc>
        <w:tc>
          <w:tcPr>
            <w:tcW w:w="1137"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rsidR="003F4446" w:rsidRPr="00F573A7" w:rsidRDefault="003F4446" w:rsidP="003D070A">
            <w:pPr>
              <w:keepNext/>
              <w:jc w:val="right"/>
              <w:rPr>
                <w:rFonts w:ascii="Arial Narrow" w:hAnsi="Arial Narrow" w:cs="Calibri"/>
                <w:color w:val="000000"/>
                <w:sz w:val="20"/>
                <w:szCs w:val="20"/>
              </w:rPr>
            </w:pPr>
            <w:r w:rsidRPr="00F573A7">
              <w:rPr>
                <w:rFonts w:ascii="Arial Narrow" w:hAnsi="Arial Narrow" w:cs="Calibri"/>
                <w:color w:val="000000"/>
                <w:sz w:val="20"/>
                <w:szCs w:val="20"/>
              </w:rPr>
              <w:t>$</w:t>
            </w:r>
            <w:r w:rsidR="004B7986">
              <w:rPr>
                <w:rFonts w:ascii="Arial Narrow" w:hAnsi="Arial Narrow" w:cs="Calibri"/>
                <w:noProof/>
                <w:color w:val="000000"/>
                <w:sz w:val="20"/>
                <w:szCs w:val="20"/>
                <w:highlight w:val="black"/>
              </w:rPr>
              <w:t>''''''''''''''''''''''''''''</w:t>
            </w:r>
            <w:r w:rsidR="00B5396C">
              <w:rPr>
                <w:rFonts w:ascii="Arial Narrow" w:hAnsi="Arial Narrow" w:cs="Calibri"/>
                <w:sz w:val="20"/>
                <w:szCs w:val="20"/>
                <w:vertAlign w:val="superscript"/>
              </w:rPr>
              <w:t>2</w:t>
            </w:r>
          </w:p>
        </w:tc>
        <w:tc>
          <w:tcPr>
            <w:tcW w:w="1131"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rsidR="003F4446" w:rsidRPr="00F573A7" w:rsidRDefault="003F4446" w:rsidP="003D070A">
            <w:pPr>
              <w:keepNext/>
              <w:jc w:val="right"/>
              <w:rPr>
                <w:rFonts w:ascii="Arial Narrow" w:hAnsi="Arial Narrow" w:cs="Calibri"/>
                <w:color w:val="000000"/>
                <w:sz w:val="20"/>
                <w:szCs w:val="20"/>
              </w:rPr>
            </w:pPr>
            <w:r w:rsidRPr="00F573A7">
              <w:rPr>
                <w:rFonts w:ascii="Arial Narrow" w:hAnsi="Arial Narrow" w:cs="Calibri"/>
                <w:color w:val="000000"/>
                <w:sz w:val="20"/>
                <w:szCs w:val="20"/>
              </w:rPr>
              <w:t>$</w:t>
            </w:r>
            <w:r w:rsidR="004B7986">
              <w:rPr>
                <w:rFonts w:ascii="Arial Narrow" w:hAnsi="Arial Narrow" w:cs="Calibri"/>
                <w:noProof/>
                <w:color w:val="000000"/>
                <w:sz w:val="20"/>
                <w:szCs w:val="20"/>
                <w:highlight w:val="black"/>
              </w:rPr>
              <w:t>'''''''''''''''''''''''''''</w:t>
            </w:r>
            <w:r w:rsidR="00B5396C">
              <w:rPr>
                <w:rFonts w:ascii="Arial Narrow" w:hAnsi="Arial Narrow" w:cs="Calibri"/>
                <w:sz w:val="20"/>
                <w:szCs w:val="20"/>
                <w:vertAlign w:val="superscript"/>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rsidR="003F4446" w:rsidRPr="00F573A7" w:rsidRDefault="003F4446" w:rsidP="003D070A">
            <w:pPr>
              <w:keepNext/>
              <w:jc w:val="right"/>
              <w:rPr>
                <w:rFonts w:ascii="Arial Narrow" w:hAnsi="Arial Narrow" w:cs="Calibri"/>
                <w:color w:val="000000"/>
                <w:sz w:val="20"/>
                <w:szCs w:val="20"/>
              </w:rPr>
            </w:pPr>
            <w:r w:rsidRPr="00F573A7">
              <w:rPr>
                <w:rFonts w:ascii="Arial Narrow" w:hAnsi="Arial Narrow" w:cs="Calibri"/>
                <w:color w:val="000000"/>
                <w:sz w:val="20"/>
                <w:szCs w:val="20"/>
              </w:rPr>
              <w:t>$</w:t>
            </w:r>
            <w:r w:rsidR="004B7986">
              <w:rPr>
                <w:rFonts w:ascii="Arial Narrow" w:hAnsi="Arial Narrow" w:cs="Calibri"/>
                <w:noProof/>
                <w:color w:val="000000"/>
                <w:sz w:val="20"/>
                <w:szCs w:val="20"/>
                <w:highlight w:val="black"/>
              </w:rPr>
              <w:t>'''''''''''''''''''''''''</w:t>
            </w:r>
            <w:r w:rsidR="00B5396C">
              <w:rPr>
                <w:rFonts w:ascii="Arial Narrow" w:hAnsi="Arial Narrow" w:cs="Calibri"/>
                <w:sz w:val="20"/>
                <w:szCs w:val="20"/>
                <w:vertAlign w:val="superscript"/>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rsidR="003F4446" w:rsidRPr="00F573A7" w:rsidRDefault="003F4446" w:rsidP="003D070A">
            <w:pPr>
              <w:keepNext/>
              <w:jc w:val="right"/>
              <w:rPr>
                <w:rFonts w:ascii="Arial Narrow" w:hAnsi="Arial Narrow" w:cs="Calibri"/>
                <w:color w:val="000000"/>
                <w:sz w:val="20"/>
                <w:szCs w:val="20"/>
              </w:rPr>
            </w:pPr>
            <w:r w:rsidRPr="00F573A7">
              <w:rPr>
                <w:rFonts w:ascii="Arial Narrow" w:hAnsi="Arial Narrow" w:cs="Calibri"/>
                <w:color w:val="000000"/>
                <w:sz w:val="20"/>
                <w:szCs w:val="20"/>
              </w:rPr>
              <w:t>$</w:t>
            </w:r>
            <w:r w:rsidR="004B7986">
              <w:rPr>
                <w:rFonts w:ascii="Arial Narrow" w:hAnsi="Arial Narrow" w:cs="Calibri"/>
                <w:noProof/>
                <w:color w:val="000000"/>
                <w:sz w:val="20"/>
                <w:szCs w:val="20"/>
                <w:highlight w:val="black"/>
              </w:rPr>
              <w:t>'''''''''''''''''''''''''</w:t>
            </w:r>
            <w:r w:rsidR="00B5396C">
              <w:rPr>
                <w:rFonts w:ascii="Arial Narrow" w:hAnsi="Arial Narrow" w:cs="Calibri"/>
                <w:sz w:val="20"/>
                <w:szCs w:val="20"/>
                <w:vertAlign w:val="superscript"/>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rsidR="003F4446" w:rsidRPr="00F573A7" w:rsidRDefault="003F4446" w:rsidP="003D070A">
            <w:pPr>
              <w:keepNext/>
              <w:jc w:val="right"/>
              <w:rPr>
                <w:rFonts w:ascii="Arial Narrow" w:hAnsi="Arial Narrow" w:cs="Calibri"/>
                <w:color w:val="000000"/>
                <w:sz w:val="20"/>
                <w:szCs w:val="20"/>
              </w:rPr>
            </w:pPr>
            <w:r w:rsidRPr="00F573A7">
              <w:rPr>
                <w:rFonts w:ascii="Arial Narrow" w:hAnsi="Arial Narrow" w:cs="Calibri"/>
                <w:color w:val="000000"/>
                <w:sz w:val="20"/>
                <w:szCs w:val="20"/>
              </w:rPr>
              <w:t>$</w:t>
            </w:r>
            <w:r w:rsidR="004B7986">
              <w:rPr>
                <w:rFonts w:ascii="Arial Narrow" w:hAnsi="Arial Narrow" w:cs="Calibri"/>
                <w:noProof/>
                <w:color w:val="000000"/>
                <w:sz w:val="20"/>
                <w:szCs w:val="20"/>
                <w:highlight w:val="black"/>
              </w:rPr>
              <w:t>'''''''''''''''''''''''''''''</w:t>
            </w:r>
            <w:r w:rsidR="00B5396C">
              <w:rPr>
                <w:rFonts w:ascii="Arial Narrow" w:hAnsi="Arial Narrow" w:cs="Calibri"/>
                <w:sz w:val="20"/>
                <w:szCs w:val="20"/>
                <w:vertAlign w:val="superscript"/>
              </w:rPr>
              <w:t>3</w:t>
            </w:r>
          </w:p>
        </w:tc>
      </w:tr>
      <w:tr w:rsidR="003F4446" w:rsidRPr="00F573A7" w:rsidTr="007021C3">
        <w:trPr>
          <w:trHeight w:val="135"/>
        </w:trPr>
        <w:tc>
          <w:tcPr>
            <w:tcW w:w="2263"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rsidR="003F4446" w:rsidRPr="00F573A7" w:rsidRDefault="003F4446" w:rsidP="003F4446">
            <w:pPr>
              <w:keepNext/>
              <w:jc w:val="left"/>
              <w:rPr>
                <w:rFonts w:ascii="Arial Narrow" w:hAnsi="Arial Narrow"/>
                <w:iCs/>
                <w:sz w:val="20"/>
                <w:szCs w:val="20"/>
              </w:rPr>
            </w:pPr>
            <w:r w:rsidRPr="00F573A7">
              <w:rPr>
                <w:rFonts w:ascii="Arial Narrow" w:hAnsi="Arial Narrow"/>
                <w:iCs/>
                <w:sz w:val="20"/>
                <w:szCs w:val="20"/>
              </w:rPr>
              <w:t>Total cost offsets (substituted therapies)</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rsidR="003F4446" w:rsidRPr="00F573A7" w:rsidRDefault="003F4446" w:rsidP="003D070A">
            <w:pPr>
              <w:keepNext/>
              <w:jc w:val="right"/>
              <w:rPr>
                <w:rFonts w:ascii="Arial Narrow" w:hAnsi="Arial Narrow" w:cs="Calibri"/>
                <w:sz w:val="20"/>
                <w:szCs w:val="20"/>
              </w:rPr>
            </w:pPr>
            <w:r w:rsidRPr="00F573A7">
              <w:rPr>
                <w:rFonts w:ascii="Arial Narrow" w:hAnsi="Arial Narrow" w:cs="Calibri"/>
                <w:sz w:val="20"/>
                <w:szCs w:val="20"/>
              </w:rPr>
              <w:t>-$</w:t>
            </w:r>
            <w:r w:rsidR="004B7986">
              <w:rPr>
                <w:rFonts w:ascii="Arial Narrow" w:hAnsi="Arial Narrow" w:cs="Calibri"/>
                <w:noProof/>
                <w:color w:val="000000"/>
                <w:sz w:val="20"/>
                <w:szCs w:val="20"/>
                <w:highlight w:val="black"/>
              </w:rPr>
              <w:t>''''''''''''''''''''''''</w:t>
            </w:r>
            <w:r w:rsidR="00D10801" w:rsidRPr="00D12472">
              <w:rPr>
                <w:rFonts w:ascii="Arial Narrow" w:hAnsi="Arial Narrow" w:cs="Calibri"/>
                <w:sz w:val="20"/>
                <w:szCs w:val="20"/>
                <w:vertAlign w:val="superscript"/>
              </w:rPr>
              <w:t>7</w:t>
            </w:r>
          </w:p>
        </w:tc>
        <w:tc>
          <w:tcPr>
            <w:tcW w:w="1137"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rsidR="003F4446" w:rsidRPr="00F573A7" w:rsidRDefault="003F4446" w:rsidP="003D070A">
            <w:pPr>
              <w:keepNext/>
              <w:jc w:val="right"/>
              <w:rPr>
                <w:rFonts w:ascii="Arial Narrow" w:hAnsi="Arial Narrow" w:cs="Calibri"/>
                <w:sz w:val="20"/>
                <w:szCs w:val="20"/>
              </w:rPr>
            </w:pPr>
            <w:r w:rsidRPr="00F573A7">
              <w:rPr>
                <w:rFonts w:ascii="Arial Narrow" w:hAnsi="Arial Narrow" w:cs="Calibri"/>
                <w:sz w:val="20"/>
                <w:szCs w:val="20"/>
              </w:rPr>
              <w:t>-$</w:t>
            </w:r>
            <w:r w:rsidR="004B7986">
              <w:rPr>
                <w:rFonts w:ascii="Arial Narrow" w:hAnsi="Arial Narrow" w:cs="Calibri"/>
                <w:noProof/>
                <w:color w:val="000000"/>
                <w:sz w:val="20"/>
                <w:szCs w:val="20"/>
                <w:highlight w:val="black"/>
              </w:rPr>
              <w:t>'''''''''''''''''''''''''</w:t>
            </w:r>
            <w:r w:rsidR="00D10801" w:rsidRPr="00D12472">
              <w:rPr>
                <w:rFonts w:ascii="Arial Narrow" w:hAnsi="Arial Narrow" w:cs="Calibri"/>
                <w:sz w:val="20"/>
                <w:szCs w:val="20"/>
                <w:vertAlign w:val="superscript"/>
              </w:rPr>
              <w:t>7</w:t>
            </w:r>
          </w:p>
        </w:tc>
        <w:tc>
          <w:tcPr>
            <w:tcW w:w="1131"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rsidR="003F4446" w:rsidRPr="00F573A7" w:rsidRDefault="003F4446" w:rsidP="003D070A">
            <w:pPr>
              <w:keepNext/>
              <w:jc w:val="right"/>
              <w:rPr>
                <w:rFonts w:ascii="Arial Narrow" w:hAnsi="Arial Narrow" w:cs="Calibri"/>
                <w:sz w:val="20"/>
                <w:szCs w:val="20"/>
              </w:rPr>
            </w:pPr>
            <w:r w:rsidRPr="00F573A7">
              <w:rPr>
                <w:rFonts w:ascii="Arial Narrow" w:hAnsi="Arial Narrow" w:cs="Calibri"/>
                <w:sz w:val="20"/>
                <w:szCs w:val="20"/>
              </w:rPr>
              <w:t>-$</w:t>
            </w:r>
            <w:r w:rsidR="004B7986">
              <w:rPr>
                <w:rFonts w:ascii="Arial Narrow" w:hAnsi="Arial Narrow" w:cs="Calibri"/>
                <w:noProof/>
                <w:color w:val="000000"/>
                <w:sz w:val="20"/>
                <w:szCs w:val="20"/>
                <w:highlight w:val="black"/>
              </w:rPr>
              <w:t>'''''''''''''''''''''''''</w:t>
            </w:r>
            <w:r w:rsidR="00B5396C">
              <w:rPr>
                <w:rFonts w:ascii="Arial Narrow" w:hAnsi="Arial Narrow" w:cs="Calibri"/>
                <w:sz w:val="20"/>
                <w:szCs w:val="20"/>
                <w:vertAlign w:val="superscript"/>
              </w:rPr>
              <w:t>8</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rsidR="003F4446" w:rsidRPr="00F573A7" w:rsidRDefault="003F4446" w:rsidP="003D070A">
            <w:pPr>
              <w:keepNext/>
              <w:jc w:val="right"/>
              <w:rPr>
                <w:rFonts w:ascii="Arial Narrow" w:hAnsi="Arial Narrow" w:cs="Calibri"/>
                <w:sz w:val="20"/>
                <w:szCs w:val="20"/>
              </w:rPr>
            </w:pPr>
            <w:r w:rsidRPr="00F573A7">
              <w:rPr>
                <w:rFonts w:ascii="Arial Narrow" w:hAnsi="Arial Narrow" w:cs="Calibri"/>
                <w:sz w:val="20"/>
                <w:szCs w:val="20"/>
              </w:rPr>
              <w:t>-$</w:t>
            </w:r>
            <w:r w:rsidR="004B7986">
              <w:rPr>
                <w:rFonts w:ascii="Arial Narrow" w:hAnsi="Arial Narrow" w:cs="Calibri"/>
                <w:noProof/>
                <w:color w:val="000000"/>
                <w:sz w:val="20"/>
                <w:szCs w:val="20"/>
                <w:highlight w:val="black"/>
              </w:rPr>
              <w:t>''''''''''''''''''''''''''</w:t>
            </w:r>
            <w:r w:rsidR="00B5396C">
              <w:rPr>
                <w:rFonts w:ascii="Arial Narrow" w:hAnsi="Arial Narrow" w:cs="Calibri"/>
                <w:sz w:val="20"/>
                <w:szCs w:val="20"/>
                <w:vertAlign w:val="superscript"/>
              </w:rPr>
              <w:t>8</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rsidR="003F4446" w:rsidRPr="00F573A7" w:rsidRDefault="003F4446" w:rsidP="003D070A">
            <w:pPr>
              <w:keepNext/>
              <w:jc w:val="right"/>
              <w:rPr>
                <w:rFonts w:ascii="Arial Narrow" w:hAnsi="Arial Narrow" w:cs="Calibri"/>
                <w:sz w:val="20"/>
                <w:szCs w:val="20"/>
              </w:rPr>
            </w:pPr>
            <w:r w:rsidRPr="00F573A7">
              <w:rPr>
                <w:rFonts w:ascii="Arial Narrow" w:hAnsi="Arial Narrow" w:cs="Calibri"/>
                <w:sz w:val="20"/>
                <w:szCs w:val="20"/>
              </w:rPr>
              <w:t>-$</w:t>
            </w:r>
            <w:r w:rsidR="004B7986">
              <w:rPr>
                <w:rFonts w:ascii="Arial Narrow" w:hAnsi="Arial Narrow" w:cs="Calibri"/>
                <w:noProof/>
                <w:color w:val="000000"/>
                <w:sz w:val="20"/>
                <w:szCs w:val="20"/>
                <w:highlight w:val="black"/>
              </w:rPr>
              <w:t>''''''''''''''''''''''''</w:t>
            </w:r>
            <w:r w:rsidR="00B5396C">
              <w:rPr>
                <w:rFonts w:ascii="Arial Narrow" w:hAnsi="Arial Narrow" w:cs="Calibri"/>
                <w:sz w:val="20"/>
                <w:szCs w:val="20"/>
                <w:vertAlign w:val="superscript"/>
              </w:rPr>
              <w:t>8</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rsidR="003F4446" w:rsidRPr="00F573A7" w:rsidRDefault="003F4446" w:rsidP="003D070A">
            <w:pPr>
              <w:keepNext/>
              <w:jc w:val="right"/>
              <w:rPr>
                <w:rFonts w:ascii="Arial Narrow" w:hAnsi="Arial Narrow" w:cs="Calibri"/>
                <w:sz w:val="20"/>
                <w:szCs w:val="20"/>
              </w:rPr>
            </w:pPr>
            <w:r w:rsidRPr="00F573A7">
              <w:rPr>
                <w:rFonts w:ascii="Arial Narrow" w:hAnsi="Arial Narrow" w:cs="Calibri"/>
                <w:sz w:val="20"/>
                <w:szCs w:val="20"/>
              </w:rPr>
              <w:t>-$</w:t>
            </w:r>
            <w:r w:rsidR="00B07D71">
              <w:rPr>
                <w:rFonts w:ascii="Arial Narrow" w:hAnsi="Arial Narrow" w:cs="Calibri"/>
                <w:noProof/>
                <w:color w:val="000000"/>
                <w:sz w:val="20"/>
                <w:szCs w:val="20"/>
                <w:highlight w:val="black"/>
              </w:rPr>
              <w:t>'''''''''''''''''''</w:t>
            </w:r>
            <w:r w:rsidR="004B7986">
              <w:rPr>
                <w:rFonts w:ascii="Arial Narrow" w:hAnsi="Arial Narrow" w:cs="Calibri"/>
                <w:noProof/>
                <w:color w:val="000000"/>
                <w:sz w:val="20"/>
                <w:szCs w:val="20"/>
                <w:highlight w:val="black"/>
              </w:rPr>
              <w:t>'''''''</w:t>
            </w:r>
            <w:r w:rsidR="00B5396C">
              <w:rPr>
                <w:rFonts w:ascii="Arial Narrow" w:hAnsi="Arial Narrow" w:cs="Calibri"/>
                <w:sz w:val="20"/>
                <w:szCs w:val="20"/>
                <w:vertAlign w:val="superscript"/>
              </w:rPr>
              <w:t>8</w:t>
            </w:r>
          </w:p>
        </w:tc>
      </w:tr>
      <w:tr w:rsidR="003F4446" w:rsidRPr="00F573A7" w:rsidTr="007021C3">
        <w:trPr>
          <w:trHeight w:val="135"/>
        </w:trPr>
        <w:tc>
          <w:tcPr>
            <w:tcW w:w="2263"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rsidR="003F4446" w:rsidRPr="00F573A7" w:rsidRDefault="003F4446" w:rsidP="003F4446">
            <w:pPr>
              <w:keepNext/>
              <w:jc w:val="left"/>
              <w:rPr>
                <w:rFonts w:ascii="Arial Narrow" w:hAnsi="Arial Narrow"/>
                <w:iCs/>
                <w:sz w:val="20"/>
                <w:szCs w:val="20"/>
              </w:rPr>
            </w:pPr>
            <w:r w:rsidRPr="00F573A7">
              <w:rPr>
                <w:rFonts w:ascii="Arial Narrow" w:hAnsi="Arial Narrow"/>
                <w:iCs/>
                <w:sz w:val="20"/>
                <w:szCs w:val="20"/>
              </w:rPr>
              <w:t>Total cost-offsets (prevention of downstream therapy)</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rsidR="003F4446" w:rsidRPr="00F573A7" w:rsidRDefault="003F4446" w:rsidP="003D070A">
            <w:pPr>
              <w:keepNext/>
              <w:jc w:val="right"/>
              <w:rPr>
                <w:rFonts w:ascii="Arial Narrow" w:hAnsi="Arial Narrow" w:cs="Calibri"/>
                <w:sz w:val="20"/>
                <w:szCs w:val="20"/>
              </w:rPr>
            </w:pPr>
            <w:r w:rsidRPr="00F573A7">
              <w:rPr>
                <w:rFonts w:ascii="Arial Narrow" w:hAnsi="Arial Narrow" w:cs="Calibri"/>
                <w:sz w:val="20"/>
                <w:szCs w:val="20"/>
              </w:rPr>
              <w:t>-$</w:t>
            </w:r>
            <w:r w:rsidR="004B7986">
              <w:rPr>
                <w:rFonts w:ascii="Arial Narrow" w:hAnsi="Arial Narrow" w:cs="Calibri"/>
                <w:noProof/>
                <w:color w:val="000000"/>
                <w:sz w:val="20"/>
                <w:szCs w:val="20"/>
                <w:highlight w:val="black"/>
              </w:rPr>
              <w:t>'''''''''''''''''''''</w:t>
            </w:r>
            <w:r w:rsidR="00D10801" w:rsidRPr="00D12472">
              <w:rPr>
                <w:rFonts w:ascii="Arial Narrow" w:hAnsi="Arial Narrow" w:cs="Calibri"/>
                <w:sz w:val="20"/>
                <w:szCs w:val="20"/>
                <w:vertAlign w:val="superscript"/>
              </w:rPr>
              <w:t>7</w:t>
            </w:r>
          </w:p>
        </w:tc>
        <w:tc>
          <w:tcPr>
            <w:tcW w:w="1137"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rsidR="003F4446" w:rsidRPr="00F573A7" w:rsidRDefault="003F4446" w:rsidP="003D070A">
            <w:pPr>
              <w:keepNext/>
              <w:jc w:val="right"/>
              <w:rPr>
                <w:rFonts w:ascii="Arial Narrow" w:hAnsi="Arial Narrow" w:cs="Calibri"/>
                <w:sz w:val="20"/>
                <w:szCs w:val="20"/>
              </w:rPr>
            </w:pPr>
            <w:r w:rsidRPr="00F573A7">
              <w:rPr>
                <w:rFonts w:ascii="Arial Narrow" w:hAnsi="Arial Narrow" w:cs="Calibri"/>
                <w:sz w:val="20"/>
                <w:szCs w:val="20"/>
              </w:rPr>
              <w:t>-$</w:t>
            </w:r>
            <w:r w:rsidR="004B7986">
              <w:rPr>
                <w:rFonts w:ascii="Arial Narrow" w:hAnsi="Arial Narrow" w:cs="Calibri"/>
                <w:noProof/>
                <w:color w:val="000000"/>
                <w:sz w:val="20"/>
                <w:szCs w:val="20"/>
                <w:highlight w:val="black"/>
              </w:rPr>
              <w:t>'''''''''''''''''''''''''</w:t>
            </w:r>
            <w:r w:rsidR="00D10801" w:rsidRPr="00D12472">
              <w:rPr>
                <w:rFonts w:ascii="Arial Narrow" w:hAnsi="Arial Narrow" w:cs="Calibri"/>
                <w:sz w:val="20"/>
                <w:szCs w:val="20"/>
                <w:vertAlign w:val="superscript"/>
              </w:rPr>
              <w:t>7</w:t>
            </w:r>
          </w:p>
        </w:tc>
        <w:tc>
          <w:tcPr>
            <w:tcW w:w="1131"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rsidR="003F4446" w:rsidRPr="00F573A7" w:rsidRDefault="003F4446" w:rsidP="003D070A">
            <w:pPr>
              <w:keepNext/>
              <w:jc w:val="right"/>
              <w:rPr>
                <w:rFonts w:ascii="Arial Narrow" w:hAnsi="Arial Narrow" w:cs="Calibri"/>
                <w:sz w:val="20"/>
                <w:szCs w:val="20"/>
              </w:rPr>
            </w:pPr>
            <w:r w:rsidRPr="00F573A7">
              <w:rPr>
                <w:rFonts w:ascii="Arial Narrow" w:hAnsi="Arial Narrow" w:cs="Calibri"/>
                <w:sz w:val="20"/>
                <w:szCs w:val="20"/>
              </w:rPr>
              <w:t>-$</w:t>
            </w:r>
            <w:r w:rsidR="004B7986">
              <w:rPr>
                <w:rFonts w:ascii="Arial Narrow" w:hAnsi="Arial Narrow" w:cs="Calibri"/>
                <w:noProof/>
                <w:color w:val="000000"/>
                <w:sz w:val="20"/>
                <w:szCs w:val="20"/>
                <w:highlight w:val="black"/>
              </w:rPr>
              <w:t>'''''''''''''''''''''''''</w:t>
            </w:r>
            <w:r w:rsidR="00D10801" w:rsidRPr="00D12472">
              <w:rPr>
                <w:rFonts w:ascii="Arial Narrow" w:hAnsi="Arial Narrow" w:cs="Calibri"/>
                <w:sz w:val="20"/>
                <w:szCs w:val="20"/>
                <w:vertAlign w:val="superscript"/>
              </w:rPr>
              <w:t>7</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rsidR="003F4446" w:rsidRPr="00F573A7" w:rsidRDefault="003F4446" w:rsidP="003D070A">
            <w:pPr>
              <w:keepNext/>
              <w:jc w:val="right"/>
              <w:rPr>
                <w:rFonts w:ascii="Arial Narrow" w:hAnsi="Arial Narrow" w:cs="Calibri"/>
                <w:sz w:val="20"/>
                <w:szCs w:val="20"/>
              </w:rPr>
            </w:pPr>
            <w:r w:rsidRPr="00F573A7">
              <w:rPr>
                <w:rFonts w:ascii="Arial Narrow" w:hAnsi="Arial Narrow" w:cs="Calibri"/>
                <w:sz w:val="20"/>
                <w:szCs w:val="20"/>
              </w:rPr>
              <w:t>-$</w:t>
            </w:r>
            <w:r w:rsidR="004B7986">
              <w:rPr>
                <w:rFonts w:ascii="Arial Narrow" w:hAnsi="Arial Narrow" w:cs="Calibri"/>
                <w:noProof/>
                <w:color w:val="000000"/>
                <w:sz w:val="20"/>
                <w:szCs w:val="20"/>
                <w:highlight w:val="black"/>
              </w:rPr>
              <w:t>'''''''''''''''''''''''</w:t>
            </w:r>
            <w:r w:rsidR="00D10801" w:rsidRPr="00D12472">
              <w:rPr>
                <w:rFonts w:ascii="Arial Narrow" w:hAnsi="Arial Narrow" w:cs="Calibri"/>
                <w:sz w:val="20"/>
                <w:szCs w:val="20"/>
                <w:vertAlign w:val="superscript"/>
              </w:rPr>
              <w:t>7</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rsidR="003F4446" w:rsidRPr="00F573A7" w:rsidRDefault="003F4446" w:rsidP="003D070A">
            <w:pPr>
              <w:keepNext/>
              <w:jc w:val="right"/>
              <w:rPr>
                <w:rFonts w:ascii="Arial Narrow" w:hAnsi="Arial Narrow" w:cs="Calibri"/>
                <w:sz w:val="20"/>
                <w:szCs w:val="20"/>
              </w:rPr>
            </w:pPr>
            <w:r w:rsidRPr="00F573A7">
              <w:rPr>
                <w:rFonts w:ascii="Arial Narrow" w:hAnsi="Arial Narrow" w:cs="Calibri"/>
                <w:sz w:val="20"/>
                <w:szCs w:val="20"/>
              </w:rPr>
              <w:t>-$</w:t>
            </w:r>
            <w:r w:rsidR="004B7986">
              <w:rPr>
                <w:rFonts w:ascii="Arial Narrow" w:hAnsi="Arial Narrow" w:cs="Calibri"/>
                <w:noProof/>
                <w:color w:val="000000"/>
                <w:sz w:val="20"/>
                <w:szCs w:val="20"/>
                <w:highlight w:val="black"/>
              </w:rPr>
              <w:t>'''''''''''''''''''''</w:t>
            </w:r>
            <w:r w:rsidR="00D10801" w:rsidRPr="00D12472">
              <w:rPr>
                <w:rFonts w:ascii="Arial Narrow" w:hAnsi="Arial Narrow" w:cs="Calibri"/>
                <w:sz w:val="20"/>
                <w:szCs w:val="20"/>
                <w:vertAlign w:val="superscript"/>
              </w:rPr>
              <w:t>7</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rsidR="003F4446" w:rsidRPr="00F573A7" w:rsidRDefault="003F4446" w:rsidP="003D070A">
            <w:pPr>
              <w:keepNext/>
              <w:jc w:val="right"/>
              <w:rPr>
                <w:rFonts w:ascii="Arial Narrow" w:hAnsi="Arial Narrow" w:cs="Calibri"/>
                <w:sz w:val="20"/>
                <w:szCs w:val="20"/>
              </w:rPr>
            </w:pPr>
            <w:r w:rsidRPr="00F573A7">
              <w:rPr>
                <w:rFonts w:ascii="Arial Narrow" w:hAnsi="Arial Narrow" w:cs="Calibri"/>
                <w:sz w:val="20"/>
                <w:szCs w:val="20"/>
              </w:rPr>
              <w:t>-$</w:t>
            </w:r>
            <w:r w:rsidR="004B7986">
              <w:rPr>
                <w:rFonts w:ascii="Arial Narrow" w:hAnsi="Arial Narrow" w:cs="Calibri"/>
                <w:noProof/>
                <w:color w:val="000000"/>
                <w:sz w:val="20"/>
                <w:szCs w:val="20"/>
                <w:highlight w:val="black"/>
              </w:rPr>
              <w:t>''''''''''''''''''''''</w:t>
            </w:r>
            <w:r w:rsidR="00D10801" w:rsidRPr="00D12472">
              <w:rPr>
                <w:rFonts w:ascii="Arial Narrow" w:hAnsi="Arial Narrow" w:cs="Calibri"/>
                <w:sz w:val="20"/>
                <w:szCs w:val="20"/>
                <w:vertAlign w:val="superscript"/>
              </w:rPr>
              <w:t>7</w:t>
            </w:r>
          </w:p>
        </w:tc>
      </w:tr>
      <w:tr w:rsidR="003F4446" w:rsidRPr="00F573A7" w:rsidTr="007021C3">
        <w:trPr>
          <w:trHeight w:val="135"/>
        </w:trPr>
        <w:tc>
          <w:tcPr>
            <w:tcW w:w="2263"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rsidR="003F4446" w:rsidRPr="00F573A7" w:rsidRDefault="003F4446" w:rsidP="003F4446">
            <w:pPr>
              <w:keepNext/>
              <w:jc w:val="left"/>
              <w:rPr>
                <w:rFonts w:ascii="Arial Narrow" w:hAnsi="Arial Narrow"/>
                <w:b/>
                <w:iCs/>
                <w:sz w:val="20"/>
                <w:szCs w:val="20"/>
              </w:rPr>
            </w:pPr>
            <w:r w:rsidRPr="00F573A7">
              <w:rPr>
                <w:rFonts w:ascii="Arial Narrow" w:hAnsi="Arial Narrow"/>
                <w:b/>
                <w:iCs/>
                <w:sz w:val="20"/>
                <w:szCs w:val="20"/>
              </w:rPr>
              <w:t>Net cost to PBS/RPBS</w:t>
            </w:r>
            <w:r w:rsidR="007021C3" w:rsidRPr="00F573A7">
              <w:rPr>
                <w:rFonts w:ascii="Arial Narrow" w:hAnsi="Arial Narrow"/>
                <w:b/>
                <w:iCs/>
                <w:sz w:val="20"/>
                <w:szCs w:val="20"/>
              </w:rPr>
              <w:t xml:space="preserve"> of CI negative daro patients (i.e. m0CRPC)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rsidR="003F4446" w:rsidRPr="00F573A7" w:rsidRDefault="003F4446" w:rsidP="003D070A">
            <w:pPr>
              <w:keepNext/>
              <w:jc w:val="right"/>
              <w:rPr>
                <w:rFonts w:ascii="Arial Narrow" w:hAnsi="Arial Narrow" w:cs="Calibri"/>
                <w:b/>
                <w:color w:val="000000"/>
                <w:sz w:val="20"/>
                <w:szCs w:val="20"/>
              </w:rPr>
            </w:pPr>
            <w:r w:rsidRPr="00F573A7">
              <w:rPr>
                <w:rFonts w:ascii="Arial Narrow" w:hAnsi="Arial Narrow" w:cs="Calibri"/>
                <w:color w:val="000000"/>
                <w:sz w:val="20"/>
                <w:szCs w:val="20"/>
              </w:rPr>
              <w:t>$</w:t>
            </w:r>
            <w:r w:rsidR="004B7986">
              <w:rPr>
                <w:rFonts w:ascii="Arial Narrow" w:hAnsi="Arial Narrow" w:cs="Calibri"/>
                <w:noProof/>
                <w:color w:val="000000"/>
                <w:sz w:val="20"/>
                <w:szCs w:val="20"/>
                <w:highlight w:val="black"/>
              </w:rPr>
              <w:t>''''''''''''''''''''''''''</w:t>
            </w:r>
            <w:r w:rsidR="00B5396C">
              <w:rPr>
                <w:rFonts w:ascii="Arial Narrow" w:hAnsi="Arial Narrow" w:cs="Calibri"/>
                <w:sz w:val="20"/>
                <w:szCs w:val="20"/>
                <w:vertAlign w:val="superscript"/>
              </w:rPr>
              <w:t>8</w:t>
            </w:r>
          </w:p>
        </w:tc>
        <w:tc>
          <w:tcPr>
            <w:tcW w:w="1137"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rsidR="003F4446" w:rsidRPr="00F573A7" w:rsidRDefault="003F4446" w:rsidP="003D070A">
            <w:pPr>
              <w:keepNext/>
              <w:jc w:val="right"/>
              <w:rPr>
                <w:rFonts w:ascii="Arial Narrow" w:hAnsi="Arial Narrow" w:cs="Calibri"/>
                <w:b/>
                <w:color w:val="000000"/>
                <w:sz w:val="20"/>
                <w:szCs w:val="20"/>
              </w:rPr>
            </w:pPr>
            <w:r w:rsidRPr="00F573A7">
              <w:rPr>
                <w:rFonts w:ascii="Arial Narrow" w:hAnsi="Arial Narrow" w:cs="Calibri"/>
                <w:color w:val="000000"/>
                <w:sz w:val="20"/>
                <w:szCs w:val="20"/>
              </w:rPr>
              <w:t>$</w:t>
            </w:r>
            <w:r w:rsidR="004B7986">
              <w:rPr>
                <w:rFonts w:ascii="Arial Narrow" w:hAnsi="Arial Narrow" w:cs="Calibri"/>
                <w:noProof/>
                <w:color w:val="000000"/>
                <w:sz w:val="20"/>
                <w:szCs w:val="20"/>
                <w:highlight w:val="black"/>
              </w:rPr>
              <w:t>''''''''''''''''''''''''</w:t>
            </w:r>
            <w:r w:rsidR="00B5396C">
              <w:rPr>
                <w:rFonts w:ascii="Arial Narrow" w:hAnsi="Arial Narrow" w:cs="Calibri"/>
                <w:sz w:val="20"/>
                <w:szCs w:val="20"/>
                <w:vertAlign w:val="superscript"/>
              </w:rPr>
              <w:t>8</w:t>
            </w:r>
          </w:p>
        </w:tc>
        <w:tc>
          <w:tcPr>
            <w:tcW w:w="1131"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rsidR="003F4446" w:rsidRPr="00F573A7" w:rsidRDefault="003F4446" w:rsidP="003D070A">
            <w:pPr>
              <w:keepNext/>
              <w:jc w:val="right"/>
              <w:rPr>
                <w:rFonts w:ascii="Arial Narrow" w:hAnsi="Arial Narrow" w:cs="Calibri"/>
                <w:b/>
                <w:color w:val="000000"/>
                <w:sz w:val="20"/>
                <w:szCs w:val="20"/>
              </w:rPr>
            </w:pPr>
            <w:r w:rsidRPr="00F573A7">
              <w:rPr>
                <w:rFonts w:ascii="Arial Narrow" w:hAnsi="Arial Narrow" w:cs="Calibri"/>
                <w:color w:val="000000"/>
                <w:sz w:val="20"/>
                <w:szCs w:val="20"/>
              </w:rPr>
              <w:t>$</w:t>
            </w:r>
            <w:r w:rsidR="004B7986">
              <w:rPr>
                <w:rFonts w:ascii="Arial Narrow" w:hAnsi="Arial Narrow" w:cs="Calibri"/>
                <w:noProof/>
                <w:color w:val="000000"/>
                <w:sz w:val="20"/>
                <w:szCs w:val="20"/>
                <w:highlight w:val="black"/>
              </w:rPr>
              <w:t>''''''''''''''''''''''''''''</w:t>
            </w:r>
            <w:r w:rsidR="00B5396C">
              <w:rPr>
                <w:rFonts w:ascii="Arial Narrow" w:hAnsi="Arial Narrow" w:cs="Calibri"/>
                <w:sz w:val="20"/>
                <w:szCs w:val="20"/>
                <w:vertAlign w:val="superscript"/>
              </w:rPr>
              <w:t>8</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rsidR="003F4446" w:rsidRPr="00F573A7" w:rsidRDefault="003F4446" w:rsidP="003D070A">
            <w:pPr>
              <w:keepNext/>
              <w:jc w:val="right"/>
              <w:rPr>
                <w:rFonts w:ascii="Arial Narrow" w:hAnsi="Arial Narrow" w:cs="Calibri"/>
                <w:b/>
                <w:color w:val="000000"/>
                <w:sz w:val="20"/>
                <w:szCs w:val="20"/>
              </w:rPr>
            </w:pPr>
            <w:r w:rsidRPr="00F573A7">
              <w:rPr>
                <w:rFonts w:ascii="Arial Narrow" w:hAnsi="Arial Narrow" w:cs="Calibri"/>
                <w:color w:val="000000"/>
                <w:sz w:val="20"/>
                <w:szCs w:val="20"/>
              </w:rPr>
              <w:t>$</w:t>
            </w:r>
            <w:r w:rsidR="004B7986">
              <w:rPr>
                <w:rFonts w:ascii="Arial Narrow" w:hAnsi="Arial Narrow" w:cs="Calibri"/>
                <w:noProof/>
                <w:color w:val="000000"/>
                <w:sz w:val="20"/>
                <w:szCs w:val="20"/>
                <w:highlight w:val="black"/>
              </w:rPr>
              <w:t>'''''''''''''''''''''''''''''</w:t>
            </w:r>
            <w:r w:rsidR="00B5396C">
              <w:rPr>
                <w:rFonts w:ascii="Arial Narrow" w:hAnsi="Arial Narrow" w:cs="Calibri"/>
                <w:sz w:val="20"/>
                <w:szCs w:val="20"/>
                <w:vertAlign w:val="superscript"/>
              </w:rPr>
              <w:t>8</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rsidR="003F4446" w:rsidRPr="00F573A7" w:rsidRDefault="003F4446" w:rsidP="003D070A">
            <w:pPr>
              <w:keepNext/>
              <w:jc w:val="right"/>
              <w:rPr>
                <w:rFonts w:ascii="Arial Narrow" w:hAnsi="Arial Narrow" w:cs="Calibri"/>
                <w:b/>
                <w:color w:val="000000"/>
                <w:sz w:val="20"/>
                <w:szCs w:val="20"/>
              </w:rPr>
            </w:pPr>
            <w:r w:rsidRPr="00F573A7">
              <w:rPr>
                <w:rFonts w:ascii="Arial Narrow" w:hAnsi="Arial Narrow" w:cs="Calibri"/>
                <w:color w:val="000000"/>
                <w:sz w:val="20"/>
                <w:szCs w:val="20"/>
              </w:rPr>
              <w:t>$</w:t>
            </w:r>
            <w:r w:rsidR="004B7986">
              <w:rPr>
                <w:rFonts w:ascii="Arial Narrow" w:hAnsi="Arial Narrow" w:cs="Calibri"/>
                <w:noProof/>
                <w:color w:val="000000"/>
                <w:sz w:val="20"/>
                <w:szCs w:val="20"/>
                <w:highlight w:val="black"/>
              </w:rPr>
              <w:t>'''''''''''''''''''''''''''</w:t>
            </w:r>
            <w:r w:rsidR="00B5396C">
              <w:rPr>
                <w:rFonts w:ascii="Arial Narrow" w:hAnsi="Arial Narrow" w:cs="Calibri"/>
                <w:sz w:val="20"/>
                <w:szCs w:val="20"/>
                <w:vertAlign w:val="superscript"/>
              </w:rPr>
              <w:t>8</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rsidR="003F4446" w:rsidRPr="00F573A7" w:rsidRDefault="003F4446" w:rsidP="003D070A">
            <w:pPr>
              <w:keepNext/>
              <w:jc w:val="right"/>
              <w:rPr>
                <w:rFonts w:ascii="Arial Narrow" w:hAnsi="Arial Narrow" w:cs="Calibri"/>
                <w:b/>
                <w:color w:val="000000"/>
                <w:sz w:val="20"/>
                <w:szCs w:val="20"/>
              </w:rPr>
            </w:pPr>
            <w:r w:rsidRPr="00F573A7">
              <w:rPr>
                <w:rFonts w:ascii="Arial Narrow" w:hAnsi="Arial Narrow" w:cs="Calibri"/>
                <w:color w:val="000000"/>
                <w:sz w:val="20"/>
                <w:szCs w:val="20"/>
              </w:rPr>
              <w:t>$</w:t>
            </w:r>
            <w:r w:rsidR="004B7986">
              <w:rPr>
                <w:rFonts w:ascii="Arial Narrow" w:hAnsi="Arial Narrow" w:cs="Calibri"/>
                <w:noProof/>
                <w:color w:val="000000"/>
                <w:sz w:val="20"/>
                <w:szCs w:val="20"/>
                <w:highlight w:val="black"/>
              </w:rPr>
              <w:t>'''''''''''''''''''''''''''</w:t>
            </w:r>
            <w:r w:rsidR="00B5396C">
              <w:rPr>
                <w:rFonts w:ascii="Arial Narrow" w:hAnsi="Arial Narrow" w:cs="Calibri"/>
                <w:sz w:val="20"/>
                <w:szCs w:val="20"/>
                <w:vertAlign w:val="superscript"/>
              </w:rPr>
              <w:t>8</w:t>
            </w:r>
          </w:p>
        </w:tc>
      </w:tr>
    </w:tbl>
    <w:p w:rsidR="007021C3" w:rsidRDefault="005B3ACB" w:rsidP="005B3ACB">
      <w:pPr>
        <w:jc w:val="left"/>
        <w:rPr>
          <w:rFonts w:ascii="Arial Narrow" w:eastAsia="Calibri" w:hAnsi="Arial Narrow"/>
          <w:sz w:val="18"/>
          <w:szCs w:val="18"/>
        </w:rPr>
      </w:pPr>
      <w:r w:rsidRPr="00F573A7">
        <w:rPr>
          <w:rFonts w:ascii="Arial Narrow" w:eastAsia="Calibri" w:hAnsi="Arial Narrow"/>
          <w:sz w:val="18"/>
          <w:szCs w:val="18"/>
        </w:rPr>
        <w:t>Source: Table 8, p11 of the early re-entry submission</w:t>
      </w:r>
      <w:r w:rsidRPr="00F573A7">
        <w:rPr>
          <w:rFonts w:ascii="Arial Narrow" w:eastAsia="Calibri" w:hAnsi="Arial Narrow"/>
          <w:sz w:val="18"/>
          <w:szCs w:val="18"/>
        </w:rPr>
        <w:br/>
      </w:r>
      <w:r w:rsidRPr="00F573A7">
        <w:rPr>
          <w:rFonts w:ascii="Arial Narrow" w:eastAsia="Calibri" w:hAnsi="Arial Narrow"/>
          <w:sz w:val="18"/>
          <w:szCs w:val="18"/>
          <w:vertAlign w:val="superscript"/>
        </w:rPr>
        <w:t>a</w:t>
      </w:r>
      <w:r w:rsidRPr="00F573A7">
        <w:rPr>
          <w:rFonts w:ascii="Arial Narrow" w:eastAsia="Calibri" w:hAnsi="Arial Narrow"/>
          <w:sz w:val="18"/>
          <w:szCs w:val="18"/>
        </w:rPr>
        <w:t xml:space="preserve"> </w:t>
      </w:r>
      <w:r w:rsidR="007021C3" w:rsidRPr="00F573A7">
        <w:rPr>
          <w:rFonts w:ascii="Arial Narrow" w:eastAsia="Calibri" w:hAnsi="Arial Narrow"/>
          <w:sz w:val="18"/>
          <w:szCs w:val="18"/>
        </w:rPr>
        <w:t>The above estimates do not account for fewer prescriptions in grandfather patients</w:t>
      </w:r>
    </w:p>
    <w:p w:rsidR="00D10801" w:rsidRPr="009A6D58" w:rsidRDefault="00D10801" w:rsidP="00D10801">
      <w:pPr>
        <w:rPr>
          <w:rFonts w:ascii="Arial Narrow" w:hAnsi="Arial Narrow" w:cs="Arial"/>
          <w:i/>
          <w:sz w:val="18"/>
          <w:szCs w:val="18"/>
        </w:rPr>
      </w:pPr>
      <w:r w:rsidRPr="009A6D58">
        <w:rPr>
          <w:rFonts w:ascii="Arial Narrow" w:hAnsi="Arial Narrow" w:cs="Arial"/>
          <w:i/>
          <w:sz w:val="18"/>
          <w:szCs w:val="18"/>
        </w:rPr>
        <w:t xml:space="preserve">The redacted values correspond to the following ranges: </w:t>
      </w:r>
    </w:p>
    <w:p w:rsidR="00D10801" w:rsidRPr="009A6D58" w:rsidRDefault="00D10801" w:rsidP="00D10801">
      <w:pPr>
        <w:rPr>
          <w:rFonts w:ascii="Arial Narrow" w:hAnsi="Arial Narrow" w:cs="Arial"/>
          <w:i/>
          <w:sz w:val="18"/>
          <w:szCs w:val="18"/>
        </w:rPr>
      </w:pPr>
      <w:r w:rsidRPr="009A6D58">
        <w:rPr>
          <w:rFonts w:ascii="Arial Narrow" w:hAnsi="Arial Narrow" w:cs="Arial"/>
          <w:i/>
          <w:sz w:val="18"/>
          <w:szCs w:val="18"/>
          <w:vertAlign w:val="superscript"/>
        </w:rPr>
        <w:t>1</w:t>
      </w:r>
      <w:r>
        <w:rPr>
          <w:rFonts w:ascii="Arial Narrow" w:hAnsi="Arial Narrow" w:cs="Arial"/>
          <w:i/>
          <w:sz w:val="18"/>
          <w:szCs w:val="18"/>
        </w:rPr>
        <w:t xml:space="preserve"> </w:t>
      </w:r>
      <w:r w:rsidRPr="00D10801">
        <w:rPr>
          <w:rFonts w:ascii="Arial Narrow" w:hAnsi="Arial Narrow" w:cs="Arial"/>
          <w:i/>
          <w:sz w:val="18"/>
          <w:szCs w:val="18"/>
        </w:rPr>
        <w:t>500 to &lt; 5,000</w:t>
      </w:r>
    </w:p>
    <w:p w:rsidR="00D10801" w:rsidRPr="009A6D58" w:rsidRDefault="00D10801" w:rsidP="00D10801">
      <w:pPr>
        <w:rPr>
          <w:rFonts w:ascii="Arial Narrow" w:hAnsi="Arial Narrow" w:cs="Arial"/>
          <w:i/>
          <w:sz w:val="18"/>
          <w:szCs w:val="18"/>
        </w:rPr>
      </w:pPr>
      <w:r w:rsidRPr="009A6D58">
        <w:rPr>
          <w:rFonts w:ascii="Arial Narrow" w:hAnsi="Arial Narrow" w:cs="Arial"/>
          <w:i/>
          <w:sz w:val="18"/>
          <w:szCs w:val="18"/>
          <w:vertAlign w:val="superscript"/>
        </w:rPr>
        <w:t>2</w:t>
      </w:r>
      <w:r>
        <w:rPr>
          <w:rFonts w:ascii="Arial Narrow" w:hAnsi="Arial Narrow" w:cs="Arial"/>
          <w:i/>
          <w:sz w:val="18"/>
          <w:szCs w:val="18"/>
        </w:rPr>
        <w:t xml:space="preserve"> </w:t>
      </w:r>
      <w:r w:rsidRPr="00D10801">
        <w:rPr>
          <w:rFonts w:ascii="Arial Narrow" w:hAnsi="Arial Narrow" w:cs="Arial"/>
          <w:i/>
          <w:sz w:val="18"/>
          <w:szCs w:val="18"/>
        </w:rPr>
        <w:t>$20 million to &lt; $30 million</w:t>
      </w:r>
    </w:p>
    <w:p w:rsidR="00D10801" w:rsidRDefault="00D10801" w:rsidP="00D10801">
      <w:pPr>
        <w:rPr>
          <w:rFonts w:ascii="Arial Narrow" w:hAnsi="Arial Narrow" w:cs="Arial"/>
          <w:i/>
          <w:sz w:val="18"/>
          <w:szCs w:val="18"/>
        </w:rPr>
      </w:pPr>
      <w:r w:rsidRPr="009A6D58">
        <w:rPr>
          <w:rFonts w:ascii="Arial Narrow" w:hAnsi="Arial Narrow" w:cs="Arial"/>
          <w:i/>
          <w:sz w:val="18"/>
          <w:szCs w:val="18"/>
          <w:vertAlign w:val="superscript"/>
        </w:rPr>
        <w:t>3</w:t>
      </w:r>
      <w:r>
        <w:rPr>
          <w:rFonts w:ascii="Arial Narrow" w:hAnsi="Arial Narrow" w:cs="Arial"/>
          <w:i/>
          <w:sz w:val="18"/>
          <w:szCs w:val="18"/>
        </w:rPr>
        <w:t xml:space="preserve"> </w:t>
      </w:r>
      <w:r w:rsidRPr="00D10801">
        <w:rPr>
          <w:rFonts w:ascii="Arial Narrow" w:hAnsi="Arial Narrow" w:cs="Arial"/>
          <w:i/>
          <w:sz w:val="18"/>
          <w:szCs w:val="18"/>
        </w:rPr>
        <w:t>$30 million to &lt; $40 million</w:t>
      </w:r>
    </w:p>
    <w:p w:rsidR="00D10801" w:rsidRDefault="00D10801" w:rsidP="00D10801">
      <w:pPr>
        <w:rPr>
          <w:rFonts w:ascii="Arial Narrow" w:hAnsi="Arial Narrow" w:cs="Arial"/>
          <w:i/>
          <w:sz w:val="18"/>
          <w:szCs w:val="18"/>
        </w:rPr>
      </w:pPr>
      <w:r>
        <w:rPr>
          <w:rFonts w:ascii="Arial Narrow" w:hAnsi="Arial Narrow" w:cs="Arial"/>
          <w:i/>
          <w:sz w:val="18"/>
          <w:szCs w:val="18"/>
          <w:vertAlign w:val="superscript"/>
        </w:rPr>
        <w:t>4</w:t>
      </w:r>
      <w:r>
        <w:rPr>
          <w:rFonts w:ascii="Arial Narrow" w:hAnsi="Arial Narrow" w:cs="Arial"/>
          <w:i/>
          <w:sz w:val="18"/>
          <w:szCs w:val="18"/>
        </w:rPr>
        <w:t xml:space="preserve"> </w:t>
      </w:r>
      <w:r w:rsidRPr="00D10801">
        <w:rPr>
          <w:rFonts w:ascii="Arial Narrow" w:hAnsi="Arial Narrow" w:cs="Arial"/>
          <w:i/>
          <w:sz w:val="18"/>
          <w:szCs w:val="18"/>
        </w:rPr>
        <w:t>$40 million to &lt; $50 million</w:t>
      </w:r>
    </w:p>
    <w:p w:rsidR="00D10801" w:rsidRDefault="00D10801" w:rsidP="00D10801">
      <w:pPr>
        <w:rPr>
          <w:rFonts w:ascii="Arial Narrow" w:hAnsi="Arial Narrow" w:cs="Arial"/>
          <w:i/>
          <w:sz w:val="18"/>
          <w:szCs w:val="18"/>
        </w:rPr>
      </w:pPr>
      <w:r>
        <w:rPr>
          <w:rFonts w:ascii="Arial Narrow" w:hAnsi="Arial Narrow" w:cs="Arial"/>
          <w:i/>
          <w:sz w:val="18"/>
          <w:szCs w:val="18"/>
          <w:vertAlign w:val="superscript"/>
        </w:rPr>
        <w:t>5</w:t>
      </w:r>
      <w:r>
        <w:rPr>
          <w:rFonts w:ascii="Arial Narrow" w:hAnsi="Arial Narrow" w:cs="Arial"/>
          <w:i/>
          <w:sz w:val="18"/>
          <w:szCs w:val="18"/>
        </w:rPr>
        <w:t xml:space="preserve"> </w:t>
      </w:r>
      <w:r w:rsidRPr="00D10801">
        <w:rPr>
          <w:rFonts w:ascii="Arial Narrow" w:hAnsi="Arial Narrow" w:cs="Arial"/>
          <w:i/>
          <w:sz w:val="18"/>
          <w:szCs w:val="18"/>
        </w:rPr>
        <w:t>$50 million to &lt; $60 million</w:t>
      </w:r>
    </w:p>
    <w:p w:rsidR="00D10801" w:rsidRDefault="00D10801" w:rsidP="000E7FF4">
      <w:pPr>
        <w:rPr>
          <w:rFonts w:ascii="Arial Narrow" w:hAnsi="Arial Narrow" w:cs="Arial"/>
          <w:i/>
          <w:sz w:val="18"/>
          <w:szCs w:val="18"/>
        </w:rPr>
      </w:pPr>
      <w:r>
        <w:rPr>
          <w:rFonts w:ascii="Arial Narrow" w:hAnsi="Arial Narrow" w:cs="Arial"/>
          <w:i/>
          <w:sz w:val="18"/>
          <w:szCs w:val="18"/>
          <w:vertAlign w:val="superscript"/>
        </w:rPr>
        <w:t>6</w:t>
      </w:r>
      <w:r>
        <w:rPr>
          <w:rFonts w:ascii="Arial Narrow" w:hAnsi="Arial Narrow" w:cs="Arial"/>
          <w:i/>
          <w:sz w:val="18"/>
          <w:szCs w:val="18"/>
        </w:rPr>
        <w:t xml:space="preserve"> </w:t>
      </w:r>
      <w:r w:rsidRPr="00D10801">
        <w:rPr>
          <w:rFonts w:ascii="Arial Narrow" w:hAnsi="Arial Narrow" w:cs="Arial"/>
          <w:i/>
          <w:sz w:val="18"/>
          <w:szCs w:val="18"/>
        </w:rPr>
        <w:t>$60 million to &lt; $70 million</w:t>
      </w:r>
    </w:p>
    <w:p w:rsidR="00D10801" w:rsidRPr="000E7FF4" w:rsidRDefault="00D10801" w:rsidP="000E7FF4">
      <w:pPr>
        <w:rPr>
          <w:rFonts w:ascii="Arial Narrow" w:hAnsi="Arial Narrow" w:cs="Arial"/>
          <w:i/>
          <w:sz w:val="18"/>
          <w:szCs w:val="18"/>
        </w:rPr>
      </w:pPr>
      <w:r>
        <w:rPr>
          <w:rFonts w:ascii="Arial Narrow" w:hAnsi="Arial Narrow" w:cs="Arial"/>
          <w:i/>
          <w:sz w:val="18"/>
          <w:szCs w:val="18"/>
          <w:vertAlign w:val="superscript"/>
        </w:rPr>
        <w:t>7</w:t>
      </w:r>
      <w:r>
        <w:rPr>
          <w:rFonts w:ascii="Arial Narrow" w:hAnsi="Arial Narrow" w:cs="Arial"/>
          <w:i/>
          <w:sz w:val="18"/>
          <w:szCs w:val="18"/>
        </w:rPr>
        <w:t xml:space="preserve"> $0 million to &lt; $1</w:t>
      </w:r>
      <w:r w:rsidRPr="00D10801">
        <w:rPr>
          <w:rFonts w:ascii="Arial Narrow" w:hAnsi="Arial Narrow" w:cs="Arial"/>
          <w:i/>
          <w:sz w:val="18"/>
          <w:szCs w:val="18"/>
        </w:rPr>
        <w:t>0 million</w:t>
      </w:r>
    </w:p>
    <w:p w:rsidR="00D10801" w:rsidRPr="00D12472" w:rsidRDefault="00D10801" w:rsidP="00D10801">
      <w:pPr>
        <w:rPr>
          <w:rFonts w:ascii="Arial Narrow" w:hAnsi="Arial Narrow" w:cs="Arial"/>
          <w:i/>
          <w:sz w:val="18"/>
          <w:szCs w:val="18"/>
        </w:rPr>
      </w:pPr>
      <w:r>
        <w:rPr>
          <w:rFonts w:ascii="Arial Narrow" w:hAnsi="Arial Narrow" w:cs="Arial"/>
          <w:i/>
          <w:sz w:val="18"/>
          <w:szCs w:val="18"/>
          <w:vertAlign w:val="superscript"/>
        </w:rPr>
        <w:t>8</w:t>
      </w:r>
      <w:r>
        <w:rPr>
          <w:rFonts w:ascii="Arial Narrow" w:hAnsi="Arial Narrow" w:cs="Arial"/>
          <w:i/>
          <w:sz w:val="18"/>
          <w:szCs w:val="18"/>
        </w:rPr>
        <w:t xml:space="preserve"> $10 million to &lt; $2</w:t>
      </w:r>
      <w:r w:rsidRPr="00D10801">
        <w:rPr>
          <w:rFonts w:ascii="Arial Narrow" w:hAnsi="Arial Narrow" w:cs="Arial"/>
          <w:i/>
          <w:sz w:val="18"/>
          <w:szCs w:val="18"/>
        </w:rPr>
        <w:t>0 million</w:t>
      </w:r>
    </w:p>
    <w:p w:rsidR="005B3ACB" w:rsidRPr="00F573A7" w:rsidRDefault="005B3ACB" w:rsidP="00F2717D"/>
    <w:p w:rsidR="005B3ACB" w:rsidRPr="00F573A7" w:rsidRDefault="007F3DA3" w:rsidP="00F627C7">
      <w:pPr>
        <w:pStyle w:val="3-BodyText"/>
      </w:pPr>
      <w:r w:rsidRPr="00F573A7">
        <w:t xml:space="preserve">Despite treating a larger number of patients due to the proposed restriction change, the combined effect of a reduced price of darolutamide and higher cost offsets due to an overlapping place in therapy with abiraterone and enzalutamide, resulted in a lower net cost to the PBS/RPBS compared to the March 2021 submission (see Table </w:t>
      </w:r>
      <w:r w:rsidR="006D6787" w:rsidRPr="00F573A7">
        <w:t>11</w:t>
      </w:r>
      <w:r w:rsidRPr="00F573A7">
        <w:t>).</w:t>
      </w:r>
    </w:p>
    <w:p w:rsidR="005B3ACB" w:rsidRPr="00F573A7" w:rsidRDefault="007F3DA3" w:rsidP="0006229B">
      <w:pPr>
        <w:pStyle w:val="TableFigureHeading"/>
      </w:pPr>
      <w:bookmarkStart w:id="5" w:name="_Ref70352170"/>
      <w:r w:rsidRPr="00F573A7">
        <w:t>T</w:t>
      </w:r>
      <w:r w:rsidR="005B3ACB" w:rsidRPr="00F573A7">
        <w:t xml:space="preserve">able </w:t>
      </w:r>
      <w:bookmarkEnd w:id="5"/>
      <w:r w:rsidR="006D6787" w:rsidRPr="00F573A7">
        <w:t>11</w:t>
      </w:r>
      <w:r w:rsidR="005B3ACB" w:rsidRPr="00F573A7">
        <w:t>:</w:t>
      </w:r>
      <w:r w:rsidR="0006229B" w:rsidRPr="00F573A7">
        <w:t xml:space="preserve"> </w:t>
      </w:r>
      <w:r w:rsidR="005B3ACB" w:rsidRPr="00F573A7">
        <w:t>Difference in number of patients treated and net financial implications compared to the March 2021 re-submission for Years 1-6 of listing</w:t>
      </w:r>
      <w:r w:rsidR="00E1195D" w:rsidRPr="00F573A7">
        <w:rPr>
          <w:vertAlign w:val="superscript"/>
        </w:rPr>
        <w:t>a</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275"/>
        <w:gridCol w:w="1276"/>
        <w:gridCol w:w="1276"/>
        <w:gridCol w:w="3118"/>
      </w:tblGrid>
      <w:tr w:rsidR="005B3ACB" w:rsidRPr="00F573A7" w:rsidTr="004C5947">
        <w:trPr>
          <w:trHeight w:val="469"/>
        </w:trPr>
        <w:tc>
          <w:tcPr>
            <w:tcW w:w="2122" w:type="dxa"/>
            <w:shd w:val="clear" w:color="auto" w:fill="auto"/>
            <w:tcMar>
              <w:left w:w="28" w:type="dxa"/>
              <w:right w:w="28" w:type="dxa"/>
            </w:tcMar>
            <w:vAlign w:val="center"/>
            <w:hideMark/>
          </w:tcPr>
          <w:p w:rsidR="005B3ACB" w:rsidRPr="00F573A7" w:rsidRDefault="005B3ACB" w:rsidP="0006229B">
            <w:pPr>
              <w:keepNext/>
              <w:jc w:val="left"/>
              <w:rPr>
                <w:rFonts w:ascii="Arial Narrow" w:hAnsi="Arial Narrow" w:cs="Calibri"/>
                <w:b/>
                <w:bCs/>
                <w:color w:val="000000"/>
                <w:sz w:val="20"/>
                <w:szCs w:val="20"/>
              </w:rPr>
            </w:pPr>
            <w:r w:rsidRPr="00F573A7">
              <w:rPr>
                <w:rFonts w:ascii="Arial Narrow" w:hAnsi="Arial Narrow" w:cs="Calibri"/>
                <w:b/>
                <w:bCs/>
                <w:color w:val="000000"/>
                <w:sz w:val="20"/>
                <w:szCs w:val="20"/>
              </w:rPr>
              <w:t>Parameter</w:t>
            </w:r>
          </w:p>
        </w:tc>
        <w:tc>
          <w:tcPr>
            <w:tcW w:w="1275" w:type="dxa"/>
            <w:shd w:val="clear" w:color="auto" w:fill="auto"/>
            <w:noWrap/>
            <w:tcMar>
              <w:left w:w="28" w:type="dxa"/>
              <w:right w:w="28" w:type="dxa"/>
            </w:tcMar>
            <w:vAlign w:val="center"/>
            <w:hideMark/>
          </w:tcPr>
          <w:p w:rsidR="005B3ACB" w:rsidRPr="00F573A7" w:rsidRDefault="005B3ACB" w:rsidP="0006229B">
            <w:pPr>
              <w:keepNext/>
              <w:jc w:val="center"/>
              <w:rPr>
                <w:rFonts w:ascii="Arial Narrow" w:hAnsi="Arial Narrow" w:cs="Calibri"/>
                <w:b/>
                <w:bCs/>
                <w:color w:val="000000"/>
                <w:sz w:val="20"/>
                <w:szCs w:val="20"/>
              </w:rPr>
            </w:pPr>
            <w:r w:rsidRPr="00F573A7">
              <w:rPr>
                <w:rFonts w:ascii="Arial Narrow" w:hAnsi="Arial Narrow" w:cs="Calibri"/>
                <w:b/>
                <w:bCs/>
                <w:color w:val="000000"/>
                <w:sz w:val="20"/>
                <w:szCs w:val="20"/>
              </w:rPr>
              <w:t xml:space="preserve">March 2021 </w:t>
            </w:r>
            <w:r w:rsidR="007F3DA3" w:rsidRPr="00F573A7">
              <w:rPr>
                <w:rFonts w:ascii="Arial Narrow" w:hAnsi="Arial Narrow" w:cs="Calibri"/>
                <w:b/>
                <w:bCs/>
                <w:color w:val="000000"/>
                <w:sz w:val="20"/>
                <w:szCs w:val="20"/>
              </w:rPr>
              <w:br/>
              <w:t>r</w:t>
            </w:r>
            <w:r w:rsidRPr="00F573A7">
              <w:rPr>
                <w:rFonts w:ascii="Arial Narrow" w:hAnsi="Arial Narrow" w:cs="Calibri"/>
                <w:b/>
                <w:bCs/>
                <w:color w:val="000000"/>
                <w:sz w:val="20"/>
                <w:szCs w:val="20"/>
              </w:rPr>
              <w:t>esubmission</w:t>
            </w:r>
          </w:p>
        </w:tc>
        <w:tc>
          <w:tcPr>
            <w:tcW w:w="1276" w:type="dxa"/>
            <w:tcMar>
              <w:left w:w="28" w:type="dxa"/>
              <w:right w:w="28" w:type="dxa"/>
            </w:tcMar>
            <w:vAlign w:val="center"/>
          </w:tcPr>
          <w:p w:rsidR="005B3ACB" w:rsidRPr="00F573A7" w:rsidRDefault="005B3ACB" w:rsidP="0006229B">
            <w:pPr>
              <w:keepNext/>
              <w:jc w:val="center"/>
              <w:rPr>
                <w:rFonts w:ascii="Arial Narrow" w:hAnsi="Arial Narrow" w:cs="Calibri"/>
                <w:b/>
                <w:bCs/>
                <w:color w:val="000000"/>
                <w:sz w:val="20"/>
                <w:szCs w:val="20"/>
              </w:rPr>
            </w:pPr>
            <w:r w:rsidRPr="00F573A7">
              <w:rPr>
                <w:rFonts w:ascii="Arial Narrow" w:hAnsi="Arial Narrow" w:cs="Calibri"/>
                <w:b/>
                <w:bCs/>
                <w:color w:val="000000"/>
                <w:sz w:val="20"/>
                <w:szCs w:val="20"/>
              </w:rPr>
              <w:t>July 2021</w:t>
            </w:r>
          </w:p>
          <w:p w:rsidR="005B3ACB" w:rsidRPr="00F573A7" w:rsidRDefault="005B3ACB" w:rsidP="0006229B">
            <w:pPr>
              <w:keepNext/>
              <w:jc w:val="center"/>
              <w:rPr>
                <w:rFonts w:ascii="Arial Narrow" w:hAnsi="Arial Narrow" w:cs="Calibri"/>
                <w:b/>
                <w:bCs/>
                <w:color w:val="000000"/>
                <w:sz w:val="20"/>
                <w:szCs w:val="20"/>
              </w:rPr>
            </w:pPr>
            <w:r w:rsidRPr="00F573A7">
              <w:rPr>
                <w:rFonts w:ascii="Arial Narrow" w:hAnsi="Arial Narrow" w:cs="Calibri"/>
                <w:b/>
                <w:bCs/>
                <w:color w:val="000000"/>
                <w:sz w:val="20"/>
                <w:szCs w:val="20"/>
              </w:rPr>
              <w:t xml:space="preserve"> </w:t>
            </w:r>
            <w:r w:rsidR="007F3DA3" w:rsidRPr="00F573A7">
              <w:rPr>
                <w:rFonts w:ascii="Arial Narrow" w:hAnsi="Arial Narrow" w:cs="Calibri"/>
                <w:b/>
                <w:bCs/>
                <w:color w:val="000000"/>
                <w:sz w:val="20"/>
                <w:szCs w:val="20"/>
              </w:rPr>
              <w:t>e</w:t>
            </w:r>
            <w:r w:rsidRPr="00F573A7">
              <w:rPr>
                <w:rFonts w:ascii="Arial Narrow" w:hAnsi="Arial Narrow" w:cs="Calibri"/>
                <w:b/>
                <w:bCs/>
                <w:color w:val="000000"/>
                <w:sz w:val="20"/>
                <w:szCs w:val="20"/>
              </w:rPr>
              <w:t xml:space="preserve">arly </w:t>
            </w:r>
            <w:r w:rsidR="007F3DA3" w:rsidRPr="00F573A7">
              <w:rPr>
                <w:rFonts w:ascii="Arial Narrow" w:hAnsi="Arial Narrow" w:cs="Calibri"/>
                <w:b/>
                <w:bCs/>
                <w:color w:val="000000"/>
                <w:sz w:val="20"/>
                <w:szCs w:val="20"/>
              </w:rPr>
              <w:t>r</w:t>
            </w:r>
            <w:r w:rsidRPr="00F573A7">
              <w:rPr>
                <w:rFonts w:ascii="Arial Narrow" w:hAnsi="Arial Narrow" w:cs="Calibri"/>
                <w:b/>
                <w:bCs/>
                <w:color w:val="000000"/>
                <w:sz w:val="20"/>
                <w:szCs w:val="20"/>
              </w:rPr>
              <w:t>e-entry submission</w:t>
            </w:r>
          </w:p>
        </w:tc>
        <w:tc>
          <w:tcPr>
            <w:tcW w:w="1276" w:type="dxa"/>
            <w:shd w:val="clear" w:color="auto" w:fill="auto"/>
            <w:noWrap/>
            <w:tcMar>
              <w:left w:w="28" w:type="dxa"/>
              <w:right w:w="28" w:type="dxa"/>
            </w:tcMar>
            <w:vAlign w:val="center"/>
            <w:hideMark/>
          </w:tcPr>
          <w:p w:rsidR="005B3ACB" w:rsidRPr="00F573A7" w:rsidRDefault="005B3ACB" w:rsidP="0006229B">
            <w:pPr>
              <w:keepNext/>
              <w:jc w:val="center"/>
              <w:rPr>
                <w:rFonts w:ascii="Arial Narrow" w:hAnsi="Arial Narrow" w:cs="Calibri"/>
                <w:b/>
                <w:bCs/>
                <w:color w:val="000000"/>
                <w:sz w:val="20"/>
                <w:szCs w:val="20"/>
              </w:rPr>
            </w:pPr>
            <w:r w:rsidRPr="00F573A7">
              <w:rPr>
                <w:rFonts w:ascii="Arial Narrow" w:hAnsi="Arial Narrow" w:cs="Calibri"/>
                <w:b/>
                <w:bCs/>
                <w:color w:val="000000"/>
                <w:sz w:val="20"/>
                <w:szCs w:val="20"/>
              </w:rPr>
              <w:t xml:space="preserve">Difference </w:t>
            </w:r>
          </w:p>
        </w:tc>
        <w:tc>
          <w:tcPr>
            <w:tcW w:w="3118" w:type="dxa"/>
            <w:shd w:val="clear" w:color="auto" w:fill="auto"/>
            <w:noWrap/>
            <w:tcMar>
              <w:left w:w="28" w:type="dxa"/>
              <w:right w:w="28" w:type="dxa"/>
            </w:tcMar>
            <w:vAlign w:val="center"/>
            <w:hideMark/>
          </w:tcPr>
          <w:p w:rsidR="005B3ACB" w:rsidRPr="00F573A7" w:rsidRDefault="005B3ACB" w:rsidP="0006229B">
            <w:pPr>
              <w:keepNext/>
              <w:jc w:val="center"/>
              <w:rPr>
                <w:rFonts w:ascii="Arial Narrow" w:hAnsi="Arial Narrow" w:cs="Calibri"/>
                <w:b/>
                <w:bCs/>
                <w:color w:val="000000"/>
                <w:sz w:val="20"/>
                <w:szCs w:val="20"/>
              </w:rPr>
            </w:pPr>
            <w:r w:rsidRPr="00F573A7">
              <w:rPr>
                <w:rFonts w:ascii="Arial Narrow" w:hAnsi="Arial Narrow" w:cs="Calibri"/>
                <w:b/>
                <w:bCs/>
                <w:color w:val="000000"/>
                <w:sz w:val="20"/>
                <w:szCs w:val="20"/>
              </w:rPr>
              <w:t>Explanatory Notes</w:t>
            </w:r>
          </w:p>
        </w:tc>
      </w:tr>
      <w:tr w:rsidR="007021C3" w:rsidRPr="00F573A7" w:rsidTr="00E54241">
        <w:trPr>
          <w:trHeight w:val="76"/>
        </w:trPr>
        <w:tc>
          <w:tcPr>
            <w:tcW w:w="9067" w:type="dxa"/>
            <w:gridSpan w:val="5"/>
            <w:shd w:val="clear" w:color="000000" w:fill="FFFFFF"/>
            <w:tcMar>
              <w:left w:w="28" w:type="dxa"/>
              <w:right w:w="28" w:type="dxa"/>
            </w:tcMar>
            <w:vAlign w:val="center"/>
          </w:tcPr>
          <w:p w:rsidR="007021C3" w:rsidRPr="00F573A7" w:rsidRDefault="007021C3" w:rsidP="007021C3">
            <w:pPr>
              <w:keepNext/>
              <w:jc w:val="left"/>
              <w:rPr>
                <w:rFonts w:ascii="Arial Narrow" w:hAnsi="Arial Narrow" w:cs="Calibri"/>
                <w:b/>
                <w:color w:val="000000"/>
                <w:sz w:val="20"/>
                <w:szCs w:val="20"/>
              </w:rPr>
            </w:pPr>
            <w:r w:rsidRPr="00F573A7">
              <w:rPr>
                <w:rFonts w:ascii="Arial Narrow" w:hAnsi="Arial Narrow" w:cs="Calibri"/>
                <w:b/>
                <w:color w:val="000000"/>
                <w:sz w:val="20"/>
                <w:szCs w:val="20"/>
              </w:rPr>
              <w:t>As per the early re-entry submission</w:t>
            </w:r>
          </w:p>
        </w:tc>
      </w:tr>
      <w:tr w:rsidR="005B3ACB" w:rsidRPr="00F573A7" w:rsidTr="004C5947">
        <w:trPr>
          <w:trHeight w:val="347"/>
        </w:trPr>
        <w:tc>
          <w:tcPr>
            <w:tcW w:w="2122" w:type="dxa"/>
            <w:shd w:val="clear" w:color="000000" w:fill="FFFFFF"/>
            <w:tcMar>
              <w:left w:w="28" w:type="dxa"/>
              <w:right w:w="28" w:type="dxa"/>
            </w:tcMar>
            <w:vAlign w:val="center"/>
            <w:hideMark/>
          </w:tcPr>
          <w:p w:rsidR="005B3ACB" w:rsidRPr="00F573A7" w:rsidRDefault="005B3ACB" w:rsidP="0006229B">
            <w:pPr>
              <w:keepNext/>
              <w:jc w:val="left"/>
              <w:rPr>
                <w:rFonts w:ascii="Arial Narrow" w:hAnsi="Arial Narrow" w:cs="Calibri"/>
                <w:b/>
                <w:bCs/>
                <w:color w:val="000000"/>
                <w:sz w:val="20"/>
                <w:szCs w:val="20"/>
              </w:rPr>
            </w:pPr>
            <w:r w:rsidRPr="00F573A7">
              <w:rPr>
                <w:rFonts w:ascii="Arial Narrow" w:hAnsi="Arial Narrow" w:cs="Calibri"/>
                <w:color w:val="000000"/>
                <w:sz w:val="20"/>
                <w:szCs w:val="20"/>
              </w:rPr>
              <w:t xml:space="preserve">Total number of </w:t>
            </w:r>
            <w:r w:rsidR="007F3DA3" w:rsidRPr="00F573A7">
              <w:rPr>
                <w:rFonts w:ascii="Arial Narrow" w:hAnsi="Arial Narrow" w:cs="Calibri"/>
                <w:color w:val="000000"/>
                <w:sz w:val="20"/>
                <w:szCs w:val="20"/>
              </w:rPr>
              <w:t xml:space="preserve">darolutamide </w:t>
            </w:r>
            <w:r w:rsidRPr="00F573A7">
              <w:rPr>
                <w:rFonts w:ascii="Arial Narrow" w:hAnsi="Arial Narrow" w:cs="Calibri"/>
                <w:color w:val="000000"/>
                <w:sz w:val="20"/>
                <w:szCs w:val="20"/>
              </w:rPr>
              <w:t>patients</w:t>
            </w:r>
          </w:p>
        </w:tc>
        <w:tc>
          <w:tcPr>
            <w:tcW w:w="1275" w:type="dxa"/>
            <w:shd w:val="clear" w:color="000000" w:fill="FFFFFF"/>
            <w:noWrap/>
            <w:tcMar>
              <w:left w:w="28" w:type="dxa"/>
              <w:right w:w="28" w:type="dxa"/>
            </w:tcMar>
            <w:vAlign w:val="center"/>
          </w:tcPr>
          <w:p w:rsidR="005B3ACB" w:rsidRPr="004B7986" w:rsidRDefault="004B7986" w:rsidP="003D070A">
            <w:pPr>
              <w:keepNext/>
              <w:jc w:val="right"/>
              <w:rPr>
                <w:rFonts w:ascii="Arial Narrow" w:hAnsi="Arial Narrow" w:cs="Calibri"/>
                <w:color w:val="000000"/>
                <w:sz w:val="20"/>
                <w:szCs w:val="20"/>
                <w:vertAlign w:val="superscript"/>
              </w:rPr>
            </w:pPr>
            <w:r>
              <w:rPr>
                <w:rFonts w:ascii="Arial Narrow" w:hAnsi="Arial Narrow" w:cs="Calibri"/>
                <w:noProof/>
                <w:color w:val="000000"/>
                <w:sz w:val="20"/>
                <w:szCs w:val="20"/>
                <w:highlight w:val="black"/>
              </w:rPr>
              <w:t>''''''''''''''</w:t>
            </w:r>
            <w:r w:rsidR="002677D5" w:rsidRPr="000E7FF4">
              <w:rPr>
                <w:rFonts w:ascii="Arial Narrow" w:hAnsi="Arial Narrow" w:cs="Calibri"/>
                <w:color w:val="000000"/>
                <w:sz w:val="20"/>
                <w:szCs w:val="20"/>
                <w:vertAlign w:val="superscript"/>
              </w:rPr>
              <w:t>1</w:t>
            </w:r>
          </w:p>
        </w:tc>
        <w:tc>
          <w:tcPr>
            <w:tcW w:w="1276" w:type="dxa"/>
            <w:shd w:val="clear" w:color="000000" w:fill="FFFFFF"/>
            <w:tcMar>
              <w:left w:w="28" w:type="dxa"/>
              <w:right w:w="28" w:type="dxa"/>
            </w:tcMar>
            <w:vAlign w:val="center"/>
          </w:tcPr>
          <w:p w:rsidR="005B3ACB" w:rsidRPr="004B7986" w:rsidRDefault="004B7986" w:rsidP="003D070A">
            <w:pPr>
              <w:keepNext/>
              <w:jc w:val="right"/>
              <w:rPr>
                <w:rFonts w:ascii="Arial Narrow" w:hAnsi="Arial Narrow" w:cs="Calibri"/>
                <w:color w:val="000000"/>
                <w:sz w:val="20"/>
                <w:szCs w:val="20"/>
              </w:rPr>
            </w:pPr>
            <w:r>
              <w:rPr>
                <w:rFonts w:ascii="Arial Narrow" w:hAnsi="Arial Narrow" w:cs="Arial"/>
                <w:noProof/>
                <w:color w:val="000000"/>
                <w:sz w:val="20"/>
                <w:szCs w:val="20"/>
                <w:highlight w:val="black"/>
              </w:rPr>
              <w:t>'''''''''''''''</w:t>
            </w:r>
            <w:r w:rsidR="002677D5">
              <w:rPr>
                <w:rFonts w:ascii="Arial Narrow" w:hAnsi="Arial Narrow" w:cs="Calibri"/>
                <w:color w:val="000000"/>
                <w:sz w:val="20"/>
                <w:szCs w:val="20"/>
                <w:vertAlign w:val="superscript"/>
              </w:rPr>
              <w:t>2</w:t>
            </w:r>
          </w:p>
        </w:tc>
        <w:tc>
          <w:tcPr>
            <w:tcW w:w="1276" w:type="dxa"/>
            <w:shd w:val="clear" w:color="000000" w:fill="FFFFFF"/>
            <w:noWrap/>
            <w:tcMar>
              <w:left w:w="28" w:type="dxa"/>
              <w:right w:w="28" w:type="dxa"/>
            </w:tcMar>
            <w:vAlign w:val="center"/>
          </w:tcPr>
          <w:p w:rsidR="005B3ACB" w:rsidRPr="004B7986" w:rsidRDefault="004B7986" w:rsidP="003D070A">
            <w:pPr>
              <w:keepNext/>
              <w:jc w:val="right"/>
              <w:rPr>
                <w:rFonts w:ascii="Arial Narrow" w:hAnsi="Arial Narrow" w:cs="Calibri"/>
                <w:color w:val="000000"/>
                <w:sz w:val="20"/>
                <w:szCs w:val="20"/>
              </w:rPr>
            </w:pPr>
            <w:r>
              <w:rPr>
                <w:rFonts w:ascii="Arial Narrow" w:hAnsi="Arial Narrow" w:cs="Calibri"/>
                <w:noProof/>
                <w:color w:val="000000"/>
                <w:sz w:val="20"/>
                <w:szCs w:val="20"/>
                <w:highlight w:val="black"/>
              </w:rPr>
              <w:t>''''''''''''''</w:t>
            </w:r>
            <w:r w:rsidR="002677D5">
              <w:rPr>
                <w:rFonts w:ascii="Arial Narrow" w:hAnsi="Arial Narrow" w:cs="Calibri"/>
                <w:color w:val="000000"/>
                <w:sz w:val="20"/>
                <w:szCs w:val="20"/>
                <w:vertAlign w:val="superscript"/>
              </w:rPr>
              <w:t>3</w:t>
            </w:r>
          </w:p>
        </w:tc>
        <w:tc>
          <w:tcPr>
            <w:tcW w:w="3118" w:type="dxa"/>
            <w:shd w:val="clear" w:color="000000" w:fill="FFFFFF"/>
            <w:noWrap/>
            <w:tcMar>
              <w:left w:w="28" w:type="dxa"/>
              <w:right w:w="28" w:type="dxa"/>
            </w:tcMar>
            <w:vAlign w:val="center"/>
          </w:tcPr>
          <w:p w:rsidR="005B3ACB" w:rsidRPr="00F573A7" w:rsidRDefault="007F3DA3" w:rsidP="0006229B">
            <w:pPr>
              <w:keepNext/>
              <w:jc w:val="center"/>
              <w:rPr>
                <w:rFonts w:ascii="Arial Narrow" w:hAnsi="Arial Narrow" w:cs="Calibri"/>
                <w:color w:val="000000"/>
                <w:sz w:val="20"/>
                <w:szCs w:val="20"/>
              </w:rPr>
            </w:pPr>
            <w:r w:rsidRPr="00F573A7">
              <w:rPr>
                <w:rFonts w:ascii="Arial Narrow" w:hAnsi="Arial Narrow" w:cs="Calibri"/>
                <w:color w:val="000000"/>
                <w:sz w:val="20"/>
                <w:szCs w:val="20"/>
              </w:rPr>
              <w:t>Increase due to in</w:t>
            </w:r>
            <w:r w:rsidR="005B3ACB" w:rsidRPr="00F573A7">
              <w:rPr>
                <w:rFonts w:ascii="Arial Narrow" w:hAnsi="Arial Narrow" w:cs="Calibri"/>
                <w:color w:val="000000"/>
                <w:sz w:val="20"/>
                <w:szCs w:val="20"/>
              </w:rPr>
              <w:t>clusion of CRPC</w:t>
            </w:r>
            <w:r w:rsidRPr="00F573A7">
              <w:rPr>
                <w:rFonts w:ascii="Arial Narrow" w:hAnsi="Arial Narrow" w:cs="Calibri"/>
                <w:color w:val="000000"/>
                <w:sz w:val="20"/>
                <w:szCs w:val="20"/>
              </w:rPr>
              <w:t>;</w:t>
            </w:r>
            <w:r w:rsidR="005B3ACB" w:rsidRPr="00F573A7">
              <w:rPr>
                <w:rFonts w:ascii="Arial Narrow" w:hAnsi="Arial Narrow" w:cs="Calibri"/>
                <w:color w:val="000000"/>
                <w:sz w:val="20"/>
                <w:szCs w:val="20"/>
              </w:rPr>
              <w:t xml:space="preserve"> CI positive patients under new restriction</w:t>
            </w:r>
          </w:p>
        </w:tc>
      </w:tr>
      <w:tr w:rsidR="005B3ACB" w:rsidRPr="00F573A7" w:rsidTr="004C5947">
        <w:trPr>
          <w:trHeight w:val="187"/>
        </w:trPr>
        <w:tc>
          <w:tcPr>
            <w:tcW w:w="2122" w:type="dxa"/>
            <w:shd w:val="clear" w:color="000000" w:fill="FFFFFF"/>
            <w:tcMar>
              <w:left w:w="28" w:type="dxa"/>
              <w:right w:w="28" w:type="dxa"/>
            </w:tcMar>
            <w:vAlign w:val="center"/>
          </w:tcPr>
          <w:p w:rsidR="005B3ACB" w:rsidRPr="00F573A7" w:rsidRDefault="005B3ACB" w:rsidP="0006229B">
            <w:pPr>
              <w:keepNext/>
              <w:jc w:val="left"/>
              <w:rPr>
                <w:rFonts w:ascii="Arial Narrow" w:hAnsi="Arial Narrow" w:cs="Calibri"/>
                <w:color w:val="000000"/>
                <w:sz w:val="20"/>
                <w:szCs w:val="20"/>
              </w:rPr>
            </w:pPr>
            <w:r w:rsidRPr="00F573A7">
              <w:rPr>
                <w:rFonts w:ascii="Arial Narrow" w:hAnsi="Arial Narrow" w:cs="Calibri"/>
                <w:color w:val="000000"/>
                <w:sz w:val="20"/>
                <w:szCs w:val="20"/>
              </w:rPr>
              <w:t xml:space="preserve">Total cost to PBS/RPBS </w:t>
            </w:r>
          </w:p>
        </w:tc>
        <w:tc>
          <w:tcPr>
            <w:tcW w:w="1275" w:type="dxa"/>
            <w:shd w:val="clear" w:color="000000" w:fill="FFFFFF"/>
            <w:noWrap/>
            <w:tcMar>
              <w:left w:w="28" w:type="dxa"/>
              <w:right w:w="28" w:type="dxa"/>
            </w:tcMar>
            <w:vAlign w:val="center"/>
          </w:tcPr>
          <w:p w:rsidR="005B3ACB" w:rsidRPr="00F573A7" w:rsidRDefault="005B3ACB" w:rsidP="003D070A">
            <w:pPr>
              <w:keepNext/>
              <w:jc w:val="right"/>
              <w:rPr>
                <w:rFonts w:ascii="Arial Narrow" w:hAnsi="Arial Narrow" w:cs="Calibri"/>
                <w:color w:val="000000"/>
                <w:sz w:val="20"/>
                <w:szCs w:val="20"/>
              </w:rPr>
            </w:pPr>
            <w:r w:rsidRPr="00F573A7">
              <w:rPr>
                <w:rFonts w:ascii="Arial Narrow" w:hAnsi="Arial Narrow" w:cs="Calibri"/>
                <w:color w:val="000000"/>
                <w:sz w:val="20"/>
                <w:szCs w:val="20"/>
              </w:rPr>
              <w:t>$</w:t>
            </w:r>
            <w:r w:rsidR="004B7986">
              <w:rPr>
                <w:rFonts w:ascii="Arial Narrow" w:hAnsi="Arial Narrow" w:cs="Calibri"/>
                <w:noProof/>
                <w:color w:val="000000"/>
                <w:sz w:val="20"/>
                <w:szCs w:val="20"/>
                <w:highlight w:val="black"/>
              </w:rPr>
              <w:t>'''''''''''''''''''''''''''''</w:t>
            </w:r>
            <w:r w:rsidR="002677D5">
              <w:rPr>
                <w:rFonts w:ascii="Arial Narrow" w:hAnsi="Arial Narrow" w:cs="Calibri"/>
                <w:color w:val="000000"/>
                <w:sz w:val="20"/>
                <w:szCs w:val="20"/>
                <w:vertAlign w:val="superscript"/>
              </w:rPr>
              <w:t>4</w:t>
            </w:r>
          </w:p>
        </w:tc>
        <w:tc>
          <w:tcPr>
            <w:tcW w:w="1276" w:type="dxa"/>
            <w:shd w:val="clear" w:color="000000" w:fill="FFFFFF"/>
            <w:tcMar>
              <w:left w:w="28" w:type="dxa"/>
              <w:right w:w="28" w:type="dxa"/>
            </w:tcMar>
            <w:vAlign w:val="center"/>
          </w:tcPr>
          <w:p w:rsidR="005B3ACB" w:rsidRPr="00F573A7" w:rsidRDefault="005B3ACB" w:rsidP="003D070A">
            <w:pPr>
              <w:keepNext/>
              <w:jc w:val="right"/>
              <w:rPr>
                <w:rFonts w:ascii="Arial Narrow" w:hAnsi="Arial Narrow" w:cs="Calibri"/>
                <w:color w:val="FF0000"/>
                <w:sz w:val="20"/>
                <w:szCs w:val="20"/>
              </w:rPr>
            </w:pPr>
            <w:r w:rsidRPr="00F573A7">
              <w:rPr>
                <w:rFonts w:ascii="Arial Narrow" w:hAnsi="Arial Narrow" w:cs="Arial"/>
                <w:sz w:val="20"/>
                <w:szCs w:val="20"/>
              </w:rPr>
              <w:t>$</w:t>
            </w:r>
            <w:r w:rsidR="004B7986">
              <w:rPr>
                <w:rFonts w:ascii="Arial Narrow" w:hAnsi="Arial Narrow" w:cs="Arial"/>
                <w:noProof/>
                <w:color w:val="000000"/>
                <w:sz w:val="20"/>
                <w:szCs w:val="20"/>
                <w:highlight w:val="black"/>
              </w:rPr>
              <w:t>''''''''''''''''''''''''''''''''</w:t>
            </w:r>
            <w:r w:rsidR="002677D5">
              <w:rPr>
                <w:rFonts w:ascii="Arial Narrow" w:hAnsi="Arial Narrow" w:cs="Calibri"/>
                <w:color w:val="000000"/>
                <w:sz w:val="20"/>
                <w:szCs w:val="20"/>
                <w:vertAlign w:val="superscript"/>
              </w:rPr>
              <w:t>5</w:t>
            </w:r>
          </w:p>
        </w:tc>
        <w:tc>
          <w:tcPr>
            <w:tcW w:w="1276" w:type="dxa"/>
            <w:shd w:val="clear" w:color="000000" w:fill="FFFFFF"/>
            <w:noWrap/>
            <w:tcMar>
              <w:left w:w="28" w:type="dxa"/>
              <w:right w:w="28" w:type="dxa"/>
            </w:tcMar>
            <w:vAlign w:val="center"/>
          </w:tcPr>
          <w:p w:rsidR="005B3ACB" w:rsidRPr="00F573A7" w:rsidRDefault="007E224D" w:rsidP="003D070A">
            <w:pPr>
              <w:keepNext/>
              <w:jc w:val="right"/>
              <w:rPr>
                <w:rFonts w:ascii="Arial Narrow" w:hAnsi="Arial Narrow" w:cs="Calibri"/>
                <w:sz w:val="20"/>
                <w:szCs w:val="20"/>
              </w:rPr>
            </w:pPr>
            <w:r w:rsidRPr="00F573A7">
              <w:rPr>
                <w:rFonts w:ascii="Arial Narrow" w:hAnsi="Arial Narrow" w:cs="Calibri"/>
                <w:sz w:val="20"/>
                <w:szCs w:val="20"/>
              </w:rPr>
              <w:t>-</w:t>
            </w:r>
            <w:r w:rsidR="005B3ACB" w:rsidRPr="00F573A7">
              <w:rPr>
                <w:rFonts w:ascii="Arial Narrow" w:hAnsi="Arial Narrow" w:cs="Calibri"/>
                <w:sz w:val="20"/>
                <w:szCs w:val="20"/>
              </w:rPr>
              <w:t>$</w:t>
            </w:r>
            <w:r w:rsidR="004B7986">
              <w:rPr>
                <w:rFonts w:ascii="Arial Narrow" w:hAnsi="Arial Narrow" w:cs="Calibri"/>
                <w:noProof/>
                <w:color w:val="000000"/>
                <w:sz w:val="20"/>
                <w:szCs w:val="20"/>
                <w:highlight w:val="black"/>
              </w:rPr>
              <w:t>''''''''''''''''''''''''</w:t>
            </w:r>
            <w:r w:rsidR="002677D5">
              <w:rPr>
                <w:rFonts w:ascii="Arial Narrow" w:hAnsi="Arial Narrow" w:cs="Calibri"/>
                <w:color w:val="000000"/>
                <w:sz w:val="20"/>
                <w:szCs w:val="20"/>
                <w:vertAlign w:val="superscript"/>
              </w:rPr>
              <w:t>6</w:t>
            </w:r>
          </w:p>
        </w:tc>
        <w:tc>
          <w:tcPr>
            <w:tcW w:w="3118" w:type="dxa"/>
            <w:shd w:val="clear" w:color="000000" w:fill="FFFFFF"/>
            <w:noWrap/>
            <w:tcMar>
              <w:left w:w="28" w:type="dxa"/>
              <w:right w:w="28" w:type="dxa"/>
            </w:tcMar>
            <w:vAlign w:val="center"/>
          </w:tcPr>
          <w:p w:rsidR="005B3ACB" w:rsidRPr="00F573A7" w:rsidRDefault="005B3ACB" w:rsidP="0006229B">
            <w:pPr>
              <w:keepNext/>
              <w:jc w:val="center"/>
              <w:rPr>
                <w:rFonts w:ascii="Arial Narrow" w:hAnsi="Arial Narrow" w:cs="Calibri"/>
                <w:color w:val="000000"/>
                <w:sz w:val="20"/>
                <w:szCs w:val="20"/>
              </w:rPr>
            </w:pPr>
            <w:r w:rsidRPr="00F573A7">
              <w:rPr>
                <w:rFonts w:ascii="Arial Narrow" w:hAnsi="Arial Narrow" w:cs="Calibri"/>
                <w:color w:val="000000"/>
                <w:sz w:val="20"/>
                <w:szCs w:val="20"/>
              </w:rPr>
              <w:t>Lower price of darolutamide</w:t>
            </w:r>
          </w:p>
        </w:tc>
      </w:tr>
      <w:tr w:rsidR="005B3ACB" w:rsidRPr="00F573A7" w:rsidTr="004C5947">
        <w:trPr>
          <w:trHeight w:val="92"/>
        </w:trPr>
        <w:tc>
          <w:tcPr>
            <w:tcW w:w="2122" w:type="dxa"/>
            <w:shd w:val="clear" w:color="000000" w:fill="FFFFFF"/>
            <w:tcMar>
              <w:left w:w="28" w:type="dxa"/>
              <w:right w:w="28" w:type="dxa"/>
            </w:tcMar>
            <w:vAlign w:val="center"/>
          </w:tcPr>
          <w:p w:rsidR="005B3ACB" w:rsidRPr="00F573A7" w:rsidRDefault="005B3ACB" w:rsidP="0006229B">
            <w:pPr>
              <w:keepNext/>
              <w:jc w:val="left"/>
              <w:rPr>
                <w:rFonts w:ascii="Arial Narrow" w:hAnsi="Arial Narrow" w:cs="Calibri"/>
                <w:b/>
                <w:bCs/>
                <w:color w:val="000000"/>
                <w:sz w:val="20"/>
                <w:szCs w:val="20"/>
              </w:rPr>
            </w:pPr>
            <w:r w:rsidRPr="00F573A7">
              <w:rPr>
                <w:rFonts w:ascii="Arial Narrow" w:hAnsi="Arial Narrow"/>
                <w:sz w:val="20"/>
                <w:szCs w:val="20"/>
              </w:rPr>
              <w:t>Net cost to PBS/RPBS</w:t>
            </w:r>
            <w:r w:rsidR="00F20198" w:rsidRPr="00F573A7">
              <w:rPr>
                <w:rFonts w:ascii="Arial Narrow" w:hAnsi="Arial Narrow"/>
                <w:sz w:val="20"/>
                <w:szCs w:val="20"/>
                <w:vertAlign w:val="superscript"/>
              </w:rPr>
              <w:t>a</w:t>
            </w:r>
          </w:p>
        </w:tc>
        <w:tc>
          <w:tcPr>
            <w:tcW w:w="1275" w:type="dxa"/>
            <w:shd w:val="clear" w:color="000000" w:fill="FFFFFF"/>
            <w:noWrap/>
            <w:tcMar>
              <w:left w:w="28" w:type="dxa"/>
              <w:right w:w="28" w:type="dxa"/>
            </w:tcMar>
            <w:vAlign w:val="center"/>
          </w:tcPr>
          <w:p w:rsidR="005B3ACB" w:rsidRPr="00F573A7" w:rsidRDefault="005B3ACB" w:rsidP="003D070A">
            <w:pPr>
              <w:keepNext/>
              <w:jc w:val="right"/>
              <w:rPr>
                <w:rFonts w:ascii="Arial Narrow" w:hAnsi="Arial Narrow" w:cs="Calibri"/>
                <w:color w:val="000000"/>
                <w:sz w:val="20"/>
                <w:szCs w:val="20"/>
              </w:rPr>
            </w:pPr>
            <w:r w:rsidRPr="00F573A7">
              <w:rPr>
                <w:rFonts w:ascii="Arial Narrow" w:hAnsi="Arial Narrow" w:cs="Calibri"/>
                <w:color w:val="000000"/>
                <w:sz w:val="20"/>
                <w:szCs w:val="20"/>
              </w:rPr>
              <w:t>$</w:t>
            </w:r>
            <w:r w:rsidR="004B7986">
              <w:rPr>
                <w:rFonts w:ascii="Arial Narrow" w:hAnsi="Arial Narrow" w:cs="Calibri"/>
                <w:noProof/>
                <w:color w:val="000000"/>
                <w:sz w:val="20"/>
                <w:szCs w:val="20"/>
                <w:highlight w:val="black"/>
              </w:rPr>
              <w:t>'''''''''''''''''''''''''''</w:t>
            </w:r>
            <w:r w:rsidR="002677D5">
              <w:rPr>
                <w:rFonts w:ascii="Arial Narrow" w:hAnsi="Arial Narrow" w:cs="Calibri"/>
                <w:color w:val="000000"/>
                <w:sz w:val="20"/>
                <w:szCs w:val="20"/>
                <w:vertAlign w:val="superscript"/>
              </w:rPr>
              <w:t>5</w:t>
            </w:r>
          </w:p>
        </w:tc>
        <w:tc>
          <w:tcPr>
            <w:tcW w:w="1276" w:type="dxa"/>
            <w:shd w:val="clear" w:color="000000" w:fill="FFFFFF"/>
            <w:tcMar>
              <w:left w:w="28" w:type="dxa"/>
              <w:right w:w="28" w:type="dxa"/>
            </w:tcMar>
            <w:vAlign w:val="center"/>
          </w:tcPr>
          <w:p w:rsidR="00747651" w:rsidRPr="00F573A7" w:rsidRDefault="005B3ACB" w:rsidP="003D070A">
            <w:pPr>
              <w:keepNext/>
              <w:jc w:val="right"/>
              <w:rPr>
                <w:rFonts w:ascii="Arial Narrow" w:hAnsi="Arial Narrow" w:cs="Calibri"/>
                <w:color w:val="000000"/>
                <w:sz w:val="20"/>
                <w:szCs w:val="20"/>
              </w:rPr>
            </w:pPr>
            <w:r w:rsidRPr="00F573A7">
              <w:rPr>
                <w:rFonts w:ascii="Arial Narrow" w:hAnsi="Arial Narrow" w:cs="Calibri"/>
                <w:color w:val="000000"/>
                <w:sz w:val="20"/>
                <w:szCs w:val="20"/>
              </w:rPr>
              <w:t>$</w:t>
            </w:r>
            <w:r w:rsidR="004B7986">
              <w:rPr>
                <w:rFonts w:ascii="Arial Narrow" w:hAnsi="Arial Narrow" w:cs="Calibri"/>
                <w:noProof/>
                <w:color w:val="000000"/>
                <w:sz w:val="20"/>
                <w:szCs w:val="20"/>
                <w:highlight w:val="black"/>
              </w:rPr>
              <w:t>'''''''''''''''''''''''''''''</w:t>
            </w:r>
            <w:r w:rsidR="002677D5">
              <w:rPr>
                <w:rFonts w:ascii="Arial Narrow" w:hAnsi="Arial Narrow" w:cs="Calibri"/>
                <w:color w:val="000000"/>
                <w:sz w:val="20"/>
                <w:szCs w:val="20"/>
                <w:vertAlign w:val="superscript"/>
              </w:rPr>
              <w:t>7</w:t>
            </w:r>
          </w:p>
        </w:tc>
        <w:tc>
          <w:tcPr>
            <w:tcW w:w="1276" w:type="dxa"/>
            <w:shd w:val="clear" w:color="000000" w:fill="FFFFFF"/>
            <w:noWrap/>
            <w:tcMar>
              <w:left w:w="28" w:type="dxa"/>
              <w:right w:w="28" w:type="dxa"/>
            </w:tcMar>
            <w:vAlign w:val="center"/>
          </w:tcPr>
          <w:p w:rsidR="005B3ACB" w:rsidRPr="00F573A7" w:rsidRDefault="005B3ACB" w:rsidP="003D070A">
            <w:pPr>
              <w:keepNext/>
              <w:jc w:val="right"/>
              <w:rPr>
                <w:rFonts w:ascii="Arial Narrow" w:hAnsi="Arial Narrow" w:cs="Calibri"/>
                <w:sz w:val="20"/>
                <w:szCs w:val="20"/>
              </w:rPr>
            </w:pPr>
            <w:r w:rsidRPr="00F573A7">
              <w:rPr>
                <w:rFonts w:ascii="Arial Narrow" w:hAnsi="Arial Narrow" w:cs="Calibri"/>
                <w:sz w:val="20"/>
                <w:szCs w:val="20"/>
              </w:rPr>
              <w:t>-$</w:t>
            </w:r>
            <w:r w:rsidR="004B7986">
              <w:rPr>
                <w:rFonts w:ascii="Arial Narrow" w:hAnsi="Arial Narrow" w:cs="Calibri"/>
                <w:noProof/>
                <w:color w:val="000000"/>
                <w:sz w:val="20"/>
                <w:szCs w:val="20"/>
                <w:highlight w:val="black"/>
              </w:rPr>
              <w:t>''''''''''''''''''''''''''''''</w:t>
            </w:r>
            <w:r w:rsidR="002677D5">
              <w:rPr>
                <w:rFonts w:ascii="Arial Narrow" w:hAnsi="Arial Narrow" w:cs="Calibri"/>
                <w:color w:val="000000"/>
                <w:sz w:val="20"/>
                <w:szCs w:val="20"/>
                <w:vertAlign w:val="superscript"/>
              </w:rPr>
              <w:t>8</w:t>
            </w:r>
          </w:p>
        </w:tc>
        <w:tc>
          <w:tcPr>
            <w:tcW w:w="3118" w:type="dxa"/>
            <w:shd w:val="clear" w:color="000000" w:fill="FFFFFF"/>
            <w:noWrap/>
            <w:tcMar>
              <w:left w:w="28" w:type="dxa"/>
              <w:right w:w="28" w:type="dxa"/>
            </w:tcMar>
            <w:vAlign w:val="center"/>
          </w:tcPr>
          <w:p w:rsidR="005B3ACB" w:rsidRPr="00F573A7" w:rsidRDefault="007F3DA3" w:rsidP="0006229B">
            <w:pPr>
              <w:keepNext/>
              <w:jc w:val="center"/>
              <w:rPr>
                <w:rFonts w:ascii="Arial Narrow" w:hAnsi="Arial Narrow" w:cs="Calibri"/>
                <w:b/>
                <w:bCs/>
                <w:color w:val="000000"/>
                <w:sz w:val="20"/>
                <w:szCs w:val="20"/>
              </w:rPr>
            </w:pPr>
            <w:r w:rsidRPr="00F573A7">
              <w:rPr>
                <w:rFonts w:ascii="Arial Narrow" w:hAnsi="Arial Narrow" w:cs="Calibri"/>
                <w:color w:val="000000"/>
                <w:sz w:val="20"/>
                <w:szCs w:val="20"/>
              </w:rPr>
              <w:t>C</w:t>
            </w:r>
            <w:r w:rsidR="005B3ACB" w:rsidRPr="00F573A7">
              <w:rPr>
                <w:rFonts w:ascii="Arial Narrow" w:hAnsi="Arial Narrow" w:cs="Calibri"/>
                <w:color w:val="000000"/>
                <w:sz w:val="20"/>
                <w:szCs w:val="20"/>
              </w:rPr>
              <w:t>ost-offsets in overlapping populations</w:t>
            </w:r>
          </w:p>
        </w:tc>
      </w:tr>
      <w:tr w:rsidR="007021C3" w:rsidRPr="00F573A7" w:rsidTr="00BB060F">
        <w:trPr>
          <w:trHeight w:val="92"/>
        </w:trPr>
        <w:tc>
          <w:tcPr>
            <w:tcW w:w="9067" w:type="dxa"/>
            <w:gridSpan w:val="5"/>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rsidR="007021C3" w:rsidRPr="00F573A7" w:rsidRDefault="007021C3" w:rsidP="007021C3">
            <w:pPr>
              <w:keepNext/>
              <w:jc w:val="left"/>
              <w:rPr>
                <w:rFonts w:ascii="Arial Narrow" w:hAnsi="Arial Narrow" w:cs="Calibri"/>
                <w:b/>
                <w:color w:val="000000"/>
                <w:sz w:val="20"/>
                <w:szCs w:val="20"/>
              </w:rPr>
            </w:pPr>
            <w:r w:rsidRPr="00F573A7">
              <w:rPr>
                <w:rFonts w:ascii="Arial Narrow" w:hAnsi="Arial Narrow" w:cs="Calibri"/>
                <w:b/>
                <w:color w:val="000000"/>
                <w:sz w:val="20"/>
                <w:szCs w:val="20"/>
              </w:rPr>
              <w:t>For CI negative darolutamide patients (i.e. m0CRPC)</w:t>
            </w:r>
          </w:p>
        </w:tc>
      </w:tr>
      <w:tr w:rsidR="007E224D" w:rsidRPr="00F573A7" w:rsidTr="007021C3">
        <w:trPr>
          <w:trHeight w:val="92"/>
        </w:trPr>
        <w:tc>
          <w:tcPr>
            <w:tcW w:w="2122"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rsidR="007E224D" w:rsidRPr="00F573A7" w:rsidRDefault="007E224D" w:rsidP="007E224D">
            <w:pPr>
              <w:keepNext/>
              <w:jc w:val="left"/>
              <w:rPr>
                <w:rFonts w:ascii="Arial Narrow" w:hAnsi="Arial Narrow"/>
                <w:sz w:val="20"/>
                <w:szCs w:val="20"/>
              </w:rPr>
            </w:pPr>
            <w:r w:rsidRPr="00F573A7">
              <w:rPr>
                <w:rFonts w:ascii="Arial Narrow" w:hAnsi="Arial Narrow"/>
                <w:sz w:val="20"/>
                <w:szCs w:val="20"/>
              </w:rPr>
              <w:t>Total number of darolutamide patients</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rsidR="007E224D" w:rsidRPr="004B7986" w:rsidRDefault="004B7986" w:rsidP="003D070A">
            <w:pPr>
              <w:keepNext/>
              <w:jc w:val="right"/>
              <w:rPr>
                <w:rFonts w:ascii="Arial Narrow" w:hAnsi="Arial Narrow" w:cs="Calibri"/>
                <w:color w:val="000000"/>
                <w:sz w:val="20"/>
                <w:szCs w:val="20"/>
              </w:rPr>
            </w:pPr>
            <w:r>
              <w:rPr>
                <w:rFonts w:ascii="Arial Narrow" w:hAnsi="Arial Narrow" w:cs="Calibri"/>
                <w:noProof/>
                <w:color w:val="000000"/>
                <w:sz w:val="20"/>
                <w:szCs w:val="20"/>
                <w:highlight w:val="black"/>
              </w:rPr>
              <w:t>''''''''''''''</w:t>
            </w:r>
            <w:r w:rsidR="002677D5" w:rsidRPr="00D12472">
              <w:rPr>
                <w:rFonts w:ascii="Arial Narrow" w:hAnsi="Arial Narrow" w:cs="Calibri"/>
                <w:color w:val="000000"/>
                <w:sz w:val="20"/>
                <w:szCs w:val="20"/>
                <w:vertAlign w:val="superscript"/>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rsidR="007E224D" w:rsidRPr="004B7986" w:rsidRDefault="004B7986" w:rsidP="003D070A">
            <w:pPr>
              <w:keepNext/>
              <w:jc w:val="right"/>
              <w:rPr>
                <w:rFonts w:ascii="Arial Narrow" w:hAnsi="Arial Narrow" w:cs="Calibri"/>
                <w:color w:val="000000"/>
                <w:sz w:val="20"/>
                <w:szCs w:val="20"/>
              </w:rPr>
            </w:pPr>
            <w:r>
              <w:rPr>
                <w:rFonts w:ascii="Arial Narrow" w:hAnsi="Arial Narrow" w:cs="Calibri"/>
                <w:noProof/>
                <w:color w:val="000000"/>
                <w:sz w:val="20"/>
                <w:szCs w:val="20"/>
                <w:highlight w:val="black"/>
              </w:rPr>
              <w:t>'''''''''''''</w:t>
            </w:r>
            <w:r w:rsidR="002677D5" w:rsidRPr="00D12472">
              <w:rPr>
                <w:rFonts w:ascii="Arial Narrow" w:hAnsi="Arial Narrow" w:cs="Calibri"/>
                <w:color w:val="000000"/>
                <w:sz w:val="20"/>
                <w:szCs w:val="20"/>
                <w:vertAlign w:val="superscript"/>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rsidR="007E224D" w:rsidRPr="00F573A7" w:rsidRDefault="007E224D" w:rsidP="003D070A">
            <w:pPr>
              <w:keepNext/>
              <w:jc w:val="right"/>
              <w:rPr>
                <w:rFonts w:ascii="Arial Narrow" w:hAnsi="Arial Narrow" w:cs="Calibri"/>
                <w:sz w:val="20"/>
                <w:szCs w:val="20"/>
              </w:rPr>
            </w:pPr>
            <w:r w:rsidRPr="00F573A7">
              <w:rPr>
                <w:rFonts w:ascii="Arial Narrow" w:hAnsi="Arial Narrow" w:cs="Calibri"/>
                <w:sz w:val="20"/>
                <w:szCs w:val="20"/>
              </w:rPr>
              <w:t>-</w:t>
            </w:r>
            <w:r w:rsidR="004B7986">
              <w:rPr>
                <w:rFonts w:ascii="Arial Narrow" w:hAnsi="Arial Narrow" w:cs="Calibri"/>
                <w:noProof/>
                <w:color w:val="000000"/>
                <w:sz w:val="20"/>
                <w:szCs w:val="20"/>
                <w:highlight w:val="black"/>
              </w:rPr>
              <w:t>'''''''''''''</w:t>
            </w:r>
            <w:r w:rsidR="002677D5" w:rsidRPr="00D12472">
              <w:rPr>
                <w:rFonts w:ascii="Arial Narrow" w:hAnsi="Arial Narrow" w:cs="Calibri"/>
                <w:color w:val="000000"/>
                <w:sz w:val="20"/>
                <w:szCs w:val="20"/>
                <w:vertAlign w:val="superscript"/>
              </w:rPr>
              <w:t>1</w:t>
            </w:r>
          </w:p>
        </w:tc>
        <w:tc>
          <w:tcPr>
            <w:tcW w:w="3118"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rsidR="007E224D" w:rsidRPr="00F573A7" w:rsidRDefault="007E224D" w:rsidP="007E224D">
            <w:pPr>
              <w:keepNext/>
              <w:jc w:val="center"/>
              <w:rPr>
                <w:rFonts w:ascii="Arial Narrow" w:hAnsi="Arial Narrow" w:cs="Calibri"/>
                <w:color w:val="000000"/>
                <w:sz w:val="20"/>
                <w:szCs w:val="20"/>
              </w:rPr>
            </w:pPr>
            <w:r w:rsidRPr="00F573A7">
              <w:rPr>
                <w:rFonts w:ascii="Arial Narrow" w:hAnsi="Arial Narrow" w:cs="Calibri"/>
                <w:color w:val="000000"/>
                <w:sz w:val="20"/>
                <w:szCs w:val="20"/>
              </w:rPr>
              <w:t xml:space="preserve">Decrease due to reduced uptake in CRPC; CI negative, PSMA-PET positive patients with the March 2021 recommended changes to the abiraterone and enzalutamide restrictions for mCRPC </w:t>
            </w:r>
          </w:p>
        </w:tc>
      </w:tr>
      <w:tr w:rsidR="007E224D" w:rsidRPr="00F573A7" w:rsidTr="007021C3">
        <w:trPr>
          <w:trHeight w:val="92"/>
        </w:trPr>
        <w:tc>
          <w:tcPr>
            <w:tcW w:w="2122"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rsidR="007E224D" w:rsidRPr="00F573A7" w:rsidRDefault="007E224D" w:rsidP="00F20198">
            <w:pPr>
              <w:keepNext/>
              <w:jc w:val="left"/>
              <w:rPr>
                <w:rFonts w:ascii="Arial Narrow" w:hAnsi="Arial Narrow"/>
                <w:sz w:val="20"/>
                <w:szCs w:val="20"/>
              </w:rPr>
            </w:pPr>
            <w:r w:rsidRPr="00F573A7">
              <w:rPr>
                <w:rFonts w:ascii="Arial Narrow" w:hAnsi="Arial Narrow"/>
                <w:sz w:val="20"/>
                <w:szCs w:val="20"/>
              </w:rPr>
              <w:t>Total cost to PBS/RPBS</w:t>
            </w:r>
            <w:r w:rsidR="00F20198" w:rsidRPr="00F573A7">
              <w:rPr>
                <w:rFonts w:ascii="Arial Narrow" w:hAnsi="Arial Narrow"/>
                <w:sz w:val="20"/>
                <w:szCs w:val="20"/>
                <w:vertAlign w:val="superscript"/>
              </w:rPr>
              <w:t>b</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rsidR="007E224D" w:rsidRPr="00F573A7" w:rsidRDefault="007E224D" w:rsidP="003D070A">
            <w:pPr>
              <w:keepNext/>
              <w:jc w:val="right"/>
              <w:rPr>
                <w:rFonts w:ascii="Arial Narrow" w:hAnsi="Arial Narrow" w:cs="Calibri"/>
                <w:color w:val="000000"/>
                <w:sz w:val="20"/>
                <w:szCs w:val="20"/>
              </w:rPr>
            </w:pPr>
            <w:r w:rsidRPr="00F573A7">
              <w:rPr>
                <w:rFonts w:ascii="Arial Narrow" w:hAnsi="Arial Narrow" w:cs="Calibri"/>
                <w:color w:val="000000"/>
                <w:sz w:val="20"/>
                <w:szCs w:val="20"/>
              </w:rPr>
              <w:t>$</w:t>
            </w:r>
            <w:r w:rsidR="004B7986">
              <w:rPr>
                <w:rFonts w:ascii="Arial Narrow" w:hAnsi="Arial Narrow" w:cs="Calibri"/>
                <w:noProof/>
                <w:color w:val="000000"/>
                <w:sz w:val="20"/>
                <w:szCs w:val="20"/>
                <w:highlight w:val="black"/>
              </w:rPr>
              <w:t>'''''''''''''''''''''''''''''</w:t>
            </w:r>
            <w:r w:rsidR="002677D5">
              <w:rPr>
                <w:rFonts w:ascii="Arial Narrow" w:hAnsi="Arial Narrow" w:cs="Calibri"/>
                <w:color w:val="000000"/>
                <w:sz w:val="20"/>
                <w:szCs w:val="20"/>
                <w:vertAlign w:val="superscript"/>
              </w:rPr>
              <w:t>4</w:t>
            </w:r>
          </w:p>
        </w:tc>
        <w:tc>
          <w:tcPr>
            <w:tcW w:w="1276"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rsidR="007E224D" w:rsidRPr="00F573A7" w:rsidRDefault="007E224D" w:rsidP="003D070A">
            <w:pPr>
              <w:keepNext/>
              <w:jc w:val="right"/>
              <w:rPr>
                <w:rFonts w:ascii="Arial Narrow" w:hAnsi="Arial Narrow" w:cs="Calibri"/>
                <w:color w:val="000000"/>
                <w:sz w:val="20"/>
                <w:szCs w:val="20"/>
              </w:rPr>
            </w:pPr>
            <w:r w:rsidRPr="00F573A7">
              <w:rPr>
                <w:rFonts w:ascii="Arial Narrow" w:hAnsi="Arial Narrow" w:cs="Calibri"/>
                <w:color w:val="000000"/>
                <w:sz w:val="20"/>
                <w:szCs w:val="20"/>
              </w:rPr>
              <w:t>$</w:t>
            </w:r>
            <w:r w:rsidR="004B7986">
              <w:rPr>
                <w:rFonts w:ascii="Arial Narrow" w:hAnsi="Arial Narrow" w:cs="Calibri"/>
                <w:noProof/>
                <w:color w:val="000000"/>
                <w:sz w:val="20"/>
                <w:szCs w:val="20"/>
                <w:highlight w:val="black"/>
              </w:rPr>
              <w:t>''''''''''''''''''''''''''''''''</w:t>
            </w:r>
            <w:r w:rsidR="002677D5">
              <w:rPr>
                <w:rFonts w:ascii="Arial Narrow" w:hAnsi="Arial Narrow" w:cs="Calibri"/>
                <w:color w:val="000000"/>
                <w:sz w:val="20"/>
                <w:szCs w:val="20"/>
                <w:vertAlign w:val="superscript"/>
              </w:rPr>
              <w:t>8</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rsidR="007E224D" w:rsidRPr="00F573A7" w:rsidRDefault="007E224D" w:rsidP="003D070A">
            <w:pPr>
              <w:keepNext/>
              <w:jc w:val="right"/>
              <w:rPr>
                <w:rFonts w:ascii="Arial Narrow" w:hAnsi="Arial Narrow" w:cs="Calibri"/>
                <w:sz w:val="20"/>
                <w:szCs w:val="20"/>
              </w:rPr>
            </w:pPr>
            <w:r w:rsidRPr="00F573A7">
              <w:rPr>
                <w:rFonts w:ascii="Arial Narrow" w:hAnsi="Arial Narrow" w:cs="Calibri"/>
                <w:sz w:val="20"/>
                <w:szCs w:val="20"/>
              </w:rPr>
              <w:t>-$</w:t>
            </w:r>
            <w:r w:rsidR="004B7986">
              <w:rPr>
                <w:rFonts w:ascii="Arial Narrow" w:hAnsi="Arial Narrow" w:cs="Calibri"/>
                <w:noProof/>
                <w:color w:val="000000"/>
                <w:sz w:val="20"/>
                <w:szCs w:val="20"/>
                <w:highlight w:val="black"/>
              </w:rPr>
              <w:t>'''''''''''''''''''''''''''</w:t>
            </w:r>
            <w:r w:rsidR="002677D5">
              <w:rPr>
                <w:rFonts w:ascii="Arial Narrow" w:hAnsi="Arial Narrow" w:cs="Calibri"/>
                <w:color w:val="000000"/>
                <w:sz w:val="20"/>
                <w:szCs w:val="20"/>
                <w:vertAlign w:val="superscript"/>
              </w:rPr>
              <w:t>8</w:t>
            </w:r>
          </w:p>
        </w:tc>
        <w:tc>
          <w:tcPr>
            <w:tcW w:w="3118"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rsidR="007E224D" w:rsidRPr="00F573A7" w:rsidRDefault="007E224D" w:rsidP="007E224D">
            <w:pPr>
              <w:keepNext/>
              <w:jc w:val="center"/>
              <w:rPr>
                <w:rFonts w:ascii="Arial Narrow" w:hAnsi="Arial Narrow" w:cs="Calibri"/>
                <w:color w:val="000000"/>
                <w:sz w:val="20"/>
                <w:szCs w:val="20"/>
              </w:rPr>
            </w:pPr>
            <w:r w:rsidRPr="00F573A7">
              <w:rPr>
                <w:rFonts w:ascii="Arial Narrow" w:hAnsi="Arial Narrow" w:cs="Calibri"/>
                <w:color w:val="000000"/>
                <w:sz w:val="20"/>
                <w:szCs w:val="20"/>
              </w:rPr>
              <w:t>Decrease due to lower price of darolutamide and smaller patient population</w:t>
            </w:r>
          </w:p>
        </w:tc>
      </w:tr>
      <w:tr w:rsidR="007E224D" w:rsidRPr="00F573A7" w:rsidTr="007021C3">
        <w:trPr>
          <w:trHeight w:val="92"/>
        </w:trPr>
        <w:tc>
          <w:tcPr>
            <w:tcW w:w="2122"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rsidR="007E224D" w:rsidRPr="00F573A7" w:rsidRDefault="007E224D" w:rsidP="007E224D">
            <w:pPr>
              <w:keepNext/>
              <w:jc w:val="left"/>
              <w:rPr>
                <w:rFonts w:ascii="Arial Narrow" w:hAnsi="Arial Narrow"/>
                <w:sz w:val="20"/>
                <w:szCs w:val="20"/>
              </w:rPr>
            </w:pPr>
            <w:r w:rsidRPr="00F573A7">
              <w:rPr>
                <w:rFonts w:ascii="Arial Narrow" w:hAnsi="Arial Narrow"/>
                <w:sz w:val="20"/>
                <w:szCs w:val="20"/>
              </w:rPr>
              <w:t>Net cost to PBS/RPBS</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rsidR="007E224D" w:rsidRPr="00F573A7" w:rsidRDefault="007E224D" w:rsidP="003D070A">
            <w:pPr>
              <w:keepNext/>
              <w:jc w:val="right"/>
              <w:rPr>
                <w:rFonts w:ascii="Arial Narrow" w:hAnsi="Arial Narrow" w:cs="Calibri"/>
                <w:color w:val="000000"/>
                <w:sz w:val="20"/>
                <w:szCs w:val="20"/>
              </w:rPr>
            </w:pPr>
            <w:r w:rsidRPr="00F573A7">
              <w:rPr>
                <w:rFonts w:ascii="Arial Narrow" w:hAnsi="Arial Narrow" w:cs="Calibri"/>
                <w:color w:val="000000"/>
                <w:sz w:val="20"/>
                <w:szCs w:val="20"/>
              </w:rPr>
              <w:t>$</w:t>
            </w:r>
            <w:r w:rsidR="004B7986">
              <w:rPr>
                <w:rFonts w:ascii="Arial Narrow" w:hAnsi="Arial Narrow" w:cs="Calibri"/>
                <w:noProof/>
                <w:color w:val="000000"/>
                <w:sz w:val="20"/>
                <w:szCs w:val="20"/>
                <w:highlight w:val="black"/>
              </w:rPr>
              <w:t>''''''''''''''''''''''''''''''</w:t>
            </w:r>
            <w:r w:rsidR="002677D5">
              <w:rPr>
                <w:rFonts w:ascii="Arial Narrow" w:hAnsi="Arial Narrow" w:cs="Calibri"/>
                <w:color w:val="000000"/>
                <w:sz w:val="20"/>
                <w:szCs w:val="20"/>
                <w:vertAlign w:val="superscript"/>
              </w:rPr>
              <w:t>5</w:t>
            </w:r>
          </w:p>
        </w:tc>
        <w:tc>
          <w:tcPr>
            <w:tcW w:w="1276"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rsidR="007E224D" w:rsidRPr="00F573A7" w:rsidRDefault="007E224D" w:rsidP="003D070A">
            <w:pPr>
              <w:keepNext/>
              <w:jc w:val="right"/>
              <w:rPr>
                <w:rFonts w:ascii="Arial Narrow" w:hAnsi="Arial Narrow" w:cs="Calibri"/>
                <w:color w:val="000000"/>
                <w:sz w:val="20"/>
                <w:szCs w:val="20"/>
              </w:rPr>
            </w:pPr>
            <w:r w:rsidRPr="00F573A7">
              <w:rPr>
                <w:rFonts w:ascii="Arial Narrow" w:hAnsi="Arial Narrow" w:cs="Calibri"/>
                <w:color w:val="000000"/>
                <w:sz w:val="20"/>
                <w:szCs w:val="20"/>
              </w:rPr>
              <w:t>$</w:t>
            </w:r>
            <w:r w:rsidR="004B7986">
              <w:rPr>
                <w:rFonts w:ascii="Arial Narrow" w:hAnsi="Arial Narrow" w:cs="Calibri"/>
                <w:noProof/>
                <w:color w:val="000000"/>
                <w:sz w:val="20"/>
                <w:szCs w:val="20"/>
                <w:highlight w:val="black"/>
              </w:rPr>
              <w:t>''''''''''''''''''''''''</w:t>
            </w:r>
            <w:r w:rsidR="002677D5">
              <w:rPr>
                <w:rFonts w:ascii="Arial Narrow" w:hAnsi="Arial Narrow" w:cs="Calibri"/>
                <w:color w:val="000000"/>
                <w:sz w:val="20"/>
                <w:szCs w:val="20"/>
                <w:vertAlign w:val="superscript"/>
              </w:rPr>
              <w:t>7</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rsidR="007E224D" w:rsidRPr="00F573A7" w:rsidRDefault="007E224D" w:rsidP="003D070A">
            <w:pPr>
              <w:keepNext/>
              <w:jc w:val="right"/>
              <w:rPr>
                <w:rFonts w:ascii="Arial Narrow" w:hAnsi="Arial Narrow" w:cs="Calibri"/>
                <w:sz w:val="20"/>
                <w:szCs w:val="20"/>
              </w:rPr>
            </w:pPr>
            <w:r w:rsidRPr="00F573A7">
              <w:rPr>
                <w:rFonts w:ascii="Arial Narrow" w:hAnsi="Arial Narrow" w:cs="Calibri"/>
                <w:sz w:val="20"/>
                <w:szCs w:val="20"/>
              </w:rPr>
              <w:t>-$</w:t>
            </w:r>
            <w:r w:rsidR="004B7986">
              <w:rPr>
                <w:rFonts w:ascii="Arial Narrow" w:hAnsi="Arial Narrow" w:cs="Calibri"/>
                <w:noProof/>
                <w:color w:val="000000"/>
                <w:sz w:val="20"/>
                <w:szCs w:val="20"/>
                <w:highlight w:val="black"/>
              </w:rPr>
              <w:t>''''''''''''''''''''''''''''''''</w:t>
            </w:r>
            <w:r w:rsidR="002677D5">
              <w:rPr>
                <w:rFonts w:ascii="Arial Narrow" w:hAnsi="Arial Narrow" w:cs="Calibri"/>
                <w:color w:val="000000"/>
                <w:sz w:val="20"/>
                <w:szCs w:val="20"/>
                <w:vertAlign w:val="superscript"/>
              </w:rPr>
              <w:t>8</w:t>
            </w:r>
          </w:p>
        </w:tc>
        <w:tc>
          <w:tcPr>
            <w:tcW w:w="3118"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rsidR="007E224D" w:rsidRPr="00F573A7" w:rsidRDefault="007E224D" w:rsidP="007E224D">
            <w:pPr>
              <w:keepNext/>
              <w:jc w:val="center"/>
              <w:rPr>
                <w:rFonts w:ascii="Arial Narrow" w:hAnsi="Arial Narrow" w:cs="Calibri"/>
                <w:color w:val="000000"/>
                <w:sz w:val="20"/>
                <w:szCs w:val="20"/>
              </w:rPr>
            </w:pPr>
            <w:r w:rsidRPr="00F573A7">
              <w:rPr>
                <w:rFonts w:ascii="Arial Narrow" w:hAnsi="Arial Narrow" w:cs="Calibri"/>
                <w:color w:val="000000"/>
                <w:sz w:val="20"/>
                <w:szCs w:val="20"/>
              </w:rPr>
              <w:t>Cost-offsets in overlapping populations</w:t>
            </w:r>
          </w:p>
        </w:tc>
      </w:tr>
    </w:tbl>
    <w:p w:rsidR="005B3ACB" w:rsidRPr="00F573A7" w:rsidRDefault="005B3ACB" w:rsidP="005B3ACB">
      <w:pPr>
        <w:rPr>
          <w:rFonts w:ascii="Arial Narrow" w:eastAsia="Calibri" w:hAnsi="Arial Narrow"/>
          <w:sz w:val="18"/>
          <w:szCs w:val="18"/>
        </w:rPr>
      </w:pPr>
      <w:r w:rsidRPr="00F573A7">
        <w:rPr>
          <w:rFonts w:ascii="Arial Narrow" w:eastAsia="Calibri" w:hAnsi="Arial Narrow"/>
          <w:sz w:val="18"/>
          <w:szCs w:val="18"/>
        </w:rPr>
        <w:t>Source:</w:t>
      </w:r>
      <w:r w:rsidRPr="00F573A7">
        <w:rPr>
          <w:rFonts w:ascii="Arial Narrow" w:hAnsi="Arial Narrow"/>
          <w:b/>
          <w:bCs/>
          <w:sz w:val="18"/>
          <w:szCs w:val="18"/>
        </w:rPr>
        <w:t xml:space="preserve"> </w:t>
      </w:r>
      <w:r w:rsidRPr="00F573A7">
        <w:rPr>
          <w:rFonts w:ascii="Arial Narrow" w:eastAsia="Calibri" w:hAnsi="Arial Narrow"/>
          <w:sz w:val="18"/>
          <w:szCs w:val="18"/>
        </w:rPr>
        <w:t>Updated Utilisation and Cost Model Workbook (attachment 3) and supplement workbook (attachment 4)</w:t>
      </w:r>
    </w:p>
    <w:p w:rsidR="007F3DA3" w:rsidRPr="00F573A7" w:rsidRDefault="007F3DA3" w:rsidP="005B3ACB">
      <w:pPr>
        <w:rPr>
          <w:rFonts w:ascii="Arial Narrow" w:eastAsia="Calibri" w:hAnsi="Arial Narrow"/>
          <w:sz w:val="18"/>
          <w:szCs w:val="18"/>
        </w:rPr>
      </w:pPr>
      <w:r w:rsidRPr="00F573A7">
        <w:rPr>
          <w:rFonts w:ascii="Arial Narrow" w:eastAsia="Calibri" w:hAnsi="Arial Narrow"/>
          <w:sz w:val="18"/>
          <w:szCs w:val="18"/>
        </w:rPr>
        <w:t>CI = conventional imaging; CRPC = castration resistant prostate cancer; PBS = Pharmaceutical Benefits Scheme; RPBS = Repatriation Pharmaceutical Benefits Scheme</w:t>
      </w:r>
    </w:p>
    <w:p w:rsidR="00F20198" w:rsidRDefault="00F20198" w:rsidP="005B3ACB">
      <w:pPr>
        <w:rPr>
          <w:rFonts w:ascii="Arial Narrow" w:eastAsia="Calibri" w:hAnsi="Arial Narrow"/>
          <w:sz w:val="18"/>
          <w:szCs w:val="18"/>
        </w:rPr>
      </w:pPr>
      <w:r w:rsidRPr="00F573A7">
        <w:rPr>
          <w:rFonts w:ascii="Arial Narrow" w:eastAsia="Calibri" w:hAnsi="Arial Narrow"/>
          <w:sz w:val="18"/>
          <w:szCs w:val="18"/>
          <w:vertAlign w:val="superscript"/>
        </w:rPr>
        <w:t>a</w:t>
      </w:r>
      <w:r w:rsidRPr="00F573A7">
        <w:rPr>
          <w:rFonts w:ascii="Arial Narrow" w:eastAsia="Calibri" w:hAnsi="Arial Narrow"/>
          <w:sz w:val="18"/>
          <w:szCs w:val="18"/>
        </w:rPr>
        <w:t xml:space="preserve"> These estimates do not account for fewer prescriptions in grandfather patients </w:t>
      </w:r>
    </w:p>
    <w:p w:rsidR="002677D5" w:rsidRPr="009A6D58" w:rsidRDefault="002677D5" w:rsidP="002677D5">
      <w:pPr>
        <w:rPr>
          <w:rFonts w:ascii="Arial Narrow" w:hAnsi="Arial Narrow" w:cs="Arial"/>
          <w:i/>
          <w:sz w:val="18"/>
          <w:szCs w:val="18"/>
        </w:rPr>
      </w:pPr>
      <w:r w:rsidRPr="009A6D58">
        <w:rPr>
          <w:rFonts w:ascii="Arial Narrow" w:hAnsi="Arial Narrow" w:cs="Arial"/>
          <w:i/>
          <w:sz w:val="18"/>
          <w:szCs w:val="18"/>
        </w:rPr>
        <w:t xml:space="preserve">The redacted values correspond to the following ranges: </w:t>
      </w:r>
    </w:p>
    <w:p w:rsidR="002677D5" w:rsidRPr="009A6D58" w:rsidRDefault="002677D5" w:rsidP="002677D5">
      <w:pPr>
        <w:rPr>
          <w:rFonts w:ascii="Arial Narrow" w:hAnsi="Arial Narrow" w:cs="Arial"/>
          <w:i/>
          <w:sz w:val="18"/>
          <w:szCs w:val="18"/>
        </w:rPr>
      </w:pPr>
      <w:r w:rsidRPr="009A6D58">
        <w:rPr>
          <w:rFonts w:ascii="Arial Narrow" w:hAnsi="Arial Narrow" w:cs="Arial"/>
          <w:i/>
          <w:sz w:val="18"/>
          <w:szCs w:val="18"/>
          <w:vertAlign w:val="superscript"/>
        </w:rPr>
        <w:t>1</w:t>
      </w:r>
      <w:r>
        <w:rPr>
          <w:rFonts w:ascii="Arial Narrow" w:hAnsi="Arial Narrow" w:cs="Arial"/>
          <w:i/>
          <w:sz w:val="18"/>
          <w:szCs w:val="18"/>
        </w:rPr>
        <w:t xml:space="preserve"> </w:t>
      </w:r>
      <w:r w:rsidRPr="002677D5">
        <w:rPr>
          <w:rFonts w:ascii="Arial Narrow" w:hAnsi="Arial Narrow" w:cs="Arial"/>
          <w:i/>
          <w:sz w:val="18"/>
          <w:szCs w:val="18"/>
        </w:rPr>
        <w:t>500 to &lt; 5,000</w:t>
      </w:r>
    </w:p>
    <w:p w:rsidR="002677D5" w:rsidRPr="009A6D58" w:rsidRDefault="002677D5" w:rsidP="002677D5">
      <w:pPr>
        <w:rPr>
          <w:rFonts w:ascii="Arial Narrow" w:hAnsi="Arial Narrow" w:cs="Arial"/>
          <w:i/>
          <w:sz w:val="18"/>
          <w:szCs w:val="18"/>
        </w:rPr>
      </w:pPr>
      <w:r w:rsidRPr="009A6D58">
        <w:rPr>
          <w:rFonts w:ascii="Arial Narrow" w:hAnsi="Arial Narrow" w:cs="Arial"/>
          <w:i/>
          <w:sz w:val="18"/>
          <w:szCs w:val="18"/>
          <w:vertAlign w:val="superscript"/>
        </w:rPr>
        <w:t>2</w:t>
      </w:r>
      <w:r>
        <w:rPr>
          <w:rFonts w:ascii="Arial Narrow" w:hAnsi="Arial Narrow" w:cs="Arial"/>
          <w:i/>
          <w:sz w:val="18"/>
          <w:szCs w:val="18"/>
        </w:rPr>
        <w:t xml:space="preserve"> </w:t>
      </w:r>
      <w:r w:rsidRPr="002677D5">
        <w:rPr>
          <w:rFonts w:ascii="Arial Narrow" w:hAnsi="Arial Narrow" w:cs="Arial"/>
          <w:i/>
          <w:sz w:val="18"/>
          <w:szCs w:val="18"/>
        </w:rPr>
        <w:t>10,000 to &lt; 20,000</w:t>
      </w:r>
    </w:p>
    <w:p w:rsidR="002677D5" w:rsidRDefault="002677D5" w:rsidP="002677D5">
      <w:pPr>
        <w:rPr>
          <w:rFonts w:ascii="Arial Narrow" w:hAnsi="Arial Narrow" w:cs="Arial"/>
          <w:i/>
          <w:sz w:val="18"/>
          <w:szCs w:val="18"/>
        </w:rPr>
      </w:pPr>
      <w:r w:rsidRPr="009A6D58">
        <w:rPr>
          <w:rFonts w:ascii="Arial Narrow" w:hAnsi="Arial Narrow" w:cs="Arial"/>
          <w:i/>
          <w:sz w:val="18"/>
          <w:szCs w:val="18"/>
          <w:vertAlign w:val="superscript"/>
        </w:rPr>
        <w:t>3</w:t>
      </w:r>
      <w:r>
        <w:rPr>
          <w:rFonts w:ascii="Arial Narrow" w:hAnsi="Arial Narrow" w:cs="Arial"/>
          <w:i/>
          <w:sz w:val="18"/>
          <w:szCs w:val="18"/>
        </w:rPr>
        <w:t xml:space="preserve"> </w:t>
      </w:r>
      <w:r w:rsidRPr="002677D5">
        <w:rPr>
          <w:rFonts w:ascii="Arial Narrow" w:hAnsi="Arial Narrow" w:cs="Arial"/>
          <w:i/>
          <w:sz w:val="18"/>
          <w:szCs w:val="18"/>
        </w:rPr>
        <w:t>500 to &lt; 5,000</w:t>
      </w:r>
    </w:p>
    <w:p w:rsidR="002677D5" w:rsidRDefault="002677D5" w:rsidP="002677D5">
      <w:pPr>
        <w:rPr>
          <w:rFonts w:ascii="Arial Narrow" w:hAnsi="Arial Narrow" w:cs="Arial"/>
          <w:i/>
          <w:sz w:val="18"/>
          <w:szCs w:val="18"/>
        </w:rPr>
      </w:pPr>
      <w:r>
        <w:rPr>
          <w:rFonts w:ascii="Arial Narrow" w:hAnsi="Arial Narrow" w:cs="Arial"/>
          <w:i/>
          <w:sz w:val="18"/>
          <w:szCs w:val="18"/>
          <w:vertAlign w:val="superscript"/>
        </w:rPr>
        <w:t>4</w:t>
      </w:r>
      <w:r>
        <w:rPr>
          <w:rFonts w:ascii="Arial Narrow" w:hAnsi="Arial Narrow" w:cs="Arial"/>
          <w:i/>
          <w:sz w:val="18"/>
          <w:szCs w:val="18"/>
        </w:rPr>
        <w:t xml:space="preserve"> </w:t>
      </w:r>
      <w:r w:rsidRPr="002677D5">
        <w:rPr>
          <w:rFonts w:ascii="Arial Narrow" w:hAnsi="Arial Narrow" w:cs="Arial"/>
          <w:i/>
          <w:sz w:val="18"/>
          <w:szCs w:val="18"/>
        </w:rPr>
        <w:t>$300 million to &lt; $400 million</w:t>
      </w:r>
    </w:p>
    <w:p w:rsidR="002677D5" w:rsidRDefault="002677D5" w:rsidP="002677D5">
      <w:pPr>
        <w:rPr>
          <w:rFonts w:ascii="Arial Narrow" w:hAnsi="Arial Narrow" w:cs="Arial"/>
          <w:i/>
          <w:sz w:val="18"/>
          <w:szCs w:val="18"/>
        </w:rPr>
      </w:pPr>
      <w:r>
        <w:rPr>
          <w:rFonts w:ascii="Arial Narrow" w:hAnsi="Arial Narrow" w:cs="Arial"/>
          <w:i/>
          <w:sz w:val="18"/>
          <w:szCs w:val="18"/>
          <w:vertAlign w:val="superscript"/>
        </w:rPr>
        <w:t>5</w:t>
      </w:r>
      <w:r>
        <w:rPr>
          <w:rFonts w:ascii="Arial Narrow" w:hAnsi="Arial Narrow" w:cs="Arial"/>
          <w:i/>
          <w:sz w:val="18"/>
          <w:szCs w:val="18"/>
        </w:rPr>
        <w:t xml:space="preserve"> </w:t>
      </w:r>
      <w:r w:rsidRPr="002677D5">
        <w:rPr>
          <w:rFonts w:ascii="Arial Narrow" w:hAnsi="Arial Narrow" w:cs="Arial"/>
          <w:i/>
          <w:sz w:val="18"/>
          <w:szCs w:val="18"/>
        </w:rPr>
        <w:t>$200 million to &lt; $300 million</w:t>
      </w:r>
    </w:p>
    <w:p w:rsidR="002677D5" w:rsidRDefault="002677D5" w:rsidP="002677D5">
      <w:pPr>
        <w:rPr>
          <w:rFonts w:ascii="Arial Narrow" w:hAnsi="Arial Narrow" w:cs="Arial"/>
          <w:i/>
          <w:sz w:val="18"/>
          <w:szCs w:val="18"/>
        </w:rPr>
      </w:pPr>
      <w:r>
        <w:rPr>
          <w:rFonts w:ascii="Arial Narrow" w:hAnsi="Arial Narrow" w:cs="Arial"/>
          <w:i/>
          <w:sz w:val="18"/>
          <w:szCs w:val="18"/>
          <w:vertAlign w:val="superscript"/>
        </w:rPr>
        <w:t>6</w:t>
      </w:r>
      <w:r>
        <w:rPr>
          <w:rFonts w:ascii="Arial Narrow" w:hAnsi="Arial Narrow" w:cs="Arial"/>
          <w:i/>
          <w:sz w:val="18"/>
          <w:szCs w:val="18"/>
        </w:rPr>
        <w:t xml:space="preserve"> </w:t>
      </w:r>
      <w:r w:rsidRPr="002677D5">
        <w:rPr>
          <w:rFonts w:ascii="Arial Narrow" w:hAnsi="Arial Narrow" w:cs="Arial"/>
          <w:i/>
          <w:sz w:val="18"/>
          <w:szCs w:val="18"/>
        </w:rPr>
        <w:t>$30 million to &lt; $40 million</w:t>
      </w:r>
    </w:p>
    <w:p w:rsidR="002677D5" w:rsidRDefault="002677D5" w:rsidP="002677D5">
      <w:pPr>
        <w:rPr>
          <w:rFonts w:ascii="Arial Narrow" w:hAnsi="Arial Narrow" w:cs="Arial"/>
          <w:i/>
          <w:sz w:val="18"/>
          <w:szCs w:val="18"/>
        </w:rPr>
      </w:pPr>
      <w:r>
        <w:rPr>
          <w:rFonts w:ascii="Arial Narrow" w:hAnsi="Arial Narrow" w:cs="Arial"/>
          <w:i/>
          <w:sz w:val="18"/>
          <w:szCs w:val="18"/>
          <w:vertAlign w:val="superscript"/>
        </w:rPr>
        <w:t>7</w:t>
      </w:r>
      <w:r>
        <w:rPr>
          <w:rFonts w:ascii="Arial Narrow" w:hAnsi="Arial Narrow" w:cs="Arial"/>
          <w:i/>
          <w:sz w:val="18"/>
          <w:szCs w:val="18"/>
        </w:rPr>
        <w:t xml:space="preserve"> </w:t>
      </w:r>
      <w:r w:rsidRPr="002677D5">
        <w:rPr>
          <w:rFonts w:ascii="Arial Narrow" w:hAnsi="Arial Narrow" w:cs="Arial"/>
          <w:i/>
          <w:sz w:val="18"/>
          <w:szCs w:val="18"/>
        </w:rPr>
        <w:t xml:space="preserve">$90 million to &lt; $100 million </w:t>
      </w:r>
    </w:p>
    <w:p w:rsidR="002677D5" w:rsidRPr="000E7FF4" w:rsidRDefault="002677D5" w:rsidP="005B3ACB">
      <w:pPr>
        <w:rPr>
          <w:rFonts w:ascii="Arial Narrow" w:hAnsi="Arial Narrow" w:cs="Arial"/>
          <w:i/>
          <w:sz w:val="18"/>
          <w:szCs w:val="18"/>
        </w:rPr>
      </w:pPr>
      <w:r>
        <w:rPr>
          <w:rFonts w:ascii="Arial Narrow" w:hAnsi="Arial Narrow" w:cs="Arial"/>
          <w:i/>
          <w:sz w:val="18"/>
          <w:szCs w:val="18"/>
          <w:vertAlign w:val="superscript"/>
        </w:rPr>
        <w:t>8</w:t>
      </w:r>
      <w:r>
        <w:rPr>
          <w:rFonts w:ascii="Arial Narrow" w:hAnsi="Arial Narrow" w:cs="Arial"/>
          <w:i/>
          <w:sz w:val="18"/>
          <w:szCs w:val="18"/>
        </w:rPr>
        <w:t xml:space="preserve"> </w:t>
      </w:r>
      <w:r w:rsidRPr="002677D5">
        <w:rPr>
          <w:rFonts w:ascii="Arial Narrow" w:hAnsi="Arial Narrow" w:cs="Arial"/>
          <w:i/>
          <w:sz w:val="18"/>
          <w:szCs w:val="18"/>
        </w:rPr>
        <w:t>$</w:t>
      </w:r>
      <w:r>
        <w:rPr>
          <w:rFonts w:ascii="Arial Narrow" w:hAnsi="Arial Narrow" w:cs="Arial"/>
          <w:i/>
          <w:sz w:val="18"/>
          <w:szCs w:val="18"/>
        </w:rPr>
        <w:t>100 million to &lt; $20</w:t>
      </w:r>
      <w:r w:rsidRPr="002677D5">
        <w:rPr>
          <w:rFonts w:ascii="Arial Narrow" w:hAnsi="Arial Narrow" w:cs="Arial"/>
          <w:i/>
          <w:sz w:val="18"/>
          <w:szCs w:val="18"/>
        </w:rPr>
        <w:t>0 million</w:t>
      </w:r>
    </w:p>
    <w:p w:rsidR="00790030" w:rsidRPr="00F573A7" w:rsidRDefault="00790030" w:rsidP="00790030">
      <w:pPr>
        <w:rPr>
          <w:rFonts w:eastAsia="Calibri"/>
        </w:rPr>
      </w:pPr>
    </w:p>
    <w:p w:rsidR="00790030" w:rsidRPr="00F573A7" w:rsidRDefault="00790030" w:rsidP="00790030">
      <w:pPr>
        <w:rPr>
          <w:rFonts w:eastAsia="Calibri"/>
        </w:rPr>
      </w:pPr>
      <w:r w:rsidRPr="00F573A7">
        <w:rPr>
          <w:rFonts w:eastAsia="Calibri"/>
        </w:rPr>
        <w:tab/>
      </w:r>
      <w:r w:rsidRPr="00F573A7">
        <w:rPr>
          <w:i/>
        </w:rPr>
        <w:t>For more detail on PBAC’s view, see section 5 PBAC outcome.</w:t>
      </w:r>
    </w:p>
    <w:p w:rsidR="00790030" w:rsidRPr="00F573A7" w:rsidRDefault="00790030" w:rsidP="00790030">
      <w:pPr>
        <w:pStyle w:val="2-SectionHeading"/>
      </w:pPr>
      <w:bookmarkStart w:id="6" w:name="_Hlk76381249"/>
      <w:bookmarkStart w:id="7" w:name="_Hlk76377955"/>
      <w:r w:rsidRPr="00F573A7">
        <w:t>PBAC Outcome</w:t>
      </w:r>
    </w:p>
    <w:p w:rsidR="00790030" w:rsidRPr="003D070A" w:rsidRDefault="00790030" w:rsidP="00790030">
      <w:pPr>
        <w:pStyle w:val="3-BodyText"/>
        <w:rPr>
          <w:rFonts w:cs="Arial"/>
          <w:snapToGrid w:val="0"/>
        </w:rPr>
      </w:pPr>
      <w:r w:rsidRPr="003D070A">
        <w:rPr>
          <w:rFonts w:cs="Arial"/>
          <w:snapToGrid w:val="0"/>
        </w:rPr>
        <w:t xml:space="preserve">The PBAC recommended the listing of </w:t>
      </w:r>
      <w:r w:rsidR="004D3B62" w:rsidRPr="003D070A">
        <w:rPr>
          <w:rFonts w:cs="Arial"/>
          <w:snapToGrid w:val="0"/>
        </w:rPr>
        <w:t>darolutamide for the treatment of patients with non-metastatic castration resistant prostate cancer (m0CRPC).</w:t>
      </w:r>
      <w:r w:rsidR="00FA306E" w:rsidRPr="003D070A">
        <w:rPr>
          <w:rFonts w:cs="Arial"/>
          <w:snapToGrid w:val="0"/>
        </w:rPr>
        <w:t xml:space="preserve"> </w:t>
      </w:r>
      <w:r w:rsidRPr="003D070A">
        <w:rPr>
          <w:rFonts w:cs="Arial"/>
          <w:snapToGrid w:val="0"/>
        </w:rPr>
        <w:t>The PBAC</w:t>
      </w:r>
      <w:r w:rsidR="00FA306E" w:rsidRPr="003D070A">
        <w:rPr>
          <w:rFonts w:cs="Arial"/>
          <w:snapToGrid w:val="0"/>
        </w:rPr>
        <w:t xml:space="preserve"> wa</w:t>
      </w:r>
      <w:r w:rsidRPr="003D070A">
        <w:rPr>
          <w:rFonts w:cs="Arial"/>
          <w:snapToGrid w:val="0"/>
        </w:rPr>
        <w:t xml:space="preserve">s satisfied that </w:t>
      </w:r>
      <w:r w:rsidR="004D3B62" w:rsidRPr="003D070A">
        <w:rPr>
          <w:rFonts w:cs="Arial"/>
          <w:snapToGrid w:val="0"/>
        </w:rPr>
        <w:t>darolutamide</w:t>
      </w:r>
      <w:r w:rsidRPr="003D070A">
        <w:rPr>
          <w:rFonts w:cs="Arial"/>
          <w:snapToGrid w:val="0"/>
        </w:rPr>
        <w:t xml:space="preserve"> provides, for some patients, a</w:t>
      </w:r>
      <w:r w:rsidR="00213C49" w:rsidRPr="003D070A">
        <w:rPr>
          <w:rFonts w:cs="Arial"/>
          <w:snapToGrid w:val="0"/>
        </w:rPr>
        <w:t xml:space="preserve"> moderate</w:t>
      </w:r>
      <w:r w:rsidR="004D3B62" w:rsidRPr="003D070A">
        <w:rPr>
          <w:rFonts w:cs="Arial"/>
          <w:snapToGrid w:val="0"/>
        </w:rPr>
        <w:t xml:space="preserve"> overall survival (OS) benefit compared to standard of care (SOC). </w:t>
      </w:r>
      <w:r w:rsidR="000E58D4" w:rsidRPr="003D070A">
        <w:rPr>
          <w:rFonts w:cs="Arial"/>
          <w:snapToGrid w:val="0"/>
        </w:rPr>
        <w:t>T</w:t>
      </w:r>
      <w:r w:rsidR="004D3B62" w:rsidRPr="003D070A">
        <w:rPr>
          <w:rFonts w:cs="Arial"/>
          <w:snapToGrid w:val="0"/>
        </w:rPr>
        <w:t xml:space="preserve">he PBAC considered that </w:t>
      </w:r>
      <w:r w:rsidR="00FA306E" w:rsidRPr="003D070A">
        <w:rPr>
          <w:rFonts w:cs="Arial"/>
          <w:snapToGrid w:val="0"/>
        </w:rPr>
        <w:t xml:space="preserve">at the updated proposed price, </w:t>
      </w:r>
      <w:r w:rsidR="004D3B62" w:rsidRPr="003D070A">
        <w:rPr>
          <w:rFonts w:cs="Arial"/>
          <w:snapToGrid w:val="0"/>
        </w:rPr>
        <w:t xml:space="preserve">the revised economic model </w:t>
      </w:r>
      <w:r w:rsidR="00FA306E" w:rsidRPr="003D070A">
        <w:rPr>
          <w:rFonts w:cs="Arial"/>
          <w:snapToGrid w:val="0"/>
        </w:rPr>
        <w:t xml:space="preserve">resulted in an incremental cost effectiveness ratio (ICER) </w:t>
      </w:r>
      <w:r w:rsidR="00EC1491" w:rsidRPr="003D070A">
        <w:rPr>
          <w:rFonts w:cs="Arial"/>
          <w:snapToGrid w:val="0"/>
        </w:rPr>
        <w:t xml:space="preserve">for darolutamide versus SOC in the m0CRPC setting </w:t>
      </w:r>
      <w:r w:rsidR="00FA306E" w:rsidRPr="003D070A">
        <w:rPr>
          <w:rFonts w:cs="Arial"/>
          <w:snapToGrid w:val="0"/>
        </w:rPr>
        <w:t>which was cost-effective. The PBAC also considered that the revised estimated utilisation and financial estimates for the m0CRPC population were reasonable</w:t>
      </w:r>
      <w:r w:rsidRPr="003D070A">
        <w:rPr>
          <w:rFonts w:cs="Arial"/>
          <w:bCs/>
          <w:snapToGrid w:val="0"/>
        </w:rPr>
        <w:t>.</w:t>
      </w:r>
    </w:p>
    <w:p w:rsidR="00213C49" w:rsidRPr="003D070A" w:rsidRDefault="00213C49" w:rsidP="00790030">
      <w:pPr>
        <w:pStyle w:val="3-BodyText"/>
        <w:rPr>
          <w:rFonts w:cs="Arial"/>
          <w:snapToGrid w:val="0"/>
        </w:rPr>
      </w:pPr>
      <w:r w:rsidRPr="003D070A">
        <w:rPr>
          <w:rFonts w:cs="Arial"/>
          <w:snapToGrid w:val="0"/>
        </w:rPr>
        <w:t>The PBAC, noting that prostate cancer can be a life-threatening condition and that similar novel hormonal agents (NHAs) are currently only PBS funded in metastatic castration resistant prostate cancer (mCRPC), considered that there was a moderate need for darolutamide for the treatment of m0CRPC.</w:t>
      </w:r>
    </w:p>
    <w:p w:rsidR="00616C4D" w:rsidRPr="003D070A" w:rsidRDefault="00616C4D" w:rsidP="00790030">
      <w:pPr>
        <w:pStyle w:val="3-BodyText"/>
        <w:rPr>
          <w:rFonts w:cs="Arial"/>
          <w:snapToGrid w:val="0"/>
        </w:rPr>
      </w:pPr>
      <w:r w:rsidRPr="003D070A">
        <w:rPr>
          <w:rFonts w:cs="Arial"/>
          <w:bCs/>
          <w:snapToGrid w:val="0"/>
        </w:rPr>
        <w:t>The PBAC noted the consumer comments which supported the listing of darolutamide on the PBS for the treatment of m0CRPC.</w:t>
      </w:r>
    </w:p>
    <w:p w:rsidR="00616C4D" w:rsidRPr="003D070A" w:rsidRDefault="00616C4D" w:rsidP="00790030">
      <w:pPr>
        <w:pStyle w:val="3-BodyText"/>
        <w:rPr>
          <w:rFonts w:cs="Arial"/>
          <w:snapToGrid w:val="0"/>
        </w:rPr>
      </w:pPr>
      <w:r w:rsidRPr="003D070A">
        <w:rPr>
          <w:rFonts w:cs="Arial"/>
          <w:bCs/>
          <w:snapToGrid w:val="0"/>
        </w:rPr>
        <w:t>The PBAC recalled that in March 2021 it advised, based on the increasing use of more sensitive prostate-specific membrane antigen (PSMA) PET scanning for staging of castration resistant prostate cancer (CRPC), that the clinical criterion requiring patients to not have distant metastases on conventional imaging could be removed from the restriction.</w:t>
      </w:r>
      <w:r w:rsidR="00D027A0" w:rsidRPr="003D070A">
        <w:rPr>
          <w:rFonts w:cs="Arial"/>
          <w:bCs/>
          <w:snapToGrid w:val="0"/>
        </w:rPr>
        <w:t xml:space="preserve"> However, </w:t>
      </w:r>
      <w:r w:rsidR="00566BE0" w:rsidRPr="003D070A">
        <w:rPr>
          <w:rFonts w:cs="Arial"/>
          <w:bCs/>
          <w:snapToGrid w:val="0"/>
        </w:rPr>
        <w:t xml:space="preserve">on </w:t>
      </w:r>
      <w:r w:rsidR="00796ADA" w:rsidRPr="003D070A">
        <w:rPr>
          <w:rFonts w:cs="Arial"/>
          <w:bCs/>
          <w:snapToGrid w:val="0"/>
        </w:rPr>
        <w:t>re</w:t>
      </w:r>
      <w:r w:rsidR="00796ADA">
        <w:rPr>
          <w:rFonts w:cs="Arial"/>
          <w:bCs/>
          <w:snapToGrid w:val="0"/>
        </w:rPr>
        <w:t>view</w:t>
      </w:r>
      <w:r w:rsidR="00566BE0" w:rsidRPr="003D070A">
        <w:rPr>
          <w:rFonts w:cs="Arial"/>
          <w:bCs/>
          <w:snapToGrid w:val="0"/>
        </w:rPr>
        <w:t>, t</w:t>
      </w:r>
      <w:r w:rsidR="00D027A0" w:rsidRPr="003D070A">
        <w:rPr>
          <w:rFonts w:cs="Arial"/>
          <w:bCs/>
          <w:snapToGrid w:val="0"/>
        </w:rPr>
        <w:t xml:space="preserve">he PBAC considered that it would be appropriate for the PBS indication to align with the TGA indication and recommended that darolutamide be listed on the PBS for m0CRPC only. </w:t>
      </w:r>
    </w:p>
    <w:p w:rsidR="00D027A0" w:rsidRPr="003D070A" w:rsidRDefault="00D027A0" w:rsidP="00790030">
      <w:pPr>
        <w:pStyle w:val="3-BodyText"/>
        <w:rPr>
          <w:rFonts w:cs="Arial"/>
          <w:snapToGrid w:val="0"/>
        </w:rPr>
      </w:pPr>
      <w:r w:rsidRPr="003D070A">
        <w:rPr>
          <w:rFonts w:cs="Arial"/>
          <w:bCs/>
          <w:snapToGrid w:val="0"/>
        </w:rPr>
        <w:t xml:space="preserve">The PBAC considered that </w:t>
      </w:r>
      <w:r w:rsidR="005F4C76" w:rsidRPr="003D070A">
        <w:rPr>
          <w:rFonts w:cs="Arial"/>
          <w:bCs/>
          <w:snapToGrid w:val="0"/>
        </w:rPr>
        <w:t xml:space="preserve">separate treatment phases </w:t>
      </w:r>
      <w:r w:rsidRPr="003D070A">
        <w:rPr>
          <w:rFonts w:cs="Arial"/>
          <w:bCs/>
          <w:snapToGrid w:val="0"/>
        </w:rPr>
        <w:t>for initial and continuing treatment proposed in the March 2021 resubmission were appropriate for the use of darolutamide in m0CRPC</w:t>
      </w:r>
      <w:r w:rsidR="004456FC" w:rsidRPr="003D070A">
        <w:rPr>
          <w:rFonts w:cs="Arial"/>
          <w:bCs/>
          <w:snapToGrid w:val="0"/>
        </w:rPr>
        <w:t>, but that</w:t>
      </w:r>
      <w:r w:rsidR="005F4C76" w:rsidRPr="003D070A">
        <w:rPr>
          <w:rFonts w:cs="Arial"/>
          <w:bCs/>
          <w:snapToGrid w:val="0"/>
        </w:rPr>
        <w:t xml:space="preserve"> they could be merged into a single listing for practicality reasons</w:t>
      </w:r>
      <w:r w:rsidRPr="003D070A">
        <w:rPr>
          <w:rFonts w:cs="Arial"/>
          <w:bCs/>
          <w:snapToGrid w:val="0"/>
        </w:rPr>
        <w:t xml:space="preserve">. The PBAC </w:t>
      </w:r>
      <w:r w:rsidR="004456FC" w:rsidRPr="003D070A">
        <w:rPr>
          <w:rFonts w:cs="Arial"/>
          <w:bCs/>
          <w:snapToGrid w:val="0"/>
        </w:rPr>
        <w:t xml:space="preserve">noted that there were an estimated </w:t>
      </w:r>
      <w:r w:rsidR="00B714C8">
        <w:rPr>
          <w:rFonts w:cs="Arial"/>
          <w:bCs/>
          <w:snapToGrid w:val="0"/>
        </w:rPr>
        <w:t>&lt; 500</w:t>
      </w:r>
      <w:r w:rsidR="00B714C8" w:rsidRPr="003D070A">
        <w:rPr>
          <w:rFonts w:cs="Arial"/>
          <w:bCs/>
          <w:snapToGrid w:val="0"/>
        </w:rPr>
        <w:t xml:space="preserve"> </w:t>
      </w:r>
      <w:r w:rsidRPr="003D070A">
        <w:rPr>
          <w:rFonts w:cs="Arial"/>
          <w:bCs/>
          <w:snapToGrid w:val="0"/>
        </w:rPr>
        <w:t>patients currently receiving darolutamide</w:t>
      </w:r>
      <w:r w:rsidR="004456FC" w:rsidRPr="003D070A">
        <w:rPr>
          <w:rFonts w:cs="Arial"/>
          <w:bCs/>
          <w:snapToGrid w:val="0"/>
        </w:rPr>
        <w:t xml:space="preserve"> via </w:t>
      </w:r>
      <w:r w:rsidR="005F4C76" w:rsidRPr="003D070A">
        <w:rPr>
          <w:rFonts w:cs="Arial"/>
          <w:bCs/>
          <w:snapToGrid w:val="0"/>
        </w:rPr>
        <w:t xml:space="preserve">an early </w:t>
      </w:r>
      <w:r w:rsidR="004456FC" w:rsidRPr="003D070A">
        <w:rPr>
          <w:rFonts w:cs="Arial"/>
          <w:bCs/>
          <w:snapToGrid w:val="0"/>
        </w:rPr>
        <w:t xml:space="preserve">access program, but considered that a separate </w:t>
      </w:r>
      <w:r w:rsidR="005F4C76" w:rsidRPr="003D070A">
        <w:rPr>
          <w:rFonts w:cs="Arial"/>
          <w:bCs/>
          <w:snapToGrid w:val="0"/>
        </w:rPr>
        <w:t>‘</w:t>
      </w:r>
      <w:r w:rsidR="004456FC" w:rsidRPr="003D070A">
        <w:rPr>
          <w:rFonts w:cs="Arial"/>
          <w:bCs/>
          <w:snapToGrid w:val="0"/>
        </w:rPr>
        <w:t>grandfather</w:t>
      </w:r>
      <w:r w:rsidR="00796ADA">
        <w:rPr>
          <w:rFonts w:cs="Arial"/>
          <w:bCs/>
          <w:snapToGrid w:val="0"/>
        </w:rPr>
        <w:t>ed</w:t>
      </w:r>
      <w:r w:rsidR="005F4C76" w:rsidRPr="003D070A">
        <w:rPr>
          <w:rFonts w:cs="Arial"/>
          <w:bCs/>
          <w:snapToGrid w:val="0"/>
        </w:rPr>
        <w:t>’</w:t>
      </w:r>
      <w:r w:rsidR="004456FC" w:rsidRPr="003D070A">
        <w:rPr>
          <w:rFonts w:cs="Arial"/>
          <w:bCs/>
          <w:snapToGrid w:val="0"/>
        </w:rPr>
        <w:t xml:space="preserve"> </w:t>
      </w:r>
      <w:r w:rsidR="005F4C76" w:rsidRPr="003D070A">
        <w:rPr>
          <w:rFonts w:cs="Arial"/>
          <w:bCs/>
          <w:snapToGrid w:val="0"/>
        </w:rPr>
        <w:t xml:space="preserve">listing </w:t>
      </w:r>
      <w:r w:rsidR="004456FC" w:rsidRPr="003D070A">
        <w:rPr>
          <w:rFonts w:cs="Arial"/>
          <w:bCs/>
          <w:snapToGrid w:val="0"/>
        </w:rPr>
        <w:t>was not required</w:t>
      </w:r>
      <w:r w:rsidR="005F4C76" w:rsidRPr="003D070A">
        <w:rPr>
          <w:rFonts w:cs="Arial"/>
          <w:bCs/>
          <w:snapToGrid w:val="0"/>
        </w:rPr>
        <w:t xml:space="preserve"> if the </w:t>
      </w:r>
      <w:r w:rsidR="004D7E58" w:rsidRPr="003D070A">
        <w:rPr>
          <w:rFonts w:cs="Arial"/>
          <w:bCs/>
          <w:snapToGrid w:val="0"/>
        </w:rPr>
        <w:t xml:space="preserve">sole </w:t>
      </w:r>
      <w:r w:rsidR="005F4C76" w:rsidRPr="003D070A">
        <w:rPr>
          <w:rFonts w:cs="Arial"/>
          <w:bCs/>
          <w:snapToGrid w:val="0"/>
        </w:rPr>
        <w:t xml:space="preserve">restriction was worded in such a way as to not </w:t>
      </w:r>
      <w:r w:rsidR="004D7E58" w:rsidRPr="003D070A">
        <w:rPr>
          <w:rFonts w:cs="Arial"/>
          <w:bCs/>
          <w:snapToGrid w:val="0"/>
        </w:rPr>
        <w:t xml:space="preserve">inadvertently </w:t>
      </w:r>
      <w:r w:rsidR="005F4C76" w:rsidRPr="003D070A">
        <w:rPr>
          <w:rFonts w:cs="Arial"/>
          <w:bCs/>
          <w:snapToGrid w:val="0"/>
        </w:rPr>
        <w:t>preclude them</w:t>
      </w:r>
      <w:r w:rsidR="005C3433" w:rsidRPr="003D070A">
        <w:rPr>
          <w:rFonts w:cs="Arial"/>
          <w:bCs/>
          <w:snapToGrid w:val="0"/>
        </w:rPr>
        <w:t>.</w:t>
      </w:r>
      <w:r w:rsidRPr="003D070A">
        <w:rPr>
          <w:rFonts w:cs="Arial"/>
          <w:bCs/>
          <w:snapToGrid w:val="0"/>
        </w:rPr>
        <w:t xml:space="preserve"> </w:t>
      </w:r>
      <w:r w:rsidR="009E0352" w:rsidRPr="003D070A">
        <w:rPr>
          <w:rFonts w:cs="Arial"/>
          <w:bCs/>
          <w:snapToGrid w:val="0"/>
        </w:rPr>
        <w:t xml:space="preserve">The intent would be that such patients </w:t>
      </w:r>
      <w:r w:rsidR="009E0080" w:rsidRPr="003D070A">
        <w:rPr>
          <w:rFonts w:cs="Arial"/>
          <w:bCs/>
          <w:snapToGrid w:val="0"/>
        </w:rPr>
        <w:t>be no different to non-‘grandfather</w:t>
      </w:r>
      <w:r w:rsidR="00796ADA">
        <w:rPr>
          <w:rFonts w:cs="Arial"/>
          <w:bCs/>
          <w:snapToGrid w:val="0"/>
        </w:rPr>
        <w:t>ed</w:t>
      </w:r>
      <w:r w:rsidR="009E0080" w:rsidRPr="003D070A">
        <w:rPr>
          <w:rFonts w:cs="Arial"/>
          <w:bCs/>
          <w:snapToGrid w:val="0"/>
        </w:rPr>
        <w:t>’ patients in terms of PBS eligibility.</w:t>
      </w:r>
    </w:p>
    <w:p w:rsidR="005C3433" w:rsidRPr="003D070A" w:rsidRDefault="005C3433" w:rsidP="00790030">
      <w:pPr>
        <w:pStyle w:val="3-BodyText"/>
        <w:rPr>
          <w:rFonts w:cs="Arial"/>
          <w:snapToGrid w:val="0"/>
        </w:rPr>
      </w:pPr>
      <w:r w:rsidRPr="003D070A">
        <w:rPr>
          <w:rFonts w:cs="Arial"/>
          <w:bCs/>
          <w:snapToGrid w:val="0"/>
        </w:rPr>
        <w:t xml:space="preserve">The PBAC noted that it had previously recommended that a criterion be included in the restriction which restricted treatment to patients with a PSA level of at least 2 ng/mL as this would </w:t>
      </w:r>
      <w:r w:rsidR="000F2B3B" w:rsidRPr="003D070A">
        <w:rPr>
          <w:rFonts w:cs="Arial"/>
          <w:bCs/>
          <w:snapToGrid w:val="0"/>
        </w:rPr>
        <w:t xml:space="preserve">identify </w:t>
      </w:r>
      <w:r w:rsidRPr="003D070A">
        <w:rPr>
          <w:rFonts w:cs="Arial"/>
          <w:bCs/>
          <w:snapToGrid w:val="0"/>
        </w:rPr>
        <w:t>patients</w:t>
      </w:r>
      <w:r w:rsidR="005F4C76" w:rsidRPr="003D070A">
        <w:rPr>
          <w:rFonts w:cs="Arial"/>
          <w:bCs/>
          <w:snapToGrid w:val="0"/>
        </w:rPr>
        <w:t xml:space="preserve"> with a higher risk of developing metastas</w:t>
      </w:r>
      <w:r w:rsidR="00730FF5" w:rsidRPr="003D070A">
        <w:rPr>
          <w:rFonts w:cs="Arial"/>
          <w:bCs/>
          <w:snapToGrid w:val="0"/>
        </w:rPr>
        <w:t>e</w:t>
      </w:r>
      <w:r w:rsidR="005F4C76" w:rsidRPr="003D070A">
        <w:rPr>
          <w:rFonts w:cs="Arial"/>
          <w:bCs/>
          <w:snapToGrid w:val="0"/>
        </w:rPr>
        <w:t>s</w:t>
      </w:r>
      <w:r w:rsidR="000F2B3B" w:rsidRPr="003D070A">
        <w:rPr>
          <w:rFonts w:cs="Arial"/>
          <w:bCs/>
          <w:snapToGrid w:val="0"/>
        </w:rPr>
        <w:t>, which in turn would confine subsidy to more cost-effective circumstances</w:t>
      </w:r>
      <w:r w:rsidRPr="003D070A">
        <w:rPr>
          <w:rFonts w:cs="Arial"/>
          <w:bCs/>
          <w:snapToGrid w:val="0"/>
        </w:rPr>
        <w:t xml:space="preserve">. </w:t>
      </w:r>
      <w:r w:rsidR="00E33511" w:rsidRPr="003D070A">
        <w:rPr>
          <w:rFonts w:cs="Arial"/>
          <w:bCs/>
          <w:snapToGrid w:val="0"/>
        </w:rPr>
        <w:t xml:space="preserve">On review, the </w:t>
      </w:r>
      <w:r w:rsidRPr="003D070A">
        <w:rPr>
          <w:rFonts w:cs="Arial"/>
          <w:bCs/>
          <w:snapToGrid w:val="0"/>
        </w:rPr>
        <w:t xml:space="preserve">PBAC </w:t>
      </w:r>
      <w:r w:rsidR="00E33511" w:rsidRPr="003D070A">
        <w:rPr>
          <w:rFonts w:cs="Arial"/>
          <w:bCs/>
          <w:snapToGrid w:val="0"/>
        </w:rPr>
        <w:t xml:space="preserve">considered that the </w:t>
      </w:r>
      <w:r w:rsidR="005F4C76" w:rsidRPr="003D070A">
        <w:rPr>
          <w:rFonts w:cs="Arial"/>
          <w:bCs/>
          <w:snapToGrid w:val="0"/>
        </w:rPr>
        <w:t xml:space="preserve">higher risk </w:t>
      </w:r>
      <w:r w:rsidR="00E33511" w:rsidRPr="003D070A">
        <w:rPr>
          <w:rFonts w:cs="Arial"/>
          <w:bCs/>
          <w:snapToGrid w:val="0"/>
        </w:rPr>
        <w:t xml:space="preserve">population </w:t>
      </w:r>
      <w:r w:rsidR="00E46CD0" w:rsidRPr="003D070A">
        <w:rPr>
          <w:rFonts w:cs="Arial"/>
          <w:bCs/>
          <w:snapToGrid w:val="0"/>
        </w:rPr>
        <w:t xml:space="preserve">would be adequately </w:t>
      </w:r>
      <w:r w:rsidR="00E33511" w:rsidRPr="003D070A">
        <w:rPr>
          <w:rFonts w:cs="Arial"/>
          <w:bCs/>
          <w:snapToGrid w:val="0"/>
        </w:rPr>
        <w:t xml:space="preserve">captured by the criterion requiring a </w:t>
      </w:r>
      <w:r w:rsidR="004D7E58" w:rsidRPr="003D070A">
        <w:rPr>
          <w:rFonts w:cs="Arial"/>
          <w:bCs/>
          <w:snapToGrid w:val="0"/>
        </w:rPr>
        <w:t xml:space="preserve">short </w:t>
      </w:r>
      <w:r w:rsidR="00E33511" w:rsidRPr="003D070A">
        <w:rPr>
          <w:rFonts w:cs="Arial"/>
          <w:bCs/>
          <w:snapToGrid w:val="0"/>
        </w:rPr>
        <w:t xml:space="preserve">prostate-specific antigen (PSA) doubling time </w:t>
      </w:r>
      <w:r w:rsidR="004D7E58" w:rsidRPr="003D070A">
        <w:rPr>
          <w:rFonts w:cs="Arial"/>
          <w:bCs/>
          <w:snapToGrid w:val="0"/>
        </w:rPr>
        <w:t xml:space="preserve">(i.e. doubling within </w:t>
      </w:r>
      <w:r w:rsidR="00E33511" w:rsidRPr="003D070A">
        <w:rPr>
          <w:rFonts w:cs="Arial"/>
          <w:bCs/>
          <w:snapToGrid w:val="0"/>
        </w:rPr>
        <w:t>10 months</w:t>
      </w:r>
      <w:r w:rsidR="004D7E58" w:rsidRPr="003D070A">
        <w:rPr>
          <w:rFonts w:cs="Arial"/>
          <w:bCs/>
          <w:snapToGrid w:val="0"/>
        </w:rPr>
        <w:t>)</w:t>
      </w:r>
      <w:r w:rsidR="00E33511" w:rsidRPr="003D070A">
        <w:rPr>
          <w:rFonts w:cs="Arial"/>
          <w:bCs/>
          <w:snapToGrid w:val="0"/>
        </w:rPr>
        <w:t>.</w:t>
      </w:r>
    </w:p>
    <w:p w:rsidR="00D027A0" w:rsidRPr="003D070A" w:rsidRDefault="003D070A" w:rsidP="00790030">
      <w:pPr>
        <w:pStyle w:val="3-BodyText"/>
        <w:rPr>
          <w:rFonts w:cs="Arial"/>
          <w:snapToGrid w:val="0"/>
        </w:rPr>
      </w:pPr>
      <w:r w:rsidRPr="00F573A7">
        <w:t>The PBAC reiterated that treatment with a novel hormonal agent (NHA, i.e. darolutamide, enzalutamide or abiraterone) should</w:t>
      </w:r>
      <w:r>
        <w:t xml:space="preserve"> </w:t>
      </w:r>
      <w:r w:rsidRPr="00F573A7">
        <w:t>cease upon disease progression and that subsidy of enzalutamide or abiraterone following disease progression on darolutamide should not be available because the sequential use of these drugs in this manner</w:t>
      </w:r>
      <w:r w:rsidRPr="00796ADA">
        <w:t xml:space="preserve"> had </w:t>
      </w:r>
      <w:r w:rsidRPr="00F573A7">
        <w:t>not been studied</w:t>
      </w:r>
      <w:r w:rsidR="00566BE0" w:rsidRPr="003D070A">
        <w:rPr>
          <w:rFonts w:cs="Arial"/>
          <w:bCs/>
          <w:snapToGrid w:val="0"/>
        </w:rPr>
        <w:t xml:space="preserve">. </w:t>
      </w:r>
    </w:p>
    <w:p w:rsidR="00566BE0" w:rsidRPr="003D070A" w:rsidRDefault="00997F29" w:rsidP="00790030">
      <w:pPr>
        <w:pStyle w:val="3-BodyText"/>
        <w:rPr>
          <w:rFonts w:cs="Arial"/>
          <w:snapToGrid w:val="0"/>
        </w:rPr>
      </w:pPr>
      <w:r w:rsidRPr="003D070A">
        <w:rPr>
          <w:rFonts w:cs="Arial"/>
          <w:snapToGrid w:val="0"/>
        </w:rPr>
        <w:t>The PBAC recalled that it had previously considered that the clinical claims that darolutamide resulted in superior efficacy and inferior safety compared to SOC in the treatment of m0CRPC were adequately supported.</w:t>
      </w:r>
      <w:r w:rsidR="00213C49" w:rsidRPr="003D070A">
        <w:rPr>
          <w:rFonts w:cs="Arial"/>
          <w:snapToGrid w:val="0"/>
        </w:rPr>
        <w:t xml:space="preserve"> The PBAC considered that darolutamide offered a moderate benefit in terms of OS, symptom improvement and health related quality of life, noting that darolutamide treatment </w:t>
      </w:r>
      <w:r w:rsidR="00747651" w:rsidRPr="003D070A">
        <w:rPr>
          <w:rFonts w:cs="Arial"/>
          <w:snapToGrid w:val="0"/>
        </w:rPr>
        <w:t xml:space="preserve">in the ARAMIS trial </w:t>
      </w:r>
      <w:r w:rsidR="00213C49" w:rsidRPr="003D070A">
        <w:rPr>
          <w:rFonts w:cs="Arial"/>
          <w:snapToGrid w:val="0"/>
        </w:rPr>
        <w:t>resulted in a</w:t>
      </w:r>
      <w:r w:rsidR="00370DBF" w:rsidRPr="003D070A">
        <w:rPr>
          <w:rFonts w:cs="Arial"/>
          <w:snapToGrid w:val="0"/>
        </w:rPr>
        <w:t>n additional</w:t>
      </w:r>
      <w:r w:rsidR="00213C49" w:rsidRPr="003D070A">
        <w:rPr>
          <w:rFonts w:cs="Arial"/>
          <w:snapToGrid w:val="0"/>
        </w:rPr>
        <w:t xml:space="preserve"> 6% </w:t>
      </w:r>
      <w:r w:rsidR="00370DBF" w:rsidRPr="003D070A">
        <w:rPr>
          <w:rFonts w:cs="Arial"/>
          <w:snapToGrid w:val="0"/>
        </w:rPr>
        <w:t>of patients alive at 3 years, a delay in the development of metastases (median time to metastases of 40.5 months in darolutamide patients versus 22.1 months for SOC patients), a delay in time to pain progression (median of 40.3 months for darolutamide patients versus 25.4 months SOC patients), a reduction in the initiation of chemotherapy (13.3% of darolutamide patients versus 17.7% of SOC patients had initiated chemotherapy at a median follow up of 29.1 months) and a reduction in symptomatic skeletal events (3.0% of darolutamide versus 5.1% of SOC patients had an event at a median follow up of 29.1 months).</w:t>
      </w:r>
      <w:r w:rsidR="00232F7C" w:rsidRPr="003D070A">
        <w:rPr>
          <w:rFonts w:cs="Arial"/>
          <w:snapToGrid w:val="0"/>
        </w:rPr>
        <w:t xml:space="preserve"> The PBAC considered that darolutamide offered less benefit in terms of adverse events compared to SOC, noting that</w:t>
      </w:r>
      <w:r w:rsidR="00007DEC" w:rsidRPr="003D070A">
        <w:rPr>
          <w:rFonts w:cs="Arial"/>
          <w:snapToGrid w:val="0"/>
        </w:rPr>
        <w:t xml:space="preserve"> for every 100 patients treated,</w:t>
      </w:r>
      <w:r w:rsidR="00232F7C" w:rsidRPr="003D070A">
        <w:rPr>
          <w:rFonts w:cs="Arial"/>
          <w:snapToGrid w:val="0"/>
        </w:rPr>
        <w:t xml:space="preserve"> four additional patients would experience cardiovascular events, four additional patients would experience fatigue and two additional patients would experience rash </w:t>
      </w:r>
      <w:r w:rsidR="00007DEC" w:rsidRPr="003D070A">
        <w:rPr>
          <w:rFonts w:cs="Arial"/>
          <w:snapToGrid w:val="0"/>
        </w:rPr>
        <w:t>with</w:t>
      </w:r>
      <w:r w:rsidR="00232F7C" w:rsidRPr="003D070A">
        <w:rPr>
          <w:rFonts w:cs="Arial"/>
          <w:snapToGrid w:val="0"/>
        </w:rPr>
        <w:t xml:space="preserve"> a median duration of treatment of 14.8 months for darolutamide and 11.04 months for SOC.</w:t>
      </w:r>
    </w:p>
    <w:p w:rsidR="00997F29" w:rsidRPr="003D070A" w:rsidRDefault="004C470F" w:rsidP="00B714C8">
      <w:pPr>
        <w:pStyle w:val="3-BodyText"/>
        <w:rPr>
          <w:snapToGrid w:val="0"/>
        </w:rPr>
      </w:pPr>
      <w:r w:rsidRPr="003D070A">
        <w:rPr>
          <w:snapToGrid w:val="0"/>
        </w:rPr>
        <w:t xml:space="preserve">The PBAC </w:t>
      </w:r>
      <w:r w:rsidR="00EB7B92">
        <w:rPr>
          <w:snapToGrid w:val="0"/>
        </w:rPr>
        <w:t xml:space="preserve">was </w:t>
      </w:r>
      <w:r w:rsidR="00EB7B92" w:rsidRPr="003D070A">
        <w:rPr>
          <w:snapToGrid w:val="0"/>
        </w:rPr>
        <w:t>confiden</w:t>
      </w:r>
      <w:r w:rsidR="00EB7B92">
        <w:rPr>
          <w:snapToGrid w:val="0"/>
        </w:rPr>
        <w:t>t</w:t>
      </w:r>
      <w:r w:rsidR="00EB7B92" w:rsidRPr="003D070A">
        <w:rPr>
          <w:snapToGrid w:val="0"/>
        </w:rPr>
        <w:t xml:space="preserve"> </w:t>
      </w:r>
      <w:r w:rsidRPr="003D070A">
        <w:rPr>
          <w:snapToGrid w:val="0"/>
        </w:rPr>
        <w:t xml:space="preserve">in the efficacy estimates observed in the ARAMIS trial. </w:t>
      </w:r>
      <w:r w:rsidR="00997F29" w:rsidRPr="003D070A">
        <w:rPr>
          <w:snapToGrid w:val="0"/>
        </w:rPr>
        <w:t>The PBAC considered that the revised model, which applied (i) a mCRPC utility of 0.635; (ii) Kaplan Meier data until approximately 20% of patients remained at risk; (iii) a 10 year time horizon</w:t>
      </w:r>
      <w:r w:rsidR="00467716" w:rsidRPr="003D070A">
        <w:rPr>
          <w:snapToGrid w:val="0"/>
        </w:rPr>
        <w:t>; and (iv)</w:t>
      </w:r>
      <w:r w:rsidR="002B39FC">
        <w:rPr>
          <w:snapToGrid w:val="0"/>
        </w:rPr>
        <w:t xml:space="preserve"> the proposed 12% price reduction for darolutamide was reasonable. </w:t>
      </w:r>
      <w:r w:rsidR="00D32243" w:rsidRPr="003D070A">
        <w:rPr>
          <w:snapToGrid w:val="0"/>
        </w:rPr>
        <w:t xml:space="preserve">The PBAC noted that </w:t>
      </w:r>
      <w:r w:rsidR="00232F7C" w:rsidRPr="003D070A">
        <w:rPr>
          <w:snapToGrid w:val="0"/>
        </w:rPr>
        <w:t xml:space="preserve">although </w:t>
      </w:r>
      <w:r w:rsidR="00D32243" w:rsidRPr="003D070A">
        <w:rPr>
          <w:snapToGrid w:val="0"/>
        </w:rPr>
        <w:t>the quality adjusted life year (QALY) gains remained overestimated</w:t>
      </w:r>
      <w:r w:rsidR="00232F7C" w:rsidRPr="003D070A">
        <w:rPr>
          <w:snapToGrid w:val="0"/>
        </w:rPr>
        <w:t xml:space="preserve">, the model provided moderate </w:t>
      </w:r>
      <w:r w:rsidR="00F3048D" w:rsidRPr="003D070A">
        <w:rPr>
          <w:snapToGrid w:val="0"/>
        </w:rPr>
        <w:t xml:space="preserve">certainty in terms of modelled benefits and costs. Overall, the PBAC considered that the </w:t>
      </w:r>
      <w:r w:rsidR="00D32243" w:rsidRPr="003D070A">
        <w:rPr>
          <w:snapToGrid w:val="0"/>
        </w:rPr>
        <w:t xml:space="preserve">resulting ICER of </w:t>
      </w:r>
      <w:r w:rsidR="00B714C8" w:rsidRPr="00B714C8">
        <w:rPr>
          <w:rFonts w:cs="Arial"/>
          <w:snapToGrid w:val="0"/>
        </w:rPr>
        <w:t>$35,000 to &lt;</w:t>
      </w:r>
      <w:r w:rsidR="00B714C8">
        <w:rPr>
          <w:rFonts w:cs="Arial"/>
          <w:snapToGrid w:val="0"/>
        </w:rPr>
        <w:t> </w:t>
      </w:r>
      <w:r w:rsidR="00B714C8" w:rsidRPr="00B714C8">
        <w:rPr>
          <w:rFonts w:cs="Arial"/>
          <w:snapToGrid w:val="0"/>
        </w:rPr>
        <w:t>$45,000</w:t>
      </w:r>
      <w:r w:rsidR="00D32243" w:rsidRPr="003D070A">
        <w:rPr>
          <w:snapToGrid w:val="0"/>
        </w:rPr>
        <w:t xml:space="preserve"> per QALY </w:t>
      </w:r>
      <w:r w:rsidR="00F3048D" w:rsidRPr="003D070A">
        <w:rPr>
          <w:snapToGrid w:val="0"/>
        </w:rPr>
        <w:t>provided a high level of certainty regarding the cost effectiveness of darolutamide</w:t>
      </w:r>
      <w:r w:rsidR="00F573A7">
        <w:rPr>
          <w:snapToGrid w:val="0"/>
        </w:rPr>
        <w:t xml:space="preserve">. </w:t>
      </w:r>
    </w:p>
    <w:p w:rsidR="00D32243" w:rsidRPr="003D070A" w:rsidRDefault="001C52C0" w:rsidP="00B714C8">
      <w:pPr>
        <w:pStyle w:val="3-BodyText"/>
        <w:rPr>
          <w:snapToGrid w:val="0"/>
        </w:rPr>
      </w:pPr>
      <w:r w:rsidRPr="003D070A">
        <w:rPr>
          <w:snapToGrid w:val="0"/>
        </w:rPr>
        <w:t>In terms of the estimated utilisation and financial impact, the PBAC noted that the early re-entry submission presented, as requested, updated estimates that omitted the clinical criteria that a ‘Patient must not have distant metastases on conventional imaging’ from the restriction. The PBAC considered that the ‘CRPC; conventional imaging</w:t>
      </w:r>
      <w:r w:rsidR="00467716" w:rsidRPr="003D070A">
        <w:rPr>
          <w:snapToGrid w:val="0"/>
        </w:rPr>
        <w:t xml:space="preserve"> negative</w:t>
      </w:r>
      <w:r w:rsidRPr="003D070A">
        <w:rPr>
          <w:snapToGrid w:val="0"/>
        </w:rPr>
        <w:t>’ cohort was representative of use in the m0CRPC setting</w:t>
      </w:r>
      <w:r w:rsidR="00335F8F" w:rsidRPr="003D070A">
        <w:rPr>
          <w:snapToGrid w:val="0"/>
        </w:rPr>
        <w:t xml:space="preserve"> and that the cost offsets due to substituted therapies and prevention of downstream therapy were appropriate</w:t>
      </w:r>
      <w:r w:rsidRPr="003D070A">
        <w:rPr>
          <w:snapToGrid w:val="0"/>
        </w:rPr>
        <w:t>.</w:t>
      </w:r>
      <w:r w:rsidR="00335F8F" w:rsidRPr="003D070A">
        <w:rPr>
          <w:snapToGrid w:val="0"/>
        </w:rPr>
        <w:t xml:space="preserve"> The PBAC </w:t>
      </w:r>
      <w:r w:rsidR="00B43E5D" w:rsidRPr="003D070A">
        <w:rPr>
          <w:snapToGrid w:val="0"/>
        </w:rPr>
        <w:t xml:space="preserve">considered </w:t>
      </w:r>
      <w:r w:rsidR="00335F8F" w:rsidRPr="003D070A">
        <w:rPr>
          <w:snapToGrid w:val="0"/>
        </w:rPr>
        <w:t>that the utilisation (</w:t>
      </w:r>
      <w:r w:rsidR="00B714C8" w:rsidRPr="00B714C8">
        <w:rPr>
          <w:rFonts w:cs="Arial"/>
          <w:snapToGrid w:val="0"/>
        </w:rPr>
        <w:t>500 to &lt; 5,000</w:t>
      </w:r>
      <w:r w:rsidR="00B714C8">
        <w:rPr>
          <w:rFonts w:cs="Arial"/>
          <w:snapToGrid w:val="0"/>
        </w:rPr>
        <w:t xml:space="preserve"> </w:t>
      </w:r>
      <w:r w:rsidR="00335F8F" w:rsidRPr="003D070A">
        <w:rPr>
          <w:snapToGrid w:val="0"/>
        </w:rPr>
        <w:t xml:space="preserve"> patients in Year 1 and </w:t>
      </w:r>
      <w:r w:rsidR="00B714C8" w:rsidRPr="00B714C8">
        <w:rPr>
          <w:snapToGrid w:val="0"/>
        </w:rPr>
        <w:t>500 to &lt; 5,000</w:t>
      </w:r>
      <w:r w:rsidR="00335F8F" w:rsidRPr="003D070A">
        <w:rPr>
          <w:snapToGrid w:val="0"/>
        </w:rPr>
        <w:t xml:space="preserve"> in Year 6) and the </w:t>
      </w:r>
      <w:r w:rsidR="00467716" w:rsidRPr="003D070A">
        <w:rPr>
          <w:snapToGrid w:val="0"/>
        </w:rPr>
        <w:t xml:space="preserve">net PBS </w:t>
      </w:r>
      <w:r w:rsidR="00335F8F" w:rsidRPr="003D070A">
        <w:rPr>
          <w:snapToGrid w:val="0"/>
        </w:rPr>
        <w:t>financial impact (</w:t>
      </w:r>
      <w:r w:rsidR="00B714C8" w:rsidRPr="00B714C8">
        <w:rPr>
          <w:snapToGrid w:val="0"/>
        </w:rPr>
        <w:t>$10 million to &lt; $20 million</w:t>
      </w:r>
      <w:r w:rsidR="000F3065">
        <w:rPr>
          <w:snapToGrid w:val="0"/>
        </w:rPr>
        <w:t xml:space="preserve"> </w:t>
      </w:r>
      <w:r w:rsidR="00335F8F" w:rsidRPr="003D070A">
        <w:rPr>
          <w:snapToGrid w:val="0"/>
        </w:rPr>
        <w:t xml:space="preserve">in Year 1 and </w:t>
      </w:r>
      <w:r w:rsidR="00B714C8" w:rsidRPr="00B714C8">
        <w:rPr>
          <w:snapToGrid w:val="0"/>
        </w:rPr>
        <w:t>$10 million to &lt; $20 million</w:t>
      </w:r>
      <w:r w:rsidR="00B714C8">
        <w:rPr>
          <w:snapToGrid w:val="0"/>
        </w:rPr>
        <w:t xml:space="preserve"> </w:t>
      </w:r>
      <w:r w:rsidR="00335F8F" w:rsidRPr="003D070A">
        <w:rPr>
          <w:snapToGrid w:val="0"/>
        </w:rPr>
        <w:t xml:space="preserve">in Year 6) </w:t>
      </w:r>
      <w:r w:rsidR="00F3048D" w:rsidRPr="003D070A">
        <w:rPr>
          <w:snapToGrid w:val="0"/>
        </w:rPr>
        <w:t xml:space="preserve">estimates provided a </w:t>
      </w:r>
      <w:r w:rsidR="00335F8F" w:rsidRPr="003D070A">
        <w:rPr>
          <w:snapToGrid w:val="0"/>
        </w:rPr>
        <w:t>reasonable</w:t>
      </w:r>
      <w:r w:rsidR="00F3048D" w:rsidRPr="003D070A">
        <w:rPr>
          <w:snapToGrid w:val="0"/>
        </w:rPr>
        <w:t xml:space="preserve"> indication of the likely use and expenditure of darolutamide in the m0CRPC setting</w:t>
      </w:r>
      <w:r w:rsidR="00335F8F" w:rsidRPr="003D070A">
        <w:rPr>
          <w:snapToGrid w:val="0"/>
        </w:rPr>
        <w:t>.</w:t>
      </w:r>
    </w:p>
    <w:p w:rsidR="00335F8F" w:rsidRPr="003D070A" w:rsidRDefault="00335F8F" w:rsidP="00790030">
      <w:pPr>
        <w:pStyle w:val="3-BodyText"/>
        <w:rPr>
          <w:rFonts w:cs="Arial"/>
          <w:snapToGrid w:val="0"/>
        </w:rPr>
      </w:pPr>
      <w:r w:rsidRPr="003D070A">
        <w:rPr>
          <w:rFonts w:cs="Arial"/>
          <w:snapToGrid w:val="0"/>
        </w:rPr>
        <w:t>The PBAC advised that darolutamide is not suitable for prescribing by nurse practitioners.</w:t>
      </w:r>
    </w:p>
    <w:p w:rsidR="008A18FD" w:rsidRPr="003D070A" w:rsidRDefault="008A18FD" w:rsidP="008A18FD">
      <w:pPr>
        <w:pStyle w:val="3-BodyText"/>
        <w:rPr>
          <w:rFonts w:cs="Arial"/>
          <w:snapToGrid w:val="0"/>
        </w:rPr>
      </w:pPr>
      <w:r w:rsidRPr="003D070A">
        <w:rPr>
          <w:rFonts w:cs="Arial"/>
          <w:snapToGrid w:val="0"/>
        </w:rPr>
        <w:t>The PBAC advised that darolutamide should not be exempt from the Early Supply Rule.</w:t>
      </w:r>
    </w:p>
    <w:p w:rsidR="00335F8F" w:rsidRPr="003D070A" w:rsidRDefault="00335F8F" w:rsidP="00790030">
      <w:pPr>
        <w:pStyle w:val="3-BodyText"/>
        <w:rPr>
          <w:rFonts w:cs="Arial"/>
          <w:snapToGrid w:val="0"/>
        </w:rPr>
      </w:pPr>
      <w:r w:rsidRPr="003D070A">
        <w:rPr>
          <w:rFonts w:cs="Arial"/>
          <w:snapToGrid w:val="0"/>
        </w:rPr>
        <w:t xml:space="preserve">The PBAC advised that, under </w:t>
      </w:r>
      <w:r w:rsidR="008A18FD" w:rsidRPr="003D070A">
        <w:rPr>
          <w:rFonts w:cs="Arial"/>
          <w:snapToGrid w:val="0"/>
        </w:rPr>
        <w:t>S</w:t>
      </w:r>
      <w:r w:rsidRPr="003D070A">
        <w:rPr>
          <w:rFonts w:cs="Arial"/>
          <w:snapToGrid w:val="0"/>
        </w:rPr>
        <w:t>ect</w:t>
      </w:r>
      <w:r w:rsidR="008A18FD" w:rsidRPr="003D070A">
        <w:rPr>
          <w:rFonts w:cs="Arial"/>
          <w:snapToGrid w:val="0"/>
        </w:rPr>
        <w:t>i</w:t>
      </w:r>
      <w:r w:rsidRPr="003D070A">
        <w:rPr>
          <w:rFonts w:cs="Arial"/>
          <w:snapToGrid w:val="0"/>
        </w:rPr>
        <w:t xml:space="preserve">on 101(3BA) of the </w:t>
      </w:r>
      <w:r w:rsidRPr="003D070A">
        <w:rPr>
          <w:rFonts w:cs="Arial"/>
          <w:i/>
          <w:snapToGrid w:val="0"/>
        </w:rPr>
        <w:t>National Health Act 1953</w:t>
      </w:r>
      <w:r w:rsidRPr="003D070A">
        <w:rPr>
          <w:rFonts w:cs="Arial"/>
          <w:snapToGrid w:val="0"/>
        </w:rPr>
        <w:t>, darolutamide should not be treated as interchangeable on an individual patient basis with any other drug.</w:t>
      </w:r>
    </w:p>
    <w:p w:rsidR="008A18FD" w:rsidRPr="003D070A" w:rsidRDefault="00335F8F" w:rsidP="00790030">
      <w:pPr>
        <w:pStyle w:val="3-BodyText"/>
        <w:rPr>
          <w:rFonts w:cs="Arial"/>
          <w:snapToGrid w:val="0"/>
        </w:rPr>
      </w:pPr>
      <w:r w:rsidRPr="003D070A">
        <w:rPr>
          <w:rFonts w:cs="Arial"/>
          <w:snapToGrid w:val="0"/>
        </w:rPr>
        <w:t xml:space="preserve">The PBAC </w:t>
      </w:r>
      <w:r w:rsidR="008A18FD" w:rsidRPr="003D070A">
        <w:rPr>
          <w:rFonts w:cs="Arial"/>
          <w:snapToGrid w:val="0"/>
        </w:rPr>
        <w:t>found that the criteria prescribed by the National Health (Pharmaceuticals and Vaccines – Cost Recovery) Regulations 2009 for Pricing Pathway A were not met. Specifically, the PBAC found that in the circumstances of its recommendation for darolutamide:</w:t>
      </w:r>
    </w:p>
    <w:p w:rsidR="008A18FD" w:rsidRPr="00EB7B92" w:rsidRDefault="008A18FD" w:rsidP="008A18FD">
      <w:pPr>
        <w:pStyle w:val="3-BodyText"/>
        <w:numPr>
          <w:ilvl w:val="1"/>
          <w:numId w:val="29"/>
        </w:numPr>
        <w:ind w:left="1077" w:hanging="357"/>
        <w:rPr>
          <w:snapToGrid w:val="0"/>
        </w:rPr>
      </w:pPr>
      <w:r w:rsidRPr="00F573A7">
        <w:rPr>
          <w:snapToGrid w:val="0"/>
        </w:rPr>
        <w:t xml:space="preserve">The treatment is not expected to provide a substantial and clinically relevant improvement in efficacy over standard of care. The PBAC considered </w:t>
      </w:r>
      <w:r w:rsidR="009F521F" w:rsidRPr="00F573A7">
        <w:rPr>
          <w:snapToGrid w:val="0"/>
        </w:rPr>
        <w:t>the improvement in efficacy with darolutamide over standard of care to be moderate</w:t>
      </w:r>
      <w:r w:rsidRPr="00796ADA">
        <w:rPr>
          <w:snapToGrid w:val="0"/>
        </w:rPr>
        <w:t>;</w:t>
      </w:r>
    </w:p>
    <w:p w:rsidR="008A18FD" w:rsidRPr="00F573A7" w:rsidRDefault="008A18FD" w:rsidP="008A18FD">
      <w:pPr>
        <w:pStyle w:val="3-BodyText"/>
        <w:numPr>
          <w:ilvl w:val="1"/>
          <w:numId w:val="29"/>
        </w:numPr>
        <w:ind w:left="1077" w:hanging="357"/>
        <w:rPr>
          <w:snapToGrid w:val="0"/>
        </w:rPr>
      </w:pPr>
      <w:r w:rsidRPr="00F573A7">
        <w:rPr>
          <w:snapToGrid w:val="0"/>
        </w:rPr>
        <w:t>The treatment is not expected to address a high and urgent unmet clinical need</w:t>
      </w:r>
      <w:r w:rsidR="00A43634" w:rsidRPr="00F573A7">
        <w:rPr>
          <w:snapToGrid w:val="0"/>
        </w:rPr>
        <w:t>. The PBAC considered there was a moderate clinical need noting that similar novel androgen deprivation therapy is PBS listed although only for CRPC patients with metastases</w:t>
      </w:r>
      <w:r w:rsidRPr="00F573A7">
        <w:rPr>
          <w:snapToGrid w:val="0"/>
        </w:rPr>
        <w:t>;</w:t>
      </w:r>
    </w:p>
    <w:p w:rsidR="008A18FD" w:rsidRPr="00F573A7" w:rsidRDefault="008A18FD" w:rsidP="008A18FD">
      <w:pPr>
        <w:pStyle w:val="3-BodyText"/>
        <w:numPr>
          <w:ilvl w:val="1"/>
          <w:numId w:val="29"/>
        </w:numPr>
        <w:ind w:left="1077" w:hanging="357"/>
        <w:rPr>
          <w:snapToGrid w:val="0"/>
        </w:rPr>
      </w:pPr>
      <w:r w:rsidRPr="00F573A7">
        <w:rPr>
          <w:snapToGrid w:val="0"/>
        </w:rPr>
        <w:t>It was not necessary to make a finding in relation to whether it would be in the public interest for the subsequent pricing application to be progressed under Pricing Pathway A because one or more of the preceding tests had failed.</w:t>
      </w:r>
    </w:p>
    <w:p w:rsidR="008A18FD" w:rsidRPr="003D070A" w:rsidRDefault="008A18FD" w:rsidP="00790030">
      <w:pPr>
        <w:pStyle w:val="3-BodyText"/>
        <w:rPr>
          <w:rFonts w:cs="Arial"/>
          <w:bCs/>
          <w:snapToGrid w:val="0"/>
        </w:rPr>
      </w:pPr>
      <w:r w:rsidRPr="003D070A">
        <w:rPr>
          <w:rFonts w:cs="Arial"/>
          <w:bCs/>
          <w:snapToGrid w:val="0"/>
        </w:rPr>
        <w:t>The PBAC noted that this submission was not eligible for an Independent Review as it received a positive recommendation.</w:t>
      </w:r>
    </w:p>
    <w:p w:rsidR="00790030" w:rsidRPr="003D070A" w:rsidRDefault="00790030" w:rsidP="00790030">
      <w:pPr>
        <w:spacing w:before="240"/>
        <w:rPr>
          <w:rFonts w:asciiTheme="minorHAnsi" w:hAnsiTheme="minorHAnsi" w:cs="Arial"/>
          <w:b/>
          <w:bCs/>
          <w:snapToGrid w:val="0"/>
        </w:rPr>
      </w:pPr>
      <w:r w:rsidRPr="003D070A">
        <w:rPr>
          <w:rFonts w:asciiTheme="minorHAnsi" w:hAnsiTheme="minorHAnsi" w:cs="Arial"/>
          <w:b/>
          <w:bCs/>
          <w:snapToGrid w:val="0"/>
        </w:rPr>
        <w:t>Outcome:</w:t>
      </w:r>
    </w:p>
    <w:p w:rsidR="00790030" w:rsidRPr="003D070A" w:rsidRDefault="00790030" w:rsidP="00790030">
      <w:pPr>
        <w:rPr>
          <w:rFonts w:asciiTheme="minorHAnsi" w:hAnsiTheme="minorHAnsi" w:cs="Arial"/>
          <w:bCs/>
          <w:snapToGrid w:val="0"/>
        </w:rPr>
      </w:pPr>
      <w:r w:rsidRPr="003D070A">
        <w:rPr>
          <w:rFonts w:asciiTheme="minorHAnsi" w:hAnsiTheme="minorHAnsi" w:cs="Arial"/>
          <w:bCs/>
          <w:snapToGrid w:val="0"/>
        </w:rPr>
        <w:t xml:space="preserve">Recommended </w:t>
      </w:r>
    </w:p>
    <w:p w:rsidR="00790030" w:rsidRPr="00F573A7" w:rsidRDefault="00790030" w:rsidP="00790030">
      <w:pPr>
        <w:widowControl w:val="0"/>
        <w:rPr>
          <w:rFonts w:asciiTheme="minorHAnsi" w:hAnsiTheme="minorHAnsi" w:cs="Arial"/>
          <w:b/>
          <w:bCs/>
          <w:snapToGrid w:val="0"/>
        </w:rPr>
      </w:pPr>
    </w:p>
    <w:p w:rsidR="00790030" w:rsidRPr="003D070A" w:rsidRDefault="00790030" w:rsidP="00744A52">
      <w:pPr>
        <w:pStyle w:val="2-SectionHeading"/>
        <w:rPr>
          <w:b w:val="0"/>
          <w:iCs/>
        </w:rPr>
      </w:pPr>
      <w:bookmarkStart w:id="8" w:name="_GoBack"/>
      <w:bookmarkEnd w:id="6"/>
      <w:bookmarkEnd w:id="8"/>
      <w:r w:rsidRPr="003D070A">
        <w:t>Recommended listing</w:t>
      </w:r>
    </w:p>
    <w:p w:rsidR="00790030" w:rsidRPr="00F573A7" w:rsidRDefault="00790030" w:rsidP="00744A52">
      <w:pPr>
        <w:pStyle w:val="3-BodyText"/>
        <w:rPr>
          <w:rFonts w:cs="Arial"/>
          <w:bCs/>
          <w:snapToGrid w:val="0"/>
        </w:rPr>
      </w:pPr>
      <w:r w:rsidRPr="00F573A7">
        <w:rPr>
          <w:rFonts w:cs="Arial"/>
          <w:bCs/>
          <w:snapToGrid w:val="0"/>
        </w:rPr>
        <w:t xml:space="preserve">Add new </w:t>
      </w:r>
      <w:r w:rsidR="00744A52" w:rsidRPr="00F573A7">
        <w:rPr>
          <w:rFonts w:cs="Arial"/>
          <w:bCs/>
          <w:snapToGrid w:val="0"/>
        </w:rPr>
        <w:t>medicinal product as follows</w:t>
      </w:r>
      <w:r w:rsidRPr="00F573A7">
        <w:rPr>
          <w:rFonts w:cs="Arial"/>
          <w:bCs/>
          <w:snapToGrid w:val="0"/>
        </w:rPr>
        <w:t>:</w:t>
      </w:r>
    </w:p>
    <w:p w:rsidR="00E33511" w:rsidRPr="00796ADA" w:rsidRDefault="00E33511" w:rsidP="00A85CDE">
      <w:pPr>
        <w:pStyle w:val="3-BodyText"/>
        <w:numPr>
          <w:ilvl w:val="0"/>
          <w:numId w:val="0"/>
        </w:numPr>
        <w:spacing w:after="0"/>
        <w:rPr>
          <w:rFonts w:cs="Arial"/>
          <w:bCs/>
          <w:snapToGrid w:val="0"/>
        </w:rPr>
      </w:pPr>
    </w:p>
    <w:tbl>
      <w:tblPr>
        <w:tblStyle w:val="TableGrid"/>
        <w:tblW w:w="9067" w:type="dxa"/>
        <w:tblLayout w:type="fixed"/>
        <w:tblLook w:val="04A0" w:firstRow="1" w:lastRow="0" w:firstColumn="1" w:lastColumn="0" w:noHBand="0" w:noVBand="1"/>
        <w:tblCaption w:val="recommended listing"/>
      </w:tblPr>
      <w:tblGrid>
        <w:gridCol w:w="1271"/>
        <w:gridCol w:w="1418"/>
        <w:gridCol w:w="1275"/>
        <w:gridCol w:w="1418"/>
        <w:gridCol w:w="1417"/>
        <w:gridCol w:w="1134"/>
        <w:gridCol w:w="1134"/>
      </w:tblGrid>
      <w:tr w:rsidR="00744A52" w:rsidRPr="00F573A7" w:rsidTr="000864B4">
        <w:trPr>
          <w:tblHeader/>
        </w:trPr>
        <w:tc>
          <w:tcPr>
            <w:tcW w:w="2689" w:type="dxa"/>
            <w:gridSpan w:val="2"/>
          </w:tcPr>
          <w:p w:rsidR="00744A52" w:rsidRPr="00F573A7" w:rsidRDefault="00EB7B92" w:rsidP="00593BB2">
            <w:pPr>
              <w:rPr>
                <w:rFonts w:ascii="Arial Narrow" w:hAnsi="Arial Narrow"/>
                <w:b/>
                <w:snapToGrid w:val="0"/>
                <w:sz w:val="18"/>
                <w:szCs w:val="18"/>
              </w:rPr>
            </w:pPr>
            <w:r w:rsidRPr="00EB7B92">
              <w:rPr>
                <w:rFonts w:ascii="Arial Narrow" w:hAnsi="Arial Narrow"/>
                <w:b/>
                <w:snapToGrid w:val="0"/>
                <w:sz w:val="18"/>
                <w:szCs w:val="18"/>
              </w:rPr>
              <w:t>MEDICINAL</w:t>
            </w:r>
            <w:r w:rsidR="00744A52" w:rsidRPr="00F573A7">
              <w:rPr>
                <w:rFonts w:ascii="Arial Narrow" w:hAnsi="Arial Narrow"/>
                <w:b/>
                <w:snapToGrid w:val="0"/>
                <w:sz w:val="18"/>
                <w:szCs w:val="18"/>
              </w:rPr>
              <w:t xml:space="preserve"> PRODUCT</w:t>
            </w:r>
          </w:p>
          <w:p w:rsidR="00744A52" w:rsidRPr="00F573A7" w:rsidRDefault="00744A52" w:rsidP="00593BB2">
            <w:pPr>
              <w:rPr>
                <w:rFonts w:ascii="Arial Narrow" w:hAnsi="Arial Narrow"/>
                <w:b/>
                <w:snapToGrid w:val="0"/>
                <w:sz w:val="18"/>
                <w:szCs w:val="18"/>
              </w:rPr>
            </w:pPr>
            <w:r w:rsidRPr="00F573A7">
              <w:rPr>
                <w:rFonts w:ascii="Arial Narrow" w:hAnsi="Arial Narrow"/>
                <w:b/>
                <w:snapToGrid w:val="0"/>
                <w:sz w:val="18"/>
                <w:szCs w:val="18"/>
              </w:rPr>
              <w:t>medicinal product pack</w:t>
            </w:r>
          </w:p>
        </w:tc>
        <w:tc>
          <w:tcPr>
            <w:tcW w:w="1275" w:type="dxa"/>
          </w:tcPr>
          <w:p w:rsidR="00744A52" w:rsidRPr="00F573A7" w:rsidRDefault="00744A52" w:rsidP="00593BB2">
            <w:pPr>
              <w:jc w:val="center"/>
              <w:rPr>
                <w:rFonts w:ascii="Arial Narrow" w:hAnsi="Arial Narrow"/>
                <w:b/>
                <w:snapToGrid w:val="0"/>
                <w:sz w:val="18"/>
                <w:szCs w:val="18"/>
              </w:rPr>
            </w:pPr>
            <w:r w:rsidRPr="00F573A7">
              <w:rPr>
                <w:rFonts w:ascii="Arial Narrow" w:hAnsi="Arial Narrow"/>
                <w:b/>
                <w:snapToGrid w:val="0"/>
                <w:sz w:val="18"/>
                <w:szCs w:val="18"/>
              </w:rPr>
              <w:t>PBS item code</w:t>
            </w:r>
          </w:p>
        </w:tc>
        <w:tc>
          <w:tcPr>
            <w:tcW w:w="1418" w:type="dxa"/>
          </w:tcPr>
          <w:p w:rsidR="00744A52" w:rsidRPr="00F573A7" w:rsidRDefault="00744A52" w:rsidP="00593BB2">
            <w:pPr>
              <w:jc w:val="center"/>
              <w:rPr>
                <w:rFonts w:ascii="Arial Narrow" w:hAnsi="Arial Narrow"/>
                <w:b/>
                <w:snapToGrid w:val="0"/>
                <w:sz w:val="18"/>
                <w:szCs w:val="18"/>
              </w:rPr>
            </w:pPr>
            <w:r w:rsidRPr="00F573A7">
              <w:rPr>
                <w:rFonts w:ascii="Arial Narrow" w:hAnsi="Arial Narrow"/>
                <w:b/>
                <w:snapToGrid w:val="0"/>
                <w:sz w:val="18"/>
                <w:szCs w:val="18"/>
              </w:rPr>
              <w:t>Max</w:t>
            </w:r>
            <w:r w:rsidR="00F573A7">
              <w:rPr>
                <w:rFonts w:ascii="Arial Narrow" w:hAnsi="Arial Narrow"/>
                <w:b/>
                <w:snapToGrid w:val="0"/>
                <w:sz w:val="18"/>
                <w:szCs w:val="18"/>
              </w:rPr>
              <w:t xml:space="preserve">. </w:t>
            </w:r>
            <w:r w:rsidRPr="00F573A7">
              <w:rPr>
                <w:rFonts w:ascii="Arial Narrow" w:hAnsi="Arial Narrow"/>
                <w:b/>
                <w:snapToGrid w:val="0"/>
                <w:sz w:val="18"/>
                <w:szCs w:val="18"/>
              </w:rPr>
              <w:t>Qty (units)</w:t>
            </w:r>
          </w:p>
        </w:tc>
        <w:tc>
          <w:tcPr>
            <w:tcW w:w="1417" w:type="dxa"/>
          </w:tcPr>
          <w:p w:rsidR="00744A52" w:rsidRPr="00796ADA" w:rsidRDefault="00744A52" w:rsidP="00593BB2">
            <w:pPr>
              <w:jc w:val="center"/>
              <w:rPr>
                <w:rFonts w:ascii="Arial Narrow" w:hAnsi="Arial Narrow"/>
                <w:b/>
                <w:snapToGrid w:val="0"/>
                <w:sz w:val="18"/>
                <w:szCs w:val="18"/>
              </w:rPr>
            </w:pPr>
            <w:r w:rsidRPr="00F573A7">
              <w:rPr>
                <w:rFonts w:ascii="Arial Narrow" w:hAnsi="Arial Narrow"/>
                <w:b/>
                <w:snapToGrid w:val="0"/>
                <w:sz w:val="18"/>
                <w:szCs w:val="18"/>
              </w:rPr>
              <w:t>Max. Qty (packs)</w:t>
            </w:r>
          </w:p>
        </w:tc>
        <w:tc>
          <w:tcPr>
            <w:tcW w:w="1134" w:type="dxa"/>
          </w:tcPr>
          <w:p w:rsidR="00744A52" w:rsidRPr="00F573A7" w:rsidRDefault="00744A52" w:rsidP="00593BB2">
            <w:pPr>
              <w:jc w:val="center"/>
              <w:rPr>
                <w:rFonts w:ascii="Arial Narrow" w:hAnsi="Arial Narrow"/>
                <w:b/>
                <w:snapToGrid w:val="0"/>
                <w:sz w:val="18"/>
                <w:szCs w:val="18"/>
              </w:rPr>
            </w:pPr>
            <w:r w:rsidRPr="00F573A7">
              <w:rPr>
                <w:rFonts w:ascii="Arial Narrow" w:hAnsi="Arial Narrow"/>
                <w:b/>
                <w:snapToGrid w:val="0"/>
                <w:sz w:val="18"/>
                <w:szCs w:val="18"/>
              </w:rPr>
              <w:t>No. of Rpts</w:t>
            </w:r>
          </w:p>
        </w:tc>
        <w:tc>
          <w:tcPr>
            <w:tcW w:w="1134" w:type="dxa"/>
          </w:tcPr>
          <w:p w:rsidR="00744A52" w:rsidRPr="00F573A7" w:rsidRDefault="00744A52" w:rsidP="00593BB2">
            <w:pPr>
              <w:rPr>
                <w:rFonts w:ascii="Arial Narrow" w:hAnsi="Arial Narrow"/>
                <w:b/>
                <w:snapToGrid w:val="0"/>
                <w:sz w:val="18"/>
                <w:szCs w:val="18"/>
              </w:rPr>
            </w:pPr>
            <w:r w:rsidRPr="00F573A7">
              <w:rPr>
                <w:rFonts w:ascii="Arial Narrow" w:hAnsi="Arial Narrow"/>
                <w:b/>
                <w:snapToGrid w:val="0"/>
                <w:sz w:val="18"/>
                <w:szCs w:val="18"/>
              </w:rPr>
              <w:t>Available brands</w:t>
            </w:r>
          </w:p>
        </w:tc>
      </w:tr>
      <w:tr w:rsidR="00744A52" w:rsidRPr="00F573A7" w:rsidTr="00593BB2">
        <w:tc>
          <w:tcPr>
            <w:tcW w:w="9067" w:type="dxa"/>
            <w:gridSpan w:val="7"/>
          </w:tcPr>
          <w:p w:rsidR="00744A52" w:rsidRPr="00F573A7" w:rsidRDefault="00744A52" w:rsidP="00593BB2">
            <w:pPr>
              <w:rPr>
                <w:rFonts w:ascii="Arial Narrow" w:hAnsi="Arial Narrow"/>
                <w:snapToGrid w:val="0"/>
                <w:sz w:val="18"/>
                <w:szCs w:val="18"/>
              </w:rPr>
            </w:pPr>
            <w:r w:rsidRPr="00F573A7">
              <w:rPr>
                <w:rFonts w:ascii="Arial Narrow" w:hAnsi="Arial Narrow"/>
                <w:snapToGrid w:val="0"/>
                <w:sz w:val="18"/>
                <w:szCs w:val="18"/>
              </w:rPr>
              <w:t>DAROLUTAMIDE</w:t>
            </w:r>
          </w:p>
        </w:tc>
      </w:tr>
      <w:tr w:rsidR="00744A52" w:rsidRPr="00F573A7" w:rsidTr="00593BB2">
        <w:trPr>
          <w:trHeight w:val="220"/>
        </w:trPr>
        <w:tc>
          <w:tcPr>
            <w:tcW w:w="2689" w:type="dxa"/>
            <w:gridSpan w:val="2"/>
          </w:tcPr>
          <w:p w:rsidR="00744A52" w:rsidRPr="00F573A7" w:rsidRDefault="00744A52" w:rsidP="00593BB2">
            <w:pPr>
              <w:rPr>
                <w:rFonts w:ascii="Arial Narrow" w:hAnsi="Arial Narrow"/>
                <w:snapToGrid w:val="0"/>
                <w:sz w:val="18"/>
                <w:szCs w:val="18"/>
              </w:rPr>
            </w:pPr>
            <w:r w:rsidRPr="00F573A7">
              <w:rPr>
                <w:rFonts w:ascii="Arial Narrow" w:hAnsi="Arial Narrow"/>
                <w:snapToGrid w:val="0"/>
                <w:sz w:val="18"/>
                <w:szCs w:val="18"/>
              </w:rPr>
              <w:t>darolutamide 300 mg tablet, 112</w:t>
            </w:r>
          </w:p>
        </w:tc>
        <w:tc>
          <w:tcPr>
            <w:tcW w:w="1275" w:type="dxa"/>
          </w:tcPr>
          <w:p w:rsidR="00744A52" w:rsidRPr="00F573A7" w:rsidRDefault="00744A52" w:rsidP="00593BB2">
            <w:pPr>
              <w:jc w:val="center"/>
              <w:rPr>
                <w:rFonts w:ascii="Arial Narrow" w:hAnsi="Arial Narrow"/>
                <w:snapToGrid w:val="0"/>
                <w:sz w:val="18"/>
                <w:szCs w:val="18"/>
              </w:rPr>
            </w:pPr>
            <w:r w:rsidRPr="00F573A7">
              <w:rPr>
                <w:rFonts w:ascii="Arial Narrow" w:hAnsi="Arial Narrow"/>
                <w:snapToGrid w:val="0"/>
                <w:sz w:val="18"/>
                <w:szCs w:val="18"/>
              </w:rPr>
              <w:t>New</w:t>
            </w:r>
          </w:p>
        </w:tc>
        <w:tc>
          <w:tcPr>
            <w:tcW w:w="1418" w:type="dxa"/>
          </w:tcPr>
          <w:p w:rsidR="00744A52" w:rsidRPr="00F573A7" w:rsidRDefault="00744A52" w:rsidP="00593BB2">
            <w:pPr>
              <w:jc w:val="center"/>
              <w:rPr>
                <w:rFonts w:ascii="Arial Narrow" w:hAnsi="Arial Narrow"/>
                <w:snapToGrid w:val="0"/>
                <w:sz w:val="18"/>
                <w:szCs w:val="18"/>
              </w:rPr>
            </w:pPr>
            <w:r w:rsidRPr="00F573A7">
              <w:rPr>
                <w:rFonts w:ascii="Arial Narrow" w:hAnsi="Arial Narrow"/>
                <w:snapToGrid w:val="0"/>
                <w:sz w:val="18"/>
                <w:szCs w:val="18"/>
              </w:rPr>
              <w:t>112</w:t>
            </w:r>
          </w:p>
        </w:tc>
        <w:tc>
          <w:tcPr>
            <w:tcW w:w="1417" w:type="dxa"/>
          </w:tcPr>
          <w:p w:rsidR="00744A52" w:rsidRPr="00F573A7" w:rsidRDefault="00744A52" w:rsidP="00593BB2">
            <w:pPr>
              <w:jc w:val="center"/>
              <w:rPr>
                <w:rFonts w:ascii="Arial Narrow" w:hAnsi="Arial Narrow"/>
                <w:snapToGrid w:val="0"/>
                <w:sz w:val="18"/>
                <w:szCs w:val="18"/>
              </w:rPr>
            </w:pPr>
            <w:r w:rsidRPr="00F573A7">
              <w:rPr>
                <w:rFonts w:ascii="Arial Narrow" w:hAnsi="Arial Narrow"/>
                <w:snapToGrid w:val="0"/>
                <w:sz w:val="18"/>
                <w:szCs w:val="18"/>
              </w:rPr>
              <w:t>1</w:t>
            </w:r>
          </w:p>
        </w:tc>
        <w:tc>
          <w:tcPr>
            <w:tcW w:w="1134" w:type="dxa"/>
          </w:tcPr>
          <w:p w:rsidR="00744A52" w:rsidRPr="00F573A7" w:rsidRDefault="00744A52" w:rsidP="00593BB2">
            <w:pPr>
              <w:keepNext/>
              <w:keepLines/>
              <w:jc w:val="center"/>
              <w:rPr>
                <w:rFonts w:ascii="Arial Narrow" w:hAnsi="Arial Narrow" w:cs="Arial"/>
                <w:sz w:val="18"/>
                <w:szCs w:val="18"/>
              </w:rPr>
            </w:pPr>
            <w:r w:rsidRPr="00F573A7">
              <w:rPr>
                <w:rFonts w:ascii="Arial Narrow" w:hAnsi="Arial Narrow" w:cs="Arial"/>
                <w:sz w:val="18"/>
                <w:szCs w:val="18"/>
              </w:rPr>
              <w:t>5</w:t>
            </w:r>
          </w:p>
        </w:tc>
        <w:tc>
          <w:tcPr>
            <w:tcW w:w="1134" w:type="dxa"/>
          </w:tcPr>
          <w:p w:rsidR="00744A52" w:rsidRPr="00F573A7" w:rsidRDefault="00744A52" w:rsidP="00593BB2">
            <w:pPr>
              <w:rPr>
                <w:rFonts w:ascii="Arial Narrow" w:hAnsi="Arial Narrow"/>
                <w:snapToGrid w:val="0"/>
                <w:sz w:val="18"/>
                <w:szCs w:val="18"/>
                <w:vertAlign w:val="superscript"/>
              </w:rPr>
            </w:pPr>
            <w:r w:rsidRPr="00F573A7">
              <w:rPr>
                <w:rFonts w:ascii="Arial Narrow" w:hAnsi="Arial Narrow"/>
                <w:snapToGrid w:val="0"/>
                <w:sz w:val="18"/>
                <w:szCs w:val="18"/>
              </w:rPr>
              <w:t>Nubeqa</w:t>
            </w:r>
          </w:p>
        </w:tc>
      </w:tr>
      <w:tr w:rsidR="00744A52" w:rsidRPr="00F573A7" w:rsidTr="00593BB2">
        <w:tc>
          <w:tcPr>
            <w:tcW w:w="9067" w:type="dxa"/>
            <w:gridSpan w:val="7"/>
          </w:tcPr>
          <w:p w:rsidR="00744A52" w:rsidRPr="00F573A7" w:rsidRDefault="00744A52" w:rsidP="00593BB2">
            <w:pPr>
              <w:rPr>
                <w:rFonts w:ascii="Arial Narrow" w:hAnsi="Arial Narrow"/>
                <w:snapToGrid w:val="0"/>
                <w:sz w:val="18"/>
                <w:szCs w:val="18"/>
              </w:rPr>
            </w:pPr>
          </w:p>
        </w:tc>
      </w:tr>
      <w:tr w:rsidR="00744A52" w:rsidRPr="00F573A7" w:rsidTr="00593BB2">
        <w:tc>
          <w:tcPr>
            <w:tcW w:w="9067" w:type="dxa"/>
            <w:gridSpan w:val="7"/>
          </w:tcPr>
          <w:p w:rsidR="00744A52" w:rsidRPr="00F573A7" w:rsidRDefault="00744A52" w:rsidP="00593BB2">
            <w:pPr>
              <w:rPr>
                <w:rFonts w:ascii="Arial Narrow" w:hAnsi="Arial Narrow"/>
                <w:b/>
                <w:snapToGrid w:val="0"/>
                <w:sz w:val="18"/>
                <w:szCs w:val="18"/>
              </w:rPr>
            </w:pPr>
            <w:r w:rsidRPr="00F573A7">
              <w:rPr>
                <w:rFonts w:ascii="Arial Narrow" w:hAnsi="Arial Narrow"/>
                <w:b/>
                <w:snapToGrid w:val="0"/>
                <w:sz w:val="18"/>
                <w:szCs w:val="18"/>
              </w:rPr>
              <w:t>Restriction Summary / Treatment of Concept: [NEW]</w:t>
            </w:r>
          </w:p>
        </w:tc>
      </w:tr>
      <w:tr w:rsidR="00744A52" w:rsidRPr="00F573A7" w:rsidTr="00593BB2">
        <w:tc>
          <w:tcPr>
            <w:tcW w:w="1271" w:type="dxa"/>
            <w:vMerge w:val="restart"/>
          </w:tcPr>
          <w:p w:rsidR="00744A52" w:rsidRPr="00F573A7" w:rsidRDefault="00744A52" w:rsidP="00593BB2">
            <w:pPr>
              <w:jc w:val="center"/>
              <w:rPr>
                <w:rFonts w:ascii="Arial Narrow" w:hAnsi="Arial Narrow"/>
                <w:snapToGrid w:val="0"/>
                <w:sz w:val="18"/>
                <w:szCs w:val="18"/>
              </w:rPr>
            </w:pPr>
          </w:p>
        </w:tc>
        <w:tc>
          <w:tcPr>
            <w:tcW w:w="7796" w:type="dxa"/>
            <w:gridSpan w:val="6"/>
          </w:tcPr>
          <w:p w:rsidR="00744A52" w:rsidRPr="00F573A7" w:rsidRDefault="00744A52" w:rsidP="00593BB2">
            <w:pPr>
              <w:ind w:left="-57"/>
              <w:rPr>
                <w:rFonts w:ascii="Arial Narrow" w:hAnsi="Arial Narrow"/>
                <w:snapToGrid w:val="0"/>
                <w:sz w:val="18"/>
                <w:szCs w:val="18"/>
              </w:rPr>
            </w:pPr>
            <w:r w:rsidRPr="00F573A7">
              <w:rPr>
                <w:rFonts w:ascii="Arial Narrow" w:hAnsi="Arial Narrow"/>
                <w:b/>
                <w:snapToGrid w:val="0"/>
                <w:sz w:val="18"/>
                <w:szCs w:val="18"/>
              </w:rPr>
              <w:t xml:space="preserve">Category/Program: </w:t>
            </w:r>
            <w:r w:rsidRPr="00F573A7">
              <w:rPr>
                <w:rFonts w:ascii="Arial Narrow" w:hAnsi="Arial Narrow"/>
                <w:snapToGrid w:val="0"/>
                <w:sz w:val="18"/>
                <w:szCs w:val="18"/>
              </w:rPr>
              <w:t>GENERAL – General Schedule (GE)</w:t>
            </w:r>
          </w:p>
        </w:tc>
      </w:tr>
      <w:tr w:rsidR="00744A52" w:rsidRPr="00F573A7" w:rsidTr="00593BB2">
        <w:trPr>
          <w:trHeight w:val="135"/>
        </w:trPr>
        <w:tc>
          <w:tcPr>
            <w:tcW w:w="1271" w:type="dxa"/>
            <w:vMerge/>
          </w:tcPr>
          <w:p w:rsidR="00744A52" w:rsidRPr="00F573A7" w:rsidRDefault="00744A52" w:rsidP="00593BB2">
            <w:pPr>
              <w:jc w:val="center"/>
              <w:rPr>
                <w:rFonts w:ascii="Arial Narrow" w:hAnsi="Arial Narrow"/>
                <w:snapToGrid w:val="0"/>
                <w:sz w:val="18"/>
                <w:szCs w:val="18"/>
              </w:rPr>
            </w:pPr>
          </w:p>
        </w:tc>
        <w:tc>
          <w:tcPr>
            <w:tcW w:w="7796" w:type="dxa"/>
            <w:gridSpan w:val="6"/>
          </w:tcPr>
          <w:p w:rsidR="00744A52" w:rsidRPr="00F573A7" w:rsidRDefault="00744A52" w:rsidP="00593BB2">
            <w:pPr>
              <w:ind w:left="-57"/>
              <w:rPr>
                <w:rFonts w:ascii="Arial Narrow" w:hAnsi="Arial Narrow"/>
                <w:snapToGrid w:val="0"/>
                <w:sz w:val="18"/>
                <w:szCs w:val="18"/>
              </w:rPr>
            </w:pPr>
            <w:r w:rsidRPr="00F573A7">
              <w:rPr>
                <w:rFonts w:ascii="Arial Narrow" w:hAnsi="Arial Narrow"/>
                <w:b/>
                <w:snapToGrid w:val="0"/>
                <w:sz w:val="18"/>
                <w:szCs w:val="18"/>
              </w:rPr>
              <w:t xml:space="preserve">Prescriber type: </w:t>
            </w:r>
            <w:r w:rsidRPr="00F573A7">
              <w:rPr>
                <w:rFonts w:ascii="Arial Narrow" w:hAnsi="Arial Narrow" w:cs="Arial"/>
                <w:b/>
                <w:snapToGrid w:val="0"/>
                <w:sz w:val="18"/>
                <w:szCs w:val="18"/>
              </w:rPr>
              <w:t xml:space="preserve">   </w:t>
            </w:r>
            <w:r w:rsidRPr="003D070A">
              <w:rPr>
                <w:rFonts w:ascii="Arial Narrow" w:hAnsi="Arial Narrow" w:cs="Arial"/>
                <w:snapToGrid w:val="0"/>
                <w:sz w:val="18"/>
                <w:szCs w:val="18"/>
              </w:rPr>
              <w:fldChar w:fldCharType="begin">
                <w:ffData>
                  <w:name w:val=""/>
                  <w:enabled/>
                  <w:calcOnExit w:val="0"/>
                  <w:checkBox>
                    <w:sizeAuto/>
                    <w:default w:val="1"/>
                  </w:checkBox>
                </w:ffData>
              </w:fldChar>
            </w:r>
            <w:r w:rsidRPr="00F573A7">
              <w:rPr>
                <w:rFonts w:ascii="Arial Narrow" w:hAnsi="Arial Narrow" w:cs="Arial"/>
                <w:snapToGrid w:val="0"/>
                <w:sz w:val="18"/>
                <w:szCs w:val="18"/>
              </w:rPr>
              <w:instrText xml:space="preserve"> FORMCHECKBOX </w:instrText>
            </w:r>
            <w:r w:rsidR="000864B4">
              <w:rPr>
                <w:rFonts w:ascii="Arial Narrow" w:hAnsi="Arial Narrow" w:cs="Arial"/>
                <w:snapToGrid w:val="0"/>
                <w:sz w:val="18"/>
                <w:szCs w:val="18"/>
              </w:rPr>
            </w:r>
            <w:r w:rsidR="000864B4">
              <w:rPr>
                <w:rFonts w:ascii="Arial Narrow" w:hAnsi="Arial Narrow" w:cs="Arial"/>
                <w:snapToGrid w:val="0"/>
                <w:sz w:val="18"/>
                <w:szCs w:val="18"/>
              </w:rPr>
              <w:fldChar w:fldCharType="separate"/>
            </w:r>
            <w:r w:rsidRPr="003D070A">
              <w:rPr>
                <w:rFonts w:ascii="Arial Narrow" w:hAnsi="Arial Narrow" w:cs="Arial"/>
                <w:snapToGrid w:val="0"/>
                <w:sz w:val="18"/>
                <w:szCs w:val="18"/>
              </w:rPr>
              <w:fldChar w:fldCharType="end"/>
            </w:r>
            <w:r w:rsidRPr="00F573A7">
              <w:rPr>
                <w:rFonts w:ascii="Arial Narrow" w:hAnsi="Arial Narrow" w:cs="Arial"/>
                <w:snapToGrid w:val="0"/>
                <w:sz w:val="18"/>
                <w:szCs w:val="18"/>
              </w:rPr>
              <w:t xml:space="preserve"> Medical Practitioners    </w:t>
            </w:r>
          </w:p>
        </w:tc>
      </w:tr>
      <w:tr w:rsidR="00744A52" w:rsidRPr="00F573A7" w:rsidTr="00593BB2">
        <w:tc>
          <w:tcPr>
            <w:tcW w:w="1271" w:type="dxa"/>
            <w:vMerge/>
          </w:tcPr>
          <w:p w:rsidR="00744A52" w:rsidRPr="00F573A7" w:rsidRDefault="00744A52" w:rsidP="00593BB2">
            <w:pPr>
              <w:jc w:val="center"/>
              <w:rPr>
                <w:rFonts w:ascii="Arial Narrow" w:hAnsi="Arial Narrow"/>
                <w:snapToGrid w:val="0"/>
                <w:sz w:val="18"/>
                <w:szCs w:val="18"/>
              </w:rPr>
            </w:pPr>
          </w:p>
        </w:tc>
        <w:tc>
          <w:tcPr>
            <w:tcW w:w="7796" w:type="dxa"/>
            <w:gridSpan w:val="6"/>
          </w:tcPr>
          <w:p w:rsidR="00744A52" w:rsidRPr="00F573A7" w:rsidRDefault="00744A52" w:rsidP="00593BB2">
            <w:pPr>
              <w:ind w:left="-57"/>
              <w:rPr>
                <w:rFonts w:ascii="Arial Narrow" w:hAnsi="Arial Narrow"/>
                <w:b/>
                <w:snapToGrid w:val="0"/>
                <w:sz w:val="18"/>
                <w:szCs w:val="18"/>
              </w:rPr>
            </w:pPr>
            <w:r w:rsidRPr="00F573A7">
              <w:rPr>
                <w:rFonts w:ascii="Arial Narrow" w:hAnsi="Arial Narrow"/>
                <w:b/>
                <w:snapToGrid w:val="0"/>
                <w:sz w:val="18"/>
                <w:szCs w:val="18"/>
              </w:rPr>
              <w:t xml:space="preserve">Restriction type: </w:t>
            </w:r>
            <w:r w:rsidRPr="003D070A">
              <w:rPr>
                <w:rFonts w:ascii="Arial Narrow" w:hAnsi="Arial Narrow"/>
                <w:snapToGrid w:val="0"/>
                <w:sz w:val="18"/>
                <w:szCs w:val="18"/>
              </w:rPr>
              <w:fldChar w:fldCharType="begin">
                <w:ffData>
                  <w:name w:val=""/>
                  <w:enabled/>
                  <w:calcOnExit w:val="0"/>
                  <w:checkBox>
                    <w:sizeAuto/>
                    <w:default w:val="1"/>
                  </w:checkBox>
                </w:ffData>
              </w:fldChar>
            </w:r>
            <w:r w:rsidRPr="00F573A7">
              <w:rPr>
                <w:rFonts w:ascii="Arial Narrow" w:hAnsi="Arial Narrow"/>
                <w:snapToGrid w:val="0"/>
                <w:sz w:val="18"/>
                <w:szCs w:val="18"/>
              </w:rPr>
              <w:instrText xml:space="preserve"> FORMCHECKBOX </w:instrText>
            </w:r>
            <w:r w:rsidR="000864B4">
              <w:rPr>
                <w:rFonts w:ascii="Arial Narrow" w:hAnsi="Arial Narrow"/>
                <w:snapToGrid w:val="0"/>
                <w:sz w:val="18"/>
                <w:szCs w:val="18"/>
              </w:rPr>
            </w:r>
            <w:r w:rsidR="000864B4">
              <w:rPr>
                <w:rFonts w:ascii="Arial Narrow" w:hAnsi="Arial Narrow"/>
                <w:snapToGrid w:val="0"/>
                <w:sz w:val="18"/>
                <w:szCs w:val="18"/>
              </w:rPr>
              <w:fldChar w:fldCharType="separate"/>
            </w:r>
            <w:r w:rsidRPr="003D070A">
              <w:rPr>
                <w:rFonts w:ascii="Arial Narrow" w:hAnsi="Arial Narrow"/>
                <w:snapToGrid w:val="0"/>
                <w:sz w:val="18"/>
                <w:szCs w:val="18"/>
              </w:rPr>
              <w:fldChar w:fldCharType="end"/>
            </w:r>
            <w:r w:rsidRPr="00F573A7">
              <w:rPr>
                <w:rFonts w:ascii="Arial Narrow" w:hAnsi="Arial Narrow"/>
                <w:snapToGrid w:val="0"/>
                <w:sz w:val="18"/>
                <w:szCs w:val="18"/>
              </w:rPr>
              <w:t xml:space="preserve"> Authority Required – immediate/real-time assessment (online/telephone)</w:t>
            </w:r>
          </w:p>
        </w:tc>
      </w:tr>
      <w:tr w:rsidR="00744A52" w:rsidRPr="00F573A7" w:rsidTr="00593BB2">
        <w:tc>
          <w:tcPr>
            <w:tcW w:w="1271" w:type="dxa"/>
            <w:vMerge/>
          </w:tcPr>
          <w:p w:rsidR="00744A52" w:rsidRPr="00F573A7" w:rsidRDefault="00744A52" w:rsidP="00593BB2">
            <w:pPr>
              <w:jc w:val="center"/>
              <w:rPr>
                <w:rFonts w:ascii="Arial Narrow" w:hAnsi="Arial Narrow"/>
                <w:snapToGrid w:val="0"/>
                <w:sz w:val="18"/>
                <w:szCs w:val="18"/>
              </w:rPr>
            </w:pPr>
          </w:p>
        </w:tc>
        <w:tc>
          <w:tcPr>
            <w:tcW w:w="7796" w:type="dxa"/>
            <w:gridSpan w:val="6"/>
          </w:tcPr>
          <w:p w:rsidR="00744A52" w:rsidRPr="00F573A7" w:rsidRDefault="00744A52" w:rsidP="00593BB2">
            <w:pPr>
              <w:ind w:left="-57"/>
              <w:rPr>
                <w:rFonts w:ascii="Arial Narrow" w:hAnsi="Arial Narrow"/>
                <w:b/>
                <w:snapToGrid w:val="0"/>
                <w:sz w:val="18"/>
                <w:szCs w:val="18"/>
              </w:rPr>
            </w:pPr>
            <w:r w:rsidRPr="00F573A7">
              <w:rPr>
                <w:rFonts w:ascii="Arial Narrow" w:hAnsi="Arial Narrow"/>
                <w:b/>
                <w:snapToGrid w:val="0"/>
                <w:sz w:val="18"/>
                <w:szCs w:val="18"/>
              </w:rPr>
              <w:t xml:space="preserve">Episodicity: </w:t>
            </w:r>
            <w:r w:rsidRPr="00F573A7">
              <w:rPr>
                <w:rFonts w:ascii="Arial Narrow" w:hAnsi="Arial Narrow"/>
                <w:snapToGrid w:val="0"/>
                <w:sz w:val="18"/>
                <w:szCs w:val="18"/>
              </w:rPr>
              <w:t>[blank]</w:t>
            </w:r>
          </w:p>
        </w:tc>
      </w:tr>
      <w:tr w:rsidR="00744A52" w:rsidRPr="00F573A7" w:rsidTr="00593BB2">
        <w:tc>
          <w:tcPr>
            <w:tcW w:w="1271" w:type="dxa"/>
            <w:vMerge/>
          </w:tcPr>
          <w:p w:rsidR="00744A52" w:rsidRPr="00F573A7" w:rsidRDefault="00744A52" w:rsidP="00593BB2">
            <w:pPr>
              <w:jc w:val="center"/>
              <w:rPr>
                <w:rFonts w:ascii="Arial Narrow" w:hAnsi="Arial Narrow"/>
                <w:snapToGrid w:val="0"/>
                <w:sz w:val="18"/>
                <w:szCs w:val="18"/>
              </w:rPr>
            </w:pPr>
          </w:p>
        </w:tc>
        <w:tc>
          <w:tcPr>
            <w:tcW w:w="7796" w:type="dxa"/>
            <w:gridSpan w:val="6"/>
          </w:tcPr>
          <w:p w:rsidR="00744A52" w:rsidRPr="00F573A7" w:rsidRDefault="00744A52" w:rsidP="00593BB2">
            <w:pPr>
              <w:ind w:left="-57"/>
              <w:rPr>
                <w:rFonts w:ascii="Arial Narrow" w:hAnsi="Arial Narrow"/>
                <w:b/>
                <w:snapToGrid w:val="0"/>
                <w:sz w:val="18"/>
                <w:szCs w:val="18"/>
              </w:rPr>
            </w:pPr>
            <w:r w:rsidRPr="00F573A7">
              <w:rPr>
                <w:rFonts w:ascii="Arial Narrow" w:hAnsi="Arial Narrow"/>
                <w:b/>
                <w:snapToGrid w:val="0"/>
                <w:sz w:val="18"/>
                <w:szCs w:val="18"/>
              </w:rPr>
              <w:t>Severity:</w:t>
            </w:r>
            <w:r w:rsidRPr="00F573A7">
              <w:rPr>
                <w:rFonts w:ascii="Arial Narrow" w:hAnsi="Arial Narrow"/>
                <w:snapToGrid w:val="0"/>
                <w:sz w:val="18"/>
                <w:szCs w:val="18"/>
              </w:rPr>
              <w:t xml:space="preserve"> Castration resistant non-metastatic</w:t>
            </w:r>
          </w:p>
        </w:tc>
      </w:tr>
      <w:tr w:rsidR="00744A52" w:rsidRPr="00F573A7" w:rsidTr="00593BB2">
        <w:tc>
          <w:tcPr>
            <w:tcW w:w="1271" w:type="dxa"/>
            <w:vMerge/>
          </w:tcPr>
          <w:p w:rsidR="00744A52" w:rsidRPr="00F573A7" w:rsidRDefault="00744A52" w:rsidP="00593BB2">
            <w:pPr>
              <w:jc w:val="center"/>
              <w:rPr>
                <w:rFonts w:ascii="Arial Narrow" w:hAnsi="Arial Narrow"/>
                <w:snapToGrid w:val="0"/>
                <w:sz w:val="18"/>
                <w:szCs w:val="18"/>
              </w:rPr>
            </w:pPr>
          </w:p>
        </w:tc>
        <w:tc>
          <w:tcPr>
            <w:tcW w:w="7796" w:type="dxa"/>
            <w:gridSpan w:val="6"/>
          </w:tcPr>
          <w:p w:rsidR="00744A52" w:rsidRPr="00F573A7" w:rsidRDefault="00744A52" w:rsidP="00593BB2">
            <w:pPr>
              <w:ind w:left="-57"/>
              <w:rPr>
                <w:rFonts w:ascii="Arial Narrow" w:hAnsi="Arial Narrow"/>
                <w:snapToGrid w:val="0"/>
                <w:sz w:val="18"/>
                <w:szCs w:val="18"/>
              </w:rPr>
            </w:pPr>
            <w:r w:rsidRPr="00F573A7">
              <w:rPr>
                <w:rFonts w:ascii="Arial Narrow" w:hAnsi="Arial Narrow"/>
                <w:b/>
                <w:snapToGrid w:val="0"/>
                <w:sz w:val="18"/>
                <w:szCs w:val="18"/>
              </w:rPr>
              <w:t xml:space="preserve">Condition: </w:t>
            </w:r>
            <w:r w:rsidRPr="00F573A7">
              <w:rPr>
                <w:rFonts w:ascii="Arial Narrow" w:hAnsi="Arial Narrow"/>
                <w:snapToGrid w:val="0"/>
                <w:sz w:val="18"/>
                <w:szCs w:val="18"/>
              </w:rPr>
              <w:t>carcinoma of the prostate</w:t>
            </w:r>
          </w:p>
        </w:tc>
      </w:tr>
      <w:tr w:rsidR="00744A52" w:rsidRPr="00F573A7" w:rsidTr="00593BB2">
        <w:tc>
          <w:tcPr>
            <w:tcW w:w="1271" w:type="dxa"/>
          </w:tcPr>
          <w:p w:rsidR="00744A52" w:rsidRPr="00F573A7" w:rsidRDefault="00744A52" w:rsidP="00593BB2">
            <w:pPr>
              <w:jc w:val="center"/>
              <w:rPr>
                <w:rFonts w:ascii="Arial Narrow" w:hAnsi="Arial Narrow"/>
                <w:snapToGrid w:val="0"/>
                <w:sz w:val="18"/>
                <w:szCs w:val="18"/>
              </w:rPr>
            </w:pPr>
          </w:p>
        </w:tc>
        <w:tc>
          <w:tcPr>
            <w:tcW w:w="7796" w:type="dxa"/>
            <w:gridSpan w:val="6"/>
          </w:tcPr>
          <w:p w:rsidR="00744A52" w:rsidRPr="00F573A7" w:rsidRDefault="00744A52" w:rsidP="00593BB2">
            <w:pPr>
              <w:ind w:left="-57"/>
              <w:rPr>
                <w:rFonts w:ascii="Arial Narrow" w:hAnsi="Arial Narrow"/>
                <w:snapToGrid w:val="0"/>
                <w:sz w:val="18"/>
                <w:szCs w:val="18"/>
              </w:rPr>
            </w:pPr>
            <w:r w:rsidRPr="00F573A7">
              <w:rPr>
                <w:rFonts w:ascii="Arial Narrow" w:hAnsi="Arial Narrow"/>
                <w:b/>
                <w:snapToGrid w:val="0"/>
                <w:sz w:val="18"/>
                <w:szCs w:val="18"/>
              </w:rPr>
              <w:t xml:space="preserve">PBS indication: </w:t>
            </w:r>
            <w:r w:rsidRPr="00F573A7">
              <w:rPr>
                <w:rFonts w:ascii="Arial Narrow" w:hAnsi="Arial Narrow"/>
                <w:snapToGrid w:val="0"/>
                <w:sz w:val="18"/>
                <w:szCs w:val="18"/>
              </w:rPr>
              <w:t>Castration resistant non-metastatic carcinoma of the prostate</w:t>
            </w:r>
          </w:p>
        </w:tc>
      </w:tr>
      <w:tr w:rsidR="00744A52" w:rsidRPr="00F573A7" w:rsidTr="00593BB2">
        <w:tc>
          <w:tcPr>
            <w:tcW w:w="1271" w:type="dxa"/>
          </w:tcPr>
          <w:p w:rsidR="00744A52" w:rsidRPr="00F573A7" w:rsidRDefault="00744A52" w:rsidP="00593BB2">
            <w:pPr>
              <w:jc w:val="center"/>
              <w:rPr>
                <w:rFonts w:ascii="Arial Narrow" w:hAnsi="Arial Narrow"/>
                <w:snapToGrid w:val="0"/>
                <w:sz w:val="18"/>
                <w:szCs w:val="18"/>
              </w:rPr>
            </w:pPr>
          </w:p>
        </w:tc>
        <w:tc>
          <w:tcPr>
            <w:tcW w:w="7796" w:type="dxa"/>
            <w:gridSpan w:val="6"/>
          </w:tcPr>
          <w:p w:rsidR="00744A52" w:rsidRPr="00F573A7" w:rsidRDefault="00744A52" w:rsidP="00593BB2">
            <w:pPr>
              <w:ind w:left="-57"/>
              <w:rPr>
                <w:rFonts w:ascii="Arial Narrow" w:hAnsi="Arial Narrow"/>
                <w:snapToGrid w:val="0"/>
                <w:sz w:val="18"/>
                <w:szCs w:val="18"/>
              </w:rPr>
            </w:pPr>
            <w:r w:rsidRPr="00F573A7">
              <w:rPr>
                <w:rFonts w:ascii="Arial Narrow" w:hAnsi="Arial Narrow"/>
                <w:b/>
                <w:snapToGrid w:val="0"/>
                <w:sz w:val="18"/>
                <w:szCs w:val="18"/>
              </w:rPr>
              <w:t xml:space="preserve">Treatment phase: </w:t>
            </w:r>
            <w:r w:rsidRPr="00F573A7">
              <w:rPr>
                <w:rFonts w:ascii="Arial Narrow" w:hAnsi="Arial Narrow"/>
                <w:bCs/>
                <w:iCs/>
                <w:snapToGrid w:val="0"/>
                <w:sz w:val="18"/>
                <w:szCs w:val="18"/>
              </w:rPr>
              <w:t>[blank]</w:t>
            </w:r>
          </w:p>
        </w:tc>
      </w:tr>
      <w:tr w:rsidR="00744A52" w:rsidRPr="00F573A7" w:rsidTr="00593BB2">
        <w:trPr>
          <w:trHeight w:val="173"/>
        </w:trPr>
        <w:tc>
          <w:tcPr>
            <w:tcW w:w="1271" w:type="dxa"/>
          </w:tcPr>
          <w:p w:rsidR="00744A52" w:rsidRPr="00F573A7" w:rsidRDefault="00744A52" w:rsidP="00593BB2">
            <w:pPr>
              <w:rPr>
                <w:rFonts w:ascii="Arial Narrow" w:hAnsi="Arial Narrow"/>
                <w:snapToGrid w:val="0"/>
                <w:sz w:val="18"/>
                <w:szCs w:val="18"/>
              </w:rPr>
            </w:pPr>
          </w:p>
        </w:tc>
        <w:tc>
          <w:tcPr>
            <w:tcW w:w="7796" w:type="dxa"/>
            <w:gridSpan w:val="6"/>
          </w:tcPr>
          <w:p w:rsidR="00744A52" w:rsidRPr="00F573A7" w:rsidRDefault="00744A52" w:rsidP="00593BB2">
            <w:pPr>
              <w:ind w:left="-57"/>
              <w:rPr>
                <w:rFonts w:ascii="Arial Narrow" w:hAnsi="Arial Narrow"/>
                <w:b/>
                <w:snapToGrid w:val="0"/>
                <w:sz w:val="18"/>
                <w:szCs w:val="18"/>
              </w:rPr>
            </w:pPr>
            <w:r w:rsidRPr="00F573A7">
              <w:rPr>
                <w:rFonts w:ascii="Arial Narrow" w:hAnsi="Arial Narrow"/>
                <w:b/>
                <w:snapToGrid w:val="0"/>
                <w:sz w:val="18"/>
                <w:szCs w:val="18"/>
              </w:rPr>
              <w:t>Clinical criteria:</w:t>
            </w:r>
          </w:p>
        </w:tc>
      </w:tr>
      <w:tr w:rsidR="00744A52" w:rsidRPr="00F573A7" w:rsidTr="00265BF6">
        <w:tc>
          <w:tcPr>
            <w:tcW w:w="1271" w:type="dxa"/>
            <w:vAlign w:val="center"/>
          </w:tcPr>
          <w:p w:rsidR="00744A52" w:rsidRPr="00F573A7" w:rsidRDefault="00744A52" w:rsidP="00265BF6">
            <w:pPr>
              <w:jc w:val="center"/>
              <w:rPr>
                <w:rFonts w:ascii="Arial Narrow" w:hAnsi="Arial Narrow"/>
                <w:snapToGrid w:val="0"/>
                <w:sz w:val="18"/>
                <w:szCs w:val="18"/>
              </w:rPr>
            </w:pPr>
          </w:p>
        </w:tc>
        <w:tc>
          <w:tcPr>
            <w:tcW w:w="7796" w:type="dxa"/>
            <w:gridSpan w:val="6"/>
            <w:shd w:val="clear" w:color="auto" w:fill="auto"/>
          </w:tcPr>
          <w:p w:rsidR="00744A52" w:rsidRPr="00F573A7" w:rsidDel="00D8558E" w:rsidRDefault="00744A52" w:rsidP="00593BB2">
            <w:pPr>
              <w:ind w:left="-57"/>
              <w:rPr>
                <w:rFonts w:ascii="Arial Narrow" w:hAnsi="Arial Narrow"/>
                <w:snapToGrid w:val="0"/>
                <w:sz w:val="18"/>
                <w:szCs w:val="18"/>
              </w:rPr>
            </w:pPr>
            <w:r w:rsidRPr="00F573A7">
              <w:rPr>
                <w:rFonts w:ascii="Arial Narrow" w:hAnsi="Arial Narrow"/>
                <w:snapToGrid w:val="0"/>
                <w:sz w:val="18"/>
                <w:szCs w:val="18"/>
              </w:rPr>
              <w:t xml:space="preserve">The condition must have evidence of an absence of </w:t>
            </w:r>
            <w:r w:rsidR="004456FC" w:rsidRPr="00F573A7">
              <w:rPr>
                <w:rFonts w:ascii="Arial Narrow" w:hAnsi="Arial Narrow"/>
                <w:snapToGrid w:val="0"/>
                <w:sz w:val="18"/>
                <w:szCs w:val="18"/>
              </w:rPr>
              <w:t xml:space="preserve">distant </w:t>
            </w:r>
            <w:r w:rsidRPr="00F573A7">
              <w:rPr>
                <w:rFonts w:ascii="Arial Narrow" w:hAnsi="Arial Narrow"/>
                <w:snapToGrid w:val="0"/>
                <w:sz w:val="18"/>
                <w:szCs w:val="18"/>
              </w:rPr>
              <w:t xml:space="preserve">metastases on the most recently performed </w:t>
            </w:r>
            <w:r w:rsidR="004456FC" w:rsidRPr="00F573A7">
              <w:rPr>
                <w:rFonts w:ascii="Arial Narrow" w:hAnsi="Arial Narrow"/>
                <w:snapToGrid w:val="0"/>
                <w:sz w:val="18"/>
                <w:szCs w:val="18"/>
              </w:rPr>
              <w:t xml:space="preserve">conventional </w:t>
            </w:r>
            <w:r w:rsidRPr="00F573A7">
              <w:rPr>
                <w:rFonts w:ascii="Arial Narrow" w:hAnsi="Arial Narrow"/>
                <w:snapToGrid w:val="0"/>
                <w:sz w:val="18"/>
                <w:szCs w:val="18"/>
              </w:rPr>
              <w:t xml:space="preserve">medical imaging used to evaluate the condition. </w:t>
            </w:r>
          </w:p>
        </w:tc>
      </w:tr>
      <w:tr w:rsidR="00744A52" w:rsidRPr="00F573A7" w:rsidTr="00265BF6">
        <w:tc>
          <w:tcPr>
            <w:tcW w:w="1271" w:type="dxa"/>
            <w:vAlign w:val="center"/>
          </w:tcPr>
          <w:p w:rsidR="00744A52" w:rsidRPr="00F573A7" w:rsidRDefault="00744A52" w:rsidP="00265BF6">
            <w:pPr>
              <w:jc w:val="center"/>
              <w:rPr>
                <w:rFonts w:ascii="Arial Narrow" w:hAnsi="Arial Narrow"/>
                <w:snapToGrid w:val="0"/>
                <w:sz w:val="18"/>
                <w:szCs w:val="18"/>
              </w:rPr>
            </w:pPr>
          </w:p>
        </w:tc>
        <w:tc>
          <w:tcPr>
            <w:tcW w:w="7796" w:type="dxa"/>
            <w:gridSpan w:val="6"/>
            <w:shd w:val="clear" w:color="auto" w:fill="auto"/>
          </w:tcPr>
          <w:p w:rsidR="00744A52" w:rsidRPr="00F573A7" w:rsidRDefault="00744A52" w:rsidP="00593BB2">
            <w:pPr>
              <w:ind w:left="-57"/>
              <w:rPr>
                <w:rFonts w:ascii="Arial Narrow" w:hAnsi="Arial Narrow"/>
                <w:b/>
                <w:snapToGrid w:val="0"/>
                <w:sz w:val="18"/>
                <w:szCs w:val="18"/>
              </w:rPr>
            </w:pPr>
            <w:r w:rsidRPr="00F573A7">
              <w:rPr>
                <w:rFonts w:ascii="Arial Narrow" w:hAnsi="Arial Narrow"/>
                <w:b/>
                <w:snapToGrid w:val="0"/>
                <w:sz w:val="18"/>
                <w:szCs w:val="18"/>
              </w:rPr>
              <w:t>AND</w:t>
            </w:r>
          </w:p>
        </w:tc>
      </w:tr>
      <w:tr w:rsidR="00744A52" w:rsidRPr="00F573A7" w:rsidTr="00265BF6">
        <w:tc>
          <w:tcPr>
            <w:tcW w:w="1271" w:type="dxa"/>
            <w:vAlign w:val="center"/>
          </w:tcPr>
          <w:p w:rsidR="00744A52" w:rsidRPr="00F573A7" w:rsidRDefault="00744A52" w:rsidP="00265BF6">
            <w:pPr>
              <w:jc w:val="center"/>
              <w:rPr>
                <w:rFonts w:ascii="Arial Narrow" w:hAnsi="Arial Narrow"/>
                <w:snapToGrid w:val="0"/>
                <w:sz w:val="18"/>
                <w:szCs w:val="18"/>
              </w:rPr>
            </w:pPr>
          </w:p>
        </w:tc>
        <w:tc>
          <w:tcPr>
            <w:tcW w:w="7796" w:type="dxa"/>
            <w:gridSpan w:val="6"/>
            <w:shd w:val="clear" w:color="auto" w:fill="auto"/>
          </w:tcPr>
          <w:p w:rsidR="00744A52" w:rsidRPr="00F573A7" w:rsidRDefault="00744A52" w:rsidP="00593BB2">
            <w:pPr>
              <w:ind w:left="-57"/>
              <w:rPr>
                <w:rFonts w:ascii="Arial Narrow" w:hAnsi="Arial Narrow"/>
                <w:snapToGrid w:val="0"/>
                <w:sz w:val="18"/>
                <w:szCs w:val="18"/>
              </w:rPr>
            </w:pPr>
            <w:r w:rsidRPr="00F573A7">
              <w:rPr>
                <w:rFonts w:ascii="Arial Narrow" w:hAnsi="Arial Narrow"/>
                <w:b/>
                <w:snapToGrid w:val="0"/>
                <w:sz w:val="18"/>
                <w:szCs w:val="18"/>
              </w:rPr>
              <w:t>Clinical criteria:</w:t>
            </w:r>
          </w:p>
        </w:tc>
      </w:tr>
      <w:tr w:rsidR="00744A52" w:rsidRPr="00F573A7" w:rsidTr="00265BF6">
        <w:trPr>
          <w:trHeight w:val="291"/>
        </w:trPr>
        <w:tc>
          <w:tcPr>
            <w:tcW w:w="1271" w:type="dxa"/>
            <w:vAlign w:val="center"/>
          </w:tcPr>
          <w:p w:rsidR="00744A52" w:rsidRPr="00F573A7" w:rsidRDefault="00744A52" w:rsidP="00265BF6">
            <w:pPr>
              <w:jc w:val="center"/>
              <w:rPr>
                <w:rFonts w:ascii="Arial Narrow" w:hAnsi="Arial Narrow"/>
                <w:snapToGrid w:val="0"/>
                <w:sz w:val="18"/>
                <w:szCs w:val="18"/>
              </w:rPr>
            </w:pPr>
          </w:p>
        </w:tc>
        <w:tc>
          <w:tcPr>
            <w:tcW w:w="7796" w:type="dxa"/>
            <w:gridSpan w:val="6"/>
            <w:shd w:val="clear" w:color="auto" w:fill="auto"/>
          </w:tcPr>
          <w:p w:rsidR="00744A52" w:rsidRPr="00F573A7" w:rsidRDefault="00744A52" w:rsidP="00593BB2">
            <w:pPr>
              <w:ind w:left="-57"/>
              <w:rPr>
                <w:rFonts w:ascii="Arial Narrow" w:hAnsi="Arial Narrow"/>
                <w:snapToGrid w:val="0"/>
                <w:sz w:val="18"/>
                <w:szCs w:val="18"/>
              </w:rPr>
            </w:pPr>
            <w:r w:rsidRPr="00F573A7">
              <w:rPr>
                <w:rFonts w:ascii="Arial Narrow" w:hAnsi="Arial Narrow"/>
                <w:snapToGrid w:val="0"/>
                <w:sz w:val="18"/>
                <w:szCs w:val="18"/>
              </w:rPr>
              <w:t xml:space="preserve">The condition must be associated with a prostate-specific antigen level </w:t>
            </w:r>
            <w:r w:rsidR="00886EAA">
              <w:rPr>
                <w:rFonts w:ascii="Arial Narrow" w:hAnsi="Arial Narrow"/>
                <w:snapToGrid w:val="0"/>
                <w:sz w:val="18"/>
                <w:szCs w:val="18"/>
              </w:rPr>
              <w:t xml:space="preserve">that has </w:t>
            </w:r>
            <w:r w:rsidRPr="00F573A7">
              <w:rPr>
                <w:rFonts w:ascii="Arial Narrow" w:hAnsi="Arial Narrow"/>
                <w:snapToGrid w:val="0"/>
                <w:sz w:val="18"/>
                <w:szCs w:val="18"/>
              </w:rPr>
              <w:t>observed to have at least doubled in value</w:t>
            </w:r>
            <w:r w:rsidR="00886EAA">
              <w:rPr>
                <w:rFonts w:ascii="Arial Narrow" w:hAnsi="Arial Narrow"/>
                <w:snapToGrid w:val="0"/>
                <w:sz w:val="18"/>
                <w:szCs w:val="18"/>
              </w:rPr>
              <w:t xml:space="preserve"> in a time period of </w:t>
            </w:r>
            <w:r w:rsidR="009E0352" w:rsidRPr="00F573A7">
              <w:rPr>
                <w:rFonts w:ascii="Arial Narrow" w:hAnsi="Arial Narrow"/>
                <w:snapToGrid w:val="0"/>
                <w:sz w:val="18"/>
                <w:szCs w:val="18"/>
              </w:rPr>
              <w:t xml:space="preserve">within </w:t>
            </w:r>
            <w:r w:rsidRPr="00F573A7">
              <w:rPr>
                <w:rFonts w:ascii="Arial Narrow" w:hAnsi="Arial Narrow"/>
                <w:snapToGrid w:val="0"/>
                <w:sz w:val="18"/>
                <w:szCs w:val="18"/>
              </w:rPr>
              <w:t>10 months</w:t>
            </w:r>
            <w:r w:rsidR="00886EAA">
              <w:rPr>
                <w:rFonts w:ascii="Arial Narrow" w:hAnsi="Arial Narrow"/>
                <w:snapToGrid w:val="0"/>
                <w:sz w:val="18"/>
                <w:szCs w:val="18"/>
              </w:rPr>
              <w:t xml:space="preserve"> prior to first commencing treatment with this drug</w:t>
            </w:r>
            <w:r w:rsidRPr="00F573A7">
              <w:rPr>
                <w:rFonts w:ascii="Arial Narrow" w:hAnsi="Arial Narrow"/>
                <w:snapToGrid w:val="0"/>
                <w:sz w:val="18"/>
                <w:szCs w:val="18"/>
              </w:rPr>
              <w:t>.</w:t>
            </w:r>
          </w:p>
        </w:tc>
      </w:tr>
      <w:tr w:rsidR="00744A52" w:rsidRPr="00F573A7" w:rsidTr="00593BB2">
        <w:tc>
          <w:tcPr>
            <w:tcW w:w="1271" w:type="dxa"/>
          </w:tcPr>
          <w:p w:rsidR="00744A52" w:rsidRPr="00F573A7" w:rsidRDefault="00744A52" w:rsidP="00593BB2">
            <w:pPr>
              <w:jc w:val="center"/>
              <w:rPr>
                <w:rFonts w:ascii="Arial Narrow" w:hAnsi="Arial Narrow"/>
                <w:snapToGrid w:val="0"/>
                <w:sz w:val="18"/>
                <w:szCs w:val="18"/>
              </w:rPr>
            </w:pPr>
          </w:p>
        </w:tc>
        <w:tc>
          <w:tcPr>
            <w:tcW w:w="7796" w:type="dxa"/>
            <w:gridSpan w:val="6"/>
          </w:tcPr>
          <w:p w:rsidR="00744A52" w:rsidRPr="00F573A7" w:rsidRDefault="00744A52" w:rsidP="00593BB2">
            <w:pPr>
              <w:ind w:left="-57"/>
              <w:rPr>
                <w:rFonts w:ascii="Arial Narrow" w:hAnsi="Arial Narrow"/>
                <w:b/>
                <w:snapToGrid w:val="0"/>
                <w:sz w:val="18"/>
                <w:szCs w:val="18"/>
              </w:rPr>
            </w:pPr>
            <w:r w:rsidRPr="00F573A7">
              <w:rPr>
                <w:rFonts w:ascii="Arial Narrow" w:hAnsi="Arial Narrow"/>
                <w:b/>
                <w:snapToGrid w:val="0"/>
                <w:sz w:val="18"/>
                <w:szCs w:val="18"/>
              </w:rPr>
              <w:t>AND</w:t>
            </w:r>
          </w:p>
        </w:tc>
      </w:tr>
      <w:tr w:rsidR="00744A52" w:rsidRPr="00F573A7" w:rsidTr="00593BB2">
        <w:tc>
          <w:tcPr>
            <w:tcW w:w="1271" w:type="dxa"/>
            <w:vMerge w:val="restart"/>
          </w:tcPr>
          <w:p w:rsidR="00744A52" w:rsidRPr="00F573A7" w:rsidRDefault="00744A52" w:rsidP="00593BB2">
            <w:pPr>
              <w:jc w:val="center"/>
              <w:rPr>
                <w:rFonts w:ascii="Arial Narrow" w:hAnsi="Arial Narrow"/>
                <w:snapToGrid w:val="0"/>
                <w:sz w:val="18"/>
                <w:szCs w:val="18"/>
              </w:rPr>
            </w:pPr>
          </w:p>
        </w:tc>
        <w:tc>
          <w:tcPr>
            <w:tcW w:w="7796" w:type="dxa"/>
            <w:gridSpan w:val="6"/>
            <w:shd w:val="clear" w:color="auto" w:fill="auto"/>
          </w:tcPr>
          <w:p w:rsidR="00744A52" w:rsidRPr="00F573A7" w:rsidRDefault="00744A52" w:rsidP="00593BB2">
            <w:pPr>
              <w:ind w:left="-57"/>
              <w:rPr>
                <w:rFonts w:ascii="Arial Narrow" w:hAnsi="Arial Narrow"/>
                <w:snapToGrid w:val="0"/>
                <w:sz w:val="18"/>
                <w:szCs w:val="18"/>
              </w:rPr>
            </w:pPr>
            <w:r w:rsidRPr="00F573A7">
              <w:rPr>
                <w:rFonts w:ascii="Arial Narrow" w:hAnsi="Arial Narrow"/>
                <w:b/>
                <w:snapToGrid w:val="0"/>
                <w:sz w:val="18"/>
                <w:szCs w:val="18"/>
              </w:rPr>
              <w:t>Clinical criteria:</w:t>
            </w:r>
          </w:p>
        </w:tc>
      </w:tr>
      <w:tr w:rsidR="00744A52" w:rsidRPr="00F573A7" w:rsidTr="00593BB2">
        <w:tc>
          <w:tcPr>
            <w:tcW w:w="1271" w:type="dxa"/>
            <w:vMerge/>
          </w:tcPr>
          <w:p w:rsidR="00744A52" w:rsidRPr="00F573A7" w:rsidRDefault="00744A52" w:rsidP="00593BB2">
            <w:pPr>
              <w:jc w:val="center"/>
              <w:rPr>
                <w:rFonts w:ascii="Arial Narrow" w:hAnsi="Arial Narrow"/>
                <w:snapToGrid w:val="0"/>
                <w:sz w:val="18"/>
                <w:szCs w:val="18"/>
              </w:rPr>
            </w:pPr>
          </w:p>
        </w:tc>
        <w:tc>
          <w:tcPr>
            <w:tcW w:w="7796" w:type="dxa"/>
            <w:gridSpan w:val="6"/>
            <w:shd w:val="clear" w:color="auto" w:fill="auto"/>
          </w:tcPr>
          <w:p w:rsidR="00744A52" w:rsidRPr="00F573A7" w:rsidRDefault="00744A52" w:rsidP="00593BB2">
            <w:pPr>
              <w:ind w:left="-57"/>
              <w:rPr>
                <w:rFonts w:ascii="Arial Narrow" w:hAnsi="Arial Narrow"/>
                <w:snapToGrid w:val="0"/>
                <w:sz w:val="18"/>
                <w:szCs w:val="18"/>
              </w:rPr>
            </w:pPr>
            <w:r w:rsidRPr="00F573A7">
              <w:rPr>
                <w:rFonts w:ascii="Arial Narrow" w:hAnsi="Arial Narrow"/>
                <w:snapToGrid w:val="0"/>
                <w:sz w:val="18"/>
                <w:szCs w:val="18"/>
              </w:rPr>
              <w:t>Patient must have a World Health Organisation (WHO) Eastern Cooperative Oncology Group (</w:t>
            </w:r>
            <w:r w:rsidR="00EB7B92" w:rsidRPr="00F573A7">
              <w:rPr>
                <w:rFonts w:ascii="Arial Narrow" w:hAnsi="Arial Narrow"/>
                <w:snapToGrid w:val="0"/>
                <w:sz w:val="18"/>
                <w:szCs w:val="18"/>
              </w:rPr>
              <w:t>ECOG) performance</w:t>
            </w:r>
            <w:r w:rsidRPr="00F573A7">
              <w:rPr>
                <w:rFonts w:ascii="Arial Narrow" w:hAnsi="Arial Narrow"/>
                <w:snapToGrid w:val="0"/>
                <w:sz w:val="18"/>
                <w:szCs w:val="18"/>
              </w:rPr>
              <w:t xml:space="preserve"> status score no higher than 1 prior to treatment initiation.</w:t>
            </w:r>
          </w:p>
        </w:tc>
      </w:tr>
      <w:tr w:rsidR="00744A52" w:rsidRPr="00F573A7" w:rsidTr="00593BB2">
        <w:tc>
          <w:tcPr>
            <w:tcW w:w="1271" w:type="dxa"/>
          </w:tcPr>
          <w:p w:rsidR="00744A52" w:rsidRPr="00F573A7" w:rsidRDefault="00744A52" w:rsidP="00593BB2">
            <w:pPr>
              <w:jc w:val="center"/>
              <w:rPr>
                <w:rFonts w:ascii="Arial Narrow" w:hAnsi="Arial Narrow"/>
                <w:snapToGrid w:val="0"/>
                <w:sz w:val="18"/>
                <w:szCs w:val="18"/>
              </w:rPr>
            </w:pPr>
          </w:p>
        </w:tc>
        <w:tc>
          <w:tcPr>
            <w:tcW w:w="7796" w:type="dxa"/>
            <w:gridSpan w:val="6"/>
            <w:shd w:val="clear" w:color="auto" w:fill="auto"/>
          </w:tcPr>
          <w:p w:rsidR="00744A52" w:rsidRPr="00F573A7" w:rsidRDefault="00744A52" w:rsidP="00593BB2">
            <w:pPr>
              <w:ind w:left="-57"/>
              <w:rPr>
                <w:rFonts w:ascii="Arial Narrow" w:hAnsi="Arial Narrow"/>
                <w:snapToGrid w:val="0"/>
                <w:sz w:val="18"/>
                <w:szCs w:val="18"/>
              </w:rPr>
            </w:pPr>
            <w:r w:rsidRPr="00F573A7">
              <w:rPr>
                <w:rFonts w:ascii="Arial Narrow" w:hAnsi="Arial Narrow"/>
                <w:b/>
                <w:snapToGrid w:val="0"/>
                <w:sz w:val="18"/>
                <w:szCs w:val="18"/>
              </w:rPr>
              <w:t>AND</w:t>
            </w:r>
          </w:p>
        </w:tc>
      </w:tr>
      <w:tr w:rsidR="00744A52" w:rsidRPr="00F573A7" w:rsidTr="00593BB2">
        <w:tc>
          <w:tcPr>
            <w:tcW w:w="1271" w:type="dxa"/>
          </w:tcPr>
          <w:p w:rsidR="00744A52" w:rsidRPr="00F573A7" w:rsidRDefault="00744A52" w:rsidP="00593BB2">
            <w:pPr>
              <w:jc w:val="center"/>
              <w:rPr>
                <w:rFonts w:ascii="Arial Narrow" w:hAnsi="Arial Narrow"/>
                <w:snapToGrid w:val="0"/>
                <w:sz w:val="18"/>
                <w:szCs w:val="18"/>
              </w:rPr>
            </w:pPr>
          </w:p>
        </w:tc>
        <w:tc>
          <w:tcPr>
            <w:tcW w:w="7796" w:type="dxa"/>
            <w:gridSpan w:val="6"/>
            <w:shd w:val="clear" w:color="auto" w:fill="auto"/>
          </w:tcPr>
          <w:p w:rsidR="00744A52" w:rsidRPr="00F573A7" w:rsidRDefault="00744A52" w:rsidP="00593BB2">
            <w:pPr>
              <w:ind w:left="-57"/>
              <w:rPr>
                <w:rFonts w:ascii="Arial Narrow" w:hAnsi="Arial Narrow"/>
                <w:snapToGrid w:val="0"/>
                <w:sz w:val="18"/>
                <w:szCs w:val="18"/>
              </w:rPr>
            </w:pPr>
            <w:r w:rsidRPr="00F573A7">
              <w:rPr>
                <w:rFonts w:ascii="Arial Narrow" w:hAnsi="Arial Narrow"/>
                <w:b/>
                <w:snapToGrid w:val="0"/>
                <w:sz w:val="18"/>
                <w:szCs w:val="18"/>
              </w:rPr>
              <w:t>Clinical criteria:</w:t>
            </w:r>
          </w:p>
        </w:tc>
      </w:tr>
      <w:tr w:rsidR="00744A52" w:rsidRPr="00F573A7" w:rsidTr="00EC1491">
        <w:trPr>
          <w:trHeight w:val="46"/>
        </w:trPr>
        <w:tc>
          <w:tcPr>
            <w:tcW w:w="1271" w:type="dxa"/>
            <w:shd w:val="clear" w:color="auto" w:fill="auto"/>
          </w:tcPr>
          <w:p w:rsidR="00744A52" w:rsidRPr="00F573A7" w:rsidRDefault="00744A52" w:rsidP="00593BB2">
            <w:pPr>
              <w:jc w:val="center"/>
              <w:rPr>
                <w:rFonts w:ascii="Arial Narrow" w:hAnsi="Arial Narrow"/>
                <w:snapToGrid w:val="0"/>
                <w:sz w:val="18"/>
                <w:szCs w:val="18"/>
              </w:rPr>
            </w:pPr>
          </w:p>
        </w:tc>
        <w:tc>
          <w:tcPr>
            <w:tcW w:w="7796" w:type="dxa"/>
            <w:gridSpan w:val="6"/>
            <w:shd w:val="clear" w:color="auto" w:fill="auto"/>
          </w:tcPr>
          <w:p w:rsidR="00744A52" w:rsidRPr="00F573A7" w:rsidRDefault="00744A52" w:rsidP="00593BB2">
            <w:pPr>
              <w:ind w:left="-57"/>
              <w:rPr>
                <w:rFonts w:ascii="Arial Narrow" w:hAnsi="Arial Narrow"/>
                <w:b/>
                <w:bCs/>
                <w:snapToGrid w:val="0"/>
                <w:sz w:val="18"/>
                <w:szCs w:val="18"/>
              </w:rPr>
            </w:pPr>
            <w:r w:rsidRPr="00F573A7">
              <w:rPr>
                <w:rFonts w:ascii="Arial Narrow" w:hAnsi="Arial Narrow"/>
                <w:sz w:val="18"/>
                <w:szCs w:val="18"/>
              </w:rPr>
              <w:t>Patient must not receive PBS-subsidised treatment with this drug if progressive disease develops while on this drug.</w:t>
            </w:r>
          </w:p>
        </w:tc>
      </w:tr>
      <w:tr w:rsidR="00744A52" w:rsidRPr="00F573A7" w:rsidTr="00593BB2">
        <w:tc>
          <w:tcPr>
            <w:tcW w:w="1271" w:type="dxa"/>
          </w:tcPr>
          <w:p w:rsidR="00744A52" w:rsidRPr="00F573A7" w:rsidRDefault="00744A52" w:rsidP="00593BB2">
            <w:pPr>
              <w:jc w:val="center"/>
              <w:rPr>
                <w:rFonts w:ascii="Arial Narrow" w:hAnsi="Arial Narrow"/>
                <w:snapToGrid w:val="0"/>
                <w:sz w:val="18"/>
                <w:szCs w:val="18"/>
              </w:rPr>
            </w:pPr>
          </w:p>
        </w:tc>
        <w:tc>
          <w:tcPr>
            <w:tcW w:w="7796" w:type="dxa"/>
            <w:gridSpan w:val="6"/>
            <w:shd w:val="clear" w:color="auto" w:fill="auto"/>
          </w:tcPr>
          <w:p w:rsidR="00744A52" w:rsidRPr="00F573A7" w:rsidRDefault="00744A52" w:rsidP="00593BB2">
            <w:pPr>
              <w:ind w:left="-57"/>
              <w:rPr>
                <w:rFonts w:ascii="Arial Narrow" w:hAnsi="Arial Narrow"/>
                <w:b/>
                <w:bCs/>
                <w:snapToGrid w:val="0"/>
                <w:sz w:val="18"/>
                <w:szCs w:val="18"/>
              </w:rPr>
            </w:pPr>
            <w:r w:rsidRPr="00F573A7">
              <w:rPr>
                <w:rFonts w:ascii="Arial Narrow" w:hAnsi="Arial Narrow"/>
                <w:b/>
                <w:snapToGrid w:val="0"/>
                <w:sz w:val="18"/>
                <w:szCs w:val="18"/>
              </w:rPr>
              <w:t>Treatment criteria:</w:t>
            </w:r>
          </w:p>
        </w:tc>
      </w:tr>
      <w:tr w:rsidR="00744A52" w:rsidRPr="00F573A7" w:rsidTr="00EC1491">
        <w:trPr>
          <w:trHeight w:val="46"/>
        </w:trPr>
        <w:tc>
          <w:tcPr>
            <w:tcW w:w="1271" w:type="dxa"/>
          </w:tcPr>
          <w:p w:rsidR="00744A52" w:rsidRPr="00F573A7" w:rsidRDefault="00744A52" w:rsidP="00593BB2">
            <w:pPr>
              <w:jc w:val="center"/>
              <w:rPr>
                <w:rFonts w:ascii="Arial Narrow" w:hAnsi="Arial Narrow"/>
                <w:snapToGrid w:val="0"/>
                <w:sz w:val="18"/>
                <w:szCs w:val="18"/>
              </w:rPr>
            </w:pPr>
          </w:p>
        </w:tc>
        <w:tc>
          <w:tcPr>
            <w:tcW w:w="7796" w:type="dxa"/>
            <w:gridSpan w:val="6"/>
            <w:shd w:val="clear" w:color="auto" w:fill="auto"/>
          </w:tcPr>
          <w:p w:rsidR="00744A52" w:rsidRPr="00F573A7" w:rsidRDefault="00744A52" w:rsidP="00593BB2">
            <w:pPr>
              <w:ind w:left="-57"/>
              <w:rPr>
                <w:rFonts w:ascii="Arial Narrow" w:hAnsi="Arial Narrow"/>
                <w:snapToGrid w:val="0"/>
                <w:sz w:val="18"/>
                <w:szCs w:val="18"/>
              </w:rPr>
            </w:pPr>
            <w:r w:rsidRPr="00F573A7">
              <w:rPr>
                <w:rFonts w:ascii="Arial Narrow" w:hAnsi="Arial Narrow"/>
                <w:snapToGrid w:val="0"/>
                <w:sz w:val="18"/>
                <w:szCs w:val="18"/>
              </w:rPr>
              <w:t>Patient must be undergoing concurrent treatment with androgen deprivation therapy.</w:t>
            </w:r>
          </w:p>
        </w:tc>
      </w:tr>
      <w:tr w:rsidR="00744A52" w:rsidRPr="00F573A7" w:rsidTr="00EC1491">
        <w:trPr>
          <w:trHeight w:val="1531"/>
        </w:trPr>
        <w:tc>
          <w:tcPr>
            <w:tcW w:w="1271" w:type="dxa"/>
          </w:tcPr>
          <w:p w:rsidR="00744A52" w:rsidRPr="00F573A7" w:rsidRDefault="00744A52" w:rsidP="00593BB2">
            <w:pPr>
              <w:jc w:val="center"/>
              <w:rPr>
                <w:rFonts w:ascii="Arial Narrow" w:hAnsi="Arial Narrow"/>
                <w:snapToGrid w:val="0"/>
                <w:sz w:val="18"/>
                <w:szCs w:val="18"/>
              </w:rPr>
            </w:pPr>
          </w:p>
        </w:tc>
        <w:tc>
          <w:tcPr>
            <w:tcW w:w="7796" w:type="dxa"/>
            <w:gridSpan w:val="6"/>
            <w:shd w:val="clear" w:color="auto" w:fill="auto"/>
          </w:tcPr>
          <w:p w:rsidR="00744A52" w:rsidRPr="00F573A7" w:rsidRDefault="00744A52" w:rsidP="00593BB2">
            <w:pPr>
              <w:ind w:left="-57"/>
              <w:rPr>
                <w:rFonts w:ascii="Arial Narrow" w:hAnsi="Arial Narrow"/>
                <w:b/>
                <w:snapToGrid w:val="0"/>
                <w:sz w:val="18"/>
                <w:szCs w:val="18"/>
              </w:rPr>
            </w:pPr>
            <w:r w:rsidRPr="00F573A7">
              <w:rPr>
                <w:rFonts w:ascii="Arial Narrow" w:hAnsi="Arial Narrow"/>
                <w:b/>
                <w:snapToGrid w:val="0"/>
                <w:sz w:val="18"/>
                <w:szCs w:val="18"/>
              </w:rPr>
              <w:t>Prescribing instructions:</w:t>
            </w:r>
          </w:p>
          <w:p w:rsidR="00744A52" w:rsidRPr="00F573A7" w:rsidRDefault="00744A52" w:rsidP="00593BB2">
            <w:pPr>
              <w:ind w:left="-57"/>
              <w:rPr>
                <w:rFonts w:ascii="Arial Narrow" w:hAnsi="Arial Narrow"/>
                <w:snapToGrid w:val="0"/>
                <w:sz w:val="18"/>
                <w:szCs w:val="18"/>
              </w:rPr>
            </w:pPr>
            <w:r w:rsidRPr="00F573A7">
              <w:rPr>
                <w:rFonts w:ascii="Arial Narrow" w:hAnsi="Arial Narrow"/>
                <w:snapToGrid w:val="0"/>
                <w:sz w:val="18"/>
                <w:szCs w:val="18"/>
              </w:rPr>
              <w:t>Prescribing instructions:</w:t>
            </w:r>
          </w:p>
          <w:p w:rsidR="00744A52" w:rsidRPr="00F573A7" w:rsidRDefault="00744A52" w:rsidP="00593BB2">
            <w:pPr>
              <w:ind w:left="-57"/>
              <w:rPr>
                <w:rFonts w:ascii="Arial Narrow" w:hAnsi="Arial Narrow"/>
                <w:snapToGrid w:val="0"/>
                <w:sz w:val="18"/>
                <w:szCs w:val="18"/>
              </w:rPr>
            </w:pPr>
            <w:r w:rsidRPr="00F573A7">
              <w:rPr>
                <w:rFonts w:ascii="Arial Narrow" w:hAnsi="Arial Narrow"/>
                <w:snapToGrid w:val="0"/>
                <w:sz w:val="18"/>
                <w:szCs w:val="18"/>
              </w:rPr>
              <w:t>Retain the results of all investigative imaging and prostate-specific antigen (PSA) level measurements on the patient’s medical records - do not submit copies of these with this authority application.</w:t>
            </w:r>
          </w:p>
          <w:p w:rsidR="00744A52" w:rsidRPr="00F573A7" w:rsidRDefault="00744A52" w:rsidP="00593BB2">
            <w:pPr>
              <w:ind w:left="-57"/>
              <w:rPr>
                <w:rFonts w:ascii="Arial Narrow" w:hAnsi="Arial Narrow"/>
                <w:snapToGrid w:val="0"/>
                <w:sz w:val="18"/>
                <w:szCs w:val="18"/>
              </w:rPr>
            </w:pPr>
          </w:p>
          <w:p w:rsidR="00744A52" w:rsidRPr="00F573A7" w:rsidRDefault="00744A52" w:rsidP="00593BB2">
            <w:pPr>
              <w:ind w:left="-57"/>
              <w:rPr>
                <w:rFonts w:ascii="Arial Narrow" w:hAnsi="Arial Narrow"/>
                <w:snapToGrid w:val="0"/>
                <w:sz w:val="18"/>
                <w:szCs w:val="18"/>
              </w:rPr>
            </w:pPr>
            <w:r w:rsidRPr="00F573A7">
              <w:rPr>
                <w:rFonts w:ascii="Arial Narrow" w:hAnsi="Arial Narrow"/>
                <w:snapToGrid w:val="0"/>
                <w:sz w:val="18"/>
                <w:szCs w:val="18"/>
              </w:rPr>
              <w:t xml:space="preserve">The PSA level doubling time must be based on at </w:t>
            </w:r>
            <w:r w:rsidRPr="00796ADA">
              <w:rPr>
                <w:rFonts w:ascii="Arial Narrow" w:hAnsi="Arial Narrow"/>
                <w:snapToGrid w:val="0"/>
                <w:sz w:val="18"/>
                <w:szCs w:val="18"/>
              </w:rPr>
              <w:t xml:space="preserve">least three PSA levels obtained </w:t>
            </w:r>
            <w:r w:rsidR="00886EAA">
              <w:rPr>
                <w:rFonts w:ascii="Arial Narrow" w:hAnsi="Arial Narrow"/>
                <w:snapToGrid w:val="0"/>
                <w:sz w:val="18"/>
                <w:szCs w:val="18"/>
              </w:rPr>
              <w:t>within 10 months</w:t>
            </w:r>
            <w:r w:rsidRPr="00F573A7">
              <w:rPr>
                <w:rFonts w:ascii="Arial Narrow" w:hAnsi="Arial Narrow"/>
                <w:snapToGrid w:val="0"/>
                <w:sz w:val="18"/>
                <w:szCs w:val="18"/>
              </w:rPr>
              <w:t xml:space="preserve"> prior to first commencing treatment with this drug. The third reading is to demonstrate that the doubling was durable and must be at least 1 week apart from the second reading.</w:t>
            </w:r>
          </w:p>
        </w:tc>
      </w:tr>
      <w:tr w:rsidR="00744A52" w:rsidRPr="00F573A7" w:rsidTr="00EC1491">
        <w:trPr>
          <w:trHeight w:val="46"/>
        </w:trPr>
        <w:tc>
          <w:tcPr>
            <w:tcW w:w="1271" w:type="dxa"/>
          </w:tcPr>
          <w:p w:rsidR="00744A52" w:rsidRPr="00F573A7" w:rsidRDefault="00744A52" w:rsidP="00593BB2">
            <w:pPr>
              <w:jc w:val="center"/>
              <w:rPr>
                <w:rFonts w:ascii="Arial Narrow" w:hAnsi="Arial Narrow"/>
                <w:snapToGrid w:val="0"/>
                <w:sz w:val="18"/>
                <w:szCs w:val="18"/>
              </w:rPr>
            </w:pPr>
          </w:p>
        </w:tc>
        <w:tc>
          <w:tcPr>
            <w:tcW w:w="7796" w:type="dxa"/>
            <w:gridSpan w:val="6"/>
            <w:shd w:val="clear" w:color="auto" w:fill="auto"/>
          </w:tcPr>
          <w:p w:rsidR="00744A52" w:rsidRPr="00F573A7" w:rsidRDefault="00744A52" w:rsidP="00593BB2">
            <w:pPr>
              <w:ind w:left="-57"/>
              <w:rPr>
                <w:rFonts w:ascii="Arial Narrow" w:hAnsi="Arial Narrow"/>
                <w:snapToGrid w:val="0"/>
                <w:sz w:val="18"/>
                <w:szCs w:val="18"/>
              </w:rPr>
            </w:pPr>
            <w:r w:rsidRPr="00F573A7">
              <w:rPr>
                <w:rFonts w:ascii="Arial Narrow" w:hAnsi="Arial Narrow"/>
                <w:b/>
                <w:snapToGrid w:val="0"/>
                <w:sz w:val="18"/>
                <w:szCs w:val="18"/>
              </w:rPr>
              <w:t>Administrative advice:</w:t>
            </w:r>
            <w:r w:rsidRPr="00F573A7">
              <w:rPr>
                <w:rFonts w:ascii="Arial Narrow" w:hAnsi="Arial Narrow"/>
                <w:snapToGrid w:val="0"/>
                <w:sz w:val="18"/>
                <w:szCs w:val="18"/>
              </w:rPr>
              <w:t xml:space="preserve"> Special Pricing Arrangements apply</w:t>
            </w:r>
          </w:p>
        </w:tc>
      </w:tr>
    </w:tbl>
    <w:p w:rsidR="00744A52" w:rsidRPr="00F573A7" w:rsidRDefault="00744A52" w:rsidP="00E33511">
      <w:pPr>
        <w:pStyle w:val="3-BodyText"/>
        <w:numPr>
          <w:ilvl w:val="0"/>
          <w:numId w:val="0"/>
        </w:numPr>
        <w:rPr>
          <w:rFonts w:cs="Arial"/>
          <w:bCs/>
          <w:snapToGrid w:val="0"/>
        </w:rPr>
      </w:pPr>
    </w:p>
    <w:p w:rsidR="00744A52" w:rsidRPr="00F573A7" w:rsidRDefault="00744A52" w:rsidP="00744A52">
      <w:pPr>
        <w:pStyle w:val="3-BodyText"/>
        <w:rPr>
          <w:rFonts w:cs="Arial"/>
          <w:bCs/>
          <w:snapToGrid w:val="0"/>
        </w:rPr>
      </w:pPr>
      <w:r w:rsidRPr="00F573A7">
        <w:rPr>
          <w:iCs/>
        </w:rPr>
        <w:t>Flow on changes to abiraterone and enzalutamide PBS restrictions to prevent their use subsequent to darolutamide use (the March 2021 PBAC recommendation to remove the requirement to trial docetaxel in the first instance, is repeated</w:t>
      </w:r>
      <w:r w:rsidR="009E0352" w:rsidRPr="00F573A7">
        <w:rPr>
          <w:iCs/>
        </w:rPr>
        <w:t xml:space="preserve"> below</w:t>
      </w:r>
      <w:r w:rsidRPr="00F573A7">
        <w:rPr>
          <w:iCs/>
        </w:rPr>
        <w:t>) are as follows:</w:t>
      </w:r>
    </w:p>
    <w:p w:rsidR="00744A52" w:rsidRPr="00F573A7" w:rsidRDefault="00744A52" w:rsidP="00E33511">
      <w:pPr>
        <w:ind w:left="720"/>
      </w:pPr>
      <w:r w:rsidRPr="00F573A7">
        <w:t>Abiraterone [PBS item codes 2698B (250 mg ta</w:t>
      </w:r>
      <w:r w:rsidR="007014FF">
        <w:t>blet) &amp; 11206T (500 mg tablet)]</w:t>
      </w:r>
      <w:r w:rsidRPr="00F573A7">
        <w:t>:</w:t>
      </w:r>
    </w:p>
    <w:p w:rsidR="00E33511" w:rsidRPr="00F573A7" w:rsidRDefault="00E33511" w:rsidP="00E33511">
      <w:pPr>
        <w:ind w:left="720"/>
      </w:pPr>
    </w:p>
    <w:tbl>
      <w:tblPr>
        <w:tblW w:w="50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271"/>
        <w:gridCol w:w="7823"/>
      </w:tblGrid>
      <w:tr w:rsidR="00744A52" w:rsidRPr="00F573A7" w:rsidTr="00EC1491">
        <w:trPr>
          <w:trHeight w:val="18"/>
        </w:trPr>
        <w:tc>
          <w:tcPr>
            <w:tcW w:w="5000" w:type="pct"/>
            <w:gridSpan w:val="2"/>
            <w:shd w:val="clear" w:color="auto" w:fill="auto"/>
            <w:tcMar>
              <w:top w:w="0" w:type="dxa"/>
              <w:left w:w="240" w:type="dxa"/>
              <w:bottom w:w="0" w:type="dxa"/>
              <w:right w:w="240" w:type="dxa"/>
            </w:tcMar>
          </w:tcPr>
          <w:p w:rsidR="00744A52" w:rsidRPr="00F573A7" w:rsidRDefault="00744A52" w:rsidP="00E33511">
            <w:pPr>
              <w:ind w:left="-170" w:right="57"/>
              <w:rPr>
                <w:rFonts w:ascii="Arial Narrow" w:hAnsi="Arial Narrow"/>
                <w:b/>
                <w:bCs/>
                <w:sz w:val="18"/>
                <w:szCs w:val="18"/>
              </w:rPr>
            </w:pPr>
            <w:r w:rsidRPr="00F573A7">
              <w:rPr>
                <w:rFonts w:ascii="Arial Narrow" w:hAnsi="Arial Narrow"/>
                <w:b/>
                <w:bCs/>
                <w:sz w:val="18"/>
                <w:szCs w:val="18"/>
              </w:rPr>
              <w:t xml:space="preserve">Restriction Summary / Treatment of Concept: 6944 (current as at 1 July 2021)) - Authority Required </w:t>
            </w:r>
          </w:p>
        </w:tc>
      </w:tr>
      <w:tr w:rsidR="00744A52" w:rsidRPr="00F573A7" w:rsidTr="000E7FF4">
        <w:trPr>
          <w:trHeight w:val="18"/>
        </w:trPr>
        <w:tc>
          <w:tcPr>
            <w:tcW w:w="699" w:type="pct"/>
            <w:shd w:val="clear" w:color="auto" w:fill="auto"/>
            <w:tcMar>
              <w:top w:w="0" w:type="dxa"/>
              <w:left w:w="240" w:type="dxa"/>
              <w:bottom w:w="0" w:type="dxa"/>
              <w:right w:w="240" w:type="dxa"/>
            </w:tcMar>
          </w:tcPr>
          <w:p w:rsidR="00744A52" w:rsidRPr="00F573A7" w:rsidRDefault="00744A52" w:rsidP="00E33511">
            <w:pPr>
              <w:jc w:val="center"/>
              <w:rPr>
                <w:rFonts w:ascii="Arial Narrow" w:hAnsi="Arial Narrow"/>
                <w:sz w:val="18"/>
                <w:szCs w:val="18"/>
              </w:rPr>
            </w:pPr>
          </w:p>
        </w:tc>
        <w:tc>
          <w:tcPr>
            <w:tcW w:w="4301" w:type="pct"/>
            <w:shd w:val="clear" w:color="auto" w:fill="auto"/>
            <w:tcMar>
              <w:top w:w="0" w:type="dxa"/>
              <w:left w:w="240" w:type="dxa"/>
              <w:bottom w:w="0" w:type="dxa"/>
              <w:right w:w="240" w:type="dxa"/>
            </w:tcMar>
            <w:hideMark/>
          </w:tcPr>
          <w:p w:rsidR="00744A52" w:rsidRPr="00F573A7" w:rsidRDefault="00744A52" w:rsidP="00E33511">
            <w:pPr>
              <w:ind w:left="-170" w:right="57"/>
              <w:rPr>
                <w:rFonts w:ascii="Arial Narrow" w:hAnsi="Arial Narrow"/>
                <w:sz w:val="18"/>
                <w:szCs w:val="18"/>
              </w:rPr>
            </w:pPr>
            <w:r w:rsidRPr="00F573A7">
              <w:rPr>
                <w:rFonts w:ascii="Arial Narrow" w:hAnsi="Arial Narrow"/>
                <w:b/>
                <w:bCs/>
                <w:sz w:val="18"/>
                <w:szCs w:val="18"/>
              </w:rPr>
              <w:t xml:space="preserve">Indication: </w:t>
            </w:r>
            <w:r w:rsidRPr="00F573A7">
              <w:rPr>
                <w:rFonts w:ascii="Arial Narrow" w:hAnsi="Arial Narrow"/>
                <w:sz w:val="18"/>
                <w:szCs w:val="18"/>
              </w:rPr>
              <w:t>Castration resistant metastatic carcinoma of the prostate</w:t>
            </w:r>
          </w:p>
        </w:tc>
      </w:tr>
      <w:tr w:rsidR="00744A52" w:rsidRPr="00F573A7" w:rsidTr="000E7FF4">
        <w:trPr>
          <w:trHeight w:val="79"/>
        </w:trPr>
        <w:tc>
          <w:tcPr>
            <w:tcW w:w="699" w:type="pct"/>
            <w:shd w:val="clear" w:color="auto" w:fill="auto"/>
            <w:tcMar>
              <w:top w:w="0" w:type="dxa"/>
              <w:left w:w="240" w:type="dxa"/>
              <w:bottom w:w="0" w:type="dxa"/>
              <w:right w:w="240" w:type="dxa"/>
            </w:tcMar>
          </w:tcPr>
          <w:p w:rsidR="00744A52" w:rsidRPr="00F573A7" w:rsidRDefault="00744A52" w:rsidP="00E33511">
            <w:pPr>
              <w:jc w:val="center"/>
              <w:rPr>
                <w:rFonts w:ascii="Arial Narrow" w:hAnsi="Arial Narrow"/>
                <w:sz w:val="18"/>
                <w:szCs w:val="18"/>
              </w:rPr>
            </w:pPr>
          </w:p>
        </w:tc>
        <w:tc>
          <w:tcPr>
            <w:tcW w:w="4301" w:type="pct"/>
            <w:shd w:val="clear" w:color="auto" w:fill="auto"/>
            <w:tcMar>
              <w:top w:w="0" w:type="dxa"/>
              <w:left w:w="240" w:type="dxa"/>
              <w:bottom w:w="0" w:type="dxa"/>
              <w:right w:w="240" w:type="dxa"/>
            </w:tcMar>
            <w:hideMark/>
          </w:tcPr>
          <w:p w:rsidR="00744A52" w:rsidRPr="00F573A7" w:rsidRDefault="00744A52" w:rsidP="00E33511">
            <w:pPr>
              <w:ind w:left="-170" w:right="57"/>
              <w:rPr>
                <w:rFonts w:ascii="Arial Narrow" w:hAnsi="Arial Narrow"/>
                <w:sz w:val="18"/>
                <w:szCs w:val="18"/>
              </w:rPr>
            </w:pPr>
            <w:r w:rsidRPr="00F573A7">
              <w:rPr>
                <w:rFonts w:ascii="Arial Narrow" w:hAnsi="Arial Narrow"/>
                <w:b/>
                <w:bCs/>
                <w:sz w:val="18"/>
                <w:szCs w:val="18"/>
              </w:rPr>
              <w:t>Clinical criteria:</w:t>
            </w:r>
          </w:p>
        </w:tc>
      </w:tr>
      <w:tr w:rsidR="00744A52" w:rsidRPr="00F573A7" w:rsidTr="000E7FF4">
        <w:tc>
          <w:tcPr>
            <w:tcW w:w="699" w:type="pct"/>
            <w:shd w:val="clear" w:color="auto" w:fill="auto"/>
            <w:tcMar>
              <w:top w:w="0" w:type="dxa"/>
              <w:left w:w="240" w:type="dxa"/>
              <w:bottom w:w="0" w:type="dxa"/>
              <w:right w:w="240" w:type="dxa"/>
            </w:tcMar>
          </w:tcPr>
          <w:p w:rsidR="00744A52" w:rsidRPr="00F573A7" w:rsidRDefault="00744A52" w:rsidP="00E33511">
            <w:pPr>
              <w:jc w:val="center"/>
              <w:rPr>
                <w:rFonts w:ascii="Arial Narrow" w:hAnsi="Arial Narrow"/>
                <w:sz w:val="18"/>
                <w:szCs w:val="18"/>
              </w:rPr>
            </w:pPr>
          </w:p>
        </w:tc>
        <w:tc>
          <w:tcPr>
            <w:tcW w:w="4301" w:type="pct"/>
            <w:shd w:val="clear" w:color="auto" w:fill="auto"/>
            <w:tcMar>
              <w:top w:w="0" w:type="dxa"/>
              <w:left w:w="240" w:type="dxa"/>
              <w:bottom w:w="0" w:type="dxa"/>
              <w:right w:w="240" w:type="dxa"/>
            </w:tcMar>
            <w:hideMark/>
          </w:tcPr>
          <w:p w:rsidR="00744A52" w:rsidRPr="00F573A7" w:rsidRDefault="00744A52" w:rsidP="00E33511">
            <w:pPr>
              <w:ind w:left="-170" w:right="57"/>
              <w:rPr>
                <w:rFonts w:ascii="Arial Narrow" w:hAnsi="Arial Narrow"/>
                <w:sz w:val="18"/>
                <w:szCs w:val="18"/>
              </w:rPr>
            </w:pPr>
            <w:r w:rsidRPr="00F573A7">
              <w:rPr>
                <w:rFonts w:ascii="Arial Narrow" w:hAnsi="Arial Narrow"/>
                <w:sz w:val="18"/>
                <w:szCs w:val="18"/>
              </w:rPr>
              <w:t>The treatment must be used in combination with a corticosteroid</w:t>
            </w:r>
          </w:p>
        </w:tc>
      </w:tr>
      <w:tr w:rsidR="00744A52" w:rsidRPr="00F573A7" w:rsidTr="000E7FF4">
        <w:tc>
          <w:tcPr>
            <w:tcW w:w="699" w:type="pct"/>
            <w:shd w:val="clear" w:color="auto" w:fill="auto"/>
            <w:tcMar>
              <w:top w:w="0" w:type="dxa"/>
              <w:left w:w="240" w:type="dxa"/>
              <w:bottom w:w="0" w:type="dxa"/>
              <w:right w:w="240" w:type="dxa"/>
            </w:tcMar>
          </w:tcPr>
          <w:p w:rsidR="00744A52" w:rsidRPr="00F573A7" w:rsidRDefault="00744A52" w:rsidP="00E33511">
            <w:pPr>
              <w:jc w:val="center"/>
              <w:rPr>
                <w:rFonts w:ascii="Arial Narrow" w:hAnsi="Arial Narrow"/>
                <w:sz w:val="18"/>
                <w:szCs w:val="18"/>
              </w:rPr>
            </w:pPr>
          </w:p>
        </w:tc>
        <w:tc>
          <w:tcPr>
            <w:tcW w:w="4301" w:type="pct"/>
            <w:shd w:val="clear" w:color="auto" w:fill="auto"/>
            <w:tcMar>
              <w:top w:w="0" w:type="dxa"/>
              <w:left w:w="240" w:type="dxa"/>
              <w:bottom w:w="0" w:type="dxa"/>
              <w:right w:w="240" w:type="dxa"/>
            </w:tcMar>
            <w:hideMark/>
          </w:tcPr>
          <w:p w:rsidR="00744A52" w:rsidRPr="00F573A7" w:rsidRDefault="00744A52" w:rsidP="00E33511">
            <w:pPr>
              <w:ind w:left="-170" w:right="57"/>
              <w:rPr>
                <w:rFonts w:ascii="Arial Narrow" w:hAnsi="Arial Narrow"/>
                <w:sz w:val="18"/>
                <w:szCs w:val="18"/>
              </w:rPr>
            </w:pPr>
            <w:r w:rsidRPr="00F573A7">
              <w:rPr>
                <w:rFonts w:ascii="Arial Narrow" w:hAnsi="Arial Narrow"/>
                <w:b/>
                <w:bCs/>
                <w:sz w:val="18"/>
                <w:szCs w:val="18"/>
              </w:rPr>
              <w:t>AND</w:t>
            </w:r>
          </w:p>
        </w:tc>
      </w:tr>
      <w:tr w:rsidR="00744A52" w:rsidRPr="00F573A7" w:rsidTr="000E7FF4">
        <w:tc>
          <w:tcPr>
            <w:tcW w:w="699" w:type="pct"/>
            <w:shd w:val="clear" w:color="auto" w:fill="auto"/>
            <w:tcMar>
              <w:top w:w="0" w:type="dxa"/>
              <w:left w:w="240" w:type="dxa"/>
              <w:bottom w:w="0" w:type="dxa"/>
              <w:right w:w="240" w:type="dxa"/>
            </w:tcMar>
          </w:tcPr>
          <w:p w:rsidR="00744A52" w:rsidRPr="00F573A7" w:rsidRDefault="00744A52" w:rsidP="00E33511">
            <w:pPr>
              <w:jc w:val="center"/>
              <w:rPr>
                <w:rFonts w:ascii="Arial Narrow" w:hAnsi="Arial Narrow"/>
                <w:sz w:val="18"/>
                <w:szCs w:val="18"/>
              </w:rPr>
            </w:pPr>
          </w:p>
        </w:tc>
        <w:tc>
          <w:tcPr>
            <w:tcW w:w="4301" w:type="pct"/>
            <w:shd w:val="clear" w:color="auto" w:fill="auto"/>
            <w:tcMar>
              <w:top w:w="0" w:type="dxa"/>
              <w:left w:w="240" w:type="dxa"/>
              <w:bottom w:w="0" w:type="dxa"/>
              <w:right w:w="240" w:type="dxa"/>
            </w:tcMar>
            <w:hideMark/>
          </w:tcPr>
          <w:p w:rsidR="00744A52" w:rsidRPr="00F573A7" w:rsidRDefault="00744A52" w:rsidP="00E33511">
            <w:pPr>
              <w:ind w:left="-170" w:right="57"/>
              <w:rPr>
                <w:rFonts w:ascii="Arial Narrow" w:hAnsi="Arial Narrow"/>
                <w:sz w:val="18"/>
                <w:szCs w:val="18"/>
              </w:rPr>
            </w:pPr>
            <w:r w:rsidRPr="00F573A7">
              <w:rPr>
                <w:rFonts w:ascii="Arial Narrow" w:hAnsi="Arial Narrow"/>
                <w:b/>
                <w:bCs/>
                <w:sz w:val="18"/>
                <w:szCs w:val="18"/>
              </w:rPr>
              <w:t>Clinical criteria:</w:t>
            </w:r>
          </w:p>
        </w:tc>
      </w:tr>
      <w:tr w:rsidR="00744A52" w:rsidRPr="00F573A7" w:rsidTr="000E7FF4">
        <w:tc>
          <w:tcPr>
            <w:tcW w:w="699" w:type="pct"/>
            <w:shd w:val="clear" w:color="auto" w:fill="auto"/>
            <w:tcMar>
              <w:top w:w="0" w:type="dxa"/>
              <w:left w:w="240" w:type="dxa"/>
              <w:bottom w:w="0" w:type="dxa"/>
              <w:right w:w="240" w:type="dxa"/>
            </w:tcMar>
          </w:tcPr>
          <w:p w:rsidR="00744A52" w:rsidRPr="00F573A7" w:rsidRDefault="00744A52" w:rsidP="00E33511">
            <w:pPr>
              <w:jc w:val="center"/>
              <w:rPr>
                <w:rFonts w:ascii="Arial Narrow" w:hAnsi="Arial Narrow"/>
                <w:sz w:val="18"/>
                <w:szCs w:val="18"/>
              </w:rPr>
            </w:pPr>
          </w:p>
        </w:tc>
        <w:tc>
          <w:tcPr>
            <w:tcW w:w="4301" w:type="pct"/>
            <w:shd w:val="clear" w:color="auto" w:fill="auto"/>
            <w:tcMar>
              <w:top w:w="0" w:type="dxa"/>
              <w:left w:w="240" w:type="dxa"/>
              <w:bottom w:w="0" w:type="dxa"/>
              <w:right w:w="240" w:type="dxa"/>
            </w:tcMar>
            <w:hideMark/>
          </w:tcPr>
          <w:p w:rsidR="00744A52" w:rsidRPr="00F573A7" w:rsidRDefault="00744A52" w:rsidP="00E33511">
            <w:pPr>
              <w:ind w:left="-170" w:right="57"/>
              <w:rPr>
                <w:rFonts w:ascii="Arial Narrow" w:hAnsi="Arial Narrow"/>
                <w:sz w:val="18"/>
                <w:szCs w:val="18"/>
              </w:rPr>
            </w:pPr>
            <w:r w:rsidRPr="00F573A7">
              <w:rPr>
                <w:rFonts w:ascii="Arial Narrow" w:hAnsi="Arial Narrow"/>
                <w:sz w:val="18"/>
                <w:szCs w:val="18"/>
              </w:rPr>
              <w:t>The treatment must not be used in combination with chemotherapy</w:t>
            </w:r>
          </w:p>
        </w:tc>
      </w:tr>
      <w:tr w:rsidR="00744A52" w:rsidRPr="00F573A7" w:rsidTr="000E7FF4">
        <w:tc>
          <w:tcPr>
            <w:tcW w:w="699" w:type="pct"/>
            <w:shd w:val="clear" w:color="auto" w:fill="auto"/>
            <w:tcMar>
              <w:top w:w="0" w:type="dxa"/>
              <w:left w:w="240" w:type="dxa"/>
              <w:bottom w:w="0" w:type="dxa"/>
              <w:right w:w="240" w:type="dxa"/>
            </w:tcMar>
          </w:tcPr>
          <w:p w:rsidR="00744A52" w:rsidRPr="00F573A7" w:rsidRDefault="00744A52" w:rsidP="00E33511">
            <w:pPr>
              <w:jc w:val="center"/>
              <w:rPr>
                <w:rFonts w:ascii="Arial Narrow" w:hAnsi="Arial Narrow"/>
                <w:sz w:val="18"/>
                <w:szCs w:val="18"/>
              </w:rPr>
            </w:pPr>
          </w:p>
        </w:tc>
        <w:tc>
          <w:tcPr>
            <w:tcW w:w="4301" w:type="pct"/>
            <w:shd w:val="clear" w:color="auto" w:fill="auto"/>
            <w:tcMar>
              <w:top w:w="0" w:type="dxa"/>
              <w:left w:w="240" w:type="dxa"/>
              <w:bottom w:w="0" w:type="dxa"/>
              <w:right w:w="240" w:type="dxa"/>
            </w:tcMar>
            <w:hideMark/>
          </w:tcPr>
          <w:p w:rsidR="00744A52" w:rsidRPr="00F573A7" w:rsidRDefault="00744A52" w:rsidP="00E33511">
            <w:pPr>
              <w:ind w:left="-170" w:right="57"/>
              <w:rPr>
                <w:rFonts w:ascii="Arial Narrow" w:hAnsi="Arial Narrow"/>
                <w:strike/>
                <w:sz w:val="18"/>
                <w:szCs w:val="18"/>
              </w:rPr>
            </w:pPr>
            <w:r w:rsidRPr="00F573A7">
              <w:rPr>
                <w:rFonts w:ascii="Arial Narrow" w:hAnsi="Arial Narrow"/>
                <w:b/>
                <w:bCs/>
                <w:strike/>
                <w:sz w:val="18"/>
                <w:szCs w:val="18"/>
              </w:rPr>
              <w:t>AND</w:t>
            </w:r>
          </w:p>
        </w:tc>
      </w:tr>
      <w:tr w:rsidR="00744A52" w:rsidRPr="00F573A7" w:rsidTr="000E7FF4">
        <w:tc>
          <w:tcPr>
            <w:tcW w:w="699" w:type="pct"/>
            <w:shd w:val="clear" w:color="auto" w:fill="auto"/>
            <w:tcMar>
              <w:top w:w="0" w:type="dxa"/>
              <w:left w:w="240" w:type="dxa"/>
              <w:bottom w:w="0" w:type="dxa"/>
              <w:right w:w="240" w:type="dxa"/>
            </w:tcMar>
          </w:tcPr>
          <w:p w:rsidR="00744A52" w:rsidRPr="00F573A7" w:rsidRDefault="00744A52" w:rsidP="00E33511">
            <w:pPr>
              <w:jc w:val="center"/>
              <w:rPr>
                <w:rFonts w:ascii="Arial Narrow" w:hAnsi="Arial Narrow"/>
                <w:sz w:val="18"/>
                <w:szCs w:val="18"/>
              </w:rPr>
            </w:pPr>
          </w:p>
        </w:tc>
        <w:tc>
          <w:tcPr>
            <w:tcW w:w="4301" w:type="pct"/>
            <w:shd w:val="clear" w:color="auto" w:fill="auto"/>
            <w:tcMar>
              <w:top w:w="0" w:type="dxa"/>
              <w:left w:w="240" w:type="dxa"/>
              <w:bottom w:w="0" w:type="dxa"/>
              <w:right w:w="240" w:type="dxa"/>
            </w:tcMar>
            <w:hideMark/>
          </w:tcPr>
          <w:p w:rsidR="00744A52" w:rsidRPr="00F573A7" w:rsidRDefault="00744A52" w:rsidP="00E33511">
            <w:pPr>
              <w:ind w:left="-170" w:right="57"/>
              <w:rPr>
                <w:rFonts w:ascii="Arial Narrow" w:hAnsi="Arial Narrow"/>
                <w:strike/>
                <w:sz w:val="18"/>
                <w:szCs w:val="18"/>
              </w:rPr>
            </w:pPr>
            <w:r w:rsidRPr="00F573A7">
              <w:rPr>
                <w:rFonts w:ascii="Arial Narrow" w:hAnsi="Arial Narrow"/>
                <w:b/>
                <w:bCs/>
                <w:strike/>
                <w:sz w:val="18"/>
                <w:szCs w:val="18"/>
              </w:rPr>
              <w:t>Clinical criteria:</w:t>
            </w:r>
          </w:p>
        </w:tc>
      </w:tr>
      <w:tr w:rsidR="00744A52" w:rsidRPr="00F573A7" w:rsidTr="000E7FF4">
        <w:tc>
          <w:tcPr>
            <w:tcW w:w="699" w:type="pct"/>
            <w:shd w:val="clear" w:color="auto" w:fill="auto"/>
            <w:tcMar>
              <w:top w:w="0" w:type="dxa"/>
              <w:left w:w="240" w:type="dxa"/>
              <w:bottom w:w="0" w:type="dxa"/>
              <w:right w:w="240" w:type="dxa"/>
            </w:tcMar>
          </w:tcPr>
          <w:p w:rsidR="00744A52" w:rsidRPr="00F573A7" w:rsidRDefault="00744A52" w:rsidP="00E33511">
            <w:pPr>
              <w:jc w:val="center"/>
              <w:rPr>
                <w:rFonts w:ascii="Arial Narrow" w:hAnsi="Arial Narrow"/>
                <w:sz w:val="18"/>
                <w:szCs w:val="18"/>
              </w:rPr>
            </w:pPr>
          </w:p>
        </w:tc>
        <w:tc>
          <w:tcPr>
            <w:tcW w:w="4301" w:type="pct"/>
            <w:shd w:val="clear" w:color="auto" w:fill="auto"/>
            <w:tcMar>
              <w:top w:w="0" w:type="dxa"/>
              <w:left w:w="240" w:type="dxa"/>
              <w:bottom w:w="0" w:type="dxa"/>
              <w:right w:w="240" w:type="dxa"/>
            </w:tcMar>
            <w:hideMark/>
          </w:tcPr>
          <w:p w:rsidR="00744A52" w:rsidRPr="00F573A7" w:rsidRDefault="00744A52" w:rsidP="00E33511">
            <w:pPr>
              <w:ind w:left="-170" w:right="57"/>
              <w:rPr>
                <w:rFonts w:ascii="Arial Narrow" w:hAnsi="Arial Narrow"/>
                <w:strike/>
                <w:sz w:val="18"/>
                <w:szCs w:val="18"/>
              </w:rPr>
            </w:pPr>
            <w:r w:rsidRPr="00F573A7">
              <w:rPr>
                <w:rFonts w:ascii="Arial Narrow" w:hAnsi="Arial Narrow"/>
                <w:strike/>
                <w:sz w:val="18"/>
                <w:szCs w:val="18"/>
              </w:rPr>
              <w:t>Patient must have failed treatment with docetaxel due to resistance or intolerance; or</w:t>
            </w:r>
          </w:p>
        </w:tc>
      </w:tr>
      <w:tr w:rsidR="00744A52" w:rsidRPr="00F573A7" w:rsidTr="000E7FF4">
        <w:tc>
          <w:tcPr>
            <w:tcW w:w="699" w:type="pct"/>
            <w:shd w:val="clear" w:color="auto" w:fill="auto"/>
            <w:tcMar>
              <w:top w:w="0" w:type="dxa"/>
              <w:left w:w="240" w:type="dxa"/>
              <w:bottom w:w="0" w:type="dxa"/>
              <w:right w:w="240" w:type="dxa"/>
            </w:tcMar>
          </w:tcPr>
          <w:p w:rsidR="00744A52" w:rsidRPr="00F573A7" w:rsidRDefault="00744A52" w:rsidP="00E33511">
            <w:pPr>
              <w:jc w:val="center"/>
              <w:rPr>
                <w:rFonts w:ascii="Arial Narrow" w:hAnsi="Arial Narrow"/>
                <w:sz w:val="18"/>
                <w:szCs w:val="18"/>
              </w:rPr>
            </w:pPr>
          </w:p>
        </w:tc>
        <w:tc>
          <w:tcPr>
            <w:tcW w:w="4301" w:type="pct"/>
            <w:shd w:val="clear" w:color="auto" w:fill="auto"/>
            <w:tcMar>
              <w:top w:w="0" w:type="dxa"/>
              <w:left w:w="240" w:type="dxa"/>
              <w:bottom w:w="0" w:type="dxa"/>
              <w:right w:w="240" w:type="dxa"/>
            </w:tcMar>
            <w:hideMark/>
          </w:tcPr>
          <w:p w:rsidR="00744A52" w:rsidRPr="00F573A7" w:rsidRDefault="00744A52" w:rsidP="00E33511">
            <w:pPr>
              <w:ind w:left="-170" w:right="57"/>
              <w:rPr>
                <w:rFonts w:ascii="Arial Narrow" w:hAnsi="Arial Narrow"/>
                <w:strike/>
                <w:sz w:val="18"/>
                <w:szCs w:val="18"/>
              </w:rPr>
            </w:pPr>
            <w:r w:rsidRPr="00F573A7">
              <w:rPr>
                <w:rFonts w:ascii="Arial Narrow" w:hAnsi="Arial Narrow"/>
                <w:strike/>
                <w:sz w:val="18"/>
                <w:szCs w:val="18"/>
              </w:rPr>
              <w:t>Patient must be unsuitable for docetaxel treatment on the basis of predicted intolerance to docetaxel</w:t>
            </w:r>
          </w:p>
        </w:tc>
      </w:tr>
      <w:tr w:rsidR="00744A52" w:rsidRPr="00F573A7" w:rsidTr="000E7FF4">
        <w:tc>
          <w:tcPr>
            <w:tcW w:w="699" w:type="pct"/>
            <w:shd w:val="clear" w:color="auto" w:fill="auto"/>
            <w:tcMar>
              <w:top w:w="0" w:type="dxa"/>
              <w:left w:w="240" w:type="dxa"/>
              <w:bottom w:w="0" w:type="dxa"/>
              <w:right w:w="240" w:type="dxa"/>
            </w:tcMar>
          </w:tcPr>
          <w:p w:rsidR="00744A52" w:rsidRPr="00F573A7" w:rsidRDefault="00744A52" w:rsidP="00E33511">
            <w:pPr>
              <w:jc w:val="center"/>
              <w:rPr>
                <w:rFonts w:ascii="Arial Narrow" w:hAnsi="Arial Narrow"/>
                <w:sz w:val="18"/>
                <w:szCs w:val="18"/>
              </w:rPr>
            </w:pPr>
          </w:p>
        </w:tc>
        <w:tc>
          <w:tcPr>
            <w:tcW w:w="4301" w:type="pct"/>
            <w:shd w:val="clear" w:color="auto" w:fill="auto"/>
            <w:tcMar>
              <w:top w:w="0" w:type="dxa"/>
              <w:left w:w="240" w:type="dxa"/>
              <w:bottom w:w="0" w:type="dxa"/>
              <w:right w:w="240" w:type="dxa"/>
            </w:tcMar>
            <w:hideMark/>
          </w:tcPr>
          <w:p w:rsidR="00744A52" w:rsidRPr="00F573A7" w:rsidRDefault="00744A52" w:rsidP="00E33511">
            <w:pPr>
              <w:ind w:left="-170" w:right="57"/>
              <w:rPr>
                <w:rFonts w:ascii="Arial Narrow" w:hAnsi="Arial Narrow"/>
                <w:sz w:val="18"/>
                <w:szCs w:val="18"/>
              </w:rPr>
            </w:pPr>
            <w:r w:rsidRPr="00F573A7">
              <w:rPr>
                <w:rFonts w:ascii="Arial Narrow" w:hAnsi="Arial Narrow"/>
                <w:b/>
                <w:bCs/>
                <w:sz w:val="18"/>
                <w:szCs w:val="18"/>
              </w:rPr>
              <w:t>AND</w:t>
            </w:r>
          </w:p>
        </w:tc>
      </w:tr>
      <w:tr w:rsidR="00744A52" w:rsidRPr="00F573A7" w:rsidTr="000E7FF4">
        <w:tc>
          <w:tcPr>
            <w:tcW w:w="699" w:type="pct"/>
            <w:shd w:val="clear" w:color="auto" w:fill="auto"/>
            <w:tcMar>
              <w:top w:w="0" w:type="dxa"/>
              <w:left w:w="240" w:type="dxa"/>
              <w:bottom w:w="0" w:type="dxa"/>
              <w:right w:w="240" w:type="dxa"/>
            </w:tcMar>
          </w:tcPr>
          <w:p w:rsidR="00744A52" w:rsidRPr="00F573A7" w:rsidRDefault="00744A52" w:rsidP="00E33511">
            <w:pPr>
              <w:jc w:val="center"/>
              <w:rPr>
                <w:rFonts w:ascii="Arial Narrow" w:hAnsi="Arial Narrow"/>
                <w:sz w:val="18"/>
                <w:szCs w:val="18"/>
              </w:rPr>
            </w:pPr>
          </w:p>
        </w:tc>
        <w:tc>
          <w:tcPr>
            <w:tcW w:w="4301" w:type="pct"/>
            <w:shd w:val="clear" w:color="auto" w:fill="auto"/>
            <w:tcMar>
              <w:top w:w="0" w:type="dxa"/>
              <w:left w:w="240" w:type="dxa"/>
              <w:bottom w:w="0" w:type="dxa"/>
              <w:right w:w="240" w:type="dxa"/>
            </w:tcMar>
            <w:hideMark/>
          </w:tcPr>
          <w:p w:rsidR="00744A52" w:rsidRPr="00F573A7" w:rsidRDefault="00744A52" w:rsidP="00E33511">
            <w:pPr>
              <w:ind w:left="-170" w:right="57"/>
              <w:rPr>
                <w:rFonts w:ascii="Arial Narrow" w:hAnsi="Arial Narrow"/>
                <w:sz w:val="18"/>
                <w:szCs w:val="18"/>
              </w:rPr>
            </w:pPr>
            <w:r w:rsidRPr="00F573A7">
              <w:rPr>
                <w:rFonts w:ascii="Arial Narrow" w:hAnsi="Arial Narrow"/>
                <w:b/>
                <w:bCs/>
                <w:sz w:val="18"/>
                <w:szCs w:val="18"/>
              </w:rPr>
              <w:t>Clinical criteria:</w:t>
            </w:r>
          </w:p>
        </w:tc>
      </w:tr>
      <w:tr w:rsidR="00744A52" w:rsidRPr="00F573A7" w:rsidTr="000E7FF4">
        <w:tc>
          <w:tcPr>
            <w:tcW w:w="699" w:type="pct"/>
            <w:shd w:val="clear" w:color="auto" w:fill="auto"/>
            <w:tcMar>
              <w:top w:w="0" w:type="dxa"/>
              <w:left w:w="240" w:type="dxa"/>
              <w:bottom w:w="0" w:type="dxa"/>
              <w:right w:w="240" w:type="dxa"/>
            </w:tcMar>
          </w:tcPr>
          <w:p w:rsidR="00744A52" w:rsidRPr="00F573A7" w:rsidRDefault="00744A52" w:rsidP="00E33511">
            <w:pPr>
              <w:jc w:val="center"/>
              <w:rPr>
                <w:rFonts w:ascii="Arial Narrow" w:hAnsi="Arial Narrow"/>
                <w:sz w:val="18"/>
                <w:szCs w:val="18"/>
              </w:rPr>
            </w:pPr>
          </w:p>
        </w:tc>
        <w:tc>
          <w:tcPr>
            <w:tcW w:w="4301" w:type="pct"/>
            <w:shd w:val="clear" w:color="auto" w:fill="auto"/>
            <w:tcMar>
              <w:top w:w="0" w:type="dxa"/>
              <w:left w:w="240" w:type="dxa"/>
              <w:bottom w:w="0" w:type="dxa"/>
              <w:right w:w="240" w:type="dxa"/>
            </w:tcMar>
            <w:hideMark/>
          </w:tcPr>
          <w:p w:rsidR="00744A52" w:rsidRPr="00F573A7" w:rsidRDefault="00744A52" w:rsidP="00E33511">
            <w:pPr>
              <w:ind w:left="-170" w:right="57"/>
              <w:rPr>
                <w:rFonts w:ascii="Arial Narrow" w:hAnsi="Arial Narrow"/>
                <w:sz w:val="18"/>
                <w:szCs w:val="18"/>
              </w:rPr>
            </w:pPr>
            <w:r w:rsidRPr="00F573A7">
              <w:rPr>
                <w:rFonts w:ascii="Arial Narrow" w:hAnsi="Arial Narrow"/>
                <w:sz w:val="18"/>
                <w:szCs w:val="18"/>
              </w:rPr>
              <w:t>Patient must have a WHO performance status of 2 or less</w:t>
            </w:r>
          </w:p>
        </w:tc>
      </w:tr>
      <w:tr w:rsidR="00744A52" w:rsidRPr="00F573A7" w:rsidTr="000E7FF4">
        <w:tc>
          <w:tcPr>
            <w:tcW w:w="699" w:type="pct"/>
            <w:shd w:val="clear" w:color="auto" w:fill="auto"/>
            <w:tcMar>
              <w:top w:w="0" w:type="dxa"/>
              <w:left w:w="240" w:type="dxa"/>
              <w:bottom w:w="0" w:type="dxa"/>
              <w:right w:w="240" w:type="dxa"/>
            </w:tcMar>
          </w:tcPr>
          <w:p w:rsidR="00744A52" w:rsidRPr="00F573A7" w:rsidRDefault="00744A52" w:rsidP="00E33511">
            <w:pPr>
              <w:jc w:val="center"/>
              <w:rPr>
                <w:rFonts w:ascii="Arial Narrow" w:hAnsi="Arial Narrow"/>
                <w:sz w:val="18"/>
                <w:szCs w:val="18"/>
              </w:rPr>
            </w:pPr>
          </w:p>
        </w:tc>
        <w:tc>
          <w:tcPr>
            <w:tcW w:w="4301" w:type="pct"/>
            <w:shd w:val="clear" w:color="auto" w:fill="auto"/>
            <w:tcMar>
              <w:top w:w="0" w:type="dxa"/>
              <w:left w:w="240" w:type="dxa"/>
              <w:bottom w:w="0" w:type="dxa"/>
              <w:right w:w="240" w:type="dxa"/>
            </w:tcMar>
            <w:hideMark/>
          </w:tcPr>
          <w:p w:rsidR="00744A52" w:rsidRPr="00F573A7" w:rsidRDefault="00744A52" w:rsidP="00E33511">
            <w:pPr>
              <w:ind w:left="-170" w:right="57"/>
              <w:rPr>
                <w:rFonts w:ascii="Arial Narrow" w:hAnsi="Arial Narrow"/>
                <w:sz w:val="18"/>
                <w:szCs w:val="18"/>
              </w:rPr>
            </w:pPr>
            <w:r w:rsidRPr="00F573A7">
              <w:rPr>
                <w:rFonts w:ascii="Arial Narrow" w:hAnsi="Arial Narrow"/>
                <w:b/>
                <w:bCs/>
                <w:sz w:val="18"/>
                <w:szCs w:val="18"/>
              </w:rPr>
              <w:t>AND</w:t>
            </w:r>
          </w:p>
        </w:tc>
      </w:tr>
      <w:tr w:rsidR="00744A52" w:rsidRPr="00F573A7" w:rsidTr="000E7FF4">
        <w:tc>
          <w:tcPr>
            <w:tcW w:w="699" w:type="pct"/>
            <w:shd w:val="clear" w:color="auto" w:fill="auto"/>
            <w:tcMar>
              <w:top w:w="0" w:type="dxa"/>
              <w:left w:w="240" w:type="dxa"/>
              <w:bottom w:w="0" w:type="dxa"/>
              <w:right w:w="240" w:type="dxa"/>
            </w:tcMar>
          </w:tcPr>
          <w:p w:rsidR="00744A52" w:rsidRPr="00F573A7" w:rsidRDefault="00744A52" w:rsidP="00E33511">
            <w:pPr>
              <w:jc w:val="center"/>
              <w:rPr>
                <w:rFonts w:ascii="Arial Narrow" w:hAnsi="Arial Narrow"/>
                <w:sz w:val="18"/>
                <w:szCs w:val="18"/>
              </w:rPr>
            </w:pPr>
          </w:p>
        </w:tc>
        <w:tc>
          <w:tcPr>
            <w:tcW w:w="4301" w:type="pct"/>
            <w:shd w:val="clear" w:color="auto" w:fill="auto"/>
            <w:tcMar>
              <w:top w:w="0" w:type="dxa"/>
              <w:left w:w="240" w:type="dxa"/>
              <w:bottom w:w="0" w:type="dxa"/>
              <w:right w:w="240" w:type="dxa"/>
            </w:tcMar>
            <w:hideMark/>
          </w:tcPr>
          <w:p w:rsidR="00744A52" w:rsidRPr="00F573A7" w:rsidRDefault="00744A52" w:rsidP="00E33511">
            <w:pPr>
              <w:ind w:left="-170" w:right="57"/>
              <w:rPr>
                <w:rFonts w:ascii="Arial Narrow" w:hAnsi="Arial Narrow"/>
                <w:sz w:val="18"/>
                <w:szCs w:val="18"/>
              </w:rPr>
            </w:pPr>
            <w:r w:rsidRPr="00F573A7">
              <w:rPr>
                <w:rFonts w:ascii="Arial Narrow" w:hAnsi="Arial Narrow"/>
                <w:b/>
                <w:bCs/>
                <w:sz w:val="18"/>
                <w:szCs w:val="18"/>
              </w:rPr>
              <w:t>Clinical criteria:</w:t>
            </w:r>
          </w:p>
        </w:tc>
      </w:tr>
      <w:tr w:rsidR="00744A52" w:rsidRPr="00F573A7" w:rsidTr="000E7FF4">
        <w:tc>
          <w:tcPr>
            <w:tcW w:w="699" w:type="pct"/>
            <w:shd w:val="clear" w:color="auto" w:fill="auto"/>
            <w:tcMar>
              <w:top w:w="0" w:type="dxa"/>
              <w:left w:w="240" w:type="dxa"/>
              <w:bottom w:w="0" w:type="dxa"/>
              <w:right w:w="240" w:type="dxa"/>
            </w:tcMar>
          </w:tcPr>
          <w:p w:rsidR="00744A52" w:rsidRPr="00F573A7" w:rsidRDefault="00744A52" w:rsidP="00E33511">
            <w:pPr>
              <w:jc w:val="center"/>
              <w:rPr>
                <w:rFonts w:ascii="Arial Narrow" w:hAnsi="Arial Narrow"/>
                <w:sz w:val="18"/>
                <w:szCs w:val="18"/>
              </w:rPr>
            </w:pPr>
          </w:p>
        </w:tc>
        <w:tc>
          <w:tcPr>
            <w:tcW w:w="4301" w:type="pct"/>
            <w:shd w:val="clear" w:color="auto" w:fill="auto"/>
            <w:tcMar>
              <w:top w:w="0" w:type="dxa"/>
              <w:left w:w="240" w:type="dxa"/>
              <w:bottom w:w="0" w:type="dxa"/>
              <w:right w:w="240" w:type="dxa"/>
            </w:tcMar>
            <w:hideMark/>
          </w:tcPr>
          <w:p w:rsidR="00744A52" w:rsidRPr="00F573A7" w:rsidRDefault="00744A52" w:rsidP="00E33511">
            <w:pPr>
              <w:ind w:left="-170" w:right="57"/>
              <w:rPr>
                <w:rFonts w:ascii="Arial Narrow" w:hAnsi="Arial Narrow"/>
                <w:strike/>
                <w:sz w:val="18"/>
                <w:szCs w:val="18"/>
              </w:rPr>
            </w:pPr>
            <w:r w:rsidRPr="00F573A7">
              <w:rPr>
                <w:rFonts w:ascii="Arial Narrow" w:hAnsi="Arial Narrow"/>
                <w:strike/>
                <w:sz w:val="18"/>
                <w:szCs w:val="18"/>
              </w:rPr>
              <w:t>Patient must not receive PBS-subsidised abiraterone if progressive disease develops while on abiraterone</w:t>
            </w:r>
          </w:p>
        </w:tc>
      </w:tr>
      <w:tr w:rsidR="00744A52" w:rsidRPr="00F573A7" w:rsidTr="00EC1491">
        <w:tc>
          <w:tcPr>
            <w:tcW w:w="699" w:type="pct"/>
            <w:shd w:val="clear" w:color="auto" w:fill="auto"/>
            <w:tcMar>
              <w:top w:w="0" w:type="dxa"/>
              <w:left w:w="240" w:type="dxa"/>
              <w:bottom w:w="0" w:type="dxa"/>
              <w:right w:w="240" w:type="dxa"/>
            </w:tcMar>
          </w:tcPr>
          <w:p w:rsidR="00744A52" w:rsidRPr="00F573A7" w:rsidRDefault="00744A52" w:rsidP="00E33511">
            <w:pPr>
              <w:jc w:val="center"/>
              <w:rPr>
                <w:rFonts w:ascii="Arial Narrow" w:hAnsi="Arial Narrow"/>
                <w:sz w:val="18"/>
                <w:szCs w:val="18"/>
              </w:rPr>
            </w:pPr>
          </w:p>
        </w:tc>
        <w:tc>
          <w:tcPr>
            <w:tcW w:w="4301" w:type="pct"/>
            <w:shd w:val="clear" w:color="auto" w:fill="auto"/>
            <w:tcMar>
              <w:top w:w="0" w:type="dxa"/>
              <w:left w:w="240" w:type="dxa"/>
              <w:bottom w:w="0" w:type="dxa"/>
              <w:right w:w="240" w:type="dxa"/>
            </w:tcMar>
          </w:tcPr>
          <w:p w:rsidR="00744A52" w:rsidRPr="00F573A7" w:rsidRDefault="00744A52" w:rsidP="00E33511">
            <w:pPr>
              <w:ind w:left="-170" w:right="57"/>
              <w:rPr>
                <w:rFonts w:ascii="Arial Narrow" w:hAnsi="Arial Narrow"/>
                <w:iCs/>
                <w:sz w:val="18"/>
                <w:szCs w:val="18"/>
              </w:rPr>
            </w:pPr>
            <w:r w:rsidRPr="00F573A7">
              <w:rPr>
                <w:rFonts w:ascii="Arial Narrow" w:hAnsi="Arial Narrow"/>
                <w:iCs/>
                <w:sz w:val="18"/>
                <w:szCs w:val="18"/>
              </w:rPr>
              <w:t>Patient must not receive PBS-subsidised treatment with this drug if progressive disease develops while on this drug</w:t>
            </w:r>
          </w:p>
        </w:tc>
      </w:tr>
      <w:tr w:rsidR="00744A52" w:rsidRPr="00F573A7" w:rsidTr="000E7FF4">
        <w:tc>
          <w:tcPr>
            <w:tcW w:w="699" w:type="pct"/>
            <w:shd w:val="clear" w:color="auto" w:fill="auto"/>
            <w:tcMar>
              <w:top w:w="0" w:type="dxa"/>
              <w:left w:w="240" w:type="dxa"/>
              <w:bottom w:w="0" w:type="dxa"/>
              <w:right w:w="240" w:type="dxa"/>
            </w:tcMar>
          </w:tcPr>
          <w:p w:rsidR="00744A52" w:rsidRPr="00F573A7" w:rsidRDefault="00744A52" w:rsidP="00E33511">
            <w:pPr>
              <w:jc w:val="center"/>
              <w:rPr>
                <w:rFonts w:ascii="Arial Narrow" w:hAnsi="Arial Narrow"/>
                <w:sz w:val="18"/>
                <w:szCs w:val="18"/>
              </w:rPr>
            </w:pPr>
          </w:p>
        </w:tc>
        <w:tc>
          <w:tcPr>
            <w:tcW w:w="4301" w:type="pct"/>
            <w:shd w:val="clear" w:color="auto" w:fill="auto"/>
            <w:tcMar>
              <w:top w:w="0" w:type="dxa"/>
              <w:left w:w="240" w:type="dxa"/>
              <w:bottom w:w="0" w:type="dxa"/>
              <w:right w:w="240" w:type="dxa"/>
            </w:tcMar>
            <w:hideMark/>
          </w:tcPr>
          <w:p w:rsidR="00744A52" w:rsidRPr="00F573A7" w:rsidRDefault="00744A52" w:rsidP="00E33511">
            <w:pPr>
              <w:ind w:left="-170" w:right="57"/>
              <w:rPr>
                <w:rFonts w:ascii="Arial Narrow" w:hAnsi="Arial Narrow"/>
                <w:sz w:val="18"/>
                <w:szCs w:val="18"/>
              </w:rPr>
            </w:pPr>
            <w:r w:rsidRPr="00F573A7">
              <w:rPr>
                <w:rFonts w:ascii="Arial Narrow" w:hAnsi="Arial Narrow"/>
                <w:b/>
                <w:bCs/>
                <w:sz w:val="18"/>
                <w:szCs w:val="18"/>
              </w:rPr>
              <w:t>AND</w:t>
            </w:r>
          </w:p>
        </w:tc>
      </w:tr>
      <w:tr w:rsidR="00744A52" w:rsidRPr="00F573A7" w:rsidTr="000E7FF4">
        <w:tc>
          <w:tcPr>
            <w:tcW w:w="699" w:type="pct"/>
            <w:shd w:val="clear" w:color="auto" w:fill="auto"/>
            <w:tcMar>
              <w:top w:w="0" w:type="dxa"/>
              <w:left w:w="240" w:type="dxa"/>
              <w:bottom w:w="0" w:type="dxa"/>
              <w:right w:w="240" w:type="dxa"/>
            </w:tcMar>
          </w:tcPr>
          <w:p w:rsidR="00744A52" w:rsidRPr="00F573A7" w:rsidRDefault="00744A52" w:rsidP="00E33511">
            <w:pPr>
              <w:jc w:val="center"/>
              <w:rPr>
                <w:rFonts w:ascii="Arial Narrow" w:hAnsi="Arial Narrow"/>
                <w:sz w:val="18"/>
                <w:szCs w:val="18"/>
              </w:rPr>
            </w:pPr>
          </w:p>
        </w:tc>
        <w:tc>
          <w:tcPr>
            <w:tcW w:w="4301" w:type="pct"/>
            <w:shd w:val="clear" w:color="auto" w:fill="auto"/>
            <w:tcMar>
              <w:top w:w="0" w:type="dxa"/>
              <w:left w:w="240" w:type="dxa"/>
              <w:bottom w:w="0" w:type="dxa"/>
              <w:right w:w="240" w:type="dxa"/>
            </w:tcMar>
            <w:hideMark/>
          </w:tcPr>
          <w:p w:rsidR="00744A52" w:rsidRPr="00F573A7" w:rsidRDefault="00744A52" w:rsidP="00E33511">
            <w:pPr>
              <w:ind w:left="-170" w:right="57"/>
              <w:rPr>
                <w:rFonts w:ascii="Arial Narrow" w:hAnsi="Arial Narrow"/>
                <w:sz w:val="18"/>
                <w:szCs w:val="18"/>
              </w:rPr>
            </w:pPr>
            <w:r w:rsidRPr="00F573A7">
              <w:rPr>
                <w:rFonts w:ascii="Arial Narrow" w:hAnsi="Arial Narrow"/>
                <w:b/>
                <w:bCs/>
                <w:sz w:val="18"/>
                <w:szCs w:val="18"/>
              </w:rPr>
              <w:t>Clinical criteria:</w:t>
            </w:r>
          </w:p>
        </w:tc>
      </w:tr>
      <w:tr w:rsidR="00744A52" w:rsidRPr="00F573A7" w:rsidTr="000E7FF4">
        <w:tc>
          <w:tcPr>
            <w:tcW w:w="699" w:type="pct"/>
            <w:shd w:val="clear" w:color="auto" w:fill="auto"/>
            <w:tcMar>
              <w:top w:w="0" w:type="dxa"/>
              <w:left w:w="240" w:type="dxa"/>
              <w:bottom w:w="0" w:type="dxa"/>
              <w:right w:w="240" w:type="dxa"/>
            </w:tcMar>
          </w:tcPr>
          <w:p w:rsidR="00744A52" w:rsidRPr="00F573A7" w:rsidRDefault="00744A52" w:rsidP="00E33511">
            <w:pPr>
              <w:jc w:val="center"/>
              <w:rPr>
                <w:rFonts w:ascii="Arial Narrow" w:hAnsi="Arial Narrow"/>
                <w:sz w:val="18"/>
                <w:szCs w:val="18"/>
              </w:rPr>
            </w:pPr>
          </w:p>
        </w:tc>
        <w:tc>
          <w:tcPr>
            <w:tcW w:w="4301" w:type="pct"/>
            <w:shd w:val="clear" w:color="auto" w:fill="auto"/>
            <w:tcMar>
              <w:top w:w="0" w:type="dxa"/>
              <w:left w:w="240" w:type="dxa"/>
              <w:bottom w:w="0" w:type="dxa"/>
              <w:right w:w="240" w:type="dxa"/>
            </w:tcMar>
            <w:hideMark/>
          </w:tcPr>
          <w:p w:rsidR="00744A52" w:rsidRPr="00F573A7" w:rsidRDefault="00744A52" w:rsidP="00E33511">
            <w:pPr>
              <w:ind w:left="-170" w:right="57"/>
              <w:rPr>
                <w:rFonts w:ascii="Arial Narrow" w:hAnsi="Arial Narrow"/>
                <w:strike/>
                <w:sz w:val="18"/>
                <w:szCs w:val="18"/>
              </w:rPr>
            </w:pPr>
            <w:r w:rsidRPr="00F573A7">
              <w:rPr>
                <w:rFonts w:ascii="Arial Narrow" w:hAnsi="Arial Narrow"/>
                <w:strike/>
                <w:sz w:val="18"/>
                <w:szCs w:val="18"/>
              </w:rPr>
              <w:t>Patient must not have received prior treatment with enzalutamide; or</w:t>
            </w:r>
          </w:p>
        </w:tc>
      </w:tr>
      <w:tr w:rsidR="00744A52" w:rsidRPr="00F573A7" w:rsidTr="00EC1491">
        <w:tc>
          <w:tcPr>
            <w:tcW w:w="699" w:type="pct"/>
            <w:shd w:val="clear" w:color="auto" w:fill="auto"/>
            <w:tcMar>
              <w:top w:w="0" w:type="dxa"/>
              <w:left w:w="240" w:type="dxa"/>
              <w:bottom w:w="0" w:type="dxa"/>
              <w:right w:w="240" w:type="dxa"/>
            </w:tcMar>
          </w:tcPr>
          <w:p w:rsidR="00744A52" w:rsidRPr="00F573A7" w:rsidRDefault="00744A52" w:rsidP="00E33511">
            <w:pPr>
              <w:jc w:val="center"/>
              <w:rPr>
                <w:rFonts w:ascii="Arial Narrow" w:hAnsi="Arial Narrow"/>
                <w:sz w:val="18"/>
                <w:szCs w:val="18"/>
              </w:rPr>
            </w:pPr>
          </w:p>
        </w:tc>
        <w:tc>
          <w:tcPr>
            <w:tcW w:w="4301" w:type="pct"/>
            <w:shd w:val="clear" w:color="auto" w:fill="auto"/>
            <w:tcMar>
              <w:top w:w="0" w:type="dxa"/>
              <w:left w:w="240" w:type="dxa"/>
              <w:bottom w:w="0" w:type="dxa"/>
              <w:right w:w="240" w:type="dxa"/>
            </w:tcMar>
          </w:tcPr>
          <w:p w:rsidR="00744A52" w:rsidRPr="00F573A7" w:rsidRDefault="00744A52" w:rsidP="00E33511">
            <w:pPr>
              <w:ind w:left="-170" w:right="57"/>
              <w:rPr>
                <w:rFonts w:ascii="Arial Narrow" w:hAnsi="Arial Narrow"/>
                <w:sz w:val="18"/>
                <w:szCs w:val="18"/>
              </w:rPr>
            </w:pPr>
            <w:r w:rsidRPr="00F573A7">
              <w:rPr>
                <w:rFonts w:ascii="Arial Narrow" w:hAnsi="Arial Narrow"/>
                <w:iCs/>
                <w:sz w:val="18"/>
                <w:szCs w:val="18"/>
              </w:rPr>
              <w:t>Patient must not be undergoing treatment with this drug following treatment with any of: (i) darolutamide, (ii</w:t>
            </w:r>
            <w:r w:rsidR="00EB7B92" w:rsidRPr="00F573A7">
              <w:rPr>
                <w:rFonts w:ascii="Arial Narrow" w:hAnsi="Arial Narrow"/>
                <w:iCs/>
                <w:sz w:val="18"/>
                <w:szCs w:val="18"/>
              </w:rPr>
              <w:t>) enzalutamide</w:t>
            </w:r>
            <w:r w:rsidRPr="00F573A7">
              <w:rPr>
                <w:rFonts w:ascii="Arial Narrow" w:hAnsi="Arial Narrow"/>
                <w:iCs/>
                <w:sz w:val="18"/>
                <w:szCs w:val="18"/>
              </w:rPr>
              <w:t>; or</w:t>
            </w:r>
          </w:p>
        </w:tc>
      </w:tr>
      <w:tr w:rsidR="00744A52" w:rsidRPr="00F573A7" w:rsidTr="000E7FF4">
        <w:tc>
          <w:tcPr>
            <w:tcW w:w="699" w:type="pct"/>
            <w:shd w:val="clear" w:color="auto" w:fill="auto"/>
            <w:tcMar>
              <w:top w:w="0" w:type="dxa"/>
              <w:left w:w="240" w:type="dxa"/>
              <w:bottom w:w="0" w:type="dxa"/>
              <w:right w:w="240" w:type="dxa"/>
            </w:tcMar>
          </w:tcPr>
          <w:p w:rsidR="00744A52" w:rsidRPr="00F573A7" w:rsidRDefault="00744A52" w:rsidP="00E33511">
            <w:pPr>
              <w:jc w:val="center"/>
              <w:rPr>
                <w:rFonts w:ascii="Arial Narrow" w:hAnsi="Arial Narrow"/>
                <w:sz w:val="18"/>
                <w:szCs w:val="18"/>
              </w:rPr>
            </w:pPr>
          </w:p>
        </w:tc>
        <w:tc>
          <w:tcPr>
            <w:tcW w:w="4301" w:type="pct"/>
            <w:shd w:val="clear" w:color="auto" w:fill="auto"/>
            <w:tcMar>
              <w:top w:w="0" w:type="dxa"/>
              <w:left w:w="240" w:type="dxa"/>
              <w:bottom w:w="0" w:type="dxa"/>
              <w:right w:w="240" w:type="dxa"/>
            </w:tcMar>
            <w:hideMark/>
          </w:tcPr>
          <w:p w:rsidR="00744A52" w:rsidRPr="00F573A7" w:rsidRDefault="00744A52" w:rsidP="00E33511">
            <w:pPr>
              <w:ind w:left="-170" w:right="57"/>
              <w:rPr>
                <w:rFonts w:ascii="Arial Narrow" w:hAnsi="Arial Narrow"/>
                <w:sz w:val="18"/>
                <w:szCs w:val="18"/>
              </w:rPr>
            </w:pPr>
            <w:r w:rsidRPr="00F573A7">
              <w:rPr>
                <w:rFonts w:ascii="Arial Narrow" w:hAnsi="Arial Narrow"/>
                <w:sz w:val="18"/>
                <w:szCs w:val="18"/>
              </w:rPr>
              <w:t>Patient must have developed intolerance to enzalutamide of a severity necessitating permanent treatment withdrawal</w:t>
            </w:r>
          </w:p>
        </w:tc>
      </w:tr>
      <w:tr w:rsidR="00744A52" w:rsidRPr="00F573A7" w:rsidTr="000E7FF4">
        <w:tc>
          <w:tcPr>
            <w:tcW w:w="699" w:type="pct"/>
            <w:shd w:val="clear" w:color="auto" w:fill="auto"/>
            <w:tcMar>
              <w:top w:w="0" w:type="dxa"/>
              <w:left w:w="240" w:type="dxa"/>
              <w:bottom w:w="0" w:type="dxa"/>
              <w:right w:w="240" w:type="dxa"/>
            </w:tcMar>
          </w:tcPr>
          <w:p w:rsidR="00744A52" w:rsidRPr="00F573A7" w:rsidRDefault="00744A52" w:rsidP="00E33511">
            <w:pPr>
              <w:jc w:val="center"/>
              <w:rPr>
                <w:rFonts w:ascii="Arial Narrow" w:hAnsi="Arial Narrow"/>
                <w:sz w:val="18"/>
                <w:szCs w:val="18"/>
              </w:rPr>
            </w:pPr>
          </w:p>
        </w:tc>
        <w:tc>
          <w:tcPr>
            <w:tcW w:w="4301" w:type="pct"/>
            <w:shd w:val="clear" w:color="auto" w:fill="auto"/>
            <w:tcMar>
              <w:top w:w="0" w:type="dxa"/>
              <w:left w:w="240" w:type="dxa"/>
              <w:bottom w:w="0" w:type="dxa"/>
              <w:right w:w="240" w:type="dxa"/>
            </w:tcMar>
            <w:hideMark/>
          </w:tcPr>
          <w:p w:rsidR="00744A52" w:rsidRPr="00F573A7" w:rsidRDefault="00744A52" w:rsidP="00E33511">
            <w:pPr>
              <w:ind w:left="-170" w:right="57"/>
              <w:rPr>
                <w:rFonts w:ascii="Arial Narrow" w:hAnsi="Arial Narrow"/>
                <w:sz w:val="18"/>
                <w:szCs w:val="18"/>
              </w:rPr>
            </w:pPr>
            <w:r w:rsidRPr="00F573A7">
              <w:rPr>
                <w:rFonts w:ascii="Arial Narrow" w:hAnsi="Arial Narrow"/>
                <w:b/>
                <w:bCs/>
                <w:sz w:val="18"/>
                <w:szCs w:val="18"/>
              </w:rPr>
              <w:t xml:space="preserve">Administrative Advice: </w:t>
            </w:r>
            <w:r w:rsidRPr="00F573A7">
              <w:rPr>
                <w:rFonts w:ascii="Arial Narrow" w:hAnsi="Arial Narrow"/>
                <w:sz w:val="18"/>
                <w:szCs w:val="18"/>
              </w:rPr>
              <w:t>Special Pricing Arrangements apply.</w:t>
            </w:r>
          </w:p>
        </w:tc>
      </w:tr>
    </w:tbl>
    <w:p w:rsidR="00EC1491" w:rsidRPr="00F573A7" w:rsidRDefault="00EC1491" w:rsidP="00EC1491"/>
    <w:p w:rsidR="00744A52" w:rsidRPr="00F573A7" w:rsidRDefault="00744A52" w:rsidP="00265BF6">
      <w:pPr>
        <w:keepNext/>
      </w:pPr>
      <w:r w:rsidRPr="00F573A7">
        <w:t>Enzalutamide (PBS item code: 10174L):</w:t>
      </w:r>
    </w:p>
    <w:p w:rsidR="00EC1491" w:rsidRPr="00F573A7" w:rsidRDefault="00EC1491" w:rsidP="00265BF6">
      <w:pPr>
        <w:keepNext/>
        <w:ind w:firstLine="720"/>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271"/>
        <w:gridCol w:w="7938"/>
      </w:tblGrid>
      <w:tr w:rsidR="00744A52" w:rsidRPr="00F573A7" w:rsidTr="00EC1491">
        <w:trPr>
          <w:trHeight w:val="249"/>
        </w:trPr>
        <w:tc>
          <w:tcPr>
            <w:tcW w:w="9209" w:type="dxa"/>
            <w:gridSpan w:val="2"/>
            <w:shd w:val="clear" w:color="auto" w:fill="auto"/>
            <w:tcMar>
              <w:top w:w="0" w:type="dxa"/>
              <w:left w:w="240" w:type="dxa"/>
              <w:bottom w:w="0" w:type="dxa"/>
              <w:right w:w="240" w:type="dxa"/>
            </w:tcMar>
          </w:tcPr>
          <w:p w:rsidR="00744A52" w:rsidRPr="00F573A7" w:rsidRDefault="00744A52" w:rsidP="00265BF6">
            <w:pPr>
              <w:keepNext/>
              <w:ind w:left="-170" w:right="57"/>
              <w:contextualSpacing/>
              <w:rPr>
                <w:rFonts w:ascii="Arial Narrow" w:hAnsi="Arial Narrow"/>
                <w:b/>
                <w:bCs/>
                <w:sz w:val="18"/>
                <w:szCs w:val="18"/>
              </w:rPr>
            </w:pPr>
            <w:r w:rsidRPr="00F573A7">
              <w:rPr>
                <w:rFonts w:ascii="Arial Narrow" w:hAnsi="Arial Narrow"/>
                <w:b/>
                <w:bCs/>
                <w:sz w:val="18"/>
                <w:szCs w:val="18"/>
              </w:rPr>
              <w:t>Restriction Summary / Treatment of Concept: 4670 (current as at 1 July 2021) - Authority Required</w:t>
            </w:r>
          </w:p>
        </w:tc>
      </w:tr>
      <w:tr w:rsidR="00744A52" w:rsidRPr="00F573A7" w:rsidTr="009E0352">
        <w:trPr>
          <w:trHeight w:val="89"/>
        </w:trPr>
        <w:tc>
          <w:tcPr>
            <w:tcW w:w="1271" w:type="dxa"/>
            <w:shd w:val="clear" w:color="auto" w:fill="auto"/>
            <w:tcMar>
              <w:top w:w="0" w:type="dxa"/>
              <w:left w:w="240" w:type="dxa"/>
              <w:bottom w:w="0" w:type="dxa"/>
              <w:right w:w="240" w:type="dxa"/>
            </w:tcMar>
            <w:hideMark/>
          </w:tcPr>
          <w:p w:rsidR="00744A52" w:rsidRPr="00F573A7" w:rsidRDefault="00744A52" w:rsidP="00EC1491">
            <w:pPr>
              <w:jc w:val="center"/>
              <w:rPr>
                <w:rFonts w:ascii="Arial Narrow" w:hAnsi="Arial Narrow"/>
                <w:sz w:val="18"/>
                <w:szCs w:val="18"/>
              </w:rPr>
            </w:pPr>
          </w:p>
        </w:tc>
        <w:tc>
          <w:tcPr>
            <w:tcW w:w="7938" w:type="dxa"/>
            <w:shd w:val="clear" w:color="auto" w:fill="auto"/>
            <w:tcMar>
              <w:top w:w="0" w:type="dxa"/>
              <w:left w:w="240" w:type="dxa"/>
              <w:bottom w:w="0" w:type="dxa"/>
              <w:right w:w="240" w:type="dxa"/>
            </w:tcMar>
            <w:hideMark/>
          </w:tcPr>
          <w:p w:rsidR="00744A52" w:rsidRPr="00F573A7" w:rsidRDefault="00744A52" w:rsidP="00EC1491">
            <w:pPr>
              <w:ind w:left="-170" w:right="57"/>
              <w:contextualSpacing/>
              <w:rPr>
                <w:rFonts w:ascii="Arial Narrow" w:hAnsi="Arial Narrow"/>
                <w:sz w:val="18"/>
                <w:szCs w:val="18"/>
              </w:rPr>
            </w:pPr>
            <w:r w:rsidRPr="00F573A7">
              <w:rPr>
                <w:rFonts w:ascii="Arial Narrow" w:hAnsi="Arial Narrow"/>
                <w:b/>
                <w:bCs/>
                <w:sz w:val="18"/>
                <w:szCs w:val="18"/>
              </w:rPr>
              <w:t xml:space="preserve">Indication: </w:t>
            </w:r>
            <w:r w:rsidRPr="00F573A7">
              <w:rPr>
                <w:rFonts w:ascii="Arial Narrow" w:hAnsi="Arial Narrow"/>
                <w:sz w:val="18"/>
                <w:szCs w:val="18"/>
              </w:rPr>
              <w:t>Castration resistant metastatic carcinoma of the prostate</w:t>
            </w:r>
          </w:p>
        </w:tc>
      </w:tr>
      <w:tr w:rsidR="00744A52" w:rsidRPr="00F573A7" w:rsidTr="000E7FF4">
        <w:tc>
          <w:tcPr>
            <w:tcW w:w="1271" w:type="dxa"/>
            <w:shd w:val="clear" w:color="auto" w:fill="auto"/>
            <w:tcMar>
              <w:top w:w="0" w:type="dxa"/>
              <w:left w:w="240" w:type="dxa"/>
              <w:bottom w:w="0" w:type="dxa"/>
              <w:right w:w="240" w:type="dxa"/>
            </w:tcMar>
          </w:tcPr>
          <w:p w:rsidR="00744A52" w:rsidRPr="00F573A7" w:rsidRDefault="00744A52" w:rsidP="00EC1491">
            <w:pPr>
              <w:ind w:right="57"/>
              <w:contextualSpacing/>
              <w:jc w:val="center"/>
              <w:rPr>
                <w:rFonts w:ascii="Arial Narrow" w:hAnsi="Arial Narrow"/>
                <w:sz w:val="18"/>
                <w:szCs w:val="18"/>
              </w:rPr>
            </w:pPr>
          </w:p>
        </w:tc>
        <w:tc>
          <w:tcPr>
            <w:tcW w:w="7938" w:type="dxa"/>
            <w:shd w:val="clear" w:color="auto" w:fill="auto"/>
            <w:tcMar>
              <w:top w:w="0" w:type="dxa"/>
              <w:left w:w="240" w:type="dxa"/>
              <w:bottom w:w="0" w:type="dxa"/>
              <w:right w:w="240" w:type="dxa"/>
            </w:tcMar>
            <w:hideMark/>
          </w:tcPr>
          <w:p w:rsidR="00744A52" w:rsidRPr="00F573A7" w:rsidRDefault="00744A52" w:rsidP="00EC1491">
            <w:pPr>
              <w:ind w:left="-170" w:right="57"/>
              <w:contextualSpacing/>
              <w:rPr>
                <w:rFonts w:ascii="Arial Narrow" w:hAnsi="Arial Narrow"/>
                <w:sz w:val="18"/>
                <w:szCs w:val="18"/>
              </w:rPr>
            </w:pPr>
            <w:r w:rsidRPr="00F573A7">
              <w:rPr>
                <w:rFonts w:ascii="Arial Narrow" w:hAnsi="Arial Narrow"/>
                <w:b/>
                <w:bCs/>
                <w:sz w:val="18"/>
                <w:szCs w:val="18"/>
              </w:rPr>
              <w:t>Clinical criteria:</w:t>
            </w:r>
          </w:p>
        </w:tc>
      </w:tr>
      <w:tr w:rsidR="00744A52" w:rsidRPr="00F573A7" w:rsidTr="000E7FF4">
        <w:tc>
          <w:tcPr>
            <w:tcW w:w="1271" w:type="dxa"/>
            <w:shd w:val="clear" w:color="auto" w:fill="auto"/>
            <w:tcMar>
              <w:top w:w="0" w:type="dxa"/>
              <w:left w:w="240" w:type="dxa"/>
              <w:bottom w:w="0" w:type="dxa"/>
              <w:right w:w="240" w:type="dxa"/>
            </w:tcMar>
          </w:tcPr>
          <w:p w:rsidR="00744A52" w:rsidRPr="00F573A7" w:rsidRDefault="00744A52" w:rsidP="00EC1491">
            <w:pPr>
              <w:ind w:right="57"/>
              <w:contextualSpacing/>
              <w:jc w:val="center"/>
              <w:rPr>
                <w:rFonts w:ascii="Arial Narrow" w:hAnsi="Arial Narrow"/>
                <w:sz w:val="18"/>
                <w:szCs w:val="18"/>
              </w:rPr>
            </w:pPr>
          </w:p>
        </w:tc>
        <w:tc>
          <w:tcPr>
            <w:tcW w:w="7938" w:type="dxa"/>
            <w:shd w:val="clear" w:color="auto" w:fill="auto"/>
            <w:tcMar>
              <w:top w:w="0" w:type="dxa"/>
              <w:left w:w="240" w:type="dxa"/>
              <w:bottom w:w="0" w:type="dxa"/>
              <w:right w:w="240" w:type="dxa"/>
            </w:tcMar>
            <w:hideMark/>
          </w:tcPr>
          <w:p w:rsidR="00744A52" w:rsidRPr="00F573A7" w:rsidRDefault="00744A52" w:rsidP="00EC1491">
            <w:pPr>
              <w:ind w:left="-170" w:right="57"/>
              <w:contextualSpacing/>
              <w:rPr>
                <w:rFonts w:ascii="Arial Narrow" w:hAnsi="Arial Narrow"/>
                <w:sz w:val="18"/>
                <w:szCs w:val="18"/>
              </w:rPr>
            </w:pPr>
            <w:r w:rsidRPr="00F573A7">
              <w:rPr>
                <w:rFonts w:ascii="Arial Narrow" w:hAnsi="Arial Narrow"/>
                <w:sz w:val="18"/>
                <w:szCs w:val="18"/>
              </w:rPr>
              <w:t>The treatment must not be used in combination with chemotherapy</w:t>
            </w:r>
          </w:p>
        </w:tc>
      </w:tr>
      <w:tr w:rsidR="00744A52" w:rsidRPr="00F573A7" w:rsidTr="000E7FF4">
        <w:tc>
          <w:tcPr>
            <w:tcW w:w="1271" w:type="dxa"/>
            <w:shd w:val="clear" w:color="auto" w:fill="auto"/>
            <w:tcMar>
              <w:top w:w="0" w:type="dxa"/>
              <w:left w:w="240" w:type="dxa"/>
              <w:bottom w:w="0" w:type="dxa"/>
              <w:right w:w="240" w:type="dxa"/>
            </w:tcMar>
          </w:tcPr>
          <w:p w:rsidR="00744A52" w:rsidRPr="00F573A7" w:rsidRDefault="00744A52" w:rsidP="00EC1491">
            <w:pPr>
              <w:ind w:right="57"/>
              <w:contextualSpacing/>
              <w:jc w:val="center"/>
              <w:rPr>
                <w:rFonts w:ascii="Arial Narrow" w:hAnsi="Arial Narrow"/>
                <w:sz w:val="18"/>
                <w:szCs w:val="18"/>
              </w:rPr>
            </w:pPr>
          </w:p>
        </w:tc>
        <w:tc>
          <w:tcPr>
            <w:tcW w:w="7938" w:type="dxa"/>
            <w:shd w:val="clear" w:color="auto" w:fill="auto"/>
            <w:tcMar>
              <w:top w:w="0" w:type="dxa"/>
              <w:left w:w="240" w:type="dxa"/>
              <w:bottom w:w="0" w:type="dxa"/>
              <w:right w:w="240" w:type="dxa"/>
            </w:tcMar>
            <w:hideMark/>
          </w:tcPr>
          <w:p w:rsidR="00744A52" w:rsidRPr="00F573A7" w:rsidRDefault="00744A52" w:rsidP="00EC1491">
            <w:pPr>
              <w:ind w:left="-170" w:right="57"/>
              <w:contextualSpacing/>
              <w:rPr>
                <w:rFonts w:ascii="Arial Narrow" w:hAnsi="Arial Narrow"/>
                <w:strike/>
                <w:sz w:val="18"/>
                <w:szCs w:val="18"/>
              </w:rPr>
            </w:pPr>
            <w:r w:rsidRPr="00F573A7">
              <w:rPr>
                <w:rFonts w:ascii="Arial Narrow" w:hAnsi="Arial Narrow"/>
                <w:b/>
                <w:bCs/>
                <w:strike/>
                <w:sz w:val="18"/>
                <w:szCs w:val="18"/>
              </w:rPr>
              <w:t>AND</w:t>
            </w:r>
          </w:p>
        </w:tc>
      </w:tr>
      <w:tr w:rsidR="00744A52" w:rsidRPr="00F573A7" w:rsidTr="000E7FF4">
        <w:tc>
          <w:tcPr>
            <w:tcW w:w="1271" w:type="dxa"/>
            <w:shd w:val="clear" w:color="auto" w:fill="auto"/>
            <w:tcMar>
              <w:top w:w="0" w:type="dxa"/>
              <w:left w:w="240" w:type="dxa"/>
              <w:bottom w:w="0" w:type="dxa"/>
              <w:right w:w="240" w:type="dxa"/>
            </w:tcMar>
          </w:tcPr>
          <w:p w:rsidR="00744A52" w:rsidRPr="00F573A7" w:rsidRDefault="00744A52" w:rsidP="00EC1491">
            <w:pPr>
              <w:ind w:right="57"/>
              <w:contextualSpacing/>
              <w:jc w:val="center"/>
              <w:rPr>
                <w:rFonts w:ascii="Arial Narrow" w:hAnsi="Arial Narrow"/>
                <w:sz w:val="18"/>
                <w:szCs w:val="18"/>
              </w:rPr>
            </w:pPr>
          </w:p>
        </w:tc>
        <w:tc>
          <w:tcPr>
            <w:tcW w:w="7938" w:type="dxa"/>
            <w:shd w:val="clear" w:color="auto" w:fill="auto"/>
            <w:tcMar>
              <w:top w:w="0" w:type="dxa"/>
              <w:left w:w="240" w:type="dxa"/>
              <w:bottom w:w="0" w:type="dxa"/>
              <w:right w:w="240" w:type="dxa"/>
            </w:tcMar>
            <w:hideMark/>
          </w:tcPr>
          <w:p w:rsidR="00744A52" w:rsidRPr="00F573A7" w:rsidRDefault="00744A52" w:rsidP="00EC1491">
            <w:pPr>
              <w:ind w:left="-170" w:right="57"/>
              <w:contextualSpacing/>
              <w:rPr>
                <w:rFonts w:ascii="Arial Narrow" w:hAnsi="Arial Narrow"/>
                <w:strike/>
                <w:sz w:val="18"/>
                <w:szCs w:val="18"/>
              </w:rPr>
            </w:pPr>
            <w:r w:rsidRPr="00F573A7">
              <w:rPr>
                <w:rFonts w:ascii="Arial Narrow" w:hAnsi="Arial Narrow"/>
                <w:b/>
                <w:bCs/>
                <w:strike/>
                <w:sz w:val="18"/>
                <w:szCs w:val="18"/>
              </w:rPr>
              <w:t>Clinical criteria:</w:t>
            </w:r>
          </w:p>
        </w:tc>
      </w:tr>
      <w:tr w:rsidR="00744A52" w:rsidRPr="00F573A7" w:rsidTr="000E7FF4">
        <w:tc>
          <w:tcPr>
            <w:tcW w:w="1271" w:type="dxa"/>
            <w:shd w:val="clear" w:color="auto" w:fill="auto"/>
            <w:tcMar>
              <w:top w:w="0" w:type="dxa"/>
              <w:left w:w="240" w:type="dxa"/>
              <w:bottom w:w="0" w:type="dxa"/>
              <w:right w:w="240" w:type="dxa"/>
            </w:tcMar>
          </w:tcPr>
          <w:p w:rsidR="00744A52" w:rsidRPr="00F573A7" w:rsidRDefault="00744A52" w:rsidP="00EC1491">
            <w:pPr>
              <w:ind w:right="57"/>
              <w:contextualSpacing/>
              <w:jc w:val="center"/>
              <w:rPr>
                <w:rFonts w:ascii="Arial Narrow" w:hAnsi="Arial Narrow"/>
                <w:sz w:val="18"/>
                <w:szCs w:val="18"/>
              </w:rPr>
            </w:pPr>
          </w:p>
        </w:tc>
        <w:tc>
          <w:tcPr>
            <w:tcW w:w="7938" w:type="dxa"/>
            <w:shd w:val="clear" w:color="auto" w:fill="auto"/>
            <w:tcMar>
              <w:top w:w="0" w:type="dxa"/>
              <w:left w:w="240" w:type="dxa"/>
              <w:bottom w:w="0" w:type="dxa"/>
              <w:right w:w="240" w:type="dxa"/>
            </w:tcMar>
            <w:hideMark/>
          </w:tcPr>
          <w:p w:rsidR="00744A52" w:rsidRPr="00F573A7" w:rsidRDefault="00744A52" w:rsidP="00EC1491">
            <w:pPr>
              <w:ind w:left="-170" w:right="57"/>
              <w:contextualSpacing/>
              <w:rPr>
                <w:rFonts w:ascii="Arial Narrow" w:hAnsi="Arial Narrow"/>
                <w:strike/>
                <w:sz w:val="18"/>
                <w:szCs w:val="18"/>
              </w:rPr>
            </w:pPr>
            <w:r w:rsidRPr="00F573A7">
              <w:rPr>
                <w:rFonts w:ascii="Arial Narrow" w:hAnsi="Arial Narrow"/>
                <w:strike/>
                <w:sz w:val="18"/>
                <w:szCs w:val="18"/>
              </w:rPr>
              <w:t xml:space="preserve">Patient must have failed treatment with docetaxel due to resistance or intolerance; or </w:t>
            </w:r>
          </w:p>
        </w:tc>
      </w:tr>
      <w:tr w:rsidR="00744A52" w:rsidRPr="00F573A7" w:rsidTr="000E7FF4">
        <w:tc>
          <w:tcPr>
            <w:tcW w:w="1271" w:type="dxa"/>
            <w:shd w:val="clear" w:color="auto" w:fill="auto"/>
            <w:tcMar>
              <w:top w:w="0" w:type="dxa"/>
              <w:left w:w="240" w:type="dxa"/>
              <w:bottom w:w="0" w:type="dxa"/>
              <w:right w:w="240" w:type="dxa"/>
            </w:tcMar>
          </w:tcPr>
          <w:p w:rsidR="00744A52" w:rsidRPr="00F573A7" w:rsidRDefault="00744A52" w:rsidP="00EC1491">
            <w:pPr>
              <w:ind w:right="57"/>
              <w:contextualSpacing/>
              <w:jc w:val="center"/>
              <w:rPr>
                <w:rFonts w:ascii="Arial Narrow" w:hAnsi="Arial Narrow"/>
                <w:sz w:val="18"/>
                <w:szCs w:val="18"/>
              </w:rPr>
            </w:pPr>
          </w:p>
        </w:tc>
        <w:tc>
          <w:tcPr>
            <w:tcW w:w="7938" w:type="dxa"/>
            <w:shd w:val="clear" w:color="auto" w:fill="auto"/>
            <w:tcMar>
              <w:top w:w="0" w:type="dxa"/>
              <w:left w:w="240" w:type="dxa"/>
              <w:bottom w:w="0" w:type="dxa"/>
              <w:right w:w="240" w:type="dxa"/>
            </w:tcMar>
            <w:hideMark/>
          </w:tcPr>
          <w:p w:rsidR="00744A52" w:rsidRPr="00F573A7" w:rsidRDefault="00744A52" w:rsidP="00EC1491">
            <w:pPr>
              <w:ind w:left="-170" w:right="57"/>
              <w:contextualSpacing/>
              <w:rPr>
                <w:rFonts w:ascii="Arial Narrow" w:hAnsi="Arial Narrow"/>
                <w:strike/>
                <w:sz w:val="18"/>
                <w:szCs w:val="18"/>
              </w:rPr>
            </w:pPr>
            <w:r w:rsidRPr="00F573A7">
              <w:rPr>
                <w:rFonts w:ascii="Arial Narrow" w:hAnsi="Arial Narrow"/>
                <w:strike/>
                <w:sz w:val="18"/>
                <w:szCs w:val="18"/>
              </w:rPr>
              <w:t>Patient must be unsuitable for docetaxel treatment on the basis of predicted intolerance to docetaxel</w:t>
            </w:r>
          </w:p>
        </w:tc>
      </w:tr>
      <w:tr w:rsidR="00744A52" w:rsidRPr="00F573A7" w:rsidTr="000E7FF4">
        <w:tc>
          <w:tcPr>
            <w:tcW w:w="1271" w:type="dxa"/>
            <w:shd w:val="clear" w:color="auto" w:fill="auto"/>
            <w:tcMar>
              <w:top w:w="0" w:type="dxa"/>
              <w:left w:w="240" w:type="dxa"/>
              <w:bottom w:w="0" w:type="dxa"/>
              <w:right w:w="240" w:type="dxa"/>
            </w:tcMar>
          </w:tcPr>
          <w:p w:rsidR="00744A52" w:rsidRPr="00F573A7" w:rsidRDefault="00744A52" w:rsidP="00EC1491">
            <w:pPr>
              <w:ind w:right="57"/>
              <w:contextualSpacing/>
              <w:jc w:val="center"/>
              <w:rPr>
                <w:rFonts w:ascii="Arial Narrow" w:hAnsi="Arial Narrow"/>
                <w:sz w:val="18"/>
                <w:szCs w:val="18"/>
              </w:rPr>
            </w:pPr>
          </w:p>
        </w:tc>
        <w:tc>
          <w:tcPr>
            <w:tcW w:w="7938" w:type="dxa"/>
            <w:shd w:val="clear" w:color="auto" w:fill="auto"/>
            <w:tcMar>
              <w:top w:w="0" w:type="dxa"/>
              <w:left w:w="240" w:type="dxa"/>
              <w:bottom w:w="0" w:type="dxa"/>
              <w:right w:w="240" w:type="dxa"/>
            </w:tcMar>
            <w:hideMark/>
          </w:tcPr>
          <w:p w:rsidR="00744A52" w:rsidRPr="00F573A7" w:rsidRDefault="00744A52" w:rsidP="00EC1491">
            <w:pPr>
              <w:ind w:left="-170" w:right="57"/>
              <w:contextualSpacing/>
              <w:rPr>
                <w:rFonts w:ascii="Arial Narrow" w:hAnsi="Arial Narrow"/>
                <w:sz w:val="18"/>
                <w:szCs w:val="18"/>
              </w:rPr>
            </w:pPr>
            <w:r w:rsidRPr="00F573A7">
              <w:rPr>
                <w:rFonts w:ascii="Arial Narrow" w:hAnsi="Arial Narrow"/>
                <w:b/>
                <w:bCs/>
                <w:sz w:val="18"/>
                <w:szCs w:val="18"/>
              </w:rPr>
              <w:t>AND</w:t>
            </w:r>
          </w:p>
        </w:tc>
      </w:tr>
      <w:tr w:rsidR="00744A52" w:rsidRPr="00F573A7" w:rsidTr="000E7FF4">
        <w:tc>
          <w:tcPr>
            <w:tcW w:w="1271" w:type="dxa"/>
            <w:shd w:val="clear" w:color="auto" w:fill="auto"/>
            <w:tcMar>
              <w:top w:w="0" w:type="dxa"/>
              <w:left w:w="240" w:type="dxa"/>
              <w:bottom w:w="0" w:type="dxa"/>
              <w:right w:w="240" w:type="dxa"/>
            </w:tcMar>
          </w:tcPr>
          <w:p w:rsidR="00744A52" w:rsidRPr="00F573A7" w:rsidRDefault="00744A52" w:rsidP="00EC1491">
            <w:pPr>
              <w:ind w:right="57"/>
              <w:contextualSpacing/>
              <w:jc w:val="center"/>
              <w:rPr>
                <w:rFonts w:ascii="Arial Narrow" w:hAnsi="Arial Narrow"/>
                <w:sz w:val="18"/>
                <w:szCs w:val="18"/>
              </w:rPr>
            </w:pPr>
          </w:p>
        </w:tc>
        <w:tc>
          <w:tcPr>
            <w:tcW w:w="7938" w:type="dxa"/>
            <w:shd w:val="clear" w:color="auto" w:fill="auto"/>
            <w:tcMar>
              <w:top w:w="0" w:type="dxa"/>
              <w:left w:w="240" w:type="dxa"/>
              <w:bottom w:w="0" w:type="dxa"/>
              <w:right w:w="240" w:type="dxa"/>
            </w:tcMar>
            <w:hideMark/>
          </w:tcPr>
          <w:p w:rsidR="00744A52" w:rsidRPr="00F573A7" w:rsidRDefault="00744A52" w:rsidP="00EC1491">
            <w:pPr>
              <w:ind w:left="-170" w:right="57"/>
              <w:contextualSpacing/>
              <w:rPr>
                <w:rFonts w:ascii="Arial Narrow" w:hAnsi="Arial Narrow"/>
                <w:sz w:val="18"/>
                <w:szCs w:val="18"/>
              </w:rPr>
            </w:pPr>
            <w:r w:rsidRPr="00F573A7">
              <w:rPr>
                <w:rFonts w:ascii="Arial Narrow" w:hAnsi="Arial Narrow"/>
                <w:b/>
                <w:bCs/>
                <w:sz w:val="18"/>
                <w:szCs w:val="18"/>
              </w:rPr>
              <w:t>Clinical criteria:</w:t>
            </w:r>
          </w:p>
        </w:tc>
      </w:tr>
      <w:tr w:rsidR="00744A52" w:rsidRPr="00F573A7" w:rsidTr="000E7FF4">
        <w:tc>
          <w:tcPr>
            <w:tcW w:w="1271" w:type="dxa"/>
            <w:shd w:val="clear" w:color="auto" w:fill="auto"/>
            <w:tcMar>
              <w:top w:w="0" w:type="dxa"/>
              <w:left w:w="240" w:type="dxa"/>
              <w:bottom w:w="0" w:type="dxa"/>
              <w:right w:w="240" w:type="dxa"/>
            </w:tcMar>
          </w:tcPr>
          <w:p w:rsidR="00744A52" w:rsidRPr="00F573A7" w:rsidRDefault="00744A52" w:rsidP="00EC1491">
            <w:pPr>
              <w:contextualSpacing/>
              <w:jc w:val="center"/>
              <w:rPr>
                <w:rFonts w:ascii="Arial Narrow" w:hAnsi="Arial Narrow"/>
                <w:sz w:val="18"/>
                <w:szCs w:val="18"/>
              </w:rPr>
            </w:pPr>
          </w:p>
        </w:tc>
        <w:tc>
          <w:tcPr>
            <w:tcW w:w="7938" w:type="dxa"/>
            <w:shd w:val="clear" w:color="auto" w:fill="auto"/>
            <w:tcMar>
              <w:top w:w="0" w:type="dxa"/>
              <w:left w:w="240" w:type="dxa"/>
              <w:bottom w:w="0" w:type="dxa"/>
              <w:right w:w="240" w:type="dxa"/>
            </w:tcMar>
            <w:hideMark/>
          </w:tcPr>
          <w:p w:rsidR="00744A52" w:rsidRPr="00F573A7" w:rsidRDefault="00744A52" w:rsidP="00EC1491">
            <w:pPr>
              <w:ind w:left="-170" w:right="57"/>
              <w:contextualSpacing/>
              <w:rPr>
                <w:rFonts w:ascii="Arial Narrow" w:hAnsi="Arial Narrow"/>
                <w:sz w:val="18"/>
                <w:szCs w:val="18"/>
              </w:rPr>
            </w:pPr>
            <w:r w:rsidRPr="00F573A7">
              <w:rPr>
                <w:rFonts w:ascii="Arial Narrow" w:hAnsi="Arial Narrow"/>
                <w:sz w:val="18"/>
                <w:szCs w:val="18"/>
              </w:rPr>
              <w:t xml:space="preserve">Patient must have a WHO performance status of 2 or less </w:t>
            </w:r>
          </w:p>
        </w:tc>
      </w:tr>
      <w:tr w:rsidR="00744A52" w:rsidRPr="00F573A7" w:rsidTr="000E7FF4">
        <w:tc>
          <w:tcPr>
            <w:tcW w:w="1271" w:type="dxa"/>
            <w:shd w:val="clear" w:color="auto" w:fill="auto"/>
            <w:tcMar>
              <w:top w:w="0" w:type="dxa"/>
              <w:left w:w="240" w:type="dxa"/>
              <w:bottom w:w="0" w:type="dxa"/>
              <w:right w:w="240" w:type="dxa"/>
            </w:tcMar>
          </w:tcPr>
          <w:p w:rsidR="00744A52" w:rsidRPr="00F573A7" w:rsidRDefault="00744A52" w:rsidP="00EC1491">
            <w:pPr>
              <w:ind w:right="57"/>
              <w:contextualSpacing/>
              <w:jc w:val="center"/>
              <w:rPr>
                <w:rFonts w:ascii="Arial Narrow" w:hAnsi="Arial Narrow"/>
                <w:sz w:val="18"/>
                <w:szCs w:val="18"/>
              </w:rPr>
            </w:pPr>
          </w:p>
        </w:tc>
        <w:tc>
          <w:tcPr>
            <w:tcW w:w="7938" w:type="dxa"/>
            <w:shd w:val="clear" w:color="auto" w:fill="auto"/>
            <w:tcMar>
              <w:top w:w="0" w:type="dxa"/>
              <w:left w:w="240" w:type="dxa"/>
              <w:bottom w:w="0" w:type="dxa"/>
              <w:right w:w="240" w:type="dxa"/>
            </w:tcMar>
            <w:hideMark/>
          </w:tcPr>
          <w:p w:rsidR="00744A52" w:rsidRPr="00F573A7" w:rsidRDefault="00744A52" w:rsidP="00EC1491">
            <w:pPr>
              <w:ind w:left="-170" w:right="57"/>
              <w:contextualSpacing/>
              <w:rPr>
                <w:rFonts w:ascii="Arial Narrow" w:hAnsi="Arial Narrow"/>
                <w:sz w:val="18"/>
                <w:szCs w:val="18"/>
              </w:rPr>
            </w:pPr>
            <w:r w:rsidRPr="00F573A7">
              <w:rPr>
                <w:rFonts w:ascii="Arial Narrow" w:hAnsi="Arial Narrow"/>
                <w:b/>
                <w:bCs/>
                <w:sz w:val="18"/>
                <w:szCs w:val="18"/>
              </w:rPr>
              <w:t>AND</w:t>
            </w:r>
          </w:p>
        </w:tc>
      </w:tr>
      <w:tr w:rsidR="00744A52" w:rsidRPr="00F573A7" w:rsidTr="000E7FF4">
        <w:trPr>
          <w:trHeight w:val="155"/>
        </w:trPr>
        <w:tc>
          <w:tcPr>
            <w:tcW w:w="1271" w:type="dxa"/>
            <w:shd w:val="clear" w:color="auto" w:fill="auto"/>
            <w:tcMar>
              <w:top w:w="0" w:type="dxa"/>
              <w:left w:w="240" w:type="dxa"/>
              <w:bottom w:w="0" w:type="dxa"/>
              <w:right w:w="240" w:type="dxa"/>
            </w:tcMar>
          </w:tcPr>
          <w:p w:rsidR="00744A52" w:rsidRPr="00F573A7" w:rsidRDefault="00744A52" w:rsidP="00EC1491">
            <w:pPr>
              <w:ind w:right="57"/>
              <w:contextualSpacing/>
              <w:jc w:val="center"/>
              <w:rPr>
                <w:rFonts w:ascii="Arial Narrow" w:hAnsi="Arial Narrow"/>
                <w:sz w:val="18"/>
                <w:szCs w:val="18"/>
              </w:rPr>
            </w:pPr>
          </w:p>
        </w:tc>
        <w:tc>
          <w:tcPr>
            <w:tcW w:w="7938" w:type="dxa"/>
            <w:shd w:val="clear" w:color="auto" w:fill="auto"/>
            <w:tcMar>
              <w:top w:w="0" w:type="dxa"/>
              <w:left w:w="240" w:type="dxa"/>
              <w:bottom w:w="0" w:type="dxa"/>
              <w:right w:w="240" w:type="dxa"/>
            </w:tcMar>
            <w:hideMark/>
          </w:tcPr>
          <w:p w:rsidR="00744A52" w:rsidRPr="00F573A7" w:rsidRDefault="00744A52" w:rsidP="00EC1491">
            <w:pPr>
              <w:ind w:left="-170" w:right="57"/>
              <w:contextualSpacing/>
              <w:rPr>
                <w:rFonts w:ascii="Arial Narrow" w:hAnsi="Arial Narrow"/>
                <w:sz w:val="18"/>
                <w:szCs w:val="18"/>
              </w:rPr>
            </w:pPr>
            <w:r w:rsidRPr="00F573A7">
              <w:rPr>
                <w:rFonts w:ascii="Arial Narrow" w:hAnsi="Arial Narrow"/>
                <w:b/>
                <w:bCs/>
                <w:sz w:val="18"/>
                <w:szCs w:val="18"/>
              </w:rPr>
              <w:t>Clinical criteria:</w:t>
            </w:r>
          </w:p>
        </w:tc>
      </w:tr>
      <w:tr w:rsidR="00744A52" w:rsidRPr="00F573A7" w:rsidTr="000E7FF4">
        <w:tc>
          <w:tcPr>
            <w:tcW w:w="1271" w:type="dxa"/>
            <w:shd w:val="clear" w:color="auto" w:fill="auto"/>
            <w:tcMar>
              <w:top w:w="0" w:type="dxa"/>
              <w:left w:w="240" w:type="dxa"/>
              <w:bottom w:w="0" w:type="dxa"/>
              <w:right w:w="240" w:type="dxa"/>
            </w:tcMar>
          </w:tcPr>
          <w:p w:rsidR="00744A52" w:rsidRPr="00F573A7" w:rsidRDefault="00744A52" w:rsidP="00EC1491">
            <w:pPr>
              <w:ind w:right="57"/>
              <w:contextualSpacing/>
              <w:jc w:val="center"/>
              <w:rPr>
                <w:rFonts w:ascii="Arial Narrow" w:hAnsi="Arial Narrow"/>
                <w:sz w:val="18"/>
                <w:szCs w:val="18"/>
              </w:rPr>
            </w:pPr>
          </w:p>
        </w:tc>
        <w:tc>
          <w:tcPr>
            <w:tcW w:w="7938" w:type="dxa"/>
            <w:shd w:val="clear" w:color="auto" w:fill="auto"/>
            <w:tcMar>
              <w:top w:w="0" w:type="dxa"/>
              <w:left w:w="240" w:type="dxa"/>
              <w:bottom w:w="0" w:type="dxa"/>
              <w:right w:w="240" w:type="dxa"/>
            </w:tcMar>
            <w:hideMark/>
          </w:tcPr>
          <w:p w:rsidR="00744A52" w:rsidRPr="00F573A7" w:rsidRDefault="00744A52" w:rsidP="00EC1491">
            <w:pPr>
              <w:ind w:left="-170" w:right="57"/>
              <w:contextualSpacing/>
              <w:rPr>
                <w:rFonts w:ascii="Arial Narrow" w:hAnsi="Arial Narrow"/>
                <w:sz w:val="18"/>
                <w:szCs w:val="18"/>
              </w:rPr>
            </w:pPr>
            <w:r w:rsidRPr="00F573A7">
              <w:rPr>
                <w:rFonts w:ascii="Arial Narrow" w:hAnsi="Arial Narrow"/>
                <w:sz w:val="18"/>
                <w:szCs w:val="18"/>
              </w:rPr>
              <w:t>Patient must not receive PBS-subsidised treatment with this drug if progressive disease develops while on this drug</w:t>
            </w:r>
          </w:p>
        </w:tc>
      </w:tr>
      <w:tr w:rsidR="00744A52" w:rsidRPr="00F573A7" w:rsidTr="000E7FF4">
        <w:tc>
          <w:tcPr>
            <w:tcW w:w="1271" w:type="dxa"/>
            <w:shd w:val="clear" w:color="auto" w:fill="auto"/>
            <w:tcMar>
              <w:top w:w="0" w:type="dxa"/>
              <w:left w:w="240" w:type="dxa"/>
              <w:bottom w:w="0" w:type="dxa"/>
              <w:right w:w="240" w:type="dxa"/>
            </w:tcMar>
          </w:tcPr>
          <w:p w:rsidR="00744A52" w:rsidRPr="00F573A7" w:rsidRDefault="00744A52" w:rsidP="00EC1491">
            <w:pPr>
              <w:ind w:right="57"/>
              <w:contextualSpacing/>
              <w:jc w:val="center"/>
              <w:rPr>
                <w:rFonts w:ascii="Arial Narrow" w:hAnsi="Arial Narrow"/>
                <w:sz w:val="18"/>
                <w:szCs w:val="18"/>
              </w:rPr>
            </w:pPr>
          </w:p>
        </w:tc>
        <w:tc>
          <w:tcPr>
            <w:tcW w:w="7938" w:type="dxa"/>
            <w:shd w:val="clear" w:color="auto" w:fill="auto"/>
            <w:tcMar>
              <w:top w:w="0" w:type="dxa"/>
              <w:left w:w="240" w:type="dxa"/>
              <w:bottom w:w="0" w:type="dxa"/>
              <w:right w:w="240" w:type="dxa"/>
            </w:tcMar>
            <w:hideMark/>
          </w:tcPr>
          <w:p w:rsidR="00744A52" w:rsidRPr="00F573A7" w:rsidRDefault="00744A52" w:rsidP="00EC1491">
            <w:pPr>
              <w:ind w:left="-170" w:right="57"/>
              <w:contextualSpacing/>
              <w:rPr>
                <w:rFonts w:ascii="Arial Narrow" w:hAnsi="Arial Narrow"/>
                <w:sz w:val="18"/>
                <w:szCs w:val="18"/>
              </w:rPr>
            </w:pPr>
            <w:r w:rsidRPr="00F573A7">
              <w:rPr>
                <w:rFonts w:ascii="Arial Narrow" w:hAnsi="Arial Narrow"/>
                <w:b/>
                <w:bCs/>
                <w:sz w:val="18"/>
                <w:szCs w:val="18"/>
              </w:rPr>
              <w:t>AND</w:t>
            </w:r>
          </w:p>
        </w:tc>
      </w:tr>
      <w:tr w:rsidR="00744A52" w:rsidRPr="00F573A7" w:rsidTr="000E7FF4">
        <w:tc>
          <w:tcPr>
            <w:tcW w:w="1271" w:type="dxa"/>
            <w:shd w:val="clear" w:color="auto" w:fill="auto"/>
            <w:tcMar>
              <w:top w:w="0" w:type="dxa"/>
              <w:left w:w="240" w:type="dxa"/>
              <w:bottom w:w="0" w:type="dxa"/>
              <w:right w:w="240" w:type="dxa"/>
            </w:tcMar>
          </w:tcPr>
          <w:p w:rsidR="00744A52" w:rsidRPr="00F573A7" w:rsidRDefault="00744A52" w:rsidP="00EC1491">
            <w:pPr>
              <w:ind w:right="57"/>
              <w:contextualSpacing/>
              <w:jc w:val="center"/>
              <w:rPr>
                <w:rFonts w:ascii="Arial Narrow" w:hAnsi="Arial Narrow"/>
                <w:sz w:val="18"/>
                <w:szCs w:val="18"/>
              </w:rPr>
            </w:pPr>
          </w:p>
        </w:tc>
        <w:tc>
          <w:tcPr>
            <w:tcW w:w="7938" w:type="dxa"/>
            <w:shd w:val="clear" w:color="auto" w:fill="auto"/>
            <w:tcMar>
              <w:top w:w="0" w:type="dxa"/>
              <w:left w:w="240" w:type="dxa"/>
              <w:bottom w:w="0" w:type="dxa"/>
              <w:right w:w="240" w:type="dxa"/>
            </w:tcMar>
            <w:hideMark/>
          </w:tcPr>
          <w:p w:rsidR="00744A52" w:rsidRPr="00F573A7" w:rsidRDefault="00744A52" w:rsidP="00EC1491">
            <w:pPr>
              <w:ind w:left="-170" w:right="57"/>
              <w:contextualSpacing/>
              <w:rPr>
                <w:rFonts w:ascii="Arial Narrow" w:hAnsi="Arial Narrow"/>
                <w:sz w:val="18"/>
                <w:szCs w:val="18"/>
              </w:rPr>
            </w:pPr>
            <w:r w:rsidRPr="00F573A7">
              <w:rPr>
                <w:rFonts w:ascii="Arial Narrow" w:hAnsi="Arial Narrow"/>
                <w:b/>
                <w:bCs/>
                <w:sz w:val="18"/>
                <w:szCs w:val="18"/>
              </w:rPr>
              <w:t>Clinical criteria:</w:t>
            </w:r>
          </w:p>
        </w:tc>
      </w:tr>
      <w:tr w:rsidR="00744A52" w:rsidRPr="00F573A7" w:rsidTr="000E7FF4">
        <w:trPr>
          <w:trHeight w:val="255"/>
        </w:trPr>
        <w:tc>
          <w:tcPr>
            <w:tcW w:w="1271" w:type="dxa"/>
            <w:shd w:val="clear" w:color="auto" w:fill="auto"/>
            <w:tcMar>
              <w:top w:w="0" w:type="dxa"/>
              <w:left w:w="240" w:type="dxa"/>
              <w:bottom w:w="0" w:type="dxa"/>
              <w:right w:w="240" w:type="dxa"/>
            </w:tcMar>
          </w:tcPr>
          <w:p w:rsidR="00744A52" w:rsidRPr="00F573A7" w:rsidRDefault="00744A52" w:rsidP="00EC1491">
            <w:pPr>
              <w:ind w:right="57"/>
              <w:contextualSpacing/>
              <w:jc w:val="center"/>
              <w:rPr>
                <w:rFonts w:ascii="Arial Narrow" w:hAnsi="Arial Narrow"/>
                <w:sz w:val="18"/>
                <w:szCs w:val="18"/>
              </w:rPr>
            </w:pPr>
          </w:p>
        </w:tc>
        <w:tc>
          <w:tcPr>
            <w:tcW w:w="7938" w:type="dxa"/>
            <w:shd w:val="clear" w:color="auto" w:fill="auto"/>
            <w:tcMar>
              <w:top w:w="0" w:type="dxa"/>
              <w:left w:w="240" w:type="dxa"/>
              <w:bottom w:w="0" w:type="dxa"/>
              <w:right w:w="240" w:type="dxa"/>
            </w:tcMar>
            <w:hideMark/>
          </w:tcPr>
          <w:p w:rsidR="00744A52" w:rsidRPr="00F573A7" w:rsidRDefault="00744A52" w:rsidP="00EC1491">
            <w:pPr>
              <w:ind w:left="-170" w:right="57"/>
              <w:contextualSpacing/>
              <w:rPr>
                <w:rFonts w:ascii="Arial Narrow" w:hAnsi="Arial Narrow"/>
                <w:strike/>
                <w:sz w:val="18"/>
                <w:szCs w:val="18"/>
              </w:rPr>
            </w:pPr>
            <w:r w:rsidRPr="00F573A7">
              <w:rPr>
                <w:rFonts w:ascii="Arial Narrow" w:hAnsi="Arial Narrow"/>
                <w:strike/>
                <w:sz w:val="18"/>
                <w:szCs w:val="18"/>
              </w:rPr>
              <w:t>Patient must not have received prior treatment with abiraterone; or</w:t>
            </w:r>
          </w:p>
        </w:tc>
      </w:tr>
      <w:tr w:rsidR="00744A52" w:rsidRPr="00F573A7" w:rsidTr="009E0352">
        <w:trPr>
          <w:trHeight w:val="255"/>
        </w:trPr>
        <w:tc>
          <w:tcPr>
            <w:tcW w:w="1271" w:type="dxa"/>
            <w:shd w:val="clear" w:color="auto" w:fill="auto"/>
            <w:tcMar>
              <w:top w:w="0" w:type="dxa"/>
              <w:left w:w="240" w:type="dxa"/>
              <w:bottom w:w="0" w:type="dxa"/>
              <w:right w:w="240" w:type="dxa"/>
            </w:tcMar>
          </w:tcPr>
          <w:p w:rsidR="00744A52" w:rsidRPr="00F573A7" w:rsidRDefault="00744A52" w:rsidP="00EC1491">
            <w:pPr>
              <w:ind w:right="57"/>
              <w:contextualSpacing/>
              <w:jc w:val="center"/>
              <w:rPr>
                <w:rFonts w:ascii="Arial Narrow" w:hAnsi="Arial Narrow"/>
                <w:sz w:val="18"/>
                <w:szCs w:val="18"/>
              </w:rPr>
            </w:pPr>
          </w:p>
        </w:tc>
        <w:tc>
          <w:tcPr>
            <w:tcW w:w="7938" w:type="dxa"/>
            <w:shd w:val="clear" w:color="auto" w:fill="auto"/>
            <w:tcMar>
              <w:top w:w="0" w:type="dxa"/>
              <w:left w:w="240" w:type="dxa"/>
              <w:bottom w:w="0" w:type="dxa"/>
              <w:right w:w="240" w:type="dxa"/>
            </w:tcMar>
          </w:tcPr>
          <w:p w:rsidR="00744A52" w:rsidRPr="00F573A7" w:rsidRDefault="00744A52" w:rsidP="00EC1491">
            <w:pPr>
              <w:ind w:left="-170" w:right="57"/>
              <w:contextualSpacing/>
              <w:rPr>
                <w:rFonts w:ascii="Arial Narrow" w:hAnsi="Arial Narrow"/>
                <w:iCs/>
                <w:sz w:val="18"/>
                <w:szCs w:val="18"/>
              </w:rPr>
            </w:pPr>
            <w:r w:rsidRPr="00F573A7">
              <w:rPr>
                <w:rFonts w:ascii="Arial Narrow" w:hAnsi="Arial Narrow"/>
                <w:iCs/>
                <w:sz w:val="18"/>
                <w:szCs w:val="18"/>
              </w:rPr>
              <w:t>Patient must not be undergoing treatment with this drug following treatment with any of: (i) darolutamide, (ii</w:t>
            </w:r>
            <w:r w:rsidR="00EB7B92" w:rsidRPr="00F573A7">
              <w:rPr>
                <w:rFonts w:ascii="Arial Narrow" w:hAnsi="Arial Narrow"/>
                <w:iCs/>
                <w:sz w:val="18"/>
                <w:szCs w:val="18"/>
              </w:rPr>
              <w:t>) abiraterone</w:t>
            </w:r>
            <w:r w:rsidRPr="00F573A7">
              <w:rPr>
                <w:rFonts w:ascii="Arial Narrow" w:hAnsi="Arial Narrow"/>
                <w:iCs/>
                <w:sz w:val="18"/>
                <w:szCs w:val="18"/>
              </w:rPr>
              <w:t>; or</w:t>
            </w:r>
          </w:p>
        </w:tc>
      </w:tr>
      <w:tr w:rsidR="00744A52" w:rsidRPr="00F573A7" w:rsidTr="000E7FF4">
        <w:trPr>
          <w:trHeight w:val="163"/>
        </w:trPr>
        <w:tc>
          <w:tcPr>
            <w:tcW w:w="1271" w:type="dxa"/>
            <w:shd w:val="clear" w:color="auto" w:fill="auto"/>
            <w:tcMar>
              <w:top w:w="0" w:type="dxa"/>
              <w:left w:w="240" w:type="dxa"/>
              <w:bottom w:w="0" w:type="dxa"/>
              <w:right w:w="240" w:type="dxa"/>
            </w:tcMar>
          </w:tcPr>
          <w:p w:rsidR="00744A52" w:rsidRPr="00F573A7" w:rsidRDefault="00744A52" w:rsidP="00EC1491">
            <w:pPr>
              <w:ind w:right="57"/>
              <w:contextualSpacing/>
              <w:jc w:val="center"/>
              <w:rPr>
                <w:rFonts w:ascii="Arial Narrow" w:hAnsi="Arial Narrow"/>
                <w:sz w:val="18"/>
                <w:szCs w:val="18"/>
              </w:rPr>
            </w:pPr>
          </w:p>
        </w:tc>
        <w:tc>
          <w:tcPr>
            <w:tcW w:w="7938" w:type="dxa"/>
            <w:shd w:val="clear" w:color="auto" w:fill="auto"/>
            <w:tcMar>
              <w:top w:w="0" w:type="dxa"/>
              <w:left w:w="240" w:type="dxa"/>
              <w:bottom w:w="0" w:type="dxa"/>
              <w:right w:w="240" w:type="dxa"/>
            </w:tcMar>
            <w:hideMark/>
          </w:tcPr>
          <w:p w:rsidR="00744A52" w:rsidRPr="00F573A7" w:rsidRDefault="00744A52" w:rsidP="00EC1491">
            <w:pPr>
              <w:ind w:left="-170" w:right="57"/>
              <w:contextualSpacing/>
              <w:rPr>
                <w:rFonts w:ascii="Arial Narrow" w:hAnsi="Arial Narrow"/>
                <w:sz w:val="18"/>
                <w:szCs w:val="18"/>
              </w:rPr>
            </w:pPr>
            <w:r w:rsidRPr="00F573A7">
              <w:rPr>
                <w:rFonts w:ascii="Arial Narrow" w:hAnsi="Arial Narrow"/>
                <w:sz w:val="18"/>
                <w:szCs w:val="18"/>
              </w:rPr>
              <w:t>Patient must have developed intolerance to abiraterone of a severity necessitating permanent treatment withdrawal</w:t>
            </w:r>
          </w:p>
        </w:tc>
      </w:tr>
      <w:tr w:rsidR="00744A52" w:rsidRPr="00F573A7" w:rsidTr="000E7FF4">
        <w:tc>
          <w:tcPr>
            <w:tcW w:w="1271" w:type="dxa"/>
            <w:shd w:val="clear" w:color="auto" w:fill="auto"/>
            <w:tcMar>
              <w:top w:w="0" w:type="dxa"/>
              <w:left w:w="240" w:type="dxa"/>
              <w:bottom w:w="0" w:type="dxa"/>
              <w:right w:w="240" w:type="dxa"/>
            </w:tcMar>
          </w:tcPr>
          <w:p w:rsidR="00744A52" w:rsidRPr="00F573A7" w:rsidRDefault="00744A52" w:rsidP="00EC1491">
            <w:pPr>
              <w:ind w:right="57"/>
              <w:contextualSpacing/>
              <w:jc w:val="center"/>
              <w:rPr>
                <w:rFonts w:ascii="Arial Narrow" w:hAnsi="Arial Narrow"/>
                <w:sz w:val="18"/>
                <w:szCs w:val="18"/>
              </w:rPr>
            </w:pPr>
          </w:p>
        </w:tc>
        <w:tc>
          <w:tcPr>
            <w:tcW w:w="7938" w:type="dxa"/>
            <w:shd w:val="clear" w:color="auto" w:fill="auto"/>
            <w:tcMar>
              <w:top w:w="0" w:type="dxa"/>
              <w:left w:w="240" w:type="dxa"/>
              <w:bottom w:w="0" w:type="dxa"/>
              <w:right w:w="240" w:type="dxa"/>
            </w:tcMar>
            <w:hideMark/>
          </w:tcPr>
          <w:p w:rsidR="00744A52" w:rsidRPr="00F573A7" w:rsidRDefault="00744A52" w:rsidP="00EC1491">
            <w:pPr>
              <w:ind w:left="-170" w:right="57"/>
              <w:contextualSpacing/>
              <w:rPr>
                <w:rFonts w:ascii="Arial Narrow" w:hAnsi="Arial Narrow"/>
                <w:sz w:val="18"/>
                <w:szCs w:val="18"/>
              </w:rPr>
            </w:pPr>
            <w:r w:rsidRPr="00F573A7">
              <w:rPr>
                <w:rFonts w:ascii="Arial Narrow" w:hAnsi="Arial Narrow"/>
                <w:b/>
                <w:bCs/>
                <w:sz w:val="18"/>
                <w:szCs w:val="18"/>
              </w:rPr>
              <w:t xml:space="preserve">Administrative Advice: </w:t>
            </w:r>
            <w:r w:rsidRPr="00F573A7">
              <w:rPr>
                <w:rFonts w:ascii="Arial Narrow" w:hAnsi="Arial Narrow"/>
                <w:sz w:val="18"/>
                <w:szCs w:val="18"/>
              </w:rPr>
              <w:t>Special Pricing Arrangements apply.</w:t>
            </w:r>
          </w:p>
        </w:tc>
      </w:tr>
      <w:tr w:rsidR="00744A52" w:rsidRPr="00F573A7" w:rsidTr="000E7FF4">
        <w:tc>
          <w:tcPr>
            <w:tcW w:w="1271" w:type="dxa"/>
            <w:shd w:val="clear" w:color="auto" w:fill="auto"/>
            <w:tcMar>
              <w:top w:w="0" w:type="dxa"/>
              <w:left w:w="240" w:type="dxa"/>
              <w:bottom w:w="0" w:type="dxa"/>
              <w:right w:w="240" w:type="dxa"/>
            </w:tcMar>
          </w:tcPr>
          <w:p w:rsidR="00744A52" w:rsidRPr="00F573A7" w:rsidRDefault="00744A52" w:rsidP="00EC1491">
            <w:pPr>
              <w:ind w:right="57"/>
              <w:contextualSpacing/>
              <w:jc w:val="center"/>
              <w:rPr>
                <w:rFonts w:ascii="Arial Narrow" w:hAnsi="Arial Narrow"/>
                <w:sz w:val="18"/>
                <w:szCs w:val="18"/>
              </w:rPr>
            </w:pPr>
          </w:p>
        </w:tc>
        <w:tc>
          <w:tcPr>
            <w:tcW w:w="7938" w:type="dxa"/>
            <w:shd w:val="clear" w:color="auto" w:fill="auto"/>
            <w:tcMar>
              <w:top w:w="0" w:type="dxa"/>
              <w:left w:w="240" w:type="dxa"/>
              <w:bottom w:w="0" w:type="dxa"/>
              <w:right w:w="240" w:type="dxa"/>
            </w:tcMar>
            <w:hideMark/>
          </w:tcPr>
          <w:p w:rsidR="00744A52" w:rsidRPr="00F573A7" w:rsidRDefault="00744A52" w:rsidP="00EC1491">
            <w:pPr>
              <w:ind w:left="-170" w:right="57"/>
              <w:contextualSpacing/>
              <w:rPr>
                <w:rFonts w:ascii="Arial Narrow" w:hAnsi="Arial Narrow"/>
                <w:sz w:val="18"/>
                <w:szCs w:val="18"/>
              </w:rPr>
            </w:pPr>
            <w:r w:rsidRPr="00F573A7">
              <w:rPr>
                <w:rFonts w:ascii="Arial Narrow" w:hAnsi="Arial Narrow"/>
                <w:b/>
                <w:bCs/>
                <w:sz w:val="18"/>
                <w:szCs w:val="18"/>
              </w:rPr>
              <w:t xml:space="preserve">Administrative Advice: </w:t>
            </w:r>
            <w:r w:rsidRPr="00F573A7">
              <w:rPr>
                <w:rFonts w:ascii="Arial Narrow" w:hAnsi="Arial Narrow"/>
                <w:sz w:val="18"/>
                <w:szCs w:val="18"/>
              </w:rPr>
              <w:t>No increase in the maximum quantity or number of units may be authorised.</w:t>
            </w:r>
          </w:p>
        </w:tc>
      </w:tr>
      <w:tr w:rsidR="00744A52" w:rsidRPr="00F573A7" w:rsidTr="000E7FF4">
        <w:tc>
          <w:tcPr>
            <w:tcW w:w="1271" w:type="dxa"/>
            <w:shd w:val="clear" w:color="auto" w:fill="auto"/>
            <w:tcMar>
              <w:top w:w="0" w:type="dxa"/>
              <w:left w:w="240" w:type="dxa"/>
              <w:bottom w:w="0" w:type="dxa"/>
              <w:right w:w="240" w:type="dxa"/>
            </w:tcMar>
          </w:tcPr>
          <w:p w:rsidR="00744A52" w:rsidRPr="00F573A7" w:rsidRDefault="00744A52" w:rsidP="00EC1491">
            <w:pPr>
              <w:ind w:right="57"/>
              <w:contextualSpacing/>
              <w:jc w:val="center"/>
              <w:rPr>
                <w:rFonts w:ascii="Arial Narrow" w:hAnsi="Arial Narrow"/>
                <w:sz w:val="18"/>
                <w:szCs w:val="18"/>
              </w:rPr>
            </w:pPr>
          </w:p>
        </w:tc>
        <w:tc>
          <w:tcPr>
            <w:tcW w:w="7938" w:type="dxa"/>
            <w:shd w:val="clear" w:color="auto" w:fill="auto"/>
            <w:tcMar>
              <w:top w:w="0" w:type="dxa"/>
              <w:left w:w="240" w:type="dxa"/>
              <w:bottom w:w="0" w:type="dxa"/>
              <w:right w:w="240" w:type="dxa"/>
            </w:tcMar>
            <w:hideMark/>
          </w:tcPr>
          <w:p w:rsidR="00744A52" w:rsidRPr="00F573A7" w:rsidRDefault="00744A52" w:rsidP="00EC1491">
            <w:pPr>
              <w:ind w:left="-170" w:right="57"/>
              <w:contextualSpacing/>
              <w:rPr>
                <w:rFonts w:ascii="Arial Narrow" w:hAnsi="Arial Narrow"/>
                <w:sz w:val="18"/>
                <w:szCs w:val="18"/>
              </w:rPr>
            </w:pPr>
            <w:r w:rsidRPr="00F573A7">
              <w:rPr>
                <w:rFonts w:ascii="Arial Narrow" w:hAnsi="Arial Narrow"/>
                <w:b/>
                <w:bCs/>
                <w:sz w:val="18"/>
                <w:szCs w:val="18"/>
              </w:rPr>
              <w:t xml:space="preserve">Administrative Advice: </w:t>
            </w:r>
            <w:r w:rsidRPr="00F573A7">
              <w:rPr>
                <w:rFonts w:ascii="Arial Narrow" w:hAnsi="Arial Narrow"/>
                <w:sz w:val="18"/>
                <w:szCs w:val="18"/>
              </w:rPr>
              <w:t>No increase in the maximum number of repeats may be authorised.</w:t>
            </w:r>
          </w:p>
        </w:tc>
      </w:tr>
    </w:tbl>
    <w:p w:rsidR="00744A52" w:rsidRDefault="00744A52" w:rsidP="00EC1491">
      <w:pPr>
        <w:pStyle w:val="3-BodyText"/>
        <w:numPr>
          <w:ilvl w:val="0"/>
          <w:numId w:val="0"/>
        </w:numPr>
        <w:rPr>
          <w:rFonts w:cs="Arial"/>
          <w:bCs/>
          <w:snapToGrid w:val="0"/>
        </w:rPr>
      </w:pPr>
    </w:p>
    <w:p w:rsidR="00886EAA" w:rsidRPr="001C6154" w:rsidRDefault="00886EAA" w:rsidP="00886EAA">
      <w:pPr>
        <w:jc w:val="left"/>
      </w:pPr>
      <w:r w:rsidRPr="001C6154">
        <w:rPr>
          <w:b/>
          <w:bCs/>
          <w:i/>
        </w:rPr>
        <w:t>This restriction may be subject to further review. Should there be any changes made to the restriction the Sponsor will be informed.</w:t>
      </w:r>
    </w:p>
    <w:p w:rsidR="00886EAA" w:rsidRDefault="00886EAA" w:rsidP="00EC1491">
      <w:pPr>
        <w:pStyle w:val="3-BodyText"/>
        <w:numPr>
          <w:ilvl w:val="0"/>
          <w:numId w:val="0"/>
        </w:numPr>
        <w:rPr>
          <w:rFonts w:cs="Arial"/>
          <w:bCs/>
          <w:snapToGrid w:val="0"/>
        </w:rPr>
      </w:pPr>
    </w:p>
    <w:p w:rsidR="00E1545C" w:rsidRDefault="00E1545C" w:rsidP="00E1545C">
      <w:pPr>
        <w:pStyle w:val="2-SectionHeading"/>
        <w:rPr>
          <w:bCs/>
          <w:lang w:val="en-GB"/>
        </w:rPr>
      </w:pPr>
      <w:r w:rsidRPr="00C07617">
        <w:t>Context for Decision</w:t>
      </w:r>
    </w:p>
    <w:p w:rsidR="00E1545C" w:rsidRPr="007129F2" w:rsidRDefault="00E1545C" w:rsidP="00E1545C">
      <w:pPr>
        <w:spacing w:after="120"/>
        <w:ind w:left="720"/>
        <w:rPr>
          <w:rFonts w:asciiTheme="minorHAnsi" w:hAnsiTheme="minorHAnsi" w:cs="Arial"/>
          <w:bCs/>
          <w:lang w:val="en-GB"/>
        </w:rPr>
      </w:pPr>
      <w:r w:rsidRPr="007129F2">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E1545C" w:rsidRPr="00C07617" w:rsidRDefault="00E1545C" w:rsidP="00E1545C">
      <w:pPr>
        <w:pStyle w:val="2-SectionHeading"/>
        <w:rPr>
          <w:b w:val="0"/>
        </w:rPr>
      </w:pPr>
      <w:r>
        <w:t>Sponsor’s Comment</w:t>
      </w:r>
    </w:p>
    <w:bookmarkEnd w:id="7"/>
    <w:p w:rsidR="00E1545C" w:rsidRPr="00F573A7" w:rsidRDefault="003E3331" w:rsidP="000E7FF4">
      <w:pPr>
        <w:pStyle w:val="3-BodyText"/>
        <w:numPr>
          <w:ilvl w:val="0"/>
          <w:numId w:val="0"/>
        </w:numPr>
        <w:ind w:left="720"/>
        <w:rPr>
          <w:rFonts w:cs="Arial"/>
          <w:bCs/>
          <w:snapToGrid w:val="0"/>
        </w:rPr>
      </w:pPr>
      <w:r w:rsidRPr="005B55C5">
        <w:t>Bayer welcomes the PBAC decision to recommend the PBS listing of darolutamide (Nubeqa®) for men with non-metastatic castration resistant prostate cancer</w:t>
      </w:r>
      <w:r>
        <w:t>.</w:t>
      </w:r>
    </w:p>
    <w:sectPr w:rsidR="00E1545C" w:rsidRPr="00F573A7" w:rsidSect="00C27B58">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1CD0" w:rsidRDefault="00201CD0">
      <w:r>
        <w:separator/>
      </w:r>
    </w:p>
    <w:p w:rsidR="00201CD0" w:rsidRDefault="00201CD0"/>
    <w:p w:rsidR="00201CD0" w:rsidRDefault="00201CD0"/>
  </w:endnote>
  <w:endnote w:type="continuationSeparator" w:id="0">
    <w:p w:rsidR="00201CD0" w:rsidRDefault="00201CD0">
      <w:r>
        <w:continuationSeparator/>
      </w:r>
    </w:p>
    <w:p w:rsidR="00201CD0" w:rsidRDefault="00201CD0"/>
    <w:p w:rsidR="00201CD0" w:rsidRDefault="00201CD0"/>
  </w:endnote>
  <w:endnote w:type="continuationNotice" w:id="1">
    <w:p w:rsidR="00201CD0" w:rsidRDefault="00201CD0"/>
    <w:p w:rsidR="00201CD0" w:rsidRDefault="00201C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839"/>
      <w:gridCol w:w="1347"/>
      <w:gridCol w:w="3840"/>
    </w:tblGrid>
    <w:tr w:rsidR="00201CD0" w:rsidTr="005A3173">
      <w:trPr>
        <w:trHeight w:val="151"/>
      </w:trPr>
      <w:tc>
        <w:tcPr>
          <w:tcW w:w="2250" w:type="pct"/>
          <w:tcBorders>
            <w:top w:val="nil"/>
            <w:left w:val="nil"/>
            <w:bottom w:val="single" w:sz="4" w:space="0" w:color="4F81BD"/>
            <w:right w:val="nil"/>
          </w:tcBorders>
        </w:tcPr>
        <w:p w:rsidR="00201CD0" w:rsidRPr="005A3173" w:rsidRDefault="00201CD0" w:rsidP="005A3173">
          <w:pPr>
            <w:spacing w:line="276" w:lineRule="auto"/>
            <w:rPr>
              <w:rFonts w:eastAsia="MS Gothic"/>
              <w:b/>
              <w:bCs/>
              <w:color w:val="4F81BD"/>
            </w:rPr>
          </w:pPr>
        </w:p>
      </w:tc>
      <w:tc>
        <w:tcPr>
          <w:tcW w:w="500" w:type="pct"/>
          <w:vMerge w:val="restart"/>
          <w:noWrap/>
          <w:vAlign w:val="center"/>
          <w:hideMark/>
        </w:tcPr>
        <w:p w:rsidR="00201CD0" w:rsidRPr="005A3173" w:rsidRDefault="00201CD0" w:rsidP="005A3173">
          <w:pPr>
            <w:spacing w:line="276" w:lineRule="auto"/>
            <w:rPr>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201CD0" w:rsidRPr="005A3173" w:rsidRDefault="00201CD0" w:rsidP="005A3173">
          <w:pPr>
            <w:spacing w:line="276" w:lineRule="auto"/>
            <w:rPr>
              <w:rFonts w:eastAsia="MS Gothic"/>
              <w:b/>
              <w:bCs/>
              <w:color w:val="4F81BD"/>
            </w:rPr>
          </w:pPr>
        </w:p>
      </w:tc>
    </w:tr>
    <w:tr w:rsidR="00201CD0" w:rsidTr="005A3173">
      <w:trPr>
        <w:trHeight w:val="150"/>
      </w:trPr>
      <w:tc>
        <w:tcPr>
          <w:tcW w:w="2250" w:type="pct"/>
          <w:tcBorders>
            <w:top w:val="single" w:sz="4" w:space="0" w:color="4F81BD"/>
            <w:left w:val="nil"/>
            <w:bottom w:val="nil"/>
            <w:right w:val="nil"/>
          </w:tcBorders>
        </w:tcPr>
        <w:p w:rsidR="00201CD0" w:rsidRPr="005A3173" w:rsidRDefault="00201CD0" w:rsidP="005A3173">
          <w:pPr>
            <w:spacing w:line="276" w:lineRule="auto"/>
            <w:rPr>
              <w:rFonts w:eastAsia="MS Gothic"/>
              <w:b/>
              <w:bCs/>
              <w:color w:val="4F81BD"/>
            </w:rPr>
          </w:pPr>
        </w:p>
      </w:tc>
      <w:tc>
        <w:tcPr>
          <w:tcW w:w="0" w:type="auto"/>
          <w:vMerge/>
          <w:vAlign w:val="center"/>
          <w:hideMark/>
        </w:tcPr>
        <w:p w:rsidR="00201CD0" w:rsidRPr="005A3173" w:rsidRDefault="00201CD0" w:rsidP="005A3173">
          <w:pPr>
            <w:rPr>
              <w:color w:val="365F91"/>
              <w:sz w:val="22"/>
              <w:szCs w:val="22"/>
            </w:rPr>
          </w:pPr>
        </w:p>
      </w:tc>
      <w:tc>
        <w:tcPr>
          <w:tcW w:w="2250" w:type="pct"/>
          <w:tcBorders>
            <w:top w:val="single" w:sz="4" w:space="0" w:color="4F81BD"/>
            <w:left w:val="nil"/>
            <w:bottom w:val="nil"/>
            <w:right w:val="nil"/>
          </w:tcBorders>
        </w:tcPr>
        <w:p w:rsidR="00201CD0" w:rsidRPr="005A3173" w:rsidRDefault="00201CD0" w:rsidP="005A3173">
          <w:pPr>
            <w:spacing w:line="276" w:lineRule="auto"/>
            <w:rPr>
              <w:rFonts w:eastAsia="MS Gothic"/>
              <w:b/>
              <w:bCs/>
              <w:color w:val="4F81BD"/>
            </w:rPr>
          </w:pPr>
        </w:p>
      </w:tc>
    </w:tr>
  </w:tbl>
  <w:p w:rsidR="00201CD0" w:rsidRDefault="00201CD0" w:rsidP="00653D69">
    <w:pPr>
      <w:framePr w:wrap="around" w:vAnchor="text" w:hAnchor="margin" w:xAlign="center" w:y="1"/>
    </w:pPr>
    <w:r>
      <w:fldChar w:fldCharType="begin"/>
    </w:r>
    <w:r>
      <w:instrText xml:space="preserve">PAGE  </w:instrText>
    </w:r>
    <w:r>
      <w:fldChar w:fldCharType="end"/>
    </w:r>
  </w:p>
  <w:p w:rsidR="00201CD0" w:rsidRDefault="00201CD0"/>
  <w:p w:rsidR="00201CD0" w:rsidRDefault="00201CD0"/>
  <w:p w:rsidR="00201CD0" w:rsidRDefault="00201CD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CD0" w:rsidRDefault="00201CD0">
    <w:pPr>
      <w:pStyle w:val="Footer"/>
    </w:pPr>
  </w:p>
  <w:p w:rsidR="00201CD0" w:rsidRPr="00790030" w:rsidRDefault="000864B4">
    <w:pPr>
      <w:pStyle w:val="Footer"/>
      <w:rPr>
        <w:b/>
      </w:rPr>
    </w:pPr>
    <w:sdt>
      <w:sdtPr>
        <w:id w:val="1499918428"/>
        <w:docPartObj>
          <w:docPartGallery w:val="Page Numbers (Bottom of Page)"/>
          <w:docPartUnique/>
        </w:docPartObj>
      </w:sdtPr>
      <w:sdtEndPr>
        <w:rPr>
          <w:b/>
          <w:noProof/>
        </w:rPr>
      </w:sdtEndPr>
      <w:sdtContent>
        <w:r w:rsidR="00201CD0" w:rsidRPr="00790030">
          <w:rPr>
            <w:b/>
          </w:rPr>
          <w:fldChar w:fldCharType="begin"/>
        </w:r>
        <w:r w:rsidR="00201CD0" w:rsidRPr="00790030">
          <w:rPr>
            <w:b/>
          </w:rPr>
          <w:instrText xml:space="preserve"> PAGE   \* MERGEFORMAT </w:instrText>
        </w:r>
        <w:r w:rsidR="00201CD0" w:rsidRPr="00790030">
          <w:rPr>
            <w:b/>
          </w:rPr>
          <w:fldChar w:fldCharType="separate"/>
        </w:r>
        <w:r>
          <w:rPr>
            <w:b/>
            <w:noProof/>
          </w:rPr>
          <w:t>18</w:t>
        </w:r>
        <w:r w:rsidR="00201CD0" w:rsidRPr="00790030">
          <w:rPr>
            <w:b/>
            <w:noProof/>
          </w:rPr>
          <w:fldChar w:fldCharType="end"/>
        </w:r>
      </w:sdtContent>
    </w:sdt>
  </w:p>
  <w:p w:rsidR="00201CD0" w:rsidRPr="00D13A3E" w:rsidRDefault="00201CD0" w:rsidP="00CF06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839"/>
      <w:gridCol w:w="1347"/>
      <w:gridCol w:w="3840"/>
    </w:tblGrid>
    <w:tr w:rsidR="00201CD0" w:rsidTr="005A3173">
      <w:trPr>
        <w:trHeight w:val="151"/>
      </w:trPr>
      <w:tc>
        <w:tcPr>
          <w:tcW w:w="2250" w:type="pct"/>
          <w:tcBorders>
            <w:top w:val="nil"/>
            <w:left w:val="nil"/>
            <w:bottom w:val="single" w:sz="4" w:space="0" w:color="4F81BD"/>
            <w:right w:val="nil"/>
          </w:tcBorders>
        </w:tcPr>
        <w:p w:rsidR="00201CD0" w:rsidRPr="005A3173" w:rsidRDefault="00201CD0" w:rsidP="005A3173">
          <w:pPr>
            <w:spacing w:line="276" w:lineRule="auto"/>
            <w:rPr>
              <w:rFonts w:eastAsia="MS Gothic"/>
              <w:b/>
              <w:bCs/>
              <w:color w:val="4F81BD"/>
            </w:rPr>
          </w:pPr>
        </w:p>
      </w:tc>
      <w:tc>
        <w:tcPr>
          <w:tcW w:w="500" w:type="pct"/>
          <w:vMerge w:val="restart"/>
          <w:noWrap/>
          <w:vAlign w:val="center"/>
          <w:hideMark/>
        </w:tcPr>
        <w:p w:rsidR="00201CD0" w:rsidRPr="005A3173" w:rsidRDefault="00201CD0" w:rsidP="005A3173">
          <w:pPr>
            <w:spacing w:line="276" w:lineRule="auto"/>
            <w:rPr>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201CD0" w:rsidRPr="005A3173" w:rsidRDefault="00201CD0" w:rsidP="005A3173">
          <w:pPr>
            <w:spacing w:line="276" w:lineRule="auto"/>
            <w:rPr>
              <w:rFonts w:eastAsia="MS Gothic"/>
              <w:b/>
              <w:bCs/>
              <w:color w:val="4F81BD"/>
            </w:rPr>
          </w:pPr>
        </w:p>
      </w:tc>
    </w:tr>
    <w:tr w:rsidR="00201CD0" w:rsidTr="005A3173">
      <w:trPr>
        <w:trHeight w:val="150"/>
      </w:trPr>
      <w:tc>
        <w:tcPr>
          <w:tcW w:w="2250" w:type="pct"/>
          <w:tcBorders>
            <w:top w:val="single" w:sz="4" w:space="0" w:color="4F81BD"/>
            <w:left w:val="nil"/>
            <w:bottom w:val="nil"/>
            <w:right w:val="nil"/>
          </w:tcBorders>
        </w:tcPr>
        <w:p w:rsidR="00201CD0" w:rsidRPr="005A3173" w:rsidRDefault="00201CD0" w:rsidP="005A3173">
          <w:pPr>
            <w:spacing w:line="276" w:lineRule="auto"/>
            <w:rPr>
              <w:rFonts w:eastAsia="MS Gothic"/>
              <w:b/>
              <w:bCs/>
              <w:color w:val="4F81BD"/>
            </w:rPr>
          </w:pPr>
        </w:p>
      </w:tc>
      <w:tc>
        <w:tcPr>
          <w:tcW w:w="0" w:type="auto"/>
          <w:vMerge/>
          <w:vAlign w:val="center"/>
          <w:hideMark/>
        </w:tcPr>
        <w:p w:rsidR="00201CD0" w:rsidRPr="005A3173" w:rsidRDefault="00201CD0" w:rsidP="005A3173">
          <w:pPr>
            <w:rPr>
              <w:color w:val="365F91"/>
              <w:sz w:val="22"/>
              <w:szCs w:val="22"/>
            </w:rPr>
          </w:pPr>
        </w:p>
      </w:tc>
      <w:tc>
        <w:tcPr>
          <w:tcW w:w="2250" w:type="pct"/>
          <w:tcBorders>
            <w:top w:val="single" w:sz="4" w:space="0" w:color="4F81BD"/>
            <w:left w:val="nil"/>
            <w:bottom w:val="nil"/>
            <w:right w:val="nil"/>
          </w:tcBorders>
        </w:tcPr>
        <w:p w:rsidR="00201CD0" w:rsidRPr="005A3173" w:rsidRDefault="00201CD0" w:rsidP="005A3173">
          <w:pP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201CD0" w:rsidTr="005A3173">
      <w:trPr>
        <w:trHeight w:val="151"/>
      </w:trPr>
      <w:tc>
        <w:tcPr>
          <w:tcW w:w="2250" w:type="pct"/>
          <w:tcBorders>
            <w:top w:val="nil"/>
            <w:left w:val="nil"/>
            <w:bottom w:val="single" w:sz="4" w:space="0" w:color="4F81BD"/>
            <w:right w:val="nil"/>
          </w:tcBorders>
        </w:tcPr>
        <w:p w:rsidR="00201CD0" w:rsidRPr="005A3173" w:rsidRDefault="00201CD0" w:rsidP="005A3173">
          <w:pPr>
            <w:spacing w:line="276" w:lineRule="auto"/>
            <w:rPr>
              <w:rFonts w:eastAsia="MS Gothic"/>
              <w:b/>
              <w:bCs/>
              <w:color w:val="4F81BD"/>
            </w:rPr>
          </w:pPr>
        </w:p>
      </w:tc>
      <w:tc>
        <w:tcPr>
          <w:tcW w:w="500" w:type="pct"/>
          <w:vMerge w:val="restart"/>
          <w:noWrap/>
          <w:vAlign w:val="center"/>
          <w:hideMark/>
        </w:tcPr>
        <w:p w:rsidR="00201CD0" w:rsidRPr="005A3173" w:rsidRDefault="00201CD0" w:rsidP="005A3173">
          <w:pPr>
            <w:spacing w:line="276" w:lineRule="auto"/>
            <w:rPr>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201CD0" w:rsidRPr="005A3173" w:rsidRDefault="00201CD0" w:rsidP="005A3173">
          <w:pPr>
            <w:spacing w:line="276" w:lineRule="auto"/>
            <w:rPr>
              <w:rFonts w:eastAsia="MS Gothic"/>
              <w:b/>
              <w:bCs/>
              <w:color w:val="4F81BD"/>
            </w:rPr>
          </w:pPr>
        </w:p>
      </w:tc>
    </w:tr>
    <w:tr w:rsidR="00201CD0" w:rsidTr="005A3173">
      <w:trPr>
        <w:trHeight w:val="150"/>
      </w:trPr>
      <w:tc>
        <w:tcPr>
          <w:tcW w:w="2250" w:type="pct"/>
          <w:tcBorders>
            <w:top w:val="single" w:sz="4" w:space="0" w:color="4F81BD"/>
            <w:left w:val="nil"/>
            <w:bottom w:val="nil"/>
            <w:right w:val="nil"/>
          </w:tcBorders>
        </w:tcPr>
        <w:p w:rsidR="00201CD0" w:rsidRPr="005A3173" w:rsidRDefault="00201CD0" w:rsidP="005A3173">
          <w:pPr>
            <w:spacing w:line="276" w:lineRule="auto"/>
            <w:rPr>
              <w:rFonts w:eastAsia="MS Gothic"/>
              <w:b/>
              <w:bCs/>
              <w:color w:val="4F81BD"/>
            </w:rPr>
          </w:pPr>
        </w:p>
      </w:tc>
      <w:tc>
        <w:tcPr>
          <w:tcW w:w="0" w:type="auto"/>
          <w:vMerge/>
          <w:vAlign w:val="center"/>
          <w:hideMark/>
        </w:tcPr>
        <w:p w:rsidR="00201CD0" w:rsidRPr="005A3173" w:rsidRDefault="00201CD0" w:rsidP="005A3173">
          <w:pPr>
            <w:rPr>
              <w:color w:val="365F91"/>
              <w:sz w:val="22"/>
              <w:szCs w:val="22"/>
            </w:rPr>
          </w:pPr>
        </w:p>
      </w:tc>
      <w:tc>
        <w:tcPr>
          <w:tcW w:w="2250" w:type="pct"/>
          <w:tcBorders>
            <w:top w:val="single" w:sz="4" w:space="0" w:color="4F81BD"/>
            <w:left w:val="nil"/>
            <w:bottom w:val="nil"/>
            <w:right w:val="nil"/>
          </w:tcBorders>
        </w:tcPr>
        <w:p w:rsidR="00201CD0" w:rsidRPr="005A3173" w:rsidRDefault="00201CD0" w:rsidP="005A3173">
          <w:pPr>
            <w:spacing w:line="276" w:lineRule="auto"/>
            <w:rPr>
              <w:rFonts w:eastAsia="MS Gothic"/>
              <w:b/>
              <w:bCs/>
              <w:color w:val="4F81BD"/>
            </w:rPr>
          </w:pPr>
        </w:p>
      </w:tc>
    </w:tr>
  </w:tbl>
  <w:p w:rsidR="00201CD0" w:rsidRPr="007C0F57" w:rsidRDefault="00201CD0" w:rsidP="007C0F57">
    <w:pP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fldChar w:fldCharType="begin"/>
    </w:r>
    <w:r>
      <w:instrText xml:space="preserve"> PAGE </w:instrText>
    </w:r>
    <w:r>
      <w:fldChar w:fldCharType="separate"/>
    </w:r>
    <w:r>
      <w:rPr>
        <w:noProof/>
      </w:rPr>
      <w:t>1</w:t>
    </w:r>
    <w:r>
      <w:fldChar w:fldCharType="end"/>
    </w:r>
    <w:r w:rsidRPr="007C0F57">
      <w:rPr>
        <w:b/>
        <w:i/>
        <w:sz w:val="20"/>
        <w:szCs w:val="20"/>
      </w:rPr>
      <w:t>BAC Meeting</w:t>
    </w:r>
  </w:p>
  <w:p w:rsidR="00201CD0" w:rsidRPr="007C0F57" w:rsidRDefault="00201CD0" w:rsidP="007C0F57">
    <w:pPr>
      <w:jc w:val="center"/>
      <w:rPr>
        <w:b/>
        <w:i/>
        <w:sz w:val="20"/>
        <w:szCs w:val="20"/>
      </w:rPr>
    </w:pPr>
    <w:r w:rsidRPr="007C0F57">
      <w:rPr>
        <w:b/>
        <w:i/>
        <w:sz w:val="20"/>
        <w:szCs w:val="20"/>
      </w:rPr>
      <w:t>Commercial-in-Confidence</w:t>
    </w:r>
  </w:p>
  <w:p w:rsidR="00201CD0" w:rsidRDefault="00201CD0"/>
  <w:p w:rsidR="00201CD0" w:rsidRDefault="00201CD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1CD0" w:rsidRDefault="00201CD0">
      <w:r>
        <w:separator/>
      </w:r>
    </w:p>
    <w:p w:rsidR="00201CD0" w:rsidRDefault="00201CD0"/>
    <w:p w:rsidR="00201CD0" w:rsidRDefault="00201CD0"/>
  </w:footnote>
  <w:footnote w:type="continuationSeparator" w:id="0">
    <w:p w:rsidR="00201CD0" w:rsidRDefault="00201CD0">
      <w:r>
        <w:continuationSeparator/>
      </w:r>
    </w:p>
    <w:p w:rsidR="00201CD0" w:rsidRDefault="00201CD0"/>
    <w:p w:rsidR="00201CD0" w:rsidRDefault="00201CD0"/>
  </w:footnote>
  <w:footnote w:type="continuationNotice" w:id="1">
    <w:p w:rsidR="00201CD0" w:rsidRDefault="00201CD0"/>
    <w:p w:rsidR="00201CD0" w:rsidRDefault="00201CD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3881"/>
      <w:gridCol w:w="1347"/>
      <w:gridCol w:w="3684"/>
    </w:tblGrid>
    <w:tr w:rsidR="00201CD0" w:rsidRPr="008E0D90" w:rsidTr="00A06225">
      <w:trPr>
        <w:trHeight w:val="151"/>
      </w:trPr>
      <w:tc>
        <w:tcPr>
          <w:tcW w:w="2389" w:type="pct"/>
          <w:tcBorders>
            <w:top w:val="nil"/>
            <w:left w:val="nil"/>
            <w:bottom w:val="single" w:sz="4" w:space="0" w:color="4F81BD"/>
            <w:right w:val="nil"/>
          </w:tcBorders>
        </w:tcPr>
        <w:p w:rsidR="00201CD0" w:rsidRPr="00A06225" w:rsidRDefault="00201CD0">
          <w:pPr>
            <w:spacing w:line="276" w:lineRule="auto"/>
            <w:rPr>
              <w:rFonts w:ascii="Cambria" w:eastAsia="MS Gothic" w:hAnsi="Cambria"/>
              <w:b/>
              <w:bCs/>
              <w:color w:val="4F81BD"/>
            </w:rPr>
          </w:pPr>
        </w:p>
      </w:tc>
      <w:tc>
        <w:tcPr>
          <w:tcW w:w="333" w:type="pct"/>
          <w:vMerge w:val="restart"/>
          <w:noWrap/>
          <w:vAlign w:val="center"/>
          <w:hideMark/>
        </w:tcPr>
        <w:p w:rsidR="00201CD0" w:rsidRPr="00A06225" w:rsidRDefault="00201CD0" w:rsidP="00A06225">
          <w:pPr>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201CD0" w:rsidRPr="00A06225" w:rsidRDefault="00201CD0">
          <w:pPr>
            <w:spacing w:line="276" w:lineRule="auto"/>
            <w:rPr>
              <w:rFonts w:ascii="Cambria" w:eastAsia="MS Gothic" w:hAnsi="Cambria"/>
              <w:b/>
              <w:bCs/>
              <w:color w:val="4F81BD"/>
            </w:rPr>
          </w:pPr>
        </w:p>
      </w:tc>
    </w:tr>
    <w:tr w:rsidR="00201CD0" w:rsidRPr="008E0D90" w:rsidTr="00A06225">
      <w:trPr>
        <w:trHeight w:val="150"/>
      </w:trPr>
      <w:tc>
        <w:tcPr>
          <w:tcW w:w="2389" w:type="pct"/>
          <w:tcBorders>
            <w:top w:val="single" w:sz="4" w:space="0" w:color="4F81BD"/>
            <w:left w:val="nil"/>
            <w:bottom w:val="nil"/>
            <w:right w:val="nil"/>
          </w:tcBorders>
        </w:tcPr>
        <w:p w:rsidR="00201CD0" w:rsidRPr="00A06225" w:rsidRDefault="00201CD0">
          <w:pPr>
            <w:spacing w:line="276" w:lineRule="auto"/>
            <w:rPr>
              <w:rFonts w:ascii="Cambria" w:eastAsia="MS Gothic" w:hAnsi="Cambria"/>
              <w:b/>
              <w:bCs/>
              <w:color w:val="4F81BD"/>
            </w:rPr>
          </w:pPr>
        </w:p>
      </w:tc>
      <w:tc>
        <w:tcPr>
          <w:tcW w:w="0" w:type="auto"/>
          <w:vMerge/>
          <w:vAlign w:val="center"/>
          <w:hideMark/>
        </w:tcPr>
        <w:p w:rsidR="00201CD0" w:rsidRPr="00A06225" w:rsidRDefault="00201CD0">
          <w:pPr>
            <w:rPr>
              <w:rFonts w:ascii="Cambria" w:hAnsi="Cambria"/>
              <w:color w:val="4F81BD"/>
              <w:sz w:val="22"/>
              <w:szCs w:val="22"/>
            </w:rPr>
          </w:pPr>
        </w:p>
      </w:tc>
      <w:tc>
        <w:tcPr>
          <w:tcW w:w="2278" w:type="pct"/>
          <w:tcBorders>
            <w:top w:val="single" w:sz="4" w:space="0" w:color="4F81BD"/>
            <w:left w:val="nil"/>
            <w:bottom w:val="nil"/>
            <w:right w:val="nil"/>
          </w:tcBorders>
        </w:tcPr>
        <w:p w:rsidR="00201CD0" w:rsidRPr="00A06225" w:rsidRDefault="00201CD0">
          <w:pPr>
            <w:spacing w:line="276" w:lineRule="auto"/>
            <w:rPr>
              <w:rFonts w:ascii="Cambria" w:eastAsia="MS Gothic" w:hAnsi="Cambria"/>
              <w:b/>
              <w:bCs/>
              <w:color w:val="4F81BD"/>
            </w:rPr>
          </w:pPr>
        </w:p>
      </w:tc>
    </w:tr>
  </w:tbl>
  <w:p w:rsidR="00201CD0" w:rsidRDefault="00201CD0"/>
  <w:p w:rsidR="00201CD0" w:rsidRDefault="00201CD0"/>
  <w:p w:rsidR="00201CD0" w:rsidRDefault="00201CD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CD0" w:rsidRPr="00790030" w:rsidRDefault="00201CD0" w:rsidP="00790030">
    <w:pPr>
      <w:pStyle w:val="Header"/>
      <w:jc w:val="center"/>
      <w:rPr>
        <w:i/>
      </w:rPr>
    </w:pPr>
    <w:r>
      <w:rPr>
        <w:i/>
      </w:rPr>
      <w:t>Public Summary Document</w:t>
    </w:r>
    <w:r w:rsidRPr="00790030">
      <w:rPr>
        <w:i/>
      </w:rPr>
      <w:t xml:space="preserve"> – July 2021 PBAC Meeting</w:t>
    </w:r>
  </w:p>
  <w:p w:rsidR="00201CD0" w:rsidRDefault="00201CD0" w:rsidP="00790030">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2D5" w:rsidRDefault="004C12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E52495A"/>
    <w:lvl w:ilvl="0">
      <w:start w:val="1"/>
      <w:numFmt w:val="decimal"/>
      <w:lvlText w:val="%1."/>
      <w:lvlJc w:val="left"/>
      <w:pPr>
        <w:tabs>
          <w:tab w:val="num" w:pos="360"/>
        </w:tabs>
        <w:ind w:left="360" w:hanging="360"/>
      </w:pPr>
    </w:lvl>
  </w:abstractNum>
  <w:abstractNum w:abstractNumId="1" w15:restartNumberingAfterBreak="0">
    <w:nsid w:val="FFFFFF89"/>
    <w:multiLevelType w:val="hybridMultilevel"/>
    <w:tmpl w:val="98E4CF80"/>
    <w:lvl w:ilvl="0" w:tplc="DBD660D0">
      <w:start w:val="1"/>
      <w:numFmt w:val="bullet"/>
      <w:lvlText w:val=""/>
      <w:lvlJc w:val="left"/>
      <w:pPr>
        <w:tabs>
          <w:tab w:val="num" w:pos="360"/>
        </w:tabs>
        <w:ind w:left="360" w:hanging="360"/>
      </w:pPr>
      <w:rPr>
        <w:rFonts w:ascii="Symbol" w:hAnsi="Symbol" w:hint="default"/>
      </w:rPr>
    </w:lvl>
    <w:lvl w:ilvl="1" w:tplc="73E220B8">
      <w:numFmt w:val="decimal"/>
      <w:lvlText w:val=""/>
      <w:lvlJc w:val="left"/>
    </w:lvl>
    <w:lvl w:ilvl="2" w:tplc="83E2E2DA">
      <w:numFmt w:val="decimal"/>
      <w:lvlText w:val=""/>
      <w:lvlJc w:val="left"/>
    </w:lvl>
    <w:lvl w:ilvl="3" w:tplc="8B723C16">
      <w:numFmt w:val="decimal"/>
      <w:lvlText w:val=""/>
      <w:lvlJc w:val="left"/>
    </w:lvl>
    <w:lvl w:ilvl="4" w:tplc="AB960680">
      <w:numFmt w:val="decimal"/>
      <w:lvlText w:val=""/>
      <w:lvlJc w:val="left"/>
    </w:lvl>
    <w:lvl w:ilvl="5" w:tplc="E098C210">
      <w:numFmt w:val="decimal"/>
      <w:lvlText w:val=""/>
      <w:lvlJc w:val="left"/>
    </w:lvl>
    <w:lvl w:ilvl="6" w:tplc="6B18DA12">
      <w:numFmt w:val="decimal"/>
      <w:lvlText w:val=""/>
      <w:lvlJc w:val="left"/>
    </w:lvl>
    <w:lvl w:ilvl="7" w:tplc="A7D4E182">
      <w:numFmt w:val="decimal"/>
      <w:lvlText w:val=""/>
      <w:lvlJc w:val="left"/>
    </w:lvl>
    <w:lvl w:ilvl="8" w:tplc="E84689B2">
      <w:numFmt w:val="decimal"/>
      <w:lvlText w:val=""/>
      <w:lvlJc w:val="left"/>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3D8355A"/>
    <w:multiLevelType w:val="hybridMultilevel"/>
    <w:tmpl w:val="10EEDB38"/>
    <w:lvl w:ilvl="0" w:tplc="77A6AB18">
      <w:start w:val="1"/>
      <w:numFmt w:val="bullet"/>
      <w:lvlText w:val="•"/>
      <w:lvlJc w:val="left"/>
      <w:pPr>
        <w:tabs>
          <w:tab w:val="num" w:pos="720"/>
        </w:tabs>
        <w:ind w:left="720" w:hanging="360"/>
      </w:pPr>
      <w:rPr>
        <w:rFonts w:ascii="Arial" w:hAnsi="Arial" w:hint="default"/>
      </w:rPr>
    </w:lvl>
    <w:lvl w:ilvl="1" w:tplc="4E42BE1C">
      <w:start w:val="270"/>
      <w:numFmt w:val="bullet"/>
      <w:lvlText w:val="–"/>
      <w:lvlJc w:val="left"/>
      <w:pPr>
        <w:tabs>
          <w:tab w:val="num" w:pos="1440"/>
        </w:tabs>
        <w:ind w:left="1440" w:hanging="360"/>
      </w:pPr>
      <w:rPr>
        <w:rFonts w:ascii="Arial" w:hAnsi="Arial" w:hint="default"/>
      </w:rPr>
    </w:lvl>
    <w:lvl w:ilvl="2" w:tplc="AB5C57DC" w:tentative="1">
      <w:start w:val="1"/>
      <w:numFmt w:val="bullet"/>
      <w:lvlText w:val="•"/>
      <w:lvlJc w:val="left"/>
      <w:pPr>
        <w:tabs>
          <w:tab w:val="num" w:pos="2160"/>
        </w:tabs>
        <w:ind w:left="2160" w:hanging="360"/>
      </w:pPr>
      <w:rPr>
        <w:rFonts w:ascii="Arial" w:hAnsi="Arial" w:hint="default"/>
      </w:rPr>
    </w:lvl>
    <w:lvl w:ilvl="3" w:tplc="20863C78" w:tentative="1">
      <w:start w:val="1"/>
      <w:numFmt w:val="bullet"/>
      <w:lvlText w:val="•"/>
      <w:lvlJc w:val="left"/>
      <w:pPr>
        <w:tabs>
          <w:tab w:val="num" w:pos="2880"/>
        </w:tabs>
        <w:ind w:left="2880" w:hanging="360"/>
      </w:pPr>
      <w:rPr>
        <w:rFonts w:ascii="Arial" w:hAnsi="Arial" w:hint="default"/>
      </w:rPr>
    </w:lvl>
    <w:lvl w:ilvl="4" w:tplc="37702482" w:tentative="1">
      <w:start w:val="1"/>
      <w:numFmt w:val="bullet"/>
      <w:lvlText w:val="•"/>
      <w:lvlJc w:val="left"/>
      <w:pPr>
        <w:tabs>
          <w:tab w:val="num" w:pos="3600"/>
        </w:tabs>
        <w:ind w:left="3600" w:hanging="360"/>
      </w:pPr>
      <w:rPr>
        <w:rFonts w:ascii="Arial" w:hAnsi="Arial" w:hint="default"/>
      </w:rPr>
    </w:lvl>
    <w:lvl w:ilvl="5" w:tplc="FAAC4EBA" w:tentative="1">
      <w:start w:val="1"/>
      <w:numFmt w:val="bullet"/>
      <w:lvlText w:val="•"/>
      <w:lvlJc w:val="left"/>
      <w:pPr>
        <w:tabs>
          <w:tab w:val="num" w:pos="4320"/>
        </w:tabs>
        <w:ind w:left="4320" w:hanging="360"/>
      </w:pPr>
      <w:rPr>
        <w:rFonts w:ascii="Arial" w:hAnsi="Arial" w:hint="default"/>
      </w:rPr>
    </w:lvl>
    <w:lvl w:ilvl="6" w:tplc="CC44EF5A" w:tentative="1">
      <w:start w:val="1"/>
      <w:numFmt w:val="bullet"/>
      <w:lvlText w:val="•"/>
      <w:lvlJc w:val="left"/>
      <w:pPr>
        <w:tabs>
          <w:tab w:val="num" w:pos="5040"/>
        </w:tabs>
        <w:ind w:left="5040" w:hanging="360"/>
      </w:pPr>
      <w:rPr>
        <w:rFonts w:ascii="Arial" w:hAnsi="Arial" w:hint="default"/>
      </w:rPr>
    </w:lvl>
    <w:lvl w:ilvl="7" w:tplc="E2FECCB8" w:tentative="1">
      <w:start w:val="1"/>
      <w:numFmt w:val="bullet"/>
      <w:lvlText w:val="•"/>
      <w:lvlJc w:val="left"/>
      <w:pPr>
        <w:tabs>
          <w:tab w:val="num" w:pos="5760"/>
        </w:tabs>
        <w:ind w:left="5760" w:hanging="360"/>
      </w:pPr>
      <w:rPr>
        <w:rFonts w:ascii="Arial" w:hAnsi="Arial" w:hint="default"/>
      </w:rPr>
    </w:lvl>
    <w:lvl w:ilvl="8" w:tplc="6D52612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D63AED"/>
    <w:multiLevelType w:val="hybridMultilevel"/>
    <w:tmpl w:val="94807D30"/>
    <w:lvl w:ilvl="0" w:tplc="07525042">
      <w:start w:val="1"/>
      <w:numFmt w:val="bullet"/>
      <w:lvlText w:val="•"/>
      <w:lvlJc w:val="left"/>
      <w:pPr>
        <w:tabs>
          <w:tab w:val="num" w:pos="720"/>
        </w:tabs>
        <w:ind w:left="720" w:hanging="360"/>
      </w:pPr>
      <w:rPr>
        <w:rFonts w:ascii="Arial" w:hAnsi="Arial" w:hint="default"/>
      </w:rPr>
    </w:lvl>
    <w:lvl w:ilvl="1" w:tplc="46B60F24" w:tentative="1">
      <w:start w:val="1"/>
      <w:numFmt w:val="bullet"/>
      <w:lvlText w:val="•"/>
      <w:lvlJc w:val="left"/>
      <w:pPr>
        <w:tabs>
          <w:tab w:val="num" w:pos="1440"/>
        </w:tabs>
        <w:ind w:left="1440" w:hanging="360"/>
      </w:pPr>
      <w:rPr>
        <w:rFonts w:ascii="Arial" w:hAnsi="Arial" w:hint="default"/>
      </w:rPr>
    </w:lvl>
    <w:lvl w:ilvl="2" w:tplc="4870569C" w:tentative="1">
      <w:start w:val="1"/>
      <w:numFmt w:val="bullet"/>
      <w:lvlText w:val="•"/>
      <w:lvlJc w:val="left"/>
      <w:pPr>
        <w:tabs>
          <w:tab w:val="num" w:pos="2160"/>
        </w:tabs>
        <w:ind w:left="2160" w:hanging="360"/>
      </w:pPr>
      <w:rPr>
        <w:rFonts w:ascii="Arial" w:hAnsi="Arial" w:hint="default"/>
      </w:rPr>
    </w:lvl>
    <w:lvl w:ilvl="3" w:tplc="37BC92A8" w:tentative="1">
      <w:start w:val="1"/>
      <w:numFmt w:val="bullet"/>
      <w:lvlText w:val="•"/>
      <w:lvlJc w:val="left"/>
      <w:pPr>
        <w:tabs>
          <w:tab w:val="num" w:pos="2880"/>
        </w:tabs>
        <w:ind w:left="2880" w:hanging="360"/>
      </w:pPr>
      <w:rPr>
        <w:rFonts w:ascii="Arial" w:hAnsi="Arial" w:hint="default"/>
      </w:rPr>
    </w:lvl>
    <w:lvl w:ilvl="4" w:tplc="DED2E006" w:tentative="1">
      <w:start w:val="1"/>
      <w:numFmt w:val="bullet"/>
      <w:lvlText w:val="•"/>
      <w:lvlJc w:val="left"/>
      <w:pPr>
        <w:tabs>
          <w:tab w:val="num" w:pos="3600"/>
        </w:tabs>
        <w:ind w:left="3600" w:hanging="360"/>
      </w:pPr>
      <w:rPr>
        <w:rFonts w:ascii="Arial" w:hAnsi="Arial" w:hint="default"/>
      </w:rPr>
    </w:lvl>
    <w:lvl w:ilvl="5" w:tplc="0570F170" w:tentative="1">
      <w:start w:val="1"/>
      <w:numFmt w:val="bullet"/>
      <w:lvlText w:val="•"/>
      <w:lvlJc w:val="left"/>
      <w:pPr>
        <w:tabs>
          <w:tab w:val="num" w:pos="4320"/>
        </w:tabs>
        <w:ind w:left="4320" w:hanging="360"/>
      </w:pPr>
      <w:rPr>
        <w:rFonts w:ascii="Arial" w:hAnsi="Arial" w:hint="default"/>
      </w:rPr>
    </w:lvl>
    <w:lvl w:ilvl="6" w:tplc="1486C292" w:tentative="1">
      <w:start w:val="1"/>
      <w:numFmt w:val="bullet"/>
      <w:lvlText w:val="•"/>
      <w:lvlJc w:val="left"/>
      <w:pPr>
        <w:tabs>
          <w:tab w:val="num" w:pos="5040"/>
        </w:tabs>
        <w:ind w:left="5040" w:hanging="360"/>
      </w:pPr>
      <w:rPr>
        <w:rFonts w:ascii="Arial" w:hAnsi="Arial" w:hint="default"/>
      </w:rPr>
    </w:lvl>
    <w:lvl w:ilvl="7" w:tplc="CDF81C0E" w:tentative="1">
      <w:start w:val="1"/>
      <w:numFmt w:val="bullet"/>
      <w:lvlText w:val="•"/>
      <w:lvlJc w:val="left"/>
      <w:pPr>
        <w:tabs>
          <w:tab w:val="num" w:pos="5760"/>
        </w:tabs>
        <w:ind w:left="5760" w:hanging="360"/>
      </w:pPr>
      <w:rPr>
        <w:rFonts w:ascii="Arial" w:hAnsi="Arial" w:hint="default"/>
      </w:rPr>
    </w:lvl>
    <w:lvl w:ilvl="8" w:tplc="98AA2B8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8536D39"/>
    <w:multiLevelType w:val="hybridMultilevel"/>
    <w:tmpl w:val="211A2DFE"/>
    <w:lvl w:ilvl="0" w:tplc="BD46A606">
      <w:start w:val="1"/>
      <w:numFmt w:val="decimal"/>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E826466"/>
    <w:multiLevelType w:val="hybridMultilevel"/>
    <w:tmpl w:val="BB7E423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30346AD7"/>
    <w:multiLevelType w:val="hybridMultilevel"/>
    <w:tmpl w:val="0EE23B36"/>
    <w:lvl w:ilvl="0" w:tplc="A22E5F30">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3E9B0E61"/>
    <w:multiLevelType w:val="hybridMultilevel"/>
    <w:tmpl w:val="58CAAE7C"/>
    <w:lvl w:ilvl="0" w:tplc="023293D0">
      <w:start w:val="1"/>
      <w:numFmt w:val="decimal"/>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14" w15:restartNumberingAfterBreak="0">
    <w:nsid w:val="3F5429D0"/>
    <w:multiLevelType w:val="hybridMultilevel"/>
    <w:tmpl w:val="AC1C3072"/>
    <w:lvl w:ilvl="0" w:tplc="04E62F0E">
      <w:numFmt w:val="bullet"/>
      <w:lvlText w:val="-"/>
      <w:lvlJc w:val="left"/>
      <w:pPr>
        <w:ind w:left="720" w:hanging="360"/>
      </w:pPr>
      <w:rPr>
        <w:rFonts w:ascii="Arial Narrow" w:eastAsia="Calibri" w:hAnsi="Arial Narrow"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CE710A4"/>
    <w:multiLevelType w:val="hybridMultilevel"/>
    <w:tmpl w:val="9D4CF2C8"/>
    <w:lvl w:ilvl="0" w:tplc="4A96AD60">
      <w:start w:val="1"/>
      <w:numFmt w:val="lowerLetter"/>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51D9283C"/>
    <w:multiLevelType w:val="hybridMultilevel"/>
    <w:tmpl w:val="75F24920"/>
    <w:lvl w:ilvl="0" w:tplc="D548B538">
      <w:start w:val="1"/>
      <w:numFmt w:val="bullet"/>
      <w:lvlText w:val="•"/>
      <w:lvlJc w:val="left"/>
      <w:pPr>
        <w:tabs>
          <w:tab w:val="num" w:pos="720"/>
        </w:tabs>
        <w:ind w:left="720" w:hanging="360"/>
      </w:pPr>
      <w:rPr>
        <w:rFonts w:ascii="Arial" w:hAnsi="Arial" w:hint="default"/>
      </w:rPr>
    </w:lvl>
    <w:lvl w:ilvl="1" w:tplc="B8BEC012">
      <w:start w:val="270"/>
      <w:numFmt w:val="bullet"/>
      <w:lvlText w:val="–"/>
      <w:lvlJc w:val="left"/>
      <w:pPr>
        <w:tabs>
          <w:tab w:val="num" w:pos="1440"/>
        </w:tabs>
        <w:ind w:left="1440" w:hanging="360"/>
      </w:pPr>
      <w:rPr>
        <w:rFonts w:ascii="Arial" w:hAnsi="Arial" w:hint="default"/>
      </w:rPr>
    </w:lvl>
    <w:lvl w:ilvl="2" w:tplc="24FAD6DA" w:tentative="1">
      <w:start w:val="1"/>
      <w:numFmt w:val="bullet"/>
      <w:lvlText w:val="•"/>
      <w:lvlJc w:val="left"/>
      <w:pPr>
        <w:tabs>
          <w:tab w:val="num" w:pos="2160"/>
        </w:tabs>
        <w:ind w:left="2160" w:hanging="360"/>
      </w:pPr>
      <w:rPr>
        <w:rFonts w:ascii="Arial" w:hAnsi="Arial" w:hint="default"/>
      </w:rPr>
    </w:lvl>
    <w:lvl w:ilvl="3" w:tplc="27C640BA" w:tentative="1">
      <w:start w:val="1"/>
      <w:numFmt w:val="bullet"/>
      <w:lvlText w:val="•"/>
      <w:lvlJc w:val="left"/>
      <w:pPr>
        <w:tabs>
          <w:tab w:val="num" w:pos="2880"/>
        </w:tabs>
        <w:ind w:left="2880" w:hanging="360"/>
      </w:pPr>
      <w:rPr>
        <w:rFonts w:ascii="Arial" w:hAnsi="Arial" w:hint="default"/>
      </w:rPr>
    </w:lvl>
    <w:lvl w:ilvl="4" w:tplc="888E36CA" w:tentative="1">
      <w:start w:val="1"/>
      <w:numFmt w:val="bullet"/>
      <w:lvlText w:val="•"/>
      <w:lvlJc w:val="left"/>
      <w:pPr>
        <w:tabs>
          <w:tab w:val="num" w:pos="3600"/>
        </w:tabs>
        <w:ind w:left="3600" w:hanging="360"/>
      </w:pPr>
      <w:rPr>
        <w:rFonts w:ascii="Arial" w:hAnsi="Arial" w:hint="default"/>
      </w:rPr>
    </w:lvl>
    <w:lvl w:ilvl="5" w:tplc="404CFAE0" w:tentative="1">
      <w:start w:val="1"/>
      <w:numFmt w:val="bullet"/>
      <w:lvlText w:val="•"/>
      <w:lvlJc w:val="left"/>
      <w:pPr>
        <w:tabs>
          <w:tab w:val="num" w:pos="4320"/>
        </w:tabs>
        <w:ind w:left="4320" w:hanging="360"/>
      </w:pPr>
      <w:rPr>
        <w:rFonts w:ascii="Arial" w:hAnsi="Arial" w:hint="default"/>
      </w:rPr>
    </w:lvl>
    <w:lvl w:ilvl="6" w:tplc="E5F6946A" w:tentative="1">
      <w:start w:val="1"/>
      <w:numFmt w:val="bullet"/>
      <w:lvlText w:val="•"/>
      <w:lvlJc w:val="left"/>
      <w:pPr>
        <w:tabs>
          <w:tab w:val="num" w:pos="5040"/>
        </w:tabs>
        <w:ind w:left="5040" w:hanging="360"/>
      </w:pPr>
      <w:rPr>
        <w:rFonts w:ascii="Arial" w:hAnsi="Arial" w:hint="default"/>
      </w:rPr>
    </w:lvl>
    <w:lvl w:ilvl="7" w:tplc="252C5B86" w:tentative="1">
      <w:start w:val="1"/>
      <w:numFmt w:val="bullet"/>
      <w:lvlText w:val="•"/>
      <w:lvlJc w:val="left"/>
      <w:pPr>
        <w:tabs>
          <w:tab w:val="num" w:pos="5760"/>
        </w:tabs>
        <w:ind w:left="5760" w:hanging="360"/>
      </w:pPr>
      <w:rPr>
        <w:rFonts w:ascii="Arial" w:hAnsi="Arial" w:hint="default"/>
      </w:rPr>
    </w:lvl>
    <w:lvl w:ilvl="8" w:tplc="A1049A3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3790A6C"/>
    <w:multiLevelType w:val="multilevel"/>
    <w:tmpl w:val="EDC89076"/>
    <w:lvl w:ilvl="0">
      <w:start w:val="1"/>
      <w:numFmt w:val="decimal"/>
      <w:lvlText w:val="%1"/>
      <w:lvlJc w:val="left"/>
      <w:pPr>
        <w:ind w:left="720" w:hanging="720"/>
      </w:pPr>
      <w:rPr>
        <w:rFonts w:hint="default"/>
        <w:b/>
        <w:i w:val="0"/>
        <w:color w:val="auto"/>
      </w:rPr>
    </w:lvl>
    <w:lvl w:ilvl="1">
      <w:start w:val="1"/>
      <w:numFmt w:val="lowerLetter"/>
      <w:lvlText w:val="%2)"/>
      <w:lvlJc w:val="left"/>
      <w:pPr>
        <w:ind w:left="720"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9"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DAC5FFD"/>
    <w:multiLevelType w:val="multilevel"/>
    <w:tmpl w:val="279A8AB8"/>
    <w:lvl w:ilvl="0">
      <w:start w:val="1"/>
      <w:numFmt w:val="decimal"/>
      <w:pStyle w:val="2-SectionHeading"/>
      <w:lvlText w:val="%1"/>
      <w:lvlJc w:val="left"/>
      <w:pPr>
        <w:ind w:left="720" w:hanging="720"/>
      </w:pPr>
      <w:rPr>
        <w:rFonts w:cs="Times New Roman"/>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3-BodyText"/>
      <w:lvlText w:val="%1.%2"/>
      <w:lvlJc w:val="left"/>
      <w:pPr>
        <w:ind w:left="720" w:hanging="720"/>
      </w:pPr>
      <w:rPr>
        <w:rFonts w:hint="default"/>
        <w:b w:val="0"/>
        <w:i w:val="0"/>
        <w:color w:val="auto"/>
      </w:rPr>
    </w:lvl>
    <w:lvl w:ilvl="2">
      <w:start w:val="1"/>
      <w:numFmt w:val="lowerRoman"/>
      <w:lvlText w:val="%3."/>
      <w:lvlJc w:val="right"/>
      <w:pPr>
        <w:ind w:left="2517" w:hanging="177"/>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1"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2" w15:restartNumberingAfterBreak="0">
    <w:nsid w:val="6945511A"/>
    <w:multiLevelType w:val="hybridMultilevel"/>
    <w:tmpl w:val="FA38EBCA"/>
    <w:lvl w:ilvl="0" w:tplc="44D04F02">
      <w:start w:val="1"/>
      <w:numFmt w:val="bullet"/>
      <w:lvlText w:val=""/>
      <w:lvlJc w:val="left"/>
      <w:pPr>
        <w:ind w:left="717" w:hanging="360"/>
      </w:pPr>
      <w:rPr>
        <w:rFonts w:ascii="Symbol" w:hAnsi="Symbol" w:hint="default"/>
        <w:color w:val="auto"/>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23"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FEC02A8"/>
    <w:multiLevelType w:val="hybridMultilevel"/>
    <w:tmpl w:val="1EF642AA"/>
    <w:lvl w:ilvl="0" w:tplc="0C090001">
      <w:start w:val="1"/>
      <w:numFmt w:val="bullet"/>
      <w:lvlText w:val=""/>
      <w:lvlJc w:val="left"/>
      <w:pPr>
        <w:ind w:left="717" w:hanging="360"/>
      </w:pPr>
      <w:rPr>
        <w:rFonts w:ascii="Symbol" w:hAnsi="Symbo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25" w15:restartNumberingAfterBreak="0">
    <w:nsid w:val="7099658D"/>
    <w:multiLevelType w:val="multilevel"/>
    <w:tmpl w:val="57F25DA6"/>
    <w:lvl w:ilvl="0">
      <w:start w:val="1"/>
      <w:numFmt w:val="decimal"/>
      <w:lvlText w:val="%1"/>
      <w:lvlJc w:val="left"/>
      <w:pPr>
        <w:ind w:left="720" w:hanging="720"/>
      </w:pPr>
      <w:rPr>
        <w:rFonts w:hint="default"/>
      </w:rPr>
    </w:lvl>
    <w:lvl w:ilvl="1">
      <w:start w:val="1"/>
      <w:numFmt w:val="decimal"/>
      <w:lvlText w:val="%2."/>
      <w:lvlJc w:val="left"/>
      <w:pPr>
        <w:ind w:left="720" w:hanging="720"/>
      </w:pPr>
      <w:rPr>
        <w:rFonts w:hint="default"/>
        <w:i w:val="0"/>
        <w:color w:val="auto"/>
      </w:rPr>
    </w:lvl>
    <w:lvl w:ilvl="2">
      <w:start w:val="1"/>
      <w:numFmt w:val="lowerRoman"/>
      <w:lvlText w:val="%3."/>
      <w:lvlJc w:val="right"/>
      <w:pPr>
        <w:ind w:left="2517" w:hanging="177"/>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6" w15:restartNumberingAfterBreak="0">
    <w:nsid w:val="737340C6"/>
    <w:multiLevelType w:val="hybridMultilevel"/>
    <w:tmpl w:val="6658B6DE"/>
    <w:lvl w:ilvl="0" w:tplc="0614B17E">
      <w:start w:val="1"/>
      <w:numFmt w:val="bullet"/>
      <w:lvlText w:val="–"/>
      <w:lvlJc w:val="left"/>
      <w:pPr>
        <w:tabs>
          <w:tab w:val="num" w:pos="720"/>
        </w:tabs>
        <w:ind w:left="720" w:hanging="360"/>
      </w:pPr>
      <w:rPr>
        <w:rFonts w:ascii="Arial" w:hAnsi="Arial" w:hint="default"/>
      </w:rPr>
    </w:lvl>
    <w:lvl w:ilvl="1" w:tplc="DA02F9D8">
      <w:start w:val="1"/>
      <w:numFmt w:val="bullet"/>
      <w:lvlText w:val="–"/>
      <w:lvlJc w:val="left"/>
      <w:pPr>
        <w:tabs>
          <w:tab w:val="num" w:pos="1440"/>
        </w:tabs>
        <w:ind w:left="1440" w:hanging="360"/>
      </w:pPr>
      <w:rPr>
        <w:rFonts w:ascii="Arial" w:hAnsi="Arial" w:hint="default"/>
      </w:rPr>
    </w:lvl>
    <w:lvl w:ilvl="2" w:tplc="6D7A7168" w:tentative="1">
      <w:start w:val="1"/>
      <w:numFmt w:val="bullet"/>
      <w:lvlText w:val="–"/>
      <w:lvlJc w:val="left"/>
      <w:pPr>
        <w:tabs>
          <w:tab w:val="num" w:pos="2160"/>
        </w:tabs>
        <w:ind w:left="2160" w:hanging="360"/>
      </w:pPr>
      <w:rPr>
        <w:rFonts w:ascii="Arial" w:hAnsi="Arial" w:hint="default"/>
      </w:rPr>
    </w:lvl>
    <w:lvl w:ilvl="3" w:tplc="3D7054CC" w:tentative="1">
      <w:start w:val="1"/>
      <w:numFmt w:val="bullet"/>
      <w:lvlText w:val="–"/>
      <w:lvlJc w:val="left"/>
      <w:pPr>
        <w:tabs>
          <w:tab w:val="num" w:pos="2880"/>
        </w:tabs>
        <w:ind w:left="2880" w:hanging="360"/>
      </w:pPr>
      <w:rPr>
        <w:rFonts w:ascii="Arial" w:hAnsi="Arial" w:hint="default"/>
      </w:rPr>
    </w:lvl>
    <w:lvl w:ilvl="4" w:tplc="A7783126" w:tentative="1">
      <w:start w:val="1"/>
      <w:numFmt w:val="bullet"/>
      <w:lvlText w:val="–"/>
      <w:lvlJc w:val="left"/>
      <w:pPr>
        <w:tabs>
          <w:tab w:val="num" w:pos="3600"/>
        </w:tabs>
        <w:ind w:left="3600" w:hanging="360"/>
      </w:pPr>
      <w:rPr>
        <w:rFonts w:ascii="Arial" w:hAnsi="Arial" w:hint="default"/>
      </w:rPr>
    </w:lvl>
    <w:lvl w:ilvl="5" w:tplc="009A7BF6" w:tentative="1">
      <w:start w:val="1"/>
      <w:numFmt w:val="bullet"/>
      <w:lvlText w:val="–"/>
      <w:lvlJc w:val="left"/>
      <w:pPr>
        <w:tabs>
          <w:tab w:val="num" w:pos="4320"/>
        </w:tabs>
        <w:ind w:left="4320" w:hanging="360"/>
      </w:pPr>
      <w:rPr>
        <w:rFonts w:ascii="Arial" w:hAnsi="Arial" w:hint="default"/>
      </w:rPr>
    </w:lvl>
    <w:lvl w:ilvl="6" w:tplc="F7E2445C" w:tentative="1">
      <w:start w:val="1"/>
      <w:numFmt w:val="bullet"/>
      <w:lvlText w:val="–"/>
      <w:lvlJc w:val="left"/>
      <w:pPr>
        <w:tabs>
          <w:tab w:val="num" w:pos="5040"/>
        </w:tabs>
        <w:ind w:left="5040" w:hanging="360"/>
      </w:pPr>
      <w:rPr>
        <w:rFonts w:ascii="Arial" w:hAnsi="Arial" w:hint="default"/>
      </w:rPr>
    </w:lvl>
    <w:lvl w:ilvl="7" w:tplc="DC121B9E" w:tentative="1">
      <w:start w:val="1"/>
      <w:numFmt w:val="bullet"/>
      <w:lvlText w:val="–"/>
      <w:lvlJc w:val="left"/>
      <w:pPr>
        <w:tabs>
          <w:tab w:val="num" w:pos="5760"/>
        </w:tabs>
        <w:ind w:left="5760" w:hanging="360"/>
      </w:pPr>
      <w:rPr>
        <w:rFonts w:ascii="Arial" w:hAnsi="Arial" w:hint="default"/>
      </w:rPr>
    </w:lvl>
    <w:lvl w:ilvl="8" w:tplc="F3BC378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74A11D9"/>
    <w:multiLevelType w:val="hybridMultilevel"/>
    <w:tmpl w:val="B22CF74C"/>
    <w:lvl w:ilvl="0" w:tplc="C726820E">
      <w:start w:val="1"/>
      <w:numFmt w:val="bullet"/>
      <w:lvlText w:val="•"/>
      <w:lvlJc w:val="left"/>
      <w:pPr>
        <w:tabs>
          <w:tab w:val="num" w:pos="720"/>
        </w:tabs>
        <w:ind w:left="720" w:hanging="360"/>
      </w:pPr>
      <w:rPr>
        <w:rFonts w:ascii="Arial" w:hAnsi="Arial" w:hint="default"/>
      </w:rPr>
    </w:lvl>
    <w:lvl w:ilvl="1" w:tplc="D250C2EA">
      <w:start w:val="270"/>
      <w:numFmt w:val="bullet"/>
      <w:lvlText w:val="–"/>
      <w:lvlJc w:val="left"/>
      <w:pPr>
        <w:tabs>
          <w:tab w:val="num" w:pos="1440"/>
        </w:tabs>
        <w:ind w:left="1440" w:hanging="360"/>
      </w:pPr>
      <w:rPr>
        <w:rFonts w:ascii="Arial" w:hAnsi="Arial" w:hint="default"/>
      </w:rPr>
    </w:lvl>
    <w:lvl w:ilvl="2" w:tplc="28E069BE" w:tentative="1">
      <w:start w:val="1"/>
      <w:numFmt w:val="bullet"/>
      <w:lvlText w:val="•"/>
      <w:lvlJc w:val="left"/>
      <w:pPr>
        <w:tabs>
          <w:tab w:val="num" w:pos="2160"/>
        </w:tabs>
        <w:ind w:left="2160" w:hanging="360"/>
      </w:pPr>
      <w:rPr>
        <w:rFonts w:ascii="Arial" w:hAnsi="Arial" w:hint="default"/>
      </w:rPr>
    </w:lvl>
    <w:lvl w:ilvl="3" w:tplc="0BEA4AD6" w:tentative="1">
      <w:start w:val="1"/>
      <w:numFmt w:val="bullet"/>
      <w:lvlText w:val="•"/>
      <w:lvlJc w:val="left"/>
      <w:pPr>
        <w:tabs>
          <w:tab w:val="num" w:pos="2880"/>
        </w:tabs>
        <w:ind w:left="2880" w:hanging="360"/>
      </w:pPr>
      <w:rPr>
        <w:rFonts w:ascii="Arial" w:hAnsi="Arial" w:hint="default"/>
      </w:rPr>
    </w:lvl>
    <w:lvl w:ilvl="4" w:tplc="40C677F0" w:tentative="1">
      <w:start w:val="1"/>
      <w:numFmt w:val="bullet"/>
      <w:lvlText w:val="•"/>
      <w:lvlJc w:val="left"/>
      <w:pPr>
        <w:tabs>
          <w:tab w:val="num" w:pos="3600"/>
        </w:tabs>
        <w:ind w:left="3600" w:hanging="360"/>
      </w:pPr>
      <w:rPr>
        <w:rFonts w:ascii="Arial" w:hAnsi="Arial" w:hint="default"/>
      </w:rPr>
    </w:lvl>
    <w:lvl w:ilvl="5" w:tplc="A284389A" w:tentative="1">
      <w:start w:val="1"/>
      <w:numFmt w:val="bullet"/>
      <w:lvlText w:val="•"/>
      <w:lvlJc w:val="left"/>
      <w:pPr>
        <w:tabs>
          <w:tab w:val="num" w:pos="4320"/>
        </w:tabs>
        <w:ind w:left="4320" w:hanging="360"/>
      </w:pPr>
      <w:rPr>
        <w:rFonts w:ascii="Arial" w:hAnsi="Arial" w:hint="default"/>
      </w:rPr>
    </w:lvl>
    <w:lvl w:ilvl="6" w:tplc="B324F8B8" w:tentative="1">
      <w:start w:val="1"/>
      <w:numFmt w:val="bullet"/>
      <w:lvlText w:val="•"/>
      <w:lvlJc w:val="left"/>
      <w:pPr>
        <w:tabs>
          <w:tab w:val="num" w:pos="5040"/>
        </w:tabs>
        <w:ind w:left="5040" w:hanging="360"/>
      </w:pPr>
      <w:rPr>
        <w:rFonts w:ascii="Arial" w:hAnsi="Arial" w:hint="default"/>
      </w:rPr>
    </w:lvl>
    <w:lvl w:ilvl="7" w:tplc="58E0EACE" w:tentative="1">
      <w:start w:val="1"/>
      <w:numFmt w:val="bullet"/>
      <w:lvlText w:val="•"/>
      <w:lvlJc w:val="left"/>
      <w:pPr>
        <w:tabs>
          <w:tab w:val="num" w:pos="5760"/>
        </w:tabs>
        <w:ind w:left="5760" w:hanging="360"/>
      </w:pPr>
      <w:rPr>
        <w:rFonts w:ascii="Arial" w:hAnsi="Arial" w:hint="default"/>
      </w:rPr>
    </w:lvl>
    <w:lvl w:ilvl="8" w:tplc="6464ACD2"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84D033C"/>
    <w:multiLevelType w:val="multilevel"/>
    <w:tmpl w:val="4A3660EC"/>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95B6105"/>
    <w:multiLevelType w:val="hybridMultilevel"/>
    <w:tmpl w:val="6FC0790C"/>
    <w:lvl w:ilvl="0" w:tplc="5FA26332">
      <w:start w:val="1"/>
      <w:numFmt w:val="bullet"/>
      <w:lvlText w:val="–"/>
      <w:lvlJc w:val="left"/>
      <w:pPr>
        <w:tabs>
          <w:tab w:val="num" w:pos="720"/>
        </w:tabs>
        <w:ind w:left="720" w:hanging="360"/>
      </w:pPr>
      <w:rPr>
        <w:rFonts w:ascii="Arial" w:hAnsi="Arial" w:hint="default"/>
      </w:rPr>
    </w:lvl>
    <w:lvl w:ilvl="1" w:tplc="0800247C">
      <w:start w:val="1"/>
      <w:numFmt w:val="bullet"/>
      <w:lvlText w:val="–"/>
      <w:lvlJc w:val="left"/>
      <w:pPr>
        <w:tabs>
          <w:tab w:val="num" w:pos="1440"/>
        </w:tabs>
        <w:ind w:left="1440" w:hanging="360"/>
      </w:pPr>
      <w:rPr>
        <w:rFonts w:ascii="Arial" w:hAnsi="Arial" w:hint="default"/>
      </w:rPr>
    </w:lvl>
    <w:lvl w:ilvl="2" w:tplc="249007B2" w:tentative="1">
      <w:start w:val="1"/>
      <w:numFmt w:val="bullet"/>
      <w:lvlText w:val="–"/>
      <w:lvlJc w:val="left"/>
      <w:pPr>
        <w:tabs>
          <w:tab w:val="num" w:pos="2160"/>
        </w:tabs>
        <w:ind w:left="2160" w:hanging="360"/>
      </w:pPr>
      <w:rPr>
        <w:rFonts w:ascii="Arial" w:hAnsi="Arial" w:hint="default"/>
      </w:rPr>
    </w:lvl>
    <w:lvl w:ilvl="3" w:tplc="B7DAB56E" w:tentative="1">
      <w:start w:val="1"/>
      <w:numFmt w:val="bullet"/>
      <w:lvlText w:val="–"/>
      <w:lvlJc w:val="left"/>
      <w:pPr>
        <w:tabs>
          <w:tab w:val="num" w:pos="2880"/>
        </w:tabs>
        <w:ind w:left="2880" w:hanging="360"/>
      </w:pPr>
      <w:rPr>
        <w:rFonts w:ascii="Arial" w:hAnsi="Arial" w:hint="default"/>
      </w:rPr>
    </w:lvl>
    <w:lvl w:ilvl="4" w:tplc="E5AEDC6A" w:tentative="1">
      <w:start w:val="1"/>
      <w:numFmt w:val="bullet"/>
      <w:lvlText w:val="–"/>
      <w:lvlJc w:val="left"/>
      <w:pPr>
        <w:tabs>
          <w:tab w:val="num" w:pos="3600"/>
        </w:tabs>
        <w:ind w:left="3600" w:hanging="360"/>
      </w:pPr>
      <w:rPr>
        <w:rFonts w:ascii="Arial" w:hAnsi="Arial" w:hint="default"/>
      </w:rPr>
    </w:lvl>
    <w:lvl w:ilvl="5" w:tplc="7DB653B8" w:tentative="1">
      <w:start w:val="1"/>
      <w:numFmt w:val="bullet"/>
      <w:lvlText w:val="–"/>
      <w:lvlJc w:val="left"/>
      <w:pPr>
        <w:tabs>
          <w:tab w:val="num" w:pos="4320"/>
        </w:tabs>
        <w:ind w:left="4320" w:hanging="360"/>
      </w:pPr>
      <w:rPr>
        <w:rFonts w:ascii="Arial" w:hAnsi="Arial" w:hint="default"/>
      </w:rPr>
    </w:lvl>
    <w:lvl w:ilvl="6" w:tplc="144E6920" w:tentative="1">
      <w:start w:val="1"/>
      <w:numFmt w:val="bullet"/>
      <w:lvlText w:val="–"/>
      <w:lvlJc w:val="left"/>
      <w:pPr>
        <w:tabs>
          <w:tab w:val="num" w:pos="5040"/>
        </w:tabs>
        <w:ind w:left="5040" w:hanging="360"/>
      </w:pPr>
      <w:rPr>
        <w:rFonts w:ascii="Arial" w:hAnsi="Arial" w:hint="default"/>
      </w:rPr>
    </w:lvl>
    <w:lvl w:ilvl="7" w:tplc="50925030" w:tentative="1">
      <w:start w:val="1"/>
      <w:numFmt w:val="bullet"/>
      <w:lvlText w:val="–"/>
      <w:lvlJc w:val="left"/>
      <w:pPr>
        <w:tabs>
          <w:tab w:val="num" w:pos="5760"/>
        </w:tabs>
        <w:ind w:left="5760" w:hanging="360"/>
      </w:pPr>
      <w:rPr>
        <w:rFonts w:ascii="Arial" w:hAnsi="Arial" w:hint="default"/>
      </w:rPr>
    </w:lvl>
    <w:lvl w:ilvl="8" w:tplc="CE7E4FDE"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96433CC"/>
    <w:multiLevelType w:val="multilevel"/>
    <w:tmpl w:val="8BE08D0A"/>
    <w:lvl w:ilvl="0">
      <w:start w:val="1"/>
      <w:numFmt w:val="decimal"/>
      <w:lvlText w:val="%1"/>
      <w:lvlJc w:val="left"/>
      <w:pPr>
        <w:ind w:left="720" w:hanging="720"/>
      </w:pPr>
      <w:rPr>
        <w:rFonts w:hint="default"/>
      </w:rPr>
    </w:lvl>
    <w:lvl w:ilvl="1">
      <w:start w:val="1"/>
      <w:numFmt w:val="lowerLetter"/>
      <w:lvlText w:val="%2)"/>
      <w:lvlJc w:val="left"/>
      <w:pPr>
        <w:ind w:left="720" w:hanging="720"/>
      </w:pPr>
      <w:rPr>
        <w:rFonts w:hint="default"/>
        <w:i w:val="0"/>
        <w:color w:val="auto"/>
      </w:rPr>
    </w:lvl>
    <w:lvl w:ilvl="2">
      <w:start w:val="1"/>
      <w:numFmt w:val="lowerRoman"/>
      <w:lvlText w:val="%3."/>
      <w:lvlJc w:val="right"/>
      <w:pPr>
        <w:ind w:left="2517" w:hanging="177"/>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1" w15:restartNumberingAfterBreak="0">
    <w:nsid w:val="7BBB7FF1"/>
    <w:multiLevelType w:val="hybridMultilevel"/>
    <w:tmpl w:val="13B44586"/>
    <w:lvl w:ilvl="0" w:tplc="0C090001">
      <w:start w:val="1"/>
      <w:numFmt w:val="bullet"/>
      <w:lvlText w:val=""/>
      <w:lvlJc w:val="left"/>
      <w:pPr>
        <w:ind w:left="717" w:hanging="360"/>
      </w:pPr>
      <w:rPr>
        <w:rFonts w:ascii="Symbol" w:hAnsi="Symbo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num w:numId="1">
    <w:abstractNumId w:val="28"/>
  </w:num>
  <w:num w:numId="2">
    <w:abstractNumId w:val="0"/>
  </w:num>
  <w:num w:numId="3">
    <w:abstractNumId w:val="20"/>
  </w:num>
  <w:num w:numId="4">
    <w:abstractNumId w:val="31"/>
  </w:num>
  <w:num w:numId="5">
    <w:abstractNumId w:val="24"/>
  </w:num>
  <w:num w:numId="6">
    <w:abstractNumId w:val="15"/>
  </w:num>
  <w:num w:numId="7">
    <w:abstractNumId w:val="13"/>
  </w:num>
  <w:num w:numId="8">
    <w:abstractNumId w:val="1"/>
  </w:num>
  <w:num w:numId="9">
    <w:abstractNumId w:val="28"/>
  </w:num>
  <w:num w:numId="10">
    <w:abstractNumId w:val="22"/>
  </w:num>
  <w:num w:numId="11">
    <w:abstractNumId w:val="11"/>
  </w:num>
  <w:num w:numId="12">
    <w:abstractNumId w:val="12"/>
  </w:num>
  <w:num w:numId="13">
    <w:abstractNumId w:val="28"/>
  </w:num>
  <w:num w:numId="14">
    <w:abstractNumId w:val="28"/>
  </w:num>
  <w:num w:numId="15">
    <w:abstractNumId w:val="7"/>
  </w:num>
  <w:num w:numId="16">
    <w:abstractNumId w:val="25"/>
  </w:num>
  <w:num w:numId="17">
    <w:abstractNumId w:val="14"/>
  </w:num>
  <w:num w:numId="18">
    <w:abstractNumId w:val="18"/>
  </w:num>
  <w:num w:numId="19">
    <w:abstractNumId w:val="4"/>
  </w:num>
  <w:num w:numId="20">
    <w:abstractNumId w:val="19"/>
  </w:num>
  <w:num w:numId="21">
    <w:abstractNumId w:val="5"/>
  </w:num>
  <w:num w:numId="22">
    <w:abstractNumId w:val="2"/>
  </w:num>
  <w:num w:numId="23">
    <w:abstractNumId w:val="9"/>
  </w:num>
  <w:num w:numId="24">
    <w:abstractNumId w:val="10"/>
  </w:num>
  <w:num w:numId="25">
    <w:abstractNumId w:val="8"/>
  </w:num>
  <w:num w:numId="26">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17"/>
  </w:num>
  <w:num w:numId="29">
    <w:abstractNumId w:val="30"/>
  </w:num>
  <w:num w:numId="30">
    <w:abstractNumId w:val="6"/>
  </w:num>
  <w:num w:numId="31">
    <w:abstractNumId w:val="16"/>
  </w:num>
  <w:num w:numId="32">
    <w:abstractNumId w:val="27"/>
  </w:num>
  <w:num w:numId="33">
    <w:abstractNumId w:val="3"/>
  </w:num>
  <w:num w:numId="34">
    <w:abstractNumId w:val="26"/>
  </w:num>
  <w:num w:numId="35">
    <w:abstractNumId w:val="29"/>
  </w:num>
  <w:num w:numId="36">
    <w:abstractNumId w:val="20"/>
  </w:num>
  <w:num w:numId="37">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removePersonalInformation/>
  <w:removeDateAndTime/>
  <w:embedSystemFonts/>
  <w:proofState w:spelling="clean" w:grammar="clean"/>
  <w:stylePaneFormatFilter w:val="3E01" w:allStyles="1" w:customStyles="0" w:latentStyles="0" w:stylesInUse="0" w:headingStyles="0" w:numberingStyles="0" w:tableStyles="0" w:directFormattingOnRuns="0"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BB"/>
    <w:rsid w:val="0000080A"/>
    <w:rsid w:val="00001663"/>
    <w:rsid w:val="000025AD"/>
    <w:rsid w:val="0000335D"/>
    <w:rsid w:val="00007DEC"/>
    <w:rsid w:val="00011A59"/>
    <w:rsid w:val="00016A41"/>
    <w:rsid w:val="000214D1"/>
    <w:rsid w:val="0002464A"/>
    <w:rsid w:val="00025A04"/>
    <w:rsid w:val="0003050E"/>
    <w:rsid w:val="0003106B"/>
    <w:rsid w:val="00033C1D"/>
    <w:rsid w:val="00034905"/>
    <w:rsid w:val="0003623D"/>
    <w:rsid w:val="0003701C"/>
    <w:rsid w:val="000421A1"/>
    <w:rsid w:val="0004240E"/>
    <w:rsid w:val="00042EC6"/>
    <w:rsid w:val="00044EC4"/>
    <w:rsid w:val="00045E26"/>
    <w:rsid w:val="000514B5"/>
    <w:rsid w:val="0005322E"/>
    <w:rsid w:val="00054E2B"/>
    <w:rsid w:val="00056638"/>
    <w:rsid w:val="00060E64"/>
    <w:rsid w:val="0006229B"/>
    <w:rsid w:val="00063610"/>
    <w:rsid w:val="000644C3"/>
    <w:rsid w:val="00066193"/>
    <w:rsid w:val="00066351"/>
    <w:rsid w:val="00066755"/>
    <w:rsid w:val="00067B6B"/>
    <w:rsid w:val="00071A5B"/>
    <w:rsid w:val="0007337F"/>
    <w:rsid w:val="000763D5"/>
    <w:rsid w:val="00076C38"/>
    <w:rsid w:val="00077143"/>
    <w:rsid w:val="00077DF7"/>
    <w:rsid w:val="0008050C"/>
    <w:rsid w:val="00082169"/>
    <w:rsid w:val="000834BE"/>
    <w:rsid w:val="00083F01"/>
    <w:rsid w:val="000864B4"/>
    <w:rsid w:val="00087C4C"/>
    <w:rsid w:val="000918CB"/>
    <w:rsid w:val="00091B06"/>
    <w:rsid w:val="000928CD"/>
    <w:rsid w:val="000951C4"/>
    <w:rsid w:val="00095ADA"/>
    <w:rsid w:val="000969AD"/>
    <w:rsid w:val="000975FB"/>
    <w:rsid w:val="000A068C"/>
    <w:rsid w:val="000A1301"/>
    <w:rsid w:val="000A19AB"/>
    <w:rsid w:val="000A2498"/>
    <w:rsid w:val="000A3AA2"/>
    <w:rsid w:val="000A44B2"/>
    <w:rsid w:val="000A52F6"/>
    <w:rsid w:val="000B44C3"/>
    <w:rsid w:val="000B558D"/>
    <w:rsid w:val="000B5A89"/>
    <w:rsid w:val="000B65F6"/>
    <w:rsid w:val="000B7767"/>
    <w:rsid w:val="000C49A7"/>
    <w:rsid w:val="000C5F95"/>
    <w:rsid w:val="000C6996"/>
    <w:rsid w:val="000C7AB2"/>
    <w:rsid w:val="000C7C46"/>
    <w:rsid w:val="000D09E9"/>
    <w:rsid w:val="000D113F"/>
    <w:rsid w:val="000D23BA"/>
    <w:rsid w:val="000E19B7"/>
    <w:rsid w:val="000E20FC"/>
    <w:rsid w:val="000E3DFB"/>
    <w:rsid w:val="000E58D4"/>
    <w:rsid w:val="000E5EA1"/>
    <w:rsid w:val="000E681E"/>
    <w:rsid w:val="000E7E52"/>
    <w:rsid w:val="000E7FF4"/>
    <w:rsid w:val="000F0003"/>
    <w:rsid w:val="000F2B3B"/>
    <w:rsid w:val="000F3065"/>
    <w:rsid w:val="000F3384"/>
    <w:rsid w:val="000F4E6A"/>
    <w:rsid w:val="000F7354"/>
    <w:rsid w:val="00101ABE"/>
    <w:rsid w:val="00102202"/>
    <w:rsid w:val="00102700"/>
    <w:rsid w:val="0010289B"/>
    <w:rsid w:val="00102A78"/>
    <w:rsid w:val="00103118"/>
    <w:rsid w:val="00104227"/>
    <w:rsid w:val="00105A74"/>
    <w:rsid w:val="001107BF"/>
    <w:rsid w:val="00113649"/>
    <w:rsid w:val="00113D5C"/>
    <w:rsid w:val="001141D0"/>
    <w:rsid w:val="0012417C"/>
    <w:rsid w:val="00124BF2"/>
    <w:rsid w:val="0012597F"/>
    <w:rsid w:val="0012749D"/>
    <w:rsid w:val="001306A5"/>
    <w:rsid w:val="001311AE"/>
    <w:rsid w:val="00134962"/>
    <w:rsid w:val="00140B74"/>
    <w:rsid w:val="00140D94"/>
    <w:rsid w:val="00142395"/>
    <w:rsid w:val="00142714"/>
    <w:rsid w:val="00144D09"/>
    <w:rsid w:val="001452ED"/>
    <w:rsid w:val="00147566"/>
    <w:rsid w:val="00147D84"/>
    <w:rsid w:val="001549C1"/>
    <w:rsid w:val="00156C8D"/>
    <w:rsid w:val="00160F4D"/>
    <w:rsid w:val="00162BDD"/>
    <w:rsid w:val="00162D4E"/>
    <w:rsid w:val="00163329"/>
    <w:rsid w:val="00164623"/>
    <w:rsid w:val="001652DE"/>
    <w:rsid w:val="00165B64"/>
    <w:rsid w:val="00176B9D"/>
    <w:rsid w:val="00180713"/>
    <w:rsid w:val="00180720"/>
    <w:rsid w:val="00181918"/>
    <w:rsid w:val="001830CE"/>
    <w:rsid w:val="001836E3"/>
    <w:rsid w:val="0018643B"/>
    <w:rsid w:val="00192397"/>
    <w:rsid w:val="00193C87"/>
    <w:rsid w:val="00196209"/>
    <w:rsid w:val="00196307"/>
    <w:rsid w:val="001A0D10"/>
    <w:rsid w:val="001A33EA"/>
    <w:rsid w:val="001A4413"/>
    <w:rsid w:val="001A4C4F"/>
    <w:rsid w:val="001A5A2B"/>
    <w:rsid w:val="001A5B06"/>
    <w:rsid w:val="001A76FB"/>
    <w:rsid w:val="001B017F"/>
    <w:rsid w:val="001B0B79"/>
    <w:rsid w:val="001B2BBC"/>
    <w:rsid w:val="001B3A40"/>
    <w:rsid w:val="001B3FFE"/>
    <w:rsid w:val="001B5129"/>
    <w:rsid w:val="001C0B4C"/>
    <w:rsid w:val="001C0EC4"/>
    <w:rsid w:val="001C1195"/>
    <w:rsid w:val="001C12AE"/>
    <w:rsid w:val="001C1E84"/>
    <w:rsid w:val="001C2E42"/>
    <w:rsid w:val="001C52C0"/>
    <w:rsid w:val="001C758C"/>
    <w:rsid w:val="001D0D16"/>
    <w:rsid w:val="001D1F5F"/>
    <w:rsid w:val="001E06D2"/>
    <w:rsid w:val="001E17C4"/>
    <w:rsid w:val="001E1991"/>
    <w:rsid w:val="001F005B"/>
    <w:rsid w:val="001F1850"/>
    <w:rsid w:val="001F1D9C"/>
    <w:rsid w:val="001F1FBF"/>
    <w:rsid w:val="001F2F1C"/>
    <w:rsid w:val="001F3189"/>
    <w:rsid w:val="00200CD6"/>
    <w:rsid w:val="00201CD0"/>
    <w:rsid w:val="00201FB8"/>
    <w:rsid w:val="002025D2"/>
    <w:rsid w:val="00203FAC"/>
    <w:rsid w:val="00213C49"/>
    <w:rsid w:val="00213CFB"/>
    <w:rsid w:val="002142FE"/>
    <w:rsid w:val="0021553C"/>
    <w:rsid w:val="0021557B"/>
    <w:rsid w:val="002174FD"/>
    <w:rsid w:val="00217BE1"/>
    <w:rsid w:val="00220A70"/>
    <w:rsid w:val="00220AED"/>
    <w:rsid w:val="002214B9"/>
    <w:rsid w:val="00224D7C"/>
    <w:rsid w:val="00230F63"/>
    <w:rsid w:val="00232F7C"/>
    <w:rsid w:val="00234252"/>
    <w:rsid w:val="0023466E"/>
    <w:rsid w:val="00237AC6"/>
    <w:rsid w:val="00240165"/>
    <w:rsid w:val="002411EC"/>
    <w:rsid w:val="00244139"/>
    <w:rsid w:val="00244490"/>
    <w:rsid w:val="00245B9C"/>
    <w:rsid w:val="00253499"/>
    <w:rsid w:val="002551A4"/>
    <w:rsid w:val="00257664"/>
    <w:rsid w:val="00261208"/>
    <w:rsid w:val="002631EF"/>
    <w:rsid w:val="00265151"/>
    <w:rsid w:val="00265BF6"/>
    <w:rsid w:val="00265C2C"/>
    <w:rsid w:val="00266509"/>
    <w:rsid w:val="002677D5"/>
    <w:rsid w:val="00271BA1"/>
    <w:rsid w:val="00273AC5"/>
    <w:rsid w:val="00274455"/>
    <w:rsid w:val="002762FA"/>
    <w:rsid w:val="00277505"/>
    <w:rsid w:val="0028158C"/>
    <w:rsid w:val="002823B6"/>
    <w:rsid w:val="00290C03"/>
    <w:rsid w:val="00294274"/>
    <w:rsid w:val="0029458F"/>
    <w:rsid w:val="00296834"/>
    <w:rsid w:val="002A018F"/>
    <w:rsid w:val="002A0E04"/>
    <w:rsid w:val="002A104C"/>
    <w:rsid w:val="002A1EF7"/>
    <w:rsid w:val="002A494D"/>
    <w:rsid w:val="002A4960"/>
    <w:rsid w:val="002A636A"/>
    <w:rsid w:val="002B0AE0"/>
    <w:rsid w:val="002B0BDD"/>
    <w:rsid w:val="002B1AE6"/>
    <w:rsid w:val="002B1D51"/>
    <w:rsid w:val="002B2406"/>
    <w:rsid w:val="002B2DE8"/>
    <w:rsid w:val="002B30F8"/>
    <w:rsid w:val="002B388A"/>
    <w:rsid w:val="002B39FC"/>
    <w:rsid w:val="002B5596"/>
    <w:rsid w:val="002B77D7"/>
    <w:rsid w:val="002C212F"/>
    <w:rsid w:val="002C2F35"/>
    <w:rsid w:val="002C6AA9"/>
    <w:rsid w:val="002C7485"/>
    <w:rsid w:val="002D147F"/>
    <w:rsid w:val="002D2641"/>
    <w:rsid w:val="002D283A"/>
    <w:rsid w:val="002D4543"/>
    <w:rsid w:val="002E3153"/>
    <w:rsid w:val="002E5292"/>
    <w:rsid w:val="002E72CA"/>
    <w:rsid w:val="002F1D07"/>
    <w:rsid w:val="002F3A7C"/>
    <w:rsid w:val="002F600D"/>
    <w:rsid w:val="002F63D9"/>
    <w:rsid w:val="002F7E47"/>
    <w:rsid w:val="00300AD6"/>
    <w:rsid w:val="00300B1B"/>
    <w:rsid w:val="003019D0"/>
    <w:rsid w:val="003064AF"/>
    <w:rsid w:val="003104CC"/>
    <w:rsid w:val="00310A8B"/>
    <w:rsid w:val="00310B68"/>
    <w:rsid w:val="003112C9"/>
    <w:rsid w:val="003160D2"/>
    <w:rsid w:val="0031611E"/>
    <w:rsid w:val="003173FC"/>
    <w:rsid w:val="00317C6C"/>
    <w:rsid w:val="00320B80"/>
    <w:rsid w:val="00320CD3"/>
    <w:rsid w:val="00326E79"/>
    <w:rsid w:val="0032748A"/>
    <w:rsid w:val="003301B1"/>
    <w:rsid w:val="00331189"/>
    <w:rsid w:val="0033263D"/>
    <w:rsid w:val="0033518A"/>
    <w:rsid w:val="00335535"/>
    <w:rsid w:val="00335F8F"/>
    <w:rsid w:val="003367EF"/>
    <w:rsid w:val="00340D20"/>
    <w:rsid w:val="00341AE4"/>
    <w:rsid w:val="003476EE"/>
    <w:rsid w:val="003510A1"/>
    <w:rsid w:val="003541DD"/>
    <w:rsid w:val="00356E5B"/>
    <w:rsid w:val="003641CE"/>
    <w:rsid w:val="00364F59"/>
    <w:rsid w:val="00370DBF"/>
    <w:rsid w:val="003736C9"/>
    <w:rsid w:val="00373C03"/>
    <w:rsid w:val="00375F8C"/>
    <w:rsid w:val="00383B77"/>
    <w:rsid w:val="00384988"/>
    <w:rsid w:val="003872CF"/>
    <w:rsid w:val="003934F6"/>
    <w:rsid w:val="0039782C"/>
    <w:rsid w:val="003A0814"/>
    <w:rsid w:val="003A13A6"/>
    <w:rsid w:val="003A5B4A"/>
    <w:rsid w:val="003A5D95"/>
    <w:rsid w:val="003B0D3A"/>
    <w:rsid w:val="003B2302"/>
    <w:rsid w:val="003B23C5"/>
    <w:rsid w:val="003B2A75"/>
    <w:rsid w:val="003B49B2"/>
    <w:rsid w:val="003B6124"/>
    <w:rsid w:val="003B7960"/>
    <w:rsid w:val="003C093A"/>
    <w:rsid w:val="003C1ECF"/>
    <w:rsid w:val="003C2FB5"/>
    <w:rsid w:val="003C35B3"/>
    <w:rsid w:val="003C76BB"/>
    <w:rsid w:val="003D070A"/>
    <w:rsid w:val="003D24C5"/>
    <w:rsid w:val="003D4336"/>
    <w:rsid w:val="003D4594"/>
    <w:rsid w:val="003D4AC4"/>
    <w:rsid w:val="003D63B7"/>
    <w:rsid w:val="003D67B6"/>
    <w:rsid w:val="003D74C5"/>
    <w:rsid w:val="003E0DCE"/>
    <w:rsid w:val="003E3331"/>
    <w:rsid w:val="003E3C10"/>
    <w:rsid w:val="003E4374"/>
    <w:rsid w:val="003E468B"/>
    <w:rsid w:val="003E62BD"/>
    <w:rsid w:val="003F044F"/>
    <w:rsid w:val="003F0C3A"/>
    <w:rsid w:val="003F15F0"/>
    <w:rsid w:val="003F3228"/>
    <w:rsid w:val="003F4446"/>
    <w:rsid w:val="003F59B9"/>
    <w:rsid w:val="003F5C8C"/>
    <w:rsid w:val="003F63CE"/>
    <w:rsid w:val="003F775A"/>
    <w:rsid w:val="00400E55"/>
    <w:rsid w:val="0040128E"/>
    <w:rsid w:val="0040216B"/>
    <w:rsid w:val="00407E8D"/>
    <w:rsid w:val="0041679C"/>
    <w:rsid w:val="00420400"/>
    <w:rsid w:val="004252EC"/>
    <w:rsid w:val="00430B50"/>
    <w:rsid w:val="00430D39"/>
    <w:rsid w:val="00442C91"/>
    <w:rsid w:val="004456FC"/>
    <w:rsid w:val="004465BD"/>
    <w:rsid w:val="00446938"/>
    <w:rsid w:val="004528FA"/>
    <w:rsid w:val="0045490B"/>
    <w:rsid w:val="00461A44"/>
    <w:rsid w:val="00462D26"/>
    <w:rsid w:val="0046385A"/>
    <w:rsid w:val="00466ADA"/>
    <w:rsid w:val="00467716"/>
    <w:rsid w:val="004702BB"/>
    <w:rsid w:val="0047494B"/>
    <w:rsid w:val="00476245"/>
    <w:rsid w:val="00477A9B"/>
    <w:rsid w:val="00481E1D"/>
    <w:rsid w:val="00483035"/>
    <w:rsid w:val="00485940"/>
    <w:rsid w:val="00486C95"/>
    <w:rsid w:val="004877C2"/>
    <w:rsid w:val="004904B9"/>
    <w:rsid w:val="00495F61"/>
    <w:rsid w:val="00496662"/>
    <w:rsid w:val="004A223D"/>
    <w:rsid w:val="004A2484"/>
    <w:rsid w:val="004A2E21"/>
    <w:rsid w:val="004A3F6B"/>
    <w:rsid w:val="004A4C9B"/>
    <w:rsid w:val="004A5A47"/>
    <w:rsid w:val="004A5A85"/>
    <w:rsid w:val="004A5E14"/>
    <w:rsid w:val="004A71D1"/>
    <w:rsid w:val="004A739B"/>
    <w:rsid w:val="004A7C5B"/>
    <w:rsid w:val="004B1845"/>
    <w:rsid w:val="004B2348"/>
    <w:rsid w:val="004B2E01"/>
    <w:rsid w:val="004B2E98"/>
    <w:rsid w:val="004B5640"/>
    <w:rsid w:val="004B6084"/>
    <w:rsid w:val="004B7986"/>
    <w:rsid w:val="004BCF29"/>
    <w:rsid w:val="004C03D0"/>
    <w:rsid w:val="004C12D5"/>
    <w:rsid w:val="004C1BD7"/>
    <w:rsid w:val="004C239C"/>
    <w:rsid w:val="004C31FE"/>
    <w:rsid w:val="004C470F"/>
    <w:rsid w:val="004C524C"/>
    <w:rsid w:val="004C5947"/>
    <w:rsid w:val="004C5FFA"/>
    <w:rsid w:val="004C691D"/>
    <w:rsid w:val="004C6C07"/>
    <w:rsid w:val="004C7E15"/>
    <w:rsid w:val="004D0904"/>
    <w:rsid w:val="004D2CD1"/>
    <w:rsid w:val="004D3B62"/>
    <w:rsid w:val="004D4FF6"/>
    <w:rsid w:val="004D5ADD"/>
    <w:rsid w:val="004D7E58"/>
    <w:rsid w:val="004E1B22"/>
    <w:rsid w:val="004E3CBC"/>
    <w:rsid w:val="004E3EF1"/>
    <w:rsid w:val="004E692D"/>
    <w:rsid w:val="004E7230"/>
    <w:rsid w:val="004E7D87"/>
    <w:rsid w:val="004F2553"/>
    <w:rsid w:val="004F306A"/>
    <w:rsid w:val="004F6160"/>
    <w:rsid w:val="00501554"/>
    <w:rsid w:val="00501587"/>
    <w:rsid w:val="00502AFE"/>
    <w:rsid w:val="00502E64"/>
    <w:rsid w:val="00503AD7"/>
    <w:rsid w:val="00504E0C"/>
    <w:rsid w:val="00504E13"/>
    <w:rsid w:val="005109D4"/>
    <w:rsid w:val="00514CD7"/>
    <w:rsid w:val="005167EC"/>
    <w:rsid w:val="005170DA"/>
    <w:rsid w:val="00520D6A"/>
    <w:rsid w:val="00522DB6"/>
    <w:rsid w:val="00524F6C"/>
    <w:rsid w:val="00526073"/>
    <w:rsid w:val="005264A7"/>
    <w:rsid w:val="0052792D"/>
    <w:rsid w:val="005319B2"/>
    <w:rsid w:val="00532402"/>
    <w:rsid w:val="00532C74"/>
    <w:rsid w:val="00534E2E"/>
    <w:rsid w:val="0054064C"/>
    <w:rsid w:val="00542673"/>
    <w:rsid w:val="00544552"/>
    <w:rsid w:val="00545130"/>
    <w:rsid w:val="0055286A"/>
    <w:rsid w:val="00555745"/>
    <w:rsid w:val="00557D4F"/>
    <w:rsid w:val="0056122E"/>
    <w:rsid w:val="00563B2B"/>
    <w:rsid w:val="0056484E"/>
    <w:rsid w:val="00566BE0"/>
    <w:rsid w:val="00567D8A"/>
    <w:rsid w:val="005764CD"/>
    <w:rsid w:val="00577C4D"/>
    <w:rsid w:val="00580532"/>
    <w:rsid w:val="00581932"/>
    <w:rsid w:val="00583C63"/>
    <w:rsid w:val="00587099"/>
    <w:rsid w:val="00593BB2"/>
    <w:rsid w:val="005963BB"/>
    <w:rsid w:val="005A3173"/>
    <w:rsid w:val="005A3223"/>
    <w:rsid w:val="005A3796"/>
    <w:rsid w:val="005A3DA3"/>
    <w:rsid w:val="005A52C4"/>
    <w:rsid w:val="005A63A1"/>
    <w:rsid w:val="005B3ACB"/>
    <w:rsid w:val="005C3433"/>
    <w:rsid w:val="005C44ED"/>
    <w:rsid w:val="005C4F73"/>
    <w:rsid w:val="005D03AB"/>
    <w:rsid w:val="005D401D"/>
    <w:rsid w:val="005D5017"/>
    <w:rsid w:val="005D63FA"/>
    <w:rsid w:val="005D73C7"/>
    <w:rsid w:val="005E0C2D"/>
    <w:rsid w:val="005E0D82"/>
    <w:rsid w:val="005E1333"/>
    <w:rsid w:val="005E2665"/>
    <w:rsid w:val="005E3136"/>
    <w:rsid w:val="005E507D"/>
    <w:rsid w:val="005F0AD0"/>
    <w:rsid w:val="005F4C76"/>
    <w:rsid w:val="00601A91"/>
    <w:rsid w:val="00602BA3"/>
    <w:rsid w:val="00605B63"/>
    <w:rsid w:val="00605F9A"/>
    <w:rsid w:val="00606442"/>
    <w:rsid w:val="00606EED"/>
    <w:rsid w:val="00612A95"/>
    <w:rsid w:val="00612E34"/>
    <w:rsid w:val="00614159"/>
    <w:rsid w:val="006158A3"/>
    <w:rsid w:val="00616169"/>
    <w:rsid w:val="00616C4D"/>
    <w:rsid w:val="00616C5F"/>
    <w:rsid w:val="00616DAC"/>
    <w:rsid w:val="00617725"/>
    <w:rsid w:val="00617C00"/>
    <w:rsid w:val="006263BF"/>
    <w:rsid w:val="0062748A"/>
    <w:rsid w:val="0063031C"/>
    <w:rsid w:val="00630A2C"/>
    <w:rsid w:val="00630F7B"/>
    <w:rsid w:val="0063682E"/>
    <w:rsid w:val="00640088"/>
    <w:rsid w:val="00640164"/>
    <w:rsid w:val="00642672"/>
    <w:rsid w:val="00642DA8"/>
    <w:rsid w:val="006436CD"/>
    <w:rsid w:val="0064503C"/>
    <w:rsid w:val="00651169"/>
    <w:rsid w:val="00653D69"/>
    <w:rsid w:val="006552E6"/>
    <w:rsid w:val="00655794"/>
    <w:rsid w:val="00657C63"/>
    <w:rsid w:val="00661CBC"/>
    <w:rsid w:val="0066212F"/>
    <w:rsid w:val="00662B85"/>
    <w:rsid w:val="00666C49"/>
    <w:rsid w:val="006670BE"/>
    <w:rsid w:val="00670A76"/>
    <w:rsid w:val="006711AA"/>
    <w:rsid w:val="00672B57"/>
    <w:rsid w:val="00673F1F"/>
    <w:rsid w:val="00675622"/>
    <w:rsid w:val="0067747D"/>
    <w:rsid w:val="006818C0"/>
    <w:rsid w:val="006818D5"/>
    <w:rsid w:val="00681CA4"/>
    <w:rsid w:val="0068597B"/>
    <w:rsid w:val="0069039D"/>
    <w:rsid w:val="006906DB"/>
    <w:rsid w:val="00691900"/>
    <w:rsid w:val="00691E6C"/>
    <w:rsid w:val="0069342D"/>
    <w:rsid w:val="00693DFB"/>
    <w:rsid w:val="0069501D"/>
    <w:rsid w:val="00696129"/>
    <w:rsid w:val="00697CF2"/>
    <w:rsid w:val="006A12A5"/>
    <w:rsid w:val="006A2515"/>
    <w:rsid w:val="006A2E8B"/>
    <w:rsid w:val="006A5E20"/>
    <w:rsid w:val="006A6BFA"/>
    <w:rsid w:val="006A721C"/>
    <w:rsid w:val="006B0D94"/>
    <w:rsid w:val="006B485D"/>
    <w:rsid w:val="006C0C45"/>
    <w:rsid w:val="006C334C"/>
    <w:rsid w:val="006C5B33"/>
    <w:rsid w:val="006C6C10"/>
    <w:rsid w:val="006C708E"/>
    <w:rsid w:val="006D14E7"/>
    <w:rsid w:val="006D4444"/>
    <w:rsid w:val="006D6493"/>
    <w:rsid w:val="006D6787"/>
    <w:rsid w:val="006D6CC9"/>
    <w:rsid w:val="006D6EC7"/>
    <w:rsid w:val="006E1BCD"/>
    <w:rsid w:val="006E2732"/>
    <w:rsid w:val="006E2F3B"/>
    <w:rsid w:val="006E59CD"/>
    <w:rsid w:val="006F0A71"/>
    <w:rsid w:val="006F40C2"/>
    <w:rsid w:val="006F5125"/>
    <w:rsid w:val="006F6251"/>
    <w:rsid w:val="006F733D"/>
    <w:rsid w:val="007014FF"/>
    <w:rsid w:val="007021C3"/>
    <w:rsid w:val="00702B6F"/>
    <w:rsid w:val="00704069"/>
    <w:rsid w:val="00706A2F"/>
    <w:rsid w:val="0070718E"/>
    <w:rsid w:val="00707E52"/>
    <w:rsid w:val="00710259"/>
    <w:rsid w:val="0071031F"/>
    <w:rsid w:val="00713039"/>
    <w:rsid w:val="0071340B"/>
    <w:rsid w:val="0071436D"/>
    <w:rsid w:val="007146C0"/>
    <w:rsid w:val="00715BBB"/>
    <w:rsid w:val="007174BB"/>
    <w:rsid w:val="0072025D"/>
    <w:rsid w:val="00723328"/>
    <w:rsid w:val="0072501C"/>
    <w:rsid w:val="00730FF5"/>
    <w:rsid w:val="0073137C"/>
    <w:rsid w:val="007340B9"/>
    <w:rsid w:val="007353D3"/>
    <w:rsid w:val="0074156B"/>
    <w:rsid w:val="00741619"/>
    <w:rsid w:val="00744A52"/>
    <w:rsid w:val="00747092"/>
    <w:rsid w:val="00747651"/>
    <w:rsid w:val="007526E6"/>
    <w:rsid w:val="00754DF9"/>
    <w:rsid w:val="007555E8"/>
    <w:rsid w:val="00755CC5"/>
    <w:rsid w:val="0075672D"/>
    <w:rsid w:val="0076420C"/>
    <w:rsid w:val="00771D07"/>
    <w:rsid w:val="00773BE3"/>
    <w:rsid w:val="007743DD"/>
    <w:rsid w:val="00774E2C"/>
    <w:rsid w:val="0077518D"/>
    <w:rsid w:val="007753C2"/>
    <w:rsid w:val="007838B8"/>
    <w:rsid w:val="00784551"/>
    <w:rsid w:val="00790030"/>
    <w:rsid w:val="007915BA"/>
    <w:rsid w:val="0079178A"/>
    <w:rsid w:val="00791844"/>
    <w:rsid w:val="00796ADA"/>
    <w:rsid w:val="007979BD"/>
    <w:rsid w:val="007A19BB"/>
    <w:rsid w:val="007A6A2F"/>
    <w:rsid w:val="007B024E"/>
    <w:rsid w:val="007B3DDC"/>
    <w:rsid w:val="007B72A6"/>
    <w:rsid w:val="007C06D2"/>
    <w:rsid w:val="007C08E0"/>
    <w:rsid w:val="007C09EF"/>
    <w:rsid w:val="007C0F57"/>
    <w:rsid w:val="007C40B6"/>
    <w:rsid w:val="007C5DD6"/>
    <w:rsid w:val="007C729F"/>
    <w:rsid w:val="007D33DD"/>
    <w:rsid w:val="007D503D"/>
    <w:rsid w:val="007D59E7"/>
    <w:rsid w:val="007D5F2A"/>
    <w:rsid w:val="007E18DD"/>
    <w:rsid w:val="007E1D28"/>
    <w:rsid w:val="007E224D"/>
    <w:rsid w:val="007E7292"/>
    <w:rsid w:val="007E79B9"/>
    <w:rsid w:val="007F0021"/>
    <w:rsid w:val="007F2641"/>
    <w:rsid w:val="007F3DA3"/>
    <w:rsid w:val="007F7C36"/>
    <w:rsid w:val="008055AF"/>
    <w:rsid w:val="008057CD"/>
    <w:rsid w:val="00806796"/>
    <w:rsid w:val="00810167"/>
    <w:rsid w:val="00811CC0"/>
    <w:rsid w:val="008147AE"/>
    <w:rsid w:val="008151D6"/>
    <w:rsid w:val="00821527"/>
    <w:rsid w:val="008216A6"/>
    <w:rsid w:val="00822696"/>
    <w:rsid w:val="00825A6C"/>
    <w:rsid w:val="0082617E"/>
    <w:rsid w:val="008268BB"/>
    <w:rsid w:val="00826F6D"/>
    <w:rsid w:val="008306F3"/>
    <w:rsid w:val="00830E40"/>
    <w:rsid w:val="00832D9A"/>
    <w:rsid w:val="00835C62"/>
    <w:rsid w:val="008368A1"/>
    <w:rsid w:val="00840EF7"/>
    <w:rsid w:val="00844C0A"/>
    <w:rsid w:val="00846056"/>
    <w:rsid w:val="0084681F"/>
    <w:rsid w:val="00847EC0"/>
    <w:rsid w:val="00855FD6"/>
    <w:rsid w:val="00856DDD"/>
    <w:rsid w:val="00861B82"/>
    <w:rsid w:val="00863E68"/>
    <w:rsid w:val="008647B5"/>
    <w:rsid w:val="00867D64"/>
    <w:rsid w:val="0087283E"/>
    <w:rsid w:val="00875DCB"/>
    <w:rsid w:val="0087755A"/>
    <w:rsid w:val="00882085"/>
    <w:rsid w:val="00883188"/>
    <w:rsid w:val="00884A0C"/>
    <w:rsid w:val="00886ACA"/>
    <w:rsid w:val="00886EAA"/>
    <w:rsid w:val="0089031E"/>
    <w:rsid w:val="0089460B"/>
    <w:rsid w:val="00897D58"/>
    <w:rsid w:val="00897F22"/>
    <w:rsid w:val="008A0B39"/>
    <w:rsid w:val="008A17A3"/>
    <w:rsid w:val="008A18FD"/>
    <w:rsid w:val="008A1956"/>
    <w:rsid w:val="008A1E85"/>
    <w:rsid w:val="008A2419"/>
    <w:rsid w:val="008A4937"/>
    <w:rsid w:val="008A50F1"/>
    <w:rsid w:val="008A59D9"/>
    <w:rsid w:val="008A643E"/>
    <w:rsid w:val="008A6819"/>
    <w:rsid w:val="008A71CB"/>
    <w:rsid w:val="008B2EC0"/>
    <w:rsid w:val="008B6DCF"/>
    <w:rsid w:val="008D0945"/>
    <w:rsid w:val="008D1409"/>
    <w:rsid w:val="008D15CC"/>
    <w:rsid w:val="008D1729"/>
    <w:rsid w:val="008D1B5C"/>
    <w:rsid w:val="008D3C82"/>
    <w:rsid w:val="008D4028"/>
    <w:rsid w:val="008D447E"/>
    <w:rsid w:val="008D6ACF"/>
    <w:rsid w:val="008D7A41"/>
    <w:rsid w:val="008E0570"/>
    <w:rsid w:val="008E2C72"/>
    <w:rsid w:val="008E3680"/>
    <w:rsid w:val="008E5870"/>
    <w:rsid w:val="008E77E4"/>
    <w:rsid w:val="008F0213"/>
    <w:rsid w:val="008F07ED"/>
    <w:rsid w:val="008F11F8"/>
    <w:rsid w:val="008F1434"/>
    <w:rsid w:val="008F2BB9"/>
    <w:rsid w:val="008F3D6A"/>
    <w:rsid w:val="008F54C3"/>
    <w:rsid w:val="008F7355"/>
    <w:rsid w:val="009023DC"/>
    <w:rsid w:val="009027C5"/>
    <w:rsid w:val="00904413"/>
    <w:rsid w:val="00905BB7"/>
    <w:rsid w:val="00905C39"/>
    <w:rsid w:val="009067B7"/>
    <w:rsid w:val="0090775A"/>
    <w:rsid w:val="00907DFD"/>
    <w:rsid w:val="00916230"/>
    <w:rsid w:val="00917D69"/>
    <w:rsid w:val="00920B6D"/>
    <w:rsid w:val="00926560"/>
    <w:rsid w:val="00926B15"/>
    <w:rsid w:val="00927E81"/>
    <w:rsid w:val="00930291"/>
    <w:rsid w:val="00930937"/>
    <w:rsid w:val="009324A6"/>
    <w:rsid w:val="00933E6C"/>
    <w:rsid w:val="00935A6E"/>
    <w:rsid w:val="00935BBA"/>
    <w:rsid w:val="00937958"/>
    <w:rsid w:val="009406E5"/>
    <w:rsid w:val="00941602"/>
    <w:rsid w:val="00942160"/>
    <w:rsid w:val="009463A2"/>
    <w:rsid w:val="00946921"/>
    <w:rsid w:val="0095146F"/>
    <w:rsid w:val="00956FA0"/>
    <w:rsid w:val="00957944"/>
    <w:rsid w:val="009602C5"/>
    <w:rsid w:val="00962223"/>
    <w:rsid w:val="0096252B"/>
    <w:rsid w:val="00964A6B"/>
    <w:rsid w:val="00966D0D"/>
    <w:rsid w:val="00967732"/>
    <w:rsid w:val="0096783C"/>
    <w:rsid w:val="009722B3"/>
    <w:rsid w:val="00973E24"/>
    <w:rsid w:val="00974C21"/>
    <w:rsid w:val="00975948"/>
    <w:rsid w:val="00977BF3"/>
    <w:rsid w:val="00977E07"/>
    <w:rsid w:val="009803E4"/>
    <w:rsid w:val="00980B0E"/>
    <w:rsid w:val="009836A3"/>
    <w:rsid w:val="009855A8"/>
    <w:rsid w:val="00985D1A"/>
    <w:rsid w:val="009913F4"/>
    <w:rsid w:val="00991782"/>
    <w:rsid w:val="00991925"/>
    <w:rsid w:val="00992459"/>
    <w:rsid w:val="009937F7"/>
    <w:rsid w:val="0099465B"/>
    <w:rsid w:val="009951A1"/>
    <w:rsid w:val="00997A44"/>
    <w:rsid w:val="00997F29"/>
    <w:rsid w:val="009A0CDD"/>
    <w:rsid w:val="009A2A65"/>
    <w:rsid w:val="009A3168"/>
    <w:rsid w:val="009A5D04"/>
    <w:rsid w:val="009A5EE9"/>
    <w:rsid w:val="009A61CA"/>
    <w:rsid w:val="009B0C64"/>
    <w:rsid w:val="009B0F67"/>
    <w:rsid w:val="009B3F8C"/>
    <w:rsid w:val="009B750F"/>
    <w:rsid w:val="009C5B72"/>
    <w:rsid w:val="009C703C"/>
    <w:rsid w:val="009D206E"/>
    <w:rsid w:val="009D3CAA"/>
    <w:rsid w:val="009D55E2"/>
    <w:rsid w:val="009D6532"/>
    <w:rsid w:val="009D71FD"/>
    <w:rsid w:val="009E0080"/>
    <w:rsid w:val="009E0352"/>
    <w:rsid w:val="009E1EB7"/>
    <w:rsid w:val="009E2588"/>
    <w:rsid w:val="009E2E8E"/>
    <w:rsid w:val="009E40E1"/>
    <w:rsid w:val="009F01BB"/>
    <w:rsid w:val="009F0EFA"/>
    <w:rsid w:val="009F4E46"/>
    <w:rsid w:val="009F521F"/>
    <w:rsid w:val="009F5B65"/>
    <w:rsid w:val="009F5BF9"/>
    <w:rsid w:val="009F5F2E"/>
    <w:rsid w:val="00A01432"/>
    <w:rsid w:val="00A06225"/>
    <w:rsid w:val="00A0658C"/>
    <w:rsid w:val="00A07C4C"/>
    <w:rsid w:val="00A110D1"/>
    <w:rsid w:val="00A12587"/>
    <w:rsid w:val="00A128E6"/>
    <w:rsid w:val="00A1369B"/>
    <w:rsid w:val="00A13941"/>
    <w:rsid w:val="00A144D3"/>
    <w:rsid w:val="00A14C8C"/>
    <w:rsid w:val="00A22AC3"/>
    <w:rsid w:val="00A23F3F"/>
    <w:rsid w:val="00A24067"/>
    <w:rsid w:val="00A24A4B"/>
    <w:rsid w:val="00A24AE7"/>
    <w:rsid w:val="00A2744D"/>
    <w:rsid w:val="00A279CC"/>
    <w:rsid w:val="00A30D16"/>
    <w:rsid w:val="00A34E6C"/>
    <w:rsid w:val="00A34FD0"/>
    <w:rsid w:val="00A36398"/>
    <w:rsid w:val="00A37C8D"/>
    <w:rsid w:val="00A4020E"/>
    <w:rsid w:val="00A40FB5"/>
    <w:rsid w:val="00A42248"/>
    <w:rsid w:val="00A42826"/>
    <w:rsid w:val="00A429B3"/>
    <w:rsid w:val="00A43634"/>
    <w:rsid w:val="00A44EC1"/>
    <w:rsid w:val="00A50569"/>
    <w:rsid w:val="00A510E4"/>
    <w:rsid w:val="00A5273B"/>
    <w:rsid w:val="00A53A9D"/>
    <w:rsid w:val="00A55FEE"/>
    <w:rsid w:val="00A57422"/>
    <w:rsid w:val="00A6172E"/>
    <w:rsid w:val="00A62C1A"/>
    <w:rsid w:val="00A6426D"/>
    <w:rsid w:val="00A665C1"/>
    <w:rsid w:val="00A673A4"/>
    <w:rsid w:val="00A7001A"/>
    <w:rsid w:val="00A70622"/>
    <w:rsid w:val="00A70977"/>
    <w:rsid w:val="00A70D58"/>
    <w:rsid w:val="00A744F9"/>
    <w:rsid w:val="00A77613"/>
    <w:rsid w:val="00A77B87"/>
    <w:rsid w:val="00A81851"/>
    <w:rsid w:val="00A81BE7"/>
    <w:rsid w:val="00A8390C"/>
    <w:rsid w:val="00A85CDE"/>
    <w:rsid w:val="00A86900"/>
    <w:rsid w:val="00A86AE0"/>
    <w:rsid w:val="00A86D27"/>
    <w:rsid w:val="00A91362"/>
    <w:rsid w:val="00A9151C"/>
    <w:rsid w:val="00A919C6"/>
    <w:rsid w:val="00A928BD"/>
    <w:rsid w:val="00A94C72"/>
    <w:rsid w:val="00A96488"/>
    <w:rsid w:val="00A97DE9"/>
    <w:rsid w:val="00AA0D6D"/>
    <w:rsid w:val="00AA12CD"/>
    <w:rsid w:val="00AA4D1C"/>
    <w:rsid w:val="00AA52FD"/>
    <w:rsid w:val="00AA7006"/>
    <w:rsid w:val="00AB5856"/>
    <w:rsid w:val="00AB665C"/>
    <w:rsid w:val="00AC193C"/>
    <w:rsid w:val="00AC30C1"/>
    <w:rsid w:val="00AC3B6F"/>
    <w:rsid w:val="00AC4DE5"/>
    <w:rsid w:val="00AC5206"/>
    <w:rsid w:val="00AD18BC"/>
    <w:rsid w:val="00AD3106"/>
    <w:rsid w:val="00AD4322"/>
    <w:rsid w:val="00AE0F58"/>
    <w:rsid w:val="00AE11A5"/>
    <w:rsid w:val="00AE13E2"/>
    <w:rsid w:val="00AE22D3"/>
    <w:rsid w:val="00AE5A49"/>
    <w:rsid w:val="00AF11D8"/>
    <w:rsid w:val="00AF1650"/>
    <w:rsid w:val="00AF5867"/>
    <w:rsid w:val="00AF62DF"/>
    <w:rsid w:val="00AF68CC"/>
    <w:rsid w:val="00AF70D7"/>
    <w:rsid w:val="00B01FF4"/>
    <w:rsid w:val="00B0326D"/>
    <w:rsid w:val="00B06478"/>
    <w:rsid w:val="00B07533"/>
    <w:rsid w:val="00B07CFB"/>
    <w:rsid w:val="00B07D71"/>
    <w:rsid w:val="00B1059E"/>
    <w:rsid w:val="00B10A28"/>
    <w:rsid w:val="00B14A36"/>
    <w:rsid w:val="00B16273"/>
    <w:rsid w:val="00B170A5"/>
    <w:rsid w:val="00B176C8"/>
    <w:rsid w:val="00B17EE5"/>
    <w:rsid w:val="00B205AA"/>
    <w:rsid w:val="00B22E84"/>
    <w:rsid w:val="00B233AD"/>
    <w:rsid w:val="00B23E25"/>
    <w:rsid w:val="00B25F75"/>
    <w:rsid w:val="00B26B3F"/>
    <w:rsid w:val="00B271B5"/>
    <w:rsid w:val="00B2778F"/>
    <w:rsid w:val="00B327E2"/>
    <w:rsid w:val="00B33635"/>
    <w:rsid w:val="00B35648"/>
    <w:rsid w:val="00B42AF4"/>
    <w:rsid w:val="00B43E5D"/>
    <w:rsid w:val="00B43E90"/>
    <w:rsid w:val="00B467DC"/>
    <w:rsid w:val="00B5392A"/>
    <w:rsid w:val="00B5396C"/>
    <w:rsid w:val="00B54C17"/>
    <w:rsid w:val="00B56118"/>
    <w:rsid w:val="00B566E1"/>
    <w:rsid w:val="00B61A0C"/>
    <w:rsid w:val="00B62C58"/>
    <w:rsid w:val="00B66F2D"/>
    <w:rsid w:val="00B6773F"/>
    <w:rsid w:val="00B70EB3"/>
    <w:rsid w:val="00B714C8"/>
    <w:rsid w:val="00B72869"/>
    <w:rsid w:val="00B72906"/>
    <w:rsid w:val="00B7525E"/>
    <w:rsid w:val="00B760FB"/>
    <w:rsid w:val="00B767AB"/>
    <w:rsid w:val="00B801BA"/>
    <w:rsid w:val="00B80900"/>
    <w:rsid w:val="00B812D6"/>
    <w:rsid w:val="00B84D5C"/>
    <w:rsid w:val="00B85AF6"/>
    <w:rsid w:val="00B956ED"/>
    <w:rsid w:val="00BA2DA8"/>
    <w:rsid w:val="00BA347C"/>
    <w:rsid w:val="00BA5ADD"/>
    <w:rsid w:val="00BB060F"/>
    <w:rsid w:val="00BB3469"/>
    <w:rsid w:val="00BB5C49"/>
    <w:rsid w:val="00BB6240"/>
    <w:rsid w:val="00BB6285"/>
    <w:rsid w:val="00BB69F5"/>
    <w:rsid w:val="00BB7EC3"/>
    <w:rsid w:val="00BC339F"/>
    <w:rsid w:val="00BC470E"/>
    <w:rsid w:val="00BC4B9A"/>
    <w:rsid w:val="00BD02C3"/>
    <w:rsid w:val="00BD3E47"/>
    <w:rsid w:val="00BD7483"/>
    <w:rsid w:val="00BD784C"/>
    <w:rsid w:val="00BE020A"/>
    <w:rsid w:val="00BE13DF"/>
    <w:rsid w:val="00BE25D7"/>
    <w:rsid w:val="00BF092C"/>
    <w:rsid w:val="00BF27A0"/>
    <w:rsid w:val="00BF3D06"/>
    <w:rsid w:val="00BF4CB6"/>
    <w:rsid w:val="00C00DA7"/>
    <w:rsid w:val="00C04CDE"/>
    <w:rsid w:val="00C068A6"/>
    <w:rsid w:val="00C07E24"/>
    <w:rsid w:val="00C1228C"/>
    <w:rsid w:val="00C12768"/>
    <w:rsid w:val="00C12D70"/>
    <w:rsid w:val="00C13DDC"/>
    <w:rsid w:val="00C16724"/>
    <w:rsid w:val="00C21B09"/>
    <w:rsid w:val="00C21B16"/>
    <w:rsid w:val="00C22726"/>
    <w:rsid w:val="00C2673A"/>
    <w:rsid w:val="00C27B58"/>
    <w:rsid w:val="00C31E13"/>
    <w:rsid w:val="00C33186"/>
    <w:rsid w:val="00C34897"/>
    <w:rsid w:val="00C35996"/>
    <w:rsid w:val="00C4692A"/>
    <w:rsid w:val="00C4747E"/>
    <w:rsid w:val="00C512EE"/>
    <w:rsid w:val="00C5151E"/>
    <w:rsid w:val="00C5342C"/>
    <w:rsid w:val="00C53AD1"/>
    <w:rsid w:val="00C53B2B"/>
    <w:rsid w:val="00C53C8E"/>
    <w:rsid w:val="00C57465"/>
    <w:rsid w:val="00C60272"/>
    <w:rsid w:val="00C603D4"/>
    <w:rsid w:val="00C6256A"/>
    <w:rsid w:val="00C64EBC"/>
    <w:rsid w:val="00C664D2"/>
    <w:rsid w:val="00C67FE2"/>
    <w:rsid w:val="00C710E2"/>
    <w:rsid w:val="00C71C3F"/>
    <w:rsid w:val="00C7409E"/>
    <w:rsid w:val="00C74D6D"/>
    <w:rsid w:val="00C75716"/>
    <w:rsid w:val="00C76657"/>
    <w:rsid w:val="00C76E76"/>
    <w:rsid w:val="00C77891"/>
    <w:rsid w:val="00C829A9"/>
    <w:rsid w:val="00C86095"/>
    <w:rsid w:val="00C876C2"/>
    <w:rsid w:val="00C87B80"/>
    <w:rsid w:val="00C87FC6"/>
    <w:rsid w:val="00C904A3"/>
    <w:rsid w:val="00C91449"/>
    <w:rsid w:val="00C92D10"/>
    <w:rsid w:val="00CA3354"/>
    <w:rsid w:val="00CA48D9"/>
    <w:rsid w:val="00CB1193"/>
    <w:rsid w:val="00CB4767"/>
    <w:rsid w:val="00CB493D"/>
    <w:rsid w:val="00CB5BCB"/>
    <w:rsid w:val="00CC3B97"/>
    <w:rsid w:val="00CC3CA3"/>
    <w:rsid w:val="00CD0AC7"/>
    <w:rsid w:val="00CD1CE0"/>
    <w:rsid w:val="00CD585E"/>
    <w:rsid w:val="00CD7C0B"/>
    <w:rsid w:val="00CE10C4"/>
    <w:rsid w:val="00CE166B"/>
    <w:rsid w:val="00CE27B5"/>
    <w:rsid w:val="00CE4CD9"/>
    <w:rsid w:val="00CE6084"/>
    <w:rsid w:val="00CE6DAF"/>
    <w:rsid w:val="00CF066B"/>
    <w:rsid w:val="00CF3C93"/>
    <w:rsid w:val="00CF410A"/>
    <w:rsid w:val="00D00C21"/>
    <w:rsid w:val="00D027A0"/>
    <w:rsid w:val="00D0321E"/>
    <w:rsid w:val="00D069EB"/>
    <w:rsid w:val="00D07A8A"/>
    <w:rsid w:val="00D10801"/>
    <w:rsid w:val="00D11199"/>
    <w:rsid w:val="00D11AAD"/>
    <w:rsid w:val="00D1455A"/>
    <w:rsid w:val="00D14A70"/>
    <w:rsid w:val="00D16860"/>
    <w:rsid w:val="00D2169D"/>
    <w:rsid w:val="00D22093"/>
    <w:rsid w:val="00D238AE"/>
    <w:rsid w:val="00D27AE3"/>
    <w:rsid w:val="00D3060C"/>
    <w:rsid w:val="00D31150"/>
    <w:rsid w:val="00D3138B"/>
    <w:rsid w:val="00D31FCE"/>
    <w:rsid w:val="00D32243"/>
    <w:rsid w:val="00D3280C"/>
    <w:rsid w:val="00D3297F"/>
    <w:rsid w:val="00D34011"/>
    <w:rsid w:val="00D3406A"/>
    <w:rsid w:val="00D40B11"/>
    <w:rsid w:val="00D41AF3"/>
    <w:rsid w:val="00D429EC"/>
    <w:rsid w:val="00D42D5C"/>
    <w:rsid w:val="00D43F05"/>
    <w:rsid w:val="00D441F1"/>
    <w:rsid w:val="00D4572C"/>
    <w:rsid w:val="00D469B2"/>
    <w:rsid w:val="00D54B09"/>
    <w:rsid w:val="00D6243E"/>
    <w:rsid w:val="00D65658"/>
    <w:rsid w:val="00D67EB2"/>
    <w:rsid w:val="00D72542"/>
    <w:rsid w:val="00D72B6F"/>
    <w:rsid w:val="00D733AE"/>
    <w:rsid w:val="00D741EB"/>
    <w:rsid w:val="00D7679C"/>
    <w:rsid w:val="00D820F3"/>
    <w:rsid w:val="00D83605"/>
    <w:rsid w:val="00D84934"/>
    <w:rsid w:val="00D866EB"/>
    <w:rsid w:val="00D87D1A"/>
    <w:rsid w:val="00D91271"/>
    <w:rsid w:val="00D919F5"/>
    <w:rsid w:val="00D945F6"/>
    <w:rsid w:val="00D94F03"/>
    <w:rsid w:val="00D95161"/>
    <w:rsid w:val="00DA0A82"/>
    <w:rsid w:val="00DA0D14"/>
    <w:rsid w:val="00DA1FC9"/>
    <w:rsid w:val="00DA2CB5"/>
    <w:rsid w:val="00DA4BAC"/>
    <w:rsid w:val="00DB0151"/>
    <w:rsid w:val="00DB50E1"/>
    <w:rsid w:val="00DB79CD"/>
    <w:rsid w:val="00DC0566"/>
    <w:rsid w:val="00DC06F3"/>
    <w:rsid w:val="00DC0DEE"/>
    <w:rsid w:val="00DC1499"/>
    <w:rsid w:val="00DC2C3E"/>
    <w:rsid w:val="00DC3137"/>
    <w:rsid w:val="00DC4880"/>
    <w:rsid w:val="00DC7BCD"/>
    <w:rsid w:val="00DD42AB"/>
    <w:rsid w:val="00DD798E"/>
    <w:rsid w:val="00DE06AF"/>
    <w:rsid w:val="00DE40AA"/>
    <w:rsid w:val="00DE6D27"/>
    <w:rsid w:val="00DF01F8"/>
    <w:rsid w:val="00DF021D"/>
    <w:rsid w:val="00DF217D"/>
    <w:rsid w:val="00DF26A7"/>
    <w:rsid w:val="00DF3277"/>
    <w:rsid w:val="00DF77A1"/>
    <w:rsid w:val="00DF7919"/>
    <w:rsid w:val="00DF7CF2"/>
    <w:rsid w:val="00E0207E"/>
    <w:rsid w:val="00E02AE6"/>
    <w:rsid w:val="00E03912"/>
    <w:rsid w:val="00E04748"/>
    <w:rsid w:val="00E078D9"/>
    <w:rsid w:val="00E10293"/>
    <w:rsid w:val="00E103A0"/>
    <w:rsid w:val="00E1195D"/>
    <w:rsid w:val="00E13E60"/>
    <w:rsid w:val="00E1545C"/>
    <w:rsid w:val="00E15627"/>
    <w:rsid w:val="00E164B3"/>
    <w:rsid w:val="00E16910"/>
    <w:rsid w:val="00E16C00"/>
    <w:rsid w:val="00E239E2"/>
    <w:rsid w:val="00E24E09"/>
    <w:rsid w:val="00E27234"/>
    <w:rsid w:val="00E27931"/>
    <w:rsid w:val="00E32D77"/>
    <w:rsid w:val="00E33511"/>
    <w:rsid w:val="00E3495C"/>
    <w:rsid w:val="00E37CC7"/>
    <w:rsid w:val="00E41E5C"/>
    <w:rsid w:val="00E42BDB"/>
    <w:rsid w:val="00E46CD0"/>
    <w:rsid w:val="00E54241"/>
    <w:rsid w:val="00E5726D"/>
    <w:rsid w:val="00E57EEB"/>
    <w:rsid w:val="00E62D94"/>
    <w:rsid w:val="00E64F37"/>
    <w:rsid w:val="00E65091"/>
    <w:rsid w:val="00E65E54"/>
    <w:rsid w:val="00E661C7"/>
    <w:rsid w:val="00E678D5"/>
    <w:rsid w:val="00E74E41"/>
    <w:rsid w:val="00E75F56"/>
    <w:rsid w:val="00E80155"/>
    <w:rsid w:val="00E8134B"/>
    <w:rsid w:val="00E81E0D"/>
    <w:rsid w:val="00E81F28"/>
    <w:rsid w:val="00E8404B"/>
    <w:rsid w:val="00E848C0"/>
    <w:rsid w:val="00E91B96"/>
    <w:rsid w:val="00E935DA"/>
    <w:rsid w:val="00E93D1E"/>
    <w:rsid w:val="00E941A1"/>
    <w:rsid w:val="00E95CE3"/>
    <w:rsid w:val="00EA0856"/>
    <w:rsid w:val="00EA252F"/>
    <w:rsid w:val="00EA2825"/>
    <w:rsid w:val="00EA6518"/>
    <w:rsid w:val="00EA71A2"/>
    <w:rsid w:val="00EA7289"/>
    <w:rsid w:val="00EA7466"/>
    <w:rsid w:val="00EA7EDE"/>
    <w:rsid w:val="00EB0B63"/>
    <w:rsid w:val="00EB1936"/>
    <w:rsid w:val="00EB3545"/>
    <w:rsid w:val="00EB37BE"/>
    <w:rsid w:val="00EB4D8E"/>
    <w:rsid w:val="00EB5088"/>
    <w:rsid w:val="00EB731F"/>
    <w:rsid w:val="00EB7B92"/>
    <w:rsid w:val="00EC1491"/>
    <w:rsid w:val="00EC2726"/>
    <w:rsid w:val="00ED1644"/>
    <w:rsid w:val="00ED2593"/>
    <w:rsid w:val="00ED7D55"/>
    <w:rsid w:val="00ED7D9C"/>
    <w:rsid w:val="00EE31A2"/>
    <w:rsid w:val="00EF0069"/>
    <w:rsid w:val="00EF44A0"/>
    <w:rsid w:val="00EF4580"/>
    <w:rsid w:val="00EF4FED"/>
    <w:rsid w:val="00EF5F45"/>
    <w:rsid w:val="00EF6843"/>
    <w:rsid w:val="00EF6FB3"/>
    <w:rsid w:val="00F007C6"/>
    <w:rsid w:val="00F0172E"/>
    <w:rsid w:val="00F050BD"/>
    <w:rsid w:val="00F05657"/>
    <w:rsid w:val="00F05AB0"/>
    <w:rsid w:val="00F1559A"/>
    <w:rsid w:val="00F17ED6"/>
    <w:rsid w:val="00F20198"/>
    <w:rsid w:val="00F20676"/>
    <w:rsid w:val="00F209E2"/>
    <w:rsid w:val="00F21945"/>
    <w:rsid w:val="00F25578"/>
    <w:rsid w:val="00F25863"/>
    <w:rsid w:val="00F258E5"/>
    <w:rsid w:val="00F25B9C"/>
    <w:rsid w:val="00F26186"/>
    <w:rsid w:val="00F2675A"/>
    <w:rsid w:val="00F26CC6"/>
    <w:rsid w:val="00F2717D"/>
    <w:rsid w:val="00F300BC"/>
    <w:rsid w:val="00F3048D"/>
    <w:rsid w:val="00F3263C"/>
    <w:rsid w:val="00F3334E"/>
    <w:rsid w:val="00F363EE"/>
    <w:rsid w:val="00F36CCB"/>
    <w:rsid w:val="00F374E5"/>
    <w:rsid w:val="00F37B93"/>
    <w:rsid w:val="00F37BAD"/>
    <w:rsid w:val="00F37ECA"/>
    <w:rsid w:val="00F40A1C"/>
    <w:rsid w:val="00F43AF2"/>
    <w:rsid w:val="00F45216"/>
    <w:rsid w:val="00F5007E"/>
    <w:rsid w:val="00F50EC4"/>
    <w:rsid w:val="00F518DA"/>
    <w:rsid w:val="00F52232"/>
    <w:rsid w:val="00F52DC2"/>
    <w:rsid w:val="00F550CF"/>
    <w:rsid w:val="00F553D2"/>
    <w:rsid w:val="00F573A7"/>
    <w:rsid w:val="00F57A6D"/>
    <w:rsid w:val="00F627C7"/>
    <w:rsid w:val="00F62F19"/>
    <w:rsid w:val="00F638CC"/>
    <w:rsid w:val="00F64C9E"/>
    <w:rsid w:val="00F64CC1"/>
    <w:rsid w:val="00F65602"/>
    <w:rsid w:val="00F72317"/>
    <w:rsid w:val="00F73DC1"/>
    <w:rsid w:val="00F7499A"/>
    <w:rsid w:val="00F75BB8"/>
    <w:rsid w:val="00F80475"/>
    <w:rsid w:val="00F80C6D"/>
    <w:rsid w:val="00F81390"/>
    <w:rsid w:val="00F81F7A"/>
    <w:rsid w:val="00F8247A"/>
    <w:rsid w:val="00F82ABD"/>
    <w:rsid w:val="00F82E5C"/>
    <w:rsid w:val="00F83F58"/>
    <w:rsid w:val="00F87CEA"/>
    <w:rsid w:val="00F92F97"/>
    <w:rsid w:val="00F9612E"/>
    <w:rsid w:val="00F9629A"/>
    <w:rsid w:val="00F97C0A"/>
    <w:rsid w:val="00F97EFC"/>
    <w:rsid w:val="00FA0C7C"/>
    <w:rsid w:val="00FA1BDD"/>
    <w:rsid w:val="00FA213B"/>
    <w:rsid w:val="00FA305C"/>
    <w:rsid w:val="00FA306E"/>
    <w:rsid w:val="00FA3C24"/>
    <w:rsid w:val="00FA462E"/>
    <w:rsid w:val="00FA4DD5"/>
    <w:rsid w:val="00FA5883"/>
    <w:rsid w:val="00FA6055"/>
    <w:rsid w:val="00FB0B39"/>
    <w:rsid w:val="00FB322F"/>
    <w:rsid w:val="00FB442F"/>
    <w:rsid w:val="00FC118C"/>
    <w:rsid w:val="00FC1929"/>
    <w:rsid w:val="00FC1CE1"/>
    <w:rsid w:val="00FC45A7"/>
    <w:rsid w:val="00FC5B46"/>
    <w:rsid w:val="00FD01EA"/>
    <w:rsid w:val="00FD1D4F"/>
    <w:rsid w:val="00FD24BF"/>
    <w:rsid w:val="00FD3B6E"/>
    <w:rsid w:val="00FD57EB"/>
    <w:rsid w:val="00FD6D8E"/>
    <w:rsid w:val="00FE0663"/>
    <w:rsid w:val="00FE0E94"/>
    <w:rsid w:val="00FE369C"/>
    <w:rsid w:val="00FE3CD9"/>
    <w:rsid w:val="00FE3DA0"/>
    <w:rsid w:val="00FF00BD"/>
    <w:rsid w:val="00FF0B13"/>
    <w:rsid w:val="00FF1ED4"/>
    <w:rsid w:val="00FF2801"/>
    <w:rsid w:val="012A7082"/>
    <w:rsid w:val="0143FC8B"/>
    <w:rsid w:val="01BAC867"/>
    <w:rsid w:val="0254441C"/>
    <w:rsid w:val="02E816C3"/>
    <w:rsid w:val="032394EB"/>
    <w:rsid w:val="033B2F40"/>
    <w:rsid w:val="04A12F4E"/>
    <w:rsid w:val="04DBE9EA"/>
    <w:rsid w:val="05182518"/>
    <w:rsid w:val="051D99F9"/>
    <w:rsid w:val="05B612E3"/>
    <w:rsid w:val="0605216C"/>
    <w:rsid w:val="063EE9F7"/>
    <w:rsid w:val="069F379E"/>
    <w:rsid w:val="08185FB9"/>
    <w:rsid w:val="082A09EB"/>
    <w:rsid w:val="0A0C7AE1"/>
    <w:rsid w:val="0A663D94"/>
    <w:rsid w:val="0B1BF5E7"/>
    <w:rsid w:val="0CF130DF"/>
    <w:rsid w:val="0CFE1DFD"/>
    <w:rsid w:val="0D4FC7CF"/>
    <w:rsid w:val="0DC4E36E"/>
    <w:rsid w:val="0E5E506F"/>
    <w:rsid w:val="0F5CF529"/>
    <w:rsid w:val="0FC31246"/>
    <w:rsid w:val="1023E0F9"/>
    <w:rsid w:val="1272477B"/>
    <w:rsid w:val="12B95C68"/>
    <w:rsid w:val="15107A79"/>
    <w:rsid w:val="1559BAC6"/>
    <w:rsid w:val="162998A6"/>
    <w:rsid w:val="17FD5F39"/>
    <w:rsid w:val="18657CF4"/>
    <w:rsid w:val="19B44400"/>
    <w:rsid w:val="19F2311B"/>
    <w:rsid w:val="1A0D3C6A"/>
    <w:rsid w:val="1A2D1BE7"/>
    <w:rsid w:val="1A8A0C43"/>
    <w:rsid w:val="1B0BFFE7"/>
    <w:rsid w:val="1B4DABE9"/>
    <w:rsid w:val="1D4E7C25"/>
    <w:rsid w:val="1D6033D6"/>
    <w:rsid w:val="1DDBDA0D"/>
    <w:rsid w:val="1E382E8C"/>
    <w:rsid w:val="1E938E64"/>
    <w:rsid w:val="1F3EECBD"/>
    <w:rsid w:val="1FB6E350"/>
    <w:rsid w:val="1FF3162D"/>
    <w:rsid w:val="2009EB8A"/>
    <w:rsid w:val="210F5AF1"/>
    <w:rsid w:val="212CBC64"/>
    <w:rsid w:val="231C3354"/>
    <w:rsid w:val="238CC620"/>
    <w:rsid w:val="244B8CF8"/>
    <w:rsid w:val="24C0A041"/>
    <w:rsid w:val="24CA5046"/>
    <w:rsid w:val="24F49182"/>
    <w:rsid w:val="26615FE7"/>
    <w:rsid w:val="2678B15D"/>
    <w:rsid w:val="27394882"/>
    <w:rsid w:val="29365BD7"/>
    <w:rsid w:val="29882150"/>
    <w:rsid w:val="29E0E709"/>
    <w:rsid w:val="2AA490C3"/>
    <w:rsid w:val="2C4C1D68"/>
    <w:rsid w:val="2C7C3DFB"/>
    <w:rsid w:val="2D470254"/>
    <w:rsid w:val="2E4579D6"/>
    <w:rsid w:val="2EF0545B"/>
    <w:rsid w:val="2FC97F8A"/>
    <w:rsid w:val="300EDF22"/>
    <w:rsid w:val="3079EB0D"/>
    <w:rsid w:val="307D714D"/>
    <w:rsid w:val="3093AC95"/>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BA095AD"/>
    <w:rsid w:val="40771079"/>
    <w:rsid w:val="40930EF5"/>
    <w:rsid w:val="4110CDB4"/>
    <w:rsid w:val="42691D0F"/>
    <w:rsid w:val="4372D6C2"/>
    <w:rsid w:val="443448FB"/>
    <w:rsid w:val="44505BFC"/>
    <w:rsid w:val="450F5A46"/>
    <w:rsid w:val="456C4AA2"/>
    <w:rsid w:val="4641A0D0"/>
    <w:rsid w:val="4873567A"/>
    <w:rsid w:val="48F582C0"/>
    <w:rsid w:val="49B7B512"/>
    <w:rsid w:val="4AE86C22"/>
    <w:rsid w:val="4D21EA56"/>
    <w:rsid w:val="4DA14906"/>
    <w:rsid w:val="4DD74500"/>
    <w:rsid w:val="4EE3854C"/>
    <w:rsid w:val="4F28A562"/>
    <w:rsid w:val="5057B658"/>
    <w:rsid w:val="517C50E5"/>
    <w:rsid w:val="51A107A9"/>
    <w:rsid w:val="53229BC9"/>
    <w:rsid w:val="53B39A2E"/>
    <w:rsid w:val="54C17BA2"/>
    <w:rsid w:val="553311EF"/>
    <w:rsid w:val="55ACD1A0"/>
    <w:rsid w:val="56AFA43F"/>
    <w:rsid w:val="58963761"/>
    <w:rsid w:val="593F501C"/>
    <w:rsid w:val="5A05D725"/>
    <w:rsid w:val="5B9D8C93"/>
    <w:rsid w:val="5CB076C8"/>
    <w:rsid w:val="5D5832E9"/>
    <w:rsid w:val="5D80A09E"/>
    <w:rsid w:val="5DF2A876"/>
    <w:rsid w:val="5EBDDC85"/>
    <w:rsid w:val="5F8C18FC"/>
    <w:rsid w:val="600E03FD"/>
    <w:rsid w:val="62AD93BA"/>
    <w:rsid w:val="63555756"/>
    <w:rsid w:val="644E444D"/>
    <w:rsid w:val="65573E26"/>
    <w:rsid w:val="65AD35BA"/>
    <w:rsid w:val="65C2D45A"/>
    <w:rsid w:val="6657D135"/>
    <w:rsid w:val="66D9E62A"/>
    <w:rsid w:val="6728F4B3"/>
    <w:rsid w:val="673BE400"/>
    <w:rsid w:val="67B6BAF7"/>
    <w:rsid w:val="68E0347C"/>
    <w:rsid w:val="699B3EBB"/>
    <w:rsid w:val="6A2AAF49"/>
    <w:rsid w:val="6BAD574D"/>
    <w:rsid w:val="6CA77350"/>
    <w:rsid w:val="709A626A"/>
    <w:rsid w:val="716D6D8F"/>
    <w:rsid w:val="731BA24E"/>
    <w:rsid w:val="73E7CF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B3E0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9"/>
    <w:lsdException w:name="heading 2" w:uiPriority="9"/>
    <w:lsdException w:name="heading 3" w:semiHidden="1" w:uiPriority="9" w:unhideWhenUsed="1"/>
    <w:lsdException w:name="heading 4" w:semiHidden="1" w:uiPriority="9" w:unhideWhenUsed="1"/>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5F61"/>
    <w:pPr>
      <w:jc w:val="both"/>
    </w:pPr>
    <w:rPr>
      <w:rFonts w:ascii="Calibri" w:hAnsi="Calibri"/>
      <w:sz w:val="24"/>
      <w:szCs w:val="24"/>
    </w:rPr>
  </w:style>
  <w:style w:type="paragraph" w:styleId="Heading1">
    <w:name w:val="heading 1"/>
    <w:next w:val="Normal"/>
    <w:link w:val="Heading1Char"/>
    <w:uiPriority w:val="9"/>
    <w:unhideWhenUsed/>
    <w:rsid w:val="00240165"/>
    <w:pPr>
      <w:keepNext/>
      <w:keepLines/>
      <w:spacing w:before="400" w:after="40"/>
      <w:outlineLvl w:val="0"/>
    </w:pPr>
    <w:rPr>
      <w:rFonts w:asciiTheme="majorHAnsi" w:eastAsiaTheme="majorEastAsia" w:hAnsiTheme="majorHAnsi" w:cstheme="majorBidi"/>
      <w:color w:val="244061" w:themeColor="accent1" w:themeShade="80"/>
      <w:sz w:val="36"/>
      <w:szCs w:val="36"/>
      <w:lang w:eastAsia="en-US"/>
    </w:rPr>
  </w:style>
  <w:style w:type="paragraph" w:styleId="Heading2">
    <w:name w:val="heading 2"/>
    <w:basedOn w:val="Normal"/>
    <w:next w:val="Normal"/>
    <w:link w:val="Heading2Char"/>
    <w:uiPriority w:val="9"/>
    <w:unhideWhenUsed/>
    <w:rsid w:val="00240165"/>
    <w:pPr>
      <w:keepNext/>
      <w:keepLines/>
      <w:spacing w:before="40"/>
      <w:jc w:val="left"/>
      <w:outlineLvl w:val="1"/>
    </w:pPr>
    <w:rPr>
      <w:rFonts w:asciiTheme="majorHAnsi" w:eastAsiaTheme="majorEastAsia" w:hAnsiTheme="majorHAnsi" w:cstheme="majorBidi"/>
      <w:color w:val="365F91" w:themeColor="accent1" w:themeShade="BF"/>
      <w:sz w:val="32"/>
      <w:szCs w:val="32"/>
      <w:lang w:eastAsia="en-US"/>
    </w:rPr>
  </w:style>
  <w:style w:type="paragraph" w:styleId="Heading3">
    <w:name w:val="heading 3"/>
    <w:basedOn w:val="Normal"/>
    <w:next w:val="Normal"/>
    <w:link w:val="Heading3Char"/>
    <w:uiPriority w:val="9"/>
    <w:unhideWhenUsed/>
    <w:rsid w:val="00240165"/>
    <w:pPr>
      <w:keepNext/>
      <w:keepLines/>
      <w:spacing w:before="40"/>
      <w:jc w:val="left"/>
      <w:outlineLvl w:val="2"/>
    </w:pPr>
    <w:rPr>
      <w:rFonts w:asciiTheme="majorHAnsi" w:eastAsiaTheme="majorEastAsia" w:hAnsiTheme="majorHAnsi" w:cstheme="majorBidi"/>
      <w:color w:val="365F91" w:themeColor="accent1" w:themeShade="BF"/>
      <w:sz w:val="28"/>
      <w:szCs w:val="28"/>
      <w:lang w:eastAsia="en-US"/>
    </w:rPr>
  </w:style>
  <w:style w:type="paragraph" w:styleId="Heading5">
    <w:name w:val="heading 5"/>
    <w:basedOn w:val="Normal"/>
    <w:next w:val="Normal"/>
    <w:link w:val="Heading5Char"/>
    <w:uiPriority w:val="9"/>
    <w:unhideWhenUsed/>
    <w:rsid w:val="00240165"/>
    <w:pPr>
      <w:keepNext/>
      <w:keepLines/>
      <w:spacing w:before="40" w:line="259" w:lineRule="auto"/>
      <w:jc w:val="left"/>
      <w:outlineLvl w:val="4"/>
    </w:pPr>
    <w:rPr>
      <w:rFonts w:asciiTheme="majorHAnsi" w:eastAsiaTheme="majorEastAsia" w:hAnsiTheme="majorHAnsi" w:cstheme="majorBidi"/>
      <w:caps/>
      <w:color w:val="365F91" w:themeColor="accent1" w:themeShade="BF"/>
      <w:sz w:val="22"/>
      <w:szCs w:val="22"/>
      <w:lang w:eastAsia="en-US"/>
    </w:rPr>
  </w:style>
  <w:style w:type="paragraph" w:styleId="Heading6">
    <w:name w:val="heading 6"/>
    <w:basedOn w:val="Normal"/>
    <w:next w:val="Normal"/>
    <w:link w:val="Heading6Char"/>
    <w:uiPriority w:val="9"/>
    <w:unhideWhenUsed/>
    <w:rsid w:val="00240165"/>
    <w:pPr>
      <w:keepNext/>
      <w:keepLines/>
      <w:spacing w:before="40" w:line="259" w:lineRule="auto"/>
      <w:jc w:val="left"/>
      <w:outlineLvl w:val="5"/>
    </w:pPr>
    <w:rPr>
      <w:rFonts w:asciiTheme="majorHAnsi" w:eastAsiaTheme="majorEastAsia" w:hAnsiTheme="majorHAnsi" w:cstheme="majorBidi"/>
      <w:i/>
      <w:iCs/>
      <w:caps/>
      <w:color w:val="244061" w:themeColor="accent1" w:themeShade="8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Text Bullet Points,BulletPoints,Numbered para,List Paragraph1,Bullet point,List Paragraph11,Recommendation,Section heading,Footnote,Styl moj,Akapit z listą11,ES Paragraph,PBAC ES Paragraph,PBAC normal points,Bullet List"/>
    <w:next w:val="Normal"/>
    <w:link w:val="ListParagraphChar"/>
    <w:uiPriority w:val="34"/>
    <w:qFormat/>
    <w:rsid w:val="006C5B33"/>
    <w:pPr>
      <w:spacing w:after="120"/>
    </w:pPr>
    <w:rPr>
      <w:rFonts w:asciiTheme="minorHAnsi" w:hAnsiTheme="minorHAnsi" w:cs="Arial"/>
      <w:snapToGrid w:val="0"/>
      <w:sz w:val="24"/>
      <w:szCs w:val="24"/>
    </w:rPr>
  </w:style>
  <w:style w:type="character" w:customStyle="1" w:styleId="ListParagraphChar">
    <w:name w:val="List Paragraph Char"/>
    <w:aliases w:val="Body Text Bullet Points Char,BulletPoints Char,Numbered para Char,List Paragraph1 Char,Bullet point Char,List Paragraph11 Char,Recommendation Char,Section heading Char,Footnote Char,Styl moj Char,Akapit z listą11 Char"/>
    <w:basedOn w:val="DefaultParagraphFont"/>
    <w:link w:val="ListParagraph"/>
    <w:uiPriority w:val="34"/>
    <w:qFormat/>
    <w:rsid w:val="00C87FC6"/>
    <w:rPr>
      <w:rFonts w:asciiTheme="minorHAnsi" w:hAnsiTheme="minorHAnsi" w:cs="Arial"/>
      <w:snapToGrid w:val="0"/>
      <w:sz w:val="24"/>
      <w:szCs w:val="24"/>
    </w:rPr>
  </w:style>
  <w:style w:type="character" w:customStyle="1" w:styleId="Heading1Char">
    <w:name w:val="Heading 1 Char"/>
    <w:basedOn w:val="DefaultParagraphFont"/>
    <w:link w:val="Heading1"/>
    <w:uiPriority w:val="9"/>
    <w:rsid w:val="00240165"/>
    <w:rPr>
      <w:rFonts w:asciiTheme="majorHAnsi" w:eastAsiaTheme="majorEastAsia" w:hAnsiTheme="majorHAnsi" w:cstheme="majorBidi"/>
      <w:color w:val="244061" w:themeColor="accent1" w:themeShade="80"/>
      <w:sz w:val="36"/>
      <w:szCs w:val="36"/>
      <w:lang w:eastAsia="en-US"/>
    </w:rPr>
  </w:style>
  <w:style w:type="character" w:customStyle="1" w:styleId="Heading2Char">
    <w:name w:val="Heading 2 Char"/>
    <w:basedOn w:val="DefaultParagraphFont"/>
    <w:link w:val="Heading2"/>
    <w:uiPriority w:val="9"/>
    <w:rsid w:val="00240165"/>
    <w:rPr>
      <w:rFonts w:asciiTheme="majorHAnsi" w:eastAsiaTheme="majorEastAsia" w:hAnsiTheme="majorHAnsi" w:cstheme="majorBidi"/>
      <w:color w:val="365F91" w:themeColor="accent1" w:themeShade="BF"/>
      <w:sz w:val="32"/>
      <w:szCs w:val="32"/>
      <w:lang w:eastAsia="en-US"/>
    </w:rPr>
  </w:style>
  <w:style w:type="character" w:customStyle="1" w:styleId="Heading3Char">
    <w:name w:val="Heading 3 Char"/>
    <w:basedOn w:val="DefaultParagraphFont"/>
    <w:link w:val="Heading3"/>
    <w:uiPriority w:val="9"/>
    <w:rsid w:val="00240165"/>
    <w:rPr>
      <w:rFonts w:asciiTheme="majorHAnsi" w:eastAsiaTheme="majorEastAsia" w:hAnsiTheme="majorHAnsi" w:cstheme="majorBidi"/>
      <w:color w:val="365F91" w:themeColor="accent1" w:themeShade="BF"/>
      <w:sz w:val="28"/>
      <w:szCs w:val="28"/>
      <w:lang w:eastAsia="en-US"/>
    </w:rPr>
  </w:style>
  <w:style w:type="paragraph" w:styleId="BalloonText">
    <w:name w:val="Balloon Text"/>
    <w:basedOn w:val="Normal"/>
    <w:semiHidden/>
    <w:rPr>
      <w:rFonts w:ascii="Tahoma" w:hAnsi="Tahoma" w:cs="Tahoma"/>
      <w:sz w:val="16"/>
      <w:szCs w:val="16"/>
    </w:rPr>
  </w:style>
  <w:style w:type="table" w:styleId="TableGrid">
    <w:name w:val="Table Grid"/>
    <w:aliases w:val="Summary box,Table Gridbeth,CMA Table Template,ASD Table,PBAC table,new style,MSD 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link w:val="TableTextChar"/>
    <w:qFormat/>
    <w:rsid w:val="00D3297F"/>
    <w:pPr>
      <w:keepNext/>
    </w:pPr>
    <w:rPr>
      <w:rFonts w:ascii="Arial Narrow" w:eastAsiaTheme="majorEastAsia" w:hAnsi="Arial Narrow" w:cstheme="majorBidi"/>
      <w:bCs/>
      <w:szCs w:val="24"/>
    </w:rPr>
  </w:style>
  <w:style w:type="character" w:customStyle="1" w:styleId="TableTextChar">
    <w:name w:val="Table Text Char"/>
    <w:basedOn w:val="DefaultParagraphFont"/>
    <w:link w:val="TableText"/>
    <w:rsid w:val="00D3297F"/>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customStyle="1" w:styleId="In-tableHeading">
    <w:name w:val="In-table Heading"/>
    <w:qFormat/>
    <w:rsid w:val="006C5B33"/>
    <w:pPr>
      <w:keepNext/>
    </w:pPr>
    <w:rPr>
      <w:rFonts w:ascii="Arial Narrow" w:eastAsiaTheme="majorEastAsia" w:hAnsi="Arial Narrow"/>
      <w:b/>
      <w:szCs w:val="24"/>
      <w:lang w:val="en-US"/>
    </w:rPr>
  </w:style>
  <w:style w:type="paragraph" w:customStyle="1" w:styleId="2-SectionHeading">
    <w:name w:val="2-Section Heading"/>
    <w:qFormat/>
    <w:rsid w:val="006C5B33"/>
    <w:pPr>
      <w:keepNext/>
      <w:numPr>
        <w:numId w:val="3"/>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6C5B33"/>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6C5B33"/>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6C5B33"/>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6C5B33"/>
    <w:rPr>
      <w:rFonts w:ascii="Arial Narrow" w:eastAsiaTheme="majorEastAsia" w:hAnsi="Arial Narrow" w:cstheme="majorBidi"/>
      <w:b/>
      <w:bCs/>
      <w:szCs w:val="24"/>
    </w:rPr>
  </w:style>
  <w:style w:type="paragraph" w:customStyle="1" w:styleId="3-BodyText">
    <w:name w:val="3-Body Text"/>
    <w:link w:val="3-BodyTextChar"/>
    <w:qFormat/>
    <w:rsid w:val="006C5B33"/>
    <w:pPr>
      <w:numPr>
        <w:ilvl w:val="1"/>
        <w:numId w:val="3"/>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6C5B33"/>
    <w:rPr>
      <w:rFonts w:asciiTheme="minorHAnsi" w:eastAsiaTheme="minorHAnsi" w:hAnsiTheme="minorHAnsi" w:cstheme="minorBidi"/>
      <w:snapToGrid/>
      <w:sz w:val="24"/>
      <w:szCs w:val="22"/>
    </w:rPr>
  </w:style>
  <w:style w:type="paragraph" w:customStyle="1" w:styleId="TableFigureFooter">
    <w:name w:val="Table/Figure Footer"/>
    <w:basedOn w:val="Normal"/>
    <w:link w:val="TableFigureFooterChar"/>
    <w:qFormat/>
    <w:rsid w:val="00067B6B"/>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067B6B"/>
    <w:rPr>
      <w:rFonts w:ascii="Arial Narrow" w:hAnsi="Arial Narrow" w:cs="Arial"/>
      <w:snapToGrid w:val="0"/>
      <w:sz w:val="18"/>
      <w:szCs w:val="22"/>
    </w:rPr>
  </w:style>
  <w:style w:type="paragraph" w:customStyle="1" w:styleId="5-SubsectionSubheading">
    <w:name w:val="5-Subsection Subheading"/>
    <w:next w:val="3-BodyText"/>
    <w:link w:val="5-SubsectionSubheadingChar"/>
    <w:qFormat/>
    <w:rsid w:val="00F7499A"/>
    <w:pPr>
      <w:spacing w:before="40"/>
      <w:outlineLvl w:val="2"/>
    </w:pPr>
    <w:rPr>
      <w:rFonts w:asciiTheme="minorHAnsi" w:eastAsiaTheme="majorEastAsia" w:hAnsiTheme="minorHAnsi" w:cstheme="majorBidi"/>
      <w:b/>
      <w:color w:val="000000" w:themeColor="text1"/>
      <w:sz w:val="24"/>
      <w:szCs w:val="24"/>
    </w:rPr>
  </w:style>
  <w:style w:type="character" w:customStyle="1" w:styleId="5-SubsectionSubheadingChar">
    <w:name w:val="5-Subsection Subheading Char"/>
    <w:basedOn w:val="Heading3Char"/>
    <w:link w:val="5-SubsectionSubheading"/>
    <w:rsid w:val="00F7499A"/>
    <w:rPr>
      <w:rFonts w:asciiTheme="minorHAnsi" w:eastAsiaTheme="majorEastAsia" w:hAnsiTheme="minorHAnsi" w:cstheme="majorBidi"/>
      <w:bCs/>
      <w:color w:val="000000" w:themeColor="text1"/>
      <w:sz w:val="28"/>
      <w:szCs w:val="28"/>
      <w:lang w:eastAsia="en-US"/>
    </w:rPr>
  </w:style>
  <w:style w:type="paragraph" w:styleId="Revision">
    <w:name w:val="Revision"/>
    <w:hidden/>
    <w:uiPriority w:val="71"/>
    <w:semiHidden/>
    <w:rsid w:val="00DF021D"/>
    <w:rPr>
      <w:rFonts w:ascii="Calibri" w:hAnsi="Calibri"/>
      <w:sz w:val="24"/>
      <w:szCs w:val="24"/>
    </w:rPr>
  </w:style>
  <w:style w:type="paragraph" w:customStyle="1" w:styleId="4-SubsectionHeading">
    <w:name w:val="4-Subsection Heading"/>
    <w:next w:val="3-BodyText"/>
    <w:link w:val="4-SubsectionHeadingChar"/>
    <w:qFormat/>
    <w:rsid w:val="00F7499A"/>
    <w:pPr>
      <w:spacing w:before="120" w:after="120"/>
      <w:outlineLvl w:val="1"/>
    </w:pPr>
    <w:rPr>
      <w:rFonts w:asciiTheme="minorHAnsi" w:eastAsiaTheme="majorEastAsia" w:hAnsiTheme="minorHAnsi" w:cstheme="majorBidi"/>
      <w:b/>
      <w:i/>
      <w:spacing w:val="5"/>
      <w:kern w:val="28"/>
      <w:sz w:val="28"/>
      <w:szCs w:val="36"/>
      <w:lang w:eastAsia="en-US"/>
    </w:rPr>
  </w:style>
  <w:style w:type="character" w:customStyle="1" w:styleId="4-SubsectionHeadingChar">
    <w:name w:val="4-Subsection Heading Char"/>
    <w:basedOn w:val="Heading2Char"/>
    <w:link w:val="4-SubsectionHeading"/>
    <w:rsid w:val="00F7499A"/>
    <w:rPr>
      <w:rFonts w:asciiTheme="minorHAnsi" w:eastAsiaTheme="majorEastAsia" w:hAnsiTheme="minorHAnsi" w:cstheme="majorBidi"/>
      <w:color w:val="365F91" w:themeColor="accent1" w:themeShade="BF"/>
      <w:spacing w:val="5"/>
      <w:kern w:val="28"/>
      <w:sz w:val="28"/>
      <w:szCs w:val="36"/>
      <w:lang w:eastAsia="en-US"/>
    </w:rPr>
  </w:style>
  <w:style w:type="character" w:customStyle="1" w:styleId="Heading5Char">
    <w:name w:val="Heading 5 Char"/>
    <w:basedOn w:val="DefaultParagraphFont"/>
    <w:link w:val="Heading5"/>
    <w:uiPriority w:val="9"/>
    <w:rsid w:val="00240165"/>
    <w:rPr>
      <w:rFonts w:asciiTheme="majorHAnsi" w:eastAsiaTheme="majorEastAsia" w:hAnsiTheme="majorHAnsi" w:cstheme="majorBidi"/>
      <w:caps/>
      <w:color w:val="365F91" w:themeColor="accent1" w:themeShade="BF"/>
      <w:sz w:val="22"/>
      <w:szCs w:val="22"/>
      <w:lang w:eastAsia="en-US"/>
    </w:rPr>
  </w:style>
  <w:style w:type="character" w:customStyle="1" w:styleId="Heading6Char">
    <w:name w:val="Heading 6 Char"/>
    <w:basedOn w:val="DefaultParagraphFont"/>
    <w:link w:val="Heading6"/>
    <w:uiPriority w:val="9"/>
    <w:rsid w:val="00240165"/>
    <w:rPr>
      <w:rFonts w:asciiTheme="majorHAnsi" w:eastAsiaTheme="majorEastAsia" w:hAnsiTheme="majorHAnsi" w:cstheme="majorBidi"/>
      <w:i/>
      <w:iCs/>
      <w:caps/>
      <w:color w:val="244061" w:themeColor="accent1" w:themeShade="80"/>
      <w:sz w:val="22"/>
      <w:szCs w:val="22"/>
      <w:lang w:eastAsia="en-US"/>
    </w:rPr>
  </w:style>
  <w:style w:type="paragraph" w:styleId="Header">
    <w:name w:val="header"/>
    <w:basedOn w:val="Normal"/>
    <w:link w:val="HeaderChar"/>
    <w:uiPriority w:val="99"/>
    <w:unhideWhenUsed/>
    <w:qFormat/>
    <w:rsid w:val="00CF066B"/>
    <w:pPr>
      <w:jc w:val="right"/>
    </w:pPr>
  </w:style>
  <w:style w:type="character" w:customStyle="1" w:styleId="HeaderChar">
    <w:name w:val="Header Char"/>
    <w:basedOn w:val="DefaultParagraphFont"/>
    <w:link w:val="Header"/>
    <w:uiPriority w:val="99"/>
    <w:rsid w:val="00CF066B"/>
    <w:rPr>
      <w:rFonts w:ascii="Calibri" w:hAnsi="Calibri"/>
      <w:sz w:val="24"/>
      <w:szCs w:val="24"/>
    </w:rPr>
  </w:style>
  <w:style w:type="paragraph" w:styleId="Footer">
    <w:name w:val="footer"/>
    <w:basedOn w:val="Normal"/>
    <w:link w:val="FooterChar"/>
    <w:uiPriority w:val="99"/>
    <w:unhideWhenUsed/>
    <w:rsid w:val="00CF066B"/>
    <w:pPr>
      <w:tabs>
        <w:tab w:val="center" w:pos="4513"/>
        <w:tab w:val="right" w:pos="9026"/>
      </w:tabs>
      <w:jc w:val="center"/>
    </w:pPr>
  </w:style>
  <w:style w:type="character" w:customStyle="1" w:styleId="FooterChar">
    <w:name w:val="Footer Char"/>
    <w:basedOn w:val="DefaultParagraphFont"/>
    <w:link w:val="Footer"/>
    <w:uiPriority w:val="99"/>
    <w:rsid w:val="00CF066B"/>
    <w:rPr>
      <w:rFonts w:ascii="Calibri" w:hAnsi="Calibri"/>
      <w:sz w:val="24"/>
      <w:szCs w:val="24"/>
    </w:rPr>
  </w:style>
  <w:style w:type="character" w:styleId="CommentReference">
    <w:name w:val="annotation reference"/>
    <w:aliases w:val="Table Title"/>
    <w:basedOn w:val="DefaultParagraphFont"/>
    <w:uiPriority w:val="99"/>
    <w:unhideWhenUsed/>
    <w:qFormat/>
    <w:rsid w:val="008147AE"/>
    <w:rPr>
      <w:sz w:val="16"/>
      <w:szCs w:val="16"/>
    </w:rPr>
  </w:style>
  <w:style w:type="paragraph" w:styleId="CommentText">
    <w:name w:val="annotation text"/>
    <w:aliases w:val="- H19"/>
    <w:basedOn w:val="Normal"/>
    <w:link w:val="CommentTextChar"/>
    <w:uiPriority w:val="99"/>
    <w:unhideWhenUsed/>
    <w:qFormat/>
    <w:rsid w:val="008147AE"/>
    <w:rPr>
      <w:sz w:val="20"/>
      <w:szCs w:val="20"/>
    </w:rPr>
  </w:style>
  <w:style w:type="character" w:customStyle="1" w:styleId="CommentTextChar">
    <w:name w:val="Comment Text Char"/>
    <w:aliases w:val="- H19 Char"/>
    <w:basedOn w:val="DefaultParagraphFont"/>
    <w:link w:val="CommentText"/>
    <w:uiPriority w:val="99"/>
    <w:rsid w:val="008147AE"/>
    <w:rPr>
      <w:rFonts w:ascii="Calibri" w:hAnsi="Calibri"/>
    </w:rPr>
  </w:style>
  <w:style w:type="paragraph" w:styleId="CommentSubject">
    <w:name w:val="annotation subject"/>
    <w:basedOn w:val="CommentText"/>
    <w:next w:val="CommentText"/>
    <w:link w:val="CommentSubjectChar"/>
    <w:semiHidden/>
    <w:unhideWhenUsed/>
    <w:rsid w:val="008147AE"/>
    <w:rPr>
      <w:b/>
      <w:bCs/>
    </w:rPr>
  </w:style>
  <w:style w:type="character" w:customStyle="1" w:styleId="CommentSubjectChar">
    <w:name w:val="Comment Subject Char"/>
    <w:basedOn w:val="CommentTextChar"/>
    <w:link w:val="CommentSubject"/>
    <w:semiHidden/>
    <w:rsid w:val="008147AE"/>
    <w:rPr>
      <w:rFonts w:ascii="Calibri" w:hAnsi="Calibri"/>
      <w:b/>
      <w:bCs/>
    </w:rPr>
  </w:style>
  <w:style w:type="character" w:styleId="Hyperlink">
    <w:name w:val="Hyperlink"/>
    <w:basedOn w:val="DefaultParagraphFont"/>
    <w:uiPriority w:val="99"/>
    <w:unhideWhenUsed/>
    <w:rsid w:val="008147AE"/>
    <w:rPr>
      <w:color w:val="0000FF" w:themeColor="hyperlink"/>
      <w:u w:val="single"/>
    </w:rPr>
  </w:style>
  <w:style w:type="paragraph" w:customStyle="1" w:styleId="Tabletext0">
    <w:name w:val="Table text"/>
    <w:basedOn w:val="Normal"/>
    <w:link w:val="TabletextChar0"/>
    <w:qFormat/>
    <w:rsid w:val="00935BBA"/>
    <w:pPr>
      <w:jc w:val="left"/>
    </w:pPr>
    <w:rPr>
      <w:rFonts w:ascii="Arial Narrow" w:hAnsi="Arial Narrow"/>
      <w:snapToGrid w:val="0"/>
      <w:sz w:val="20"/>
    </w:rPr>
  </w:style>
  <w:style w:type="character" w:customStyle="1" w:styleId="TabletextChar0">
    <w:name w:val="Table text Char"/>
    <w:link w:val="Tabletext0"/>
    <w:rsid w:val="00935BBA"/>
    <w:rPr>
      <w:rFonts w:ascii="Arial Narrow" w:hAnsi="Arial Narrow"/>
      <w:snapToGrid w:val="0"/>
      <w:szCs w:val="24"/>
    </w:rPr>
  </w:style>
  <w:style w:type="paragraph" w:customStyle="1" w:styleId="Tableheadingrow">
    <w:name w:val="Table heading row"/>
    <w:qFormat/>
    <w:rsid w:val="00F26186"/>
    <w:pPr>
      <w:keepNext/>
    </w:pPr>
    <w:rPr>
      <w:rFonts w:ascii="Arial Narrow" w:eastAsiaTheme="majorEastAsia" w:hAnsi="Arial Narrow"/>
      <w:b/>
      <w:szCs w:val="24"/>
      <w:lang w:val="en-US"/>
    </w:rPr>
  </w:style>
  <w:style w:type="table" w:customStyle="1" w:styleId="TableGrid1">
    <w:name w:val="Table Grid1"/>
    <w:basedOn w:val="TableNormal"/>
    <w:rsid w:val="00587099"/>
    <w:pPr>
      <w:spacing w:before="360"/>
    </w:pPr>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41A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SubsectionHeading">
    <w:name w:val="3-Subsection Heading"/>
    <w:basedOn w:val="Heading2"/>
    <w:next w:val="Normal"/>
    <w:link w:val="3-SubsectionHeadingChar"/>
    <w:qFormat/>
    <w:rsid w:val="00790030"/>
    <w:pPr>
      <w:keepLines w:val="0"/>
      <w:spacing w:before="120" w:after="120"/>
      <w:jc w:val="both"/>
      <w:outlineLvl w:val="9"/>
    </w:pPr>
    <w:rPr>
      <w:rFonts w:asciiTheme="minorHAnsi" w:hAnsiTheme="minorHAnsi"/>
      <w:b/>
      <w:i/>
      <w:spacing w:val="5"/>
      <w:kern w:val="28"/>
      <w:sz w:val="28"/>
      <w:szCs w:val="36"/>
    </w:rPr>
  </w:style>
  <w:style w:type="character" w:customStyle="1" w:styleId="3-SubsectionHeadingChar">
    <w:name w:val="3-Subsection Heading Char"/>
    <w:basedOn w:val="Heading2Char"/>
    <w:link w:val="3-SubsectionHeading"/>
    <w:rsid w:val="00790030"/>
    <w:rPr>
      <w:rFonts w:asciiTheme="minorHAnsi" w:eastAsiaTheme="majorEastAsia" w:hAnsiTheme="minorHAnsi" w:cstheme="majorBidi"/>
      <w:b/>
      <w:i/>
      <w:color w:val="365F91" w:themeColor="accent1" w:themeShade="BF"/>
      <w:spacing w:val="5"/>
      <w:kern w:val="28"/>
      <w:sz w:val="28"/>
      <w:szCs w:val="36"/>
      <w:lang w:eastAsia="en-US"/>
    </w:rPr>
  </w:style>
  <w:style w:type="paragraph" w:styleId="NoSpacing">
    <w:name w:val="No Spacing"/>
    <w:uiPriority w:val="1"/>
    <w:qFormat/>
    <w:rsid w:val="00790030"/>
    <w:rPr>
      <w:sz w:val="24"/>
      <w:szCs w:val="24"/>
      <w:lang w:eastAsia="en-US"/>
    </w:rPr>
  </w:style>
  <w:style w:type="paragraph" w:styleId="FootnoteText">
    <w:name w:val="footnote text"/>
    <w:basedOn w:val="Normal"/>
    <w:link w:val="FootnoteTextChar"/>
    <w:semiHidden/>
    <w:unhideWhenUsed/>
    <w:rsid w:val="0063031C"/>
    <w:rPr>
      <w:sz w:val="20"/>
      <w:szCs w:val="20"/>
    </w:rPr>
  </w:style>
  <w:style w:type="character" w:customStyle="1" w:styleId="FootnoteTextChar">
    <w:name w:val="Footnote Text Char"/>
    <w:basedOn w:val="DefaultParagraphFont"/>
    <w:link w:val="FootnoteText"/>
    <w:semiHidden/>
    <w:rsid w:val="0063031C"/>
    <w:rPr>
      <w:rFonts w:ascii="Calibri" w:hAnsi="Calibri"/>
    </w:rPr>
  </w:style>
  <w:style w:type="character" w:styleId="FootnoteReference">
    <w:name w:val="footnote reference"/>
    <w:basedOn w:val="DefaultParagraphFont"/>
    <w:semiHidden/>
    <w:unhideWhenUsed/>
    <w:rsid w:val="0063031C"/>
    <w:rPr>
      <w:vertAlign w:val="superscript"/>
    </w:rPr>
  </w:style>
  <w:style w:type="character" w:customStyle="1" w:styleId="normaltextrun">
    <w:name w:val="normaltextrun"/>
    <w:basedOn w:val="DefaultParagraphFont"/>
    <w:rsid w:val="000370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46462919">
      <w:bodyDiv w:val="1"/>
      <w:marLeft w:val="0"/>
      <w:marRight w:val="0"/>
      <w:marTop w:val="0"/>
      <w:marBottom w:val="0"/>
      <w:divBdr>
        <w:top w:val="none" w:sz="0" w:space="0" w:color="auto"/>
        <w:left w:val="none" w:sz="0" w:space="0" w:color="auto"/>
        <w:bottom w:val="none" w:sz="0" w:space="0" w:color="auto"/>
        <w:right w:val="none" w:sz="0" w:space="0" w:color="auto"/>
      </w:divBdr>
    </w:div>
    <w:div w:id="460731301">
      <w:bodyDiv w:val="1"/>
      <w:marLeft w:val="0"/>
      <w:marRight w:val="0"/>
      <w:marTop w:val="0"/>
      <w:marBottom w:val="0"/>
      <w:divBdr>
        <w:top w:val="none" w:sz="0" w:space="0" w:color="auto"/>
        <w:left w:val="none" w:sz="0" w:space="0" w:color="auto"/>
        <w:bottom w:val="none" w:sz="0" w:space="0" w:color="auto"/>
        <w:right w:val="none" w:sz="0" w:space="0" w:color="auto"/>
      </w:divBdr>
      <w:divsChild>
        <w:div w:id="695929316">
          <w:marLeft w:val="547"/>
          <w:marRight w:val="0"/>
          <w:marTop w:val="0"/>
          <w:marBottom w:val="0"/>
          <w:divBdr>
            <w:top w:val="none" w:sz="0" w:space="0" w:color="auto"/>
            <w:left w:val="none" w:sz="0" w:space="0" w:color="auto"/>
            <w:bottom w:val="none" w:sz="0" w:space="0" w:color="auto"/>
            <w:right w:val="none" w:sz="0" w:space="0" w:color="auto"/>
          </w:divBdr>
        </w:div>
        <w:div w:id="1133669204">
          <w:marLeft w:val="1166"/>
          <w:marRight w:val="0"/>
          <w:marTop w:val="0"/>
          <w:marBottom w:val="0"/>
          <w:divBdr>
            <w:top w:val="none" w:sz="0" w:space="0" w:color="auto"/>
            <w:left w:val="none" w:sz="0" w:space="0" w:color="auto"/>
            <w:bottom w:val="none" w:sz="0" w:space="0" w:color="auto"/>
            <w:right w:val="none" w:sz="0" w:space="0" w:color="auto"/>
          </w:divBdr>
        </w:div>
      </w:divsChild>
    </w:div>
    <w:div w:id="706099133">
      <w:bodyDiv w:val="1"/>
      <w:marLeft w:val="0"/>
      <w:marRight w:val="0"/>
      <w:marTop w:val="0"/>
      <w:marBottom w:val="0"/>
      <w:divBdr>
        <w:top w:val="none" w:sz="0" w:space="0" w:color="auto"/>
        <w:left w:val="none" w:sz="0" w:space="0" w:color="auto"/>
        <w:bottom w:val="none" w:sz="0" w:space="0" w:color="auto"/>
        <w:right w:val="none" w:sz="0" w:space="0" w:color="auto"/>
      </w:divBdr>
      <w:divsChild>
        <w:div w:id="976421035">
          <w:marLeft w:val="1166"/>
          <w:marRight w:val="0"/>
          <w:marTop w:val="0"/>
          <w:marBottom w:val="0"/>
          <w:divBdr>
            <w:top w:val="none" w:sz="0" w:space="0" w:color="auto"/>
            <w:left w:val="none" w:sz="0" w:space="0" w:color="auto"/>
            <w:bottom w:val="none" w:sz="0" w:space="0" w:color="auto"/>
            <w:right w:val="none" w:sz="0" w:space="0" w:color="auto"/>
          </w:divBdr>
        </w:div>
      </w:divsChild>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01065180">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3008716">
      <w:bodyDiv w:val="1"/>
      <w:marLeft w:val="0"/>
      <w:marRight w:val="0"/>
      <w:marTop w:val="0"/>
      <w:marBottom w:val="0"/>
      <w:divBdr>
        <w:top w:val="none" w:sz="0" w:space="0" w:color="auto"/>
        <w:left w:val="none" w:sz="0" w:space="0" w:color="auto"/>
        <w:bottom w:val="none" w:sz="0" w:space="0" w:color="auto"/>
        <w:right w:val="none" w:sz="0" w:space="0" w:color="auto"/>
      </w:divBdr>
      <w:divsChild>
        <w:div w:id="897477995">
          <w:marLeft w:val="1166"/>
          <w:marRight w:val="0"/>
          <w:marTop w:val="0"/>
          <w:marBottom w:val="0"/>
          <w:divBdr>
            <w:top w:val="none" w:sz="0" w:space="0" w:color="auto"/>
            <w:left w:val="none" w:sz="0" w:space="0" w:color="auto"/>
            <w:bottom w:val="none" w:sz="0" w:space="0" w:color="auto"/>
            <w:right w:val="none" w:sz="0" w:space="0" w:color="auto"/>
          </w:divBdr>
        </w:div>
      </w:divsChild>
    </w:div>
    <w:div w:id="1256398912">
      <w:bodyDiv w:val="1"/>
      <w:marLeft w:val="0"/>
      <w:marRight w:val="0"/>
      <w:marTop w:val="0"/>
      <w:marBottom w:val="0"/>
      <w:divBdr>
        <w:top w:val="none" w:sz="0" w:space="0" w:color="auto"/>
        <w:left w:val="none" w:sz="0" w:space="0" w:color="auto"/>
        <w:bottom w:val="none" w:sz="0" w:space="0" w:color="auto"/>
        <w:right w:val="none" w:sz="0" w:space="0" w:color="auto"/>
      </w:divBdr>
      <w:divsChild>
        <w:div w:id="1605309532">
          <w:marLeft w:val="547"/>
          <w:marRight w:val="0"/>
          <w:marTop w:val="0"/>
          <w:marBottom w:val="0"/>
          <w:divBdr>
            <w:top w:val="none" w:sz="0" w:space="0" w:color="auto"/>
            <w:left w:val="none" w:sz="0" w:space="0" w:color="auto"/>
            <w:bottom w:val="none" w:sz="0" w:space="0" w:color="auto"/>
            <w:right w:val="none" w:sz="0" w:space="0" w:color="auto"/>
          </w:divBdr>
        </w:div>
        <w:div w:id="910431545">
          <w:marLeft w:val="1166"/>
          <w:marRight w:val="0"/>
          <w:marTop w:val="0"/>
          <w:marBottom w:val="0"/>
          <w:divBdr>
            <w:top w:val="none" w:sz="0" w:space="0" w:color="auto"/>
            <w:left w:val="none" w:sz="0" w:space="0" w:color="auto"/>
            <w:bottom w:val="none" w:sz="0" w:space="0" w:color="auto"/>
            <w:right w:val="none" w:sz="0" w:space="0" w:color="auto"/>
          </w:divBdr>
        </w:div>
      </w:divsChild>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589389608">
      <w:bodyDiv w:val="1"/>
      <w:marLeft w:val="0"/>
      <w:marRight w:val="0"/>
      <w:marTop w:val="0"/>
      <w:marBottom w:val="0"/>
      <w:divBdr>
        <w:top w:val="none" w:sz="0" w:space="0" w:color="auto"/>
        <w:left w:val="none" w:sz="0" w:space="0" w:color="auto"/>
        <w:bottom w:val="none" w:sz="0" w:space="0" w:color="auto"/>
        <w:right w:val="none" w:sz="0" w:space="0" w:color="auto"/>
      </w:divBdr>
      <w:divsChild>
        <w:div w:id="211578023">
          <w:marLeft w:val="547"/>
          <w:marRight w:val="0"/>
          <w:marTop w:val="0"/>
          <w:marBottom w:val="0"/>
          <w:divBdr>
            <w:top w:val="none" w:sz="0" w:space="0" w:color="auto"/>
            <w:left w:val="none" w:sz="0" w:space="0" w:color="auto"/>
            <w:bottom w:val="none" w:sz="0" w:space="0" w:color="auto"/>
            <w:right w:val="none" w:sz="0" w:space="0" w:color="auto"/>
          </w:divBdr>
        </w:div>
      </w:divsChild>
    </w:div>
    <w:div w:id="1650403564">
      <w:bodyDiv w:val="1"/>
      <w:marLeft w:val="0"/>
      <w:marRight w:val="0"/>
      <w:marTop w:val="0"/>
      <w:marBottom w:val="0"/>
      <w:divBdr>
        <w:top w:val="none" w:sz="0" w:space="0" w:color="auto"/>
        <w:left w:val="none" w:sz="0" w:space="0" w:color="auto"/>
        <w:bottom w:val="none" w:sz="0" w:space="0" w:color="auto"/>
        <w:right w:val="none" w:sz="0" w:space="0" w:color="auto"/>
      </w:divBdr>
      <w:divsChild>
        <w:div w:id="560407182">
          <w:marLeft w:val="547"/>
          <w:marRight w:val="0"/>
          <w:marTop w:val="0"/>
          <w:marBottom w:val="0"/>
          <w:divBdr>
            <w:top w:val="none" w:sz="0" w:space="0" w:color="auto"/>
            <w:left w:val="none" w:sz="0" w:space="0" w:color="auto"/>
            <w:bottom w:val="none" w:sz="0" w:space="0" w:color="auto"/>
            <w:right w:val="none" w:sz="0" w:space="0" w:color="auto"/>
          </w:divBdr>
        </w:div>
        <w:div w:id="1780679983">
          <w:marLeft w:val="1166"/>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AAACAF-4E74-47F2-A025-6BC3A081D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6746</Words>
  <Characters>42183</Characters>
  <Application>Microsoft Office Word</Application>
  <DocSecurity>0</DocSecurity>
  <Lines>351</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2021-10-25T05:17:00Z</dcterms:created>
  <dcterms:modified xsi:type="dcterms:W3CDTF">2021-10-29T00:39:00Z</dcterms:modified>
</cp:coreProperties>
</file>