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644691" w:rsidRDefault="00013F62" w:rsidP="004A6040">
      <w:pPr>
        <w:pStyle w:val="1-MainHeading"/>
      </w:pPr>
      <w:r w:rsidRPr="00644691">
        <w:t>7.01</w:t>
      </w:r>
      <w:r w:rsidR="00163F66" w:rsidRPr="00644691">
        <w:tab/>
      </w:r>
      <w:r w:rsidR="002336AD" w:rsidRPr="00644691">
        <w:t>DAPAGLIFLOZIN</w:t>
      </w:r>
      <w:r w:rsidR="00163F66" w:rsidRPr="00644691">
        <w:t>,</w:t>
      </w:r>
      <w:r w:rsidR="00163F66" w:rsidRPr="00644691">
        <w:br/>
      </w:r>
      <w:r w:rsidR="002336AD" w:rsidRPr="00644691">
        <w:t>Tablet 10 mg</w:t>
      </w:r>
      <w:r w:rsidR="00163F66" w:rsidRPr="00644691">
        <w:t>,</w:t>
      </w:r>
      <w:r w:rsidR="00163F66" w:rsidRPr="00644691">
        <w:br/>
      </w:r>
      <w:r w:rsidR="002336AD" w:rsidRPr="00644691">
        <w:t>Forxiga</w:t>
      </w:r>
      <w:r w:rsidR="002336AD" w:rsidRPr="00644691">
        <w:rPr>
          <w:rFonts w:cstheme="minorHAnsi"/>
        </w:rPr>
        <w:t>®</w:t>
      </w:r>
      <w:r w:rsidR="00163F66" w:rsidRPr="00644691">
        <w:t>,</w:t>
      </w:r>
      <w:r w:rsidR="00133966" w:rsidRPr="00644691">
        <w:t xml:space="preserve"> </w:t>
      </w:r>
      <w:r w:rsidR="00163F66" w:rsidRPr="00644691">
        <w:br/>
      </w:r>
      <w:r w:rsidR="00FB51E2" w:rsidRPr="00644691">
        <w:t>AstraZeneca Pty Ltd</w:t>
      </w:r>
    </w:p>
    <w:p w:rsidR="00B50DB8" w:rsidRPr="00644691" w:rsidRDefault="00B50DB8" w:rsidP="00901D09">
      <w:pPr>
        <w:pStyle w:val="2-SectionHeading"/>
      </w:pPr>
      <w:bookmarkStart w:id="0" w:name="_Toc72325048"/>
      <w:r w:rsidRPr="00644691">
        <w:t xml:space="preserve">Purpose of </w:t>
      </w:r>
      <w:r w:rsidR="00CD7193" w:rsidRPr="00644691">
        <w:t>s</w:t>
      </w:r>
      <w:r w:rsidR="00BB3A45" w:rsidRPr="00644691">
        <w:t>ubmission</w:t>
      </w:r>
      <w:bookmarkEnd w:id="0"/>
    </w:p>
    <w:p w:rsidR="00DA28BB" w:rsidRPr="00644691" w:rsidRDefault="00DA28BB" w:rsidP="004E18E9">
      <w:pPr>
        <w:pStyle w:val="ExecSumBodyText"/>
      </w:pPr>
      <w:r w:rsidRPr="00644691">
        <w:t xml:space="preserve">The </w:t>
      </w:r>
      <w:r w:rsidR="00201BDE" w:rsidRPr="00644691">
        <w:t xml:space="preserve">standard re-entry </w:t>
      </w:r>
      <w:r w:rsidRPr="00644691">
        <w:t xml:space="preserve">resubmission requested an Authority Required (Streamlined) </w:t>
      </w:r>
      <w:r w:rsidR="00C3323F" w:rsidRPr="00644691">
        <w:t>G</w:t>
      </w:r>
      <w:r w:rsidRPr="00644691">
        <w:t xml:space="preserve">eneral </w:t>
      </w:r>
      <w:r w:rsidR="00C3323F" w:rsidRPr="00644691">
        <w:t>S</w:t>
      </w:r>
      <w:r w:rsidRPr="00644691">
        <w:t xml:space="preserve">chedule listing of dapagliflozin for the treatment of patients with symptomatic </w:t>
      </w:r>
      <w:bookmarkStart w:id="1" w:name="_Hlk78541931"/>
      <w:r w:rsidR="00E961FE" w:rsidRPr="00644691">
        <w:t>h</w:t>
      </w:r>
      <w:r w:rsidR="001E2D20" w:rsidRPr="00644691">
        <w:t xml:space="preserve">eart failure with reduced ejection fraction </w:t>
      </w:r>
      <w:bookmarkEnd w:id="1"/>
      <w:r w:rsidR="001E2D20" w:rsidRPr="00644691">
        <w:t>(HFrEF)</w:t>
      </w:r>
      <w:r w:rsidRPr="00644691">
        <w:t xml:space="preserve">, who are receiving concomitant optimal standard chronic heart failure treatment which includes (unless contraindicated or not tolerated) a beta-blocker and an </w:t>
      </w:r>
      <w:r w:rsidR="00B4394A" w:rsidRPr="00644691">
        <w:t>angiotensin-converting enzyme (</w:t>
      </w:r>
      <w:r w:rsidRPr="00644691">
        <w:t>ACE</w:t>
      </w:r>
      <w:r w:rsidR="00B4394A" w:rsidRPr="00644691">
        <w:t>)</w:t>
      </w:r>
      <w:r w:rsidRPr="00644691">
        <w:t xml:space="preserve"> inhibitor, </w:t>
      </w:r>
      <w:r w:rsidR="00B4394A" w:rsidRPr="00644691">
        <w:t>angiotensin II receptor blocker (</w:t>
      </w:r>
      <w:r w:rsidRPr="00644691">
        <w:t>ARB</w:t>
      </w:r>
      <w:r w:rsidR="00B4394A" w:rsidRPr="00644691">
        <w:t>)</w:t>
      </w:r>
      <w:r w:rsidRPr="00644691">
        <w:t xml:space="preserve"> or </w:t>
      </w:r>
      <w:r w:rsidR="00B4394A" w:rsidRPr="00644691">
        <w:t>angiotensin receptor neprilysin inhibitor (</w:t>
      </w:r>
      <w:r w:rsidRPr="00644691">
        <w:t>ARNI</w:t>
      </w:r>
      <w:r w:rsidR="00B4394A" w:rsidRPr="00644691">
        <w:t>)</w:t>
      </w:r>
      <w:r w:rsidR="009E2523" w:rsidRPr="00644691">
        <w:t>.</w:t>
      </w:r>
    </w:p>
    <w:p w:rsidR="00672FAB" w:rsidRPr="00644691" w:rsidRDefault="001E2D20" w:rsidP="00672FAB">
      <w:pPr>
        <w:pStyle w:val="ExecSumBodyText"/>
        <w:numPr>
          <w:ilvl w:val="1"/>
          <w:numId w:val="1"/>
        </w:numPr>
      </w:pPr>
      <w:r w:rsidRPr="00644691">
        <w:t>A</w:t>
      </w:r>
      <w:r w:rsidR="00385A95" w:rsidRPr="00644691">
        <w:t xml:space="preserve"> submission for dapagliflozin for </w:t>
      </w:r>
      <w:r w:rsidRPr="00644691">
        <w:t>HFrEF was considered at the November 2020 PBAC meeting.</w:t>
      </w:r>
      <w:r w:rsidR="00B4394A" w:rsidRPr="00644691">
        <w:t xml:space="preserve"> A concurrent submission for dapagliflozin for the treatment of chronic kidney disease (CKD) </w:t>
      </w:r>
      <w:r w:rsidR="005E480D" w:rsidRPr="00644691">
        <w:t>was</w:t>
      </w:r>
      <w:r w:rsidR="00B4394A" w:rsidRPr="00644691">
        <w:t xml:space="preserve"> considered at the July 2021 PBAC meeting</w:t>
      </w:r>
      <w:r w:rsidR="005E480D" w:rsidRPr="00644691">
        <w:t xml:space="preserve"> (item 6.03 refers)</w:t>
      </w:r>
      <w:r w:rsidR="00B4394A" w:rsidRPr="00644691">
        <w:t>.</w:t>
      </w:r>
      <w:r w:rsidR="00E36854" w:rsidRPr="00644691">
        <w:t xml:space="preserve"> </w:t>
      </w:r>
      <w:r w:rsidR="00810FAB" w:rsidRPr="00644691">
        <w:t>Th</w:t>
      </w:r>
      <w:r w:rsidR="00000873" w:rsidRPr="00644691">
        <w:t>e</w:t>
      </w:r>
      <w:r w:rsidR="00810FAB" w:rsidRPr="00644691">
        <w:t xml:space="preserve"> </w:t>
      </w:r>
      <w:r w:rsidR="00A3195C" w:rsidRPr="00644691">
        <w:t>re</w:t>
      </w:r>
      <w:r w:rsidR="00810FAB" w:rsidRPr="00644691">
        <w:t xml:space="preserve">submission acknowledged that there </w:t>
      </w:r>
      <w:r w:rsidR="005E480D" w:rsidRPr="00644691">
        <w:t>was</w:t>
      </w:r>
      <w:r w:rsidR="00810FAB" w:rsidRPr="00644691">
        <w:t xml:space="preserve"> substantial overlap between eligible populations targeted by the existing type 2 diabetes mellitus (T2DM), and proposed HFrEF and CKD PBS listings. The estimated distribution and impact of existing and proposed concurrent dapagliflozin PBS listings </w:t>
      </w:r>
      <w:r w:rsidR="005E480D" w:rsidRPr="00644691">
        <w:t xml:space="preserve">were </w:t>
      </w:r>
      <w:r w:rsidR="007B6DA5" w:rsidRPr="00644691">
        <w:t>discussed in Section 5 of the C</w:t>
      </w:r>
      <w:r w:rsidR="00810FAB" w:rsidRPr="00644691">
        <w:t>ommentary</w:t>
      </w:r>
      <w:r w:rsidR="008220DE" w:rsidRPr="00644691">
        <w:t>, and key details are presented under the Additional Information heading below</w:t>
      </w:r>
      <w:r w:rsidR="00810FAB" w:rsidRPr="00644691">
        <w:t>.</w:t>
      </w:r>
      <w:r w:rsidR="00672FAB" w:rsidRPr="00644691">
        <w:t xml:space="preserve"> </w:t>
      </w:r>
    </w:p>
    <w:p w:rsidR="00C2778B" w:rsidRPr="00644691" w:rsidRDefault="005750C5" w:rsidP="004E18E9">
      <w:pPr>
        <w:pStyle w:val="ExecSumBodyText"/>
      </w:pPr>
      <w:r w:rsidRPr="00644691">
        <w:t>Listing was requested on the basis of a cost-effectiveness</w:t>
      </w:r>
      <w:r w:rsidR="00385A95" w:rsidRPr="00644691">
        <w:t xml:space="preserve"> a</w:t>
      </w:r>
      <w:r w:rsidRPr="00644691">
        <w:t xml:space="preserve">nalysis </w:t>
      </w:r>
      <w:r w:rsidR="00385A95" w:rsidRPr="00644691">
        <w:t xml:space="preserve">for dapagliflozin plus standard care versus standard care alone. </w:t>
      </w:r>
    </w:p>
    <w:p w:rsidR="00E3489E" w:rsidRPr="00644691" w:rsidRDefault="00E3489E" w:rsidP="00E3489E">
      <w:pPr>
        <w:pStyle w:val="TableFigureCaption"/>
      </w:pPr>
      <w:r w:rsidRPr="00644691">
        <w:lastRenderedPageBreak/>
        <w:t xml:space="preserve">Table </w:t>
      </w:r>
      <w:r w:rsidR="000C6AFA">
        <w:rPr>
          <w:noProof/>
        </w:rPr>
        <w:t>1</w:t>
      </w:r>
      <w:r w:rsidRPr="00644691">
        <w:t>: Key components of the clinical issue addressed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7625"/>
      </w:tblGrid>
      <w:tr w:rsidR="00E3489E" w:rsidRPr="00644691" w:rsidTr="00352FAB">
        <w:trPr>
          <w:tblHeader/>
        </w:trPr>
        <w:tc>
          <w:tcPr>
            <w:tcW w:w="772" w:type="pct"/>
            <w:vAlign w:val="center"/>
          </w:tcPr>
          <w:p w:rsidR="00E3489E" w:rsidRPr="00644691" w:rsidRDefault="00E3489E" w:rsidP="008333E0">
            <w:pPr>
              <w:pStyle w:val="Tableheadingrow"/>
              <w:rPr>
                <w:lang w:val="en-AU"/>
              </w:rPr>
            </w:pPr>
            <w:r w:rsidRPr="00644691">
              <w:rPr>
                <w:lang w:val="en-AU"/>
              </w:rPr>
              <w:t>Component</w:t>
            </w:r>
          </w:p>
        </w:tc>
        <w:tc>
          <w:tcPr>
            <w:tcW w:w="4228" w:type="pct"/>
            <w:vAlign w:val="center"/>
          </w:tcPr>
          <w:p w:rsidR="00E3489E" w:rsidRPr="00644691" w:rsidRDefault="00E3489E" w:rsidP="008333E0">
            <w:pPr>
              <w:pStyle w:val="Tableheadingrow"/>
              <w:rPr>
                <w:lang w:val="en-AU"/>
              </w:rPr>
            </w:pPr>
            <w:r w:rsidRPr="00644691">
              <w:rPr>
                <w:lang w:val="en-AU"/>
              </w:rPr>
              <w:t>Description</w:t>
            </w:r>
          </w:p>
        </w:tc>
      </w:tr>
      <w:tr w:rsidR="00E3489E" w:rsidRPr="00644691" w:rsidTr="008333E0">
        <w:tc>
          <w:tcPr>
            <w:tcW w:w="772" w:type="pct"/>
            <w:vAlign w:val="center"/>
          </w:tcPr>
          <w:p w:rsidR="00E3489E" w:rsidRPr="00644691" w:rsidRDefault="00E3489E" w:rsidP="008333E0">
            <w:pPr>
              <w:pStyle w:val="TableText"/>
            </w:pPr>
            <w:r w:rsidRPr="00644691">
              <w:t>Population</w:t>
            </w:r>
          </w:p>
        </w:tc>
        <w:tc>
          <w:tcPr>
            <w:tcW w:w="4228" w:type="pct"/>
            <w:vAlign w:val="center"/>
          </w:tcPr>
          <w:p w:rsidR="00E3489E" w:rsidRPr="00644691" w:rsidRDefault="00E3489E" w:rsidP="00DC3072">
            <w:pPr>
              <w:pStyle w:val="TableText"/>
            </w:pPr>
            <w:r w:rsidRPr="00644691">
              <w:t>Patients with symptomatic (NYHA Class II-IV) chronic heart failure with reduced ejection fraction who are receiving (unless contraindicated or not tolerated)</w:t>
            </w:r>
            <w:r w:rsidR="009E2523" w:rsidRPr="00644691">
              <w:t>:</w:t>
            </w:r>
            <w:r w:rsidRPr="00644691">
              <w:t xml:space="preserve"> a beta-blocker; an ACE inhibitor, ARB or sacubitril/valsartan; and, if appropriate, an MRA.</w:t>
            </w:r>
          </w:p>
        </w:tc>
      </w:tr>
      <w:tr w:rsidR="00E3489E" w:rsidRPr="00644691" w:rsidTr="008333E0">
        <w:tc>
          <w:tcPr>
            <w:tcW w:w="772" w:type="pct"/>
            <w:vAlign w:val="center"/>
          </w:tcPr>
          <w:p w:rsidR="00E3489E" w:rsidRPr="00644691" w:rsidRDefault="00E3489E" w:rsidP="008333E0">
            <w:pPr>
              <w:pStyle w:val="TableText"/>
            </w:pPr>
            <w:r w:rsidRPr="00644691">
              <w:t>Intervention</w:t>
            </w:r>
          </w:p>
        </w:tc>
        <w:tc>
          <w:tcPr>
            <w:tcW w:w="4228" w:type="pct"/>
            <w:vAlign w:val="center"/>
          </w:tcPr>
          <w:p w:rsidR="00E3489E" w:rsidRPr="00644691" w:rsidRDefault="00E3489E" w:rsidP="008333E0">
            <w:pPr>
              <w:pStyle w:val="TableText"/>
            </w:pPr>
            <w:r w:rsidRPr="00644691">
              <w:t>Dapagliflozin 10 mg once daily added to standard care comprising</w:t>
            </w:r>
            <w:r w:rsidR="009E2523" w:rsidRPr="00644691">
              <w:t>:</w:t>
            </w:r>
            <w:r w:rsidRPr="00644691">
              <w:t xml:space="preserve"> a beta-blocker; an ACE inhibitor, ARB or sacubitril/valsartan; and, if appropriate, an MRA.</w:t>
            </w:r>
          </w:p>
        </w:tc>
      </w:tr>
      <w:tr w:rsidR="00E3489E" w:rsidRPr="00644691" w:rsidTr="00983662">
        <w:trPr>
          <w:trHeight w:val="1445"/>
        </w:trPr>
        <w:tc>
          <w:tcPr>
            <w:tcW w:w="772" w:type="pct"/>
            <w:vAlign w:val="center"/>
          </w:tcPr>
          <w:p w:rsidR="00E3489E" w:rsidRPr="00644691" w:rsidRDefault="00E3489E" w:rsidP="008333E0">
            <w:pPr>
              <w:pStyle w:val="TableText"/>
            </w:pPr>
            <w:r w:rsidRPr="00644691">
              <w:t>Comparator</w:t>
            </w:r>
          </w:p>
        </w:tc>
        <w:tc>
          <w:tcPr>
            <w:tcW w:w="4228" w:type="pct"/>
            <w:vAlign w:val="center"/>
          </w:tcPr>
          <w:p w:rsidR="00E3489E" w:rsidRPr="00644691" w:rsidRDefault="00E3489E" w:rsidP="008333E0">
            <w:pPr>
              <w:pStyle w:val="TableText"/>
              <w:rPr>
                <w:u w:val="single"/>
              </w:rPr>
            </w:pPr>
            <w:r w:rsidRPr="00644691">
              <w:rPr>
                <w:u w:val="single"/>
              </w:rPr>
              <w:t>Standard of care alone (main comparator), defined as:</w:t>
            </w:r>
          </w:p>
          <w:p w:rsidR="00E3489E" w:rsidRPr="00644691" w:rsidRDefault="00E3489E" w:rsidP="00B91468">
            <w:pPr>
              <w:pStyle w:val="TableText"/>
              <w:numPr>
                <w:ilvl w:val="0"/>
                <w:numId w:val="5"/>
              </w:numPr>
              <w:ind w:left="322" w:hanging="246"/>
              <w:rPr>
                <w:u w:val="single"/>
              </w:rPr>
            </w:pPr>
            <w:r w:rsidRPr="00644691">
              <w:rPr>
                <w:u w:val="single"/>
              </w:rPr>
              <w:t>a beta-blocker plus an ACE inhibitor or ARB (+/- an MRA and other heart failure medications) for the majority of patients (80-89%); and</w:t>
            </w:r>
          </w:p>
          <w:p w:rsidR="00E3489E" w:rsidRPr="00644691" w:rsidRDefault="00E3489E" w:rsidP="00B91468">
            <w:pPr>
              <w:pStyle w:val="TableText"/>
              <w:numPr>
                <w:ilvl w:val="0"/>
                <w:numId w:val="5"/>
              </w:numPr>
              <w:ind w:left="322" w:hanging="246"/>
            </w:pPr>
            <w:r w:rsidRPr="00644691">
              <w:rPr>
                <w:u w:val="single"/>
              </w:rPr>
              <w:t>a beta-blocker plus an ARNI (+/- an MRA and other heart failure medications) for a minor proportion of patients (11-20%).</w:t>
            </w:r>
          </w:p>
          <w:p w:rsidR="00E3489E" w:rsidRPr="00644691" w:rsidRDefault="00E3489E" w:rsidP="008333E0">
            <w:pPr>
              <w:pStyle w:val="TableText"/>
            </w:pPr>
            <w:r w:rsidRPr="00644691">
              <w:rPr>
                <w:u w:val="single"/>
              </w:rPr>
              <w:t xml:space="preserve">Empagliflozin </w:t>
            </w:r>
            <w:r w:rsidR="00A81D4F" w:rsidRPr="00644691">
              <w:rPr>
                <w:u w:val="single"/>
              </w:rPr>
              <w:t xml:space="preserve">plus standard care </w:t>
            </w:r>
            <w:r w:rsidRPr="00644691">
              <w:rPr>
                <w:u w:val="single"/>
              </w:rPr>
              <w:t>(potential near market comparator)</w:t>
            </w:r>
          </w:p>
        </w:tc>
      </w:tr>
      <w:tr w:rsidR="00E3489E" w:rsidRPr="00644691" w:rsidTr="008333E0">
        <w:tc>
          <w:tcPr>
            <w:tcW w:w="772" w:type="pct"/>
            <w:vAlign w:val="center"/>
          </w:tcPr>
          <w:p w:rsidR="00E3489E" w:rsidRPr="00644691" w:rsidRDefault="00E3489E" w:rsidP="008333E0">
            <w:pPr>
              <w:pStyle w:val="TableText"/>
            </w:pPr>
            <w:r w:rsidRPr="00644691">
              <w:t>Outcomes</w:t>
            </w:r>
          </w:p>
        </w:tc>
        <w:tc>
          <w:tcPr>
            <w:tcW w:w="4228" w:type="pct"/>
            <w:vAlign w:val="center"/>
          </w:tcPr>
          <w:p w:rsidR="00E3489E" w:rsidRPr="00644691" w:rsidRDefault="00E3489E" w:rsidP="008333E0">
            <w:pPr>
              <w:pStyle w:val="TableText"/>
            </w:pPr>
            <w:r w:rsidRPr="00644691">
              <w:t>Time to hospitalisation for heart failure; time to urgent heart failure visit; time to cardiovascular death; death; time to death from any cause; heart failure-related quality of life; safety.</w:t>
            </w:r>
          </w:p>
        </w:tc>
      </w:tr>
      <w:tr w:rsidR="00E3489E" w:rsidRPr="00644691" w:rsidTr="009E2523">
        <w:trPr>
          <w:trHeight w:val="1442"/>
        </w:trPr>
        <w:tc>
          <w:tcPr>
            <w:tcW w:w="772" w:type="pct"/>
            <w:vAlign w:val="center"/>
          </w:tcPr>
          <w:p w:rsidR="00E3489E" w:rsidRPr="00644691" w:rsidRDefault="00E3489E" w:rsidP="008333E0">
            <w:pPr>
              <w:pStyle w:val="TableText"/>
            </w:pPr>
            <w:r w:rsidRPr="00644691">
              <w:t>Clinical claim</w:t>
            </w:r>
          </w:p>
        </w:tc>
        <w:tc>
          <w:tcPr>
            <w:tcW w:w="4228" w:type="pct"/>
            <w:vAlign w:val="center"/>
          </w:tcPr>
          <w:p w:rsidR="00E3489E" w:rsidRPr="00644691" w:rsidRDefault="00E3489E" w:rsidP="008333E0">
            <w:pPr>
              <w:pStyle w:val="TableText"/>
            </w:pPr>
            <w:r w:rsidRPr="00644691">
              <w:t>When used in the management of patients with HFrEF, dapagliflozin added to standard care comprising a beta-blocker plus an ACE inhibitor, ARB, or ARNI (and, if appropriate, an MRA) is:</w:t>
            </w:r>
          </w:p>
          <w:p w:rsidR="00E3489E" w:rsidRPr="00644691" w:rsidRDefault="00E3489E" w:rsidP="00B91468">
            <w:pPr>
              <w:pStyle w:val="TableText"/>
              <w:numPr>
                <w:ilvl w:val="0"/>
                <w:numId w:val="5"/>
              </w:numPr>
              <w:ind w:left="318" w:hanging="244"/>
            </w:pPr>
            <w:r w:rsidRPr="00644691">
              <w:t xml:space="preserve">superior in terms of effectiveness and </w:t>
            </w:r>
            <w:r w:rsidRPr="00644691">
              <w:rPr>
                <w:u w:val="single"/>
              </w:rPr>
              <w:t>non</w:t>
            </w:r>
            <w:r w:rsidR="00644691">
              <w:rPr>
                <w:u w:val="single"/>
              </w:rPr>
              <w:t>-</w:t>
            </w:r>
            <w:r w:rsidRPr="00644691">
              <w:rPr>
                <w:u w:val="single"/>
              </w:rPr>
              <w:t>inferior in terms of safety</w:t>
            </w:r>
            <w:r w:rsidRPr="00644691">
              <w:t xml:space="preserve"> compared to standard care alone comprising a beta-blocker plus an ACE inhibitor, ARB or ARNI (and, if appropriate, an MRA);</w:t>
            </w:r>
          </w:p>
          <w:p w:rsidR="00E3489E" w:rsidRPr="00644691" w:rsidRDefault="00E3489E" w:rsidP="00B91468">
            <w:pPr>
              <w:pStyle w:val="TableText"/>
              <w:numPr>
                <w:ilvl w:val="0"/>
                <w:numId w:val="5"/>
              </w:numPr>
              <w:ind w:left="318" w:hanging="244"/>
              <w:rPr>
                <w:u w:val="single"/>
              </w:rPr>
            </w:pPr>
            <w:r w:rsidRPr="00644691">
              <w:rPr>
                <w:u w:val="single"/>
              </w:rPr>
              <w:t>non</w:t>
            </w:r>
            <w:r w:rsidR="00644691">
              <w:rPr>
                <w:u w:val="single"/>
              </w:rPr>
              <w:t>-</w:t>
            </w:r>
            <w:r w:rsidRPr="00644691">
              <w:rPr>
                <w:u w:val="single"/>
              </w:rPr>
              <w:t>inferior in terms of effectiveness compared to empagliflozin plus standard care.</w:t>
            </w:r>
            <w:r w:rsidR="00D03F98">
              <w:rPr>
                <w:u w:val="single"/>
              </w:rPr>
              <w:t>*</w:t>
            </w:r>
          </w:p>
        </w:tc>
      </w:tr>
    </w:tbl>
    <w:p w:rsidR="00E3489E" w:rsidRPr="00644691" w:rsidRDefault="00E3489E" w:rsidP="00E3489E">
      <w:pPr>
        <w:pStyle w:val="TableFigureFooter"/>
      </w:pPr>
      <w:r w:rsidRPr="00644691">
        <w:t>Source: Table 1.1-1, pp32-33 of the resubmission.</w:t>
      </w:r>
    </w:p>
    <w:p w:rsidR="00E3489E" w:rsidRPr="00644691" w:rsidRDefault="00E3489E" w:rsidP="00E3489E">
      <w:pPr>
        <w:pStyle w:val="TableFigureFooter"/>
      </w:pPr>
      <w:r w:rsidRPr="00644691">
        <w:t xml:space="preserve">ACE, angiotensin-converting enzyme; ARB, angiotensin II receptor blocker; ARNI, angiotensin receptor-neprilysin inhibitor; </w:t>
      </w:r>
      <w:r w:rsidR="005E480D" w:rsidRPr="00644691">
        <w:t xml:space="preserve">HFrEF, heart failure with reduced ejection fraction; </w:t>
      </w:r>
      <w:r w:rsidRPr="00644691">
        <w:t>MRA, mineralocorticoid receptor antagonist; NYHA, New York Heart Association.</w:t>
      </w:r>
    </w:p>
    <w:p w:rsidR="00E3489E" w:rsidRDefault="00E3489E" w:rsidP="00E3489E">
      <w:pPr>
        <w:pStyle w:val="TableFigureFooter"/>
      </w:pPr>
      <w:r w:rsidRPr="00644691">
        <w:t xml:space="preserve">Underlined text indicates key changes from </w:t>
      </w:r>
      <w:r w:rsidR="005E480D" w:rsidRPr="00644691">
        <w:t xml:space="preserve">the </w:t>
      </w:r>
      <w:r w:rsidRPr="00644691">
        <w:t>November 2020 submission.</w:t>
      </w:r>
    </w:p>
    <w:p w:rsidR="00D03F98" w:rsidRPr="00D03F98" w:rsidRDefault="00D03F98" w:rsidP="00E3489E">
      <w:pPr>
        <w:pStyle w:val="TableFigureFooter"/>
        <w:rPr>
          <w:i/>
        </w:rPr>
      </w:pPr>
      <w:r w:rsidRPr="00D03F98">
        <w:rPr>
          <w:i/>
        </w:rPr>
        <w:t>* This reference was provided with the clinical comparison in the supplementary analysis of the submission, which did not explicitly claim non-inferiority to empagliflozin, but rather was a clinical comparison provided for completeness (see para 6.11).</w:t>
      </w:r>
    </w:p>
    <w:p w:rsidR="005C25FF" w:rsidRPr="00644691" w:rsidRDefault="005C25FF" w:rsidP="004A6040">
      <w:pPr>
        <w:pStyle w:val="2-SectionHeading"/>
      </w:pPr>
      <w:bookmarkStart w:id="2" w:name="_Toc72325049"/>
      <w:r w:rsidRPr="00644691">
        <w:t>Background</w:t>
      </w:r>
      <w:bookmarkEnd w:id="2"/>
    </w:p>
    <w:p w:rsidR="005C25FF" w:rsidRPr="00644691" w:rsidRDefault="005C25FF" w:rsidP="004A6040">
      <w:pPr>
        <w:pStyle w:val="3-SubsectionHeading"/>
      </w:pPr>
      <w:bookmarkStart w:id="3" w:name="_Toc22897638"/>
      <w:bookmarkStart w:id="4" w:name="_Toc72325050"/>
      <w:r w:rsidRPr="00644691">
        <w:t>Registration status</w:t>
      </w:r>
      <w:bookmarkEnd w:id="3"/>
      <w:bookmarkEnd w:id="4"/>
    </w:p>
    <w:p w:rsidR="007A228C" w:rsidRPr="00644691" w:rsidRDefault="007A228C" w:rsidP="00983662">
      <w:pPr>
        <w:pStyle w:val="ExecSumBodyText"/>
      </w:pPr>
      <w:r w:rsidRPr="00644691">
        <w:t xml:space="preserve">Dapagliflozin was registered on the </w:t>
      </w:r>
      <w:r w:rsidR="005E480D" w:rsidRPr="00644691">
        <w:t>Australian Register of Therapeutic Goods</w:t>
      </w:r>
      <w:r w:rsidRPr="00644691">
        <w:t xml:space="preserve"> on 5</w:t>
      </w:r>
      <w:r w:rsidR="005E480D" w:rsidRPr="00644691">
        <w:t> </w:t>
      </w:r>
      <w:r w:rsidRPr="00644691">
        <w:t>November</w:t>
      </w:r>
      <w:r w:rsidR="005E480D" w:rsidRPr="00644691">
        <w:t> </w:t>
      </w:r>
      <w:r w:rsidRPr="00644691">
        <w:t xml:space="preserve">2020 for </w:t>
      </w:r>
      <w:r w:rsidR="00983662" w:rsidRPr="00644691">
        <w:t>use</w:t>
      </w:r>
      <w:r w:rsidRPr="00644691">
        <w:t xml:space="preserve"> in adults for the treatment of symptomatic heart failure with reduced ejection fraction, as an adjunct to standard of care therapy.</w:t>
      </w:r>
    </w:p>
    <w:p w:rsidR="007A228C" w:rsidRPr="00644691" w:rsidRDefault="007A228C" w:rsidP="007A228C">
      <w:pPr>
        <w:pStyle w:val="ExecSumBodyText"/>
      </w:pPr>
      <w:r w:rsidRPr="00644691">
        <w:t xml:space="preserve">Dapagliflozin is also </w:t>
      </w:r>
      <w:r w:rsidR="00983662" w:rsidRPr="00644691">
        <w:t xml:space="preserve">TGA </w:t>
      </w:r>
      <w:r w:rsidRPr="00644691">
        <w:t xml:space="preserve">registered for </w:t>
      </w:r>
      <w:r w:rsidR="00C5400D" w:rsidRPr="00644691">
        <w:t xml:space="preserve">use in </w:t>
      </w:r>
      <w:r w:rsidRPr="00644691">
        <w:t xml:space="preserve">adults with </w:t>
      </w:r>
      <w:r w:rsidR="00C961A2" w:rsidRPr="00644691">
        <w:t>T2DM</w:t>
      </w:r>
      <w:r w:rsidRPr="00644691">
        <w:t>:</w:t>
      </w:r>
    </w:p>
    <w:p w:rsidR="007A228C" w:rsidRPr="00644691" w:rsidRDefault="007A228C" w:rsidP="00B91468">
      <w:pPr>
        <w:pStyle w:val="ExecSumBodyText"/>
        <w:numPr>
          <w:ilvl w:val="0"/>
          <w:numId w:val="5"/>
        </w:numPr>
        <w:ind w:left="998" w:hanging="221"/>
      </w:pPr>
      <w:r w:rsidRPr="00644691">
        <w:t>As monotherapy as an adjunct to diet and exercise in patients for whom metformin is otherwise indicated but was not tolerated.</w:t>
      </w:r>
    </w:p>
    <w:p w:rsidR="007A228C" w:rsidRPr="00644691" w:rsidRDefault="007A228C" w:rsidP="00B91468">
      <w:pPr>
        <w:pStyle w:val="ExecSumBodyText"/>
        <w:numPr>
          <w:ilvl w:val="0"/>
          <w:numId w:val="5"/>
        </w:numPr>
        <w:ind w:left="998" w:hanging="221"/>
      </w:pPr>
      <w:r w:rsidRPr="00644691">
        <w:t>As initial combination therapy with metformin, as an adjunct to diet and exercise, to improve glycaemic control when diet and exercise have failed to provide adequate glycaemic control and there are poor prospects for response to metformin monotherapy (for example, high initial haemoglobin A1c [HbA1c] levels).</w:t>
      </w:r>
    </w:p>
    <w:p w:rsidR="007A228C" w:rsidRPr="00644691" w:rsidRDefault="007A228C" w:rsidP="00B91468">
      <w:pPr>
        <w:pStyle w:val="ExecSumBodyText"/>
        <w:numPr>
          <w:ilvl w:val="0"/>
          <w:numId w:val="5"/>
        </w:numPr>
        <w:ind w:left="998" w:hanging="221"/>
      </w:pPr>
      <w:r w:rsidRPr="00644691">
        <w:t>In combination with other anti-hyperglycaemic agents to improve glycaemic control, when these together with diet and exercise, do not provide adequate glycaemic control.</w:t>
      </w:r>
    </w:p>
    <w:p w:rsidR="007A228C" w:rsidRPr="00644691" w:rsidRDefault="007A228C" w:rsidP="00B91468">
      <w:pPr>
        <w:pStyle w:val="ExecSumBodyText"/>
        <w:numPr>
          <w:ilvl w:val="0"/>
          <w:numId w:val="5"/>
        </w:numPr>
        <w:ind w:left="993" w:hanging="219"/>
      </w:pPr>
      <w:r w:rsidRPr="00644691">
        <w:t>For the treatment of patients with established cardiovascular disease or risk factors for cardiovascular disease to reduce the risk of hospitalisation for heart failure.</w:t>
      </w:r>
    </w:p>
    <w:p w:rsidR="00B567B3" w:rsidRPr="00644691" w:rsidRDefault="00B567B3" w:rsidP="00B567B3">
      <w:pPr>
        <w:pStyle w:val="ExecSumBodyText"/>
      </w:pPr>
      <w:bookmarkStart w:id="5" w:name="_Hlk71796300"/>
      <w:r w:rsidRPr="00644691">
        <w:lastRenderedPageBreak/>
        <w:t xml:space="preserve">Dapagliflozin for the treatment of </w:t>
      </w:r>
      <w:r w:rsidR="003248A8">
        <w:t xml:space="preserve">adult patients with </w:t>
      </w:r>
      <w:r w:rsidRPr="00644691">
        <w:t xml:space="preserve">CKD </w:t>
      </w:r>
      <w:r w:rsidR="003248A8">
        <w:t>was also under review by TGA at the time of this submission</w:t>
      </w:r>
      <w:r w:rsidRPr="00644691">
        <w:t>.</w:t>
      </w:r>
    </w:p>
    <w:p w:rsidR="005C25FF" w:rsidRPr="00644691" w:rsidRDefault="005C25FF" w:rsidP="00656397">
      <w:pPr>
        <w:pStyle w:val="3-SubsectionHeading"/>
      </w:pPr>
      <w:bookmarkStart w:id="6" w:name="_Toc22897639"/>
      <w:bookmarkStart w:id="7" w:name="_Toc72325051"/>
      <w:bookmarkEnd w:id="5"/>
      <w:r w:rsidRPr="00644691">
        <w:t>Previous PBAC consideration</w:t>
      </w:r>
      <w:bookmarkEnd w:id="6"/>
      <w:bookmarkEnd w:id="7"/>
    </w:p>
    <w:p w:rsidR="005C25FF" w:rsidRPr="00644691" w:rsidRDefault="005C25FF" w:rsidP="00656397">
      <w:pPr>
        <w:pStyle w:val="TableFigureCaption"/>
      </w:pPr>
      <w:bookmarkStart w:id="8" w:name="_Ref79008656"/>
      <w:r w:rsidRPr="00644691">
        <w:t xml:space="preserve">Table </w:t>
      </w:r>
      <w:r w:rsidR="000C6AFA">
        <w:rPr>
          <w:noProof/>
        </w:rPr>
        <w:t>2</w:t>
      </w:r>
      <w:bookmarkEnd w:id="8"/>
      <w:r w:rsidRPr="00644691">
        <w:t>: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4094"/>
        <w:gridCol w:w="3776"/>
      </w:tblGrid>
      <w:tr w:rsidR="005C25FF" w:rsidRPr="00644691" w:rsidTr="00791F3C">
        <w:trPr>
          <w:cantSplit/>
          <w:tblHeader/>
        </w:trPr>
        <w:tc>
          <w:tcPr>
            <w:tcW w:w="636" w:type="pct"/>
            <w:vAlign w:val="center"/>
          </w:tcPr>
          <w:p w:rsidR="005C25FF" w:rsidRPr="00644691" w:rsidRDefault="005C25FF" w:rsidP="00656397">
            <w:pPr>
              <w:pStyle w:val="Tableheadingrow"/>
              <w:keepNext w:val="0"/>
              <w:rPr>
                <w:lang w:val="en-AU"/>
              </w:rPr>
            </w:pPr>
            <w:r w:rsidRPr="00644691">
              <w:rPr>
                <w:lang w:val="en-AU"/>
              </w:rPr>
              <w:t>Component</w:t>
            </w:r>
          </w:p>
        </w:tc>
        <w:tc>
          <w:tcPr>
            <w:tcW w:w="2270" w:type="pct"/>
            <w:vAlign w:val="center"/>
          </w:tcPr>
          <w:p w:rsidR="005C25FF" w:rsidRPr="00644691" w:rsidRDefault="005C25FF" w:rsidP="002D49CA">
            <w:pPr>
              <w:pStyle w:val="Tableheadingrow"/>
              <w:jc w:val="center"/>
              <w:rPr>
                <w:lang w:val="en-AU"/>
              </w:rPr>
            </w:pPr>
            <w:r w:rsidRPr="00644691">
              <w:rPr>
                <w:lang w:val="en-AU"/>
              </w:rPr>
              <w:t>Matter of concern</w:t>
            </w:r>
          </w:p>
        </w:tc>
        <w:tc>
          <w:tcPr>
            <w:tcW w:w="2094" w:type="pct"/>
            <w:vAlign w:val="center"/>
          </w:tcPr>
          <w:p w:rsidR="005C25FF" w:rsidRPr="00644691" w:rsidRDefault="005C25FF" w:rsidP="002D49CA">
            <w:pPr>
              <w:pStyle w:val="Tableheadingrow"/>
              <w:jc w:val="center"/>
              <w:rPr>
                <w:lang w:val="en-AU"/>
              </w:rPr>
            </w:pPr>
            <w:r w:rsidRPr="00644691">
              <w:rPr>
                <w:lang w:val="en-AU"/>
              </w:rPr>
              <w:t>How the resubmission addresses it</w:t>
            </w:r>
          </w:p>
        </w:tc>
      </w:tr>
      <w:tr w:rsidR="001B22B6" w:rsidRPr="00644691" w:rsidTr="00791F3C">
        <w:trPr>
          <w:cantSplit/>
          <w:trHeight w:val="2155"/>
        </w:trPr>
        <w:tc>
          <w:tcPr>
            <w:tcW w:w="636" w:type="pct"/>
            <w:vAlign w:val="center"/>
          </w:tcPr>
          <w:p w:rsidR="001B22B6" w:rsidRPr="00644691" w:rsidRDefault="001B22B6" w:rsidP="00656397">
            <w:pPr>
              <w:pStyle w:val="TableText"/>
              <w:keepNext w:val="0"/>
            </w:pPr>
            <w:r w:rsidRPr="00644691">
              <w:t>Main comparator</w:t>
            </w:r>
          </w:p>
        </w:tc>
        <w:tc>
          <w:tcPr>
            <w:tcW w:w="2270" w:type="pct"/>
          </w:tcPr>
          <w:p w:rsidR="001B22B6" w:rsidRPr="00644691" w:rsidRDefault="001B22B6" w:rsidP="00446FEF">
            <w:pPr>
              <w:pStyle w:val="TableText"/>
              <w:keepLines/>
              <w:rPr>
                <w:rFonts w:eastAsia="Times New Roman" w:cs="Arial"/>
                <w:bCs w:val="0"/>
                <w:iCs/>
                <w:snapToGrid w:val="0"/>
                <w:szCs w:val="20"/>
              </w:rPr>
            </w:pPr>
            <w:r w:rsidRPr="00644691">
              <w:rPr>
                <w:rFonts w:eastAsia="Times New Roman" w:cs="Arial"/>
                <w:bCs w:val="0"/>
                <w:iCs/>
                <w:snapToGrid w:val="0"/>
                <w:szCs w:val="20"/>
              </w:rPr>
              <w:t>The PBAC considered that the appropriate comparator for the majority of dapagliflozin use would be ‘standard of care’ consisting of an ACE inhibitor (or ARB) and a beta-blocker (</w:t>
            </w:r>
            <w:r w:rsidR="001A74BF" w:rsidRPr="00644691">
              <w:rPr>
                <w:rFonts w:eastAsia="Times New Roman" w:cs="Arial"/>
                <w:bCs w:val="0"/>
                <w:iCs/>
                <w:snapToGrid w:val="0"/>
                <w:szCs w:val="20"/>
              </w:rPr>
              <w:t>paragraph</w:t>
            </w:r>
            <w:r w:rsidRPr="00644691">
              <w:rPr>
                <w:rFonts w:eastAsia="Times New Roman" w:cs="Arial"/>
                <w:bCs w:val="0"/>
                <w:iCs/>
                <w:snapToGrid w:val="0"/>
                <w:szCs w:val="20"/>
              </w:rPr>
              <w:t xml:space="preserve"> 7.4, dapagliflozin, </w:t>
            </w:r>
            <w:r w:rsidR="00C5400D" w:rsidRPr="00644691">
              <w:rPr>
                <w:rFonts w:eastAsia="Times New Roman" w:cs="Arial"/>
                <w:bCs w:val="0"/>
                <w:iCs/>
                <w:snapToGrid w:val="0"/>
                <w:szCs w:val="20"/>
              </w:rPr>
              <w:t>PSD</w:t>
            </w:r>
            <w:r w:rsidRPr="00644691">
              <w:rPr>
                <w:rFonts w:eastAsia="Times New Roman" w:cs="Arial"/>
                <w:bCs w:val="0"/>
                <w:iCs/>
                <w:snapToGrid w:val="0"/>
                <w:szCs w:val="20"/>
              </w:rPr>
              <w:t>, November 2020 PBAC meeting).</w:t>
            </w:r>
          </w:p>
          <w:p w:rsidR="001B22B6" w:rsidRPr="00644691" w:rsidRDefault="001B22B6" w:rsidP="00446FEF">
            <w:pPr>
              <w:pStyle w:val="TableText"/>
              <w:keepLines/>
              <w:rPr>
                <w:rFonts w:eastAsia="Times New Roman" w:cs="Arial"/>
                <w:bCs w:val="0"/>
                <w:iCs/>
                <w:snapToGrid w:val="0"/>
                <w:szCs w:val="20"/>
              </w:rPr>
            </w:pPr>
          </w:p>
          <w:p w:rsidR="001B22B6" w:rsidRPr="00644691" w:rsidRDefault="001B22B6" w:rsidP="00446FEF">
            <w:pPr>
              <w:pStyle w:val="TableText"/>
              <w:keepLines/>
              <w:rPr>
                <w:rFonts w:eastAsia="Times New Roman" w:cs="Arial"/>
                <w:bCs w:val="0"/>
                <w:iCs/>
                <w:snapToGrid w:val="0"/>
                <w:szCs w:val="20"/>
              </w:rPr>
            </w:pPr>
            <w:r w:rsidRPr="00644691">
              <w:rPr>
                <w:rFonts w:eastAsia="Times New Roman" w:cs="Arial"/>
                <w:bCs w:val="0"/>
                <w:iCs/>
                <w:snapToGrid w:val="0"/>
                <w:szCs w:val="20"/>
              </w:rPr>
              <w:t>The PBAC considered that ‘standard of care plus sacubitril/valsartan’ (i.e., a beta-blocker plus sacubitril/valsartan) would be an appropriate comparator for a minor proportion of the proposed population. The PBAC considered that this portion could be reasonably estimated as somewhere between 11% and 20% (</w:t>
            </w:r>
            <w:r w:rsidR="001A74BF" w:rsidRPr="00644691">
              <w:rPr>
                <w:rFonts w:eastAsia="Times New Roman" w:cs="Arial"/>
                <w:bCs w:val="0"/>
                <w:iCs/>
                <w:snapToGrid w:val="0"/>
                <w:szCs w:val="20"/>
              </w:rPr>
              <w:t>paragraph</w:t>
            </w:r>
            <w:r w:rsidRPr="00644691">
              <w:rPr>
                <w:rFonts w:eastAsia="Times New Roman" w:cs="Arial"/>
                <w:bCs w:val="0"/>
                <w:iCs/>
                <w:snapToGrid w:val="0"/>
                <w:szCs w:val="20"/>
              </w:rPr>
              <w:t xml:space="preserve"> 7.5, dapagliflozin, </w:t>
            </w:r>
            <w:r w:rsidR="00C5400D" w:rsidRPr="00644691">
              <w:rPr>
                <w:rFonts w:eastAsia="Times New Roman" w:cs="Arial"/>
                <w:bCs w:val="0"/>
                <w:iCs/>
                <w:snapToGrid w:val="0"/>
                <w:szCs w:val="20"/>
              </w:rPr>
              <w:t>PSD</w:t>
            </w:r>
            <w:r w:rsidRPr="00644691">
              <w:rPr>
                <w:rFonts w:eastAsia="Times New Roman" w:cs="Arial"/>
                <w:bCs w:val="0"/>
                <w:iCs/>
                <w:snapToGrid w:val="0"/>
                <w:szCs w:val="20"/>
              </w:rPr>
              <w:t>, November 2020 PBAC meeting).</w:t>
            </w:r>
          </w:p>
        </w:tc>
        <w:tc>
          <w:tcPr>
            <w:tcW w:w="2094" w:type="pct"/>
            <w:vAlign w:val="center"/>
          </w:tcPr>
          <w:p w:rsidR="001B22B6" w:rsidRPr="00644691" w:rsidRDefault="00CF703C" w:rsidP="00205750">
            <w:pPr>
              <w:pStyle w:val="TableText"/>
              <w:keepLines/>
            </w:pPr>
            <w:r w:rsidRPr="00644691">
              <w:t>A</w:t>
            </w:r>
            <w:r w:rsidR="00205750" w:rsidRPr="00644691">
              <w:t>ddressed</w:t>
            </w:r>
            <w:r w:rsidRPr="00644691">
              <w:t>.</w:t>
            </w:r>
            <w:r w:rsidR="00205750" w:rsidRPr="00644691">
              <w:t xml:space="preserve"> </w:t>
            </w:r>
            <w:r w:rsidR="001B22B6" w:rsidRPr="00644691">
              <w:t>The resubmission nominated standard care as the main comparator, defined as a beta-blocker plus an ACE inhibitor or ARB (with or without an MRA and other heart failure medications) for the majority of patients (80-89%); and a beta-blocker plus an ARNI (with or without an MRA and other heart failure medications) for a minor proportion of patients (11-20%).</w:t>
            </w:r>
          </w:p>
        </w:tc>
      </w:tr>
      <w:tr w:rsidR="005C25FF" w:rsidRPr="00644691" w:rsidTr="00791F3C">
        <w:trPr>
          <w:cantSplit/>
        </w:trPr>
        <w:tc>
          <w:tcPr>
            <w:tcW w:w="636" w:type="pct"/>
            <w:vAlign w:val="center"/>
          </w:tcPr>
          <w:p w:rsidR="005C25FF" w:rsidRPr="00644691" w:rsidRDefault="005C25FF" w:rsidP="00656397">
            <w:pPr>
              <w:pStyle w:val="TableText"/>
              <w:keepNext w:val="0"/>
            </w:pPr>
            <w:r w:rsidRPr="00644691">
              <w:t>Clinical place in therapy</w:t>
            </w:r>
          </w:p>
        </w:tc>
        <w:tc>
          <w:tcPr>
            <w:tcW w:w="2270" w:type="pct"/>
          </w:tcPr>
          <w:p w:rsidR="005C25FF" w:rsidRPr="00644691" w:rsidRDefault="00982F3B" w:rsidP="001A74BF">
            <w:pPr>
              <w:pStyle w:val="TableText"/>
              <w:keepLines/>
              <w:rPr>
                <w:rFonts w:eastAsia="Times New Roman" w:cs="Arial"/>
                <w:bCs w:val="0"/>
                <w:iCs/>
                <w:snapToGrid w:val="0"/>
                <w:szCs w:val="20"/>
              </w:rPr>
            </w:pPr>
            <w:r w:rsidRPr="00644691">
              <w:rPr>
                <w:rFonts w:eastAsia="Times New Roman" w:cs="Arial"/>
                <w:bCs w:val="0"/>
                <w:iCs/>
                <w:snapToGrid w:val="0"/>
                <w:szCs w:val="20"/>
              </w:rPr>
              <w:t xml:space="preserve">The PBAC considered that dapagliflozin has a different mechanism of action compared to sacubitril/valsartan, </w:t>
            </w:r>
            <w:r w:rsidR="008109E3" w:rsidRPr="00644691">
              <w:rPr>
                <w:rFonts w:eastAsia="Times New Roman" w:cs="Arial"/>
                <w:bCs w:val="0"/>
                <w:iCs/>
                <w:snapToGrid w:val="0"/>
                <w:szCs w:val="20"/>
              </w:rPr>
              <w:t xml:space="preserve">and </w:t>
            </w:r>
            <w:r w:rsidRPr="00644691">
              <w:rPr>
                <w:rFonts w:eastAsia="Times New Roman" w:cs="Arial"/>
                <w:bCs w:val="0"/>
                <w:iCs/>
                <w:snapToGrid w:val="0"/>
                <w:szCs w:val="20"/>
              </w:rPr>
              <w:t xml:space="preserve">patients will potentially switch from, add-on, or displace sacubitril/valsartan, or grow the current heart failure market </w:t>
            </w:r>
            <w:r w:rsidR="00603D7B" w:rsidRPr="00644691">
              <w:rPr>
                <w:rFonts w:eastAsia="Times New Roman" w:cs="Arial"/>
                <w:bCs w:val="0"/>
                <w:iCs/>
                <w:snapToGrid w:val="0"/>
                <w:szCs w:val="20"/>
              </w:rPr>
              <w:t>(</w:t>
            </w:r>
            <w:r w:rsidR="001A74BF" w:rsidRPr="00644691">
              <w:rPr>
                <w:rFonts w:eastAsia="Times New Roman" w:cs="Arial"/>
                <w:bCs w:val="0"/>
                <w:iCs/>
                <w:snapToGrid w:val="0"/>
                <w:szCs w:val="20"/>
              </w:rPr>
              <w:t>paragraph</w:t>
            </w:r>
            <w:r w:rsidR="00EE343E" w:rsidRPr="00644691">
              <w:rPr>
                <w:rFonts w:eastAsia="Times New Roman" w:cs="Arial"/>
                <w:bCs w:val="0"/>
                <w:iCs/>
                <w:snapToGrid w:val="0"/>
                <w:szCs w:val="20"/>
              </w:rPr>
              <w:t> </w:t>
            </w:r>
            <w:r w:rsidR="00603D7B" w:rsidRPr="00644691">
              <w:rPr>
                <w:rFonts w:eastAsia="Times New Roman" w:cs="Arial"/>
                <w:bCs w:val="0"/>
                <w:iCs/>
                <w:snapToGrid w:val="0"/>
                <w:szCs w:val="20"/>
              </w:rPr>
              <w:t>7.</w:t>
            </w:r>
            <w:r w:rsidRPr="00644691">
              <w:rPr>
                <w:rFonts w:eastAsia="Times New Roman" w:cs="Arial"/>
                <w:bCs w:val="0"/>
                <w:iCs/>
                <w:snapToGrid w:val="0"/>
                <w:szCs w:val="20"/>
              </w:rPr>
              <w:t>3</w:t>
            </w:r>
            <w:r w:rsidR="00603D7B" w:rsidRPr="00644691">
              <w:rPr>
                <w:rFonts w:eastAsia="Times New Roman" w:cs="Arial"/>
                <w:bCs w:val="0"/>
                <w:iCs/>
                <w:snapToGrid w:val="0"/>
                <w:szCs w:val="20"/>
              </w:rPr>
              <w:t xml:space="preserve">, dapagliflozin, </w:t>
            </w:r>
            <w:r w:rsidR="00C5400D" w:rsidRPr="00644691">
              <w:rPr>
                <w:rFonts w:eastAsia="Times New Roman" w:cs="Arial"/>
                <w:bCs w:val="0"/>
                <w:iCs/>
                <w:snapToGrid w:val="0"/>
                <w:szCs w:val="20"/>
              </w:rPr>
              <w:t>PSD</w:t>
            </w:r>
            <w:r w:rsidR="00603D7B" w:rsidRPr="00644691">
              <w:rPr>
                <w:rFonts w:eastAsia="Times New Roman" w:cs="Arial"/>
                <w:bCs w:val="0"/>
                <w:iCs/>
                <w:snapToGrid w:val="0"/>
                <w:szCs w:val="20"/>
              </w:rPr>
              <w:t>, November 202</w:t>
            </w:r>
            <w:r w:rsidR="002C75A4" w:rsidRPr="00644691">
              <w:rPr>
                <w:rFonts w:eastAsia="Times New Roman" w:cs="Arial"/>
                <w:bCs w:val="0"/>
                <w:iCs/>
                <w:snapToGrid w:val="0"/>
                <w:szCs w:val="20"/>
              </w:rPr>
              <w:t>0 PBAC meeting</w:t>
            </w:r>
            <w:r w:rsidR="00603D7B" w:rsidRPr="00644691">
              <w:rPr>
                <w:rFonts w:eastAsia="Times New Roman" w:cs="Arial"/>
                <w:bCs w:val="0"/>
                <w:iCs/>
                <w:snapToGrid w:val="0"/>
                <w:szCs w:val="20"/>
              </w:rPr>
              <w:t>).</w:t>
            </w:r>
          </w:p>
        </w:tc>
        <w:tc>
          <w:tcPr>
            <w:tcW w:w="2094" w:type="pct"/>
          </w:tcPr>
          <w:p w:rsidR="005C25FF" w:rsidRPr="00644691" w:rsidRDefault="00205750" w:rsidP="00205750">
            <w:pPr>
              <w:pStyle w:val="TableText"/>
              <w:keepLines/>
              <w:rPr>
                <w:rFonts w:eastAsia="Times New Roman" w:cs="Arial"/>
                <w:bCs w:val="0"/>
                <w:snapToGrid w:val="0"/>
                <w:color w:val="0066FF"/>
                <w:szCs w:val="20"/>
              </w:rPr>
            </w:pPr>
            <w:r w:rsidRPr="00644691">
              <w:t xml:space="preserve">Addressed. </w:t>
            </w:r>
            <w:r w:rsidR="00FA244B" w:rsidRPr="00644691">
              <w:t>The resubmission positioned dapagliflozin as an add</w:t>
            </w:r>
            <w:r w:rsidR="00683DDC" w:rsidRPr="00644691">
              <w:t>-on therapy</w:t>
            </w:r>
            <w:r w:rsidR="00FA244B" w:rsidRPr="00644691">
              <w:t xml:space="preserve"> for patients treated with standard care that includes a beta blocker; </w:t>
            </w:r>
            <w:r w:rsidR="008109E3" w:rsidRPr="00644691">
              <w:t xml:space="preserve">and </w:t>
            </w:r>
            <w:r w:rsidR="00FA244B" w:rsidRPr="00644691">
              <w:t>an ACE inhibitor, ARB or ARNI</w:t>
            </w:r>
            <w:r w:rsidR="00683DDC" w:rsidRPr="00644691">
              <w:t>.</w:t>
            </w:r>
            <w:r w:rsidR="00AC1DB3" w:rsidRPr="00644691">
              <w:t xml:space="preserve"> </w:t>
            </w:r>
            <w:r w:rsidR="0056271E" w:rsidRPr="00644691">
              <w:t xml:space="preserve">Switching between an ARNI and dapagliflozin was not considered in the economic evaluation or financial estimates. </w:t>
            </w:r>
            <w:r w:rsidR="00AC1DB3" w:rsidRPr="00644691">
              <w:t xml:space="preserve">No </w:t>
            </w:r>
            <w:r w:rsidR="008A330B" w:rsidRPr="00644691">
              <w:t>new</w:t>
            </w:r>
            <w:r w:rsidR="00D33195" w:rsidRPr="00644691">
              <w:t xml:space="preserve"> or </w:t>
            </w:r>
            <w:r w:rsidR="008A330B" w:rsidRPr="00644691">
              <w:t>updated</w:t>
            </w:r>
            <w:r w:rsidR="00AC1DB3" w:rsidRPr="00644691">
              <w:t xml:space="preserve"> treatment guidelines were identified</w:t>
            </w:r>
            <w:r w:rsidR="008A330B" w:rsidRPr="00644691">
              <w:t xml:space="preserve"> in the resubmission.</w:t>
            </w:r>
          </w:p>
        </w:tc>
      </w:tr>
      <w:tr w:rsidR="00495759" w:rsidRPr="00644691" w:rsidTr="00791F3C">
        <w:trPr>
          <w:cantSplit/>
        </w:trPr>
        <w:tc>
          <w:tcPr>
            <w:tcW w:w="636" w:type="pct"/>
            <w:vAlign w:val="center"/>
          </w:tcPr>
          <w:p w:rsidR="00495759" w:rsidRPr="00644691" w:rsidRDefault="00495759" w:rsidP="00656397">
            <w:pPr>
              <w:pStyle w:val="TableText"/>
              <w:keepNext w:val="0"/>
            </w:pPr>
            <w:r w:rsidRPr="00644691">
              <w:t>Economic analysis</w:t>
            </w:r>
          </w:p>
        </w:tc>
        <w:tc>
          <w:tcPr>
            <w:tcW w:w="2270" w:type="pct"/>
          </w:tcPr>
          <w:p w:rsidR="00495759" w:rsidRPr="00644691" w:rsidRDefault="00495759" w:rsidP="00446FEF">
            <w:pPr>
              <w:pStyle w:val="TableText"/>
              <w:keepLines/>
              <w:rPr>
                <w:rFonts w:eastAsia="Times New Roman" w:cs="Arial"/>
                <w:bCs w:val="0"/>
                <w:iCs/>
                <w:snapToGrid w:val="0"/>
                <w:szCs w:val="20"/>
              </w:rPr>
            </w:pPr>
            <w:r w:rsidRPr="00644691">
              <w:rPr>
                <w:rFonts w:eastAsia="Times New Roman" w:cs="Arial"/>
                <w:bCs w:val="0"/>
                <w:iCs/>
                <w:snapToGrid w:val="0"/>
                <w:szCs w:val="20"/>
              </w:rPr>
              <w:t>The PBAC considered the cost</w:t>
            </w:r>
            <w:r w:rsidR="00D33195" w:rsidRPr="00644691">
              <w:rPr>
                <w:rFonts w:eastAsia="Times New Roman" w:cs="Arial"/>
                <w:bCs w:val="0"/>
                <w:iCs/>
                <w:snapToGrid w:val="0"/>
                <w:szCs w:val="20"/>
              </w:rPr>
              <w:t xml:space="preserve"> </w:t>
            </w:r>
            <w:r w:rsidRPr="00644691">
              <w:rPr>
                <w:rFonts w:eastAsia="Times New Roman" w:cs="Arial"/>
                <w:bCs w:val="0"/>
                <w:iCs/>
                <w:snapToGrid w:val="0"/>
                <w:szCs w:val="20"/>
              </w:rPr>
              <w:t xml:space="preserve">effectiveness of dapagliflozin added to standard care (comprising a beta-blocker plus an ACE inhibitor or ARB) versus standard care alone (comprising a beta-blocker plus an ACE inhibitor or ARB) would need to be established in a future resubmission. </w:t>
            </w:r>
            <w:r w:rsidR="00BF4FF2" w:rsidRPr="00644691">
              <w:rPr>
                <w:rFonts w:eastAsia="Times New Roman" w:cs="Arial"/>
                <w:bCs w:val="0"/>
                <w:iCs/>
                <w:snapToGrid w:val="0"/>
                <w:szCs w:val="20"/>
              </w:rPr>
              <w:t>The PBAC considered that a</w:t>
            </w:r>
            <w:r w:rsidRPr="00644691">
              <w:rPr>
                <w:rFonts w:eastAsia="Times New Roman" w:cs="Arial"/>
                <w:bCs w:val="0"/>
                <w:iCs/>
                <w:snapToGrid w:val="0"/>
                <w:szCs w:val="20"/>
              </w:rPr>
              <w:t xml:space="preserve">n additional cost-effectiveness analysis </w:t>
            </w:r>
            <w:r w:rsidR="00533607" w:rsidRPr="00644691">
              <w:rPr>
                <w:rFonts w:eastAsia="Times New Roman" w:cs="Arial"/>
                <w:bCs w:val="0"/>
                <w:iCs/>
                <w:snapToGrid w:val="0"/>
                <w:szCs w:val="20"/>
              </w:rPr>
              <w:t>would also be</w:t>
            </w:r>
            <w:r w:rsidRPr="00644691">
              <w:rPr>
                <w:rFonts w:eastAsia="Times New Roman" w:cs="Arial"/>
                <w:bCs w:val="0"/>
                <w:iCs/>
                <w:snapToGrid w:val="0"/>
                <w:szCs w:val="20"/>
              </w:rPr>
              <w:t xml:space="preserve"> required for concomitant use of dapagliflozin and sacubitril/valsartan (plus a beta-blocker) compared to sacubitril/valsartan (plus a beta-blocker), which would be allowed under the proposed PBS listing </w:t>
            </w:r>
            <w:r w:rsidR="00C14E62" w:rsidRPr="00644691">
              <w:rPr>
                <w:rFonts w:eastAsia="Times New Roman" w:cs="Arial"/>
                <w:bCs w:val="0"/>
                <w:iCs/>
                <w:snapToGrid w:val="0"/>
                <w:szCs w:val="20"/>
              </w:rPr>
              <w:t>(</w:t>
            </w:r>
            <w:r w:rsidR="001A74BF" w:rsidRPr="00644691">
              <w:rPr>
                <w:rFonts w:eastAsia="Times New Roman" w:cs="Arial"/>
                <w:bCs w:val="0"/>
                <w:iCs/>
                <w:snapToGrid w:val="0"/>
                <w:szCs w:val="20"/>
              </w:rPr>
              <w:t>paragraph</w:t>
            </w:r>
            <w:r w:rsidR="00740621" w:rsidRPr="00644691">
              <w:rPr>
                <w:rFonts w:eastAsia="Times New Roman" w:cs="Arial"/>
                <w:bCs w:val="0"/>
                <w:iCs/>
                <w:snapToGrid w:val="0"/>
                <w:szCs w:val="20"/>
              </w:rPr>
              <w:t xml:space="preserve"> </w:t>
            </w:r>
            <w:r w:rsidR="00C14E62" w:rsidRPr="00644691">
              <w:rPr>
                <w:rFonts w:eastAsia="Times New Roman" w:cs="Arial"/>
                <w:bCs w:val="0"/>
                <w:iCs/>
                <w:snapToGrid w:val="0"/>
                <w:szCs w:val="20"/>
              </w:rPr>
              <w:t xml:space="preserve">7.1, dapagliflozin, </w:t>
            </w:r>
            <w:r w:rsidR="00C5400D" w:rsidRPr="00644691">
              <w:rPr>
                <w:rFonts w:eastAsia="Times New Roman" w:cs="Arial"/>
                <w:bCs w:val="0"/>
                <w:iCs/>
                <w:snapToGrid w:val="0"/>
                <w:szCs w:val="20"/>
              </w:rPr>
              <w:t>PSD</w:t>
            </w:r>
            <w:r w:rsidR="00C14E62" w:rsidRPr="00644691">
              <w:rPr>
                <w:rFonts w:eastAsia="Times New Roman" w:cs="Arial"/>
                <w:bCs w:val="0"/>
                <w:iCs/>
                <w:snapToGrid w:val="0"/>
                <w:szCs w:val="20"/>
              </w:rPr>
              <w:t>, November 202</w:t>
            </w:r>
            <w:r w:rsidR="002C75A4" w:rsidRPr="00644691">
              <w:rPr>
                <w:rFonts w:eastAsia="Times New Roman" w:cs="Arial"/>
                <w:bCs w:val="0"/>
                <w:iCs/>
                <w:snapToGrid w:val="0"/>
                <w:szCs w:val="20"/>
              </w:rPr>
              <w:t>0 PBAC meeting</w:t>
            </w:r>
            <w:r w:rsidR="00C14E62" w:rsidRPr="00644691">
              <w:rPr>
                <w:rFonts w:eastAsia="Times New Roman" w:cs="Arial"/>
                <w:bCs w:val="0"/>
                <w:iCs/>
                <w:snapToGrid w:val="0"/>
                <w:szCs w:val="20"/>
              </w:rPr>
              <w:t>).</w:t>
            </w:r>
          </w:p>
        </w:tc>
        <w:tc>
          <w:tcPr>
            <w:tcW w:w="2094" w:type="pct"/>
          </w:tcPr>
          <w:p w:rsidR="00495759" w:rsidRPr="00644691" w:rsidRDefault="00205750" w:rsidP="00446FEF">
            <w:pPr>
              <w:pStyle w:val="TableText"/>
              <w:keepLines/>
              <w:rPr>
                <w:rFonts w:eastAsia="Times New Roman" w:cs="Arial"/>
                <w:bCs w:val="0"/>
                <w:snapToGrid w:val="0"/>
                <w:color w:val="0066FF"/>
                <w:szCs w:val="20"/>
              </w:rPr>
            </w:pPr>
            <w:r w:rsidRPr="00644691">
              <w:t xml:space="preserve">Addressed. </w:t>
            </w:r>
            <w:r w:rsidR="008649BA" w:rsidRPr="00644691">
              <w:t xml:space="preserve">The resubmission presented a modelled economic evaluation </w:t>
            </w:r>
            <w:r w:rsidR="008109E3" w:rsidRPr="00644691">
              <w:t>for</w:t>
            </w:r>
            <w:r w:rsidR="008649BA" w:rsidRPr="00644691">
              <w:t xml:space="preserve"> dapagliflozin plus standard care versus</w:t>
            </w:r>
            <w:r w:rsidR="008109E3" w:rsidRPr="00644691">
              <w:t xml:space="preserve"> placebo plus</w:t>
            </w:r>
            <w:r w:rsidR="008649BA" w:rsidRPr="00644691">
              <w:t xml:space="preserve"> standard care, in patients with HFrEF. The base-case results of the model comprised a weighted-average of the results for patients receiving a beta-blocker plus an ACE inhibitor or ARB (89.</w:t>
            </w:r>
            <w:r w:rsidR="006B1FC3" w:rsidRPr="00644691">
              <w:t>3</w:t>
            </w:r>
            <w:r w:rsidR="008649BA" w:rsidRPr="00644691">
              <w:t>%); and patients receiving a beta-blocker plus an ARNI (10.</w:t>
            </w:r>
            <w:r w:rsidR="006B1FC3" w:rsidRPr="00644691">
              <w:t>7</w:t>
            </w:r>
            <w:r w:rsidR="008649BA" w:rsidRPr="00644691">
              <w:t>%)</w:t>
            </w:r>
            <w:r w:rsidR="002D49CA" w:rsidRPr="00644691">
              <w:t xml:space="preserve">, </w:t>
            </w:r>
            <w:r w:rsidR="00740C59" w:rsidRPr="00644691">
              <w:t xml:space="preserve">based on </w:t>
            </w:r>
            <w:r w:rsidR="00514811" w:rsidRPr="00644691">
              <w:t xml:space="preserve">the distribution of </w:t>
            </w:r>
            <w:r w:rsidR="00740C59" w:rsidRPr="00644691">
              <w:t>ARNI use in the DAPA-HF trial.</w:t>
            </w:r>
          </w:p>
        </w:tc>
      </w:tr>
      <w:tr w:rsidR="00495759" w:rsidRPr="00644691" w:rsidTr="00791F3C">
        <w:trPr>
          <w:cantSplit/>
        </w:trPr>
        <w:tc>
          <w:tcPr>
            <w:tcW w:w="636" w:type="pct"/>
            <w:vAlign w:val="center"/>
          </w:tcPr>
          <w:p w:rsidR="00495759" w:rsidRPr="00644691" w:rsidRDefault="00533607" w:rsidP="00656397">
            <w:pPr>
              <w:pStyle w:val="TableText"/>
              <w:keepNext w:val="0"/>
            </w:pPr>
            <w:r w:rsidRPr="00644691">
              <w:t>Financial estimates</w:t>
            </w:r>
          </w:p>
        </w:tc>
        <w:tc>
          <w:tcPr>
            <w:tcW w:w="2270" w:type="pct"/>
          </w:tcPr>
          <w:p w:rsidR="00495759" w:rsidRPr="00644691" w:rsidRDefault="00E27BBF" w:rsidP="00446FEF">
            <w:pPr>
              <w:pStyle w:val="TableText"/>
              <w:keepLines/>
              <w:rPr>
                <w:rFonts w:eastAsia="Times New Roman" w:cs="Arial"/>
                <w:bCs w:val="0"/>
                <w:iCs/>
                <w:snapToGrid w:val="0"/>
                <w:szCs w:val="20"/>
              </w:rPr>
            </w:pPr>
            <w:r w:rsidRPr="00644691">
              <w:rPr>
                <w:rFonts w:eastAsia="Times New Roman" w:cs="Arial"/>
                <w:bCs w:val="0"/>
                <w:iCs/>
                <w:snapToGrid w:val="0"/>
                <w:szCs w:val="20"/>
              </w:rPr>
              <w:t>The PBAC noted the DUSC’s advice that the financial estimates were likely underestimated and agreed that there were a number of issues including a high risk of leakage in earlier stages of disease, underestimated uptake rates, and a lack of accounting for concomitant use of dapagliflozin and sacubitril/valsartan</w:t>
            </w:r>
            <w:r w:rsidR="008C44AA" w:rsidRPr="00644691">
              <w:rPr>
                <w:rFonts w:eastAsia="Times New Roman" w:cs="Arial"/>
                <w:bCs w:val="0"/>
                <w:iCs/>
                <w:snapToGrid w:val="0"/>
                <w:szCs w:val="20"/>
              </w:rPr>
              <w:t xml:space="preserve"> (</w:t>
            </w:r>
            <w:r w:rsidR="001A74BF" w:rsidRPr="00644691">
              <w:rPr>
                <w:rFonts w:eastAsia="Times New Roman" w:cs="Arial"/>
                <w:bCs w:val="0"/>
                <w:iCs/>
                <w:snapToGrid w:val="0"/>
                <w:szCs w:val="20"/>
              </w:rPr>
              <w:t>paragraph</w:t>
            </w:r>
            <w:r w:rsidR="00740621" w:rsidRPr="00644691">
              <w:rPr>
                <w:rFonts w:eastAsia="Times New Roman" w:cs="Arial"/>
                <w:bCs w:val="0"/>
                <w:iCs/>
                <w:snapToGrid w:val="0"/>
                <w:szCs w:val="20"/>
              </w:rPr>
              <w:t xml:space="preserve"> </w:t>
            </w:r>
            <w:r w:rsidR="008C44AA" w:rsidRPr="00644691">
              <w:rPr>
                <w:rFonts w:eastAsia="Times New Roman" w:cs="Arial"/>
                <w:bCs w:val="0"/>
                <w:iCs/>
                <w:snapToGrid w:val="0"/>
                <w:szCs w:val="20"/>
              </w:rPr>
              <w:t xml:space="preserve">7.12, dapagliflozin, </w:t>
            </w:r>
            <w:r w:rsidR="00C5400D" w:rsidRPr="00644691">
              <w:rPr>
                <w:rFonts w:eastAsia="Times New Roman" w:cs="Arial"/>
                <w:bCs w:val="0"/>
                <w:iCs/>
                <w:snapToGrid w:val="0"/>
                <w:szCs w:val="20"/>
              </w:rPr>
              <w:t>PSD</w:t>
            </w:r>
            <w:r w:rsidR="008C44AA" w:rsidRPr="00644691">
              <w:rPr>
                <w:rFonts w:eastAsia="Times New Roman" w:cs="Arial"/>
                <w:bCs w:val="0"/>
                <w:iCs/>
                <w:snapToGrid w:val="0"/>
                <w:szCs w:val="20"/>
              </w:rPr>
              <w:t>, November 202</w:t>
            </w:r>
            <w:r w:rsidR="002C75A4" w:rsidRPr="00644691">
              <w:rPr>
                <w:rFonts w:eastAsia="Times New Roman" w:cs="Arial"/>
                <w:bCs w:val="0"/>
                <w:iCs/>
                <w:snapToGrid w:val="0"/>
                <w:szCs w:val="20"/>
              </w:rPr>
              <w:t>0 PBAC meeting</w:t>
            </w:r>
            <w:r w:rsidR="008C44AA" w:rsidRPr="00644691">
              <w:rPr>
                <w:rFonts w:eastAsia="Times New Roman" w:cs="Arial"/>
                <w:bCs w:val="0"/>
                <w:iCs/>
                <w:snapToGrid w:val="0"/>
                <w:szCs w:val="20"/>
              </w:rPr>
              <w:t>).</w:t>
            </w:r>
          </w:p>
        </w:tc>
        <w:tc>
          <w:tcPr>
            <w:tcW w:w="2094" w:type="pct"/>
          </w:tcPr>
          <w:p w:rsidR="00495759" w:rsidRPr="00644691" w:rsidRDefault="00205750" w:rsidP="00446FEF">
            <w:pPr>
              <w:pStyle w:val="TableText"/>
              <w:keepLines/>
              <w:rPr>
                <w:rFonts w:eastAsia="Times New Roman" w:cs="Arial"/>
                <w:bCs w:val="0"/>
                <w:iCs/>
                <w:snapToGrid w:val="0"/>
                <w:szCs w:val="20"/>
              </w:rPr>
            </w:pPr>
            <w:r w:rsidRPr="00644691">
              <w:rPr>
                <w:rFonts w:eastAsia="Times New Roman" w:cs="Arial"/>
                <w:bCs w:val="0"/>
                <w:iCs/>
                <w:snapToGrid w:val="0"/>
                <w:szCs w:val="20"/>
              </w:rPr>
              <w:t xml:space="preserve">Addressed. </w:t>
            </w:r>
            <w:r w:rsidR="008649BA" w:rsidRPr="00644691">
              <w:rPr>
                <w:rFonts w:eastAsia="Times New Roman" w:cs="Arial"/>
                <w:bCs w:val="0"/>
                <w:iCs/>
                <w:snapToGrid w:val="0"/>
                <w:szCs w:val="20"/>
              </w:rPr>
              <w:t xml:space="preserve">The resubmission updated the epidemiological </w:t>
            </w:r>
            <w:r w:rsidR="00DC44E2" w:rsidRPr="00644691">
              <w:rPr>
                <w:rFonts w:eastAsia="Times New Roman" w:cs="Arial"/>
                <w:bCs w:val="0"/>
                <w:iCs/>
                <w:snapToGrid w:val="0"/>
                <w:szCs w:val="20"/>
              </w:rPr>
              <w:t xml:space="preserve">inputs, dapagliflozin uptake rates, and compliance assumptions used to </w:t>
            </w:r>
            <w:r w:rsidR="008649BA" w:rsidRPr="00644691">
              <w:rPr>
                <w:rFonts w:eastAsia="Times New Roman" w:cs="Arial"/>
                <w:bCs w:val="0"/>
                <w:iCs/>
                <w:snapToGrid w:val="0"/>
                <w:szCs w:val="20"/>
              </w:rPr>
              <w:t>derive the financial impacts</w:t>
            </w:r>
            <w:r w:rsidR="00DC44E2" w:rsidRPr="00644691">
              <w:rPr>
                <w:rFonts w:eastAsia="Times New Roman" w:cs="Arial"/>
                <w:bCs w:val="0"/>
                <w:iCs/>
                <w:snapToGrid w:val="0"/>
                <w:szCs w:val="20"/>
              </w:rPr>
              <w:t>. PBS and MBS cost offsets associated with displaced sacubitril/valsartan prescriptions</w:t>
            </w:r>
            <w:r w:rsidR="00C8368D" w:rsidRPr="00644691">
              <w:rPr>
                <w:rFonts w:eastAsia="Times New Roman" w:cs="Arial"/>
                <w:bCs w:val="0"/>
                <w:iCs/>
                <w:snapToGrid w:val="0"/>
                <w:szCs w:val="20"/>
              </w:rPr>
              <w:t xml:space="preserve"> included in the November 2020 submission</w:t>
            </w:r>
            <w:r w:rsidR="00DC44E2" w:rsidRPr="00644691">
              <w:rPr>
                <w:rFonts w:eastAsia="Times New Roman" w:cs="Arial"/>
                <w:bCs w:val="0"/>
                <w:iCs/>
                <w:snapToGrid w:val="0"/>
                <w:szCs w:val="20"/>
              </w:rPr>
              <w:t xml:space="preserve"> </w:t>
            </w:r>
            <w:r w:rsidR="001C6BD0" w:rsidRPr="00644691">
              <w:rPr>
                <w:rFonts w:eastAsia="Times New Roman" w:cs="Arial"/>
                <w:bCs w:val="0"/>
                <w:iCs/>
                <w:snapToGrid w:val="0"/>
                <w:szCs w:val="20"/>
              </w:rPr>
              <w:t xml:space="preserve">were </w:t>
            </w:r>
            <w:r w:rsidR="00DC44E2" w:rsidRPr="00644691">
              <w:rPr>
                <w:rFonts w:eastAsia="Times New Roman" w:cs="Arial"/>
                <w:bCs w:val="0"/>
                <w:iCs/>
                <w:snapToGrid w:val="0"/>
                <w:szCs w:val="20"/>
              </w:rPr>
              <w:t>removed from the budget impact estimates.</w:t>
            </w:r>
          </w:p>
        </w:tc>
      </w:tr>
      <w:tr w:rsidR="00495759" w:rsidRPr="00644691" w:rsidTr="00791F3C">
        <w:trPr>
          <w:cantSplit/>
        </w:trPr>
        <w:tc>
          <w:tcPr>
            <w:tcW w:w="636" w:type="pct"/>
            <w:vAlign w:val="center"/>
          </w:tcPr>
          <w:p w:rsidR="00495759" w:rsidRPr="00644691" w:rsidRDefault="00B5367D" w:rsidP="00656397">
            <w:pPr>
              <w:pStyle w:val="TableText"/>
              <w:keepNext w:val="0"/>
            </w:pPr>
            <w:r w:rsidRPr="00644691">
              <w:lastRenderedPageBreak/>
              <w:t>Quality use of medicines</w:t>
            </w:r>
          </w:p>
        </w:tc>
        <w:tc>
          <w:tcPr>
            <w:tcW w:w="2270" w:type="pct"/>
          </w:tcPr>
          <w:p w:rsidR="00495759" w:rsidRPr="00644691" w:rsidRDefault="00B5367D" w:rsidP="00446FEF">
            <w:pPr>
              <w:pStyle w:val="TableText"/>
              <w:keepLines/>
              <w:rPr>
                <w:rFonts w:eastAsia="Times New Roman" w:cs="Arial"/>
                <w:bCs w:val="0"/>
                <w:iCs/>
                <w:snapToGrid w:val="0"/>
                <w:szCs w:val="20"/>
              </w:rPr>
            </w:pPr>
            <w:bookmarkStart w:id="9" w:name="_Hlk68684944"/>
            <w:r w:rsidRPr="00644691">
              <w:rPr>
                <w:rFonts w:eastAsia="Times New Roman" w:cs="Arial"/>
                <w:bCs w:val="0"/>
                <w:iCs/>
                <w:snapToGrid w:val="0"/>
                <w:szCs w:val="20"/>
              </w:rPr>
              <w:t>T</w:t>
            </w:r>
            <w:r w:rsidR="00E27BBF" w:rsidRPr="00644691">
              <w:rPr>
                <w:rFonts w:eastAsia="Times New Roman" w:cs="Arial"/>
                <w:bCs w:val="0"/>
                <w:iCs/>
                <w:snapToGrid w:val="0"/>
                <w:szCs w:val="20"/>
              </w:rPr>
              <w:t xml:space="preserve">he PBAC expressed concern around the QUM issues </w:t>
            </w:r>
            <w:r w:rsidR="00577C10" w:rsidRPr="00644691">
              <w:rPr>
                <w:rFonts w:eastAsia="Times New Roman" w:cs="Arial"/>
                <w:bCs w:val="0"/>
                <w:iCs/>
                <w:snapToGrid w:val="0"/>
                <w:szCs w:val="20"/>
              </w:rPr>
              <w:t>raised in the evaluation and by DUSC</w:t>
            </w:r>
            <w:r w:rsidR="00E27BBF" w:rsidRPr="00644691">
              <w:rPr>
                <w:rFonts w:eastAsia="Times New Roman" w:cs="Arial"/>
                <w:bCs w:val="0"/>
                <w:iCs/>
                <w:snapToGrid w:val="0"/>
                <w:szCs w:val="20"/>
              </w:rPr>
              <w:t>, noting that these were not identified or addressed in the submission</w:t>
            </w:r>
            <w:r w:rsidR="008C44AA" w:rsidRPr="00644691">
              <w:rPr>
                <w:rFonts w:eastAsia="Times New Roman" w:cs="Arial"/>
                <w:bCs w:val="0"/>
                <w:iCs/>
                <w:snapToGrid w:val="0"/>
                <w:szCs w:val="20"/>
              </w:rPr>
              <w:t xml:space="preserve"> (</w:t>
            </w:r>
            <w:r w:rsidR="001A74BF" w:rsidRPr="00644691">
              <w:rPr>
                <w:rFonts w:eastAsia="Times New Roman" w:cs="Arial"/>
                <w:bCs w:val="0"/>
                <w:iCs/>
                <w:snapToGrid w:val="0"/>
                <w:szCs w:val="20"/>
              </w:rPr>
              <w:t>paragraph</w:t>
            </w:r>
            <w:r w:rsidR="00740621" w:rsidRPr="00644691">
              <w:rPr>
                <w:rFonts w:eastAsia="Times New Roman" w:cs="Arial"/>
                <w:bCs w:val="0"/>
                <w:iCs/>
                <w:snapToGrid w:val="0"/>
                <w:szCs w:val="20"/>
              </w:rPr>
              <w:t xml:space="preserve"> </w:t>
            </w:r>
            <w:r w:rsidR="008C44AA" w:rsidRPr="00644691">
              <w:rPr>
                <w:rFonts w:eastAsia="Times New Roman" w:cs="Arial"/>
                <w:bCs w:val="0"/>
                <w:iCs/>
                <w:snapToGrid w:val="0"/>
                <w:szCs w:val="20"/>
              </w:rPr>
              <w:t xml:space="preserve">7.12, dapagliflozin, </w:t>
            </w:r>
            <w:r w:rsidR="00C5400D" w:rsidRPr="00644691">
              <w:rPr>
                <w:rFonts w:eastAsia="Times New Roman" w:cs="Arial"/>
                <w:bCs w:val="0"/>
                <w:iCs/>
                <w:snapToGrid w:val="0"/>
                <w:szCs w:val="20"/>
              </w:rPr>
              <w:t>PSD</w:t>
            </w:r>
            <w:r w:rsidR="008C44AA" w:rsidRPr="00644691">
              <w:rPr>
                <w:rFonts w:eastAsia="Times New Roman" w:cs="Arial"/>
                <w:bCs w:val="0"/>
                <w:iCs/>
                <w:snapToGrid w:val="0"/>
                <w:szCs w:val="20"/>
              </w:rPr>
              <w:t>, November 202</w:t>
            </w:r>
            <w:r w:rsidR="002C75A4" w:rsidRPr="00644691">
              <w:rPr>
                <w:rFonts w:eastAsia="Times New Roman" w:cs="Arial"/>
                <w:bCs w:val="0"/>
                <w:iCs/>
                <w:snapToGrid w:val="0"/>
                <w:szCs w:val="20"/>
              </w:rPr>
              <w:t>0 PBAC meeting</w:t>
            </w:r>
            <w:r w:rsidR="008C44AA" w:rsidRPr="00644691">
              <w:rPr>
                <w:rFonts w:eastAsia="Times New Roman" w:cs="Arial"/>
                <w:bCs w:val="0"/>
                <w:iCs/>
                <w:snapToGrid w:val="0"/>
                <w:szCs w:val="20"/>
              </w:rPr>
              <w:t>).</w:t>
            </w:r>
            <w:bookmarkEnd w:id="9"/>
          </w:p>
        </w:tc>
        <w:tc>
          <w:tcPr>
            <w:tcW w:w="2094" w:type="pct"/>
          </w:tcPr>
          <w:p w:rsidR="00495759" w:rsidRPr="00644691" w:rsidRDefault="00205750" w:rsidP="00164193">
            <w:pPr>
              <w:pStyle w:val="TableText"/>
              <w:keepLines/>
              <w:rPr>
                <w:rFonts w:eastAsia="Times New Roman" w:cs="Arial"/>
                <w:bCs w:val="0"/>
                <w:iCs/>
                <w:snapToGrid w:val="0"/>
                <w:szCs w:val="20"/>
              </w:rPr>
            </w:pPr>
            <w:r w:rsidRPr="00644691">
              <w:rPr>
                <w:rFonts w:eastAsia="Times New Roman" w:cs="Arial"/>
                <w:bCs w:val="0"/>
                <w:iCs/>
                <w:snapToGrid w:val="0"/>
                <w:szCs w:val="20"/>
              </w:rPr>
              <w:t xml:space="preserve">Addressed. </w:t>
            </w:r>
            <w:r w:rsidR="006E2C79" w:rsidRPr="00644691">
              <w:rPr>
                <w:rFonts w:eastAsia="Times New Roman" w:cs="Arial"/>
                <w:bCs w:val="0"/>
                <w:iCs/>
                <w:snapToGrid w:val="0"/>
                <w:szCs w:val="20"/>
              </w:rPr>
              <w:t xml:space="preserve">The resubmission </w:t>
            </w:r>
            <w:r w:rsidR="00C8368D" w:rsidRPr="00644691">
              <w:rPr>
                <w:rFonts w:eastAsia="Times New Roman" w:cs="Arial"/>
                <w:bCs w:val="0"/>
                <w:iCs/>
                <w:snapToGrid w:val="0"/>
                <w:szCs w:val="20"/>
              </w:rPr>
              <w:t xml:space="preserve">provided expert opinion to address the </w:t>
            </w:r>
            <w:r w:rsidR="00164193" w:rsidRPr="00644691">
              <w:rPr>
                <w:rFonts w:eastAsia="Times New Roman" w:cs="Arial"/>
                <w:bCs w:val="0"/>
                <w:iCs/>
                <w:snapToGrid w:val="0"/>
                <w:szCs w:val="20"/>
              </w:rPr>
              <w:t>QUM</w:t>
            </w:r>
            <w:r w:rsidR="00C8368D" w:rsidRPr="00644691">
              <w:rPr>
                <w:rFonts w:eastAsia="Times New Roman" w:cs="Arial"/>
                <w:bCs w:val="0"/>
                <w:iCs/>
                <w:snapToGrid w:val="0"/>
                <w:szCs w:val="20"/>
              </w:rPr>
              <w:t xml:space="preserve"> issues raised in relation to the November 2020 dapagliflozin submission.</w:t>
            </w:r>
            <w:r w:rsidR="001C6BD0" w:rsidRPr="00644691">
              <w:rPr>
                <w:rFonts w:eastAsia="Times New Roman" w:cs="Arial"/>
                <w:bCs w:val="0"/>
                <w:iCs/>
                <w:snapToGrid w:val="0"/>
                <w:szCs w:val="20"/>
              </w:rPr>
              <w:t xml:space="preserve"> The resubmission also provided a list of current and future activities to support the quality use of medicines in relation to dapagliflozin for the treatment of HFrEF.</w:t>
            </w:r>
          </w:p>
        </w:tc>
      </w:tr>
      <w:tr w:rsidR="00495759" w:rsidRPr="00644691" w:rsidTr="00791F3C">
        <w:trPr>
          <w:cantSplit/>
        </w:trPr>
        <w:tc>
          <w:tcPr>
            <w:tcW w:w="636" w:type="pct"/>
            <w:vAlign w:val="center"/>
          </w:tcPr>
          <w:p w:rsidR="00495759" w:rsidRPr="00644691" w:rsidRDefault="00B5367D" w:rsidP="00656397">
            <w:pPr>
              <w:pStyle w:val="TableText"/>
              <w:keepNext w:val="0"/>
            </w:pPr>
            <w:r w:rsidRPr="00644691">
              <w:t>Risk sharing arrangement</w:t>
            </w:r>
          </w:p>
        </w:tc>
        <w:tc>
          <w:tcPr>
            <w:tcW w:w="2270" w:type="pct"/>
          </w:tcPr>
          <w:p w:rsidR="00495759" w:rsidRPr="00644691" w:rsidRDefault="00E27BBF" w:rsidP="00446FEF">
            <w:pPr>
              <w:pStyle w:val="TableText"/>
              <w:keepLines/>
              <w:rPr>
                <w:rFonts w:eastAsia="Times New Roman" w:cs="Arial"/>
                <w:bCs w:val="0"/>
                <w:iCs/>
                <w:snapToGrid w:val="0"/>
                <w:szCs w:val="20"/>
              </w:rPr>
            </w:pPr>
            <w:r w:rsidRPr="00644691">
              <w:rPr>
                <w:rFonts w:eastAsia="Times New Roman" w:cs="Arial"/>
                <w:bCs w:val="0"/>
                <w:iCs/>
                <w:snapToGrid w:val="0"/>
                <w:szCs w:val="20"/>
              </w:rPr>
              <w:t>The PBAC rejected the submission’s proposal to share the caps of the current risk-sharing arrangement for sacubitril/valsartan</w:t>
            </w:r>
            <w:r w:rsidR="00B5367D" w:rsidRPr="00644691">
              <w:rPr>
                <w:rFonts w:eastAsia="Times New Roman" w:cs="Arial"/>
                <w:bCs w:val="0"/>
                <w:iCs/>
                <w:snapToGrid w:val="0"/>
                <w:szCs w:val="20"/>
              </w:rPr>
              <w:t>, considering that a</w:t>
            </w:r>
            <w:r w:rsidRPr="00644691">
              <w:rPr>
                <w:rFonts w:eastAsia="Times New Roman" w:cs="Arial"/>
                <w:bCs w:val="0"/>
                <w:iCs/>
                <w:snapToGrid w:val="0"/>
                <w:szCs w:val="20"/>
              </w:rPr>
              <w:t xml:space="preserve"> separate and distinct RSA for dapagliflozin would be required</w:t>
            </w:r>
            <w:r w:rsidR="008C44AA" w:rsidRPr="00644691">
              <w:rPr>
                <w:rFonts w:eastAsia="Times New Roman" w:cs="Arial"/>
                <w:bCs w:val="0"/>
                <w:iCs/>
                <w:snapToGrid w:val="0"/>
                <w:szCs w:val="20"/>
              </w:rPr>
              <w:t xml:space="preserve"> (</w:t>
            </w:r>
            <w:r w:rsidR="001A74BF" w:rsidRPr="00644691">
              <w:rPr>
                <w:rFonts w:eastAsia="Times New Roman" w:cs="Arial"/>
                <w:bCs w:val="0"/>
                <w:iCs/>
                <w:snapToGrid w:val="0"/>
                <w:szCs w:val="20"/>
              </w:rPr>
              <w:t>paragraph</w:t>
            </w:r>
            <w:r w:rsidR="00740621" w:rsidRPr="00644691">
              <w:rPr>
                <w:rFonts w:eastAsia="Times New Roman" w:cs="Arial"/>
                <w:bCs w:val="0"/>
                <w:iCs/>
                <w:snapToGrid w:val="0"/>
                <w:szCs w:val="20"/>
              </w:rPr>
              <w:t xml:space="preserve"> </w:t>
            </w:r>
            <w:r w:rsidR="008C44AA" w:rsidRPr="00644691">
              <w:rPr>
                <w:rFonts w:eastAsia="Times New Roman" w:cs="Arial"/>
                <w:bCs w:val="0"/>
                <w:iCs/>
                <w:snapToGrid w:val="0"/>
                <w:szCs w:val="20"/>
              </w:rPr>
              <w:t xml:space="preserve">7.13, dapagliflozin, </w:t>
            </w:r>
            <w:r w:rsidR="00C5400D" w:rsidRPr="00644691">
              <w:rPr>
                <w:rFonts w:eastAsia="Times New Roman" w:cs="Arial"/>
                <w:bCs w:val="0"/>
                <w:iCs/>
                <w:snapToGrid w:val="0"/>
                <w:szCs w:val="20"/>
              </w:rPr>
              <w:t>PSD</w:t>
            </w:r>
            <w:r w:rsidR="008C44AA" w:rsidRPr="00644691">
              <w:rPr>
                <w:rFonts w:eastAsia="Times New Roman" w:cs="Arial"/>
                <w:bCs w:val="0"/>
                <w:iCs/>
                <w:snapToGrid w:val="0"/>
                <w:szCs w:val="20"/>
              </w:rPr>
              <w:t>, November 202</w:t>
            </w:r>
            <w:r w:rsidR="002C75A4" w:rsidRPr="00644691">
              <w:rPr>
                <w:rFonts w:eastAsia="Times New Roman" w:cs="Arial"/>
                <w:bCs w:val="0"/>
                <w:iCs/>
                <w:snapToGrid w:val="0"/>
                <w:szCs w:val="20"/>
              </w:rPr>
              <w:t>0 PBAC meeting</w:t>
            </w:r>
            <w:r w:rsidR="008C44AA" w:rsidRPr="00644691">
              <w:rPr>
                <w:rFonts w:eastAsia="Times New Roman" w:cs="Arial"/>
                <w:bCs w:val="0"/>
                <w:iCs/>
                <w:snapToGrid w:val="0"/>
                <w:szCs w:val="20"/>
              </w:rPr>
              <w:t>).</w:t>
            </w:r>
          </w:p>
        </w:tc>
        <w:tc>
          <w:tcPr>
            <w:tcW w:w="2094" w:type="pct"/>
          </w:tcPr>
          <w:p w:rsidR="00495759" w:rsidRPr="00644691" w:rsidRDefault="00CB38EE" w:rsidP="00446FEF">
            <w:pPr>
              <w:pStyle w:val="TableText"/>
              <w:keepLines/>
              <w:rPr>
                <w:rFonts w:eastAsia="Times New Roman" w:cs="Arial"/>
                <w:bCs w:val="0"/>
                <w:iCs/>
                <w:snapToGrid w:val="0"/>
                <w:color w:val="0066FF"/>
                <w:szCs w:val="20"/>
              </w:rPr>
            </w:pPr>
            <w:r w:rsidRPr="00644691">
              <w:rPr>
                <w:rFonts w:eastAsia="Times New Roman" w:cs="Arial"/>
                <w:bCs w:val="0"/>
                <w:iCs/>
                <w:snapToGrid w:val="0"/>
                <w:szCs w:val="20"/>
              </w:rPr>
              <w:t xml:space="preserve">No risk-sharing arrangements </w:t>
            </w:r>
            <w:r w:rsidR="000208E2" w:rsidRPr="00644691">
              <w:rPr>
                <w:rFonts w:eastAsia="Times New Roman" w:cs="Arial"/>
                <w:bCs w:val="0"/>
                <w:iCs/>
                <w:snapToGrid w:val="0"/>
                <w:szCs w:val="20"/>
              </w:rPr>
              <w:t xml:space="preserve">were </w:t>
            </w:r>
            <w:r w:rsidRPr="00644691">
              <w:rPr>
                <w:rFonts w:eastAsia="Times New Roman" w:cs="Arial"/>
                <w:bCs w:val="0"/>
                <w:iCs/>
                <w:snapToGrid w:val="0"/>
                <w:szCs w:val="20"/>
              </w:rPr>
              <w:t>proposed in the</w:t>
            </w:r>
            <w:r w:rsidR="009A0140" w:rsidRPr="00644691">
              <w:rPr>
                <w:rFonts w:eastAsia="Times New Roman" w:cs="Arial"/>
                <w:bCs w:val="0"/>
                <w:iCs/>
                <w:snapToGrid w:val="0"/>
                <w:szCs w:val="20"/>
              </w:rPr>
              <w:t xml:space="preserve"> current</w:t>
            </w:r>
            <w:r w:rsidRPr="00644691">
              <w:rPr>
                <w:rFonts w:eastAsia="Times New Roman" w:cs="Arial"/>
                <w:bCs w:val="0"/>
                <w:iCs/>
                <w:snapToGrid w:val="0"/>
                <w:szCs w:val="20"/>
              </w:rPr>
              <w:t xml:space="preserve"> resubmission.</w:t>
            </w:r>
          </w:p>
        </w:tc>
      </w:tr>
    </w:tbl>
    <w:p w:rsidR="005C25FF" w:rsidRPr="00644691" w:rsidRDefault="005C25FF" w:rsidP="00656397">
      <w:pPr>
        <w:pStyle w:val="TableFigureFooter"/>
        <w:widowControl w:val="0"/>
      </w:pPr>
      <w:r w:rsidRPr="00644691">
        <w:t xml:space="preserve">Source: </w:t>
      </w:r>
      <w:r w:rsidR="00BB5F89" w:rsidRPr="00644691">
        <w:t xml:space="preserve">Dapagliflozin, </w:t>
      </w:r>
      <w:r w:rsidR="00D33195" w:rsidRPr="00644691">
        <w:t xml:space="preserve">Public Summary Document, </w:t>
      </w:r>
      <w:r w:rsidR="00BB5F89" w:rsidRPr="00644691">
        <w:t>November 2020</w:t>
      </w:r>
      <w:r w:rsidR="00D33195" w:rsidRPr="00644691">
        <w:t xml:space="preserve"> PBAC meeting</w:t>
      </w:r>
      <w:r w:rsidR="00BB5F89" w:rsidRPr="00644691">
        <w:t xml:space="preserve">, </w:t>
      </w:r>
      <w:r w:rsidR="002635DD" w:rsidRPr="00644691">
        <w:t xml:space="preserve">and </w:t>
      </w:r>
      <w:r w:rsidR="00BB5F89" w:rsidRPr="00644691">
        <w:t>the dapagliflozin resubmission</w:t>
      </w:r>
      <w:r w:rsidR="00D33195" w:rsidRPr="00644691">
        <w:t xml:space="preserve"> to the July 2021 PBAC meeting.</w:t>
      </w:r>
    </w:p>
    <w:p w:rsidR="002635DD" w:rsidRPr="00644691" w:rsidRDefault="002635DD" w:rsidP="00656397">
      <w:pPr>
        <w:pStyle w:val="TableFigureFooter"/>
        <w:widowControl w:val="0"/>
      </w:pPr>
      <w:r w:rsidRPr="00644691">
        <w:t xml:space="preserve">ACE, angiotensin-converting enzyme; ARNI, angiotensin receptor neprilysin inhibitor; ARB, angiotensin II receptor blocker; HFrEF, heart failure with reduced ejection fraction; MRA, mineralocorticoid receptor antagonist; </w:t>
      </w:r>
      <w:r w:rsidR="00281F02" w:rsidRPr="00644691">
        <w:t xml:space="preserve">PSD, Public Summary Document; </w:t>
      </w:r>
      <w:r w:rsidRPr="00644691">
        <w:t>QUM, quality use of medicines.</w:t>
      </w:r>
    </w:p>
    <w:p w:rsidR="00EC4759" w:rsidRPr="006F65E0" w:rsidRDefault="00EC4759" w:rsidP="00B63DC6">
      <w:pPr>
        <w:pStyle w:val="ExecSumBodyText"/>
        <w:rPr>
          <w:i/>
        </w:rPr>
      </w:pPr>
      <w:bookmarkStart w:id="10" w:name="_Hlk76375324"/>
      <w:r w:rsidRPr="00644691">
        <w:t xml:space="preserve">The pre-PBAC response </w:t>
      </w:r>
      <w:r w:rsidR="003515CF" w:rsidRPr="00644691">
        <w:t>reiterated</w:t>
      </w:r>
      <w:r w:rsidRPr="00644691">
        <w:t xml:space="preserve"> the sponsor’s view that</w:t>
      </w:r>
      <w:r w:rsidR="003515CF" w:rsidRPr="00644691">
        <w:t xml:space="preserve"> </w:t>
      </w:r>
      <w:r w:rsidRPr="00644691">
        <w:t>the PBAC had established a precedent for acceptable cost effectiveness for new treatments in this patient population</w:t>
      </w:r>
      <w:r w:rsidR="003515CF" w:rsidRPr="00644691">
        <w:t xml:space="preserve"> in its recommendation to list sacubitril</w:t>
      </w:r>
      <w:r w:rsidR="00B65D39" w:rsidRPr="00644691">
        <w:t>/</w:t>
      </w:r>
      <w:r w:rsidR="003515CF" w:rsidRPr="00644691">
        <w:t xml:space="preserve">valsartan for this indication. The sponsor was concerned that an appropriate frame of </w:t>
      </w:r>
      <w:r w:rsidR="003515CF" w:rsidRPr="006F65E0">
        <w:t>reference had not been taken into consideration during the evaluation of dapagliflozin for HFrEF</w:t>
      </w:r>
      <w:r w:rsidRPr="006F65E0">
        <w:t xml:space="preserve">. </w:t>
      </w:r>
      <w:r w:rsidR="003515CF" w:rsidRPr="006F65E0">
        <w:t>The PBAC noted this comment</w:t>
      </w:r>
      <w:r w:rsidR="006F65E0">
        <w:t xml:space="preserve"> </w:t>
      </w:r>
      <w:r w:rsidR="00E52404" w:rsidRPr="006F65E0">
        <w:t>but</w:t>
      </w:r>
      <w:r w:rsidR="003515CF" w:rsidRPr="006F65E0">
        <w:t xml:space="preserve"> </w:t>
      </w:r>
      <w:r w:rsidR="00B65D39" w:rsidRPr="006F65E0">
        <w:t xml:space="preserve">recalled its previous view </w:t>
      </w:r>
      <w:r w:rsidR="006F65E0" w:rsidRPr="006F65E0">
        <w:t xml:space="preserve">that sacubitril/valsartan and dapagliflozin are likely to be used differently in clinical practice. </w:t>
      </w:r>
      <w:r w:rsidR="00B65D39" w:rsidRPr="006F65E0">
        <w:t xml:space="preserve"> </w:t>
      </w:r>
      <w:r w:rsidR="00E52404" w:rsidRPr="006F65E0">
        <w:t xml:space="preserve">(paragraph 7.2, dapagliflozin </w:t>
      </w:r>
      <w:r w:rsidR="00B63DC6" w:rsidRPr="00B63DC6">
        <w:rPr>
          <w:iCs/>
        </w:rPr>
        <w:t xml:space="preserve">Public Summary Document </w:t>
      </w:r>
      <w:r w:rsidR="00B63DC6">
        <w:rPr>
          <w:iCs/>
        </w:rPr>
        <w:t>(</w:t>
      </w:r>
      <w:r w:rsidR="00E52404" w:rsidRPr="006F65E0">
        <w:t>PSD</w:t>
      </w:r>
      <w:r w:rsidR="00B63DC6">
        <w:t>)</w:t>
      </w:r>
      <w:r w:rsidR="00E52404" w:rsidRPr="006F65E0">
        <w:t xml:space="preserve">, November 2020 PBAC meeting). </w:t>
      </w:r>
    </w:p>
    <w:p w:rsidR="00EB17CC" w:rsidRPr="00644691" w:rsidRDefault="00EB17CC" w:rsidP="00EB17CC">
      <w:pPr>
        <w:ind w:firstLine="709"/>
        <w:rPr>
          <w:rFonts w:asciiTheme="minorHAnsi" w:hAnsiTheme="minorHAnsi"/>
          <w:i/>
        </w:rPr>
      </w:pPr>
      <w:r w:rsidRPr="00644691">
        <w:rPr>
          <w:rFonts w:asciiTheme="minorHAnsi" w:hAnsiTheme="minorHAnsi"/>
          <w:i/>
        </w:rPr>
        <w:t>For more detail on PBAC’s view, see section 7 PBAC outcome.</w:t>
      </w:r>
    </w:p>
    <w:p w:rsidR="00B60939" w:rsidRPr="00644691" w:rsidRDefault="00B50DB8" w:rsidP="004E18E9">
      <w:pPr>
        <w:pStyle w:val="2-SectionHeading"/>
      </w:pPr>
      <w:bookmarkStart w:id="11" w:name="_Toc72325052"/>
      <w:bookmarkEnd w:id="10"/>
      <w:r w:rsidRPr="00644691">
        <w:t>Requested listing</w:t>
      </w:r>
      <w:bookmarkEnd w:id="11"/>
    </w:p>
    <w:p w:rsidR="0042561E" w:rsidRPr="00644691" w:rsidRDefault="0042561E" w:rsidP="0042561E">
      <w:pPr>
        <w:pStyle w:val="ExecSumBodyText"/>
        <w:rPr>
          <w:color w:val="FF0000"/>
        </w:rPr>
      </w:pPr>
      <w:r w:rsidRPr="00644691">
        <w:t xml:space="preserve">The requested restriction </w:t>
      </w:r>
      <w:r w:rsidR="00F17B67" w:rsidRPr="00644691">
        <w:t xml:space="preserve">was the same </w:t>
      </w:r>
      <w:r w:rsidRPr="00644691">
        <w:t xml:space="preserve">as </w:t>
      </w:r>
      <w:r w:rsidR="001666AB" w:rsidRPr="00644691">
        <w:t xml:space="preserve">proposed </w:t>
      </w:r>
      <w:r w:rsidRPr="00644691">
        <w:t xml:space="preserve">in </w:t>
      </w:r>
      <w:r w:rsidR="001666AB" w:rsidRPr="00644691">
        <w:t xml:space="preserve">the </w:t>
      </w:r>
      <w:r w:rsidRPr="00644691">
        <w:t>November 2020</w:t>
      </w:r>
      <w:r w:rsidR="001666AB" w:rsidRPr="00644691">
        <w:t xml:space="preserve"> submission</w:t>
      </w:r>
      <w:r w:rsidR="00AB436E" w:rsidRPr="00644691">
        <w:t xml:space="preserve"> (</w:t>
      </w:r>
      <w:r w:rsidR="001666AB" w:rsidRPr="00644691">
        <w:t>apart from</w:t>
      </w:r>
      <w:r w:rsidRPr="00644691">
        <w:t xml:space="preserve"> the addition of previous Secretariat suggestions and deletions</w:t>
      </w:r>
      <w:r w:rsidR="00AB436E" w:rsidRPr="00644691">
        <w:t>)</w:t>
      </w:r>
      <w:r w:rsidRPr="00644691">
        <w:t xml:space="preserve">. </w:t>
      </w:r>
      <w:r w:rsidR="00AB436E" w:rsidRPr="00644691">
        <w:t xml:space="preserve">In the table below, further </w:t>
      </w:r>
      <w:r w:rsidR="00262982" w:rsidRPr="00644691">
        <w:t>additions proposed by the Secretariat</w:t>
      </w:r>
      <w:r w:rsidR="00871485" w:rsidRPr="00644691">
        <w:t xml:space="preserve"> and ESC</w:t>
      </w:r>
      <w:r w:rsidR="00262982" w:rsidRPr="00644691">
        <w:t xml:space="preserve"> are added in italics and suggested deletions are crossed out with strikethrough.</w:t>
      </w:r>
    </w:p>
    <w:p w:rsidR="004749FA" w:rsidRDefault="004749FA">
      <w:bookmarkStart w:id="12" w:name="_Hlk7956632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
        <w:gridCol w:w="2342"/>
        <w:gridCol w:w="1390"/>
        <w:gridCol w:w="1463"/>
        <w:gridCol w:w="1331"/>
        <w:gridCol w:w="1576"/>
      </w:tblGrid>
      <w:tr w:rsidR="00B66910" w:rsidRPr="00644691" w:rsidTr="004749FA">
        <w:trPr>
          <w:trHeight w:val="20"/>
        </w:trPr>
        <w:tc>
          <w:tcPr>
            <w:tcW w:w="3257" w:type="dxa"/>
            <w:gridSpan w:val="2"/>
            <w:vAlign w:val="center"/>
          </w:tcPr>
          <w:p w:rsidR="00B66910" w:rsidRPr="00644691" w:rsidRDefault="00B66910" w:rsidP="00F15580">
            <w:pPr>
              <w:keepNext/>
              <w:ind w:left="-57"/>
              <w:rPr>
                <w:rFonts w:ascii="Arial Narrow" w:hAnsi="Arial Narrow"/>
                <w:b/>
                <w:bCs/>
                <w:sz w:val="20"/>
                <w:szCs w:val="20"/>
              </w:rPr>
            </w:pPr>
            <w:r w:rsidRPr="00644691">
              <w:rPr>
                <w:rFonts w:ascii="Arial Narrow" w:hAnsi="Arial Narrow"/>
                <w:b/>
                <w:bCs/>
                <w:sz w:val="20"/>
                <w:szCs w:val="20"/>
              </w:rPr>
              <w:lastRenderedPageBreak/>
              <w:t>MEDICINAL PRODUCT</w:t>
            </w:r>
          </w:p>
          <w:p w:rsidR="00B66910" w:rsidRPr="00644691" w:rsidRDefault="00B66910" w:rsidP="00F15580">
            <w:pPr>
              <w:keepNext/>
              <w:ind w:left="-57"/>
              <w:rPr>
                <w:rFonts w:ascii="Arial Narrow" w:hAnsi="Arial Narrow"/>
                <w:b/>
                <w:sz w:val="20"/>
                <w:szCs w:val="20"/>
              </w:rPr>
            </w:pPr>
            <w:r w:rsidRPr="00644691">
              <w:rPr>
                <w:rFonts w:ascii="Arial Narrow" w:hAnsi="Arial Narrow"/>
                <w:b/>
                <w:bCs/>
                <w:sz w:val="20"/>
                <w:szCs w:val="20"/>
              </w:rPr>
              <w:t>medicinal product pack</w:t>
            </w:r>
          </w:p>
        </w:tc>
        <w:tc>
          <w:tcPr>
            <w:tcW w:w="1390" w:type="dxa"/>
            <w:vAlign w:val="center"/>
          </w:tcPr>
          <w:p w:rsidR="00B66910" w:rsidRPr="00644691" w:rsidRDefault="00B66910" w:rsidP="00F15580">
            <w:pPr>
              <w:keepNext/>
              <w:jc w:val="center"/>
              <w:rPr>
                <w:rFonts w:ascii="Arial Narrow" w:hAnsi="Arial Narrow"/>
                <w:b/>
                <w:sz w:val="20"/>
                <w:szCs w:val="20"/>
              </w:rPr>
            </w:pPr>
            <w:r w:rsidRPr="00644691">
              <w:rPr>
                <w:rFonts w:ascii="Arial Narrow" w:hAnsi="Arial Narrow"/>
                <w:b/>
                <w:sz w:val="20"/>
                <w:szCs w:val="20"/>
              </w:rPr>
              <w:t>Max. qty packs</w:t>
            </w:r>
          </w:p>
        </w:tc>
        <w:tc>
          <w:tcPr>
            <w:tcW w:w="1463" w:type="dxa"/>
            <w:vAlign w:val="center"/>
          </w:tcPr>
          <w:p w:rsidR="00B66910" w:rsidRPr="00644691" w:rsidRDefault="00B66910" w:rsidP="00F15580">
            <w:pPr>
              <w:keepNext/>
              <w:jc w:val="center"/>
              <w:rPr>
                <w:rFonts w:ascii="Arial Narrow" w:hAnsi="Arial Narrow"/>
                <w:b/>
                <w:sz w:val="20"/>
                <w:szCs w:val="20"/>
              </w:rPr>
            </w:pPr>
            <w:r w:rsidRPr="00644691">
              <w:rPr>
                <w:rFonts w:ascii="Arial Narrow" w:hAnsi="Arial Narrow"/>
                <w:b/>
                <w:sz w:val="20"/>
                <w:szCs w:val="20"/>
              </w:rPr>
              <w:t>Max. qty units</w:t>
            </w:r>
          </w:p>
        </w:tc>
        <w:tc>
          <w:tcPr>
            <w:tcW w:w="1331" w:type="dxa"/>
            <w:vAlign w:val="center"/>
          </w:tcPr>
          <w:p w:rsidR="00B66910" w:rsidRPr="00644691" w:rsidRDefault="00B66910" w:rsidP="00F15580">
            <w:pPr>
              <w:keepNext/>
              <w:jc w:val="center"/>
              <w:rPr>
                <w:rFonts w:ascii="Arial Narrow" w:hAnsi="Arial Narrow"/>
                <w:b/>
                <w:sz w:val="20"/>
                <w:szCs w:val="20"/>
              </w:rPr>
            </w:pPr>
            <w:r w:rsidRPr="00644691">
              <w:rPr>
                <w:rFonts w:ascii="Arial Narrow" w:hAnsi="Arial Narrow"/>
                <w:b/>
                <w:sz w:val="20"/>
                <w:szCs w:val="20"/>
              </w:rPr>
              <w:t>№.of Rpts</w:t>
            </w:r>
          </w:p>
        </w:tc>
        <w:tc>
          <w:tcPr>
            <w:tcW w:w="1576" w:type="dxa"/>
            <w:vAlign w:val="center"/>
          </w:tcPr>
          <w:p w:rsidR="00B66910" w:rsidRPr="00644691" w:rsidRDefault="00B66910" w:rsidP="00F15580">
            <w:pPr>
              <w:keepNext/>
              <w:jc w:val="center"/>
              <w:rPr>
                <w:rFonts w:ascii="Arial Narrow" w:hAnsi="Arial Narrow"/>
                <w:b/>
                <w:sz w:val="20"/>
                <w:szCs w:val="20"/>
              </w:rPr>
            </w:pPr>
            <w:r w:rsidRPr="00644691">
              <w:rPr>
                <w:rFonts w:ascii="Arial Narrow" w:hAnsi="Arial Narrow"/>
                <w:b/>
                <w:sz w:val="20"/>
                <w:szCs w:val="20"/>
              </w:rPr>
              <w:t>Available brands</w:t>
            </w:r>
          </w:p>
        </w:tc>
      </w:tr>
      <w:tr w:rsidR="009E4E0A" w:rsidRPr="00644691" w:rsidTr="004749FA">
        <w:trPr>
          <w:trHeight w:val="20"/>
        </w:trPr>
        <w:tc>
          <w:tcPr>
            <w:tcW w:w="9017" w:type="dxa"/>
            <w:gridSpan w:val="6"/>
          </w:tcPr>
          <w:p w:rsidR="009E4E0A" w:rsidRPr="00644691" w:rsidRDefault="009E4E0A" w:rsidP="00F15580">
            <w:pPr>
              <w:keepNext/>
              <w:ind w:left="-57"/>
              <w:rPr>
                <w:rFonts w:ascii="Arial Narrow" w:hAnsi="Arial Narrow"/>
                <w:sz w:val="20"/>
                <w:szCs w:val="20"/>
              </w:rPr>
            </w:pPr>
            <w:r w:rsidRPr="00644691">
              <w:rPr>
                <w:rFonts w:ascii="Arial Narrow" w:hAnsi="Arial Narrow"/>
                <w:sz w:val="20"/>
                <w:szCs w:val="20"/>
              </w:rPr>
              <w:t>DAPAGLIFLOZIN</w:t>
            </w:r>
          </w:p>
        </w:tc>
      </w:tr>
      <w:tr w:rsidR="00B66910" w:rsidRPr="00644691" w:rsidTr="004749FA">
        <w:trPr>
          <w:trHeight w:val="20"/>
        </w:trPr>
        <w:tc>
          <w:tcPr>
            <w:tcW w:w="3257" w:type="dxa"/>
            <w:gridSpan w:val="2"/>
          </w:tcPr>
          <w:p w:rsidR="00B66910" w:rsidRPr="00644691" w:rsidRDefault="00B66910" w:rsidP="00F15580">
            <w:pPr>
              <w:keepNext/>
              <w:ind w:left="-57"/>
              <w:rPr>
                <w:rFonts w:ascii="Arial Narrow" w:hAnsi="Arial Narrow"/>
                <w:sz w:val="20"/>
                <w:szCs w:val="20"/>
              </w:rPr>
            </w:pPr>
            <w:r w:rsidRPr="00644691">
              <w:rPr>
                <w:rFonts w:ascii="Arial Narrow" w:hAnsi="Arial Narrow"/>
                <w:sz w:val="20"/>
                <w:szCs w:val="20"/>
              </w:rPr>
              <w:t xml:space="preserve">dapagliflozin 10 mg tablet, 28 </w:t>
            </w:r>
          </w:p>
        </w:tc>
        <w:tc>
          <w:tcPr>
            <w:tcW w:w="1390" w:type="dxa"/>
          </w:tcPr>
          <w:p w:rsidR="00B66910" w:rsidRPr="00644691" w:rsidRDefault="00B66910" w:rsidP="00F15580">
            <w:pPr>
              <w:keepNext/>
              <w:jc w:val="center"/>
              <w:rPr>
                <w:rFonts w:ascii="Arial Narrow" w:hAnsi="Arial Narrow"/>
                <w:sz w:val="20"/>
                <w:szCs w:val="20"/>
              </w:rPr>
            </w:pPr>
            <w:r w:rsidRPr="00644691">
              <w:rPr>
                <w:rFonts w:ascii="Arial Narrow" w:hAnsi="Arial Narrow"/>
                <w:sz w:val="20"/>
                <w:szCs w:val="20"/>
              </w:rPr>
              <w:t>1</w:t>
            </w:r>
          </w:p>
        </w:tc>
        <w:tc>
          <w:tcPr>
            <w:tcW w:w="1463" w:type="dxa"/>
          </w:tcPr>
          <w:p w:rsidR="00B66910" w:rsidRPr="00644691" w:rsidRDefault="00B66910" w:rsidP="00F15580">
            <w:pPr>
              <w:keepNext/>
              <w:jc w:val="center"/>
              <w:rPr>
                <w:rFonts w:ascii="Arial Narrow" w:hAnsi="Arial Narrow"/>
                <w:sz w:val="20"/>
                <w:szCs w:val="20"/>
              </w:rPr>
            </w:pPr>
            <w:r w:rsidRPr="00644691">
              <w:rPr>
                <w:rFonts w:ascii="Arial Narrow" w:hAnsi="Arial Narrow"/>
                <w:sz w:val="20"/>
                <w:szCs w:val="20"/>
              </w:rPr>
              <w:t>28</w:t>
            </w:r>
          </w:p>
        </w:tc>
        <w:tc>
          <w:tcPr>
            <w:tcW w:w="1331" w:type="dxa"/>
          </w:tcPr>
          <w:p w:rsidR="00B66910" w:rsidRPr="00644691" w:rsidRDefault="00B66910" w:rsidP="00F15580">
            <w:pPr>
              <w:keepNext/>
              <w:jc w:val="center"/>
              <w:rPr>
                <w:rFonts w:ascii="Arial Narrow" w:hAnsi="Arial Narrow"/>
                <w:sz w:val="20"/>
                <w:szCs w:val="20"/>
              </w:rPr>
            </w:pPr>
            <w:r w:rsidRPr="00644691">
              <w:rPr>
                <w:rFonts w:ascii="Arial Narrow" w:hAnsi="Arial Narrow"/>
                <w:sz w:val="20"/>
                <w:szCs w:val="20"/>
              </w:rPr>
              <w:t>5</w:t>
            </w:r>
          </w:p>
        </w:tc>
        <w:tc>
          <w:tcPr>
            <w:tcW w:w="1576" w:type="dxa"/>
          </w:tcPr>
          <w:p w:rsidR="00B66910" w:rsidRPr="00644691" w:rsidRDefault="00B66910" w:rsidP="00F15580">
            <w:pPr>
              <w:keepNext/>
              <w:jc w:val="center"/>
              <w:rPr>
                <w:rFonts w:ascii="Arial Narrow" w:hAnsi="Arial Narrow"/>
                <w:sz w:val="20"/>
                <w:szCs w:val="20"/>
              </w:rPr>
            </w:pPr>
            <w:r w:rsidRPr="00644691">
              <w:rPr>
                <w:rFonts w:ascii="Arial Narrow" w:hAnsi="Arial Narrow"/>
                <w:sz w:val="20"/>
                <w:szCs w:val="20"/>
              </w:rPr>
              <w:t>Forxiga</w:t>
            </w:r>
          </w:p>
        </w:tc>
      </w:tr>
      <w:bookmarkEnd w:id="12"/>
      <w:tr w:rsidR="00262982" w:rsidRPr="00644691" w:rsidTr="004749FA">
        <w:tblPrEx>
          <w:tblCellMar>
            <w:top w:w="15" w:type="dxa"/>
            <w:left w:w="15" w:type="dxa"/>
            <w:bottom w:w="15" w:type="dxa"/>
            <w:right w:w="15" w:type="dxa"/>
          </w:tblCellMar>
          <w:tblLook w:val="04A0" w:firstRow="1" w:lastRow="0" w:firstColumn="1" w:lastColumn="0" w:noHBand="0" w:noVBand="1"/>
        </w:tblPrEx>
        <w:trPr>
          <w:trHeight w:val="20"/>
        </w:trPr>
        <w:tc>
          <w:tcPr>
            <w:tcW w:w="9017" w:type="dxa"/>
            <w:gridSpan w:val="6"/>
          </w:tcPr>
          <w:p w:rsidR="00262982" w:rsidRPr="00644691" w:rsidRDefault="00262982" w:rsidP="00583A94">
            <w:pPr>
              <w:rPr>
                <w:rFonts w:ascii="Arial Narrow" w:hAnsi="Arial Narrow"/>
                <w:b/>
                <w:sz w:val="20"/>
                <w:szCs w:val="20"/>
              </w:rPr>
            </w:pPr>
          </w:p>
        </w:tc>
      </w:tr>
      <w:tr w:rsidR="00262982" w:rsidRPr="00644691" w:rsidTr="004749FA">
        <w:tblPrEx>
          <w:tblCellMar>
            <w:top w:w="15" w:type="dxa"/>
            <w:left w:w="15" w:type="dxa"/>
            <w:bottom w:w="15" w:type="dxa"/>
            <w:right w:w="15" w:type="dxa"/>
          </w:tblCellMar>
          <w:tblLook w:val="04A0" w:firstRow="1" w:lastRow="0" w:firstColumn="1" w:lastColumn="0" w:noHBand="0" w:noVBand="1"/>
        </w:tblPrEx>
        <w:trPr>
          <w:trHeight w:val="20"/>
        </w:trPr>
        <w:tc>
          <w:tcPr>
            <w:tcW w:w="9017" w:type="dxa"/>
            <w:gridSpan w:val="6"/>
          </w:tcPr>
          <w:p w:rsidR="00262982" w:rsidRPr="00644691" w:rsidRDefault="00262982" w:rsidP="00583A94">
            <w:pPr>
              <w:ind w:left="57"/>
              <w:rPr>
                <w:rFonts w:ascii="Arial Narrow" w:hAnsi="Arial Narrow"/>
                <w:b/>
                <w:sz w:val="20"/>
                <w:szCs w:val="20"/>
              </w:rPr>
            </w:pPr>
            <w:r w:rsidRPr="00644691">
              <w:rPr>
                <w:rFonts w:ascii="Arial Narrow" w:hAnsi="Arial Narrow"/>
                <w:b/>
                <w:sz w:val="20"/>
                <w:szCs w:val="20"/>
              </w:rPr>
              <w:t>Restriction Summary [new] / Treatment of Concept: [new]</w:t>
            </w:r>
          </w:p>
        </w:tc>
      </w:tr>
      <w:tr w:rsidR="00262982" w:rsidRPr="00644691"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Merge w:val="restart"/>
          </w:tcPr>
          <w:p w:rsidR="00262982" w:rsidRPr="00644691" w:rsidRDefault="00262982" w:rsidP="00583A94">
            <w:pPr>
              <w:jc w:val="center"/>
              <w:rPr>
                <w:rFonts w:ascii="Arial Narrow" w:hAnsi="Arial Narrow"/>
                <w:sz w:val="20"/>
                <w:szCs w:val="20"/>
              </w:rPr>
            </w:pPr>
          </w:p>
        </w:tc>
        <w:tc>
          <w:tcPr>
            <w:tcW w:w="8102" w:type="dxa"/>
            <w:gridSpan w:val="5"/>
          </w:tcPr>
          <w:p w:rsidR="00262982" w:rsidRPr="00644691" w:rsidRDefault="00262982" w:rsidP="00583A94">
            <w:pPr>
              <w:rPr>
                <w:rFonts w:ascii="Arial Narrow" w:hAnsi="Arial Narrow"/>
                <w:sz w:val="20"/>
                <w:szCs w:val="20"/>
              </w:rPr>
            </w:pPr>
            <w:r w:rsidRPr="00644691">
              <w:rPr>
                <w:rFonts w:ascii="Arial Narrow" w:hAnsi="Arial Narrow"/>
                <w:b/>
                <w:sz w:val="20"/>
                <w:szCs w:val="20"/>
              </w:rPr>
              <w:t xml:space="preserve">Category / Program:   </w:t>
            </w:r>
            <w:r w:rsidRPr="00644691">
              <w:rPr>
                <w:rFonts w:ascii="Arial Narrow" w:hAnsi="Arial Narrow"/>
                <w:sz w:val="20"/>
                <w:szCs w:val="20"/>
              </w:rPr>
              <w:t>GENERAL – General Schedule (Code GE)</w:t>
            </w:r>
          </w:p>
        </w:tc>
      </w:tr>
      <w:tr w:rsidR="00262982" w:rsidRPr="00644691"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Merge/>
          </w:tcPr>
          <w:p w:rsidR="00262982" w:rsidRPr="00644691" w:rsidRDefault="00262982" w:rsidP="00583A94">
            <w:pPr>
              <w:rPr>
                <w:rFonts w:ascii="Arial Narrow" w:hAnsi="Arial Narrow"/>
                <w:sz w:val="20"/>
                <w:szCs w:val="20"/>
              </w:rPr>
            </w:pPr>
          </w:p>
        </w:tc>
        <w:tc>
          <w:tcPr>
            <w:tcW w:w="8102" w:type="dxa"/>
            <w:gridSpan w:val="5"/>
          </w:tcPr>
          <w:p w:rsidR="00262982" w:rsidRPr="00644691" w:rsidRDefault="00262982" w:rsidP="00583A94">
            <w:pPr>
              <w:rPr>
                <w:rFonts w:ascii="Arial Narrow" w:hAnsi="Arial Narrow"/>
                <w:b/>
                <w:sz w:val="20"/>
                <w:szCs w:val="20"/>
              </w:rPr>
            </w:pPr>
            <w:r w:rsidRPr="00644691">
              <w:rPr>
                <w:rFonts w:ascii="Arial Narrow" w:hAnsi="Arial Narrow"/>
                <w:b/>
                <w:sz w:val="20"/>
                <w:szCs w:val="20"/>
              </w:rPr>
              <w:t>Prescriber type:</w:t>
            </w:r>
            <w:r w:rsidRPr="00644691">
              <w:rPr>
                <w:rFonts w:ascii="Arial Narrow" w:hAnsi="Arial Narrow"/>
                <w:sz w:val="20"/>
                <w:szCs w:val="20"/>
              </w:rPr>
              <w:t xml:space="preserve"> </w:t>
            </w:r>
            <w:r w:rsidRPr="00644691">
              <w:rPr>
                <w:rFonts w:ascii="Arial Narrow" w:hAnsi="Arial Narrow"/>
                <w:sz w:val="20"/>
                <w:szCs w:val="20"/>
              </w:rPr>
              <w:fldChar w:fldCharType="begin">
                <w:ffData>
                  <w:name w:val=""/>
                  <w:enabled/>
                  <w:calcOnExit w:val="0"/>
                  <w:checkBox>
                    <w:sizeAuto/>
                    <w:default w:val="1"/>
                  </w:checkBox>
                </w:ffData>
              </w:fldChar>
            </w:r>
            <w:r w:rsidRPr="00644691">
              <w:rPr>
                <w:rFonts w:ascii="Arial Narrow" w:hAnsi="Arial Narrow"/>
                <w:sz w:val="20"/>
                <w:szCs w:val="20"/>
              </w:rPr>
              <w:instrText xml:space="preserve"> FORMCHECKBOX </w:instrText>
            </w:r>
            <w:r w:rsidR="00FA18D3">
              <w:rPr>
                <w:rFonts w:ascii="Arial Narrow" w:hAnsi="Arial Narrow"/>
                <w:sz w:val="20"/>
                <w:szCs w:val="20"/>
              </w:rPr>
            </w:r>
            <w:r w:rsidR="00FA18D3">
              <w:rPr>
                <w:rFonts w:ascii="Arial Narrow" w:hAnsi="Arial Narrow"/>
                <w:sz w:val="20"/>
                <w:szCs w:val="20"/>
              </w:rPr>
              <w:fldChar w:fldCharType="separate"/>
            </w:r>
            <w:r w:rsidRPr="00644691">
              <w:rPr>
                <w:rFonts w:ascii="Arial Narrow" w:hAnsi="Arial Narrow"/>
                <w:sz w:val="20"/>
                <w:szCs w:val="20"/>
              </w:rPr>
              <w:fldChar w:fldCharType="end"/>
            </w:r>
            <w:r w:rsidRPr="00644691">
              <w:rPr>
                <w:rFonts w:ascii="Arial Narrow" w:hAnsi="Arial Narrow"/>
                <w:sz w:val="20"/>
                <w:szCs w:val="20"/>
              </w:rPr>
              <w:t xml:space="preserve"> Medical Practitioners    </w:t>
            </w:r>
            <w:r w:rsidRPr="00644691">
              <w:rPr>
                <w:rFonts w:ascii="Arial Narrow" w:hAnsi="Arial Narrow"/>
                <w:sz w:val="20"/>
                <w:szCs w:val="20"/>
              </w:rPr>
              <w:fldChar w:fldCharType="begin">
                <w:ffData>
                  <w:name w:val="Check3"/>
                  <w:enabled/>
                  <w:calcOnExit w:val="0"/>
                  <w:checkBox>
                    <w:sizeAuto/>
                    <w:default w:val="1"/>
                  </w:checkBox>
                </w:ffData>
              </w:fldChar>
            </w:r>
            <w:r w:rsidRPr="00644691">
              <w:rPr>
                <w:rFonts w:ascii="Arial Narrow" w:hAnsi="Arial Narrow"/>
                <w:sz w:val="20"/>
                <w:szCs w:val="20"/>
              </w:rPr>
              <w:instrText xml:space="preserve"> FORMCHECKBOX </w:instrText>
            </w:r>
            <w:r w:rsidR="00FA18D3">
              <w:rPr>
                <w:rFonts w:ascii="Arial Narrow" w:hAnsi="Arial Narrow"/>
                <w:sz w:val="20"/>
                <w:szCs w:val="20"/>
              </w:rPr>
            </w:r>
            <w:r w:rsidR="00FA18D3">
              <w:rPr>
                <w:rFonts w:ascii="Arial Narrow" w:hAnsi="Arial Narrow"/>
                <w:sz w:val="20"/>
                <w:szCs w:val="20"/>
              </w:rPr>
              <w:fldChar w:fldCharType="separate"/>
            </w:r>
            <w:r w:rsidRPr="00644691">
              <w:rPr>
                <w:rFonts w:ascii="Arial Narrow" w:hAnsi="Arial Narrow"/>
                <w:sz w:val="20"/>
                <w:szCs w:val="20"/>
              </w:rPr>
              <w:fldChar w:fldCharType="end"/>
            </w:r>
            <w:r w:rsidRPr="00644691">
              <w:rPr>
                <w:rFonts w:ascii="Arial Narrow" w:hAnsi="Arial Narrow"/>
                <w:sz w:val="20"/>
                <w:szCs w:val="20"/>
              </w:rPr>
              <w:t xml:space="preserve"> Nurse practitioners</w:t>
            </w:r>
          </w:p>
        </w:tc>
      </w:tr>
      <w:tr w:rsidR="00262982" w:rsidRPr="00644691" w:rsidTr="004749FA">
        <w:tblPrEx>
          <w:tblCellMar>
            <w:top w:w="15" w:type="dxa"/>
            <w:left w:w="15" w:type="dxa"/>
            <w:bottom w:w="15" w:type="dxa"/>
            <w:right w:w="15" w:type="dxa"/>
          </w:tblCellMar>
          <w:tblLook w:val="04A0" w:firstRow="1" w:lastRow="0" w:firstColumn="1" w:lastColumn="0" w:noHBand="0" w:noVBand="1"/>
        </w:tblPrEx>
        <w:trPr>
          <w:trHeight w:val="255"/>
        </w:trPr>
        <w:tc>
          <w:tcPr>
            <w:tcW w:w="915" w:type="dxa"/>
            <w:vMerge/>
          </w:tcPr>
          <w:p w:rsidR="00262982" w:rsidRPr="00644691" w:rsidRDefault="00262982" w:rsidP="00583A94">
            <w:pPr>
              <w:rPr>
                <w:rFonts w:ascii="Arial Narrow" w:hAnsi="Arial Narrow"/>
                <w:sz w:val="20"/>
                <w:szCs w:val="20"/>
              </w:rPr>
            </w:pPr>
          </w:p>
        </w:tc>
        <w:tc>
          <w:tcPr>
            <w:tcW w:w="8102" w:type="dxa"/>
            <w:gridSpan w:val="5"/>
          </w:tcPr>
          <w:p w:rsidR="00262982" w:rsidRPr="00644691" w:rsidRDefault="00262982" w:rsidP="00583A94">
            <w:pPr>
              <w:rPr>
                <w:rFonts w:ascii="Arial Narrow" w:eastAsia="Calibri" w:hAnsi="Arial Narrow"/>
                <w:sz w:val="20"/>
                <w:szCs w:val="20"/>
              </w:rPr>
            </w:pPr>
            <w:r w:rsidRPr="00644691">
              <w:rPr>
                <w:rFonts w:ascii="Arial Narrow" w:hAnsi="Arial Narrow"/>
                <w:b/>
                <w:sz w:val="20"/>
                <w:szCs w:val="20"/>
              </w:rPr>
              <w:t xml:space="preserve">Restriction type: </w:t>
            </w:r>
            <w:r w:rsidRPr="00644691">
              <w:rPr>
                <w:rFonts w:ascii="Arial Narrow" w:eastAsia="Calibri" w:hAnsi="Arial Narrow"/>
                <w:sz w:val="20"/>
                <w:szCs w:val="20"/>
              </w:rPr>
              <w:fldChar w:fldCharType="begin">
                <w:ffData>
                  <w:name w:val=""/>
                  <w:enabled/>
                  <w:calcOnExit w:val="0"/>
                  <w:checkBox>
                    <w:sizeAuto/>
                    <w:default w:val="1"/>
                  </w:checkBox>
                </w:ffData>
              </w:fldChar>
            </w:r>
            <w:r w:rsidRPr="00644691">
              <w:rPr>
                <w:rFonts w:ascii="Arial Narrow" w:eastAsia="Calibri" w:hAnsi="Arial Narrow"/>
                <w:sz w:val="20"/>
                <w:szCs w:val="20"/>
              </w:rPr>
              <w:instrText xml:space="preserve"> FORMCHECKBOX </w:instrText>
            </w:r>
            <w:r w:rsidR="00FA18D3">
              <w:rPr>
                <w:rFonts w:ascii="Arial Narrow" w:eastAsia="Calibri" w:hAnsi="Arial Narrow"/>
                <w:sz w:val="20"/>
                <w:szCs w:val="20"/>
              </w:rPr>
            </w:r>
            <w:r w:rsidR="00FA18D3">
              <w:rPr>
                <w:rFonts w:ascii="Arial Narrow" w:eastAsia="Calibri" w:hAnsi="Arial Narrow"/>
                <w:sz w:val="20"/>
                <w:szCs w:val="20"/>
              </w:rPr>
              <w:fldChar w:fldCharType="separate"/>
            </w:r>
            <w:r w:rsidRPr="00644691">
              <w:rPr>
                <w:rFonts w:ascii="Arial Narrow" w:eastAsia="Calibri" w:hAnsi="Arial Narrow"/>
                <w:sz w:val="20"/>
                <w:szCs w:val="20"/>
              </w:rPr>
              <w:fldChar w:fldCharType="end"/>
            </w:r>
            <w:r w:rsidRPr="00644691">
              <w:rPr>
                <w:rFonts w:ascii="Arial Narrow" w:eastAsia="Calibri" w:hAnsi="Arial Narrow"/>
                <w:sz w:val="20"/>
                <w:szCs w:val="20"/>
              </w:rPr>
              <w:t xml:space="preserve"> Authority Required (STREAMLINED) [new code]</w:t>
            </w:r>
          </w:p>
        </w:tc>
      </w:tr>
      <w:tr w:rsidR="00262982" w:rsidRPr="00644691"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rsidR="00262982" w:rsidRPr="00644691" w:rsidRDefault="00262982" w:rsidP="00583A94">
            <w:pPr>
              <w:jc w:val="center"/>
              <w:rPr>
                <w:rFonts w:ascii="Arial Narrow" w:hAnsi="Arial Narrow"/>
                <w:sz w:val="20"/>
                <w:szCs w:val="20"/>
              </w:rPr>
            </w:pPr>
          </w:p>
        </w:tc>
        <w:tc>
          <w:tcPr>
            <w:tcW w:w="8102" w:type="dxa"/>
            <w:gridSpan w:val="5"/>
            <w:vAlign w:val="center"/>
            <w:hideMark/>
          </w:tcPr>
          <w:p w:rsidR="00262982" w:rsidRPr="00644691" w:rsidRDefault="00262982" w:rsidP="00583A94">
            <w:pPr>
              <w:rPr>
                <w:rFonts w:ascii="Arial Narrow" w:hAnsi="Arial Narrow"/>
                <w:sz w:val="20"/>
                <w:szCs w:val="20"/>
              </w:rPr>
            </w:pPr>
            <w:r w:rsidRPr="00644691">
              <w:rPr>
                <w:rFonts w:ascii="Arial Narrow" w:hAnsi="Arial Narrow"/>
                <w:b/>
                <w:bCs/>
                <w:sz w:val="20"/>
                <w:szCs w:val="20"/>
              </w:rPr>
              <w:t>Indication:</w:t>
            </w:r>
            <w:r w:rsidRPr="00644691">
              <w:rPr>
                <w:rFonts w:ascii="Arial Narrow" w:hAnsi="Arial Narrow"/>
                <w:sz w:val="20"/>
                <w:szCs w:val="20"/>
              </w:rPr>
              <w:t xml:space="preserve"> Chronic heart failure</w:t>
            </w:r>
          </w:p>
        </w:tc>
      </w:tr>
      <w:tr w:rsidR="00262982" w:rsidRPr="00644691"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rsidR="00262982" w:rsidRPr="00644691" w:rsidRDefault="00262982" w:rsidP="00583A94">
            <w:pPr>
              <w:jc w:val="center"/>
              <w:rPr>
                <w:rFonts w:ascii="Arial Narrow" w:hAnsi="Arial Narrow"/>
                <w:sz w:val="20"/>
                <w:szCs w:val="20"/>
              </w:rPr>
            </w:pPr>
          </w:p>
        </w:tc>
        <w:tc>
          <w:tcPr>
            <w:tcW w:w="8102" w:type="dxa"/>
            <w:gridSpan w:val="5"/>
            <w:vAlign w:val="center"/>
            <w:hideMark/>
          </w:tcPr>
          <w:p w:rsidR="00262982" w:rsidRPr="00644691" w:rsidRDefault="00262982" w:rsidP="00583A94">
            <w:pPr>
              <w:rPr>
                <w:rFonts w:ascii="Arial Narrow" w:hAnsi="Arial Narrow"/>
                <w:sz w:val="20"/>
                <w:szCs w:val="20"/>
              </w:rPr>
            </w:pPr>
            <w:r w:rsidRPr="00644691">
              <w:rPr>
                <w:rFonts w:ascii="Arial Narrow" w:hAnsi="Arial Narrow"/>
                <w:b/>
                <w:bCs/>
                <w:sz w:val="20"/>
                <w:szCs w:val="20"/>
              </w:rPr>
              <w:t>Treatment Phase:</w:t>
            </w:r>
            <w:r w:rsidRPr="00644691">
              <w:rPr>
                <w:rFonts w:ascii="Arial Narrow" w:hAnsi="Arial Narrow"/>
                <w:sz w:val="20"/>
                <w:szCs w:val="20"/>
              </w:rPr>
              <w:t xml:space="preserve"> [blank]</w:t>
            </w:r>
          </w:p>
        </w:tc>
      </w:tr>
      <w:tr w:rsidR="00262982" w:rsidRPr="00644691"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rsidR="00262982" w:rsidRPr="00644691" w:rsidRDefault="00262982" w:rsidP="00583A94">
            <w:pPr>
              <w:jc w:val="center"/>
              <w:rPr>
                <w:rFonts w:ascii="Arial Narrow" w:hAnsi="Arial Narrow"/>
                <w:sz w:val="20"/>
                <w:szCs w:val="20"/>
              </w:rPr>
            </w:pPr>
          </w:p>
        </w:tc>
        <w:tc>
          <w:tcPr>
            <w:tcW w:w="8102" w:type="dxa"/>
            <w:gridSpan w:val="5"/>
            <w:vAlign w:val="center"/>
            <w:hideMark/>
          </w:tcPr>
          <w:p w:rsidR="00262982" w:rsidRPr="00644691" w:rsidRDefault="00262982" w:rsidP="00583A94">
            <w:pPr>
              <w:rPr>
                <w:rFonts w:ascii="Arial Narrow" w:hAnsi="Arial Narrow"/>
                <w:sz w:val="20"/>
                <w:szCs w:val="20"/>
              </w:rPr>
            </w:pPr>
            <w:r w:rsidRPr="00644691">
              <w:rPr>
                <w:rFonts w:ascii="Arial Narrow" w:hAnsi="Arial Narrow"/>
                <w:b/>
                <w:bCs/>
                <w:sz w:val="20"/>
                <w:szCs w:val="20"/>
              </w:rPr>
              <w:t>Clinical criteria:</w:t>
            </w:r>
          </w:p>
        </w:tc>
      </w:tr>
      <w:tr w:rsidR="00262982" w:rsidRPr="00644691"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rsidR="00262982" w:rsidRPr="00644691" w:rsidRDefault="00262982" w:rsidP="00583A94">
            <w:pPr>
              <w:jc w:val="center"/>
              <w:rPr>
                <w:rFonts w:ascii="Arial Narrow" w:hAnsi="Arial Narrow"/>
                <w:sz w:val="20"/>
                <w:szCs w:val="20"/>
              </w:rPr>
            </w:pPr>
          </w:p>
        </w:tc>
        <w:tc>
          <w:tcPr>
            <w:tcW w:w="8102" w:type="dxa"/>
            <w:gridSpan w:val="5"/>
            <w:vAlign w:val="center"/>
            <w:hideMark/>
          </w:tcPr>
          <w:p w:rsidR="00262982" w:rsidRPr="00644691" w:rsidRDefault="00262982" w:rsidP="00583A94">
            <w:pPr>
              <w:rPr>
                <w:rFonts w:ascii="Arial Narrow" w:hAnsi="Arial Narrow"/>
                <w:sz w:val="20"/>
                <w:szCs w:val="20"/>
              </w:rPr>
            </w:pPr>
            <w:r w:rsidRPr="00644691">
              <w:rPr>
                <w:rFonts w:ascii="Arial Narrow" w:hAnsi="Arial Narrow"/>
                <w:sz w:val="20"/>
                <w:szCs w:val="20"/>
              </w:rPr>
              <w:t>Patient must be symptomatic with NYHA classes II, III or IV,</w:t>
            </w:r>
          </w:p>
        </w:tc>
      </w:tr>
      <w:tr w:rsidR="00262982" w:rsidRPr="00644691"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rsidR="00262982" w:rsidRPr="00644691" w:rsidRDefault="00262982" w:rsidP="00583A94">
            <w:pPr>
              <w:jc w:val="center"/>
              <w:rPr>
                <w:rFonts w:ascii="Arial Narrow" w:hAnsi="Arial Narrow"/>
                <w:sz w:val="20"/>
                <w:szCs w:val="20"/>
              </w:rPr>
            </w:pPr>
          </w:p>
        </w:tc>
        <w:tc>
          <w:tcPr>
            <w:tcW w:w="8102" w:type="dxa"/>
            <w:gridSpan w:val="5"/>
            <w:vAlign w:val="center"/>
            <w:hideMark/>
          </w:tcPr>
          <w:p w:rsidR="00262982" w:rsidRPr="00644691" w:rsidRDefault="00262982" w:rsidP="00583A94">
            <w:pPr>
              <w:rPr>
                <w:rFonts w:ascii="Arial Narrow" w:hAnsi="Arial Narrow"/>
                <w:sz w:val="20"/>
                <w:szCs w:val="20"/>
              </w:rPr>
            </w:pPr>
            <w:r w:rsidRPr="00644691">
              <w:rPr>
                <w:rFonts w:ascii="Arial Narrow" w:hAnsi="Arial Narrow"/>
                <w:b/>
                <w:bCs/>
                <w:sz w:val="20"/>
                <w:szCs w:val="20"/>
              </w:rPr>
              <w:t>AND</w:t>
            </w:r>
          </w:p>
        </w:tc>
      </w:tr>
      <w:tr w:rsidR="00262982" w:rsidRPr="00644691"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rsidR="00262982" w:rsidRPr="00644691" w:rsidRDefault="00262982" w:rsidP="00583A94">
            <w:pPr>
              <w:jc w:val="center"/>
              <w:rPr>
                <w:rFonts w:ascii="Arial Narrow" w:hAnsi="Arial Narrow"/>
                <w:sz w:val="20"/>
                <w:szCs w:val="20"/>
              </w:rPr>
            </w:pPr>
          </w:p>
        </w:tc>
        <w:tc>
          <w:tcPr>
            <w:tcW w:w="8102" w:type="dxa"/>
            <w:gridSpan w:val="5"/>
            <w:vAlign w:val="center"/>
            <w:hideMark/>
          </w:tcPr>
          <w:p w:rsidR="00262982" w:rsidRPr="00644691" w:rsidRDefault="00262982" w:rsidP="00583A94">
            <w:pPr>
              <w:rPr>
                <w:rFonts w:ascii="Arial Narrow" w:hAnsi="Arial Narrow"/>
                <w:sz w:val="20"/>
                <w:szCs w:val="20"/>
              </w:rPr>
            </w:pPr>
            <w:r w:rsidRPr="00644691">
              <w:rPr>
                <w:rFonts w:ascii="Arial Narrow" w:hAnsi="Arial Narrow"/>
                <w:b/>
                <w:bCs/>
                <w:sz w:val="20"/>
                <w:szCs w:val="20"/>
              </w:rPr>
              <w:t>Clinical criteria:</w:t>
            </w:r>
          </w:p>
        </w:tc>
      </w:tr>
      <w:tr w:rsidR="00262982" w:rsidRPr="00644691"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rsidR="00262982" w:rsidRPr="00644691" w:rsidRDefault="00262982" w:rsidP="00583A94">
            <w:pPr>
              <w:jc w:val="center"/>
              <w:rPr>
                <w:rFonts w:ascii="Arial Narrow" w:hAnsi="Arial Narrow"/>
                <w:sz w:val="20"/>
                <w:szCs w:val="20"/>
              </w:rPr>
            </w:pPr>
          </w:p>
        </w:tc>
        <w:tc>
          <w:tcPr>
            <w:tcW w:w="8102" w:type="dxa"/>
            <w:gridSpan w:val="5"/>
            <w:vAlign w:val="center"/>
            <w:hideMark/>
          </w:tcPr>
          <w:p w:rsidR="00262982" w:rsidRPr="00644691" w:rsidRDefault="00262982" w:rsidP="00583A94">
            <w:pPr>
              <w:rPr>
                <w:rFonts w:ascii="Arial Narrow" w:hAnsi="Arial Narrow"/>
                <w:sz w:val="20"/>
                <w:szCs w:val="20"/>
              </w:rPr>
            </w:pPr>
            <w:r w:rsidRPr="00644691">
              <w:rPr>
                <w:rFonts w:ascii="Arial Narrow" w:hAnsi="Arial Narrow"/>
                <w:sz w:val="20"/>
                <w:szCs w:val="20"/>
              </w:rPr>
              <w:t>Patient must have a documented left ventricular ejection fraction (LVEF) of less than or equal to 40%,</w:t>
            </w:r>
          </w:p>
        </w:tc>
      </w:tr>
      <w:tr w:rsidR="00262982" w:rsidRPr="00644691"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rsidR="00262982" w:rsidRPr="00644691" w:rsidRDefault="00262982" w:rsidP="00583A94">
            <w:pPr>
              <w:jc w:val="center"/>
              <w:rPr>
                <w:rFonts w:ascii="Arial Narrow" w:hAnsi="Arial Narrow"/>
                <w:sz w:val="20"/>
                <w:szCs w:val="20"/>
              </w:rPr>
            </w:pPr>
          </w:p>
        </w:tc>
        <w:tc>
          <w:tcPr>
            <w:tcW w:w="8102" w:type="dxa"/>
            <w:gridSpan w:val="5"/>
            <w:vAlign w:val="center"/>
          </w:tcPr>
          <w:p w:rsidR="00262982" w:rsidRPr="00644691" w:rsidRDefault="00262982" w:rsidP="00583A94">
            <w:pPr>
              <w:rPr>
                <w:rFonts w:ascii="Arial Narrow" w:hAnsi="Arial Narrow"/>
                <w:sz w:val="20"/>
                <w:szCs w:val="20"/>
              </w:rPr>
            </w:pPr>
            <w:r w:rsidRPr="00644691">
              <w:rPr>
                <w:rFonts w:ascii="Arial Narrow" w:hAnsi="Arial Narrow"/>
                <w:b/>
                <w:bCs/>
                <w:sz w:val="20"/>
                <w:szCs w:val="20"/>
              </w:rPr>
              <w:t>AND</w:t>
            </w:r>
          </w:p>
        </w:tc>
      </w:tr>
      <w:tr w:rsidR="00262982" w:rsidRPr="00644691"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rsidR="00262982" w:rsidRPr="00644691" w:rsidRDefault="00262982" w:rsidP="00583A94">
            <w:pPr>
              <w:jc w:val="center"/>
              <w:rPr>
                <w:rFonts w:ascii="Arial Narrow" w:hAnsi="Arial Narrow"/>
                <w:sz w:val="20"/>
                <w:szCs w:val="20"/>
              </w:rPr>
            </w:pPr>
          </w:p>
        </w:tc>
        <w:tc>
          <w:tcPr>
            <w:tcW w:w="8102" w:type="dxa"/>
            <w:gridSpan w:val="5"/>
            <w:vAlign w:val="center"/>
            <w:hideMark/>
          </w:tcPr>
          <w:p w:rsidR="00262982" w:rsidRPr="00644691" w:rsidRDefault="00262982" w:rsidP="00583A94">
            <w:pPr>
              <w:rPr>
                <w:rFonts w:ascii="Arial Narrow" w:hAnsi="Arial Narrow"/>
                <w:sz w:val="20"/>
                <w:szCs w:val="20"/>
              </w:rPr>
            </w:pPr>
            <w:r w:rsidRPr="00644691">
              <w:rPr>
                <w:rFonts w:ascii="Arial Narrow" w:hAnsi="Arial Narrow"/>
                <w:b/>
                <w:bCs/>
                <w:sz w:val="20"/>
                <w:szCs w:val="20"/>
              </w:rPr>
              <w:t>Clinical criteria:</w:t>
            </w:r>
          </w:p>
        </w:tc>
      </w:tr>
      <w:tr w:rsidR="00262982" w:rsidRPr="00644691"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rsidR="00262982" w:rsidRPr="00644691" w:rsidRDefault="00262982" w:rsidP="00583A94">
            <w:pPr>
              <w:jc w:val="center"/>
              <w:rPr>
                <w:rFonts w:ascii="Arial Narrow" w:hAnsi="Arial Narrow"/>
                <w:sz w:val="20"/>
                <w:szCs w:val="20"/>
              </w:rPr>
            </w:pPr>
          </w:p>
        </w:tc>
        <w:tc>
          <w:tcPr>
            <w:tcW w:w="8102" w:type="dxa"/>
            <w:gridSpan w:val="5"/>
            <w:vAlign w:val="center"/>
            <w:hideMark/>
          </w:tcPr>
          <w:p w:rsidR="00262982" w:rsidRPr="00644691" w:rsidRDefault="00262982" w:rsidP="00583A94">
            <w:pPr>
              <w:rPr>
                <w:rFonts w:ascii="Arial Narrow" w:hAnsi="Arial Narrow"/>
                <w:sz w:val="20"/>
                <w:szCs w:val="20"/>
              </w:rPr>
            </w:pPr>
            <w:r w:rsidRPr="00644691">
              <w:rPr>
                <w:rFonts w:ascii="Arial Narrow" w:hAnsi="Arial Narrow"/>
                <w:sz w:val="20"/>
                <w:szCs w:val="20"/>
              </w:rPr>
              <w:t>Patient must receive concomitant optimal standard chronic heart failure treatment, which must include the maximum tolerated dose of a beta-blocker, unless contraindicated or not tolerated;</w:t>
            </w:r>
          </w:p>
        </w:tc>
      </w:tr>
      <w:tr w:rsidR="00262982" w:rsidRPr="00644691"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rsidR="00262982" w:rsidRPr="00644691" w:rsidRDefault="00262982" w:rsidP="00583A94">
            <w:pPr>
              <w:jc w:val="center"/>
              <w:rPr>
                <w:rFonts w:ascii="Arial Narrow" w:hAnsi="Arial Narrow"/>
                <w:sz w:val="20"/>
                <w:szCs w:val="20"/>
              </w:rPr>
            </w:pPr>
          </w:p>
        </w:tc>
        <w:tc>
          <w:tcPr>
            <w:tcW w:w="8102" w:type="dxa"/>
            <w:gridSpan w:val="5"/>
            <w:vAlign w:val="center"/>
          </w:tcPr>
          <w:p w:rsidR="00262982" w:rsidRPr="00644691" w:rsidRDefault="00262982" w:rsidP="00583A94">
            <w:pPr>
              <w:rPr>
                <w:rFonts w:ascii="Arial Narrow" w:hAnsi="Arial Narrow"/>
                <w:sz w:val="20"/>
                <w:szCs w:val="20"/>
              </w:rPr>
            </w:pPr>
            <w:r w:rsidRPr="00644691">
              <w:rPr>
                <w:rFonts w:ascii="Arial Narrow" w:hAnsi="Arial Narrow"/>
                <w:b/>
                <w:bCs/>
                <w:sz w:val="20"/>
                <w:szCs w:val="20"/>
              </w:rPr>
              <w:t>AND</w:t>
            </w:r>
          </w:p>
        </w:tc>
      </w:tr>
      <w:tr w:rsidR="00262982" w:rsidRPr="00644691"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rsidR="00262982" w:rsidRPr="00644691" w:rsidRDefault="00262982" w:rsidP="00583A94">
            <w:pPr>
              <w:jc w:val="center"/>
              <w:rPr>
                <w:rFonts w:ascii="Arial Narrow" w:hAnsi="Arial Narrow"/>
                <w:sz w:val="20"/>
                <w:szCs w:val="20"/>
              </w:rPr>
            </w:pPr>
          </w:p>
        </w:tc>
        <w:tc>
          <w:tcPr>
            <w:tcW w:w="8102" w:type="dxa"/>
            <w:gridSpan w:val="5"/>
            <w:vAlign w:val="center"/>
          </w:tcPr>
          <w:p w:rsidR="00262982" w:rsidRPr="00644691" w:rsidRDefault="00262982" w:rsidP="00583A94">
            <w:pPr>
              <w:rPr>
                <w:rFonts w:ascii="Arial Narrow" w:hAnsi="Arial Narrow"/>
                <w:sz w:val="20"/>
                <w:szCs w:val="20"/>
              </w:rPr>
            </w:pPr>
            <w:r w:rsidRPr="00644691">
              <w:rPr>
                <w:rFonts w:ascii="Arial Narrow" w:hAnsi="Arial Narrow"/>
                <w:b/>
                <w:bCs/>
                <w:sz w:val="20"/>
                <w:szCs w:val="20"/>
              </w:rPr>
              <w:t>Clinical criteria:</w:t>
            </w:r>
          </w:p>
        </w:tc>
      </w:tr>
      <w:tr w:rsidR="00262982" w:rsidRPr="00644691"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rsidR="00262982" w:rsidRPr="00644691" w:rsidRDefault="00262982" w:rsidP="00583A94">
            <w:pPr>
              <w:jc w:val="center"/>
              <w:rPr>
                <w:rFonts w:ascii="Arial Narrow" w:hAnsi="Arial Narrow"/>
                <w:sz w:val="20"/>
                <w:szCs w:val="20"/>
              </w:rPr>
            </w:pPr>
          </w:p>
        </w:tc>
        <w:tc>
          <w:tcPr>
            <w:tcW w:w="8102" w:type="dxa"/>
            <w:gridSpan w:val="5"/>
            <w:vAlign w:val="center"/>
          </w:tcPr>
          <w:p w:rsidR="00262982" w:rsidRPr="00644691" w:rsidRDefault="00262982" w:rsidP="00583A94">
            <w:pPr>
              <w:pStyle w:val="TableText"/>
              <w:rPr>
                <w:rFonts w:eastAsia="Times New Roman"/>
              </w:rPr>
            </w:pPr>
            <w:r w:rsidRPr="00644691">
              <w:rPr>
                <w:strike/>
              </w:rPr>
              <w:t xml:space="preserve">Patient must be receiving treatment with an ACE inhibitor, </w:t>
            </w:r>
            <w:r w:rsidR="00871485" w:rsidRPr="00644691">
              <w:rPr>
                <w:rFonts w:eastAsia="Times New Roman"/>
                <w:i/>
              </w:rPr>
              <w:t xml:space="preserve">Patient must receive treatment in combination with the maximum tolerated dose of an ACE inhibitor, </w:t>
            </w:r>
            <w:r w:rsidRPr="00644691">
              <w:t>unless contraindicated according to the TGA-approved Product Information or cannot be tolerated; or</w:t>
            </w:r>
          </w:p>
        </w:tc>
      </w:tr>
      <w:tr w:rsidR="00262982" w:rsidRPr="00644691"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rsidR="00262982" w:rsidRPr="00644691" w:rsidRDefault="00262982" w:rsidP="00583A94">
            <w:pPr>
              <w:jc w:val="center"/>
              <w:rPr>
                <w:rFonts w:ascii="Arial Narrow" w:hAnsi="Arial Narrow"/>
                <w:sz w:val="20"/>
                <w:szCs w:val="20"/>
              </w:rPr>
            </w:pPr>
          </w:p>
        </w:tc>
        <w:tc>
          <w:tcPr>
            <w:tcW w:w="8102" w:type="dxa"/>
            <w:gridSpan w:val="5"/>
            <w:vAlign w:val="center"/>
          </w:tcPr>
          <w:p w:rsidR="00262982" w:rsidRPr="00644691" w:rsidRDefault="00262982" w:rsidP="00583A94">
            <w:pPr>
              <w:pStyle w:val="TableText"/>
            </w:pPr>
            <w:r w:rsidRPr="00644691">
              <w:rPr>
                <w:strike/>
              </w:rPr>
              <w:t xml:space="preserve">Patient must be receiving treatment with an angiotensin II antagonist, </w:t>
            </w:r>
            <w:r w:rsidR="00871485" w:rsidRPr="00644691">
              <w:rPr>
                <w:rFonts w:eastAsia="Times New Roman"/>
                <w:i/>
              </w:rPr>
              <w:t>Patient must receive treatment in combination with the maximum tolerated dose of an angiotensin II antagonist,</w:t>
            </w:r>
            <w:r w:rsidR="00871485" w:rsidRPr="00644691">
              <w:t xml:space="preserve"> </w:t>
            </w:r>
            <w:r w:rsidRPr="00644691">
              <w:t>unless contraindicated according to the TGA-approved Product Information or cannot be tolerated; or</w:t>
            </w:r>
          </w:p>
        </w:tc>
      </w:tr>
      <w:tr w:rsidR="00262982" w:rsidRPr="00644691"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rsidR="00262982" w:rsidRPr="00644691" w:rsidRDefault="00262982" w:rsidP="00583A94">
            <w:pPr>
              <w:jc w:val="center"/>
              <w:rPr>
                <w:rFonts w:ascii="Arial Narrow" w:hAnsi="Arial Narrow"/>
                <w:sz w:val="20"/>
                <w:szCs w:val="20"/>
              </w:rPr>
            </w:pPr>
          </w:p>
        </w:tc>
        <w:tc>
          <w:tcPr>
            <w:tcW w:w="8102" w:type="dxa"/>
            <w:gridSpan w:val="5"/>
            <w:vAlign w:val="center"/>
          </w:tcPr>
          <w:p w:rsidR="00262982" w:rsidRPr="00644691" w:rsidRDefault="00262982" w:rsidP="00583A94">
            <w:pPr>
              <w:pStyle w:val="TableText"/>
            </w:pPr>
            <w:r w:rsidRPr="00644691">
              <w:rPr>
                <w:strike/>
              </w:rPr>
              <w:t xml:space="preserve">Patient must be receiving treatment with an angiotensin receptor with neprilysin inhibitor combination therapy </w:t>
            </w:r>
            <w:r w:rsidR="00871485" w:rsidRPr="00644691">
              <w:rPr>
                <w:rFonts w:eastAsia="Times New Roman"/>
                <w:i/>
              </w:rPr>
              <w:t>Patient must receive treatment in combination with the maximum tolerated dose of</w:t>
            </w:r>
            <w:r w:rsidR="00871485" w:rsidRPr="00644691" w:rsidDel="00AF0888">
              <w:rPr>
                <w:rFonts w:eastAsia="Times New Roman"/>
                <w:i/>
              </w:rPr>
              <w:t xml:space="preserve"> </w:t>
            </w:r>
            <w:r w:rsidR="00871485" w:rsidRPr="00644691">
              <w:rPr>
                <w:rFonts w:eastAsia="Times New Roman"/>
                <w:i/>
              </w:rPr>
              <w:t>an angiotensin receptor with neprilysin inhibitor combination therapy,</w:t>
            </w:r>
            <w:r w:rsidR="00871485" w:rsidRPr="00644691">
              <w:t xml:space="preserve"> </w:t>
            </w:r>
            <w:r w:rsidRPr="00644691">
              <w:t>unless contraindicated according to the TGA-approved Product Information or cannot be tolerated,</w:t>
            </w:r>
          </w:p>
        </w:tc>
      </w:tr>
      <w:tr w:rsidR="00262982" w:rsidRPr="00644691"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rsidR="00262982" w:rsidRPr="00644691" w:rsidRDefault="00262982" w:rsidP="00583A94">
            <w:pPr>
              <w:jc w:val="center"/>
              <w:rPr>
                <w:rFonts w:ascii="Arial Narrow" w:hAnsi="Arial Narrow"/>
                <w:sz w:val="20"/>
                <w:szCs w:val="20"/>
              </w:rPr>
            </w:pPr>
          </w:p>
        </w:tc>
        <w:tc>
          <w:tcPr>
            <w:tcW w:w="8102" w:type="dxa"/>
            <w:gridSpan w:val="5"/>
            <w:vAlign w:val="center"/>
          </w:tcPr>
          <w:p w:rsidR="00262982" w:rsidRPr="00644691" w:rsidRDefault="00262982" w:rsidP="00583A94">
            <w:pPr>
              <w:rPr>
                <w:rFonts w:ascii="Arial Narrow" w:hAnsi="Arial Narrow"/>
                <w:sz w:val="20"/>
                <w:szCs w:val="20"/>
              </w:rPr>
            </w:pPr>
            <w:r w:rsidRPr="00644691">
              <w:rPr>
                <w:rFonts w:ascii="Arial Narrow" w:hAnsi="Arial Narrow"/>
                <w:b/>
                <w:bCs/>
                <w:sz w:val="20"/>
                <w:szCs w:val="20"/>
              </w:rPr>
              <w:t>AND</w:t>
            </w:r>
          </w:p>
        </w:tc>
      </w:tr>
      <w:tr w:rsidR="00262982" w:rsidRPr="00644691"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rsidR="00262982" w:rsidRPr="00644691" w:rsidRDefault="00262982" w:rsidP="00583A94">
            <w:pPr>
              <w:jc w:val="center"/>
              <w:rPr>
                <w:rFonts w:ascii="Arial Narrow" w:hAnsi="Arial Narrow"/>
                <w:sz w:val="20"/>
                <w:szCs w:val="20"/>
              </w:rPr>
            </w:pPr>
          </w:p>
        </w:tc>
        <w:tc>
          <w:tcPr>
            <w:tcW w:w="8102" w:type="dxa"/>
            <w:gridSpan w:val="5"/>
            <w:vAlign w:val="center"/>
          </w:tcPr>
          <w:p w:rsidR="00262982" w:rsidRPr="00644691" w:rsidRDefault="00262982" w:rsidP="00583A94">
            <w:pPr>
              <w:rPr>
                <w:rFonts w:ascii="Arial Narrow" w:hAnsi="Arial Narrow"/>
                <w:sz w:val="20"/>
                <w:szCs w:val="20"/>
              </w:rPr>
            </w:pPr>
            <w:r w:rsidRPr="00644691">
              <w:rPr>
                <w:rFonts w:ascii="Arial Narrow" w:hAnsi="Arial Narrow"/>
                <w:b/>
                <w:bCs/>
                <w:sz w:val="20"/>
                <w:szCs w:val="20"/>
              </w:rPr>
              <w:t>Clinical criteria:</w:t>
            </w:r>
          </w:p>
        </w:tc>
      </w:tr>
      <w:tr w:rsidR="00262982" w:rsidRPr="00644691"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rsidR="00262982" w:rsidRPr="00644691" w:rsidRDefault="00262982" w:rsidP="00583A94">
            <w:pPr>
              <w:jc w:val="center"/>
              <w:rPr>
                <w:rFonts w:ascii="Arial Narrow" w:hAnsi="Arial Narrow"/>
                <w:strike/>
                <w:sz w:val="20"/>
                <w:szCs w:val="20"/>
              </w:rPr>
            </w:pPr>
          </w:p>
        </w:tc>
        <w:tc>
          <w:tcPr>
            <w:tcW w:w="8102" w:type="dxa"/>
            <w:gridSpan w:val="5"/>
            <w:vAlign w:val="center"/>
          </w:tcPr>
          <w:p w:rsidR="00262982" w:rsidRPr="00644691" w:rsidRDefault="00262982" w:rsidP="00583A94">
            <w:pPr>
              <w:rPr>
                <w:rFonts w:ascii="Arial Narrow" w:hAnsi="Arial Narrow"/>
                <w:sz w:val="20"/>
                <w:szCs w:val="20"/>
              </w:rPr>
            </w:pPr>
            <w:r w:rsidRPr="00644691">
              <w:rPr>
                <w:rFonts w:ascii="Arial Narrow" w:hAnsi="Arial Narrow"/>
                <w:sz w:val="20"/>
                <w:szCs w:val="20"/>
              </w:rPr>
              <w:t>Patient must not be receiving treatment with another sodium-glucose co-transporter 2 (SGLT2) inhibitor.</w:t>
            </w:r>
          </w:p>
        </w:tc>
      </w:tr>
      <w:tr w:rsidR="00262982" w:rsidRPr="00644691" w:rsidTr="004749FA">
        <w:tblPrEx>
          <w:tblCellMar>
            <w:top w:w="15" w:type="dxa"/>
            <w:left w:w="15" w:type="dxa"/>
            <w:bottom w:w="15" w:type="dxa"/>
            <w:right w:w="15" w:type="dxa"/>
          </w:tblCellMar>
          <w:tblLook w:val="04A0" w:firstRow="1" w:lastRow="0" w:firstColumn="1" w:lastColumn="0" w:noHBand="0" w:noVBand="1"/>
        </w:tblPrEx>
        <w:trPr>
          <w:trHeight w:val="20"/>
        </w:trPr>
        <w:tc>
          <w:tcPr>
            <w:tcW w:w="915" w:type="dxa"/>
            <w:vAlign w:val="center"/>
          </w:tcPr>
          <w:p w:rsidR="00262982" w:rsidRPr="00644691" w:rsidRDefault="00262982" w:rsidP="00583A94">
            <w:pPr>
              <w:jc w:val="center"/>
              <w:rPr>
                <w:rFonts w:ascii="Arial Narrow" w:hAnsi="Arial Narrow"/>
                <w:sz w:val="20"/>
                <w:szCs w:val="20"/>
              </w:rPr>
            </w:pPr>
          </w:p>
        </w:tc>
        <w:tc>
          <w:tcPr>
            <w:tcW w:w="8102" w:type="dxa"/>
            <w:gridSpan w:val="5"/>
            <w:vAlign w:val="center"/>
          </w:tcPr>
          <w:p w:rsidR="00262982" w:rsidRPr="00644691" w:rsidRDefault="00262982" w:rsidP="00583A94">
            <w:pPr>
              <w:rPr>
                <w:rFonts w:ascii="Arial Narrow" w:hAnsi="Arial Narrow"/>
                <w:sz w:val="20"/>
                <w:szCs w:val="20"/>
              </w:rPr>
            </w:pPr>
            <w:r w:rsidRPr="00644691">
              <w:rPr>
                <w:rFonts w:ascii="Arial Narrow" w:hAnsi="Arial Narrow"/>
                <w:b/>
                <w:bCs/>
                <w:sz w:val="20"/>
                <w:szCs w:val="20"/>
              </w:rPr>
              <w:t>Administrative Advice:</w:t>
            </w:r>
          </w:p>
          <w:p w:rsidR="00262982" w:rsidRPr="00644691" w:rsidRDefault="00262982" w:rsidP="00583A94">
            <w:pPr>
              <w:rPr>
                <w:rFonts w:ascii="Arial Narrow" w:hAnsi="Arial Narrow"/>
                <w:sz w:val="20"/>
                <w:szCs w:val="20"/>
              </w:rPr>
            </w:pPr>
            <w:r w:rsidRPr="00644691">
              <w:rPr>
                <w:rFonts w:ascii="Arial Narrow" w:hAnsi="Arial Narrow"/>
                <w:bCs/>
                <w:sz w:val="20"/>
                <w:szCs w:val="20"/>
              </w:rPr>
              <w:t>Continuing Therapy Only:</w:t>
            </w:r>
          </w:p>
          <w:p w:rsidR="00262982" w:rsidRPr="00644691" w:rsidRDefault="00262982" w:rsidP="00583A94">
            <w:pPr>
              <w:rPr>
                <w:rFonts w:ascii="Arial Narrow" w:hAnsi="Arial Narrow"/>
                <w:sz w:val="20"/>
                <w:szCs w:val="20"/>
              </w:rPr>
            </w:pPr>
            <w:r w:rsidRPr="00644691">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B60939" w:rsidRPr="00644691" w:rsidRDefault="00B60939" w:rsidP="004B1CB4"/>
    <w:p w:rsidR="00AC38FD" w:rsidRPr="00644691" w:rsidRDefault="00DD392D" w:rsidP="00B233CB">
      <w:pPr>
        <w:pStyle w:val="ExecSumBodyText"/>
      </w:pPr>
      <w:r w:rsidRPr="00644691">
        <w:t>The resubmission requested a DPMQ of $</w:t>
      </w:r>
      <w:r w:rsidR="00BB0C56">
        <w:rPr>
          <w:noProof/>
          <w:color w:val="000000"/>
          <w:highlight w:val="black"/>
        </w:rPr>
        <w:t>''''''''''''</w:t>
      </w:r>
      <w:r w:rsidRPr="00644691">
        <w:t xml:space="preserve">. The </w:t>
      </w:r>
      <w:r w:rsidR="002E62F0" w:rsidRPr="00644691">
        <w:t xml:space="preserve">requested </w:t>
      </w:r>
      <w:r w:rsidRPr="00644691">
        <w:t xml:space="preserve">DPMQ </w:t>
      </w:r>
      <w:r w:rsidR="00931B1C" w:rsidRPr="00644691">
        <w:t>was</w:t>
      </w:r>
      <w:r w:rsidRPr="00644691">
        <w:t xml:space="preserve"> </w:t>
      </w:r>
      <w:bookmarkStart w:id="13" w:name="_Hlk71902576"/>
      <w:r w:rsidRPr="00644691">
        <w:t xml:space="preserve">lower than the </w:t>
      </w:r>
      <w:r w:rsidR="00497DA2" w:rsidRPr="00644691">
        <w:t>proposed</w:t>
      </w:r>
      <w:r w:rsidRPr="00644691">
        <w:t xml:space="preserve"> price of </w:t>
      </w:r>
      <w:r w:rsidR="00B233CB" w:rsidRPr="00644691">
        <w:t>$</w:t>
      </w:r>
      <w:r w:rsidR="00BB0C56">
        <w:rPr>
          <w:noProof/>
          <w:color w:val="000000"/>
          <w:highlight w:val="black"/>
        </w:rPr>
        <w:t>''''''''''''</w:t>
      </w:r>
      <w:r w:rsidR="00B233CB" w:rsidRPr="00644691">
        <w:t xml:space="preserve"> </w:t>
      </w:r>
      <w:r w:rsidRPr="00644691">
        <w:t>included in the November 2020 pre-PBAC response, which was calculated by weighting the existing price in T2DM (</w:t>
      </w:r>
      <w:r w:rsidR="00BB0C56">
        <w:rPr>
          <w:noProof/>
          <w:color w:val="000000"/>
          <w:highlight w:val="black"/>
        </w:rPr>
        <w:t>'''''</w:t>
      </w:r>
      <w:r w:rsidRPr="00644691">
        <w:t xml:space="preserve">%) and a heart failure price derived from cost-minimisation </w:t>
      </w:r>
      <w:r w:rsidR="0054174B" w:rsidRPr="00644691">
        <w:t xml:space="preserve">of dapagliflozin </w:t>
      </w:r>
      <w:r w:rsidRPr="00644691">
        <w:t xml:space="preserve">to the </w:t>
      </w:r>
      <w:r w:rsidR="0054174B" w:rsidRPr="00644691">
        <w:t xml:space="preserve">sacubitril/valsartan </w:t>
      </w:r>
      <w:r w:rsidRPr="00644691">
        <w:t>published price less the cost of valsartan (</w:t>
      </w:r>
      <w:r w:rsidR="00BB0C56">
        <w:rPr>
          <w:noProof/>
          <w:color w:val="000000"/>
          <w:highlight w:val="black"/>
        </w:rPr>
        <w:t>'''''</w:t>
      </w:r>
      <w:r w:rsidRPr="00644691">
        <w:t>%).</w:t>
      </w:r>
      <w:bookmarkEnd w:id="13"/>
      <w:r w:rsidR="000B758C" w:rsidRPr="00644691">
        <w:rPr>
          <w:iCs/>
        </w:rPr>
        <w:t xml:space="preserve"> </w:t>
      </w:r>
    </w:p>
    <w:p w:rsidR="00AC38FD" w:rsidRPr="00644691" w:rsidRDefault="009F5DD0" w:rsidP="00E21215">
      <w:pPr>
        <w:pStyle w:val="ExecSumBodyText"/>
      </w:pPr>
      <w:r w:rsidRPr="00644691">
        <w:t xml:space="preserve">Consistent with the requirements of the </w:t>
      </w:r>
      <w:r w:rsidRPr="00644691">
        <w:rPr>
          <w:i/>
        </w:rPr>
        <w:t>National Health Act 1953</w:t>
      </w:r>
      <w:r w:rsidRPr="00644691">
        <w:t xml:space="preserve"> to have a single published list price per pharmaceutical item,</w:t>
      </w:r>
      <w:r w:rsidRPr="00644691" w:rsidDel="009F5DD0">
        <w:t xml:space="preserve"> </w:t>
      </w:r>
      <w:r w:rsidRPr="00644691">
        <w:t>t</w:t>
      </w:r>
      <w:r w:rsidR="00AC38FD" w:rsidRPr="00644691">
        <w:t xml:space="preserve">he sponsor requested a revised </w:t>
      </w:r>
      <w:r w:rsidR="00AC38FD" w:rsidRPr="00644691">
        <w:lastRenderedPageBreak/>
        <w:t xml:space="preserve">published price for dapagliflozin to reflect the proportional use across </w:t>
      </w:r>
      <w:r w:rsidR="00C961A2" w:rsidRPr="00644691">
        <w:t>T2DM</w:t>
      </w:r>
      <w:r w:rsidRPr="00644691">
        <w:t xml:space="preserve"> ($5</w:t>
      </w:r>
      <w:r w:rsidR="004E244A" w:rsidRPr="00644691">
        <w:t>6</w:t>
      </w:r>
      <w:r w:rsidRPr="00644691">
        <w:t>.85)</w:t>
      </w:r>
      <w:r w:rsidR="00AC38FD" w:rsidRPr="00644691">
        <w:t xml:space="preserve">, </w:t>
      </w:r>
      <w:r w:rsidR="00B97C79" w:rsidRPr="00644691">
        <w:t>CKD</w:t>
      </w:r>
      <w:r w:rsidRPr="00644691">
        <w:t xml:space="preserve"> ($</w:t>
      </w:r>
      <w:r w:rsidR="00BB0C56">
        <w:rPr>
          <w:noProof/>
          <w:color w:val="000000"/>
          <w:highlight w:val="black"/>
        </w:rPr>
        <w:t>''''''''''''''</w:t>
      </w:r>
      <w:r w:rsidRPr="00644691">
        <w:t>)</w:t>
      </w:r>
      <w:r w:rsidR="00AC38FD" w:rsidRPr="00644691">
        <w:t xml:space="preserve"> and </w:t>
      </w:r>
      <w:r w:rsidR="00B97C79" w:rsidRPr="00644691">
        <w:t>HFrEF</w:t>
      </w:r>
      <w:r w:rsidR="00656397" w:rsidRPr="00644691">
        <w:t xml:space="preserve"> </w:t>
      </w:r>
      <w:r w:rsidRPr="00644691">
        <w:t>($</w:t>
      </w:r>
      <w:r w:rsidR="00BB0C56">
        <w:rPr>
          <w:noProof/>
          <w:color w:val="000000"/>
          <w:highlight w:val="black"/>
        </w:rPr>
        <w:t>''''''''''''''</w:t>
      </w:r>
      <w:r w:rsidRPr="00644691">
        <w:t xml:space="preserve">) </w:t>
      </w:r>
      <w:r w:rsidR="00656397" w:rsidRPr="00644691">
        <w:t>indications.</w:t>
      </w:r>
      <w:r w:rsidR="001745DB" w:rsidRPr="00644691">
        <w:t xml:space="preserve"> A proposed weighted price was not provided in the submission</w:t>
      </w:r>
      <w:r w:rsidR="00D31A01" w:rsidRPr="00644691">
        <w:t>, but was included in the Pre-Sub-Committee Response (PSCR)</w:t>
      </w:r>
      <w:r w:rsidR="00AB436E" w:rsidRPr="00644691">
        <w:t xml:space="preserve"> ($</w:t>
      </w:r>
      <w:r w:rsidR="00BB0C56">
        <w:rPr>
          <w:noProof/>
          <w:color w:val="000000"/>
          <w:highlight w:val="black"/>
        </w:rPr>
        <w:t>''''''''''</w:t>
      </w:r>
      <w:r w:rsidR="00AB436E" w:rsidRPr="00644691">
        <w:t xml:space="preserve"> for HF</w:t>
      </w:r>
      <w:r w:rsidR="006904C8" w:rsidRPr="00644691">
        <w:t xml:space="preserve"> and </w:t>
      </w:r>
      <w:r w:rsidR="00AB436E" w:rsidRPr="00644691">
        <w:t>T2DM, $</w:t>
      </w:r>
      <w:r w:rsidR="00BB0C56">
        <w:rPr>
          <w:noProof/>
          <w:color w:val="000000"/>
          <w:highlight w:val="black"/>
        </w:rPr>
        <w:t>''''''''''</w:t>
      </w:r>
      <w:r w:rsidR="00AB436E" w:rsidRPr="00A06829">
        <w:t xml:space="preserve"> </w:t>
      </w:r>
      <w:r w:rsidR="00AB436E" w:rsidRPr="00644691">
        <w:t>for HF</w:t>
      </w:r>
      <w:r w:rsidR="006904C8" w:rsidRPr="00644691">
        <w:t>,</w:t>
      </w:r>
      <w:r w:rsidR="006F65E0">
        <w:t xml:space="preserve"> </w:t>
      </w:r>
      <w:r w:rsidR="00AB436E" w:rsidRPr="00644691">
        <w:t>T2DM</w:t>
      </w:r>
      <w:r w:rsidR="006904C8" w:rsidRPr="00644691">
        <w:t xml:space="preserve"> and</w:t>
      </w:r>
      <w:r w:rsidR="006F65E0">
        <w:t xml:space="preserve"> </w:t>
      </w:r>
      <w:r w:rsidR="00AB436E" w:rsidRPr="00644691">
        <w:t xml:space="preserve">CKD). </w:t>
      </w:r>
      <w:r w:rsidR="00B21A6C" w:rsidRPr="00644691">
        <w:t>The ESC had been concerned that the weightings were highly uncertain</w:t>
      </w:r>
      <w:r w:rsidR="00EC4759" w:rsidRPr="00644691">
        <w:t xml:space="preserve"> and </w:t>
      </w:r>
      <w:r w:rsidR="00B21A6C" w:rsidRPr="00644691">
        <w:t>that patients currently using PBS</w:t>
      </w:r>
      <w:r w:rsidR="00EC4759" w:rsidRPr="00644691">
        <w:t>-</w:t>
      </w:r>
      <w:r w:rsidR="00B21A6C" w:rsidRPr="00644691">
        <w:t>subsidised dapagliflozin for T2DM were already experiencing the associated benefits in heart failure and kidney function at the T2DM DPMQ.</w:t>
      </w:r>
      <w:r w:rsidR="00EC4759" w:rsidRPr="00644691">
        <w:t xml:space="preserve"> </w:t>
      </w:r>
      <w:r w:rsidR="00AB436E" w:rsidRPr="00644691">
        <w:t>The pre-PBAC response offered a revised DPMQ of $</w:t>
      </w:r>
      <w:r w:rsidR="00BB0C56">
        <w:rPr>
          <w:noProof/>
          <w:color w:val="000000"/>
          <w:highlight w:val="black"/>
        </w:rPr>
        <w:t>''''''''''</w:t>
      </w:r>
      <w:r w:rsidR="00AB436E" w:rsidRPr="00644691">
        <w:t xml:space="preserve">, to align with the </w:t>
      </w:r>
      <w:r w:rsidR="00BB0C56">
        <w:rPr>
          <w:noProof/>
          <w:color w:val="000000"/>
          <w:highlight w:val="black"/>
        </w:rPr>
        <w:t>'''''''''''</w:t>
      </w:r>
      <w:r w:rsidR="00AB436E" w:rsidRPr="00644691">
        <w:t xml:space="preserve"> price. At the time of the PBAC meeting, the T2DM price was $</w:t>
      </w:r>
      <w:r w:rsidR="00BB0C56">
        <w:rPr>
          <w:noProof/>
          <w:color w:val="000000"/>
          <w:highlight w:val="black"/>
        </w:rPr>
        <w:t>''''''''''''</w:t>
      </w:r>
      <w:r w:rsidR="00AB436E" w:rsidRPr="00644691">
        <w:t>.</w:t>
      </w:r>
    </w:p>
    <w:p w:rsidR="00B85524" w:rsidRPr="00644691" w:rsidRDefault="00025947" w:rsidP="000F7D42">
      <w:pPr>
        <w:pStyle w:val="ExecSumBodyText"/>
        <w:rPr>
          <w:iCs/>
        </w:rPr>
      </w:pPr>
      <w:r w:rsidRPr="00644691">
        <w:rPr>
          <w:iCs/>
        </w:rPr>
        <w:t xml:space="preserve">The requested restriction was narrower than the TGA indication, but broadly consistent with the DAPA-HF trial (the key clinical evidence in the resubmission). </w:t>
      </w:r>
    </w:p>
    <w:p w:rsidR="000F7D42" w:rsidRPr="00644691" w:rsidRDefault="000F7D42" w:rsidP="000F7D42">
      <w:pPr>
        <w:pStyle w:val="ExecSumBodyText"/>
        <w:rPr>
          <w:iCs/>
        </w:rPr>
      </w:pPr>
      <w:r w:rsidRPr="00644691">
        <w:rPr>
          <w:iCs/>
        </w:rPr>
        <w:t xml:space="preserve">There is a risk of use outside of the proposed restriction among patients with heart failure with preserved ejection fraction, patients with heart failure with midrange ejection fraction, patients with NYHA Class I heart failure, and patients who are not receiving optimal therapy with </w:t>
      </w:r>
      <w:r w:rsidR="00A37A1B" w:rsidRPr="00644691">
        <w:rPr>
          <w:iCs/>
        </w:rPr>
        <w:t>a beta-blocker and an ACE inhibitor, ARB, or ARNI.</w:t>
      </w:r>
      <w:r w:rsidR="006F7A82" w:rsidRPr="00644691">
        <w:rPr>
          <w:iCs/>
        </w:rPr>
        <w:t xml:space="preserve"> </w:t>
      </w:r>
    </w:p>
    <w:p w:rsidR="00EB17CC" w:rsidRPr="00644691" w:rsidRDefault="00EB17CC" w:rsidP="00EB17CC">
      <w:pPr>
        <w:ind w:firstLine="709"/>
        <w:rPr>
          <w:rFonts w:asciiTheme="minorHAnsi" w:hAnsiTheme="minorHAnsi"/>
          <w:i/>
        </w:rPr>
      </w:pPr>
      <w:r w:rsidRPr="00644691">
        <w:rPr>
          <w:rFonts w:asciiTheme="minorHAnsi" w:hAnsiTheme="minorHAnsi"/>
          <w:i/>
        </w:rPr>
        <w:t>For more detail on PBAC’s view, see section 7 PBAC outcome.</w:t>
      </w:r>
    </w:p>
    <w:p w:rsidR="00B50DB8" w:rsidRPr="00644691" w:rsidRDefault="00203181" w:rsidP="004E18E9">
      <w:pPr>
        <w:pStyle w:val="2-SectionHeading"/>
      </w:pPr>
      <w:bookmarkStart w:id="14" w:name="_Toc72325053"/>
      <w:r w:rsidRPr="00644691">
        <w:t xml:space="preserve">Population and </w:t>
      </w:r>
      <w:r w:rsidR="008E0D3C" w:rsidRPr="00644691">
        <w:t>d</w:t>
      </w:r>
      <w:r w:rsidRPr="00644691">
        <w:t>isease</w:t>
      </w:r>
      <w:bookmarkEnd w:id="14"/>
    </w:p>
    <w:p w:rsidR="00894489" w:rsidRPr="00644691" w:rsidRDefault="000A737F" w:rsidP="004E18E9">
      <w:pPr>
        <w:pStyle w:val="ExecSumBodyText"/>
      </w:pPr>
      <w:r w:rsidRPr="00644691">
        <w:t>Chronic heart failure is a complex clinical syndrome characterised by symptoms such as dyspnoea, peripheral oedema and fatigue, caused by an underlying structural and/or functional cardiac abnormality that impairs the ability of the heart ventricle to fill with or eject blood. Common causes of heart failure include ischaemic heart disease, valvular heart disease, cardiomyopathies, hypertension, arrhythmias, and diabetes.</w:t>
      </w:r>
    </w:p>
    <w:p w:rsidR="000A737F" w:rsidRPr="00644691" w:rsidRDefault="000A737F" w:rsidP="000A737F">
      <w:pPr>
        <w:pStyle w:val="ExecSumBodyText"/>
      </w:pPr>
      <w:r w:rsidRPr="00644691">
        <w:t>Heart failure is commonly classified based on the left ventricular ejection fraction (LVEF). Heart failure with reduced ejection fraction (HFrEF) refers to symptoms with or without signs of heart failure and a left ventricular ejection fraction ≤40%. If LVEF is mildly reduced (41</w:t>
      </w:r>
      <w:r w:rsidR="00141F97" w:rsidRPr="00644691">
        <w:t>-</w:t>
      </w:r>
      <w:r w:rsidRPr="00644691">
        <w:t>49%), additional criteria are required</w:t>
      </w:r>
      <w:r w:rsidR="00A37A1B" w:rsidRPr="00644691">
        <w:t xml:space="preserve"> for diagnosis</w:t>
      </w:r>
      <w:r w:rsidRPr="00644691">
        <w:t xml:space="preserve"> (signs of heart failure, diastolic dysfunction with high filling pressure demonstrated by invasive means or echocardiography or biomarker testing). </w:t>
      </w:r>
    </w:p>
    <w:p w:rsidR="000A737F" w:rsidRPr="00644691" w:rsidRDefault="000A737F" w:rsidP="000A737F">
      <w:pPr>
        <w:pStyle w:val="ExecSumBodyText"/>
      </w:pPr>
      <w:r w:rsidRPr="00644691">
        <w:t>Liew et al. (2020) estimated that there were almost 420,000 adults in Australia with heart failure in 2017, representing 2.2% of the adult population. The prevalence of heart failure in Indigenous Australians is estimated to be 1.7 times that of non-Indigenous Australians (Woods et al., 2012). Heart failure mortality studies estimate 3 and 4-year survival rates for HFrEF of 32% and 41%, respectively (Somaratne et al., 2009; Meta-analysis Global Group in Chronic Heart Failure., 2012).</w:t>
      </w:r>
    </w:p>
    <w:p w:rsidR="007627BE" w:rsidRPr="00644691" w:rsidRDefault="00817EB3" w:rsidP="004E18E9">
      <w:pPr>
        <w:pStyle w:val="ExecSumBodyText"/>
      </w:pPr>
      <w:r w:rsidRPr="00644691">
        <w:t xml:space="preserve">Dapagliflozin is a selective inhibitor of sodium-glucose co-transporter 2 (SGLT2). </w:t>
      </w:r>
      <w:r w:rsidRPr="00644691">
        <w:rPr>
          <w:iCs/>
        </w:rPr>
        <w:t>The specific mechanisms underlying the benefits of dapagliflozin in heart failure are unclear.</w:t>
      </w:r>
    </w:p>
    <w:p w:rsidR="00ED6548" w:rsidRPr="00644691" w:rsidRDefault="0040484A" w:rsidP="00ED6548">
      <w:pPr>
        <w:pStyle w:val="ExecSumBodyText"/>
      </w:pPr>
      <w:r w:rsidRPr="00644691">
        <w:lastRenderedPageBreak/>
        <w:t>The previous submission had stated that dapagliflozin was an alternative or add-on option to sacubitril/valsartan (an ARNI), although the cost-effectiveness of dapagliflozin as add-on therapy to sacubitril/valsartan was not examined in that submission (</w:t>
      </w:r>
      <w:r w:rsidR="001A74BF" w:rsidRPr="00644691">
        <w:t>paragraphs</w:t>
      </w:r>
      <w:r w:rsidRPr="00644691">
        <w:t xml:space="preserve"> 3.5 and 4.6, dapagliflozin PSD, November 2020 PBAC meeting). The PBAC previously considered that the clinical place for dapagliflozin was unclear and likely to evolve. In addition, the PBAC considered that dapagliflozin has a different mechanism of action compared to sacubitril/valsartan, and patients will potentially switch from, add-on, or displace sacubitril/valsartan, or grow the current heart failure market (</w:t>
      </w:r>
      <w:r w:rsidR="001A74BF" w:rsidRPr="00644691">
        <w:t xml:space="preserve">paragraphs </w:t>
      </w:r>
      <w:r w:rsidRPr="00644691">
        <w:t xml:space="preserve">7.1 and 7.3, dapagliflozin PSD, November 2020 PBAC meeting). </w:t>
      </w:r>
      <w:r w:rsidR="00783366" w:rsidRPr="00644691">
        <w:t>The resubmission positioned dapagliflozin as an add-on therapy for patients treated with standard care that includes a beta blocker</w:t>
      </w:r>
      <w:r w:rsidR="00A53DBA" w:rsidRPr="00644691">
        <w:t xml:space="preserve"> and </w:t>
      </w:r>
      <w:r w:rsidR="00783366" w:rsidRPr="00644691">
        <w:t>an ACE inhibitor, ARB or ARNI.</w:t>
      </w:r>
      <w:r w:rsidR="00025947" w:rsidRPr="00644691">
        <w:t xml:space="preserve"> </w:t>
      </w:r>
      <w:r w:rsidRPr="00644691">
        <w:t>Switching between an ARNI and dapagliflozin was not considered in the economic evaluation or financial estimates</w:t>
      </w:r>
      <w:r w:rsidR="00B44164" w:rsidRPr="00644691">
        <w:t xml:space="preserve"> of the resubmission</w:t>
      </w:r>
      <w:r w:rsidRPr="00644691">
        <w:t xml:space="preserve">. </w:t>
      </w:r>
    </w:p>
    <w:p w:rsidR="00EB17CC" w:rsidRPr="00644691" w:rsidRDefault="00EB17CC" w:rsidP="00EB17CC">
      <w:pPr>
        <w:ind w:firstLine="709"/>
        <w:rPr>
          <w:rFonts w:asciiTheme="minorHAnsi" w:hAnsiTheme="minorHAnsi"/>
          <w:i/>
        </w:rPr>
      </w:pPr>
      <w:r w:rsidRPr="00644691">
        <w:rPr>
          <w:rFonts w:asciiTheme="minorHAnsi" w:hAnsiTheme="minorHAnsi"/>
          <w:i/>
        </w:rPr>
        <w:t>For more detail on PBAC’s view, see section 7 PBAC outcome.</w:t>
      </w:r>
    </w:p>
    <w:p w:rsidR="00B50DB8" w:rsidRPr="00644691" w:rsidRDefault="00B50DB8" w:rsidP="004E18E9">
      <w:pPr>
        <w:pStyle w:val="2-SectionHeading"/>
      </w:pPr>
      <w:bookmarkStart w:id="15" w:name="_Toc72325054"/>
      <w:r w:rsidRPr="00644691">
        <w:t>Comparator</w:t>
      </w:r>
      <w:bookmarkEnd w:id="15"/>
    </w:p>
    <w:p w:rsidR="00783366" w:rsidRPr="00644691" w:rsidRDefault="00783366" w:rsidP="00783366">
      <w:pPr>
        <w:pStyle w:val="ExecSumBodyText"/>
      </w:pPr>
      <w:r w:rsidRPr="00644691">
        <w:t>The resubmission nominated standard care as the main comparator, defined as:</w:t>
      </w:r>
    </w:p>
    <w:p w:rsidR="00783366" w:rsidRPr="00644691" w:rsidRDefault="00783366" w:rsidP="00B91468">
      <w:pPr>
        <w:pStyle w:val="ListParagraph"/>
        <w:numPr>
          <w:ilvl w:val="0"/>
          <w:numId w:val="5"/>
        </w:numPr>
        <w:ind w:left="998" w:hanging="221"/>
      </w:pPr>
      <w:r w:rsidRPr="00644691">
        <w:t xml:space="preserve">a </w:t>
      </w:r>
      <w:bookmarkStart w:id="16" w:name="_Hlk79008489"/>
      <w:r w:rsidRPr="00644691">
        <w:t>beta-blocker plus an ACE inhibitor or ARB (with or without an MRA and other heart failure medications) for the majority of patients (80-89%); and</w:t>
      </w:r>
    </w:p>
    <w:p w:rsidR="00783366" w:rsidRPr="00644691" w:rsidRDefault="00783366" w:rsidP="00B91468">
      <w:pPr>
        <w:pStyle w:val="ListParagraph"/>
        <w:numPr>
          <w:ilvl w:val="0"/>
          <w:numId w:val="5"/>
        </w:numPr>
        <w:ind w:left="992" w:hanging="215"/>
      </w:pPr>
      <w:r w:rsidRPr="00644691">
        <w:t>a beta-blocker plus an ARNI (with or without an MRA and other heart failure medications) for a minor proportion of patients (11-20%).</w:t>
      </w:r>
    </w:p>
    <w:bookmarkEnd w:id="16"/>
    <w:p w:rsidR="00783366" w:rsidRPr="00644691" w:rsidRDefault="00783366" w:rsidP="00783366">
      <w:pPr>
        <w:pStyle w:val="ExecSumBodyText"/>
        <w:rPr>
          <w:iCs/>
        </w:rPr>
      </w:pPr>
      <w:r w:rsidRPr="00644691">
        <w:rPr>
          <w:iCs/>
        </w:rPr>
        <w:t xml:space="preserve">This </w:t>
      </w:r>
      <w:r w:rsidR="00DC393F" w:rsidRPr="00644691">
        <w:rPr>
          <w:iCs/>
        </w:rPr>
        <w:t xml:space="preserve">ESC considered this </w:t>
      </w:r>
      <w:r w:rsidRPr="00644691">
        <w:rPr>
          <w:iCs/>
        </w:rPr>
        <w:t xml:space="preserve">was reasonable. The PBAC previously considered that the appropriate comparator for the majority of dapagliflozin use would be ‘standard of care’ consisting of an ACE inhibitor (or ARB) and a beta-blocker. The PBAC stated that MRAs and other background heart failure therapies could be considered as part of this standard of care, but noting the variability of </w:t>
      </w:r>
      <w:r w:rsidR="00A84291" w:rsidRPr="00644691">
        <w:rPr>
          <w:iCs/>
        </w:rPr>
        <w:t xml:space="preserve">individualised </w:t>
      </w:r>
      <w:r w:rsidRPr="00644691">
        <w:rPr>
          <w:iCs/>
        </w:rPr>
        <w:t>care, the PBAC viewed that they would complicate a cost-effectiveness comparison and could potentially be excluded if their financial impact were minor (</w:t>
      </w:r>
      <w:r w:rsidR="001A74BF" w:rsidRPr="00644691">
        <w:rPr>
          <w:iCs/>
        </w:rPr>
        <w:t>paragraph</w:t>
      </w:r>
      <w:r w:rsidRPr="00644691">
        <w:rPr>
          <w:iCs/>
        </w:rPr>
        <w:t xml:space="preserve"> 7.4, dapagliflozin, </w:t>
      </w:r>
      <w:r w:rsidR="00C5400D" w:rsidRPr="00644691">
        <w:rPr>
          <w:iCs/>
        </w:rPr>
        <w:t>PSD</w:t>
      </w:r>
      <w:r w:rsidRPr="00644691">
        <w:rPr>
          <w:iCs/>
        </w:rPr>
        <w:t xml:space="preserve">, November 2020 PBAC meeting). </w:t>
      </w:r>
    </w:p>
    <w:p w:rsidR="00783366" w:rsidRPr="00644691" w:rsidRDefault="00783366" w:rsidP="00783366">
      <w:pPr>
        <w:pStyle w:val="ExecSumBodyText"/>
        <w:rPr>
          <w:iCs/>
        </w:rPr>
      </w:pPr>
      <w:r w:rsidRPr="00644691">
        <w:rPr>
          <w:iCs/>
        </w:rPr>
        <w:t xml:space="preserve">The PBAC previously considered that ‘standard of care plus sacubitril/valsartan’ (i.e., a beta-blocker plus sacubitril/valsartan) would be an appropriate comparator for a minor proportion of the proposed population and that this portion could be reasonably estimated as somewhere between 11% (the proportion in the DAPA-HF trial using both dapagliflozin and sacubitril/valsartan at baseline) and 20% (the proportion of concomitant use estimated in the PSCR and pre-PBAC response, </w:t>
      </w:r>
      <w:bookmarkStart w:id="17" w:name="_Hlk78901751"/>
      <w:r w:rsidRPr="00644691">
        <w:rPr>
          <w:iCs/>
        </w:rPr>
        <w:t xml:space="preserve">based on the EMPEROR-Reduced trial and clinical opinion; </w:t>
      </w:r>
      <w:r w:rsidR="001A74BF" w:rsidRPr="00644691">
        <w:rPr>
          <w:iCs/>
        </w:rPr>
        <w:t>paragraph</w:t>
      </w:r>
      <w:r w:rsidRPr="00644691">
        <w:rPr>
          <w:iCs/>
        </w:rPr>
        <w:t xml:space="preserve"> 7.5, dapagliflozin, </w:t>
      </w:r>
      <w:r w:rsidR="00C5400D" w:rsidRPr="00644691">
        <w:rPr>
          <w:iCs/>
        </w:rPr>
        <w:t>PSD</w:t>
      </w:r>
      <w:r w:rsidRPr="00644691">
        <w:rPr>
          <w:iCs/>
        </w:rPr>
        <w:t>, November 2020 PBAC meeting</w:t>
      </w:r>
      <w:bookmarkEnd w:id="17"/>
      <w:r w:rsidRPr="00644691">
        <w:rPr>
          <w:iCs/>
        </w:rPr>
        <w:t>).</w:t>
      </w:r>
    </w:p>
    <w:p w:rsidR="00783366" w:rsidRPr="00644691" w:rsidRDefault="00783366" w:rsidP="00783366">
      <w:pPr>
        <w:pStyle w:val="ExecSumBodyText"/>
        <w:rPr>
          <w:iCs/>
        </w:rPr>
      </w:pPr>
      <w:r w:rsidRPr="00644691">
        <w:t xml:space="preserve">The resubmission identified empagliflozin as a potential near market comparator, noting that the results of a Phase III trial of empagliflozin in patients with HFrEF (EMPEROR-Reduced) have been published since the November 2020 submission. </w:t>
      </w:r>
      <w:r w:rsidR="00B4318D" w:rsidRPr="00644691">
        <w:rPr>
          <w:iCs/>
        </w:rPr>
        <w:t xml:space="preserve">The </w:t>
      </w:r>
      <w:r w:rsidR="00B4318D" w:rsidRPr="00644691">
        <w:rPr>
          <w:iCs/>
        </w:rPr>
        <w:lastRenderedPageBreak/>
        <w:t>TGA received an application for evaluation of empagliflozin for the treatment of heart failure in January 2021</w:t>
      </w:r>
      <w:r w:rsidRPr="00644691">
        <w:rPr>
          <w:iCs/>
        </w:rPr>
        <w:t>.</w:t>
      </w:r>
    </w:p>
    <w:p w:rsidR="00EB17CC" w:rsidRPr="00644691" w:rsidRDefault="00EB17CC" w:rsidP="00EB17CC">
      <w:pPr>
        <w:ind w:firstLine="709"/>
        <w:rPr>
          <w:rFonts w:asciiTheme="minorHAnsi" w:hAnsiTheme="minorHAnsi"/>
          <w:i/>
        </w:rPr>
      </w:pPr>
      <w:r w:rsidRPr="00644691">
        <w:rPr>
          <w:rFonts w:asciiTheme="minorHAnsi" w:hAnsiTheme="minorHAnsi"/>
          <w:i/>
        </w:rPr>
        <w:t>For more detail on PBAC’s view, see section 7 PBAC outcome.</w:t>
      </w:r>
    </w:p>
    <w:p w:rsidR="00223D5A" w:rsidRPr="00644691" w:rsidRDefault="00223D5A" w:rsidP="00223D5A">
      <w:pPr>
        <w:pStyle w:val="2-SectionHeading"/>
        <w:numPr>
          <w:ilvl w:val="0"/>
          <w:numId w:val="1"/>
        </w:numPr>
      </w:pPr>
      <w:bookmarkStart w:id="18" w:name="_Toc72325055"/>
      <w:bookmarkStart w:id="19" w:name="_Toc22897640"/>
      <w:r w:rsidRPr="00644691">
        <w:t>Consideration of the evidence</w:t>
      </w:r>
      <w:bookmarkEnd w:id="18"/>
    </w:p>
    <w:p w:rsidR="00C967B2" w:rsidRPr="00644691" w:rsidRDefault="00C967B2" w:rsidP="00C967B2">
      <w:pPr>
        <w:pStyle w:val="3-SubsectionHeading"/>
      </w:pPr>
      <w:bookmarkStart w:id="20" w:name="_Hlk76375935"/>
      <w:bookmarkStart w:id="21" w:name="_Toc72325056"/>
      <w:r w:rsidRPr="00644691">
        <w:t>Sponsor hearing</w:t>
      </w:r>
    </w:p>
    <w:p w:rsidR="00C967B2" w:rsidRPr="00644691" w:rsidRDefault="00C967B2" w:rsidP="00C967B2">
      <w:pPr>
        <w:widowControl w:val="0"/>
        <w:numPr>
          <w:ilvl w:val="1"/>
          <w:numId w:val="1"/>
        </w:numPr>
        <w:spacing w:after="120"/>
        <w:rPr>
          <w:rFonts w:cs="Calibri"/>
          <w:bCs/>
          <w:snapToGrid w:val="0"/>
        </w:rPr>
      </w:pPr>
      <w:r w:rsidRPr="00644691">
        <w:rPr>
          <w:rFonts w:cs="Calibri"/>
          <w:bCs/>
          <w:snapToGrid w:val="0"/>
        </w:rPr>
        <w:t>There was no hearing for this item.</w:t>
      </w:r>
    </w:p>
    <w:p w:rsidR="00C967B2" w:rsidRPr="00644691" w:rsidRDefault="00C967B2" w:rsidP="00C967B2">
      <w:pPr>
        <w:pStyle w:val="3-SubsectionHeading"/>
      </w:pPr>
      <w:r w:rsidRPr="00644691">
        <w:t>Consumer comments</w:t>
      </w:r>
    </w:p>
    <w:p w:rsidR="00C967B2" w:rsidRPr="00644691" w:rsidRDefault="00C967B2" w:rsidP="00C967B2">
      <w:pPr>
        <w:widowControl w:val="0"/>
        <w:numPr>
          <w:ilvl w:val="1"/>
          <w:numId w:val="1"/>
        </w:numPr>
        <w:spacing w:after="120"/>
        <w:rPr>
          <w:rFonts w:asciiTheme="minorHAnsi" w:hAnsiTheme="minorHAnsi"/>
          <w:bCs/>
          <w:snapToGrid w:val="0"/>
        </w:rPr>
      </w:pPr>
      <w:bookmarkStart w:id="22" w:name="_Hlk76382618"/>
      <w:r w:rsidRPr="00644691">
        <w:rPr>
          <w:rFonts w:asciiTheme="minorHAnsi" w:hAnsiTheme="minorHAnsi"/>
          <w:bCs/>
          <w:snapToGrid w:val="0"/>
        </w:rPr>
        <w:t xml:space="preserve">The PBAC noted and welcomed the input from health care professionals (14) and organisations (4) via the Consumer Comments facility on the PBS website. Comments were received from the Centre for Community-Driven Research, Diabetes Australia, hearts4heart, and the National Aboriginal Community Controlled Health Organisation. The comments described a range of benefits of treatment with dapagliflozin including reduced hospitalisations, reduced cardiovascular deaths and improved quality of life. </w:t>
      </w:r>
      <w:r w:rsidR="005058E4" w:rsidRPr="00644691">
        <w:rPr>
          <w:rFonts w:asciiTheme="minorHAnsi" w:hAnsiTheme="minorHAnsi"/>
          <w:bCs/>
          <w:snapToGrid w:val="0"/>
        </w:rPr>
        <w:t>The c</w:t>
      </w:r>
      <w:r w:rsidRPr="00644691">
        <w:rPr>
          <w:rFonts w:asciiTheme="minorHAnsi" w:hAnsiTheme="minorHAnsi"/>
          <w:bCs/>
          <w:snapToGrid w:val="0"/>
        </w:rPr>
        <w:t>omments also described</w:t>
      </w:r>
      <w:r w:rsidR="00E52404" w:rsidRPr="00644691">
        <w:rPr>
          <w:rFonts w:asciiTheme="minorHAnsi" w:hAnsiTheme="minorHAnsi"/>
          <w:bCs/>
          <w:snapToGrid w:val="0"/>
        </w:rPr>
        <w:t>:</w:t>
      </w:r>
      <w:r w:rsidRPr="00644691">
        <w:rPr>
          <w:rFonts w:asciiTheme="minorHAnsi" w:hAnsiTheme="minorHAnsi"/>
          <w:bCs/>
          <w:snapToGrid w:val="0"/>
        </w:rPr>
        <w:t xml:space="preserve"> the challenges with currently available treatment (in terms of dosing and adherence)</w:t>
      </w:r>
      <w:r w:rsidR="00E52404" w:rsidRPr="00644691">
        <w:rPr>
          <w:rFonts w:asciiTheme="minorHAnsi" w:hAnsiTheme="minorHAnsi"/>
          <w:bCs/>
          <w:snapToGrid w:val="0"/>
        </w:rPr>
        <w:t>;</w:t>
      </w:r>
      <w:r w:rsidR="009E4C1C" w:rsidRPr="00644691">
        <w:rPr>
          <w:rFonts w:asciiTheme="minorHAnsi" w:hAnsiTheme="minorHAnsi"/>
          <w:bCs/>
          <w:snapToGrid w:val="0"/>
        </w:rPr>
        <w:t xml:space="preserve"> the</w:t>
      </w:r>
      <w:r w:rsidR="00E52404" w:rsidRPr="00644691">
        <w:rPr>
          <w:rFonts w:asciiTheme="minorHAnsi" w:hAnsiTheme="minorHAnsi"/>
          <w:bCs/>
          <w:snapToGrid w:val="0"/>
        </w:rPr>
        <w:t xml:space="preserve"> known</w:t>
      </w:r>
      <w:r w:rsidR="009E4C1C" w:rsidRPr="00644691">
        <w:rPr>
          <w:rFonts w:asciiTheme="minorHAnsi" w:hAnsiTheme="minorHAnsi"/>
          <w:bCs/>
          <w:snapToGrid w:val="0"/>
        </w:rPr>
        <w:t xml:space="preserve"> long-term safety profile of dapagliflozin </w:t>
      </w:r>
      <w:r w:rsidR="00E52404" w:rsidRPr="00644691">
        <w:rPr>
          <w:rFonts w:asciiTheme="minorHAnsi" w:hAnsiTheme="minorHAnsi"/>
          <w:bCs/>
          <w:snapToGrid w:val="0"/>
        </w:rPr>
        <w:t xml:space="preserve">with respect to its </w:t>
      </w:r>
      <w:r w:rsidR="009E4C1C" w:rsidRPr="00644691">
        <w:rPr>
          <w:rFonts w:asciiTheme="minorHAnsi" w:hAnsiTheme="minorHAnsi"/>
          <w:bCs/>
          <w:snapToGrid w:val="0"/>
        </w:rPr>
        <w:t>use in T2DM</w:t>
      </w:r>
      <w:r w:rsidR="00E52404" w:rsidRPr="00644691">
        <w:rPr>
          <w:rFonts w:asciiTheme="minorHAnsi" w:hAnsiTheme="minorHAnsi"/>
          <w:bCs/>
          <w:snapToGrid w:val="0"/>
        </w:rPr>
        <w:t xml:space="preserve">; </w:t>
      </w:r>
      <w:r w:rsidRPr="00644691">
        <w:rPr>
          <w:rFonts w:asciiTheme="minorHAnsi" w:hAnsiTheme="minorHAnsi"/>
          <w:bCs/>
          <w:snapToGrid w:val="0"/>
        </w:rPr>
        <w:t>and the clinical needs of specific populations including Aboriginal and Torres Strait Islander patients and those with T2DM.</w:t>
      </w:r>
      <w:r w:rsidR="009E4C1C" w:rsidRPr="00644691">
        <w:rPr>
          <w:rFonts w:asciiTheme="minorHAnsi" w:hAnsiTheme="minorHAnsi"/>
          <w:bCs/>
          <w:snapToGrid w:val="0"/>
        </w:rPr>
        <w:t xml:space="preserve"> The comments also noted the increasing recognition of SGLT2 inhibitors in international treatment guidelines for heart failure, including </w:t>
      </w:r>
      <w:r w:rsidR="00581CE5" w:rsidRPr="00644691">
        <w:rPr>
          <w:rFonts w:asciiTheme="minorHAnsi" w:hAnsiTheme="minorHAnsi"/>
          <w:bCs/>
          <w:snapToGrid w:val="0"/>
        </w:rPr>
        <w:t>in</w:t>
      </w:r>
      <w:r w:rsidR="009E4C1C" w:rsidRPr="00644691">
        <w:rPr>
          <w:rFonts w:asciiTheme="minorHAnsi" w:hAnsiTheme="minorHAnsi"/>
          <w:bCs/>
          <w:snapToGrid w:val="0"/>
        </w:rPr>
        <w:t xml:space="preserve"> the Canadian Cardiovascular Society/</w:t>
      </w:r>
      <w:r w:rsidR="00F15580" w:rsidRPr="00644691">
        <w:t xml:space="preserve"> </w:t>
      </w:r>
      <w:r w:rsidR="009E4C1C" w:rsidRPr="00644691">
        <w:rPr>
          <w:rFonts w:asciiTheme="minorHAnsi" w:hAnsiTheme="minorHAnsi"/>
          <w:bCs/>
          <w:snapToGrid w:val="0"/>
        </w:rPr>
        <w:t>Canadian Heart Failure Society</w:t>
      </w:r>
      <w:r w:rsidR="00581CE5" w:rsidRPr="00644691">
        <w:rPr>
          <w:rFonts w:asciiTheme="minorHAnsi" w:hAnsiTheme="minorHAnsi"/>
          <w:bCs/>
          <w:snapToGrid w:val="0"/>
        </w:rPr>
        <w:t xml:space="preserve"> Guidelines Update (April 2021) and the 2021 Update to the 2017 American College of Cardiology Expert Consensus Decision Pathway for Optimization of Heart Failure Treatment (February 2021).</w:t>
      </w:r>
    </w:p>
    <w:bookmarkEnd w:id="20"/>
    <w:bookmarkEnd w:id="22"/>
    <w:p w:rsidR="00B60939" w:rsidRPr="00644691" w:rsidRDefault="00B60939" w:rsidP="002E4F02">
      <w:pPr>
        <w:pStyle w:val="3-SubsectionHeading"/>
      </w:pPr>
      <w:r w:rsidRPr="00644691">
        <w:t xml:space="preserve">Clinical </w:t>
      </w:r>
      <w:bookmarkEnd w:id="19"/>
      <w:r w:rsidR="00237BF7" w:rsidRPr="00644691">
        <w:t>trials</w:t>
      </w:r>
      <w:bookmarkEnd w:id="21"/>
    </w:p>
    <w:p w:rsidR="00237BF7" w:rsidRPr="00644691" w:rsidRDefault="00237BF7" w:rsidP="00237BF7">
      <w:pPr>
        <w:pStyle w:val="ExecSumBodyText"/>
      </w:pPr>
      <w:r w:rsidRPr="00644691">
        <w:t>The resubmission included the following comparisons:</w:t>
      </w:r>
    </w:p>
    <w:p w:rsidR="00237BF7" w:rsidRPr="00644691" w:rsidRDefault="00237BF7" w:rsidP="00B91468">
      <w:pPr>
        <w:pStyle w:val="ListParagraph"/>
        <w:numPr>
          <w:ilvl w:val="0"/>
          <w:numId w:val="5"/>
        </w:numPr>
        <w:ind w:left="998" w:hanging="221"/>
        <w:rPr>
          <w:iCs/>
        </w:rPr>
      </w:pPr>
      <w:r w:rsidRPr="00644691">
        <w:t xml:space="preserve">A head-to-head comparison of dapagliflozin plus standard care versus placebo plus standard care in patients with symptomatic HFrEF (DAPA-HF trial). </w:t>
      </w:r>
      <w:r w:rsidRPr="00644691">
        <w:rPr>
          <w:iCs/>
        </w:rPr>
        <w:t xml:space="preserve">The DAPA-HF trial was previously considered </w:t>
      </w:r>
      <w:r w:rsidR="00C573A2" w:rsidRPr="00644691">
        <w:rPr>
          <w:iCs/>
        </w:rPr>
        <w:t>by PBAC a</w:t>
      </w:r>
      <w:r w:rsidR="00E22868" w:rsidRPr="00644691">
        <w:rPr>
          <w:iCs/>
        </w:rPr>
        <w:t>t</w:t>
      </w:r>
      <w:r w:rsidR="00C573A2" w:rsidRPr="00644691">
        <w:rPr>
          <w:iCs/>
        </w:rPr>
        <w:t xml:space="preserve"> the </w:t>
      </w:r>
      <w:r w:rsidRPr="00644691">
        <w:rPr>
          <w:iCs/>
        </w:rPr>
        <w:t>November 2020 PBAC meeting.</w:t>
      </w:r>
    </w:p>
    <w:p w:rsidR="00237BF7" w:rsidRPr="00644691" w:rsidRDefault="00237BF7" w:rsidP="00237BF7">
      <w:pPr>
        <w:pStyle w:val="ListBullet"/>
        <w:spacing w:after="120"/>
        <w:ind w:left="992" w:hanging="215"/>
      </w:pPr>
      <w:bookmarkStart w:id="23" w:name="_Hlk69661562"/>
      <w:r w:rsidRPr="00644691">
        <w:t xml:space="preserve">An indirect comparison of dapagliflozin plus standard care (DAPA-HF trial) versus empagliflozin plus standard care (EMPEROR-Reduced trial), using placebo plus standard care as common reference. </w:t>
      </w:r>
      <w:r w:rsidR="006353A2" w:rsidRPr="00644691">
        <w:t xml:space="preserve">The PBAC did not formally review this comparison given no submission for </w:t>
      </w:r>
      <w:r w:rsidR="00644691" w:rsidRPr="00644691">
        <w:t>empagliflozin</w:t>
      </w:r>
      <w:r w:rsidR="006353A2" w:rsidRPr="00644691">
        <w:t xml:space="preserve"> had been received.</w:t>
      </w:r>
    </w:p>
    <w:bookmarkEnd w:id="23"/>
    <w:p w:rsidR="00237BF7" w:rsidRPr="00644691" w:rsidRDefault="00237BF7" w:rsidP="00237BF7">
      <w:pPr>
        <w:pStyle w:val="ExecSumBodyText"/>
      </w:pPr>
      <w:r w:rsidRPr="00644691">
        <w:t xml:space="preserve">Details of the trials presented in the </w:t>
      </w:r>
      <w:r w:rsidR="009111E2" w:rsidRPr="00644691">
        <w:t>re</w:t>
      </w:r>
      <w:r w:rsidRPr="00644691">
        <w:t xml:space="preserve">submission are provided in the table below. </w:t>
      </w:r>
    </w:p>
    <w:p w:rsidR="00237BF7" w:rsidRPr="00644691" w:rsidRDefault="00237BF7" w:rsidP="00446FEF">
      <w:pPr>
        <w:pStyle w:val="TableFigureCaption"/>
      </w:pPr>
      <w:r w:rsidRPr="00644691">
        <w:lastRenderedPageBreak/>
        <w:t xml:space="preserve">Table </w:t>
      </w:r>
      <w:r w:rsidR="000C6AFA">
        <w:rPr>
          <w:noProof/>
        </w:rPr>
        <w:t>3</w:t>
      </w:r>
      <w:r w:rsidRPr="00644691">
        <w:t xml:space="preserve">: Trials and associated reports presented in the </w:t>
      </w:r>
      <w:r w:rsidR="009111E2" w:rsidRPr="00644691">
        <w:t>re</w:t>
      </w:r>
      <w:r w:rsidRPr="00644691">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40"/>
        <w:gridCol w:w="5713"/>
        <w:gridCol w:w="2364"/>
      </w:tblGrid>
      <w:tr w:rsidR="00237BF7" w:rsidRPr="00644691" w:rsidTr="00D07F47">
        <w:trPr>
          <w:trHeight w:val="284"/>
          <w:tblHeader/>
        </w:trPr>
        <w:tc>
          <w:tcPr>
            <w:tcW w:w="521" w:type="pct"/>
          </w:tcPr>
          <w:p w:rsidR="00237BF7" w:rsidRPr="00644691" w:rsidRDefault="00237BF7" w:rsidP="00D07F47">
            <w:pPr>
              <w:pStyle w:val="Tableheadingrow"/>
              <w:spacing w:after="120"/>
              <w:rPr>
                <w:lang w:val="en-AU"/>
              </w:rPr>
            </w:pPr>
            <w:r w:rsidRPr="00644691">
              <w:rPr>
                <w:lang w:val="en-AU"/>
              </w:rPr>
              <w:t>Trial ID</w:t>
            </w:r>
          </w:p>
        </w:tc>
        <w:tc>
          <w:tcPr>
            <w:tcW w:w="3563" w:type="pct"/>
          </w:tcPr>
          <w:p w:rsidR="00237BF7" w:rsidRPr="00644691" w:rsidRDefault="00237BF7" w:rsidP="00D07F47">
            <w:pPr>
              <w:pStyle w:val="Tableheadingrow"/>
              <w:keepNext w:val="0"/>
              <w:spacing w:after="120"/>
              <w:jc w:val="center"/>
              <w:rPr>
                <w:lang w:val="en-AU"/>
              </w:rPr>
            </w:pPr>
            <w:r w:rsidRPr="00644691">
              <w:rPr>
                <w:lang w:val="en-AU"/>
              </w:rPr>
              <w:t>Protocol title/ Publication title</w:t>
            </w:r>
          </w:p>
        </w:tc>
        <w:tc>
          <w:tcPr>
            <w:tcW w:w="915" w:type="pct"/>
            <w:tcBorders>
              <w:bottom w:val="single" w:sz="4" w:space="0" w:color="auto"/>
            </w:tcBorders>
          </w:tcPr>
          <w:p w:rsidR="00237BF7" w:rsidRPr="00644691" w:rsidRDefault="00237BF7" w:rsidP="00D07F47">
            <w:pPr>
              <w:pStyle w:val="Tableheadingrow"/>
              <w:keepNext w:val="0"/>
              <w:spacing w:after="120"/>
              <w:jc w:val="center"/>
              <w:rPr>
                <w:lang w:val="en-AU"/>
              </w:rPr>
            </w:pPr>
            <w:r w:rsidRPr="00644691">
              <w:rPr>
                <w:lang w:val="en-AU"/>
              </w:rPr>
              <w:t>Publication citation</w:t>
            </w:r>
          </w:p>
        </w:tc>
      </w:tr>
      <w:tr w:rsidR="00237BF7" w:rsidRPr="00644691" w:rsidTr="00D07F47">
        <w:trPr>
          <w:trHeight w:val="284"/>
        </w:trPr>
        <w:tc>
          <w:tcPr>
            <w:tcW w:w="521" w:type="pct"/>
            <w:vMerge w:val="restart"/>
          </w:tcPr>
          <w:p w:rsidR="00237BF7" w:rsidRPr="00644691" w:rsidRDefault="00237BF7" w:rsidP="00D07F47">
            <w:pPr>
              <w:pStyle w:val="TableText"/>
              <w:spacing w:after="120"/>
            </w:pPr>
            <w:r w:rsidRPr="00644691">
              <w:t>DAPA-HF</w:t>
            </w:r>
          </w:p>
        </w:tc>
        <w:tc>
          <w:tcPr>
            <w:tcW w:w="3563" w:type="pct"/>
            <w:tcBorders>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Dapagliflozin And Prevention of Adverse-outcomes in Heart Failure (DAPA-HF).</w:t>
            </w:r>
          </w:p>
        </w:tc>
        <w:tc>
          <w:tcPr>
            <w:tcW w:w="915" w:type="pct"/>
            <w:tcBorders>
              <w:top w:val="single" w:sz="4" w:space="0" w:color="auto"/>
              <w:left w:val="single" w:sz="4" w:space="0" w:color="auto"/>
              <w:bottom w:val="nil"/>
              <w:right w:val="single" w:sz="4" w:space="0" w:color="auto"/>
            </w:tcBorders>
          </w:tcPr>
          <w:p w:rsidR="00237BF7" w:rsidRPr="00644691" w:rsidRDefault="00237BF7" w:rsidP="00D07F47">
            <w:pPr>
              <w:pStyle w:val="TableText"/>
              <w:keepNext w:val="0"/>
              <w:spacing w:after="120"/>
            </w:pPr>
            <w:r w:rsidRPr="00644691">
              <w:rPr>
                <w:szCs w:val="18"/>
              </w:rPr>
              <w:t>Clinical Study Report, October 2019.</w:t>
            </w:r>
          </w:p>
        </w:tc>
      </w:tr>
      <w:tr w:rsidR="00237BF7" w:rsidRPr="00644691" w:rsidTr="00D07F47">
        <w:trPr>
          <w:trHeight w:val="284"/>
        </w:trPr>
        <w:tc>
          <w:tcPr>
            <w:tcW w:w="521" w:type="pct"/>
            <w:vMerge/>
          </w:tcPr>
          <w:p w:rsidR="00237BF7" w:rsidRPr="00644691" w:rsidRDefault="00237BF7" w:rsidP="00D07F47">
            <w:pPr>
              <w:pStyle w:val="TableText"/>
              <w:keepNext w:val="0"/>
              <w:spacing w:after="120"/>
            </w:pPr>
          </w:p>
        </w:tc>
        <w:tc>
          <w:tcPr>
            <w:tcW w:w="3563" w:type="pct"/>
            <w:tcBorders>
              <w:top w:val="nil"/>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McMurray JJV, DeMets DL, Inzucchi SE, et al. The Dapagliflozin And Prevention of Adverse-outcomes in Heart Failure (DAPA-HF) trial: baseline characteristics. </w:t>
            </w:r>
          </w:p>
        </w:tc>
        <w:tc>
          <w:tcPr>
            <w:tcW w:w="915" w:type="pct"/>
            <w:tcBorders>
              <w:top w:val="nil"/>
              <w:left w:val="single" w:sz="4" w:space="0" w:color="auto"/>
              <w:bottom w:val="nil"/>
              <w:right w:val="single" w:sz="4" w:space="0" w:color="auto"/>
            </w:tcBorders>
          </w:tcPr>
          <w:p w:rsidR="00237BF7" w:rsidRPr="00644691" w:rsidRDefault="000116BE" w:rsidP="00D07F47">
            <w:pPr>
              <w:pStyle w:val="TableText"/>
              <w:keepNext w:val="0"/>
              <w:spacing w:after="120"/>
              <w:rPr>
                <w:szCs w:val="18"/>
              </w:rPr>
            </w:pPr>
            <w:r w:rsidRPr="00644691">
              <w:rPr>
                <w:i/>
                <w:iCs/>
                <w:szCs w:val="18"/>
              </w:rPr>
              <w:t>Eur J Heart Fail</w:t>
            </w:r>
            <w:r w:rsidRPr="00644691">
              <w:rPr>
                <w:szCs w:val="18"/>
              </w:rPr>
              <w:t xml:space="preserve">. </w:t>
            </w:r>
            <w:r w:rsidR="00237BF7" w:rsidRPr="00644691">
              <w:rPr>
                <w:szCs w:val="18"/>
              </w:rPr>
              <w:t>2019; 21(11): 1402-1411.</w:t>
            </w:r>
          </w:p>
        </w:tc>
      </w:tr>
      <w:tr w:rsidR="00237BF7" w:rsidRPr="00644691" w:rsidTr="00D07F47">
        <w:trPr>
          <w:trHeight w:val="284"/>
        </w:trPr>
        <w:tc>
          <w:tcPr>
            <w:tcW w:w="521" w:type="pct"/>
            <w:vMerge/>
          </w:tcPr>
          <w:p w:rsidR="00237BF7" w:rsidRPr="00644691" w:rsidRDefault="00237BF7" w:rsidP="00D07F47">
            <w:pPr>
              <w:pStyle w:val="TableText"/>
              <w:keepNext w:val="0"/>
              <w:spacing w:after="120"/>
            </w:pPr>
          </w:p>
        </w:tc>
        <w:tc>
          <w:tcPr>
            <w:tcW w:w="3563" w:type="pct"/>
            <w:tcBorders>
              <w:top w:val="nil"/>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McMurray JJV, Solomon SD, Inzucchi SE, et al. Dapagliflozin in patients with heart failure and reduced ejection fraction. </w:t>
            </w:r>
          </w:p>
        </w:tc>
        <w:tc>
          <w:tcPr>
            <w:tcW w:w="915" w:type="pct"/>
            <w:tcBorders>
              <w:top w:val="nil"/>
              <w:left w:val="single" w:sz="4" w:space="0" w:color="auto"/>
              <w:bottom w:val="nil"/>
              <w:right w:val="single" w:sz="4" w:space="0" w:color="auto"/>
            </w:tcBorders>
          </w:tcPr>
          <w:p w:rsidR="00237BF7" w:rsidRPr="00644691" w:rsidRDefault="000116BE" w:rsidP="00D07F47">
            <w:pPr>
              <w:pStyle w:val="TableText"/>
              <w:keepNext w:val="0"/>
              <w:spacing w:after="120"/>
              <w:rPr>
                <w:szCs w:val="18"/>
              </w:rPr>
            </w:pPr>
            <w:r w:rsidRPr="00644691">
              <w:rPr>
                <w:i/>
                <w:szCs w:val="18"/>
              </w:rPr>
              <w:t>NEJM</w:t>
            </w:r>
            <w:r w:rsidR="00237BF7" w:rsidRPr="00644691">
              <w:rPr>
                <w:szCs w:val="18"/>
              </w:rPr>
              <w:t xml:space="preserve"> 2019; 381(21): 1995-2008.</w:t>
            </w:r>
          </w:p>
        </w:tc>
      </w:tr>
      <w:tr w:rsidR="00237BF7" w:rsidRPr="00644691" w:rsidTr="00D07F47">
        <w:trPr>
          <w:trHeight w:val="284"/>
        </w:trPr>
        <w:tc>
          <w:tcPr>
            <w:tcW w:w="521" w:type="pct"/>
            <w:vMerge/>
          </w:tcPr>
          <w:p w:rsidR="00237BF7" w:rsidRPr="00644691" w:rsidRDefault="00237BF7" w:rsidP="00D07F47">
            <w:pPr>
              <w:pStyle w:val="TableText"/>
              <w:keepNext w:val="0"/>
              <w:spacing w:after="120"/>
            </w:pPr>
          </w:p>
        </w:tc>
        <w:tc>
          <w:tcPr>
            <w:tcW w:w="3563" w:type="pct"/>
            <w:tcBorders>
              <w:top w:val="nil"/>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McMurray JJV, DeMets DL, Inzucchi SE, et al. A trial to evaluate the effect of the sodium-glucose co-transporter 2 inhibitor dapagliflozin on morbidity and mortality in patients with heart failure and reduced left ventricular ejection fraction (DAPA-HF). </w:t>
            </w:r>
          </w:p>
        </w:tc>
        <w:tc>
          <w:tcPr>
            <w:tcW w:w="915" w:type="pct"/>
            <w:tcBorders>
              <w:top w:val="nil"/>
              <w:left w:val="single" w:sz="4" w:space="0" w:color="auto"/>
              <w:bottom w:val="nil"/>
              <w:right w:val="single" w:sz="4" w:space="0" w:color="auto"/>
            </w:tcBorders>
          </w:tcPr>
          <w:p w:rsidR="00237BF7" w:rsidRPr="00644691" w:rsidRDefault="000116BE" w:rsidP="00D07F47">
            <w:pPr>
              <w:pStyle w:val="TableText"/>
              <w:keepNext w:val="0"/>
              <w:spacing w:after="120"/>
              <w:rPr>
                <w:i/>
                <w:szCs w:val="18"/>
              </w:rPr>
            </w:pPr>
            <w:r w:rsidRPr="00644691">
              <w:rPr>
                <w:i/>
                <w:iCs/>
                <w:szCs w:val="18"/>
              </w:rPr>
              <w:t>Eur J Heart Fail</w:t>
            </w:r>
            <w:r w:rsidRPr="00644691">
              <w:rPr>
                <w:szCs w:val="18"/>
              </w:rPr>
              <w:t xml:space="preserve">. </w:t>
            </w:r>
            <w:r w:rsidR="00237BF7" w:rsidRPr="00644691">
              <w:rPr>
                <w:szCs w:val="18"/>
              </w:rPr>
              <w:t>2019; 21(5): 665-675.</w:t>
            </w:r>
          </w:p>
        </w:tc>
      </w:tr>
      <w:tr w:rsidR="00237BF7" w:rsidRPr="00644691" w:rsidTr="00D07F47">
        <w:trPr>
          <w:trHeight w:val="284"/>
        </w:trPr>
        <w:tc>
          <w:tcPr>
            <w:tcW w:w="521" w:type="pct"/>
            <w:vMerge/>
            <w:tcBorders>
              <w:right w:val="single" w:sz="4" w:space="0" w:color="auto"/>
            </w:tcBorders>
          </w:tcPr>
          <w:p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Berg DD, Jhund PS, Docherty KF, et al. Time to clinical benefit of dapagliflozin and significance of prior heart failure hospitalization in patients with heart failure with reduced ejection fraction. </w:t>
            </w:r>
          </w:p>
        </w:tc>
        <w:tc>
          <w:tcPr>
            <w:tcW w:w="915"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i/>
                <w:szCs w:val="18"/>
              </w:rPr>
            </w:pPr>
            <w:r w:rsidRPr="00644691">
              <w:rPr>
                <w:i/>
                <w:iCs/>
                <w:szCs w:val="18"/>
              </w:rPr>
              <w:t>JAMA Cardiol</w:t>
            </w:r>
            <w:r w:rsidRPr="00644691">
              <w:rPr>
                <w:szCs w:val="18"/>
              </w:rPr>
              <w:t>. 2021; doi: 10.1001/jamacardio.2020.7585.</w:t>
            </w:r>
          </w:p>
        </w:tc>
      </w:tr>
      <w:tr w:rsidR="00237BF7" w:rsidRPr="00644691" w:rsidTr="00D07F47">
        <w:trPr>
          <w:trHeight w:val="284"/>
        </w:trPr>
        <w:tc>
          <w:tcPr>
            <w:tcW w:w="521" w:type="pct"/>
            <w:vMerge/>
            <w:tcBorders>
              <w:right w:val="single" w:sz="4" w:space="0" w:color="auto"/>
            </w:tcBorders>
          </w:tcPr>
          <w:p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Dewan P, Docherty KF, Bengtsson O, et al. Effects of dapagliflozin in heart failure with reduced ejection fraction, and COPD: An analysis of DAPA-HF. </w:t>
            </w:r>
          </w:p>
        </w:tc>
        <w:tc>
          <w:tcPr>
            <w:tcW w:w="915" w:type="pct"/>
            <w:tcBorders>
              <w:top w:val="nil"/>
              <w:left w:val="single" w:sz="4" w:space="0" w:color="auto"/>
              <w:bottom w:val="nil"/>
              <w:right w:val="single" w:sz="4" w:space="0" w:color="auto"/>
            </w:tcBorders>
          </w:tcPr>
          <w:p w:rsidR="00237BF7" w:rsidRPr="00644691" w:rsidRDefault="000116BE" w:rsidP="00D07F47">
            <w:pPr>
              <w:pStyle w:val="TableText"/>
              <w:keepNext w:val="0"/>
              <w:spacing w:after="120"/>
              <w:rPr>
                <w:i/>
                <w:szCs w:val="18"/>
              </w:rPr>
            </w:pPr>
            <w:r w:rsidRPr="00644691">
              <w:rPr>
                <w:i/>
                <w:iCs/>
                <w:szCs w:val="18"/>
              </w:rPr>
              <w:t>Eur J Heart Fail</w:t>
            </w:r>
            <w:r w:rsidRPr="00644691">
              <w:rPr>
                <w:szCs w:val="18"/>
              </w:rPr>
              <w:t xml:space="preserve">. </w:t>
            </w:r>
            <w:r w:rsidR="00237BF7" w:rsidRPr="00644691">
              <w:rPr>
                <w:szCs w:val="18"/>
              </w:rPr>
              <w:t>2020; doi: 10.1002/ejhf.2083.</w:t>
            </w:r>
          </w:p>
        </w:tc>
      </w:tr>
      <w:tr w:rsidR="00237BF7" w:rsidRPr="00644691" w:rsidTr="00D07F47">
        <w:trPr>
          <w:trHeight w:val="284"/>
        </w:trPr>
        <w:tc>
          <w:tcPr>
            <w:tcW w:w="521" w:type="pct"/>
            <w:vMerge/>
            <w:tcBorders>
              <w:right w:val="single" w:sz="4" w:space="0" w:color="auto"/>
            </w:tcBorders>
          </w:tcPr>
          <w:p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Dewan P, Solomon SD, Jhund PS, et al. Efficacy and safety of sodium–glucose co-transporter 2 inhibition according to left ventricular ejection fraction in DAPA-HF. </w:t>
            </w:r>
          </w:p>
        </w:tc>
        <w:tc>
          <w:tcPr>
            <w:tcW w:w="915" w:type="pct"/>
            <w:tcBorders>
              <w:top w:val="nil"/>
              <w:left w:val="single" w:sz="4" w:space="0" w:color="auto"/>
              <w:bottom w:val="nil"/>
              <w:right w:val="single" w:sz="4" w:space="0" w:color="auto"/>
            </w:tcBorders>
          </w:tcPr>
          <w:p w:rsidR="00237BF7" w:rsidRPr="00644691" w:rsidRDefault="000116BE" w:rsidP="00D07F47">
            <w:pPr>
              <w:pStyle w:val="TableText"/>
              <w:keepNext w:val="0"/>
              <w:spacing w:after="120"/>
              <w:rPr>
                <w:i/>
                <w:iCs/>
                <w:szCs w:val="18"/>
              </w:rPr>
            </w:pPr>
            <w:r w:rsidRPr="00644691">
              <w:rPr>
                <w:i/>
                <w:iCs/>
                <w:szCs w:val="18"/>
              </w:rPr>
              <w:t>Eur J Heart Fail</w:t>
            </w:r>
            <w:r w:rsidRPr="00644691">
              <w:rPr>
                <w:szCs w:val="18"/>
              </w:rPr>
              <w:t xml:space="preserve">. </w:t>
            </w:r>
            <w:r w:rsidR="00237BF7" w:rsidRPr="00644691">
              <w:rPr>
                <w:szCs w:val="18"/>
              </w:rPr>
              <w:t>2020; 22(7): 1247-1258.</w:t>
            </w:r>
          </w:p>
        </w:tc>
      </w:tr>
      <w:tr w:rsidR="00237BF7" w:rsidRPr="00644691" w:rsidTr="00D07F47">
        <w:trPr>
          <w:trHeight w:val="284"/>
        </w:trPr>
        <w:tc>
          <w:tcPr>
            <w:tcW w:w="521" w:type="pct"/>
            <w:vMerge/>
            <w:tcBorders>
              <w:right w:val="single" w:sz="4" w:space="0" w:color="auto"/>
            </w:tcBorders>
          </w:tcPr>
          <w:p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Docherty KF, Jhund PS, Anand I, et al. Effect of dapagliflozin on outpatient worsening of patients with heart failure and reduced ejection fraction: A prespecified analysis of DAPA-HF. </w:t>
            </w:r>
          </w:p>
        </w:tc>
        <w:tc>
          <w:tcPr>
            <w:tcW w:w="915"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i/>
                <w:iCs/>
                <w:szCs w:val="18"/>
              </w:rPr>
            </w:pPr>
            <w:r w:rsidRPr="00644691">
              <w:rPr>
                <w:i/>
                <w:iCs/>
                <w:szCs w:val="18"/>
              </w:rPr>
              <w:t>Circulation</w:t>
            </w:r>
            <w:r w:rsidRPr="00644691">
              <w:rPr>
                <w:szCs w:val="18"/>
              </w:rPr>
              <w:t xml:space="preserve"> 2020; 142(17): 1623-1632.</w:t>
            </w:r>
          </w:p>
        </w:tc>
      </w:tr>
      <w:tr w:rsidR="00237BF7" w:rsidRPr="00644691" w:rsidTr="00D07F47">
        <w:trPr>
          <w:trHeight w:val="284"/>
        </w:trPr>
        <w:tc>
          <w:tcPr>
            <w:tcW w:w="521" w:type="pct"/>
            <w:vMerge/>
            <w:tcBorders>
              <w:right w:val="single" w:sz="4" w:space="0" w:color="auto"/>
            </w:tcBorders>
          </w:tcPr>
          <w:p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Docherty KF, Jhund PS, Bengtsson O, et al. Effect of dapagliflozin in DAPA-HF according to background glucose-lowering therapy. </w:t>
            </w:r>
          </w:p>
        </w:tc>
        <w:tc>
          <w:tcPr>
            <w:tcW w:w="915"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i/>
                <w:iCs/>
                <w:szCs w:val="18"/>
              </w:rPr>
            </w:pPr>
            <w:r w:rsidRPr="00644691">
              <w:rPr>
                <w:i/>
                <w:iCs/>
                <w:szCs w:val="18"/>
              </w:rPr>
              <w:t xml:space="preserve">Diabetes Care </w:t>
            </w:r>
            <w:r w:rsidRPr="00644691">
              <w:rPr>
                <w:szCs w:val="18"/>
              </w:rPr>
              <w:t>2020; 43(11): 2878-2881.</w:t>
            </w:r>
          </w:p>
        </w:tc>
      </w:tr>
      <w:tr w:rsidR="00237BF7" w:rsidRPr="00644691" w:rsidTr="00D07F47">
        <w:trPr>
          <w:trHeight w:val="284"/>
        </w:trPr>
        <w:tc>
          <w:tcPr>
            <w:tcW w:w="521" w:type="pct"/>
            <w:vMerge/>
            <w:tcBorders>
              <w:right w:val="single" w:sz="4" w:space="0" w:color="auto"/>
            </w:tcBorders>
          </w:tcPr>
          <w:p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Docherty KF, Jhund PS, Inzucchi SE, et al. Effects of dapagliflozin in DAPA-HF according to background heart failure therapy. </w:t>
            </w:r>
          </w:p>
        </w:tc>
        <w:tc>
          <w:tcPr>
            <w:tcW w:w="915" w:type="pct"/>
            <w:tcBorders>
              <w:top w:val="nil"/>
              <w:left w:val="single" w:sz="4" w:space="0" w:color="auto"/>
              <w:bottom w:val="nil"/>
              <w:right w:val="single" w:sz="4" w:space="0" w:color="auto"/>
            </w:tcBorders>
          </w:tcPr>
          <w:p w:rsidR="00237BF7" w:rsidRPr="00644691" w:rsidRDefault="000116BE" w:rsidP="00D07F47">
            <w:pPr>
              <w:pStyle w:val="TableText"/>
              <w:keepNext w:val="0"/>
              <w:spacing w:after="120"/>
              <w:rPr>
                <w:i/>
                <w:szCs w:val="18"/>
              </w:rPr>
            </w:pPr>
            <w:r w:rsidRPr="00644691">
              <w:rPr>
                <w:i/>
                <w:iCs/>
                <w:szCs w:val="18"/>
              </w:rPr>
              <w:t>Eur Heart J.</w:t>
            </w:r>
            <w:r w:rsidRPr="00644691">
              <w:rPr>
                <w:szCs w:val="18"/>
              </w:rPr>
              <w:t xml:space="preserve"> </w:t>
            </w:r>
            <w:r w:rsidR="00237BF7" w:rsidRPr="00644691">
              <w:rPr>
                <w:szCs w:val="18"/>
              </w:rPr>
              <w:t>2020; 41(25): 2379-2392.</w:t>
            </w:r>
          </w:p>
        </w:tc>
      </w:tr>
      <w:tr w:rsidR="00237BF7" w:rsidRPr="00644691" w:rsidTr="00D07F47">
        <w:trPr>
          <w:trHeight w:val="284"/>
        </w:trPr>
        <w:tc>
          <w:tcPr>
            <w:tcW w:w="521" w:type="pct"/>
            <w:vMerge/>
            <w:tcBorders>
              <w:right w:val="single" w:sz="4" w:space="0" w:color="auto"/>
            </w:tcBorders>
          </w:tcPr>
          <w:p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Inzucchi SE, Docherty KF, Køber L, et al. Dapagliflozin and the incidence of Type 2 diabetes in patients with heart failure and reduced ejection fraction: an exploratory analysis from DAPA-HF. </w:t>
            </w:r>
          </w:p>
        </w:tc>
        <w:tc>
          <w:tcPr>
            <w:tcW w:w="915"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i/>
                <w:szCs w:val="18"/>
              </w:rPr>
            </w:pPr>
            <w:r w:rsidRPr="00644691">
              <w:rPr>
                <w:i/>
                <w:iCs/>
                <w:szCs w:val="18"/>
              </w:rPr>
              <w:t>Diabetes Care</w:t>
            </w:r>
            <w:r w:rsidRPr="00644691">
              <w:rPr>
                <w:szCs w:val="18"/>
              </w:rPr>
              <w:t xml:space="preserve"> 2020; 44(2): 586-594.</w:t>
            </w:r>
          </w:p>
        </w:tc>
      </w:tr>
      <w:tr w:rsidR="00237BF7" w:rsidRPr="00644691" w:rsidTr="00D07F47">
        <w:trPr>
          <w:trHeight w:val="284"/>
        </w:trPr>
        <w:tc>
          <w:tcPr>
            <w:tcW w:w="521" w:type="pct"/>
            <w:vMerge/>
            <w:tcBorders>
              <w:right w:val="single" w:sz="4" w:space="0" w:color="auto"/>
            </w:tcBorders>
          </w:tcPr>
          <w:p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Jackson AM, Dewan P, Anand IS, et al. Dapagliflozin and diuretic use in patients with heart failure and reduced ejection fraction in DAPA-HF. </w:t>
            </w:r>
          </w:p>
        </w:tc>
        <w:tc>
          <w:tcPr>
            <w:tcW w:w="915"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i/>
                <w:szCs w:val="18"/>
              </w:rPr>
            </w:pPr>
            <w:r w:rsidRPr="00644691">
              <w:rPr>
                <w:i/>
                <w:iCs/>
                <w:szCs w:val="18"/>
              </w:rPr>
              <w:t>Circulation</w:t>
            </w:r>
            <w:r w:rsidRPr="00644691">
              <w:rPr>
                <w:szCs w:val="18"/>
              </w:rPr>
              <w:t xml:space="preserve"> 2020; 142(11): 1040-1054.</w:t>
            </w:r>
          </w:p>
        </w:tc>
      </w:tr>
      <w:tr w:rsidR="00237BF7" w:rsidRPr="00644691" w:rsidTr="00D07F47">
        <w:trPr>
          <w:trHeight w:val="284"/>
        </w:trPr>
        <w:tc>
          <w:tcPr>
            <w:tcW w:w="521" w:type="pct"/>
            <w:vMerge/>
            <w:tcBorders>
              <w:right w:val="single" w:sz="4" w:space="0" w:color="auto"/>
            </w:tcBorders>
          </w:tcPr>
          <w:p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Jhund PS, Solomon SD, Docherty KF, et al. Efficacy of dapagliflozin on renal function and outcomes in patients with heart failure with reduced ejection fraction: results of DAPA-HF. </w:t>
            </w:r>
          </w:p>
        </w:tc>
        <w:tc>
          <w:tcPr>
            <w:tcW w:w="915"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i/>
                <w:iCs/>
                <w:szCs w:val="18"/>
              </w:rPr>
            </w:pPr>
            <w:r w:rsidRPr="00644691">
              <w:rPr>
                <w:i/>
                <w:iCs/>
                <w:szCs w:val="18"/>
              </w:rPr>
              <w:t>Circulation</w:t>
            </w:r>
            <w:r w:rsidRPr="00644691">
              <w:rPr>
                <w:szCs w:val="18"/>
              </w:rPr>
              <w:t xml:space="preserve"> 2020; 143(4): 298-309</w:t>
            </w:r>
          </w:p>
        </w:tc>
      </w:tr>
      <w:tr w:rsidR="00237BF7" w:rsidRPr="00644691" w:rsidTr="00D07F47">
        <w:trPr>
          <w:trHeight w:val="284"/>
        </w:trPr>
        <w:tc>
          <w:tcPr>
            <w:tcW w:w="521" w:type="pct"/>
            <w:vMerge/>
            <w:tcBorders>
              <w:right w:val="single" w:sz="4" w:space="0" w:color="auto"/>
            </w:tcBorders>
          </w:tcPr>
          <w:p w:rsidR="00237BF7" w:rsidRPr="00644691" w:rsidRDefault="00237BF7" w:rsidP="00D07F47">
            <w:pPr>
              <w:pStyle w:val="TableText"/>
              <w:keepNext w:val="0"/>
              <w:spacing w:after="120"/>
            </w:pPr>
          </w:p>
        </w:tc>
        <w:tc>
          <w:tcPr>
            <w:tcW w:w="3563" w:type="pct"/>
            <w:tcBorders>
              <w:top w:val="nil"/>
              <w:left w:val="single" w:sz="4" w:space="0" w:color="auto"/>
              <w:bottom w:val="single" w:sz="4" w:space="0" w:color="auto"/>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Kosiborod MN, Jhund PS, Docherty KF, et al. Effects of dapagliflozin on symptoms, function, and quality of life in patients with heart failure and reduced ejection fraction: results from the DAPA-HF trial. </w:t>
            </w:r>
          </w:p>
        </w:tc>
        <w:tc>
          <w:tcPr>
            <w:tcW w:w="915" w:type="pct"/>
            <w:tcBorders>
              <w:top w:val="nil"/>
              <w:left w:val="single" w:sz="4" w:space="0" w:color="auto"/>
              <w:bottom w:val="single" w:sz="4" w:space="0" w:color="auto"/>
              <w:right w:val="single" w:sz="4" w:space="0" w:color="auto"/>
            </w:tcBorders>
          </w:tcPr>
          <w:p w:rsidR="00237BF7" w:rsidRPr="00644691" w:rsidRDefault="00237BF7" w:rsidP="00D07F47">
            <w:pPr>
              <w:pStyle w:val="TableText"/>
              <w:keepNext w:val="0"/>
              <w:spacing w:after="120"/>
              <w:rPr>
                <w:i/>
                <w:iCs/>
                <w:szCs w:val="18"/>
              </w:rPr>
            </w:pPr>
            <w:r w:rsidRPr="00644691">
              <w:rPr>
                <w:i/>
                <w:iCs/>
                <w:szCs w:val="18"/>
              </w:rPr>
              <w:t>Circulation</w:t>
            </w:r>
            <w:r w:rsidRPr="00644691">
              <w:rPr>
                <w:szCs w:val="18"/>
              </w:rPr>
              <w:t xml:space="preserve"> 2020; 141(2): 90-99.</w:t>
            </w:r>
          </w:p>
        </w:tc>
      </w:tr>
      <w:tr w:rsidR="00237BF7" w:rsidRPr="00644691" w:rsidTr="00D07F47">
        <w:trPr>
          <w:trHeight w:val="284"/>
        </w:trPr>
        <w:tc>
          <w:tcPr>
            <w:tcW w:w="521" w:type="pct"/>
            <w:vMerge/>
            <w:tcBorders>
              <w:right w:val="single" w:sz="4" w:space="0" w:color="auto"/>
            </w:tcBorders>
          </w:tcPr>
          <w:p w:rsidR="00237BF7" w:rsidRPr="00644691" w:rsidRDefault="00237BF7" w:rsidP="00D07F47">
            <w:pPr>
              <w:pStyle w:val="TableText"/>
              <w:keepNext w:val="0"/>
              <w:spacing w:after="120"/>
            </w:pPr>
          </w:p>
        </w:tc>
        <w:tc>
          <w:tcPr>
            <w:tcW w:w="3563" w:type="pct"/>
            <w:tcBorders>
              <w:top w:val="single" w:sz="4" w:space="0" w:color="auto"/>
              <w:left w:val="single" w:sz="4" w:space="0" w:color="auto"/>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Martinez FA, Serenelli M, Nicolau JC, et al. Efficacy and safety of dapagliflozin in heart failure with reduced ejection fraction according to age: insights from DAPA-HF. </w:t>
            </w:r>
          </w:p>
        </w:tc>
        <w:tc>
          <w:tcPr>
            <w:tcW w:w="915" w:type="pct"/>
            <w:tcBorders>
              <w:top w:val="single" w:sz="4" w:space="0" w:color="auto"/>
              <w:left w:val="single" w:sz="4" w:space="0" w:color="auto"/>
              <w:bottom w:val="nil"/>
              <w:right w:val="single" w:sz="4" w:space="0" w:color="auto"/>
            </w:tcBorders>
          </w:tcPr>
          <w:p w:rsidR="00237BF7" w:rsidRPr="00644691" w:rsidRDefault="00237BF7" w:rsidP="00D07F47">
            <w:pPr>
              <w:pStyle w:val="TableText"/>
              <w:keepNext w:val="0"/>
              <w:spacing w:after="120"/>
              <w:rPr>
                <w:i/>
                <w:iCs/>
                <w:szCs w:val="18"/>
              </w:rPr>
            </w:pPr>
            <w:r w:rsidRPr="00644691">
              <w:rPr>
                <w:i/>
                <w:iCs/>
                <w:szCs w:val="18"/>
              </w:rPr>
              <w:t>Circulation</w:t>
            </w:r>
            <w:r w:rsidRPr="00644691">
              <w:rPr>
                <w:szCs w:val="18"/>
              </w:rPr>
              <w:t xml:space="preserve"> 2020; 141(2): 100-111.</w:t>
            </w:r>
          </w:p>
        </w:tc>
      </w:tr>
      <w:tr w:rsidR="00237BF7" w:rsidRPr="00644691" w:rsidTr="00D07F47">
        <w:trPr>
          <w:trHeight w:val="284"/>
        </w:trPr>
        <w:tc>
          <w:tcPr>
            <w:tcW w:w="521" w:type="pct"/>
            <w:vMerge/>
            <w:tcBorders>
              <w:right w:val="single" w:sz="4" w:space="0" w:color="auto"/>
            </w:tcBorders>
          </w:tcPr>
          <w:p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Nassif ME, Windsor S, Tang F, et al. Dapagliflozin effects on biomarkers, symptoms, and functional status in patients with heart failure with reduced ejection fraction.</w:t>
            </w:r>
          </w:p>
        </w:tc>
        <w:tc>
          <w:tcPr>
            <w:tcW w:w="915"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i/>
                <w:iCs/>
                <w:szCs w:val="18"/>
              </w:rPr>
            </w:pPr>
            <w:r w:rsidRPr="00644691">
              <w:rPr>
                <w:i/>
                <w:iCs/>
                <w:szCs w:val="18"/>
              </w:rPr>
              <w:t>Circulation</w:t>
            </w:r>
            <w:r w:rsidRPr="00644691">
              <w:rPr>
                <w:szCs w:val="18"/>
              </w:rPr>
              <w:t xml:space="preserve"> 2019; 140(18): 1463-1476.</w:t>
            </w:r>
          </w:p>
        </w:tc>
      </w:tr>
      <w:tr w:rsidR="00237BF7" w:rsidRPr="00644691" w:rsidTr="00D07F47">
        <w:trPr>
          <w:trHeight w:val="284"/>
        </w:trPr>
        <w:tc>
          <w:tcPr>
            <w:tcW w:w="521" w:type="pct"/>
            <w:vMerge/>
            <w:tcBorders>
              <w:right w:val="single" w:sz="4" w:space="0" w:color="auto"/>
            </w:tcBorders>
          </w:tcPr>
          <w:p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Petrie MC, Verma S, Docherty KF, et al. Effect of dapagliflozin on worsening heart failure and cardiovascular death in patients with heart failure with and without diabetes.</w:t>
            </w:r>
          </w:p>
        </w:tc>
        <w:tc>
          <w:tcPr>
            <w:tcW w:w="915"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i/>
                <w:iCs/>
                <w:szCs w:val="18"/>
              </w:rPr>
            </w:pPr>
            <w:r w:rsidRPr="00644691">
              <w:rPr>
                <w:i/>
                <w:iCs/>
                <w:szCs w:val="18"/>
              </w:rPr>
              <w:t>JAMA</w:t>
            </w:r>
            <w:r w:rsidRPr="00644691">
              <w:rPr>
                <w:szCs w:val="18"/>
              </w:rPr>
              <w:t xml:space="preserve"> 2020; 323(14): 1353-1368.</w:t>
            </w:r>
          </w:p>
        </w:tc>
      </w:tr>
      <w:tr w:rsidR="00237BF7" w:rsidRPr="00644691" w:rsidTr="00D07F47">
        <w:trPr>
          <w:trHeight w:val="284"/>
        </w:trPr>
        <w:tc>
          <w:tcPr>
            <w:tcW w:w="521" w:type="pct"/>
            <w:vMerge/>
            <w:tcBorders>
              <w:right w:val="single" w:sz="4" w:space="0" w:color="auto"/>
            </w:tcBorders>
          </w:tcPr>
          <w:p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Serenelli M, Böhm M, Inzucchi SE, et al. Effect of dapagliflozin according to baseline systolic blood pressure in the Dapagliflozin and Prevention of Adverse Outcomes in Heart Failure trial (DAPA-HF). </w:t>
            </w:r>
          </w:p>
        </w:tc>
        <w:tc>
          <w:tcPr>
            <w:tcW w:w="915" w:type="pct"/>
            <w:tcBorders>
              <w:top w:val="nil"/>
              <w:left w:val="single" w:sz="4" w:space="0" w:color="auto"/>
              <w:bottom w:val="nil"/>
              <w:right w:val="single" w:sz="4" w:space="0" w:color="auto"/>
            </w:tcBorders>
          </w:tcPr>
          <w:p w:rsidR="00237BF7" w:rsidRPr="00644691" w:rsidRDefault="000116BE" w:rsidP="00D07F47">
            <w:pPr>
              <w:pStyle w:val="TableText"/>
              <w:keepNext w:val="0"/>
              <w:spacing w:after="120"/>
              <w:rPr>
                <w:i/>
                <w:iCs/>
                <w:szCs w:val="18"/>
              </w:rPr>
            </w:pPr>
            <w:r w:rsidRPr="00644691">
              <w:rPr>
                <w:i/>
                <w:iCs/>
                <w:szCs w:val="18"/>
              </w:rPr>
              <w:t>Eur Heart J.</w:t>
            </w:r>
            <w:r w:rsidRPr="00644691">
              <w:rPr>
                <w:szCs w:val="18"/>
              </w:rPr>
              <w:t xml:space="preserve"> </w:t>
            </w:r>
            <w:r w:rsidR="00237BF7" w:rsidRPr="00644691">
              <w:rPr>
                <w:szCs w:val="18"/>
              </w:rPr>
              <w:t>2020</w:t>
            </w:r>
            <w:r w:rsidR="00B4318D" w:rsidRPr="00644691">
              <w:rPr>
                <w:szCs w:val="18"/>
              </w:rPr>
              <w:t>;</w:t>
            </w:r>
            <w:r w:rsidR="00237BF7" w:rsidRPr="00644691">
              <w:rPr>
                <w:szCs w:val="18"/>
              </w:rPr>
              <w:t xml:space="preserve"> 41(36): 3402-3418.</w:t>
            </w:r>
          </w:p>
        </w:tc>
      </w:tr>
      <w:tr w:rsidR="00237BF7" w:rsidRPr="00644691" w:rsidTr="00D07F47">
        <w:trPr>
          <w:trHeight w:val="284"/>
        </w:trPr>
        <w:tc>
          <w:tcPr>
            <w:tcW w:w="521" w:type="pct"/>
            <w:vMerge/>
            <w:tcBorders>
              <w:right w:val="single" w:sz="4" w:space="0" w:color="auto"/>
            </w:tcBorders>
          </w:tcPr>
          <w:p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Solomon SD, Jhund PS, Claggett BL, et al. Effect of dapagliflozin in patients with HFrEF treated with sacubitril/valsartan: The DAPA-HF Trial. JACC: </w:t>
            </w:r>
          </w:p>
        </w:tc>
        <w:tc>
          <w:tcPr>
            <w:tcW w:w="915"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i/>
                <w:iCs/>
                <w:szCs w:val="18"/>
              </w:rPr>
            </w:pPr>
            <w:r w:rsidRPr="00644691">
              <w:rPr>
                <w:i/>
                <w:iCs/>
                <w:szCs w:val="18"/>
              </w:rPr>
              <w:t>JACC: Heart Fail</w:t>
            </w:r>
            <w:r w:rsidRPr="00644691">
              <w:rPr>
                <w:szCs w:val="18"/>
              </w:rPr>
              <w:t>. 2020; 8(10): 811-818.</w:t>
            </w:r>
          </w:p>
        </w:tc>
      </w:tr>
      <w:tr w:rsidR="00237BF7" w:rsidRPr="00644691" w:rsidTr="00D07F47">
        <w:trPr>
          <w:trHeight w:val="284"/>
        </w:trPr>
        <w:tc>
          <w:tcPr>
            <w:tcW w:w="521" w:type="pct"/>
            <w:vMerge/>
            <w:tcBorders>
              <w:right w:val="single" w:sz="4" w:space="0" w:color="auto"/>
            </w:tcBorders>
          </w:tcPr>
          <w:p w:rsidR="00237BF7" w:rsidRPr="00644691" w:rsidRDefault="00237BF7" w:rsidP="00D07F47">
            <w:pPr>
              <w:pStyle w:val="TableText"/>
              <w:keepNext w:val="0"/>
              <w:spacing w:after="120"/>
            </w:pPr>
          </w:p>
        </w:tc>
        <w:tc>
          <w:tcPr>
            <w:tcW w:w="3563" w:type="pct"/>
            <w:tcBorders>
              <w:top w:val="nil"/>
              <w:left w:val="single" w:sz="4" w:space="0" w:color="auto"/>
              <w:bottom w:val="single" w:sz="4" w:space="0" w:color="auto"/>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Sullivan K, Van Spall HGC. Dapagliflozin reduced worsening HF or CV death in HF with reduced ejection fraction. </w:t>
            </w:r>
          </w:p>
        </w:tc>
        <w:tc>
          <w:tcPr>
            <w:tcW w:w="915" w:type="pct"/>
            <w:tcBorders>
              <w:top w:val="nil"/>
              <w:left w:val="single" w:sz="4" w:space="0" w:color="auto"/>
              <w:bottom w:val="single" w:sz="4" w:space="0" w:color="auto"/>
              <w:right w:val="single" w:sz="4" w:space="0" w:color="auto"/>
            </w:tcBorders>
          </w:tcPr>
          <w:p w:rsidR="00237BF7" w:rsidRPr="00644691" w:rsidRDefault="00237BF7" w:rsidP="00D07F47">
            <w:pPr>
              <w:pStyle w:val="TableText"/>
              <w:keepNext w:val="0"/>
              <w:spacing w:after="120"/>
              <w:rPr>
                <w:i/>
                <w:iCs/>
                <w:szCs w:val="18"/>
              </w:rPr>
            </w:pPr>
            <w:r w:rsidRPr="00644691">
              <w:rPr>
                <w:i/>
                <w:iCs/>
                <w:szCs w:val="18"/>
              </w:rPr>
              <w:t>Ann Int Med</w:t>
            </w:r>
            <w:r w:rsidRPr="00644691">
              <w:rPr>
                <w:szCs w:val="18"/>
              </w:rPr>
              <w:t xml:space="preserve"> 2020; 172(4): JC16.</w:t>
            </w:r>
          </w:p>
        </w:tc>
      </w:tr>
      <w:tr w:rsidR="00237BF7" w:rsidRPr="00644691" w:rsidTr="00D07F47">
        <w:trPr>
          <w:trHeight w:val="284"/>
        </w:trPr>
        <w:tc>
          <w:tcPr>
            <w:tcW w:w="521" w:type="pct"/>
            <w:vMerge w:val="restart"/>
            <w:tcBorders>
              <w:top w:val="single" w:sz="4" w:space="0" w:color="auto"/>
              <w:right w:val="single" w:sz="4" w:space="0" w:color="auto"/>
            </w:tcBorders>
          </w:tcPr>
          <w:p w:rsidR="00237BF7" w:rsidRPr="00644691" w:rsidRDefault="00237BF7" w:rsidP="00D07F47">
            <w:pPr>
              <w:pStyle w:val="TableText"/>
              <w:keepNext w:val="0"/>
              <w:spacing w:after="120"/>
            </w:pPr>
            <w:r w:rsidRPr="00644691">
              <w:t>EMPEROR-Reduced</w:t>
            </w:r>
          </w:p>
        </w:tc>
        <w:tc>
          <w:tcPr>
            <w:tcW w:w="3563" w:type="pct"/>
            <w:tcBorders>
              <w:top w:val="single" w:sz="4" w:space="0" w:color="auto"/>
              <w:left w:val="single" w:sz="4" w:space="0" w:color="auto"/>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Packer M, Anker SD, Butler J, et al. Cardiovascular and renal outcomes with empagliflozin in heart failure. </w:t>
            </w:r>
          </w:p>
        </w:tc>
        <w:tc>
          <w:tcPr>
            <w:tcW w:w="915" w:type="pct"/>
            <w:tcBorders>
              <w:top w:val="single" w:sz="4" w:space="0" w:color="auto"/>
              <w:left w:val="single" w:sz="4" w:space="0" w:color="auto"/>
              <w:bottom w:val="nil"/>
              <w:right w:val="single" w:sz="4" w:space="0" w:color="auto"/>
            </w:tcBorders>
          </w:tcPr>
          <w:p w:rsidR="00237BF7" w:rsidRPr="00644691" w:rsidRDefault="000116BE" w:rsidP="00D07F47">
            <w:pPr>
              <w:pStyle w:val="TableText"/>
              <w:keepNext w:val="0"/>
              <w:spacing w:after="120"/>
              <w:rPr>
                <w:szCs w:val="18"/>
              </w:rPr>
            </w:pPr>
            <w:r w:rsidRPr="00644691">
              <w:rPr>
                <w:i/>
                <w:iCs/>
                <w:szCs w:val="18"/>
              </w:rPr>
              <w:t>NEJM</w:t>
            </w:r>
            <w:r w:rsidR="00237BF7" w:rsidRPr="00644691">
              <w:rPr>
                <w:szCs w:val="18"/>
              </w:rPr>
              <w:t xml:space="preserve"> 2020; 383(15): 1413-1424.</w:t>
            </w:r>
            <w:r w:rsidR="00237BF7" w:rsidRPr="00644691">
              <w:rPr>
                <w:szCs w:val="18"/>
              </w:rPr>
              <w:tab/>
            </w:r>
          </w:p>
        </w:tc>
      </w:tr>
      <w:tr w:rsidR="00237BF7" w:rsidRPr="00644691" w:rsidTr="00D07F47">
        <w:trPr>
          <w:trHeight w:val="284"/>
        </w:trPr>
        <w:tc>
          <w:tcPr>
            <w:tcW w:w="521" w:type="pct"/>
            <w:vMerge/>
            <w:tcBorders>
              <w:right w:val="single" w:sz="4" w:space="0" w:color="auto"/>
            </w:tcBorders>
          </w:tcPr>
          <w:p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Packer M, Butler J, Filippatos GS, et al. Evaluation of the effect of sodium-glucose co-transporter 2 inhibition with empagliflozin on morbidity and mortality of patients with chronic heart failure and a reduced ejection fraction: rationale for and design of the EMPEROR-Reduced trial. </w:t>
            </w:r>
          </w:p>
        </w:tc>
        <w:tc>
          <w:tcPr>
            <w:tcW w:w="915"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szCs w:val="18"/>
              </w:rPr>
            </w:pPr>
            <w:r w:rsidRPr="00644691">
              <w:rPr>
                <w:i/>
                <w:iCs/>
                <w:szCs w:val="18"/>
              </w:rPr>
              <w:t>Eur J Heart Fail</w:t>
            </w:r>
            <w:r w:rsidRPr="00644691">
              <w:rPr>
                <w:szCs w:val="18"/>
              </w:rPr>
              <w:t>. 2019; 21(10): 1270-1278.</w:t>
            </w:r>
          </w:p>
        </w:tc>
      </w:tr>
      <w:tr w:rsidR="00237BF7" w:rsidRPr="00644691" w:rsidTr="00D07F47">
        <w:trPr>
          <w:trHeight w:val="284"/>
        </w:trPr>
        <w:tc>
          <w:tcPr>
            <w:tcW w:w="521" w:type="pct"/>
            <w:vMerge/>
            <w:tcBorders>
              <w:right w:val="single" w:sz="4" w:space="0" w:color="auto"/>
            </w:tcBorders>
          </w:tcPr>
          <w:p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Packer M, Anker SD, Butler J, et al. Influence of neprilysin inhibition on the efficacy and safety of empagliflozin in patients with chronic heart failure and a reduced ejection fraction: the EMPEROR-Reduced trial. </w:t>
            </w:r>
          </w:p>
        </w:tc>
        <w:tc>
          <w:tcPr>
            <w:tcW w:w="915" w:type="pct"/>
            <w:tcBorders>
              <w:top w:val="nil"/>
              <w:left w:val="single" w:sz="4" w:space="0" w:color="auto"/>
              <w:bottom w:val="nil"/>
            </w:tcBorders>
          </w:tcPr>
          <w:p w:rsidR="00237BF7" w:rsidRPr="00644691" w:rsidRDefault="00237BF7" w:rsidP="00D07F47">
            <w:pPr>
              <w:pStyle w:val="TableText"/>
              <w:keepNext w:val="0"/>
              <w:spacing w:after="120"/>
              <w:rPr>
                <w:szCs w:val="18"/>
              </w:rPr>
            </w:pPr>
            <w:r w:rsidRPr="00644691">
              <w:rPr>
                <w:i/>
                <w:iCs/>
                <w:szCs w:val="18"/>
              </w:rPr>
              <w:t>Eur Heart J.</w:t>
            </w:r>
            <w:r w:rsidRPr="00644691">
              <w:rPr>
                <w:szCs w:val="18"/>
              </w:rPr>
              <w:t xml:space="preserve"> 2021; 42(6): 671-680.</w:t>
            </w:r>
          </w:p>
        </w:tc>
      </w:tr>
      <w:tr w:rsidR="00237BF7" w:rsidRPr="00644691" w:rsidTr="00D07F47">
        <w:trPr>
          <w:trHeight w:val="284"/>
        </w:trPr>
        <w:tc>
          <w:tcPr>
            <w:tcW w:w="521" w:type="pct"/>
            <w:vMerge/>
            <w:tcBorders>
              <w:right w:val="single" w:sz="4" w:space="0" w:color="auto"/>
            </w:tcBorders>
          </w:tcPr>
          <w:p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Anker SD, Butler J, Filippatos G, et al. Effect of empagliflozin on cardiovascular and renal outcomes in patients with heart failure by baseline diabetes status - results from the EMPEROR-Reduced trial. </w:t>
            </w:r>
          </w:p>
        </w:tc>
        <w:tc>
          <w:tcPr>
            <w:tcW w:w="915" w:type="pct"/>
            <w:tcBorders>
              <w:top w:val="nil"/>
              <w:left w:val="single" w:sz="4" w:space="0" w:color="auto"/>
              <w:bottom w:val="nil"/>
            </w:tcBorders>
          </w:tcPr>
          <w:p w:rsidR="00237BF7" w:rsidRPr="00644691" w:rsidRDefault="00237BF7" w:rsidP="00D07F47">
            <w:pPr>
              <w:pStyle w:val="TableText"/>
              <w:keepNext w:val="0"/>
              <w:spacing w:after="120"/>
              <w:rPr>
                <w:i/>
                <w:iCs/>
                <w:szCs w:val="18"/>
              </w:rPr>
            </w:pPr>
            <w:r w:rsidRPr="00644691">
              <w:rPr>
                <w:i/>
                <w:iCs/>
                <w:szCs w:val="18"/>
              </w:rPr>
              <w:t>Circulation</w:t>
            </w:r>
            <w:r w:rsidRPr="00644691">
              <w:rPr>
                <w:szCs w:val="18"/>
              </w:rPr>
              <w:t xml:space="preserve"> 2020; 143(4): 337-349.</w:t>
            </w:r>
          </w:p>
        </w:tc>
      </w:tr>
      <w:tr w:rsidR="00237BF7" w:rsidRPr="00644691" w:rsidTr="00D07F47">
        <w:trPr>
          <w:trHeight w:val="284"/>
        </w:trPr>
        <w:tc>
          <w:tcPr>
            <w:tcW w:w="521" w:type="pct"/>
            <w:vMerge/>
            <w:tcBorders>
              <w:right w:val="single" w:sz="4" w:space="0" w:color="auto"/>
            </w:tcBorders>
          </w:tcPr>
          <w:p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Butler J, Anker SD, Filippatos G, et al. Empagliflozin and health-related quality of life outcomes in patients with heart failure with reduced ejection fraction: the EMPEROR-Reduced trial. </w:t>
            </w:r>
          </w:p>
        </w:tc>
        <w:tc>
          <w:tcPr>
            <w:tcW w:w="915" w:type="pct"/>
            <w:tcBorders>
              <w:top w:val="nil"/>
              <w:left w:val="single" w:sz="4" w:space="0" w:color="auto"/>
              <w:bottom w:val="nil"/>
            </w:tcBorders>
          </w:tcPr>
          <w:p w:rsidR="00237BF7" w:rsidRPr="00644691" w:rsidRDefault="00237BF7" w:rsidP="00D07F47">
            <w:pPr>
              <w:pStyle w:val="TableText"/>
              <w:keepNext w:val="0"/>
              <w:spacing w:after="120"/>
              <w:rPr>
                <w:i/>
                <w:iCs/>
                <w:szCs w:val="18"/>
              </w:rPr>
            </w:pPr>
            <w:r w:rsidRPr="00644691">
              <w:rPr>
                <w:i/>
                <w:iCs/>
                <w:szCs w:val="18"/>
              </w:rPr>
              <w:t>Eur Heart J</w:t>
            </w:r>
            <w:r w:rsidRPr="00644691">
              <w:rPr>
                <w:szCs w:val="18"/>
              </w:rPr>
              <w:t xml:space="preserve">. 2021; </w:t>
            </w:r>
            <w:r w:rsidR="00445244" w:rsidRPr="00644691">
              <w:rPr>
                <w:szCs w:val="18"/>
              </w:rPr>
              <w:t>4</w:t>
            </w:r>
            <w:r w:rsidRPr="00644691">
              <w:rPr>
                <w:szCs w:val="18"/>
              </w:rPr>
              <w:t>2(13): 1203-1212.</w:t>
            </w:r>
          </w:p>
        </w:tc>
      </w:tr>
      <w:tr w:rsidR="00237BF7" w:rsidRPr="00644691" w:rsidTr="00D07F47">
        <w:trPr>
          <w:trHeight w:val="284"/>
        </w:trPr>
        <w:tc>
          <w:tcPr>
            <w:tcW w:w="521" w:type="pct"/>
            <w:vMerge/>
            <w:tcBorders>
              <w:right w:val="single" w:sz="4" w:space="0" w:color="auto"/>
            </w:tcBorders>
          </w:tcPr>
          <w:p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Packer M. Effect of empagliflozin on major heart failure outcomes, renal function and quality of life in patients with heart failure with a reduced ejection fraction, with and without sacubitril/valsartan. </w:t>
            </w:r>
          </w:p>
        </w:tc>
        <w:tc>
          <w:tcPr>
            <w:tcW w:w="915" w:type="pct"/>
            <w:tcBorders>
              <w:top w:val="nil"/>
              <w:left w:val="single" w:sz="4" w:space="0" w:color="auto"/>
              <w:bottom w:val="nil"/>
            </w:tcBorders>
          </w:tcPr>
          <w:p w:rsidR="00237BF7" w:rsidRPr="00644691" w:rsidRDefault="000116BE" w:rsidP="00D07F47">
            <w:pPr>
              <w:pStyle w:val="TableText"/>
              <w:keepNext w:val="0"/>
              <w:spacing w:after="120"/>
              <w:rPr>
                <w:i/>
                <w:iCs/>
                <w:szCs w:val="18"/>
              </w:rPr>
            </w:pPr>
            <w:r w:rsidRPr="00644691">
              <w:rPr>
                <w:i/>
                <w:iCs/>
                <w:szCs w:val="18"/>
              </w:rPr>
              <w:t>J Card Fail.</w:t>
            </w:r>
            <w:r w:rsidRPr="00644691" w:rsidDel="000116BE">
              <w:rPr>
                <w:i/>
                <w:iCs/>
                <w:szCs w:val="18"/>
              </w:rPr>
              <w:t xml:space="preserve"> </w:t>
            </w:r>
            <w:r w:rsidR="00237BF7" w:rsidRPr="00644691">
              <w:rPr>
                <w:szCs w:val="18"/>
              </w:rPr>
              <w:t>2020; 26(12): 1109.</w:t>
            </w:r>
          </w:p>
        </w:tc>
      </w:tr>
      <w:tr w:rsidR="00237BF7" w:rsidRPr="00644691" w:rsidTr="00D07F47">
        <w:trPr>
          <w:trHeight w:val="284"/>
        </w:trPr>
        <w:tc>
          <w:tcPr>
            <w:tcW w:w="521" w:type="pct"/>
            <w:vMerge/>
            <w:tcBorders>
              <w:right w:val="single" w:sz="4" w:space="0" w:color="auto"/>
            </w:tcBorders>
          </w:tcPr>
          <w:p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Packer M, Anker SD, Butler J, et al. Effect of empagliflozin on the clinical stability of patients with heart failure and a reduced ejection fraction: the EMPEROR-Reduced trial. </w:t>
            </w:r>
          </w:p>
        </w:tc>
        <w:tc>
          <w:tcPr>
            <w:tcW w:w="915" w:type="pct"/>
            <w:tcBorders>
              <w:top w:val="nil"/>
              <w:left w:val="single" w:sz="4" w:space="0" w:color="auto"/>
              <w:bottom w:val="nil"/>
            </w:tcBorders>
          </w:tcPr>
          <w:p w:rsidR="00237BF7" w:rsidRPr="00644691" w:rsidRDefault="00237BF7" w:rsidP="00D07F47">
            <w:pPr>
              <w:pStyle w:val="TableText"/>
              <w:keepNext w:val="0"/>
              <w:spacing w:after="120"/>
              <w:rPr>
                <w:i/>
                <w:iCs/>
                <w:szCs w:val="18"/>
              </w:rPr>
            </w:pPr>
            <w:r w:rsidRPr="00644691">
              <w:rPr>
                <w:i/>
                <w:iCs/>
                <w:szCs w:val="18"/>
              </w:rPr>
              <w:t>Circulation</w:t>
            </w:r>
            <w:r w:rsidRPr="00644691">
              <w:rPr>
                <w:szCs w:val="18"/>
              </w:rPr>
              <w:t xml:space="preserve"> 2021; 143: 326-336.</w:t>
            </w:r>
          </w:p>
        </w:tc>
      </w:tr>
      <w:tr w:rsidR="00237BF7" w:rsidRPr="00644691" w:rsidTr="00D07F47">
        <w:trPr>
          <w:trHeight w:val="284"/>
        </w:trPr>
        <w:tc>
          <w:tcPr>
            <w:tcW w:w="521" w:type="pct"/>
            <w:vMerge/>
            <w:tcBorders>
              <w:right w:val="single" w:sz="4" w:space="0" w:color="auto"/>
            </w:tcBorders>
          </w:tcPr>
          <w:p w:rsidR="00237BF7" w:rsidRPr="00644691" w:rsidRDefault="00237BF7" w:rsidP="00D07F47">
            <w:pPr>
              <w:pStyle w:val="TableText"/>
              <w:keepNext w:val="0"/>
              <w:spacing w:after="120"/>
            </w:pPr>
          </w:p>
        </w:tc>
        <w:tc>
          <w:tcPr>
            <w:tcW w:w="3563" w:type="pct"/>
            <w:tcBorders>
              <w:top w:val="nil"/>
              <w:left w:val="single" w:sz="4" w:space="0" w:color="auto"/>
              <w:bottom w:val="nil"/>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Packer M, Butler J, Filippatos G, et al. Design of a prospective patient-level pooled analysis of two parallel trials of empagliflozin in patients with established heart failure. </w:t>
            </w:r>
          </w:p>
        </w:tc>
        <w:tc>
          <w:tcPr>
            <w:tcW w:w="915" w:type="pct"/>
            <w:tcBorders>
              <w:top w:val="nil"/>
              <w:left w:val="single" w:sz="4" w:space="0" w:color="auto"/>
              <w:bottom w:val="nil"/>
            </w:tcBorders>
          </w:tcPr>
          <w:p w:rsidR="00237BF7" w:rsidRPr="00644691" w:rsidRDefault="000116BE" w:rsidP="00D07F47">
            <w:pPr>
              <w:pStyle w:val="TableText"/>
              <w:keepNext w:val="0"/>
              <w:spacing w:after="120"/>
              <w:rPr>
                <w:i/>
                <w:iCs/>
                <w:szCs w:val="18"/>
              </w:rPr>
            </w:pPr>
            <w:r w:rsidRPr="00644691">
              <w:rPr>
                <w:i/>
                <w:iCs/>
                <w:szCs w:val="18"/>
              </w:rPr>
              <w:t>Eur J Heart Fail</w:t>
            </w:r>
            <w:r w:rsidRPr="00644691">
              <w:rPr>
                <w:szCs w:val="18"/>
              </w:rPr>
              <w:t xml:space="preserve">. </w:t>
            </w:r>
            <w:r w:rsidR="00237BF7" w:rsidRPr="00644691">
              <w:rPr>
                <w:szCs w:val="18"/>
              </w:rPr>
              <w:t>2020; 22(12): 2393-2398.</w:t>
            </w:r>
          </w:p>
        </w:tc>
      </w:tr>
      <w:tr w:rsidR="00237BF7" w:rsidRPr="00644691" w:rsidTr="00D07F47">
        <w:trPr>
          <w:trHeight w:val="284"/>
        </w:trPr>
        <w:tc>
          <w:tcPr>
            <w:tcW w:w="521" w:type="pct"/>
            <w:vMerge/>
            <w:tcBorders>
              <w:right w:val="single" w:sz="4" w:space="0" w:color="auto"/>
            </w:tcBorders>
          </w:tcPr>
          <w:p w:rsidR="00237BF7" w:rsidRPr="00644691" w:rsidRDefault="00237BF7" w:rsidP="00D07F47">
            <w:pPr>
              <w:pStyle w:val="TableText"/>
              <w:keepNext w:val="0"/>
              <w:spacing w:after="120"/>
            </w:pPr>
          </w:p>
        </w:tc>
        <w:tc>
          <w:tcPr>
            <w:tcW w:w="3563" w:type="pct"/>
            <w:tcBorders>
              <w:top w:val="nil"/>
              <w:left w:val="single" w:sz="4" w:space="0" w:color="auto"/>
              <w:right w:val="single" w:sz="4" w:space="0" w:color="auto"/>
            </w:tcBorders>
          </w:tcPr>
          <w:p w:rsidR="00237BF7" w:rsidRPr="00644691" w:rsidRDefault="00237BF7" w:rsidP="00D07F47">
            <w:pPr>
              <w:pStyle w:val="TableText"/>
              <w:keepNext w:val="0"/>
              <w:spacing w:after="120"/>
              <w:rPr>
                <w:szCs w:val="18"/>
              </w:rPr>
            </w:pPr>
            <w:r w:rsidRPr="00644691">
              <w:rPr>
                <w:szCs w:val="18"/>
              </w:rPr>
              <w:t xml:space="preserve">Zannad F, Ferreira JP, Pocock SJ, et al. Cardiac and kidney benefits of empagliflozin in heart failure across the spectrum of kidney function: insights from the EMPEROR-Reduced trial. </w:t>
            </w:r>
          </w:p>
        </w:tc>
        <w:tc>
          <w:tcPr>
            <w:tcW w:w="915" w:type="pct"/>
            <w:tcBorders>
              <w:top w:val="nil"/>
              <w:left w:val="single" w:sz="4" w:space="0" w:color="auto"/>
            </w:tcBorders>
          </w:tcPr>
          <w:p w:rsidR="00237BF7" w:rsidRPr="00644691" w:rsidRDefault="00237BF7" w:rsidP="00D07F47">
            <w:pPr>
              <w:pStyle w:val="TableText"/>
              <w:keepNext w:val="0"/>
              <w:spacing w:after="120"/>
              <w:rPr>
                <w:i/>
                <w:iCs/>
                <w:szCs w:val="18"/>
              </w:rPr>
            </w:pPr>
            <w:r w:rsidRPr="00644691">
              <w:rPr>
                <w:i/>
                <w:iCs/>
                <w:szCs w:val="18"/>
              </w:rPr>
              <w:t>Circulation</w:t>
            </w:r>
            <w:r w:rsidRPr="00644691">
              <w:rPr>
                <w:szCs w:val="18"/>
              </w:rPr>
              <w:t xml:space="preserve"> 2021; 143(4): 310-321.</w:t>
            </w:r>
          </w:p>
        </w:tc>
      </w:tr>
    </w:tbl>
    <w:p w:rsidR="0093212E" w:rsidRPr="00644691" w:rsidRDefault="0093212E" w:rsidP="0093212E">
      <w:pPr>
        <w:pStyle w:val="TableFooter"/>
        <w:spacing w:after="120"/>
      </w:pPr>
      <w:r w:rsidRPr="00644691">
        <w:t>Source: Table 2.2-1, pp65-67 of the resubmission; Table 2.2-1, p2 of Attachment 2.7 of the resubmission.</w:t>
      </w:r>
    </w:p>
    <w:p w:rsidR="00237BF7" w:rsidRPr="00644691" w:rsidRDefault="0093212E" w:rsidP="0093212E">
      <w:pPr>
        <w:pStyle w:val="TableFooter"/>
        <w:spacing w:after="120"/>
      </w:pPr>
      <w:r w:rsidRPr="00644691">
        <w:t>Selected citations relating to conference abstracts omitted.</w:t>
      </w:r>
    </w:p>
    <w:p w:rsidR="004749FA" w:rsidRDefault="004749FA">
      <w:pPr>
        <w:jc w:val="left"/>
        <w:rPr>
          <w:rFonts w:asciiTheme="minorHAnsi" w:hAnsiTheme="minorHAnsi"/>
          <w:snapToGrid w:val="0"/>
        </w:rPr>
      </w:pPr>
      <w:r>
        <w:br w:type="page"/>
      </w:r>
    </w:p>
    <w:p w:rsidR="0093212E" w:rsidRPr="00644691" w:rsidRDefault="0093212E" w:rsidP="0093212E">
      <w:pPr>
        <w:pStyle w:val="ExecSumBodyText"/>
      </w:pPr>
      <w:r w:rsidRPr="00644691">
        <w:lastRenderedPageBreak/>
        <w:t>The key features of the included trials are summarised in the table below.</w:t>
      </w:r>
    </w:p>
    <w:p w:rsidR="00EB0C48" w:rsidRPr="00644691" w:rsidRDefault="00EB0C48" w:rsidP="00DC3072">
      <w:pPr>
        <w:pStyle w:val="TableFigureCaption"/>
        <w:keepLines/>
      </w:pPr>
      <w:r w:rsidRPr="00644691">
        <w:t xml:space="preserve">Table </w:t>
      </w:r>
      <w:r w:rsidR="000C6AFA">
        <w:rPr>
          <w:noProof/>
        </w:rPr>
        <w:t>4</w:t>
      </w:r>
      <w:r w:rsidRPr="00644691">
        <w:t xml:space="preserve">: Key features of the included </w:t>
      </w:r>
      <w:r w:rsidR="00281737" w:rsidRPr="00644691">
        <w:t>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40"/>
        <w:gridCol w:w="421"/>
        <w:gridCol w:w="1260"/>
        <w:gridCol w:w="616"/>
        <w:gridCol w:w="1998"/>
        <w:gridCol w:w="2440"/>
        <w:gridCol w:w="1342"/>
      </w:tblGrid>
      <w:tr w:rsidR="00907C67" w:rsidRPr="00644691" w:rsidTr="006555CF">
        <w:trPr>
          <w:cantSplit/>
          <w:tblHeader/>
        </w:trPr>
        <w:tc>
          <w:tcPr>
            <w:tcW w:w="521" w:type="pct"/>
            <w:shd w:val="clear" w:color="auto" w:fill="auto"/>
            <w:vAlign w:val="center"/>
          </w:tcPr>
          <w:p w:rsidR="00971679" w:rsidRPr="00644691" w:rsidRDefault="00971679" w:rsidP="00DC3072">
            <w:pPr>
              <w:pStyle w:val="Tableheadingrow"/>
              <w:rPr>
                <w:lang w:val="en-AU"/>
              </w:rPr>
            </w:pPr>
            <w:r w:rsidRPr="00644691">
              <w:rPr>
                <w:lang w:val="en-AU"/>
              </w:rPr>
              <w:t>Trial</w:t>
            </w:r>
          </w:p>
        </w:tc>
        <w:tc>
          <w:tcPr>
            <w:tcW w:w="233" w:type="pct"/>
            <w:shd w:val="clear" w:color="auto" w:fill="auto"/>
            <w:vAlign w:val="center"/>
          </w:tcPr>
          <w:p w:rsidR="00971679" w:rsidRPr="00644691" w:rsidRDefault="00971679" w:rsidP="00DC3072">
            <w:pPr>
              <w:pStyle w:val="Tableheadingrow"/>
              <w:jc w:val="center"/>
              <w:rPr>
                <w:lang w:val="en-AU"/>
              </w:rPr>
            </w:pPr>
            <w:r w:rsidRPr="00644691">
              <w:rPr>
                <w:lang w:val="en-AU"/>
              </w:rPr>
              <w:t>N</w:t>
            </w:r>
          </w:p>
        </w:tc>
        <w:tc>
          <w:tcPr>
            <w:tcW w:w="699" w:type="pct"/>
            <w:shd w:val="clear" w:color="auto" w:fill="auto"/>
            <w:vAlign w:val="center"/>
          </w:tcPr>
          <w:p w:rsidR="00971679" w:rsidRPr="00644691" w:rsidRDefault="00971679" w:rsidP="00DC3072">
            <w:pPr>
              <w:pStyle w:val="Tableheadingrow"/>
              <w:jc w:val="center"/>
              <w:rPr>
                <w:lang w:val="en-AU"/>
              </w:rPr>
            </w:pPr>
            <w:r w:rsidRPr="00644691">
              <w:rPr>
                <w:lang w:val="en-AU"/>
              </w:rPr>
              <w:t>Design/ duration</w:t>
            </w:r>
          </w:p>
        </w:tc>
        <w:tc>
          <w:tcPr>
            <w:tcW w:w="342" w:type="pct"/>
            <w:shd w:val="clear" w:color="auto" w:fill="auto"/>
            <w:vAlign w:val="center"/>
          </w:tcPr>
          <w:p w:rsidR="00971679" w:rsidRPr="00644691" w:rsidRDefault="00971679" w:rsidP="00DC3072">
            <w:pPr>
              <w:pStyle w:val="Tableheadingrow"/>
              <w:jc w:val="center"/>
              <w:rPr>
                <w:lang w:val="en-AU"/>
              </w:rPr>
            </w:pPr>
            <w:r w:rsidRPr="00644691">
              <w:rPr>
                <w:lang w:val="en-AU"/>
              </w:rPr>
              <w:t>Risk of bias</w:t>
            </w:r>
          </w:p>
        </w:tc>
        <w:tc>
          <w:tcPr>
            <w:tcW w:w="1108" w:type="pct"/>
            <w:shd w:val="clear" w:color="auto" w:fill="auto"/>
            <w:vAlign w:val="center"/>
          </w:tcPr>
          <w:p w:rsidR="00971679" w:rsidRPr="00644691" w:rsidRDefault="00971679" w:rsidP="00DC3072">
            <w:pPr>
              <w:pStyle w:val="Tableheadingrow"/>
              <w:jc w:val="center"/>
              <w:rPr>
                <w:lang w:val="en-AU"/>
              </w:rPr>
            </w:pPr>
            <w:r w:rsidRPr="00644691">
              <w:rPr>
                <w:lang w:val="en-AU"/>
              </w:rPr>
              <w:t>Patient population</w:t>
            </w:r>
          </w:p>
        </w:tc>
        <w:tc>
          <w:tcPr>
            <w:tcW w:w="1352" w:type="pct"/>
            <w:shd w:val="clear" w:color="auto" w:fill="auto"/>
            <w:vAlign w:val="center"/>
          </w:tcPr>
          <w:p w:rsidR="00971679" w:rsidRPr="00644691" w:rsidRDefault="00971679" w:rsidP="00DC3072">
            <w:pPr>
              <w:pStyle w:val="Tableheadingrow"/>
              <w:jc w:val="center"/>
              <w:rPr>
                <w:lang w:val="en-AU"/>
              </w:rPr>
            </w:pPr>
            <w:r w:rsidRPr="00644691">
              <w:rPr>
                <w:lang w:val="en-AU"/>
              </w:rPr>
              <w:t>Outcomes</w:t>
            </w:r>
          </w:p>
        </w:tc>
        <w:tc>
          <w:tcPr>
            <w:tcW w:w="744" w:type="pct"/>
          </w:tcPr>
          <w:p w:rsidR="00971679" w:rsidRPr="00644691" w:rsidRDefault="00971679" w:rsidP="00DC3072">
            <w:pPr>
              <w:pStyle w:val="Tableheadingrow"/>
              <w:jc w:val="center"/>
              <w:rPr>
                <w:lang w:val="en-AU"/>
              </w:rPr>
            </w:pPr>
            <w:r w:rsidRPr="00644691">
              <w:rPr>
                <w:lang w:val="en-AU"/>
              </w:rPr>
              <w:t>Use in modelled evaluation</w:t>
            </w:r>
          </w:p>
        </w:tc>
      </w:tr>
      <w:tr w:rsidR="00971679" w:rsidRPr="00644691" w:rsidTr="00907C67">
        <w:trPr>
          <w:cantSplit/>
        </w:trPr>
        <w:tc>
          <w:tcPr>
            <w:tcW w:w="4256" w:type="pct"/>
            <w:gridSpan w:val="6"/>
            <w:shd w:val="clear" w:color="auto" w:fill="auto"/>
            <w:vAlign w:val="center"/>
          </w:tcPr>
          <w:p w:rsidR="00971679" w:rsidRPr="00644691" w:rsidRDefault="00971679" w:rsidP="00DC3072">
            <w:pPr>
              <w:pStyle w:val="Tableheadingrow"/>
              <w:rPr>
                <w:lang w:val="en-AU"/>
              </w:rPr>
            </w:pPr>
            <w:r w:rsidRPr="00644691">
              <w:rPr>
                <w:lang w:val="en-AU"/>
              </w:rPr>
              <w:t>Dapagliflozin + standard care vs placebo + standard care</w:t>
            </w:r>
          </w:p>
        </w:tc>
        <w:tc>
          <w:tcPr>
            <w:tcW w:w="744" w:type="pct"/>
          </w:tcPr>
          <w:p w:rsidR="00971679" w:rsidRPr="00644691" w:rsidRDefault="00971679" w:rsidP="00DC3072">
            <w:pPr>
              <w:pStyle w:val="Tableheadingrow"/>
              <w:rPr>
                <w:lang w:val="en-AU"/>
              </w:rPr>
            </w:pPr>
          </w:p>
        </w:tc>
      </w:tr>
      <w:tr w:rsidR="00907C67" w:rsidRPr="00644691" w:rsidTr="006555CF">
        <w:trPr>
          <w:cantSplit/>
        </w:trPr>
        <w:tc>
          <w:tcPr>
            <w:tcW w:w="521" w:type="pct"/>
            <w:shd w:val="clear" w:color="auto" w:fill="auto"/>
            <w:vAlign w:val="center"/>
          </w:tcPr>
          <w:p w:rsidR="00971679" w:rsidRPr="00644691" w:rsidRDefault="00971679" w:rsidP="00DC3072">
            <w:pPr>
              <w:pStyle w:val="TableText"/>
            </w:pPr>
            <w:r w:rsidRPr="00644691">
              <w:t>DAPA-HF</w:t>
            </w:r>
          </w:p>
        </w:tc>
        <w:tc>
          <w:tcPr>
            <w:tcW w:w="233" w:type="pct"/>
            <w:shd w:val="clear" w:color="auto" w:fill="auto"/>
            <w:vAlign w:val="center"/>
          </w:tcPr>
          <w:p w:rsidR="00971679" w:rsidRPr="00644691" w:rsidRDefault="00971679" w:rsidP="00DC3072">
            <w:pPr>
              <w:pStyle w:val="TableText"/>
              <w:jc w:val="center"/>
            </w:pPr>
            <w:r w:rsidRPr="00644691">
              <w:t>4744</w:t>
            </w:r>
          </w:p>
        </w:tc>
        <w:tc>
          <w:tcPr>
            <w:tcW w:w="699" w:type="pct"/>
            <w:shd w:val="clear" w:color="auto" w:fill="auto"/>
            <w:vAlign w:val="center"/>
          </w:tcPr>
          <w:p w:rsidR="00971679" w:rsidRPr="00644691" w:rsidRDefault="00971679" w:rsidP="006555CF">
            <w:pPr>
              <w:pStyle w:val="TableText"/>
              <w:jc w:val="center"/>
            </w:pPr>
            <w:r w:rsidRPr="00644691">
              <w:t xml:space="preserve">Phase 3, </w:t>
            </w:r>
            <w:r w:rsidR="006555CF" w:rsidRPr="00644691">
              <w:t>MC</w:t>
            </w:r>
            <w:r w:rsidRPr="00644691">
              <w:t xml:space="preserve">, parallel-group, </w:t>
            </w:r>
            <w:r w:rsidR="006555CF" w:rsidRPr="00644691">
              <w:t>R, DB</w:t>
            </w:r>
            <w:r w:rsidRPr="00644691">
              <w:t>, placebo-controlled (median duration of follow-up 18</w:t>
            </w:r>
            <w:r w:rsidR="000F123C" w:rsidRPr="00644691">
              <w:t>.2</w:t>
            </w:r>
            <w:r w:rsidRPr="00644691">
              <w:t xml:space="preserve"> months)</w:t>
            </w:r>
          </w:p>
        </w:tc>
        <w:tc>
          <w:tcPr>
            <w:tcW w:w="342" w:type="pct"/>
            <w:shd w:val="clear" w:color="auto" w:fill="auto"/>
            <w:vAlign w:val="center"/>
          </w:tcPr>
          <w:p w:rsidR="00971679" w:rsidRPr="00644691" w:rsidRDefault="00971679" w:rsidP="00DC3072">
            <w:pPr>
              <w:pStyle w:val="TableText"/>
              <w:jc w:val="center"/>
              <w:rPr>
                <w:i/>
              </w:rPr>
            </w:pPr>
            <w:r w:rsidRPr="00644691">
              <w:t>Low</w:t>
            </w:r>
          </w:p>
        </w:tc>
        <w:tc>
          <w:tcPr>
            <w:tcW w:w="1108" w:type="pct"/>
            <w:shd w:val="clear" w:color="auto" w:fill="auto"/>
            <w:vAlign w:val="center"/>
          </w:tcPr>
          <w:p w:rsidR="00971679" w:rsidRPr="00644691" w:rsidRDefault="00971679" w:rsidP="00B91468">
            <w:pPr>
              <w:pStyle w:val="TableText"/>
              <w:numPr>
                <w:ilvl w:val="0"/>
                <w:numId w:val="8"/>
              </w:numPr>
              <w:ind w:left="227" w:hanging="170"/>
            </w:pPr>
            <w:r w:rsidRPr="00644691">
              <w:t>Age ≥18 years with symptomatic HFrEF</w:t>
            </w:r>
          </w:p>
          <w:p w:rsidR="00971679" w:rsidRPr="00644691" w:rsidRDefault="00971679" w:rsidP="00B91468">
            <w:pPr>
              <w:pStyle w:val="TableText"/>
              <w:numPr>
                <w:ilvl w:val="0"/>
                <w:numId w:val="8"/>
              </w:numPr>
              <w:ind w:left="227" w:hanging="170"/>
            </w:pPr>
            <w:r w:rsidRPr="00644691">
              <w:t>LVEF ≤40%</w:t>
            </w:r>
          </w:p>
          <w:p w:rsidR="00971679" w:rsidRPr="00644691" w:rsidRDefault="00971679" w:rsidP="00B91468">
            <w:pPr>
              <w:pStyle w:val="TableText"/>
              <w:numPr>
                <w:ilvl w:val="0"/>
                <w:numId w:val="8"/>
              </w:numPr>
              <w:ind w:left="227" w:hanging="170"/>
            </w:pPr>
            <w:r w:rsidRPr="00644691">
              <w:t>NYHA Class II-IV</w:t>
            </w:r>
          </w:p>
          <w:p w:rsidR="00971679" w:rsidRPr="00644691" w:rsidRDefault="001D2BAF" w:rsidP="00B91468">
            <w:pPr>
              <w:pStyle w:val="TableText"/>
              <w:numPr>
                <w:ilvl w:val="0"/>
                <w:numId w:val="8"/>
              </w:numPr>
              <w:ind w:left="227" w:hanging="170"/>
            </w:pPr>
            <w:r w:rsidRPr="00644691">
              <w:t xml:space="preserve">Elevated </w:t>
            </w:r>
            <w:r w:rsidR="00971679" w:rsidRPr="00644691">
              <w:t>NT-proBNP</w:t>
            </w:r>
            <w:r w:rsidRPr="00644691">
              <w:rPr>
                <w:vertAlign w:val="superscript"/>
              </w:rPr>
              <w:t>1</w:t>
            </w:r>
          </w:p>
          <w:p w:rsidR="00971679" w:rsidRPr="00644691" w:rsidRDefault="00971679" w:rsidP="00B91468">
            <w:pPr>
              <w:pStyle w:val="TableText"/>
              <w:numPr>
                <w:ilvl w:val="0"/>
                <w:numId w:val="8"/>
              </w:numPr>
              <w:ind w:left="227" w:hanging="170"/>
            </w:pPr>
            <w:r w:rsidRPr="00644691">
              <w:t>On background therapy with an ACE inhibitor (or ARB or sacubitril/valsartan), a beta-blocker; and an MRA (if considered appropriate)</w:t>
            </w:r>
          </w:p>
        </w:tc>
        <w:tc>
          <w:tcPr>
            <w:tcW w:w="1352" w:type="pct"/>
            <w:shd w:val="clear" w:color="auto" w:fill="auto"/>
            <w:vAlign w:val="center"/>
          </w:tcPr>
          <w:p w:rsidR="00971679" w:rsidRPr="00644691" w:rsidRDefault="00971679" w:rsidP="00B91468">
            <w:pPr>
              <w:pStyle w:val="TableText"/>
              <w:numPr>
                <w:ilvl w:val="0"/>
                <w:numId w:val="8"/>
              </w:numPr>
              <w:ind w:left="227" w:hanging="170"/>
            </w:pPr>
            <w:r w:rsidRPr="00644691">
              <w:t>Time to CV death, hospitalisation for HF, or urgent HF visit</w:t>
            </w:r>
            <w:r w:rsidR="00294CD2" w:rsidRPr="00644691">
              <w:t xml:space="preserve"> (primary)</w:t>
            </w:r>
          </w:p>
          <w:p w:rsidR="00971679" w:rsidRPr="00644691" w:rsidRDefault="00971679" w:rsidP="00B91468">
            <w:pPr>
              <w:pStyle w:val="TableText"/>
              <w:numPr>
                <w:ilvl w:val="0"/>
                <w:numId w:val="8"/>
              </w:numPr>
              <w:ind w:left="227" w:hanging="170"/>
            </w:pPr>
            <w:r w:rsidRPr="00644691">
              <w:t>Time to CV death or hospitalisation for HF</w:t>
            </w:r>
          </w:p>
          <w:p w:rsidR="00971679" w:rsidRPr="00644691" w:rsidRDefault="00971679" w:rsidP="00B91468">
            <w:pPr>
              <w:pStyle w:val="TableText"/>
              <w:numPr>
                <w:ilvl w:val="0"/>
                <w:numId w:val="8"/>
              </w:numPr>
              <w:ind w:left="227" w:hanging="170"/>
            </w:pPr>
            <w:r w:rsidRPr="00644691">
              <w:t>CV death or recurrent HF hospitalisations</w:t>
            </w:r>
          </w:p>
          <w:p w:rsidR="00971679" w:rsidRPr="00644691" w:rsidRDefault="00971679" w:rsidP="00B91468">
            <w:pPr>
              <w:pStyle w:val="TableText"/>
              <w:numPr>
                <w:ilvl w:val="0"/>
                <w:numId w:val="8"/>
              </w:numPr>
              <w:ind w:left="227" w:hanging="170"/>
            </w:pPr>
            <w:r w:rsidRPr="00644691">
              <w:t>Time to ≥50% decline in eGFR, ESRD or renal death</w:t>
            </w:r>
          </w:p>
          <w:p w:rsidR="00971679" w:rsidRPr="00644691" w:rsidRDefault="00971679" w:rsidP="00B91468">
            <w:pPr>
              <w:pStyle w:val="TableText"/>
              <w:numPr>
                <w:ilvl w:val="0"/>
                <w:numId w:val="8"/>
              </w:numPr>
              <w:ind w:left="227" w:hanging="170"/>
            </w:pPr>
            <w:r w:rsidRPr="00644691">
              <w:t>Time to death from any cause</w:t>
            </w:r>
          </w:p>
          <w:p w:rsidR="00BB1A63" w:rsidRPr="00644691" w:rsidRDefault="00BB1A63" w:rsidP="00B91468">
            <w:pPr>
              <w:pStyle w:val="TableText"/>
              <w:numPr>
                <w:ilvl w:val="0"/>
                <w:numId w:val="8"/>
              </w:numPr>
              <w:ind w:left="227" w:hanging="170"/>
            </w:pPr>
            <w:r w:rsidRPr="00644691">
              <w:t>Change in KCCQ-TSS</w:t>
            </w:r>
          </w:p>
          <w:p w:rsidR="00BB1A63" w:rsidRPr="00644691" w:rsidRDefault="00BB1A63" w:rsidP="00B91468">
            <w:pPr>
              <w:pStyle w:val="TableText"/>
              <w:numPr>
                <w:ilvl w:val="0"/>
                <w:numId w:val="8"/>
              </w:numPr>
              <w:ind w:left="227" w:hanging="170"/>
            </w:pPr>
            <w:r w:rsidRPr="00644691">
              <w:t>Change in EQ-5D-5L</w:t>
            </w:r>
          </w:p>
        </w:tc>
        <w:tc>
          <w:tcPr>
            <w:tcW w:w="744" w:type="pct"/>
          </w:tcPr>
          <w:p w:rsidR="00971679" w:rsidRPr="00644691" w:rsidRDefault="00971679" w:rsidP="00B91468">
            <w:pPr>
              <w:pStyle w:val="TableText"/>
              <w:numPr>
                <w:ilvl w:val="0"/>
                <w:numId w:val="8"/>
              </w:numPr>
              <w:ind w:left="227" w:hanging="170"/>
            </w:pPr>
            <w:r w:rsidRPr="00644691">
              <w:t xml:space="preserve">Time to </w:t>
            </w:r>
            <w:r w:rsidR="006555CF" w:rsidRPr="00644691">
              <w:t xml:space="preserve">CV </w:t>
            </w:r>
            <w:r w:rsidRPr="00644691">
              <w:t>death and time to death from any cause used to model mortality</w:t>
            </w:r>
            <w:r w:rsidR="00BB1A63" w:rsidRPr="00644691">
              <w:t xml:space="preserve"> transitions</w:t>
            </w:r>
          </w:p>
          <w:p w:rsidR="00971679" w:rsidRPr="00644691" w:rsidRDefault="00BB1A63" w:rsidP="00B91468">
            <w:pPr>
              <w:pStyle w:val="TableText"/>
              <w:numPr>
                <w:ilvl w:val="0"/>
                <w:numId w:val="8"/>
              </w:numPr>
              <w:ind w:left="227" w:hanging="170"/>
            </w:pPr>
            <w:r w:rsidRPr="00644691">
              <w:t xml:space="preserve">Baseline EQ-5D-5L utility score used to model </w:t>
            </w:r>
            <w:r w:rsidR="005A7463" w:rsidRPr="00644691">
              <w:t>health state utilities</w:t>
            </w:r>
          </w:p>
        </w:tc>
      </w:tr>
      <w:tr w:rsidR="000F123C" w:rsidRPr="00644691" w:rsidTr="000F123C">
        <w:trPr>
          <w:cantSplit/>
        </w:trPr>
        <w:tc>
          <w:tcPr>
            <w:tcW w:w="5000" w:type="pct"/>
            <w:gridSpan w:val="7"/>
            <w:shd w:val="clear" w:color="auto" w:fill="auto"/>
            <w:vAlign w:val="center"/>
          </w:tcPr>
          <w:p w:rsidR="000F123C" w:rsidRPr="00644691" w:rsidRDefault="000F123C" w:rsidP="00DC3072">
            <w:pPr>
              <w:pStyle w:val="TableText"/>
              <w:rPr>
                <w:b/>
                <w:bCs w:val="0"/>
              </w:rPr>
            </w:pPr>
            <w:r w:rsidRPr="00644691">
              <w:rPr>
                <w:b/>
                <w:bCs w:val="0"/>
              </w:rPr>
              <w:t>Empagliflozin + standard care vs placebo + standard care</w:t>
            </w:r>
          </w:p>
        </w:tc>
      </w:tr>
      <w:tr w:rsidR="00A17CD6" w:rsidRPr="00644691" w:rsidTr="006555CF">
        <w:trPr>
          <w:cantSplit/>
        </w:trPr>
        <w:tc>
          <w:tcPr>
            <w:tcW w:w="521" w:type="pct"/>
            <w:shd w:val="clear" w:color="auto" w:fill="auto"/>
            <w:vAlign w:val="center"/>
          </w:tcPr>
          <w:p w:rsidR="00A17CD6" w:rsidRPr="00644691" w:rsidRDefault="000F123C" w:rsidP="00DC3072">
            <w:pPr>
              <w:pStyle w:val="TableText"/>
            </w:pPr>
            <w:r w:rsidRPr="00644691">
              <w:t>EMPEROR-Reduced</w:t>
            </w:r>
          </w:p>
        </w:tc>
        <w:tc>
          <w:tcPr>
            <w:tcW w:w="233" w:type="pct"/>
            <w:shd w:val="clear" w:color="auto" w:fill="auto"/>
            <w:vAlign w:val="center"/>
          </w:tcPr>
          <w:p w:rsidR="00A17CD6" w:rsidRPr="00644691" w:rsidRDefault="000F123C" w:rsidP="00DC3072">
            <w:pPr>
              <w:pStyle w:val="TableText"/>
              <w:jc w:val="center"/>
            </w:pPr>
            <w:r w:rsidRPr="00644691">
              <w:t>3730</w:t>
            </w:r>
          </w:p>
        </w:tc>
        <w:tc>
          <w:tcPr>
            <w:tcW w:w="699" w:type="pct"/>
            <w:shd w:val="clear" w:color="auto" w:fill="auto"/>
            <w:vAlign w:val="center"/>
          </w:tcPr>
          <w:p w:rsidR="00A17CD6" w:rsidRPr="00644691" w:rsidRDefault="000F123C" w:rsidP="006555CF">
            <w:pPr>
              <w:pStyle w:val="TableText"/>
              <w:jc w:val="center"/>
            </w:pPr>
            <w:r w:rsidRPr="00644691">
              <w:t xml:space="preserve">Phase 3, </w:t>
            </w:r>
            <w:r w:rsidR="006555CF" w:rsidRPr="00644691">
              <w:t>MC</w:t>
            </w:r>
            <w:r w:rsidRPr="00644691">
              <w:t xml:space="preserve">, parallel-group, </w:t>
            </w:r>
            <w:r w:rsidR="006555CF" w:rsidRPr="00644691">
              <w:t>R, DB</w:t>
            </w:r>
            <w:r w:rsidRPr="00644691">
              <w:t>, placebo-controlled (median duration of follow-up 16 months)</w:t>
            </w:r>
          </w:p>
        </w:tc>
        <w:tc>
          <w:tcPr>
            <w:tcW w:w="342" w:type="pct"/>
            <w:shd w:val="clear" w:color="auto" w:fill="auto"/>
            <w:vAlign w:val="center"/>
          </w:tcPr>
          <w:p w:rsidR="00A17CD6" w:rsidRPr="00644691" w:rsidRDefault="000F123C" w:rsidP="00DC3072">
            <w:pPr>
              <w:pStyle w:val="TableText"/>
              <w:jc w:val="center"/>
              <w:rPr>
                <w:i/>
              </w:rPr>
            </w:pPr>
            <w:r w:rsidRPr="00644691">
              <w:t>Low</w:t>
            </w:r>
          </w:p>
        </w:tc>
        <w:tc>
          <w:tcPr>
            <w:tcW w:w="1108" w:type="pct"/>
            <w:shd w:val="clear" w:color="auto" w:fill="auto"/>
            <w:vAlign w:val="center"/>
          </w:tcPr>
          <w:p w:rsidR="001D2BAF" w:rsidRPr="00644691" w:rsidRDefault="001D2BAF" w:rsidP="00B91468">
            <w:pPr>
              <w:pStyle w:val="TableText"/>
              <w:numPr>
                <w:ilvl w:val="0"/>
                <w:numId w:val="8"/>
              </w:numPr>
              <w:ind w:left="227" w:hanging="170"/>
            </w:pPr>
            <w:r w:rsidRPr="00644691">
              <w:t>Age ≥18 years with symptomatic HFrEF</w:t>
            </w:r>
          </w:p>
          <w:p w:rsidR="001D2BAF" w:rsidRPr="00644691" w:rsidRDefault="001D2BAF" w:rsidP="00B91468">
            <w:pPr>
              <w:pStyle w:val="TableText"/>
              <w:numPr>
                <w:ilvl w:val="0"/>
                <w:numId w:val="8"/>
              </w:numPr>
              <w:ind w:left="227" w:hanging="170"/>
            </w:pPr>
            <w:r w:rsidRPr="00644691">
              <w:t>LVEF ≤40%</w:t>
            </w:r>
          </w:p>
          <w:p w:rsidR="001D2BAF" w:rsidRPr="00644691" w:rsidRDefault="001D2BAF" w:rsidP="00B91468">
            <w:pPr>
              <w:pStyle w:val="TableText"/>
              <w:numPr>
                <w:ilvl w:val="0"/>
                <w:numId w:val="8"/>
              </w:numPr>
              <w:ind w:left="227" w:hanging="170"/>
            </w:pPr>
            <w:r w:rsidRPr="00644691">
              <w:t>NYHA Class II-IV</w:t>
            </w:r>
          </w:p>
          <w:p w:rsidR="001D2BAF" w:rsidRPr="00644691" w:rsidRDefault="00DF4267" w:rsidP="00B91468">
            <w:pPr>
              <w:pStyle w:val="TableText"/>
              <w:numPr>
                <w:ilvl w:val="0"/>
                <w:numId w:val="8"/>
              </w:numPr>
              <w:ind w:left="227" w:hanging="170"/>
            </w:pPr>
            <w:r w:rsidRPr="00644691">
              <w:t>Elevated NT-proBNP</w:t>
            </w:r>
            <w:r w:rsidRPr="00644691">
              <w:rPr>
                <w:vertAlign w:val="superscript"/>
              </w:rPr>
              <w:t>2</w:t>
            </w:r>
          </w:p>
          <w:p w:rsidR="00A17CD6" w:rsidRPr="00644691" w:rsidRDefault="001D2BAF" w:rsidP="00B91468">
            <w:pPr>
              <w:pStyle w:val="TableText"/>
              <w:numPr>
                <w:ilvl w:val="0"/>
                <w:numId w:val="8"/>
              </w:numPr>
              <w:ind w:left="227" w:hanging="170"/>
            </w:pPr>
            <w:r w:rsidRPr="00644691">
              <w:t>Appropriate dose of medical therapy for HF (such as ACE inhibitor, ARB, beta-blocker, oral diuretics, MRA, ARNI, ivabradine) consistent with local and international guidelines</w:t>
            </w:r>
          </w:p>
        </w:tc>
        <w:tc>
          <w:tcPr>
            <w:tcW w:w="1352" w:type="pct"/>
            <w:shd w:val="clear" w:color="auto" w:fill="auto"/>
            <w:vAlign w:val="center"/>
          </w:tcPr>
          <w:p w:rsidR="00A17CD6" w:rsidRPr="00644691" w:rsidRDefault="00AD7B4C" w:rsidP="00B91468">
            <w:pPr>
              <w:pStyle w:val="TableText"/>
              <w:numPr>
                <w:ilvl w:val="0"/>
                <w:numId w:val="8"/>
              </w:numPr>
              <w:ind w:left="227" w:hanging="170"/>
            </w:pPr>
            <w:r w:rsidRPr="00644691">
              <w:t>Time to CV death or hospitalisation for HF (primary)</w:t>
            </w:r>
          </w:p>
          <w:p w:rsidR="00AD7B4C" w:rsidRPr="00644691" w:rsidRDefault="00A00616" w:rsidP="00B91468">
            <w:pPr>
              <w:pStyle w:val="TableText"/>
              <w:numPr>
                <w:ilvl w:val="0"/>
                <w:numId w:val="8"/>
              </w:numPr>
              <w:ind w:left="227" w:hanging="170"/>
            </w:pPr>
            <w:r w:rsidRPr="00644691">
              <w:t>Time to hospitalisation for HF</w:t>
            </w:r>
          </w:p>
          <w:p w:rsidR="00A00616" w:rsidRPr="00644691" w:rsidRDefault="00A00616" w:rsidP="00B91468">
            <w:pPr>
              <w:pStyle w:val="TableText"/>
              <w:numPr>
                <w:ilvl w:val="0"/>
                <w:numId w:val="8"/>
              </w:numPr>
              <w:ind w:left="227" w:hanging="170"/>
            </w:pPr>
            <w:r w:rsidRPr="00644691">
              <w:t>Time to cardiovascular death</w:t>
            </w:r>
          </w:p>
          <w:p w:rsidR="00A00616" w:rsidRPr="00644691" w:rsidRDefault="00A00616" w:rsidP="00B91468">
            <w:pPr>
              <w:pStyle w:val="TableText"/>
              <w:numPr>
                <w:ilvl w:val="0"/>
                <w:numId w:val="8"/>
              </w:numPr>
              <w:ind w:left="227" w:hanging="170"/>
            </w:pPr>
            <w:r w:rsidRPr="00644691">
              <w:t>Total hospitalisations for HF</w:t>
            </w:r>
          </w:p>
          <w:p w:rsidR="00A00616" w:rsidRPr="00644691" w:rsidRDefault="00A00616" w:rsidP="00B91468">
            <w:pPr>
              <w:pStyle w:val="TableText"/>
              <w:numPr>
                <w:ilvl w:val="0"/>
                <w:numId w:val="8"/>
              </w:numPr>
              <w:ind w:left="227" w:hanging="170"/>
            </w:pPr>
            <w:r w:rsidRPr="00644691">
              <w:t>Change in slope of eGFR</w:t>
            </w:r>
          </w:p>
          <w:p w:rsidR="00A00616" w:rsidRPr="00644691" w:rsidRDefault="00A00616" w:rsidP="00B91468">
            <w:pPr>
              <w:pStyle w:val="TableText"/>
              <w:numPr>
                <w:ilvl w:val="0"/>
                <w:numId w:val="8"/>
              </w:numPr>
              <w:ind w:left="227" w:hanging="170"/>
            </w:pPr>
            <w:r w:rsidRPr="00644691">
              <w:t>Time to death from any cause</w:t>
            </w:r>
          </w:p>
          <w:p w:rsidR="00A00616" w:rsidRPr="00644691" w:rsidRDefault="00A00616" w:rsidP="00B91468">
            <w:pPr>
              <w:pStyle w:val="TableText"/>
              <w:numPr>
                <w:ilvl w:val="0"/>
                <w:numId w:val="8"/>
              </w:numPr>
              <w:ind w:left="227" w:hanging="170"/>
            </w:pPr>
            <w:r w:rsidRPr="00644691">
              <w:t>Change in KCCQ-CSS</w:t>
            </w:r>
          </w:p>
        </w:tc>
        <w:tc>
          <w:tcPr>
            <w:tcW w:w="744" w:type="pct"/>
            <w:vAlign w:val="center"/>
          </w:tcPr>
          <w:p w:rsidR="00A17CD6" w:rsidRPr="00644691" w:rsidRDefault="00907C67" w:rsidP="00DC3072">
            <w:pPr>
              <w:pStyle w:val="TableText"/>
              <w:jc w:val="center"/>
            </w:pPr>
            <w:r w:rsidRPr="00644691">
              <w:t>-</w:t>
            </w:r>
          </w:p>
        </w:tc>
      </w:tr>
    </w:tbl>
    <w:p w:rsidR="00EB0C48" w:rsidRPr="00644691" w:rsidRDefault="00EB0C48" w:rsidP="00DC3072">
      <w:pPr>
        <w:pStyle w:val="TableFigureFooter"/>
        <w:keepLines/>
        <w:widowControl w:val="0"/>
      </w:pPr>
      <w:r w:rsidRPr="00644691">
        <w:t>Source: Section 2.3.1, pp</w:t>
      </w:r>
      <w:r w:rsidR="00316740" w:rsidRPr="00644691">
        <w:t>69</w:t>
      </w:r>
      <w:r w:rsidRPr="00644691">
        <w:t>-</w:t>
      </w:r>
      <w:r w:rsidR="00316740" w:rsidRPr="00644691">
        <w:t>70</w:t>
      </w:r>
      <w:r w:rsidRPr="00644691">
        <w:t>; Table 2.</w:t>
      </w:r>
      <w:r w:rsidR="00DF2AE8" w:rsidRPr="00644691">
        <w:t>4-1, p</w:t>
      </w:r>
      <w:r w:rsidRPr="00644691">
        <w:t>p77</w:t>
      </w:r>
      <w:r w:rsidR="00DF2AE8" w:rsidRPr="00644691">
        <w:t>-81; Table 2.4-8, pp90-93</w:t>
      </w:r>
      <w:r w:rsidRPr="00644691">
        <w:t xml:space="preserve"> of the </w:t>
      </w:r>
      <w:r w:rsidR="00DF2AE8" w:rsidRPr="00644691">
        <w:t>re</w:t>
      </w:r>
      <w:r w:rsidRPr="00644691">
        <w:t>submission</w:t>
      </w:r>
      <w:r w:rsidR="00612A3C" w:rsidRPr="00644691">
        <w:t>; Table 2.6-3, p14; Table 2.6-5, pp16-18 of Attachment 2.7 of the resubmission.</w:t>
      </w:r>
    </w:p>
    <w:p w:rsidR="00EB0C48" w:rsidRPr="00644691" w:rsidRDefault="00EB0C48" w:rsidP="00DC3072">
      <w:pPr>
        <w:pStyle w:val="TableFigureFooter"/>
        <w:keepLines/>
        <w:widowControl w:val="0"/>
      </w:pPr>
      <w:r w:rsidRPr="00644691">
        <w:t xml:space="preserve">ACE, angiotensin-converting enzyme; ARB, angiotensin II receptor blocker; </w:t>
      </w:r>
      <w:r w:rsidR="00907C67" w:rsidRPr="00644691">
        <w:t xml:space="preserve">CSS, clinical summary score; </w:t>
      </w:r>
      <w:r w:rsidRPr="00644691">
        <w:t xml:space="preserve">CV, cardiovascular; </w:t>
      </w:r>
      <w:r w:rsidR="006555CF" w:rsidRPr="00644691">
        <w:t xml:space="preserve">DB, double blind; </w:t>
      </w:r>
      <w:r w:rsidRPr="00644691">
        <w:t xml:space="preserve">eGFR, estimated GFR; ESRD, end-stage renal disease; HF, heart failure; HFrEF, heart failure with reduced ejection fraction; KCCQ, Kansas City Cardiomyopathy Questionnaire; LVEF, left ventricular ejection fraction; </w:t>
      </w:r>
      <w:r w:rsidR="006555CF" w:rsidRPr="00644691">
        <w:t xml:space="preserve">MC, multi-centre; </w:t>
      </w:r>
      <w:r w:rsidRPr="00644691">
        <w:t xml:space="preserve">NT-proBNP N-Terminal pro b natriuretic peptide; NYHA, New York Heart Association; </w:t>
      </w:r>
      <w:r w:rsidR="006555CF" w:rsidRPr="00644691">
        <w:t xml:space="preserve">R, randomised; </w:t>
      </w:r>
      <w:r w:rsidRPr="00644691">
        <w:t>TSS, total symptom score.</w:t>
      </w:r>
    </w:p>
    <w:p w:rsidR="001D2BAF" w:rsidRPr="00644691" w:rsidRDefault="001D2BAF" w:rsidP="00DC3072">
      <w:pPr>
        <w:pStyle w:val="TableFigureFooter"/>
        <w:keepLines/>
        <w:widowControl w:val="0"/>
      </w:pPr>
      <w:r w:rsidRPr="00644691">
        <w:rPr>
          <w:vertAlign w:val="superscript"/>
        </w:rPr>
        <w:t>1</w:t>
      </w:r>
      <w:r w:rsidR="00DF4267" w:rsidRPr="00644691">
        <w:t xml:space="preserve"> NT-proBNP ≥600 pg/mL (or if hospitalised for heart failure within the previous 12 months, NT-proBNP ≥400 pg/mL) at enrolment; or ≥900</w:t>
      </w:r>
      <w:r w:rsidR="00A84291" w:rsidRPr="00644691">
        <w:t> </w:t>
      </w:r>
      <w:r w:rsidR="00DF4267" w:rsidRPr="00644691">
        <w:t xml:space="preserve">pg/mL (irrespective of history of HF hospitalisation) if concomitant atrial fibrillation or atrial flutter </w:t>
      </w:r>
      <w:r w:rsidR="00445244" w:rsidRPr="00644691">
        <w:t xml:space="preserve">(AF) </w:t>
      </w:r>
      <w:r w:rsidR="00DF4267" w:rsidRPr="00644691">
        <w:t>at Visit 1.</w:t>
      </w:r>
    </w:p>
    <w:p w:rsidR="00DF4267" w:rsidRPr="00644691" w:rsidRDefault="00DF4267" w:rsidP="00DC3072">
      <w:pPr>
        <w:pStyle w:val="TableFigureFooter"/>
        <w:keepLines/>
        <w:widowControl w:val="0"/>
      </w:pPr>
      <w:r w:rsidRPr="00644691">
        <w:rPr>
          <w:vertAlign w:val="superscript"/>
        </w:rPr>
        <w:t>2</w:t>
      </w:r>
      <w:r w:rsidRPr="00644691">
        <w:t xml:space="preserve"> At least one of the following</w:t>
      </w:r>
      <w:r w:rsidR="00A23EAE" w:rsidRPr="00644691">
        <w:t>:</w:t>
      </w:r>
      <w:r w:rsidR="00294CD2" w:rsidRPr="00644691">
        <w:t xml:space="preserve"> 1) </w:t>
      </w:r>
      <w:r w:rsidR="00A23EAE" w:rsidRPr="00644691">
        <w:t>I</w:t>
      </w:r>
      <w:r w:rsidRPr="00644691">
        <w:t xml:space="preserve">f </w:t>
      </w:r>
      <w:r w:rsidR="003556E6" w:rsidRPr="00644691">
        <w:t>e</w:t>
      </w:r>
      <w:r w:rsidR="00CC408A" w:rsidRPr="00644691">
        <w:t xml:space="preserve">jection </w:t>
      </w:r>
      <w:r w:rsidR="003556E6" w:rsidRPr="00644691">
        <w:t>f</w:t>
      </w:r>
      <w:r w:rsidR="00CC408A" w:rsidRPr="00644691">
        <w:t>raction (</w:t>
      </w:r>
      <w:r w:rsidRPr="00644691">
        <w:t>EF</w:t>
      </w:r>
      <w:r w:rsidR="00CC408A" w:rsidRPr="00644691">
        <w:t>)</w:t>
      </w:r>
      <w:r w:rsidRPr="00644691">
        <w:t xml:space="preserve"> ≥36% to ≤40%: elevated NT-proBNP at Visit 1 ≥2500 pg/m</w:t>
      </w:r>
      <w:r w:rsidR="00A84291" w:rsidRPr="00644691">
        <w:t>L</w:t>
      </w:r>
      <w:r w:rsidRPr="00644691">
        <w:t xml:space="preserve"> for patients without AF, or ≥5000 pg/m</w:t>
      </w:r>
      <w:r w:rsidR="00A84291" w:rsidRPr="00644691">
        <w:t>L</w:t>
      </w:r>
      <w:r w:rsidRPr="00644691">
        <w:t xml:space="preserve"> for patients with AF</w:t>
      </w:r>
      <w:r w:rsidR="00A23EAE" w:rsidRPr="00644691">
        <w:t>;</w:t>
      </w:r>
      <w:r w:rsidR="00294CD2" w:rsidRPr="00644691">
        <w:t xml:space="preserve"> 2)</w:t>
      </w:r>
      <w:r w:rsidR="00A23EAE" w:rsidRPr="00644691">
        <w:t xml:space="preserve"> I</w:t>
      </w:r>
      <w:r w:rsidRPr="00644691">
        <w:t>f EF ≥31% to ≤35%: elevated NT-proBNP at Visit 1 ≥1000 pg/m</w:t>
      </w:r>
      <w:r w:rsidR="00A84291" w:rsidRPr="00644691">
        <w:t>L</w:t>
      </w:r>
      <w:r w:rsidRPr="00644691">
        <w:t xml:space="preserve"> for patients without AF, or ≥2000 pg/m</w:t>
      </w:r>
      <w:r w:rsidR="00A84291" w:rsidRPr="00644691">
        <w:t>L</w:t>
      </w:r>
      <w:r w:rsidRPr="00644691">
        <w:t xml:space="preserve"> for patients with AF</w:t>
      </w:r>
      <w:r w:rsidR="00A23EAE" w:rsidRPr="00644691">
        <w:t xml:space="preserve">; </w:t>
      </w:r>
      <w:r w:rsidR="00294CD2" w:rsidRPr="00644691">
        <w:t xml:space="preserve">3) </w:t>
      </w:r>
      <w:r w:rsidRPr="00644691">
        <w:t>If EF≤30%: elevated NT-proBNP at Visit 1 ≥600 pg/m</w:t>
      </w:r>
      <w:r w:rsidR="00445244" w:rsidRPr="00644691">
        <w:t>L</w:t>
      </w:r>
      <w:r w:rsidRPr="00644691">
        <w:t xml:space="preserve"> for patients without AF, or ≥1200 pg/m</w:t>
      </w:r>
      <w:r w:rsidR="00445244" w:rsidRPr="00644691">
        <w:t>L</w:t>
      </w:r>
      <w:r w:rsidRPr="00644691">
        <w:t xml:space="preserve"> for patients with AF</w:t>
      </w:r>
      <w:r w:rsidR="00A23EAE" w:rsidRPr="00644691">
        <w:t>.</w:t>
      </w:r>
    </w:p>
    <w:p w:rsidR="005A7463" w:rsidRPr="00644691" w:rsidRDefault="005A7463" w:rsidP="00DE16E5">
      <w:pPr>
        <w:pStyle w:val="ExecSumBodyText"/>
      </w:pPr>
      <w:r w:rsidRPr="00644691">
        <w:t xml:space="preserve">Baseline characteristics were generally well matched between treatment arms of the </w:t>
      </w:r>
      <w:r w:rsidR="00281737" w:rsidRPr="00644691">
        <w:t>DAPA-HF trial</w:t>
      </w:r>
      <w:r w:rsidRPr="00644691">
        <w:t xml:space="preserve">. </w:t>
      </w:r>
      <w:r w:rsidR="00FC1899" w:rsidRPr="00644691">
        <w:t>T</w:t>
      </w:r>
      <w:r w:rsidR="008F516A" w:rsidRPr="00644691">
        <w:t xml:space="preserve">he </w:t>
      </w:r>
      <w:r w:rsidR="009A6D95" w:rsidRPr="00644691">
        <w:t xml:space="preserve">trial </w:t>
      </w:r>
      <w:r w:rsidR="00857139" w:rsidRPr="00644691">
        <w:t>population</w:t>
      </w:r>
      <w:r w:rsidR="0000770D" w:rsidRPr="00644691">
        <w:t xml:space="preserve"> had </w:t>
      </w:r>
      <w:r w:rsidR="00DE64AA" w:rsidRPr="00644691">
        <w:t xml:space="preserve">a </w:t>
      </w:r>
      <w:r w:rsidR="008F516A" w:rsidRPr="00644691">
        <w:t xml:space="preserve">mean age </w:t>
      </w:r>
      <w:r w:rsidR="009A6D95" w:rsidRPr="00644691">
        <w:t>of</w:t>
      </w:r>
      <w:r w:rsidRPr="00644691">
        <w:t xml:space="preserve"> 66 years</w:t>
      </w:r>
      <w:r w:rsidR="00281737" w:rsidRPr="00644691">
        <w:t xml:space="preserve"> </w:t>
      </w:r>
      <w:r w:rsidR="009A6D95" w:rsidRPr="00644691">
        <w:t xml:space="preserve">and </w:t>
      </w:r>
      <w:r w:rsidR="00281737" w:rsidRPr="00644691">
        <w:t>included predominantly male patients</w:t>
      </w:r>
      <w:r w:rsidR="00857139" w:rsidRPr="00644691">
        <w:t xml:space="preserve"> (</w:t>
      </w:r>
      <w:r w:rsidR="008F516A" w:rsidRPr="00644691">
        <w:t>77%</w:t>
      </w:r>
      <w:r w:rsidR="00857139" w:rsidRPr="00644691">
        <w:t xml:space="preserve">). Forty five percent of patients had </w:t>
      </w:r>
      <w:r w:rsidR="00C961A2" w:rsidRPr="00644691">
        <w:t>T2DM</w:t>
      </w:r>
      <w:r w:rsidR="00DE64AA" w:rsidRPr="00644691">
        <w:t xml:space="preserve">. Based on the NYHA functional classification, </w:t>
      </w:r>
      <w:r w:rsidR="009A6D95" w:rsidRPr="00644691">
        <w:t xml:space="preserve">68% </w:t>
      </w:r>
      <w:r w:rsidR="004643E6" w:rsidRPr="00644691">
        <w:t>had</w:t>
      </w:r>
      <w:r w:rsidR="00DE64AA" w:rsidRPr="00644691">
        <w:t xml:space="preserve"> </w:t>
      </w:r>
      <w:r w:rsidR="009A6D95" w:rsidRPr="00644691">
        <w:t xml:space="preserve">Class II, 32% </w:t>
      </w:r>
      <w:r w:rsidR="004643E6" w:rsidRPr="00644691">
        <w:t xml:space="preserve">had </w:t>
      </w:r>
      <w:r w:rsidR="009A6D95" w:rsidRPr="00644691">
        <w:t xml:space="preserve">Class III, and 1% </w:t>
      </w:r>
      <w:r w:rsidR="004643E6" w:rsidRPr="00644691">
        <w:t xml:space="preserve">had </w:t>
      </w:r>
      <w:r w:rsidR="009A6D95" w:rsidRPr="00644691">
        <w:t xml:space="preserve">Class IV heart failure. </w:t>
      </w:r>
      <w:r w:rsidR="00FC1899" w:rsidRPr="00644691">
        <w:t xml:space="preserve">The main aetiology of heart failure was ischaemic </w:t>
      </w:r>
      <w:r w:rsidR="009A6D95" w:rsidRPr="00644691">
        <w:t xml:space="preserve">in </w:t>
      </w:r>
      <w:r w:rsidR="00FC1899" w:rsidRPr="00644691">
        <w:t>56.4% of patients</w:t>
      </w:r>
      <w:r w:rsidR="00DE64AA" w:rsidRPr="00644691">
        <w:t xml:space="preserve"> and patients had a </w:t>
      </w:r>
      <w:r w:rsidRPr="00644691">
        <w:t>mean LVEF of 31.1%</w:t>
      </w:r>
      <w:r w:rsidR="00857139" w:rsidRPr="00644691">
        <w:t xml:space="preserve">. </w:t>
      </w:r>
      <w:r w:rsidRPr="00644691">
        <w:t xml:space="preserve">At the time of randomisation, 56.1% of patients were receiving treatment with an ACE inhibitor; 27.6% with an ARB; 10.7% </w:t>
      </w:r>
      <w:r w:rsidRPr="00644691">
        <w:lastRenderedPageBreak/>
        <w:t>with an ARNI</w:t>
      </w:r>
      <w:r w:rsidR="00857139" w:rsidRPr="00644691">
        <w:t xml:space="preserve"> (</w:t>
      </w:r>
      <w:r w:rsidRPr="00644691">
        <w:t>93.6% with an ACE inhibitor, ARB or ARNI</w:t>
      </w:r>
      <w:r w:rsidR="00857139" w:rsidRPr="00644691">
        <w:t>)</w:t>
      </w:r>
      <w:r w:rsidRPr="00644691">
        <w:t>; 96.1% with a beta-blocker; 71.0% with an MRA; and 93.4% with a diuretic.</w:t>
      </w:r>
      <w:r w:rsidR="008F516A" w:rsidRPr="00644691">
        <w:t xml:space="preserve"> </w:t>
      </w:r>
    </w:p>
    <w:p w:rsidR="00B60939" w:rsidRPr="00644691" w:rsidRDefault="00B60939" w:rsidP="00EC5836">
      <w:pPr>
        <w:pStyle w:val="3-SubsectionHeading"/>
      </w:pPr>
      <w:bookmarkStart w:id="24" w:name="_Toc22897641"/>
      <w:bookmarkStart w:id="25" w:name="_Toc72325057"/>
      <w:r w:rsidRPr="00644691">
        <w:t>Comparative effectiveness</w:t>
      </w:r>
      <w:bookmarkEnd w:id="24"/>
      <w:bookmarkEnd w:id="25"/>
    </w:p>
    <w:p w:rsidR="00ED0A3F" w:rsidRPr="00644691" w:rsidRDefault="006565B7" w:rsidP="00ED0A3F">
      <w:pPr>
        <w:pStyle w:val="ExecSumBodyText"/>
        <w:rPr>
          <w:iCs/>
          <w:snapToGrid/>
        </w:rPr>
      </w:pPr>
      <w:r w:rsidRPr="00644691">
        <w:rPr>
          <w:iCs/>
          <w:snapToGrid/>
        </w:rPr>
        <w:t>Results for the DAPA-HF trial were unchanged from the November 2020 submission</w:t>
      </w:r>
      <w:r w:rsidR="004A6117" w:rsidRPr="00644691">
        <w:rPr>
          <w:iCs/>
          <w:snapToGrid/>
        </w:rPr>
        <w:t xml:space="preserve"> (summarised in the table below)</w:t>
      </w:r>
      <w:r w:rsidRPr="00644691">
        <w:rPr>
          <w:iCs/>
          <w:snapToGrid/>
        </w:rPr>
        <w:t xml:space="preserve">. </w:t>
      </w:r>
    </w:p>
    <w:p w:rsidR="00ED0A3F" w:rsidRPr="00644691" w:rsidRDefault="00ED0A3F" w:rsidP="00446FEF">
      <w:pPr>
        <w:pStyle w:val="TableFigureCaption"/>
      </w:pPr>
      <w:bookmarkStart w:id="26" w:name="_Ref70514122"/>
      <w:r w:rsidRPr="00644691">
        <w:t xml:space="preserve">Table </w:t>
      </w:r>
      <w:r w:rsidR="000C6AFA">
        <w:rPr>
          <w:noProof/>
        </w:rPr>
        <w:t>5</w:t>
      </w:r>
      <w:bookmarkEnd w:id="26"/>
      <w:r w:rsidRPr="00644691">
        <w:t>: Results for the DAPA-HF trial primary and secondary outcomes based on the hierarchical testing sequence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418"/>
        <w:gridCol w:w="1298"/>
        <w:gridCol w:w="1628"/>
      </w:tblGrid>
      <w:tr w:rsidR="00ED0A3F" w:rsidRPr="00644691" w:rsidTr="005028DB">
        <w:trPr>
          <w:tblHeader/>
        </w:trPr>
        <w:tc>
          <w:tcPr>
            <w:tcW w:w="4673" w:type="dxa"/>
          </w:tcPr>
          <w:p w:rsidR="00ED0A3F" w:rsidRPr="00644691" w:rsidRDefault="00ED0A3F" w:rsidP="008333E0">
            <w:pPr>
              <w:pStyle w:val="Tableheadingrow"/>
              <w:keepNext w:val="0"/>
              <w:rPr>
                <w:lang w:val="en-AU"/>
              </w:rPr>
            </w:pPr>
          </w:p>
        </w:tc>
        <w:tc>
          <w:tcPr>
            <w:tcW w:w="1418" w:type="dxa"/>
            <w:vAlign w:val="center"/>
          </w:tcPr>
          <w:p w:rsidR="00ED0A3F" w:rsidRPr="00644691" w:rsidRDefault="00ED0A3F" w:rsidP="008333E0">
            <w:pPr>
              <w:pStyle w:val="Tabletext0"/>
              <w:jc w:val="center"/>
              <w:rPr>
                <w:b/>
              </w:rPr>
            </w:pPr>
            <w:r w:rsidRPr="00644691">
              <w:rPr>
                <w:b/>
              </w:rPr>
              <w:t>Dapagliflozin + SOC</w:t>
            </w:r>
          </w:p>
          <w:p w:rsidR="00ED0A3F" w:rsidRPr="00644691" w:rsidRDefault="00ED0A3F" w:rsidP="008333E0">
            <w:pPr>
              <w:pStyle w:val="Tableheadingrow"/>
              <w:keepNext w:val="0"/>
              <w:jc w:val="center"/>
              <w:rPr>
                <w:lang w:val="en-AU"/>
              </w:rPr>
            </w:pPr>
            <w:r w:rsidRPr="00644691">
              <w:rPr>
                <w:lang w:val="en-AU"/>
              </w:rPr>
              <w:t>(N=2373)</w:t>
            </w:r>
          </w:p>
        </w:tc>
        <w:tc>
          <w:tcPr>
            <w:tcW w:w="1298" w:type="dxa"/>
            <w:vAlign w:val="center"/>
          </w:tcPr>
          <w:p w:rsidR="00ED0A3F" w:rsidRPr="00644691" w:rsidRDefault="00ED0A3F" w:rsidP="008333E0">
            <w:pPr>
              <w:pStyle w:val="Tabletext0"/>
              <w:jc w:val="center"/>
              <w:rPr>
                <w:b/>
              </w:rPr>
            </w:pPr>
            <w:r w:rsidRPr="00644691">
              <w:rPr>
                <w:b/>
              </w:rPr>
              <w:t>Placebo + SOC</w:t>
            </w:r>
          </w:p>
          <w:p w:rsidR="00ED0A3F" w:rsidRPr="00644691" w:rsidRDefault="00ED0A3F" w:rsidP="008333E0">
            <w:pPr>
              <w:pStyle w:val="Tableheadingrow"/>
              <w:keepNext w:val="0"/>
              <w:jc w:val="center"/>
              <w:rPr>
                <w:lang w:val="en-AU"/>
              </w:rPr>
            </w:pPr>
            <w:r w:rsidRPr="00644691">
              <w:rPr>
                <w:lang w:val="en-AU"/>
              </w:rPr>
              <w:t>(N=2371)</w:t>
            </w:r>
          </w:p>
        </w:tc>
        <w:tc>
          <w:tcPr>
            <w:tcW w:w="1628" w:type="dxa"/>
            <w:vMerge w:val="restart"/>
            <w:vAlign w:val="center"/>
          </w:tcPr>
          <w:p w:rsidR="00ED0A3F" w:rsidRPr="00644691" w:rsidRDefault="00ED0A3F" w:rsidP="005028DB">
            <w:pPr>
              <w:pStyle w:val="Tabletext0"/>
              <w:jc w:val="center"/>
              <w:rPr>
                <w:b/>
                <w:vertAlign w:val="superscript"/>
              </w:rPr>
            </w:pPr>
            <w:r w:rsidRPr="00644691">
              <w:rPr>
                <w:b/>
              </w:rPr>
              <w:t>Comparison ratio</w:t>
            </w:r>
            <w:r w:rsidRPr="00644691">
              <w:rPr>
                <w:b/>
                <w:vertAlign w:val="superscript"/>
              </w:rPr>
              <w:t>1</w:t>
            </w:r>
          </w:p>
          <w:p w:rsidR="00ED0A3F" w:rsidRPr="00644691" w:rsidRDefault="00ED0A3F" w:rsidP="005028DB">
            <w:pPr>
              <w:pStyle w:val="Tabletext0"/>
              <w:jc w:val="center"/>
              <w:rPr>
                <w:b/>
                <w:vertAlign w:val="superscript"/>
              </w:rPr>
            </w:pPr>
            <w:r w:rsidRPr="00644691">
              <w:rPr>
                <w:b/>
              </w:rPr>
              <w:t>(95% CI)</w:t>
            </w:r>
          </w:p>
        </w:tc>
      </w:tr>
      <w:tr w:rsidR="00ED0A3F" w:rsidRPr="00644691" w:rsidTr="008333E0">
        <w:tc>
          <w:tcPr>
            <w:tcW w:w="4673" w:type="dxa"/>
          </w:tcPr>
          <w:p w:rsidR="00ED0A3F" w:rsidRPr="00644691" w:rsidRDefault="00ED0A3F" w:rsidP="00446FEF">
            <w:pPr>
              <w:pStyle w:val="TableText"/>
            </w:pPr>
            <w:r w:rsidRPr="00644691">
              <w:t>Median duration of follow-up, months</w:t>
            </w:r>
          </w:p>
        </w:tc>
        <w:tc>
          <w:tcPr>
            <w:tcW w:w="1418" w:type="dxa"/>
          </w:tcPr>
          <w:p w:rsidR="00ED0A3F" w:rsidRPr="00644691" w:rsidRDefault="00ED0A3F" w:rsidP="008333E0">
            <w:pPr>
              <w:pStyle w:val="TableText"/>
              <w:keepNext w:val="0"/>
              <w:jc w:val="center"/>
            </w:pPr>
            <w:r w:rsidRPr="00644691">
              <w:t>18.3 (0.0-27.3)</w:t>
            </w:r>
          </w:p>
        </w:tc>
        <w:tc>
          <w:tcPr>
            <w:tcW w:w="1298" w:type="dxa"/>
          </w:tcPr>
          <w:p w:rsidR="00ED0A3F" w:rsidRPr="00644691" w:rsidRDefault="00ED0A3F" w:rsidP="008333E0">
            <w:pPr>
              <w:pStyle w:val="TableText"/>
              <w:keepNext w:val="0"/>
              <w:jc w:val="center"/>
            </w:pPr>
            <w:r w:rsidRPr="00644691">
              <w:t>18.2 (0.2-27.8)</w:t>
            </w:r>
          </w:p>
        </w:tc>
        <w:tc>
          <w:tcPr>
            <w:tcW w:w="1628" w:type="dxa"/>
            <w:vMerge/>
            <w:vAlign w:val="center"/>
          </w:tcPr>
          <w:p w:rsidR="00ED0A3F" w:rsidRPr="00644691" w:rsidRDefault="00ED0A3F" w:rsidP="008333E0">
            <w:pPr>
              <w:pStyle w:val="TableText"/>
              <w:keepNext w:val="0"/>
              <w:jc w:val="center"/>
              <w:rPr>
                <w:b/>
              </w:rPr>
            </w:pPr>
          </w:p>
        </w:tc>
      </w:tr>
      <w:tr w:rsidR="00ED0A3F" w:rsidRPr="00644691" w:rsidTr="008333E0">
        <w:tc>
          <w:tcPr>
            <w:tcW w:w="4673" w:type="dxa"/>
            <w:vAlign w:val="center"/>
          </w:tcPr>
          <w:p w:rsidR="00ED0A3F" w:rsidRPr="00644691" w:rsidRDefault="00ED0A3F" w:rsidP="00446FEF">
            <w:pPr>
              <w:pStyle w:val="TableText"/>
            </w:pPr>
            <w:r w:rsidRPr="00644691">
              <w:t>Composite of time to CV death, hospitalisation for HF or urgent HF visit, events n (%)</w:t>
            </w:r>
          </w:p>
        </w:tc>
        <w:tc>
          <w:tcPr>
            <w:tcW w:w="1418" w:type="dxa"/>
            <w:vAlign w:val="center"/>
          </w:tcPr>
          <w:p w:rsidR="00ED0A3F" w:rsidRPr="00644691" w:rsidRDefault="00ED0A3F" w:rsidP="008333E0">
            <w:pPr>
              <w:pStyle w:val="TableText"/>
              <w:keepNext w:val="0"/>
              <w:jc w:val="center"/>
            </w:pPr>
            <w:r w:rsidRPr="00644691">
              <w:t>386 (16.3)</w:t>
            </w:r>
          </w:p>
        </w:tc>
        <w:tc>
          <w:tcPr>
            <w:tcW w:w="1298" w:type="dxa"/>
            <w:vAlign w:val="center"/>
          </w:tcPr>
          <w:p w:rsidR="00ED0A3F" w:rsidRPr="00644691" w:rsidRDefault="00ED0A3F" w:rsidP="008333E0">
            <w:pPr>
              <w:pStyle w:val="TableText"/>
              <w:keepNext w:val="0"/>
              <w:jc w:val="center"/>
            </w:pPr>
            <w:r w:rsidRPr="00644691">
              <w:t>502 (21.2)</w:t>
            </w:r>
          </w:p>
        </w:tc>
        <w:tc>
          <w:tcPr>
            <w:tcW w:w="1628" w:type="dxa"/>
            <w:vAlign w:val="center"/>
          </w:tcPr>
          <w:p w:rsidR="00ED0A3F" w:rsidRPr="00644691" w:rsidRDefault="00ED0A3F" w:rsidP="008333E0">
            <w:pPr>
              <w:pStyle w:val="TableText"/>
              <w:keepNext w:val="0"/>
              <w:jc w:val="center"/>
              <w:rPr>
                <w:b/>
              </w:rPr>
            </w:pPr>
            <w:r w:rsidRPr="00644691">
              <w:rPr>
                <w:b/>
              </w:rPr>
              <w:t>0.74 (0.65, 0.85)</w:t>
            </w:r>
          </w:p>
        </w:tc>
      </w:tr>
      <w:tr w:rsidR="00ED0A3F" w:rsidRPr="00644691" w:rsidTr="008333E0">
        <w:tc>
          <w:tcPr>
            <w:tcW w:w="4673" w:type="dxa"/>
            <w:vAlign w:val="center"/>
          </w:tcPr>
          <w:p w:rsidR="00ED0A3F" w:rsidRPr="00644691" w:rsidRDefault="00ED0A3F" w:rsidP="00446FEF">
            <w:pPr>
              <w:pStyle w:val="TableText"/>
            </w:pPr>
            <w:r w:rsidRPr="00644691">
              <w:t>Composite of time CV death or hospitalisation for HF, n (%)</w:t>
            </w:r>
          </w:p>
        </w:tc>
        <w:tc>
          <w:tcPr>
            <w:tcW w:w="1418" w:type="dxa"/>
            <w:vAlign w:val="center"/>
          </w:tcPr>
          <w:p w:rsidR="00ED0A3F" w:rsidRPr="00644691" w:rsidRDefault="00ED0A3F" w:rsidP="008333E0">
            <w:pPr>
              <w:pStyle w:val="TableText"/>
              <w:keepNext w:val="0"/>
              <w:jc w:val="center"/>
            </w:pPr>
            <w:r w:rsidRPr="00644691">
              <w:t>382 (16.1)</w:t>
            </w:r>
          </w:p>
        </w:tc>
        <w:tc>
          <w:tcPr>
            <w:tcW w:w="1298" w:type="dxa"/>
            <w:vAlign w:val="center"/>
          </w:tcPr>
          <w:p w:rsidR="00ED0A3F" w:rsidRPr="00644691" w:rsidRDefault="00ED0A3F" w:rsidP="008333E0">
            <w:pPr>
              <w:pStyle w:val="TableText"/>
              <w:keepNext w:val="0"/>
              <w:jc w:val="center"/>
            </w:pPr>
            <w:r w:rsidRPr="00644691">
              <w:t>495 (20.9)</w:t>
            </w:r>
          </w:p>
        </w:tc>
        <w:tc>
          <w:tcPr>
            <w:tcW w:w="1628" w:type="dxa"/>
            <w:vAlign w:val="center"/>
          </w:tcPr>
          <w:p w:rsidR="00ED0A3F" w:rsidRPr="00644691" w:rsidRDefault="00ED0A3F" w:rsidP="008333E0">
            <w:pPr>
              <w:pStyle w:val="TableText"/>
              <w:keepNext w:val="0"/>
              <w:jc w:val="center"/>
              <w:rPr>
                <w:b/>
              </w:rPr>
            </w:pPr>
            <w:r w:rsidRPr="00644691">
              <w:rPr>
                <w:b/>
              </w:rPr>
              <w:t>0.75 (0.65, 0.85)</w:t>
            </w:r>
          </w:p>
        </w:tc>
      </w:tr>
      <w:tr w:rsidR="00ED0A3F" w:rsidRPr="00644691" w:rsidTr="008333E0">
        <w:tc>
          <w:tcPr>
            <w:tcW w:w="4673" w:type="dxa"/>
            <w:vAlign w:val="center"/>
          </w:tcPr>
          <w:p w:rsidR="00ED0A3F" w:rsidRPr="00644691" w:rsidRDefault="00ED0A3F" w:rsidP="00446FEF">
            <w:pPr>
              <w:pStyle w:val="TableText"/>
            </w:pPr>
            <w:r w:rsidRPr="00644691">
              <w:t>Composite of CV death or recurrent HF hospitalisation, n</w:t>
            </w:r>
          </w:p>
        </w:tc>
        <w:tc>
          <w:tcPr>
            <w:tcW w:w="1418" w:type="dxa"/>
            <w:vAlign w:val="center"/>
          </w:tcPr>
          <w:p w:rsidR="00ED0A3F" w:rsidRPr="00644691" w:rsidRDefault="00ED0A3F" w:rsidP="008333E0">
            <w:pPr>
              <w:pStyle w:val="TableText"/>
              <w:keepNext w:val="0"/>
              <w:jc w:val="center"/>
            </w:pPr>
            <w:r w:rsidRPr="00644691">
              <w:t>567</w:t>
            </w:r>
          </w:p>
        </w:tc>
        <w:tc>
          <w:tcPr>
            <w:tcW w:w="1298" w:type="dxa"/>
            <w:vAlign w:val="center"/>
          </w:tcPr>
          <w:p w:rsidR="00ED0A3F" w:rsidRPr="00644691" w:rsidRDefault="00ED0A3F" w:rsidP="008333E0">
            <w:pPr>
              <w:pStyle w:val="TableText"/>
              <w:keepNext w:val="0"/>
              <w:jc w:val="center"/>
            </w:pPr>
            <w:r w:rsidRPr="00644691">
              <w:t>742</w:t>
            </w:r>
          </w:p>
        </w:tc>
        <w:tc>
          <w:tcPr>
            <w:tcW w:w="1628" w:type="dxa"/>
            <w:vAlign w:val="center"/>
          </w:tcPr>
          <w:p w:rsidR="00ED0A3F" w:rsidRPr="00644691" w:rsidRDefault="00ED0A3F" w:rsidP="008333E0">
            <w:pPr>
              <w:pStyle w:val="TableText"/>
              <w:jc w:val="center"/>
              <w:rPr>
                <w:b/>
              </w:rPr>
            </w:pPr>
            <w:r w:rsidRPr="00644691">
              <w:rPr>
                <w:b/>
              </w:rPr>
              <w:t>0.75 (0.65, 0.88)</w:t>
            </w:r>
          </w:p>
        </w:tc>
      </w:tr>
      <w:tr w:rsidR="00ED0A3F" w:rsidRPr="00644691" w:rsidTr="008333E0">
        <w:tc>
          <w:tcPr>
            <w:tcW w:w="4673" w:type="dxa"/>
            <w:vAlign w:val="center"/>
          </w:tcPr>
          <w:p w:rsidR="00ED0A3F" w:rsidRPr="00644691" w:rsidRDefault="00ED0A3F" w:rsidP="00446FEF">
            <w:pPr>
              <w:pStyle w:val="TableText"/>
              <w:rPr>
                <w:vertAlign w:val="superscript"/>
              </w:rPr>
            </w:pPr>
            <w:r w:rsidRPr="00644691">
              <w:t>Change in the KCCQ-TSS at 8 months, mean change (SD)</w:t>
            </w:r>
            <w:r w:rsidRPr="00644691">
              <w:rPr>
                <w:vertAlign w:val="superscript"/>
              </w:rPr>
              <w:t>2</w:t>
            </w:r>
          </w:p>
        </w:tc>
        <w:tc>
          <w:tcPr>
            <w:tcW w:w="1418" w:type="dxa"/>
            <w:vAlign w:val="center"/>
          </w:tcPr>
          <w:p w:rsidR="00ED0A3F" w:rsidRPr="00644691" w:rsidRDefault="00ED0A3F" w:rsidP="008333E0">
            <w:pPr>
              <w:pStyle w:val="TableText"/>
              <w:keepNext w:val="0"/>
              <w:jc w:val="center"/>
            </w:pPr>
            <w:r w:rsidRPr="00644691">
              <w:t>6.1 (18.6)</w:t>
            </w:r>
          </w:p>
        </w:tc>
        <w:tc>
          <w:tcPr>
            <w:tcW w:w="1298" w:type="dxa"/>
            <w:vAlign w:val="center"/>
          </w:tcPr>
          <w:p w:rsidR="00ED0A3F" w:rsidRPr="00644691" w:rsidRDefault="00ED0A3F" w:rsidP="008333E0">
            <w:pPr>
              <w:pStyle w:val="TableText"/>
              <w:keepNext w:val="0"/>
              <w:jc w:val="center"/>
            </w:pPr>
            <w:r w:rsidRPr="00644691">
              <w:t>3.3 (19.2)</w:t>
            </w:r>
          </w:p>
        </w:tc>
        <w:tc>
          <w:tcPr>
            <w:tcW w:w="1628" w:type="dxa"/>
            <w:vAlign w:val="center"/>
          </w:tcPr>
          <w:p w:rsidR="00ED0A3F" w:rsidRPr="00644691" w:rsidRDefault="00ED0A3F" w:rsidP="008333E0">
            <w:pPr>
              <w:pStyle w:val="TableText"/>
              <w:jc w:val="center"/>
              <w:rPr>
                <w:b/>
              </w:rPr>
            </w:pPr>
            <w:r w:rsidRPr="00644691">
              <w:rPr>
                <w:b/>
              </w:rPr>
              <w:t>1.18 (1.11, 1.26)</w:t>
            </w:r>
          </w:p>
        </w:tc>
      </w:tr>
      <w:tr w:rsidR="001902B9" w:rsidRPr="00644691" w:rsidTr="001902B9">
        <w:tc>
          <w:tcPr>
            <w:tcW w:w="4673" w:type="dxa"/>
            <w:vAlign w:val="center"/>
          </w:tcPr>
          <w:p w:rsidR="001902B9" w:rsidRPr="00644691" w:rsidRDefault="001902B9" w:rsidP="00446FEF">
            <w:pPr>
              <w:pStyle w:val="TableText"/>
            </w:pPr>
            <w:r w:rsidRPr="00644691">
              <w:t>Composite of time to ≥50% sustained decline in eGFR, ESRD or renal death, n (%)</w:t>
            </w:r>
          </w:p>
        </w:tc>
        <w:tc>
          <w:tcPr>
            <w:tcW w:w="1418" w:type="dxa"/>
            <w:vAlign w:val="center"/>
          </w:tcPr>
          <w:p w:rsidR="001902B9" w:rsidRPr="00644691" w:rsidRDefault="001902B9" w:rsidP="001902B9">
            <w:pPr>
              <w:pStyle w:val="TableText"/>
              <w:keepNext w:val="0"/>
              <w:jc w:val="center"/>
            </w:pPr>
            <w:r w:rsidRPr="00644691">
              <w:t>28 (1.2)</w:t>
            </w:r>
          </w:p>
        </w:tc>
        <w:tc>
          <w:tcPr>
            <w:tcW w:w="1298" w:type="dxa"/>
            <w:vAlign w:val="center"/>
          </w:tcPr>
          <w:p w:rsidR="001902B9" w:rsidRPr="00644691" w:rsidRDefault="001902B9" w:rsidP="001902B9">
            <w:pPr>
              <w:pStyle w:val="TableText"/>
              <w:keepNext w:val="0"/>
              <w:jc w:val="center"/>
            </w:pPr>
            <w:r w:rsidRPr="00644691">
              <w:t>39 (1.6)</w:t>
            </w:r>
          </w:p>
        </w:tc>
        <w:tc>
          <w:tcPr>
            <w:tcW w:w="1628" w:type="dxa"/>
            <w:vAlign w:val="center"/>
          </w:tcPr>
          <w:p w:rsidR="001902B9" w:rsidRPr="00644691" w:rsidRDefault="001902B9" w:rsidP="001902B9">
            <w:pPr>
              <w:pStyle w:val="TableText"/>
              <w:jc w:val="center"/>
            </w:pPr>
            <w:r w:rsidRPr="00644691">
              <w:t>0.71 (0.44, 1.16)</w:t>
            </w:r>
          </w:p>
        </w:tc>
      </w:tr>
      <w:tr w:rsidR="001902B9" w:rsidRPr="00644691" w:rsidTr="008333E0">
        <w:tc>
          <w:tcPr>
            <w:tcW w:w="4673" w:type="dxa"/>
            <w:vAlign w:val="center"/>
          </w:tcPr>
          <w:p w:rsidR="001902B9" w:rsidRPr="00644691" w:rsidRDefault="001902B9" w:rsidP="00446FEF">
            <w:pPr>
              <w:pStyle w:val="TableText"/>
            </w:pPr>
            <w:r w:rsidRPr="00644691">
              <w:t>Time to death from any cause, n (%)</w:t>
            </w:r>
          </w:p>
        </w:tc>
        <w:tc>
          <w:tcPr>
            <w:tcW w:w="1418" w:type="dxa"/>
          </w:tcPr>
          <w:p w:rsidR="001902B9" w:rsidRPr="00644691" w:rsidRDefault="001902B9" w:rsidP="001902B9">
            <w:pPr>
              <w:pStyle w:val="TableText"/>
              <w:keepNext w:val="0"/>
              <w:jc w:val="center"/>
            </w:pPr>
            <w:r w:rsidRPr="00644691">
              <w:t>276 (11.6)</w:t>
            </w:r>
          </w:p>
        </w:tc>
        <w:tc>
          <w:tcPr>
            <w:tcW w:w="1298" w:type="dxa"/>
          </w:tcPr>
          <w:p w:rsidR="001902B9" w:rsidRPr="00644691" w:rsidRDefault="001902B9" w:rsidP="001902B9">
            <w:pPr>
              <w:pStyle w:val="TableText"/>
              <w:keepNext w:val="0"/>
              <w:jc w:val="center"/>
            </w:pPr>
            <w:r w:rsidRPr="00644691">
              <w:t>329 (13.9)</w:t>
            </w:r>
          </w:p>
        </w:tc>
        <w:tc>
          <w:tcPr>
            <w:tcW w:w="1628" w:type="dxa"/>
            <w:vAlign w:val="center"/>
          </w:tcPr>
          <w:p w:rsidR="001902B9" w:rsidRPr="00644691" w:rsidRDefault="001902B9" w:rsidP="001902B9">
            <w:pPr>
              <w:pStyle w:val="TableText"/>
              <w:jc w:val="center"/>
              <w:rPr>
                <w:vertAlign w:val="superscript"/>
              </w:rPr>
            </w:pPr>
            <w:r w:rsidRPr="00644691">
              <w:t>0.83 (0.71, 0.97)</w:t>
            </w:r>
          </w:p>
        </w:tc>
      </w:tr>
    </w:tbl>
    <w:p w:rsidR="00ED0A3F" w:rsidRPr="00644691" w:rsidRDefault="00ED0A3F" w:rsidP="00ED0A3F">
      <w:pPr>
        <w:pStyle w:val="TableFigureFooter"/>
      </w:pPr>
      <w:r w:rsidRPr="00644691">
        <w:t>Bolded result indicates statistically significant difference. The hierarchical testing sequence stopped prior to the outcome of time to death from any cause being assessed.</w:t>
      </w:r>
    </w:p>
    <w:p w:rsidR="00ED0A3F" w:rsidRPr="00644691" w:rsidRDefault="00ED0A3F" w:rsidP="00ED0A3F">
      <w:pPr>
        <w:pStyle w:val="TableFigureFooter"/>
        <w:rPr>
          <w:sz w:val="20"/>
        </w:rPr>
      </w:pPr>
      <w:r w:rsidRPr="00644691">
        <w:t>Source: Table 2.5-1, p.98 of the resubmission</w:t>
      </w:r>
      <w:r w:rsidR="001902B9" w:rsidRPr="00644691">
        <w:t>; Table 2, p</w:t>
      </w:r>
      <w:r w:rsidR="00C74F18" w:rsidRPr="00644691">
        <w:t>6 of McMurray et al. (2019).</w:t>
      </w:r>
    </w:p>
    <w:p w:rsidR="00ED0A3F" w:rsidRPr="00644691" w:rsidRDefault="00ED0A3F" w:rsidP="00ED0A3F">
      <w:pPr>
        <w:pStyle w:val="TableFigureFooter"/>
        <w:rPr>
          <w:rFonts w:eastAsia="Calibri"/>
        </w:rPr>
      </w:pPr>
      <w:r w:rsidRPr="00644691">
        <w:rPr>
          <w:rFonts w:eastAsia="Calibri"/>
        </w:rPr>
        <w:t>CI, confidence interval; HF, heart failure; KCCQ, Kansas City Cardiomyopathy Questionnaire; ESRD, end-stage renal disease; SD, standard deviation; SOC, standard care; TSS, total symptom score.</w:t>
      </w:r>
    </w:p>
    <w:p w:rsidR="00ED0A3F" w:rsidRPr="00644691" w:rsidRDefault="00ED0A3F" w:rsidP="00ED0A3F">
      <w:pPr>
        <w:pStyle w:val="TableFigureFooter"/>
        <w:rPr>
          <w:rFonts w:eastAsia="Calibri"/>
        </w:rPr>
      </w:pPr>
      <w:r w:rsidRPr="00644691">
        <w:rPr>
          <w:rFonts w:eastAsia="Calibri"/>
          <w:vertAlign w:val="superscript"/>
        </w:rPr>
        <w:t>1</w:t>
      </w:r>
      <w:r w:rsidRPr="00644691">
        <w:rPr>
          <w:rFonts w:eastAsia="Calibri"/>
        </w:rPr>
        <w:t xml:space="preserve"> Hazard ratio for time to event outcomes; rate ratio for composite of CV death or recurrent HF; win ratio for change in the KCCQ-TSS at 8</w:t>
      </w:r>
      <w:r w:rsidR="00FC6DBF" w:rsidRPr="00644691">
        <w:rPr>
          <w:rFonts w:eastAsia="Calibri"/>
        </w:rPr>
        <w:t> </w:t>
      </w:r>
      <w:r w:rsidRPr="00644691">
        <w:rPr>
          <w:rFonts w:eastAsia="Calibri"/>
        </w:rPr>
        <w:t>months.</w:t>
      </w:r>
    </w:p>
    <w:p w:rsidR="00ED0A3F" w:rsidRPr="00644691" w:rsidRDefault="00ED0A3F" w:rsidP="00ED0A3F">
      <w:pPr>
        <w:pStyle w:val="TableFigureFooter"/>
        <w:rPr>
          <w:rFonts w:eastAsia="Calibri"/>
        </w:rPr>
      </w:pPr>
      <w:r w:rsidRPr="00644691">
        <w:rPr>
          <w:rFonts w:eastAsia="Calibri"/>
          <w:vertAlign w:val="superscript"/>
        </w:rPr>
        <w:t>2</w:t>
      </w:r>
      <w:r w:rsidRPr="00644691">
        <w:rPr>
          <w:rFonts w:eastAsia="Calibri"/>
        </w:rPr>
        <w:t xml:space="preserve"> Scored on a scale from 0 to 100, with a higher score indicating fewer symptoms and a change of 5 or more points considered to be clinically meaningful.</w:t>
      </w:r>
    </w:p>
    <w:p w:rsidR="009D4D7E" w:rsidRPr="00644691" w:rsidRDefault="00F51D5A" w:rsidP="009D4D7E">
      <w:pPr>
        <w:pStyle w:val="ExecSumBodyText"/>
      </w:pPr>
      <w:r w:rsidRPr="00644691">
        <w:t>Based on the hierarchical testing sequence, t</w:t>
      </w:r>
      <w:r w:rsidR="009D4D7E" w:rsidRPr="00644691">
        <w:t>reatment with dapagliflozin was associated with a statistically significant improvement in the primary composite endpoint of time to cardiovascular death, hospitalisation for heart failure or urgent heart failure visit</w:t>
      </w:r>
      <w:r w:rsidR="00EC68BF" w:rsidRPr="00644691">
        <w:t>;</w:t>
      </w:r>
      <w:r w:rsidR="009D4D7E" w:rsidRPr="00644691">
        <w:t xml:space="preserve"> the composite of time to cardiovascular death or hospitalisation for heart failure</w:t>
      </w:r>
      <w:r w:rsidR="00EC68BF" w:rsidRPr="00644691">
        <w:t>;</w:t>
      </w:r>
      <w:r w:rsidR="009D4D7E" w:rsidRPr="00644691">
        <w:t xml:space="preserve"> the composite of cardiovascular death or recurrent heart failure hospitalisation</w:t>
      </w:r>
      <w:r w:rsidR="00EC68BF" w:rsidRPr="00644691">
        <w:t>;</w:t>
      </w:r>
      <w:r w:rsidR="009D4D7E" w:rsidRPr="00644691">
        <w:t xml:space="preserve"> and the change in the Kansas City Cardiomyopathy Questionnaire </w:t>
      </w:r>
      <w:r w:rsidR="005028DB" w:rsidRPr="00644691">
        <w:t>total symptom score</w:t>
      </w:r>
      <w:r w:rsidR="00606F78" w:rsidRPr="00644691">
        <w:t>, compared to placebo</w:t>
      </w:r>
      <w:r w:rsidR="009D4D7E" w:rsidRPr="00644691">
        <w:t>. There was no statistically significant difference in the composite of time to ≥50% sustained decline in eGFR, end-stage renal disease or renal death. The hierarchical testing sequence stopped prior to the outcome of time to death from any cause being assessed.</w:t>
      </w:r>
    </w:p>
    <w:p w:rsidR="0036587D" w:rsidRPr="00644691" w:rsidRDefault="009D4D7E" w:rsidP="00AC5858">
      <w:pPr>
        <w:pStyle w:val="ExecSumBodyText"/>
      </w:pPr>
      <w:r w:rsidRPr="00644691">
        <w:t xml:space="preserve">The benefit of dapagliflozin on the composite of </w:t>
      </w:r>
      <w:r w:rsidR="00A9268F" w:rsidRPr="00644691">
        <w:t>cardiovascular</w:t>
      </w:r>
      <w:r w:rsidRPr="00644691">
        <w:t xml:space="preserve"> death or </w:t>
      </w:r>
      <w:r w:rsidR="00A9268F" w:rsidRPr="00644691">
        <w:t>heart failure</w:t>
      </w:r>
      <w:r w:rsidRPr="00644691">
        <w:t xml:space="preserve"> events was generally consistent across pre-specified subgroups, including patients without </w:t>
      </w:r>
      <w:r w:rsidR="00C961A2" w:rsidRPr="00644691">
        <w:t>T2DM</w:t>
      </w:r>
      <w:r w:rsidRPr="00644691">
        <w:t xml:space="preserve">. However, subgroup analysis suggested that dapagliflozin may be less effective relative to placebo in patients </w:t>
      </w:r>
      <w:r w:rsidR="00A7255B" w:rsidRPr="00644691">
        <w:t xml:space="preserve">with </w:t>
      </w:r>
      <w:r w:rsidRPr="00644691">
        <w:t>NYHA Class III or IV heart failure.</w:t>
      </w:r>
      <w:r w:rsidR="00AC5858" w:rsidRPr="00644691">
        <w:t xml:space="preserve"> The ESC was of the view that initially after listing, the magnitude of benefit in the PBS population was likely to be less than that seen in the DAPA-HF as patients with more severe disease are treated with a newly accessible regimen. However, the ESC expected that over time, the PBS population </w:t>
      </w:r>
      <w:r w:rsidR="009511FF" w:rsidRPr="00644691">
        <w:t xml:space="preserve">would </w:t>
      </w:r>
      <w:r w:rsidR="00AC5858" w:rsidRPr="00644691">
        <w:t>more closely reflect the trial population in terms of disease severity defined by NYHA Class.</w:t>
      </w:r>
    </w:p>
    <w:p w:rsidR="00A9268F" w:rsidRPr="00644691" w:rsidRDefault="00F669B1" w:rsidP="007A3F9C">
      <w:pPr>
        <w:pStyle w:val="ExecSumBodyText"/>
      </w:pPr>
      <w:r w:rsidRPr="00644691">
        <w:lastRenderedPageBreak/>
        <w:t>The resubmission presented the results of indirect comparisons for dapagliflozin plus standard care versus empagliflozin plus standard care for the composite outcome of time to cardiovascular death or hospitalisation for heart failure, and the individual outcomes of time to hospitalisation for heart failure, time to cardiovascular death, and time to death from any cause.</w:t>
      </w:r>
      <w:r w:rsidR="00A9268F" w:rsidRPr="00644691">
        <w:t xml:space="preserve"> </w:t>
      </w:r>
      <w:r w:rsidR="0036587D" w:rsidRPr="00644691">
        <w:t>There were no statistically significant differences for any of the presented indirect comparisons.</w:t>
      </w:r>
      <w:r w:rsidR="00A17CD6" w:rsidRPr="00644691">
        <w:t xml:space="preserve"> </w:t>
      </w:r>
    </w:p>
    <w:p w:rsidR="002A268C" w:rsidRPr="00644691" w:rsidRDefault="0036587D" w:rsidP="002A268C">
      <w:pPr>
        <w:pStyle w:val="ExecSumBodyText"/>
      </w:pPr>
      <w:r w:rsidRPr="00644691">
        <w:t>The resubmission claimed that the results for each of the indirect treatment comparisons were consistent with non</w:t>
      </w:r>
      <w:r w:rsidR="00644691">
        <w:t>-</w:t>
      </w:r>
      <w:r w:rsidRPr="00644691">
        <w:t xml:space="preserve">inferiority between dapagliflozin plus standard care and empagliflozin plus standard care. </w:t>
      </w:r>
      <w:r w:rsidRPr="00644691">
        <w:rPr>
          <w:iCs/>
        </w:rPr>
        <w:t>However, the results of the indirect comparisons should be interpreted with caution due to differences between the DAPA-HF and EMPEROR-Reduced trial in inclusion criteria, patient characteristics, standard care treatments, and trial follow-up durations. Additionally, no non</w:t>
      </w:r>
      <w:r w:rsidR="00644691">
        <w:rPr>
          <w:iCs/>
        </w:rPr>
        <w:t>-</w:t>
      </w:r>
      <w:r w:rsidRPr="00644691">
        <w:rPr>
          <w:iCs/>
        </w:rPr>
        <w:t xml:space="preserve">inferiority margins were proposed in the current resubmission. </w:t>
      </w:r>
      <w:r w:rsidR="00182245" w:rsidRPr="00644691">
        <w:rPr>
          <w:snapToGrid/>
        </w:rPr>
        <w:t>The ESC considered the analysis had been a prudent inclusion in the submission as a potential near market comparator, but noted that it was not relevant for PBAC decision-making regarding dapagliflozin at the present time.</w:t>
      </w:r>
    </w:p>
    <w:p w:rsidR="00B60939" w:rsidRPr="00644691" w:rsidRDefault="00B60939" w:rsidP="00B97C79">
      <w:pPr>
        <w:pStyle w:val="3-SubsectionHeading"/>
      </w:pPr>
      <w:bookmarkStart w:id="27" w:name="_Toc22897642"/>
      <w:bookmarkStart w:id="28" w:name="_Toc72325058"/>
      <w:r w:rsidRPr="00644691">
        <w:t>Comparative harms</w:t>
      </w:r>
      <w:bookmarkEnd w:id="27"/>
      <w:bookmarkEnd w:id="28"/>
    </w:p>
    <w:p w:rsidR="00BB7A3D" w:rsidRPr="00644691" w:rsidRDefault="000C6AFA" w:rsidP="00BB7A3D">
      <w:pPr>
        <w:pStyle w:val="ExecSumBodyText"/>
      </w:pPr>
      <w:r w:rsidRPr="00644691">
        <w:t xml:space="preserve">Table </w:t>
      </w:r>
      <w:r>
        <w:rPr>
          <w:noProof/>
        </w:rPr>
        <w:t>6</w:t>
      </w:r>
      <w:r w:rsidR="00204FA3" w:rsidRPr="00644691">
        <w:t xml:space="preserve"> </w:t>
      </w:r>
      <w:r w:rsidR="00B63580" w:rsidRPr="00644691">
        <w:t>summarises the results of safety outcomes for the DAPA-HF trial.</w:t>
      </w:r>
      <w:r w:rsidR="00204FA3" w:rsidRPr="00644691">
        <w:t xml:space="preserve"> These were unchanged from the previous submission.</w:t>
      </w:r>
    </w:p>
    <w:p w:rsidR="00BB7A3D" w:rsidRPr="00644691" w:rsidRDefault="00BB7A3D" w:rsidP="00446FEF">
      <w:pPr>
        <w:pStyle w:val="TableFigureCaption"/>
      </w:pPr>
      <w:bookmarkStart w:id="29" w:name="_Ref69832669"/>
      <w:r w:rsidRPr="00644691">
        <w:lastRenderedPageBreak/>
        <w:t xml:space="preserve">Table </w:t>
      </w:r>
      <w:r w:rsidR="000C6AFA">
        <w:rPr>
          <w:noProof/>
        </w:rPr>
        <w:t>6</w:t>
      </w:r>
      <w:bookmarkEnd w:id="29"/>
      <w:r w:rsidRPr="00644691">
        <w:t>: Summary of key adverse events in the DAPA-HF trial (on</w:t>
      </w:r>
      <w:r w:rsidR="00DE2332" w:rsidRPr="00644691">
        <w:t>-</w:t>
      </w:r>
      <w:r w:rsidRPr="00644691">
        <w:t>treatment period)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597"/>
        <w:gridCol w:w="2597"/>
      </w:tblGrid>
      <w:tr w:rsidR="000B11D8" w:rsidRPr="00644691" w:rsidTr="00097D0F">
        <w:trPr>
          <w:tblHeader/>
        </w:trPr>
        <w:tc>
          <w:tcPr>
            <w:tcW w:w="2120" w:type="pct"/>
            <w:vAlign w:val="center"/>
          </w:tcPr>
          <w:p w:rsidR="000B11D8" w:rsidRPr="00644691" w:rsidRDefault="000B11D8" w:rsidP="008333E0">
            <w:pPr>
              <w:pStyle w:val="Tableheadingrow"/>
              <w:rPr>
                <w:lang w:val="en-AU"/>
              </w:rPr>
            </w:pPr>
            <w:r w:rsidRPr="00644691">
              <w:rPr>
                <w:lang w:val="en-AU"/>
              </w:rPr>
              <w:t>AE category</w:t>
            </w:r>
          </w:p>
        </w:tc>
        <w:tc>
          <w:tcPr>
            <w:tcW w:w="1440" w:type="pct"/>
          </w:tcPr>
          <w:p w:rsidR="000B11D8" w:rsidRPr="00644691" w:rsidRDefault="000B11D8" w:rsidP="008333E0">
            <w:pPr>
              <w:pStyle w:val="Tableheadingrow"/>
              <w:jc w:val="center"/>
              <w:rPr>
                <w:lang w:val="en-AU"/>
              </w:rPr>
            </w:pPr>
            <w:r w:rsidRPr="00644691">
              <w:rPr>
                <w:lang w:val="en-AU"/>
              </w:rPr>
              <w:t>Dapagliflozin</w:t>
            </w:r>
            <w:r w:rsidR="00097D0F" w:rsidRPr="00644691">
              <w:rPr>
                <w:lang w:val="en-AU"/>
              </w:rPr>
              <w:t xml:space="preserve"> </w:t>
            </w:r>
            <w:r w:rsidRPr="00644691">
              <w:rPr>
                <w:lang w:val="en-AU"/>
              </w:rPr>
              <w:t>+ SOC</w:t>
            </w:r>
          </w:p>
          <w:p w:rsidR="000B11D8" w:rsidRPr="00644691" w:rsidRDefault="000B11D8" w:rsidP="008333E0">
            <w:pPr>
              <w:pStyle w:val="Tableheadingrow"/>
              <w:jc w:val="center"/>
              <w:rPr>
                <w:lang w:val="en-AU"/>
              </w:rPr>
            </w:pPr>
            <w:r w:rsidRPr="00644691">
              <w:rPr>
                <w:lang w:val="en-AU"/>
              </w:rPr>
              <w:t>(N=2368)</w:t>
            </w:r>
          </w:p>
        </w:tc>
        <w:tc>
          <w:tcPr>
            <w:tcW w:w="1440" w:type="pct"/>
          </w:tcPr>
          <w:p w:rsidR="000B11D8" w:rsidRPr="00644691" w:rsidRDefault="000B11D8" w:rsidP="008333E0">
            <w:pPr>
              <w:pStyle w:val="Tableheadingrow"/>
              <w:jc w:val="center"/>
              <w:rPr>
                <w:lang w:val="en-AU"/>
              </w:rPr>
            </w:pPr>
            <w:r w:rsidRPr="00644691">
              <w:rPr>
                <w:lang w:val="en-AU"/>
              </w:rPr>
              <w:t>Placebo</w:t>
            </w:r>
            <w:r w:rsidR="00097D0F" w:rsidRPr="00644691">
              <w:rPr>
                <w:lang w:val="en-AU"/>
              </w:rPr>
              <w:t xml:space="preserve"> </w:t>
            </w:r>
            <w:r w:rsidRPr="00644691">
              <w:rPr>
                <w:lang w:val="en-AU"/>
              </w:rPr>
              <w:t>+ SOC</w:t>
            </w:r>
          </w:p>
          <w:p w:rsidR="000B11D8" w:rsidRPr="00644691" w:rsidRDefault="000B11D8" w:rsidP="008333E0">
            <w:pPr>
              <w:pStyle w:val="Tableheadingrow"/>
              <w:jc w:val="center"/>
              <w:rPr>
                <w:lang w:val="en-AU"/>
              </w:rPr>
            </w:pPr>
            <w:r w:rsidRPr="00644691">
              <w:rPr>
                <w:lang w:val="en-AU"/>
              </w:rPr>
              <w:t>(N=2368)</w:t>
            </w:r>
          </w:p>
        </w:tc>
      </w:tr>
      <w:tr w:rsidR="000B11D8" w:rsidRPr="00644691" w:rsidTr="00097D0F">
        <w:tc>
          <w:tcPr>
            <w:tcW w:w="2120" w:type="pct"/>
            <w:vAlign w:val="center"/>
          </w:tcPr>
          <w:p w:rsidR="000B11D8" w:rsidRPr="00644691" w:rsidRDefault="000B11D8" w:rsidP="008333E0">
            <w:pPr>
              <w:pStyle w:val="TableText"/>
            </w:pPr>
            <w:r w:rsidRPr="00644691">
              <w:t>Median duration of follow-up, months (range)</w:t>
            </w:r>
          </w:p>
        </w:tc>
        <w:tc>
          <w:tcPr>
            <w:tcW w:w="1440" w:type="pct"/>
          </w:tcPr>
          <w:p w:rsidR="000B11D8" w:rsidRPr="00644691" w:rsidRDefault="000B11D8" w:rsidP="008333E0">
            <w:pPr>
              <w:pStyle w:val="TableText"/>
              <w:jc w:val="center"/>
            </w:pPr>
            <w:r w:rsidRPr="00644691">
              <w:t>18.3 (0.0-27.3)</w:t>
            </w:r>
          </w:p>
        </w:tc>
        <w:tc>
          <w:tcPr>
            <w:tcW w:w="1440" w:type="pct"/>
          </w:tcPr>
          <w:p w:rsidR="000B11D8" w:rsidRPr="00644691" w:rsidRDefault="000B11D8" w:rsidP="008333E0">
            <w:pPr>
              <w:pStyle w:val="TableText"/>
              <w:jc w:val="center"/>
            </w:pPr>
            <w:r w:rsidRPr="00644691">
              <w:t>18.2 (0.2-27.8)</w:t>
            </w:r>
          </w:p>
        </w:tc>
      </w:tr>
      <w:tr w:rsidR="000B11D8" w:rsidRPr="00644691" w:rsidTr="00097D0F">
        <w:tc>
          <w:tcPr>
            <w:tcW w:w="2120" w:type="pct"/>
          </w:tcPr>
          <w:p w:rsidR="000B11D8" w:rsidRPr="00644691" w:rsidRDefault="000B11D8" w:rsidP="008333E0">
            <w:pPr>
              <w:pStyle w:val="TableText"/>
            </w:pPr>
            <w:r w:rsidRPr="00644691">
              <w:t>AE leading to death, n (%)</w:t>
            </w:r>
          </w:p>
        </w:tc>
        <w:tc>
          <w:tcPr>
            <w:tcW w:w="1440" w:type="pct"/>
          </w:tcPr>
          <w:p w:rsidR="000B11D8" w:rsidRPr="00644691" w:rsidRDefault="000B11D8" w:rsidP="008333E0">
            <w:pPr>
              <w:pStyle w:val="TableText"/>
              <w:jc w:val="center"/>
            </w:pPr>
            <w:r w:rsidRPr="00644691">
              <w:t>227 (9.6)</w:t>
            </w:r>
          </w:p>
        </w:tc>
        <w:tc>
          <w:tcPr>
            <w:tcW w:w="1440" w:type="pct"/>
          </w:tcPr>
          <w:p w:rsidR="000B11D8" w:rsidRPr="00644691" w:rsidRDefault="000B11D8" w:rsidP="008333E0">
            <w:pPr>
              <w:pStyle w:val="TableText"/>
              <w:jc w:val="center"/>
            </w:pPr>
            <w:r w:rsidRPr="00644691">
              <w:t>250 (10.6)</w:t>
            </w:r>
          </w:p>
        </w:tc>
      </w:tr>
      <w:tr w:rsidR="000B11D8" w:rsidRPr="00644691" w:rsidTr="00097D0F">
        <w:tc>
          <w:tcPr>
            <w:tcW w:w="2120" w:type="pct"/>
          </w:tcPr>
          <w:p w:rsidR="000B11D8" w:rsidRPr="00644691" w:rsidRDefault="000B11D8" w:rsidP="008333E0">
            <w:pPr>
              <w:pStyle w:val="TableText"/>
            </w:pPr>
            <w:r w:rsidRPr="00644691">
              <w:t>AE leading to dose interruption, n (%)</w:t>
            </w:r>
          </w:p>
        </w:tc>
        <w:tc>
          <w:tcPr>
            <w:tcW w:w="1440" w:type="pct"/>
          </w:tcPr>
          <w:p w:rsidR="000B11D8" w:rsidRPr="00644691" w:rsidRDefault="000B11D8" w:rsidP="008333E0">
            <w:pPr>
              <w:pStyle w:val="TableText"/>
              <w:jc w:val="center"/>
            </w:pPr>
            <w:r w:rsidRPr="00644691">
              <w:t>284 (12.0)</w:t>
            </w:r>
          </w:p>
        </w:tc>
        <w:tc>
          <w:tcPr>
            <w:tcW w:w="1440" w:type="pct"/>
          </w:tcPr>
          <w:p w:rsidR="000B11D8" w:rsidRPr="00644691" w:rsidRDefault="000B11D8" w:rsidP="008333E0">
            <w:pPr>
              <w:pStyle w:val="TableText"/>
              <w:jc w:val="center"/>
            </w:pPr>
            <w:r w:rsidRPr="00644691">
              <w:t>349 (14.7)</w:t>
            </w:r>
          </w:p>
        </w:tc>
      </w:tr>
      <w:tr w:rsidR="000B11D8" w:rsidRPr="00644691" w:rsidTr="00097D0F">
        <w:tc>
          <w:tcPr>
            <w:tcW w:w="2120" w:type="pct"/>
          </w:tcPr>
          <w:p w:rsidR="000B11D8" w:rsidRPr="00644691" w:rsidRDefault="000B11D8" w:rsidP="008333E0">
            <w:pPr>
              <w:pStyle w:val="TableText"/>
            </w:pPr>
            <w:r w:rsidRPr="00644691">
              <w:t>AE leading to dose reduction, n (%)</w:t>
            </w:r>
          </w:p>
        </w:tc>
        <w:tc>
          <w:tcPr>
            <w:tcW w:w="1440" w:type="pct"/>
          </w:tcPr>
          <w:p w:rsidR="000B11D8" w:rsidRPr="00644691" w:rsidRDefault="000B11D8" w:rsidP="008333E0">
            <w:pPr>
              <w:pStyle w:val="TableText"/>
              <w:jc w:val="center"/>
            </w:pPr>
            <w:r w:rsidRPr="00644691">
              <w:t>43 (1.8)</w:t>
            </w:r>
          </w:p>
        </w:tc>
        <w:tc>
          <w:tcPr>
            <w:tcW w:w="1440" w:type="pct"/>
          </w:tcPr>
          <w:p w:rsidR="000B11D8" w:rsidRPr="00644691" w:rsidRDefault="000B11D8" w:rsidP="008333E0">
            <w:pPr>
              <w:pStyle w:val="TableText"/>
              <w:jc w:val="center"/>
            </w:pPr>
            <w:r w:rsidRPr="00644691">
              <w:t>25 (1.1)</w:t>
            </w:r>
          </w:p>
        </w:tc>
      </w:tr>
      <w:tr w:rsidR="000B11D8" w:rsidRPr="00644691" w:rsidTr="00097D0F">
        <w:tc>
          <w:tcPr>
            <w:tcW w:w="2120" w:type="pct"/>
          </w:tcPr>
          <w:p w:rsidR="000B11D8" w:rsidRPr="00644691" w:rsidRDefault="000B11D8" w:rsidP="008333E0">
            <w:pPr>
              <w:pStyle w:val="TableText"/>
            </w:pPr>
            <w:r w:rsidRPr="00644691">
              <w:t>AE leading to discontinuation, n (%)</w:t>
            </w:r>
          </w:p>
        </w:tc>
        <w:tc>
          <w:tcPr>
            <w:tcW w:w="1440" w:type="pct"/>
          </w:tcPr>
          <w:p w:rsidR="000B11D8" w:rsidRPr="00644691" w:rsidRDefault="000B11D8" w:rsidP="008333E0">
            <w:pPr>
              <w:pStyle w:val="TableText"/>
              <w:jc w:val="center"/>
            </w:pPr>
            <w:r w:rsidRPr="00644691">
              <w:t>111 (4.7)</w:t>
            </w:r>
          </w:p>
        </w:tc>
        <w:tc>
          <w:tcPr>
            <w:tcW w:w="1440" w:type="pct"/>
          </w:tcPr>
          <w:p w:rsidR="000B11D8" w:rsidRPr="00644691" w:rsidRDefault="000B11D8" w:rsidP="008333E0">
            <w:pPr>
              <w:pStyle w:val="TableText"/>
              <w:jc w:val="center"/>
            </w:pPr>
            <w:r w:rsidRPr="00644691">
              <w:t>116 (4.9)</w:t>
            </w:r>
          </w:p>
        </w:tc>
      </w:tr>
      <w:tr w:rsidR="000B11D8" w:rsidRPr="00644691" w:rsidTr="00097D0F">
        <w:tc>
          <w:tcPr>
            <w:tcW w:w="2120" w:type="pct"/>
          </w:tcPr>
          <w:p w:rsidR="000B11D8" w:rsidRPr="00644691" w:rsidRDefault="000B11D8" w:rsidP="008333E0">
            <w:pPr>
              <w:pStyle w:val="TableText"/>
            </w:pPr>
            <w:r w:rsidRPr="00644691">
              <w:t>Serious AE, n (%)</w:t>
            </w:r>
          </w:p>
        </w:tc>
        <w:tc>
          <w:tcPr>
            <w:tcW w:w="1440" w:type="pct"/>
          </w:tcPr>
          <w:p w:rsidR="000B11D8" w:rsidRPr="00644691" w:rsidRDefault="000B11D8" w:rsidP="008333E0">
            <w:pPr>
              <w:pStyle w:val="TableText"/>
              <w:jc w:val="center"/>
            </w:pPr>
            <w:r w:rsidRPr="00644691">
              <w:t>846 (35.7)</w:t>
            </w:r>
          </w:p>
        </w:tc>
        <w:tc>
          <w:tcPr>
            <w:tcW w:w="1440" w:type="pct"/>
          </w:tcPr>
          <w:p w:rsidR="000B11D8" w:rsidRPr="00644691" w:rsidRDefault="000B11D8" w:rsidP="008333E0">
            <w:pPr>
              <w:pStyle w:val="TableText"/>
              <w:jc w:val="center"/>
            </w:pPr>
            <w:r w:rsidRPr="00644691">
              <w:t>951 (40.2)</w:t>
            </w:r>
          </w:p>
        </w:tc>
      </w:tr>
      <w:tr w:rsidR="000B11D8" w:rsidRPr="00644691" w:rsidTr="00097D0F">
        <w:trPr>
          <w:trHeight w:val="1616"/>
        </w:trPr>
        <w:tc>
          <w:tcPr>
            <w:tcW w:w="2120" w:type="pct"/>
          </w:tcPr>
          <w:p w:rsidR="000B11D8" w:rsidRPr="00644691" w:rsidRDefault="000B11D8" w:rsidP="008333E0">
            <w:pPr>
              <w:pStyle w:val="TableText"/>
            </w:pPr>
            <w:r w:rsidRPr="00644691">
              <w:t>Serious AE in &gt;1%, n (%)</w:t>
            </w:r>
          </w:p>
          <w:p w:rsidR="000B11D8" w:rsidRPr="00644691" w:rsidRDefault="000B11D8" w:rsidP="008333E0">
            <w:pPr>
              <w:pStyle w:val="TableText"/>
              <w:ind w:left="-65"/>
            </w:pPr>
            <w:r w:rsidRPr="00644691">
              <w:t>- Cardiac failure</w:t>
            </w:r>
          </w:p>
          <w:p w:rsidR="000B11D8" w:rsidRPr="00644691" w:rsidRDefault="000B11D8" w:rsidP="008333E0">
            <w:pPr>
              <w:pStyle w:val="TableText"/>
              <w:ind w:left="-65"/>
            </w:pPr>
            <w:r w:rsidRPr="00644691">
              <w:t>- Pneumonia</w:t>
            </w:r>
          </w:p>
          <w:p w:rsidR="000B11D8" w:rsidRPr="00644691" w:rsidRDefault="000B11D8" w:rsidP="008333E0">
            <w:pPr>
              <w:pStyle w:val="TableText"/>
              <w:ind w:left="-65"/>
            </w:pPr>
            <w:r w:rsidRPr="00644691">
              <w:t>- Cardiac failure: congestive</w:t>
            </w:r>
          </w:p>
          <w:p w:rsidR="000B11D8" w:rsidRPr="00644691" w:rsidRDefault="000B11D8" w:rsidP="008333E0">
            <w:pPr>
              <w:pStyle w:val="TableText"/>
              <w:ind w:left="-65"/>
            </w:pPr>
            <w:r w:rsidRPr="00644691">
              <w:t>- Cardiac failure: acute</w:t>
            </w:r>
          </w:p>
          <w:p w:rsidR="000B11D8" w:rsidRPr="00644691" w:rsidRDefault="000B11D8" w:rsidP="008333E0">
            <w:pPr>
              <w:pStyle w:val="TableText"/>
              <w:ind w:left="-65"/>
            </w:pPr>
            <w:r w:rsidRPr="00644691">
              <w:t>- Death</w:t>
            </w:r>
          </w:p>
          <w:p w:rsidR="000B11D8" w:rsidRPr="00644691" w:rsidRDefault="000B11D8" w:rsidP="008333E0">
            <w:pPr>
              <w:pStyle w:val="TableText"/>
              <w:ind w:left="-65"/>
            </w:pPr>
            <w:r w:rsidRPr="00644691">
              <w:t>- Acute myocardial infarction</w:t>
            </w:r>
          </w:p>
          <w:p w:rsidR="000B11D8" w:rsidRPr="00644691" w:rsidRDefault="000B11D8" w:rsidP="008333E0">
            <w:pPr>
              <w:pStyle w:val="TableText"/>
              <w:ind w:left="-65"/>
            </w:pPr>
            <w:r w:rsidRPr="00644691">
              <w:t>- Ventricular tachycardia</w:t>
            </w:r>
          </w:p>
          <w:p w:rsidR="000B11D8" w:rsidRPr="00644691" w:rsidRDefault="000B11D8" w:rsidP="008333E0">
            <w:pPr>
              <w:pStyle w:val="TableText"/>
              <w:ind w:left="-65"/>
            </w:pPr>
            <w:r w:rsidRPr="00644691">
              <w:t>- Cardiac failure chronic</w:t>
            </w:r>
          </w:p>
          <w:p w:rsidR="000B11D8" w:rsidRPr="00644691" w:rsidRDefault="000B11D8" w:rsidP="008333E0">
            <w:pPr>
              <w:pStyle w:val="TableText"/>
              <w:ind w:left="-65"/>
            </w:pPr>
            <w:r w:rsidRPr="00644691">
              <w:t>- Ischaemic stroke</w:t>
            </w:r>
          </w:p>
          <w:p w:rsidR="000B11D8" w:rsidRPr="00644691" w:rsidRDefault="000B11D8" w:rsidP="008333E0">
            <w:pPr>
              <w:pStyle w:val="TableText"/>
              <w:ind w:left="-65"/>
            </w:pPr>
            <w:r w:rsidRPr="00644691">
              <w:t>- Atrial fibrillation</w:t>
            </w:r>
          </w:p>
          <w:p w:rsidR="000B11D8" w:rsidRPr="00644691" w:rsidRDefault="000B11D8" w:rsidP="008333E0">
            <w:pPr>
              <w:pStyle w:val="TableText"/>
              <w:ind w:left="-65"/>
            </w:pPr>
            <w:r w:rsidRPr="00644691">
              <w:t>- Angina unstable</w:t>
            </w:r>
          </w:p>
          <w:p w:rsidR="000B11D8" w:rsidRPr="00644691" w:rsidRDefault="000B11D8" w:rsidP="008333E0">
            <w:pPr>
              <w:pStyle w:val="TableText"/>
              <w:ind w:left="-65"/>
            </w:pPr>
            <w:r w:rsidRPr="00644691">
              <w:t>- Acute kidney injury</w:t>
            </w:r>
          </w:p>
          <w:p w:rsidR="000B11D8" w:rsidRPr="00644691" w:rsidRDefault="000B11D8" w:rsidP="008333E0">
            <w:pPr>
              <w:pStyle w:val="TableText"/>
              <w:ind w:left="-65"/>
            </w:pPr>
            <w:r w:rsidRPr="00644691">
              <w:t>- Sudden cardiac death</w:t>
            </w:r>
          </w:p>
        </w:tc>
        <w:tc>
          <w:tcPr>
            <w:tcW w:w="1440" w:type="pct"/>
          </w:tcPr>
          <w:p w:rsidR="000B11D8" w:rsidRPr="00644691" w:rsidRDefault="000B11D8" w:rsidP="008333E0">
            <w:pPr>
              <w:pStyle w:val="TableText"/>
              <w:jc w:val="center"/>
            </w:pPr>
          </w:p>
          <w:p w:rsidR="000B11D8" w:rsidRPr="00644691" w:rsidRDefault="000B11D8" w:rsidP="008333E0">
            <w:pPr>
              <w:pStyle w:val="TableText"/>
              <w:jc w:val="center"/>
            </w:pPr>
            <w:r w:rsidRPr="00644691">
              <w:t xml:space="preserve">238 (10.1) </w:t>
            </w:r>
          </w:p>
          <w:p w:rsidR="000B11D8" w:rsidRPr="00644691" w:rsidRDefault="000B11D8" w:rsidP="008333E0">
            <w:pPr>
              <w:pStyle w:val="TableText"/>
              <w:jc w:val="center"/>
            </w:pPr>
            <w:r w:rsidRPr="00644691">
              <w:t xml:space="preserve">70 (3.0) </w:t>
            </w:r>
          </w:p>
          <w:p w:rsidR="000B11D8" w:rsidRPr="00644691" w:rsidRDefault="000B11D8" w:rsidP="008333E0">
            <w:pPr>
              <w:pStyle w:val="TableText"/>
              <w:jc w:val="center"/>
            </w:pPr>
            <w:r w:rsidRPr="00644691">
              <w:t xml:space="preserve">57 (2.4) </w:t>
            </w:r>
          </w:p>
          <w:p w:rsidR="000B11D8" w:rsidRPr="00644691" w:rsidRDefault="000B11D8" w:rsidP="008333E0">
            <w:pPr>
              <w:pStyle w:val="TableText"/>
              <w:jc w:val="center"/>
            </w:pPr>
            <w:r w:rsidRPr="00644691">
              <w:t xml:space="preserve">36 (1.5) </w:t>
            </w:r>
          </w:p>
          <w:p w:rsidR="000B11D8" w:rsidRPr="00644691" w:rsidRDefault="000B11D8" w:rsidP="008333E0">
            <w:pPr>
              <w:pStyle w:val="TableText"/>
              <w:jc w:val="center"/>
            </w:pPr>
            <w:r w:rsidRPr="00644691">
              <w:t xml:space="preserve">33 (1.4) </w:t>
            </w:r>
          </w:p>
          <w:p w:rsidR="000B11D8" w:rsidRPr="00644691" w:rsidRDefault="000B11D8" w:rsidP="008333E0">
            <w:pPr>
              <w:pStyle w:val="TableText"/>
              <w:jc w:val="center"/>
            </w:pPr>
            <w:r w:rsidRPr="00644691">
              <w:t xml:space="preserve">32 (1.4) </w:t>
            </w:r>
          </w:p>
          <w:p w:rsidR="000B11D8" w:rsidRPr="00644691" w:rsidRDefault="000B11D8" w:rsidP="008333E0">
            <w:pPr>
              <w:pStyle w:val="TableText"/>
              <w:jc w:val="center"/>
            </w:pPr>
            <w:r w:rsidRPr="00644691">
              <w:t xml:space="preserve">32 (1.4) </w:t>
            </w:r>
          </w:p>
          <w:p w:rsidR="000B11D8" w:rsidRPr="00644691" w:rsidRDefault="000B11D8" w:rsidP="008333E0">
            <w:pPr>
              <w:pStyle w:val="TableText"/>
              <w:jc w:val="center"/>
            </w:pPr>
            <w:r w:rsidRPr="00644691">
              <w:t xml:space="preserve">24 (1.0) </w:t>
            </w:r>
          </w:p>
          <w:p w:rsidR="000B11D8" w:rsidRPr="00644691" w:rsidRDefault="000B11D8" w:rsidP="008333E0">
            <w:pPr>
              <w:pStyle w:val="TableText"/>
              <w:jc w:val="center"/>
            </w:pPr>
            <w:r w:rsidRPr="00644691">
              <w:t xml:space="preserve">24 (1.0) </w:t>
            </w:r>
          </w:p>
          <w:p w:rsidR="000B11D8" w:rsidRPr="00644691" w:rsidRDefault="000B11D8" w:rsidP="008333E0">
            <w:pPr>
              <w:pStyle w:val="TableText"/>
              <w:jc w:val="center"/>
            </w:pPr>
            <w:r w:rsidRPr="00644691">
              <w:t xml:space="preserve">23 (1.0) </w:t>
            </w:r>
          </w:p>
          <w:p w:rsidR="000B11D8" w:rsidRPr="00644691" w:rsidRDefault="000B11D8" w:rsidP="008333E0">
            <w:pPr>
              <w:pStyle w:val="TableText"/>
              <w:jc w:val="center"/>
            </w:pPr>
            <w:r w:rsidRPr="00644691">
              <w:t xml:space="preserve">21 (0.9) </w:t>
            </w:r>
          </w:p>
          <w:p w:rsidR="000B11D8" w:rsidRPr="00644691" w:rsidRDefault="000B11D8" w:rsidP="008333E0">
            <w:pPr>
              <w:pStyle w:val="TableText"/>
              <w:jc w:val="center"/>
            </w:pPr>
            <w:r w:rsidRPr="00644691">
              <w:t xml:space="preserve">20 (0.8) </w:t>
            </w:r>
          </w:p>
          <w:p w:rsidR="000B11D8" w:rsidRPr="00644691" w:rsidRDefault="000B11D8" w:rsidP="008333E0">
            <w:pPr>
              <w:pStyle w:val="TableText"/>
              <w:jc w:val="center"/>
            </w:pPr>
            <w:r w:rsidRPr="00644691">
              <w:t xml:space="preserve">17 (0.7) </w:t>
            </w:r>
          </w:p>
        </w:tc>
        <w:tc>
          <w:tcPr>
            <w:tcW w:w="1440" w:type="pct"/>
          </w:tcPr>
          <w:p w:rsidR="000B11D8" w:rsidRPr="00644691" w:rsidRDefault="000B11D8" w:rsidP="008333E0">
            <w:pPr>
              <w:pStyle w:val="TableText"/>
              <w:jc w:val="center"/>
            </w:pPr>
          </w:p>
          <w:p w:rsidR="000B11D8" w:rsidRPr="00644691" w:rsidRDefault="000B11D8" w:rsidP="008333E0">
            <w:pPr>
              <w:pStyle w:val="TableText"/>
              <w:jc w:val="center"/>
            </w:pPr>
            <w:r w:rsidRPr="00644691">
              <w:t xml:space="preserve">325 (13.7) </w:t>
            </w:r>
          </w:p>
          <w:p w:rsidR="000B11D8" w:rsidRPr="00644691" w:rsidRDefault="000B11D8" w:rsidP="008333E0">
            <w:pPr>
              <w:pStyle w:val="TableText"/>
              <w:jc w:val="center"/>
            </w:pPr>
            <w:r w:rsidRPr="00644691">
              <w:t>73 (3.1)</w:t>
            </w:r>
          </w:p>
          <w:p w:rsidR="000B11D8" w:rsidRPr="00644691" w:rsidRDefault="000B11D8" w:rsidP="008333E0">
            <w:pPr>
              <w:pStyle w:val="TableText"/>
              <w:jc w:val="center"/>
            </w:pPr>
            <w:r w:rsidRPr="00644691">
              <w:t>65 (2.7)</w:t>
            </w:r>
          </w:p>
          <w:p w:rsidR="000B11D8" w:rsidRPr="00644691" w:rsidRDefault="000B11D8" w:rsidP="008333E0">
            <w:pPr>
              <w:pStyle w:val="TableText"/>
              <w:jc w:val="center"/>
            </w:pPr>
            <w:r w:rsidRPr="00644691">
              <w:t>51 (2.2)</w:t>
            </w:r>
          </w:p>
          <w:p w:rsidR="000B11D8" w:rsidRPr="00644691" w:rsidRDefault="000B11D8" w:rsidP="008333E0">
            <w:pPr>
              <w:pStyle w:val="TableText"/>
              <w:jc w:val="center"/>
            </w:pPr>
            <w:r w:rsidRPr="00644691">
              <w:t>38 (1.6)</w:t>
            </w:r>
          </w:p>
          <w:p w:rsidR="000B11D8" w:rsidRPr="00644691" w:rsidRDefault="000B11D8" w:rsidP="008333E0">
            <w:pPr>
              <w:pStyle w:val="TableText"/>
              <w:jc w:val="center"/>
            </w:pPr>
            <w:r w:rsidRPr="00644691">
              <w:t>32 (1.4)</w:t>
            </w:r>
          </w:p>
          <w:p w:rsidR="000B11D8" w:rsidRPr="00644691" w:rsidRDefault="000B11D8" w:rsidP="008333E0">
            <w:pPr>
              <w:pStyle w:val="TableText"/>
              <w:jc w:val="center"/>
            </w:pPr>
            <w:r w:rsidRPr="00644691">
              <w:t>53 (2.2)</w:t>
            </w:r>
          </w:p>
          <w:p w:rsidR="000B11D8" w:rsidRPr="00644691" w:rsidRDefault="000B11D8" w:rsidP="008333E0">
            <w:pPr>
              <w:pStyle w:val="TableText"/>
              <w:jc w:val="center"/>
            </w:pPr>
            <w:r w:rsidRPr="00644691">
              <w:t>26 (1.1)</w:t>
            </w:r>
          </w:p>
          <w:p w:rsidR="000B11D8" w:rsidRPr="00644691" w:rsidRDefault="000B11D8" w:rsidP="008333E0">
            <w:pPr>
              <w:pStyle w:val="TableText"/>
              <w:jc w:val="center"/>
            </w:pPr>
            <w:r w:rsidRPr="00644691">
              <w:t>24 (1.0)</w:t>
            </w:r>
          </w:p>
          <w:p w:rsidR="000B11D8" w:rsidRPr="00644691" w:rsidRDefault="000B11D8" w:rsidP="008333E0">
            <w:pPr>
              <w:pStyle w:val="TableText"/>
              <w:jc w:val="center"/>
            </w:pPr>
            <w:r w:rsidRPr="00644691">
              <w:t>37 (1.6)</w:t>
            </w:r>
          </w:p>
          <w:p w:rsidR="000B11D8" w:rsidRPr="00644691" w:rsidRDefault="000B11D8" w:rsidP="008333E0">
            <w:pPr>
              <w:pStyle w:val="TableText"/>
              <w:jc w:val="center"/>
            </w:pPr>
            <w:r w:rsidRPr="00644691">
              <w:t>29 (1.2)</w:t>
            </w:r>
          </w:p>
          <w:p w:rsidR="000B11D8" w:rsidRPr="00644691" w:rsidRDefault="000B11D8" w:rsidP="008333E0">
            <w:pPr>
              <w:pStyle w:val="TableText"/>
              <w:jc w:val="center"/>
            </w:pPr>
            <w:r w:rsidRPr="00644691">
              <w:t>41 (1.7)</w:t>
            </w:r>
          </w:p>
          <w:p w:rsidR="000B11D8" w:rsidRPr="00644691" w:rsidRDefault="000B11D8" w:rsidP="008333E0">
            <w:pPr>
              <w:pStyle w:val="TableText"/>
              <w:jc w:val="center"/>
            </w:pPr>
            <w:r w:rsidRPr="00644691">
              <w:t>27 (1.1)</w:t>
            </w:r>
          </w:p>
        </w:tc>
      </w:tr>
      <w:tr w:rsidR="000B11D8" w:rsidRPr="00644691" w:rsidTr="00097D0F">
        <w:trPr>
          <w:trHeight w:val="1616"/>
        </w:trPr>
        <w:tc>
          <w:tcPr>
            <w:tcW w:w="2120" w:type="pct"/>
            <w:tcBorders>
              <w:top w:val="single" w:sz="4" w:space="0" w:color="auto"/>
              <w:left w:val="single" w:sz="4" w:space="0" w:color="auto"/>
              <w:bottom w:val="single" w:sz="4" w:space="0" w:color="auto"/>
              <w:right w:val="single" w:sz="4" w:space="0" w:color="auto"/>
            </w:tcBorders>
          </w:tcPr>
          <w:p w:rsidR="000B11D8" w:rsidRPr="00644691" w:rsidRDefault="000B11D8" w:rsidP="008333E0">
            <w:pPr>
              <w:pStyle w:val="TableText"/>
            </w:pPr>
            <w:r w:rsidRPr="00644691">
              <w:t>Adverse event of special interest, n (%)</w:t>
            </w:r>
          </w:p>
          <w:p w:rsidR="000B11D8" w:rsidRPr="00644691" w:rsidRDefault="000B11D8" w:rsidP="008333E0">
            <w:pPr>
              <w:pStyle w:val="TableText"/>
            </w:pPr>
            <w:r w:rsidRPr="00644691">
              <w:t>- Definite or probable diabetic ketoacidosis</w:t>
            </w:r>
            <w:r w:rsidRPr="00644691">
              <w:rPr>
                <w:vertAlign w:val="superscript"/>
              </w:rPr>
              <w:t>1</w:t>
            </w:r>
          </w:p>
          <w:p w:rsidR="000B11D8" w:rsidRPr="00644691" w:rsidRDefault="000B11D8" w:rsidP="008333E0">
            <w:pPr>
              <w:pStyle w:val="TableText"/>
            </w:pPr>
            <w:r w:rsidRPr="00644691">
              <w:t>- Major hypoglycaemic event</w:t>
            </w:r>
            <w:r w:rsidRPr="00644691">
              <w:rPr>
                <w:vertAlign w:val="superscript"/>
              </w:rPr>
              <w:t>2</w:t>
            </w:r>
          </w:p>
          <w:p w:rsidR="000B11D8" w:rsidRPr="00644691" w:rsidRDefault="000B11D8" w:rsidP="008333E0">
            <w:pPr>
              <w:pStyle w:val="TableText"/>
            </w:pPr>
            <w:r w:rsidRPr="00644691">
              <w:t>- AE suggestive of volume depletion</w:t>
            </w:r>
          </w:p>
          <w:p w:rsidR="000B11D8" w:rsidRPr="00644691" w:rsidRDefault="000B11D8" w:rsidP="008333E0">
            <w:pPr>
              <w:pStyle w:val="TableText"/>
            </w:pPr>
            <w:r w:rsidRPr="00644691">
              <w:t>- Fracture</w:t>
            </w:r>
          </w:p>
          <w:p w:rsidR="000B11D8" w:rsidRPr="00644691" w:rsidRDefault="000B11D8" w:rsidP="008333E0">
            <w:pPr>
              <w:pStyle w:val="TableText"/>
            </w:pPr>
            <w:r w:rsidRPr="00644691">
              <w:t>- Renal AE</w:t>
            </w:r>
            <w:r w:rsidRPr="00644691">
              <w:rPr>
                <w:vertAlign w:val="superscript"/>
              </w:rPr>
              <w:t>3</w:t>
            </w:r>
          </w:p>
          <w:p w:rsidR="000B11D8" w:rsidRPr="00644691" w:rsidRDefault="000B11D8" w:rsidP="008333E0">
            <w:pPr>
              <w:pStyle w:val="TableText"/>
            </w:pPr>
            <w:r w:rsidRPr="00644691">
              <w:t>- Amputation</w:t>
            </w:r>
            <w:r w:rsidRPr="00644691">
              <w:rPr>
                <w:vertAlign w:val="superscript"/>
              </w:rPr>
              <w:t>4</w:t>
            </w:r>
          </w:p>
        </w:tc>
        <w:tc>
          <w:tcPr>
            <w:tcW w:w="1440" w:type="pct"/>
            <w:tcBorders>
              <w:top w:val="single" w:sz="4" w:space="0" w:color="auto"/>
              <w:left w:val="single" w:sz="4" w:space="0" w:color="auto"/>
              <w:bottom w:val="single" w:sz="4" w:space="0" w:color="auto"/>
              <w:right w:val="single" w:sz="4" w:space="0" w:color="auto"/>
            </w:tcBorders>
          </w:tcPr>
          <w:p w:rsidR="000B11D8" w:rsidRPr="00644691" w:rsidRDefault="000B11D8" w:rsidP="008333E0">
            <w:pPr>
              <w:pStyle w:val="TableText"/>
              <w:jc w:val="center"/>
            </w:pPr>
          </w:p>
          <w:p w:rsidR="000B11D8" w:rsidRPr="00644691" w:rsidRDefault="000B11D8" w:rsidP="008333E0">
            <w:pPr>
              <w:pStyle w:val="TableText"/>
              <w:jc w:val="center"/>
            </w:pPr>
            <w:r w:rsidRPr="00644691">
              <w:t>3 (0.1)</w:t>
            </w:r>
          </w:p>
          <w:p w:rsidR="000B11D8" w:rsidRPr="00644691" w:rsidRDefault="000B11D8" w:rsidP="008333E0">
            <w:pPr>
              <w:pStyle w:val="TableText"/>
              <w:jc w:val="center"/>
            </w:pPr>
            <w:r w:rsidRPr="00644691">
              <w:t>4 (0.2)</w:t>
            </w:r>
          </w:p>
          <w:p w:rsidR="000B11D8" w:rsidRPr="00644691" w:rsidRDefault="000B11D8" w:rsidP="008333E0">
            <w:pPr>
              <w:pStyle w:val="TableText"/>
              <w:jc w:val="center"/>
            </w:pPr>
            <w:r w:rsidRPr="00644691">
              <w:t>170 (7.2)</w:t>
            </w:r>
          </w:p>
          <w:p w:rsidR="000B11D8" w:rsidRPr="00644691" w:rsidRDefault="000B11D8" w:rsidP="008333E0">
            <w:pPr>
              <w:pStyle w:val="TableText"/>
              <w:jc w:val="center"/>
            </w:pPr>
            <w:r w:rsidRPr="00644691">
              <w:t>48 (2.0)</w:t>
            </w:r>
          </w:p>
          <w:p w:rsidR="000B11D8" w:rsidRPr="00644691" w:rsidRDefault="000B11D8" w:rsidP="008333E0">
            <w:pPr>
              <w:pStyle w:val="TableText"/>
              <w:jc w:val="center"/>
            </w:pPr>
            <w:r w:rsidRPr="00644691">
              <w:t>141 (6.0)</w:t>
            </w:r>
          </w:p>
          <w:p w:rsidR="000B11D8" w:rsidRPr="00644691" w:rsidRDefault="000B11D8" w:rsidP="008333E0">
            <w:pPr>
              <w:pStyle w:val="TableText"/>
              <w:jc w:val="center"/>
            </w:pPr>
            <w:r w:rsidRPr="00644691">
              <w:t>11 (0.5)</w:t>
            </w:r>
          </w:p>
        </w:tc>
        <w:tc>
          <w:tcPr>
            <w:tcW w:w="1440" w:type="pct"/>
            <w:tcBorders>
              <w:top w:val="single" w:sz="4" w:space="0" w:color="auto"/>
              <w:left w:val="single" w:sz="4" w:space="0" w:color="auto"/>
              <w:bottom w:val="single" w:sz="4" w:space="0" w:color="auto"/>
              <w:right w:val="single" w:sz="4" w:space="0" w:color="auto"/>
            </w:tcBorders>
          </w:tcPr>
          <w:p w:rsidR="000B11D8" w:rsidRPr="00644691" w:rsidRDefault="000B11D8" w:rsidP="008333E0">
            <w:pPr>
              <w:pStyle w:val="TableText"/>
              <w:jc w:val="center"/>
            </w:pPr>
          </w:p>
          <w:p w:rsidR="000B11D8" w:rsidRPr="00644691" w:rsidRDefault="000B11D8" w:rsidP="008333E0">
            <w:pPr>
              <w:pStyle w:val="TableText"/>
              <w:jc w:val="center"/>
            </w:pPr>
            <w:r w:rsidRPr="00644691">
              <w:t>0</w:t>
            </w:r>
          </w:p>
          <w:p w:rsidR="000B11D8" w:rsidRPr="00644691" w:rsidRDefault="000B11D8" w:rsidP="008333E0">
            <w:pPr>
              <w:pStyle w:val="TableText"/>
              <w:jc w:val="center"/>
            </w:pPr>
            <w:r w:rsidRPr="00644691">
              <w:t>4 (0.2)</w:t>
            </w:r>
          </w:p>
          <w:p w:rsidR="000B11D8" w:rsidRPr="00644691" w:rsidRDefault="000B11D8" w:rsidP="008333E0">
            <w:pPr>
              <w:pStyle w:val="TableText"/>
              <w:jc w:val="center"/>
            </w:pPr>
            <w:r w:rsidRPr="00644691">
              <w:t>153 (6.5)</w:t>
            </w:r>
          </w:p>
          <w:p w:rsidR="000B11D8" w:rsidRPr="00644691" w:rsidRDefault="000B11D8" w:rsidP="008333E0">
            <w:pPr>
              <w:pStyle w:val="TableText"/>
              <w:jc w:val="center"/>
            </w:pPr>
            <w:r w:rsidRPr="00644691">
              <w:t>47 (2.0)</w:t>
            </w:r>
          </w:p>
          <w:p w:rsidR="000B11D8" w:rsidRPr="00644691" w:rsidRDefault="000B11D8" w:rsidP="008333E0">
            <w:pPr>
              <w:pStyle w:val="TableText"/>
              <w:jc w:val="center"/>
            </w:pPr>
            <w:r w:rsidRPr="00644691">
              <w:t>158 (6.7)</w:t>
            </w:r>
          </w:p>
          <w:p w:rsidR="000B11D8" w:rsidRPr="00644691" w:rsidRDefault="000B11D8" w:rsidP="008333E0">
            <w:pPr>
              <w:pStyle w:val="TableText"/>
              <w:jc w:val="center"/>
            </w:pPr>
            <w:r w:rsidRPr="00644691">
              <w:t>11 (0.5)</w:t>
            </w:r>
          </w:p>
        </w:tc>
      </w:tr>
    </w:tbl>
    <w:p w:rsidR="000B11D8" w:rsidRPr="00644691" w:rsidRDefault="000B11D8" w:rsidP="000B11D8">
      <w:pPr>
        <w:pStyle w:val="TableFigureFooter"/>
      </w:pPr>
      <w:r w:rsidRPr="00644691">
        <w:t>Source: Table 2.5-7, p110; Table 2.5-8, pp111-112 of the resubmission.</w:t>
      </w:r>
    </w:p>
    <w:p w:rsidR="000B11D8" w:rsidRPr="00644691" w:rsidRDefault="000B11D8" w:rsidP="000B11D8">
      <w:pPr>
        <w:pStyle w:val="TableFigureFooter"/>
      </w:pPr>
      <w:r w:rsidRPr="00644691">
        <w:t xml:space="preserve">AE, adverse event; SOC, standard </w:t>
      </w:r>
      <w:r w:rsidR="005E480D" w:rsidRPr="00644691">
        <w:t xml:space="preserve">of </w:t>
      </w:r>
      <w:r w:rsidRPr="00644691">
        <w:t>care.</w:t>
      </w:r>
    </w:p>
    <w:p w:rsidR="000B11D8" w:rsidRPr="00644691" w:rsidRDefault="000B11D8" w:rsidP="000B11D8">
      <w:pPr>
        <w:pStyle w:val="TableFigureFooter"/>
        <w:rPr>
          <w:rFonts w:eastAsia="Calibri"/>
        </w:rPr>
      </w:pPr>
      <w:r w:rsidRPr="00644691">
        <w:rPr>
          <w:rFonts w:eastAsia="Calibri"/>
          <w:vertAlign w:val="superscript"/>
        </w:rPr>
        <w:t>1</w:t>
      </w:r>
      <w:r w:rsidRPr="00644691">
        <w:rPr>
          <w:rFonts w:eastAsia="Calibri"/>
        </w:rPr>
        <w:t xml:space="preserve"> Events adjudicated as definite or probable diabetic ketoacidosis.</w:t>
      </w:r>
    </w:p>
    <w:p w:rsidR="000B11D8" w:rsidRPr="00644691" w:rsidRDefault="000B11D8" w:rsidP="000B11D8">
      <w:pPr>
        <w:pStyle w:val="TableFigureFooter"/>
        <w:rPr>
          <w:rFonts w:eastAsia="Calibri"/>
        </w:rPr>
      </w:pPr>
      <w:r w:rsidRPr="00644691">
        <w:rPr>
          <w:rFonts w:eastAsia="Calibri"/>
          <w:vertAlign w:val="superscript"/>
        </w:rPr>
        <w:t>2</w:t>
      </w:r>
      <w:r w:rsidRPr="00644691">
        <w:rPr>
          <w:rFonts w:eastAsia="Calibri"/>
        </w:rPr>
        <w:t xml:space="preserve"> AE with the following criteria confirmed by the investigator: i) </w:t>
      </w:r>
      <w:r w:rsidR="009511FF" w:rsidRPr="00644691">
        <w:rPr>
          <w:rFonts w:eastAsia="Calibri"/>
        </w:rPr>
        <w:t>s</w:t>
      </w:r>
      <w:r w:rsidRPr="00644691">
        <w:rPr>
          <w:rFonts w:eastAsia="Calibri"/>
        </w:rPr>
        <w:t>ymptoms of severe impairment in consciousness or behaviour</w:t>
      </w:r>
      <w:r w:rsidR="00B3326C" w:rsidRPr="00644691">
        <w:rPr>
          <w:rFonts w:eastAsia="Calibri"/>
        </w:rPr>
        <w:t>;</w:t>
      </w:r>
      <w:r w:rsidRPr="00644691">
        <w:rPr>
          <w:rFonts w:eastAsia="Calibri"/>
        </w:rPr>
        <w:t xml:space="preserve"> ii) need of external assistance</w:t>
      </w:r>
      <w:r w:rsidR="00B3326C" w:rsidRPr="00644691">
        <w:rPr>
          <w:rFonts w:eastAsia="Calibri"/>
        </w:rPr>
        <w:t>;</w:t>
      </w:r>
      <w:r w:rsidRPr="00644691">
        <w:rPr>
          <w:rFonts w:eastAsia="Calibri"/>
        </w:rPr>
        <w:t xml:space="preserve"> iii) intervention to treat hypoglycaemia</w:t>
      </w:r>
      <w:r w:rsidR="00B3326C" w:rsidRPr="00644691">
        <w:rPr>
          <w:rFonts w:eastAsia="Calibri"/>
        </w:rPr>
        <w:t>;</w:t>
      </w:r>
      <w:r w:rsidRPr="00644691">
        <w:rPr>
          <w:rFonts w:eastAsia="Calibri"/>
        </w:rPr>
        <w:t xml:space="preserve"> iv) prompt recovery of acute symptoms following the intervention. </w:t>
      </w:r>
    </w:p>
    <w:p w:rsidR="000B11D8" w:rsidRPr="00644691" w:rsidRDefault="000B11D8" w:rsidP="000B11D8">
      <w:pPr>
        <w:pStyle w:val="TableFigureFooter"/>
        <w:rPr>
          <w:rFonts w:eastAsia="Calibri"/>
        </w:rPr>
      </w:pPr>
      <w:r w:rsidRPr="00644691">
        <w:rPr>
          <w:rFonts w:eastAsia="Calibri"/>
          <w:vertAlign w:val="superscript"/>
        </w:rPr>
        <w:t>3</w:t>
      </w:r>
      <w:r w:rsidRPr="00644691">
        <w:rPr>
          <w:rFonts w:eastAsia="Calibri"/>
        </w:rPr>
        <w:t xml:space="preserve"> Based on pre-defined list of preferred terms.</w:t>
      </w:r>
    </w:p>
    <w:p w:rsidR="000B11D8" w:rsidRPr="00644691" w:rsidRDefault="000B11D8" w:rsidP="000B11D8">
      <w:pPr>
        <w:pStyle w:val="TableFigureFooter"/>
        <w:rPr>
          <w:rFonts w:eastAsia="Calibri"/>
        </w:rPr>
      </w:pPr>
      <w:r w:rsidRPr="00644691">
        <w:rPr>
          <w:rFonts w:eastAsia="Calibri"/>
          <w:vertAlign w:val="superscript"/>
        </w:rPr>
        <w:t>4</w:t>
      </w:r>
      <w:r w:rsidRPr="00644691">
        <w:rPr>
          <w:rFonts w:eastAsia="Calibri"/>
        </w:rPr>
        <w:t xml:space="preserve"> Surgical or spontaneous/non-surgical amputation, excluding amputation due to trauma.</w:t>
      </w:r>
    </w:p>
    <w:p w:rsidR="00BB7A3D" w:rsidRPr="00644691" w:rsidRDefault="00BB7A3D" w:rsidP="00BB7A3D">
      <w:pPr>
        <w:pStyle w:val="ExecSumBodyText"/>
      </w:pPr>
      <w:r w:rsidRPr="00644691">
        <w:t>Adverse events leading to discontinuation, and adverse events leading to death were similar between the dapagliflozin and placebo arms. Serious adverse events were numerically higher in the placebo arm compared to the dapagliflozin arm. The most common serious adverse events across both treatment arms were cardiac failure, pneumonia, and cardiac failure: congestive. The difference in serious adverse events between treatment arms appeared to be driven by heart failure-related adverse events (cardiac failure, cardiac failure: congestive, cardiac failure: acute).</w:t>
      </w:r>
    </w:p>
    <w:p w:rsidR="00EB51DC" w:rsidRPr="00644691" w:rsidRDefault="00BB7A3D" w:rsidP="007E6336">
      <w:pPr>
        <w:pStyle w:val="ExecSumBodyText"/>
        <w:numPr>
          <w:ilvl w:val="1"/>
          <w:numId w:val="1"/>
        </w:numPr>
      </w:pPr>
      <w:r w:rsidRPr="00644691">
        <w:rPr>
          <w:rFonts w:cs="Calibri"/>
        </w:rPr>
        <w:t xml:space="preserve">Rates of adverse events of special interest, including major hypoglycaemic events, were generally similar between treatment arms, although adverse events suggestive of volume depletion were numerically higher in the dapagliflozin arm (7.2% versus 6.5%). </w:t>
      </w:r>
      <w:r w:rsidRPr="00644691">
        <w:t>Results for treatment</w:t>
      </w:r>
      <w:r w:rsidR="00097D0F" w:rsidRPr="00644691">
        <w:t>-</w:t>
      </w:r>
      <w:r w:rsidRPr="00644691">
        <w:t>emergent adverse events and adverse events based on treatment grades</w:t>
      </w:r>
      <w:r w:rsidRPr="00644691">
        <w:rPr>
          <w:rFonts w:cs="Calibri"/>
        </w:rPr>
        <w:t xml:space="preserve"> were not included as outcomes for the DAPA-HF trial, and therefore no comparison across these outcomes could be made.</w:t>
      </w:r>
      <w:r w:rsidR="00EB51DC" w:rsidRPr="00644691">
        <w:rPr>
          <w:lang w:eastAsia="zh-CN"/>
        </w:rPr>
        <w:t xml:space="preserve"> </w:t>
      </w:r>
    </w:p>
    <w:p w:rsidR="007F1017" w:rsidRPr="00644691" w:rsidRDefault="007F1017" w:rsidP="00D86231">
      <w:pPr>
        <w:pStyle w:val="3-SubsectionHeading"/>
      </w:pPr>
      <w:bookmarkStart w:id="30" w:name="_Toc22897643"/>
      <w:bookmarkStart w:id="31" w:name="_Toc72325059"/>
      <w:r w:rsidRPr="00644691">
        <w:lastRenderedPageBreak/>
        <w:t>Benefits/harms</w:t>
      </w:r>
      <w:bookmarkEnd w:id="30"/>
      <w:bookmarkEnd w:id="31"/>
    </w:p>
    <w:p w:rsidR="00B046E8" w:rsidRPr="00644691" w:rsidRDefault="00B046E8" w:rsidP="00B046E8">
      <w:pPr>
        <w:pStyle w:val="ExecSumBodyText"/>
        <w:rPr>
          <w:snapToGrid/>
        </w:rPr>
      </w:pPr>
      <w:r w:rsidRPr="00644691">
        <w:rPr>
          <w:snapToGrid/>
        </w:rPr>
        <w:t xml:space="preserve">On the basis of the direct evidence presented in the </w:t>
      </w:r>
      <w:r w:rsidR="0019522A" w:rsidRPr="00644691">
        <w:rPr>
          <w:snapToGrid/>
        </w:rPr>
        <w:t>re</w:t>
      </w:r>
      <w:r w:rsidRPr="00644691">
        <w:rPr>
          <w:snapToGrid/>
        </w:rPr>
        <w:t xml:space="preserve">submission, for every 100 patients treated with dapagliflozin </w:t>
      </w:r>
      <w:r w:rsidR="000F2F3F" w:rsidRPr="00644691">
        <w:rPr>
          <w:snapToGrid/>
        </w:rPr>
        <w:t>plus</w:t>
      </w:r>
      <w:r w:rsidRPr="00644691">
        <w:rPr>
          <w:snapToGrid/>
        </w:rPr>
        <w:t xml:space="preserve"> standard care in comparison with placebo </w:t>
      </w:r>
      <w:r w:rsidR="000F2F3F" w:rsidRPr="00644691">
        <w:rPr>
          <w:snapToGrid/>
        </w:rPr>
        <w:t>plus</w:t>
      </w:r>
      <w:r w:rsidRPr="00644691">
        <w:rPr>
          <w:snapToGrid/>
        </w:rPr>
        <w:t xml:space="preserve"> standard care for a median of 18 months:</w:t>
      </w:r>
    </w:p>
    <w:p w:rsidR="00B046E8" w:rsidRPr="00644691" w:rsidRDefault="00B046E8" w:rsidP="00B046E8">
      <w:pPr>
        <w:pStyle w:val="ListBullet"/>
        <w:spacing w:after="120"/>
        <w:ind w:left="998" w:hanging="221"/>
        <w:contextualSpacing w:val="0"/>
      </w:pPr>
      <w:r w:rsidRPr="00644691">
        <w:t>Approximately 5 fewer patients would die due to cardiovascular causes, be hospitalised for heart failure, or require an urgent heart failure visit</w:t>
      </w:r>
      <w:r w:rsidR="000E555B">
        <w:t xml:space="preserve"> </w:t>
      </w:r>
      <w:r w:rsidR="000E555B" w:rsidRPr="00DF1698">
        <w:t>resulting in intravenous therapy for</w:t>
      </w:r>
      <w:r w:rsidR="000E555B">
        <w:t xml:space="preserve"> </w:t>
      </w:r>
      <w:r w:rsidR="000E555B" w:rsidRPr="00DF1698">
        <w:t>heart failure</w:t>
      </w:r>
      <w:r w:rsidRPr="00644691">
        <w:t>. The difference was predominantly due to fewer heart failure hospitalisations.</w:t>
      </w:r>
    </w:p>
    <w:p w:rsidR="00B046E8" w:rsidRPr="00644691" w:rsidRDefault="00B046E8" w:rsidP="00B046E8">
      <w:pPr>
        <w:pStyle w:val="ListBullet"/>
        <w:spacing w:after="120"/>
        <w:ind w:left="998" w:hanging="221"/>
      </w:pPr>
      <w:r w:rsidRPr="00644691">
        <w:t>Approximately 5 fewer patients would experience a serious adverse event.</w:t>
      </w:r>
    </w:p>
    <w:p w:rsidR="00B60939" w:rsidRPr="00644691" w:rsidRDefault="00B60939" w:rsidP="00E9094A">
      <w:pPr>
        <w:pStyle w:val="3-SubsectionHeading"/>
      </w:pPr>
      <w:bookmarkStart w:id="32" w:name="_Toc22897644"/>
      <w:bookmarkStart w:id="33" w:name="_Toc72325060"/>
      <w:r w:rsidRPr="00644691">
        <w:t>Clinical claim</w:t>
      </w:r>
      <w:bookmarkEnd w:id="32"/>
      <w:bookmarkEnd w:id="33"/>
    </w:p>
    <w:p w:rsidR="00DA629F" w:rsidRPr="00644691" w:rsidRDefault="00DA629F" w:rsidP="00DA629F">
      <w:pPr>
        <w:pStyle w:val="ExecSumBodyText"/>
      </w:pPr>
      <w:r w:rsidRPr="00644691">
        <w:t xml:space="preserve">The resubmission described dapagliflozin plus standard care as superior in terms of </w:t>
      </w:r>
      <w:r w:rsidR="000F2F3F" w:rsidRPr="00644691">
        <w:t>comparat</w:t>
      </w:r>
      <w:r w:rsidR="007A5F2F" w:rsidRPr="00644691">
        <w:t xml:space="preserve">ive </w:t>
      </w:r>
      <w:r w:rsidRPr="00644691">
        <w:t>effectiveness, and non</w:t>
      </w:r>
      <w:r w:rsidR="00644691">
        <w:t>-</w:t>
      </w:r>
      <w:r w:rsidRPr="00644691">
        <w:t xml:space="preserve">inferior in terms of safety, compared with standard care alone. </w:t>
      </w:r>
    </w:p>
    <w:p w:rsidR="00DA629F" w:rsidRPr="00644691" w:rsidRDefault="00DA629F" w:rsidP="00DA629F">
      <w:pPr>
        <w:pStyle w:val="ExecSumBodyText"/>
      </w:pPr>
      <w:r w:rsidRPr="00644691">
        <w:rPr>
          <w:iCs/>
        </w:rPr>
        <w:t>The PBAC previously considered that it was reasonable to claim superior comparative effectiveness of dapagliflozin added to standard care (comprising an ACE inhibitor, ARB, or sacubitril/valsartan; a beta-blocker; and, if appropriate, an MRA), compared to standard care alone (comprising an ACE inhibitor, ARB or sacubitril/valsartan; a beta-blocker; and, if appropriate, an MRA). The PBAC considered that the submission’s claim of non</w:t>
      </w:r>
      <w:r w:rsidR="00644691">
        <w:rPr>
          <w:iCs/>
        </w:rPr>
        <w:t>-</w:t>
      </w:r>
      <w:r w:rsidRPr="00644691">
        <w:rPr>
          <w:iCs/>
        </w:rPr>
        <w:t>inferior safety was probably reasonable, although predominantly due to fewer heart failure events in the dapagliflozin arm, due to its superior efficacy over standard care (</w:t>
      </w:r>
      <w:r w:rsidR="001A74BF" w:rsidRPr="00644691">
        <w:rPr>
          <w:iCs/>
        </w:rPr>
        <w:t>paragraph</w:t>
      </w:r>
      <w:r w:rsidRPr="00644691">
        <w:rPr>
          <w:iCs/>
        </w:rPr>
        <w:t xml:space="preserve"> 6.47, dapagliflozin, </w:t>
      </w:r>
      <w:r w:rsidR="00C5400D" w:rsidRPr="00644691">
        <w:rPr>
          <w:iCs/>
        </w:rPr>
        <w:t>PSD</w:t>
      </w:r>
      <w:r w:rsidRPr="00644691">
        <w:rPr>
          <w:iCs/>
        </w:rPr>
        <w:t xml:space="preserve">, November 2020 PBAC meeting). </w:t>
      </w:r>
      <w:r w:rsidR="002A3F62" w:rsidRPr="00644691">
        <w:rPr>
          <w:iCs/>
        </w:rPr>
        <w:t>In July 2021, t</w:t>
      </w:r>
      <w:r w:rsidR="00B3326C" w:rsidRPr="00644691">
        <w:rPr>
          <w:iCs/>
        </w:rPr>
        <w:t>he PBAC reaffirmed these views regarding the clinical claims made in the resubmission.</w:t>
      </w:r>
    </w:p>
    <w:p w:rsidR="00DA629F" w:rsidRPr="00644691" w:rsidRDefault="00DA629F" w:rsidP="00DA629F">
      <w:pPr>
        <w:pStyle w:val="ExecSumBodyText"/>
      </w:pPr>
      <w:r w:rsidRPr="00644691">
        <w:t>The resubmission described dapagliflozin plus standard care as non</w:t>
      </w:r>
      <w:r w:rsidR="00644691">
        <w:t>-</w:t>
      </w:r>
      <w:r w:rsidRPr="00644691">
        <w:t>inferior in terms of effectiveness</w:t>
      </w:r>
      <w:r w:rsidR="00D03F98">
        <w:rPr>
          <w:rStyle w:val="FootnoteReference"/>
        </w:rPr>
        <w:footnoteReference w:id="1"/>
      </w:r>
      <w:r w:rsidRPr="00644691">
        <w:t xml:space="preserve"> compared to empagliflozin plus standard care. The resubmission claimed that differences in adverse event data collected between the DAPA-HF trial and the EMPEROR-Reduced trial, and differences in the durations of follow-up between the trials, meant that no robust conclusion regarding comparative safety for dapagliflozin plus standard care and empagliflozin plus standard care could be made.</w:t>
      </w:r>
    </w:p>
    <w:p w:rsidR="00B60939" w:rsidRPr="00644691" w:rsidRDefault="00B60939" w:rsidP="00E9094A">
      <w:pPr>
        <w:pStyle w:val="3-SubsectionHeading"/>
      </w:pPr>
      <w:bookmarkStart w:id="34" w:name="_Toc22897645"/>
      <w:bookmarkStart w:id="35" w:name="_Toc72325061"/>
      <w:r w:rsidRPr="00644691">
        <w:t>Economic analysis</w:t>
      </w:r>
      <w:bookmarkEnd w:id="34"/>
      <w:bookmarkEnd w:id="35"/>
      <w:r w:rsidR="00491B3A" w:rsidRPr="00644691">
        <w:t xml:space="preserve"> </w:t>
      </w:r>
    </w:p>
    <w:p w:rsidR="00BC3710" w:rsidRPr="00644691" w:rsidRDefault="0028029D" w:rsidP="00BC3710">
      <w:pPr>
        <w:pStyle w:val="ExecSumBodyText"/>
        <w:rPr>
          <w:b/>
          <w:bCs/>
        </w:rPr>
      </w:pPr>
      <w:r w:rsidRPr="00644691">
        <w:t>The resubmission presented a modelled economic evaluation of dapagliflozin plus standard care versus standard care alone, in patients with HFrEF.</w:t>
      </w:r>
      <w:r w:rsidR="00347279" w:rsidRPr="00644691">
        <w:rPr>
          <w:iCs/>
        </w:rPr>
        <w:t xml:space="preserve"> </w:t>
      </w:r>
      <w:r w:rsidRPr="00644691">
        <w:t>The economic analysis was based on the results of the DAPA-HF trial, with additional modelled data. The type of economic evaluation presented was a cost-utility analysis.</w:t>
      </w:r>
    </w:p>
    <w:p w:rsidR="00BC3710" w:rsidRPr="00644691" w:rsidRDefault="00BC3710" w:rsidP="00446FEF">
      <w:pPr>
        <w:pStyle w:val="TableFigureCaption"/>
      </w:pPr>
      <w:r w:rsidRPr="00644691">
        <w:lastRenderedPageBreak/>
        <w:t xml:space="preserve">Table </w:t>
      </w:r>
      <w:r w:rsidR="000C6AFA">
        <w:rPr>
          <w:noProof/>
        </w:rPr>
        <w:t>7</w:t>
      </w:r>
      <w:r w:rsidRPr="00644691">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60"/>
        <w:gridCol w:w="7057"/>
      </w:tblGrid>
      <w:tr w:rsidR="00BC3710" w:rsidRPr="00644691" w:rsidTr="00446FEF">
        <w:trPr>
          <w:cantSplit/>
        </w:trPr>
        <w:tc>
          <w:tcPr>
            <w:tcW w:w="1087" w:type="pct"/>
            <w:vAlign w:val="center"/>
          </w:tcPr>
          <w:p w:rsidR="00BC3710" w:rsidRPr="00644691" w:rsidRDefault="00BC3710" w:rsidP="00446FEF">
            <w:pPr>
              <w:pStyle w:val="Tableheadingrow"/>
              <w:rPr>
                <w:lang w:val="en-AU"/>
              </w:rPr>
            </w:pPr>
            <w:r w:rsidRPr="00644691">
              <w:rPr>
                <w:lang w:val="en-AU"/>
              </w:rPr>
              <w:t>Component</w:t>
            </w:r>
          </w:p>
        </w:tc>
        <w:tc>
          <w:tcPr>
            <w:tcW w:w="3913" w:type="pct"/>
          </w:tcPr>
          <w:p w:rsidR="00BC3710" w:rsidRPr="00644691" w:rsidRDefault="00BC3710" w:rsidP="008333E0">
            <w:pPr>
              <w:pStyle w:val="Tableheadingrow"/>
              <w:jc w:val="center"/>
              <w:rPr>
                <w:lang w:val="en-AU"/>
              </w:rPr>
            </w:pPr>
            <w:r w:rsidRPr="00644691">
              <w:rPr>
                <w:lang w:val="en-AU"/>
              </w:rPr>
              <w:t>Description</w:t>
            </w:r>
          </w:p>
        </w:tc>
      </w:tr>
      <w:tr w:rsidR="00BC3710" w:rsidRPr="00644691" w:rsidTr="00446FEF">
        <w:trPr>
          <w:cantSplit/>
        </w:trPr>
        <w:tc>
          <w:tcPr>
            <w:tcW w:w="1087" w:type="pct"/>
            <w:vAlign w:val="center"/>
          </w:tcPr>
          <w:p w:rsidR="00BC3710" w:rsidRPr="00644691" w:rsidRDefault="00BC3710" w:rsidP="00446FEF">
            <w:pPr>
              <w:pStyle w:val="TableText"/>
            </w:pPr>
            <w:r w:rsidRPr="00644691">
              <w:t>Type of analysis</w:t>
            </w:r>
          </w:p>
        </w:tc>
        <w:tc>
          <w:tcPr>
            <w:tcW w:w="3913" w:type="pct"/>
          </w:tcPr>
          <w:p w:rsidR="00BC3710" w:rsidRPr="00644691" w:rsidRDefault="00BC3710" w:rsidP="008333E0">
            <w:pPr>
              <w:pStyle w:val="TableText"/>
            </w:pPr>
            <w:r w:rsidRPr="00644691">
              <w:t>Cost-utility analysis</w:t>
            </w:r>
          </w:p>
        </w:tc>
      </w:tr>
      <w:tr w:rsidR="00BC3710" w:rsidRPr="00644691" w:rsidTr="00446FEF">
        <w:trPr>
          <w:cantSplit/>
        </w:trPr>
        <w:tc>
          <w:tcPr>
            <w:tcW w:w="1087" w:type="pct"/>
            <w:vAlign w:val="center"/>
          </w:tcPr>
          <w:p w:rsidR="00BC3710" w:rsidRPr="00644691" w:rsidRDefault="00BC3710" w:rsidP="00446FEF">
            <w:pPr>
              <w:pStyle w:val="TableText"/>
            </w:pPr>
            <w:r w:rsidRPr="00644691">
              <w:t>Outcomes</w:t>
            </w:r>
          </w:p>
        </w:tc>
        <w:tc>
          <w:tcPr>
            <w:tcW w:w="3913" w:type="pct"/>
          </w:tcPr>
          <w:p w:rsidR="00BC3710" w:rsidRPr="00644691" w:rsidRDefault="00BC3710" w:rsidP="008333E0">
            <w:pPr>
              <w:pStyle w:val="TableText"/>
            </w:pPr>
            <w:r w:rsidRPr="00644691">
              <w:t>Life-years gained; quality-adjusted life years.</w:t>
            </w:r>
          </w:p>
        </w:tc>
      </w:tr>
      <w:tr w:rsidR="00BC3710" w:rsidRPr="00644691" w:rsidTr="00446FEF">
        <w:trPr>
          <w:cantSplit/>
        </w:trPr>
        <w:tc>
          <w:tcPr>
            <w:tcW w:w="1087" w:type="pct"/>
            <w:vAlign w:val="center"/>
          </w:tcPr>
          <w:p w:rsidR="00BC3710" w:rsidRPr="00644691" w:rsidRDefault="00BC3710" w:rsidP="00446FEF">
            <w:pPr>
              <w:pStyle w:val="TableText"/>
            </w:pPr>
            <w:r w:rsidRPr="00644691">
              <w:t>Time horizon</w:t>
            </w:r>
          </w:p>
        </w:tc>
        <w:tc>
          <w:tcPr>
            <w:tcW w:w="3913" w:type="pct"/>
          </w:tcPr>
          <w:p w:rsidR="00BC3710" w:rsidRPr="00644691" w:rsidRDefault="00BC3710" w:rsidP="008333E0">
            <w:pPr>
              <w:pStyle w:val="TableText"/>
            </w:pPr>
            <w:r w:rsidRPr="00644691">
              <w:t>30 years in the model base case versus median follow-up of 18.2 months in the DAPA-HF trial.</w:t>
            </w:r>
          </w:p>
        </w:tc>
      </w:tr>
      <w:tr w:rsidR="00BC3710" w:rsidRPr="00644691" w:rsidTr="00446FEF">
        <w:trPr>
          <w:cantSplit/>
        </w:trPr>
        <w:tc>
          <w:tcPr>
            <w:tcW w:w="1087" w:type="pct"/>
            <w:vAlign w:val="center"/>
          </w:tcPr>
          <w:p w:rsidR="00BC3710" w:rsidRPr="00644691" w:rsidRDefault="00BC3710" w:rsidP="00446FEF">
            <w:pPr>
              <w:pStyle w:val="TableText"/>
            </w:pPr>
            <w:r w:rsidRPr="00644691">
              <w:t>Methods used to generate results</w:t>
            </w:r>
          </w:p>
        </w:tc>
        <w:tc>
          <w:tcPr>
            <w:tcW w:w="3913" w:type="pct"/>
          </w:tcPr>
          <w:p w:rsidR="00BC3710" w:rsidRPr="00644691" w:rsidRDefault="00BC3710" w:rsidP="008333E0">
            <w:pPr>
              <w:pStyle w:val="TableText"/>
            </w:pPr>
            <w:r w:rsidRPr="00644691">
              <w:t>Markov state transition model (no half-cycle correction).</w:t>
            </w:r>
          </w:p>
        </w:tc>
      </w:tr>
      <w:tr w:rsidR="00BC3710" w:rsidRPr="00644691" w:rsidTr="00446FEF">
        <w:trPr>
          <w:cantSplit/>
        </w:trPr>
        <w:tc>
          <w:tcPr>
            <w:tcW w:w="1087" w:type="pct"/>
            <w:vAlign w:val="center"/>
          </w:tcPr>
          <w:p w:rsidR="00BC3710" w:rsidRPr="00644691" w:rsidRDefault="00BC3710" w:rsidP="00446FEF">
            <w:pPr>
              <w:pStyle w:val="TableText"/>
            </w:pPr>
            <w:r w:rsidRPr="00644691">
              <w:t>Treatments</w:t>
            </w:r>
          </w:p>
        </w:tc>
        <w:tc>
          <w:tcPr>
            <w:tcW w:w="3913" w:type="pct"/>
          </w:tcPr>
          <w:p w:rsidR="00BC3710" w:rsidRPr="00644691" w:rsidRDefault="00BC3710" w:rsidP="008333E0">
            <w:pPr>
              <w:pStyle w:val="TableText"/>
            </w:pPr>
            <w:r w:rsidRPr="00644691">
              <w:t>Dapagliflozin plus standard care; placebo plus standard care.</w:t>
            </w:r>
            <w:r w:rsidRPr="00644691">
              <w:rPr>
                <w:vertAlign w:val="superscript"/>
              </w:rPr>
              <w:t>1</w:t>
            </w:r>
            <w:r w:rsidRPr="00644691">
              <w:t xml:space="preserve"> </w:t>
            </w:r>
          </w:p>
        </w:tc>
      </w:tr>
      <w:tr w:rsidR="00BC3710" w:rsidRPr="00644691" w:rsidTr="00446FEF">
        <w:trPr>
          <w:cantSplit/>
        </w:trPr>
        <w:tc>
          <w:tcPr>
            <w:tcW w:w="1087" w:type="pct"/>
            <w:vAlign w:val="center"/>
          </w:tcPr>
          <w:p w:rsidR="00BC3710" w:rsidRPr="00644691" w:rsidRDefault="00BC3710" w:rsidP="00446FEF">
            <w:pPr>
              <w:pStyle w:val="TableText"/>
            </w:pPr>
            <w:r w:rsidRPr="00644691">
              <w:t>Health states</w:t>
            </w:r>
          </w:p>
        </w:tc>
        <w:tc>
          <w:tcPr>
            <w:tcW w:w="3913" w:type="pct"/>
          </w:tcPr>
          <w:p w:rsidR="00BC3710" w:rsidRPr="00644691" w:rsidRDefault="00BC3710" w:rsidP="008333E0">
            <w:pPr>
              <w:pStyle w:val="TableText"/>
            </w:pPr>
            <w:r w:rsidRPr="00644691">
              <w:t>Two health states: ‘alive’; ‘dead’.</w:t>
            </w:r>
          </w:p>
        </w:tc>
      </w:tr>
      <w:tr w:rsidR="00BC3710" w:rsidRPr="00644691" w:rsidTr="00446FEF">
        <w:trPr>
          <w:cantSplit/>
        </w:trPr>
        <w:tc>
          <w:tcPr>
            <w:tcW w:w="1087" w:type="pct"/>
            <w:vAlign w:val="center"/>
          </w:tcPr>
          <w:p w:rsidR="00BC3710" w:rsidRPr="00644691" w:rsidRDefault="00BC3710" w:rsidP="00446FEF">
            <w:pPr>
              <w:pStyle w:val="TableText"/>
            </w:pPr>
            <w:r w:rsidRPr="00644691">
              <w:t>Cycle length</w:t>
            </w:r>
          </w:p>
        </w:tc>
        <w:tc>
          <w:tcPr>
            <w:tcW w:w="3913" w:type="pct"/>
          </w:tcPr>
          <w:p w:rsidR="00BC3710" w:rsidRPr="00644691" w:rsidRDefault="00BC3710" w:rsidP="008333E0">
            <w:pPr>
              <w:pStyle w:val="TableText"/>
            </w:pPr>
            <w:r w:rsidRPr="00644691">
              <w:t>1 year</w:t>
            </w:r>
          </w:p>
        </w:tc>
      </w:tr>
      <w:tr w:rsidR="00BC3710" w:rsidRPr="00644691" w:rsidTr="00446FEF">
        <w:trPr>
          <w:cantSplit/>
        </w:trPr>
        <w:tc>
          <w:tcPr>
            <w:tcW w:w="1087" w:type="pct"/>
            <w:vAlign w:val="center"/>
          </w:tcPr>
          <w:p w:rsidR="00BC3710" w:rsidRPr="00644691" w:rsidRDefault="00BC3710" w:rsidP="00446FEF">
            <w:pPr>
              <w:pStyle w:val="TableText"/>
            </w:pPr>
            <w:r w:rsidRPr="00644691">
              <w:t>Transition probabilities</w:t>
            </w:r>
          </w:p>
        </w:tc>
        <w:tc>
          <w:tcPr>
            <w:tcW w:w="3913" w:type="pct"/>
          </w:tcPr>
          <w:p w:rsidR="00BC3710" w:rsidRPr="00644691" w:rsidRDefault="00BC3710" w:rsidP="008333E0">
            <w:pPr>
              <w:pStyle w:val="TableText"/>
            </w:pPr>
            <w:r w:rsidRPr="00644691">
              <w:t>Transition probabilities for cardiovascular death and non-cardiovascular death based on data from the DAPA-HF trial, extrapolated over the time horizon using general population mortality rates (2018 Australian General Record of Incidence of Mortality data).</w:t>
            </w:r>
          </w:p>
        </w:tc>
      </w:tr>
      <w:tr w:rsidR="009C604F" w:rsidRPr="00644691" w:rsidTr="00446FEF">
        <w:trPr>
          <w:cantSplit/>
        </w:trPr>
        <w:tc>
          <w:tcPr>
            <w:tcW w:w="1087" w:type="pct"/>
            <w:vAlign w:val="center"/>
          </w:tcPr>
          <w:p w:rsidR="009C604F" w:rsidRPr="00644691" w:rsidRDefault="009C604F" w:rsidP="00446FEF">
            <w:pPr>
              <w:pStyle w:val="TableText"/>
            </w:pPr>
            <w:r w:rsidRPr="00644691">
              <w:t>Health state utilities</w:t>
            </w:r>
          </w:p>
        </w:tc>
        <w:tc>
          <w:tcPr>
            <w:tcW w:w="3913" w:type="pct"/>
          </w:tcPr>
          <w:p w:rsidR="009C604F" w:rsidRPr="00644691" w:rsidRDefault="004547BF" w:rsidP="004547BF">
            <w:pPr>
              <w:pStyle w:val="TableText"/>
            </w:pPr>
            <w:r w:rsidRPr="00644691">
              <w:t xml:space="preserve">DAPA-HF baseline utility with age-related decline based on Australian population utilities reported by Hawthorne et al. (2013). Included disutility associated with heart failure hospitalisation </w:t>
            </w:r>
            <w:r w:rsidR="000935EA" w:rsidRPr="00644691">
              <w:t xml:space="preserve">reported by </w:t>
            </w:r>
            <w:r w:rsidRPr="00644691">
              <w:t>Adena et al. (2019).</w:t>
            </w:r>
          </w:p>
        </w:tc>
      </w:tr>
    </w:tbl>
    <w:p w:rsidR="00BC3710" w:rsidRPr="00644691" w:rsidRDefault="00BC3710" w:rsidP="00BC3710">
      <w:pPr>
        <w:pStyle w:val="TableFigureFooter"/>
      </w:pPr>
      <w:r w:rsidRPr="00644691">
        <w:t>Source: Table 3.4-2, pp148-149 of the resubmission.</w:t>
      </w:r>
    </w:p>
    <w:p w:rsidR="00BC3710" w:rsidRPr="00644691" w:rsidRDefault="00BC3710" w:rsidP="00BC3710">
      <w:pPr>
        <w:pStyle w:val="TableFigureFooter"/>
      </w:pPr>
      <w:r w:rsidRPr="00644691">
        <w:rPr>
          <w:vertAlign w:val="superscript"/>
        </w:rPr>
        <w:t>1</w:t>
      </w:r>
      <w:r w:rsidRPr="00644691">
        <w:t xml:space="preserve"> Standard care comprising a beta-blocker plus an ACE inhibitor or ARB in 89.3% of patients and a beta-blocker plus an ARNI in 10.7% of patients.</w:t>
      </w:r>
    </w:p>
    <w:p w:rsidR="002B5922" w:rsidRPr="00644691" w:rsidRDefault="00DC7052" w:rsidP="009F2DE3">
      <w:pPr>
        <w:pStyle w:val="ExecSumBodyText"/>
        <w:rPr>
          <w:iCs/>
        </w:rPr>
      </w:pPr>
      <w:r w:rsidRPr="00644691">
        <w:t xml:space="preserve">The model was based on two health states (‘alive’ and ‘dead’). All patients begin in the alive health state. Each cycle, patients </w:t>
      </w:r>
      <w:r w:rsidR="001C1E57" w:rsidRPr="00644691">
        <w:t xml:space="preserve">could </w:t>
      </w:r>
      <w:r w:rsidRPr="00644691">
        <w:t>either stay alive, experience a cardiovascular death and transition to the dead state, or experience a non-cardiovascular death and transition to the dead state. Patients in the alive state could also experience a hospitalisation for heart failure each cycle</w:t>
      </w:r>
      <w:r w:rsidR="00245A4E" w:rsidRPr="00644691">
        <w:t xml:space="preserve">. </w:t>
      </w:r>
      <w:r w:rsidR="003D7A88" w:rsidRPr="00644691">
        <w:t xml:space="preserve">The ESC noted that </w:t>
      </w:r>
      <w:r w:rsidR="003D7A88" w:rsidRPr="00644691">
        <w:rPr>
          <w:iCs/>
        </w:rPr>
        <w:t>h</w:t>
      </w:r>
      <w:r w:rsidR="002B5922" w:rsidRPr="00644691">
        <w:rPr>
          <w:iCs/>
        </w:rPr>
        <w:t>ospitalisations for heart failure were associated with a cost and a disutility but did not alter the health state to which subjects move</w:t>
      </w:r>
      <w:r w:rsidR="001C1E57" w:rsidRPr="00644691">
        <w:rPr>
          <w:iCs/>
        </w:rPr>
        <w:t>d</w:t>
      </w:r>
      <w:r w:rsidR="002B5922" w:rsidRPr="00644691">
        <w:rPr>
          <w:iCs/>
        </w:rPr>
        <w:t xml:space="preserve"> in the subsequent cycle, and did not affect mortality rates</w:t>
      </w:r>
      <w:r w:rsidR="00644691">
        <w:rPr>
          <w:iCs/>
        </w:rPr>
        <w:t xml:space="preserve">. </w:t>
      </w:r>
      <w:r w:rsidR="00BF6B7C" w:rsidRPr="00644691">
        <w:rPr>
          <w:iCs/>
        </w:rPr>
        <w:t>The ESC considered that there would be mortality impacts associated with continual re-admissions to hospital, as well as declining utility and increases in ongoing costs.</w:t>
      </w:r>
      <w:r w:rsidR="009F2DE3" w:rsidRPr="00644691">
        <w:t xml:space="preserve"> </w:t>
      </w:r>
      <w:r w:rsidR="00164898" w:rsidRPr="00644691">
        <w:rPr>
          <w:iCs/>
        </w:rPr>
        <w:t>On the whole</w:t>
      </w:r>
      <w:r w:rsidR="009F2DE3" w:rsidRPr="00644691">
        <w:rPr>
          <w:iCs/>
        </w:rPr>
        <w:t>, the ESC considered that the model structure was overly simplistic as it did not adequately reflect the progressive nature of heart failure, and associated changes in costs, quality of life and mortality risk.</w:t>
      </w:r>
    </w:p>
    <w:p w:rsidR="00CB6B68" w:rsidRPr="00644691" w:rsidRDefault="00CB6B68" w:rsidP="007B29B4">
      <w:pPr>
        <w:pStyle w:val="ExecSumBodyText"/>
      </w:pPr>
      <w:r w:rsidRPr="00644691">
        <w:t>The PSCR argued that having more health states would have substantially increased uncertainty, and reiterated</w:t>
      </w:r>
      <w:r w:rsidR="007901CA" w:rsidRPr="00644691">
        <w:t xml:space="preserve"> a claim</w:t>
      </w:r>
      <w:r w:rsidRPr="00644691">
        <w:t xml:space="preserve"> that some published cost-effectiveness models in HFrEF use</w:t>
      </w:r>
      <w:r w:rsidR="007901CA" w:rsidRPr="00644691">
        <w:t>d</w:t>
      </w:r>
      <w:r w:rsidRPr="00644691">
        <w:t xml:space="preserve"> </w:t>
      </w:r>
      <w:r w:rsidR="007901CA" w:rsidRPr="00644691">
        <w:t>a</w:t>
      </w:r>
      <w:r w:rsidRPr="00644691">
        <w:t xml:space="preserve"> two-state Markov model. </w:t>
      </w:r>
      <w:r w:rsidR="007B29B4" w:rsidRPr="00644691">
        <w:t xml:space="preserve">The ESC noted </w:t>
      </w:r>
      <w:r w:rsidR="007B29B4" w:rsidRPr="00644691">
        <w:rPr>
          <w:iCs/>
        </w:rPr>
        <w:t>economic models assessing the cost-effectiveness of dapagliflozin included in recent submissions to NICE and CADTH incorporated health states based on KCCQ-TSS and NYHA Class, respectively. The sponsor’s claim that including additional health states would have significantly increased uncertainty was not considered reasonable.</w:t>
      </w:r>
      <w:r w:rsidR="00E66EC5" w:rsidRPr="00644691">
        <w:rPr>
          <w:iCs/>
        </w:rPr>
        <w:t xml:space="preserve"> </w:t>
      </w:r>
    </w:p>
    <w:p w:rsidR="002B5922" w:rsidRPr="00644691" w:rsidRDefault="002B5922" w:rsidP="00BB00B3">
      <w:pPr>
        <w:pStyle w:val="ExecSumBodyText"/>
      </w:pPr>
      <w:r w:rsidRPr="00644691">
        <w:rPr>
          <w:iCs/>
        </w:rPr>
        <w:t xml:space="preserve">The ESC </w:t>
      </w:r>
      <w:r w:rsidR="009F2DE3" w:rsidRPr="00644691">
        <w:rPr>
          <w:iCs/>
        </w:rPr>
        <w:t xml:space="preserve">recalled that it had </w:t>
      </w:r>
      <w:r w:rsidRPr="00644691">
        <w:rPr>
          <w:iCs/>
        </w:rPr>
        <w:t xml:space="preserve">previously considered that the two-state model structure included in the March 2016 sacubitril/valsartan submission did not accurately reflect disease progression through hospitalisation and rehospitalisation and through different NYHA functional classes of heart failure and did not reflect the progressive nature of heart failure. The </w:t>
      </w:r>
      <w:r w:rsidR="0044472A" w:rsidRPr="00644691">
        <w:rPr>
          <w:iCs/>
        </w:rPr>
        <w:t xml:space="preserve">PBAC </w:t>
      </w:r>
      <w:r w:rsidR="009F2DE3" w:rsidRPr="00644691">
        <w:rPr>
          <w:iCs/>
        </w:rPr>
        <w:t xml:space="preserve">previously </w:t>
      </w:r>
      <w:r w:rsidR="0044472A" w:rsidRPr="00644691">
        <w:rPr>
          <w:iCs/>
        </w:rPr>
        <w:t xml:space="preserve">agreed with the </w:t>
      </w:r>
      <w:r w:rsidRPr="00644691">
        <w:rPr>
          <w:iCs/>
        </w:rPr>
        <w:t>ESC that the failure of the model to better reflect disease progression meant that it was unlikely to be reliable for estimating incremental cost-effectiveness (</w:t>
      </w:r>
      <w:r w:rsidR="001A74BF" w:rsidRPr="00644691">
        <w:rPr>
          <w:iCs/>
        </w:rPr>
        <w:t>paragraph</w:t>
      </w:r>
      <w:r w:rsidR="0044472A" w:rsidRPr="00644691">
        <w:rPr>
          <w:iCs/>
        </w:rPr>
        <w:t>s</w:t>
      </w:r>
      <w:r w:rsidRPr="00644691">
        <w:rPr>
          <w:iCs/>
        </w:rPr>
        <w:t xml:space="preserve"> 6.30</w:t>
      </w:r>
      <w:r w:rsidR="0044472A" w:rsidRPr="00644691">
        <w:rPr>
          <w:iCs/>
        </w:rPr>
        <w:t xml:space="preserve"> and 7.9</w:t>
      </w:r>
      <w:r w:rsidRPr="00644691">
        <w:rPr>
          <w:iCs/>
        </w:rPr>
        <w:t xml:space="preserve">, sacubitril/valsartan, </w:t>
      </w:r>
      <w:r w:rsidR="00C5400D" w:rsidRPr="00644691">
        <w:rPr>
          <w:iCs/>
        </w:rPr>
        <w:t>PSD</w:t>
      </w:r>
      <w:r w:rsidRPr="00644691">
        <w:rPr>
          <w:iCs/>
        </w:rPr>
        <w:t>, March 2016 PBAC meeting).</w:t>
      </w:r>
      <w:r w:rsidR="0044472A" w:rsidRPr="00644691">
        <w:rPr>
          <w:iCs/>
        </w:rPr>
        <w:t xml:space="preserve"> The model structure was </w:t>
      </w:r>
      <w:r w:rsidR="0044472A" w:rsidRPr="00644691">
        <w:rPr>
          <w:iCs/>
        </w:rPr>
        <w:lastRenderedPageBreak/>
        <w:t xml:space="preserve">unchanged in the subsequent </w:t>
      </w:r>
      <w:r w:rsidR="0059521F" w:rsidRPr="00644691">
        <w:rPr>
          <w:iCs/>
        </w:rPr>
        <w:t>re</w:t>
      </w:r>
      <w:r w:rsidR="0044472A" w:rsidRPr="00644691">
        <w:rPr>
          <w:iCs/>
        </w:rPr>
        <w:t>submission for sacubitril/valsartan, but the listing was accepted in the context of a reduced price, revised estimates and</w:t>
      </w:r>
      <w:r w:rsidR="00A06A7A" w:rsidRPr="00644691">
        <w:rPr>
          <w:iCs/>
        </w:rPr>
        <w:t xml:space="preserve"> a</w:t>
      </w:r>
      <w:r w:rsidR="007E5F57" w:rsidRPr="00644691">
        <w:rPr>
          <w:iCs/>
        </w:rPr>
        <w:t>n RSA</w:t>
      </w:r>
      <w:r w:rsidR="0044472A" w:rsidRPr="00644691">
        <w:rPr>
          <w:iCs/>
        </w:rPr>
        <w:t xml:space="preserve"> (Addendum to the sacubitril/valsartan PSD, July 2016 PBAC meeting). </w:t>
      </w:r>
    </w:p>
    <w:p w:rsidR="0060690C" w:rsidRPr="00644691" w:rsidRDefault="0060690C" w:rsidP="0060690C">
      <w:pPr>
        <w:pStyle w:val="ExecSumBodyText"/>
      </w:pPr>
      <w:r w:rsidRPr="00644691">
        <w:t>The base case analysis utilised a 30-year time horizon with a 12-month cycle length</w:t>
      </w:r>
      <w:r w:rsidR="00644691">
        <w:t xml:space="preserve">. </w:t>
      </w:r>
      <w:r w:rsidR="00FD5CA9" w:rsidRPr="00644691">
        <w:rPr>
          <w:iCs/>
        </w:rPr>
        <w:t>The ESC considered that the</w:t>
      </w:r>
      <w:r w:rsidRPr="00644691">
        <w:rPr>
          <w:iCs/>
        </w:rPr>
        <w:t xml:space="preserve"> 12-month cycle length may to be too long to accurately capture outcome events and associated changes in resource use and health state utility for the HFrEF population. Additionally, half-cycle correction was not applied in the model. The lack of half-cycle correction </w:t>
      </w:r>
      <w:r w:rsidR="00906FF9" w:rsidRPr="00644691">
        <w:rPr>
          <w:iCs/>
        </w:rPr>
        <w:t>was</w:t>
      </w:r>
      <w:r w:rsidRPr="00644691">
        <w:rPr>
          <w:iCs/>
        </w:rPr>
        <w:t xml:space="preserve"> likely to have favoured the dapagliflozin arm due to the long cycle length and the application of transition probabilities at the end of each cycle (given improved survival associated with dapagliflozin treatment)</w:t>
      </w:r>
      <w:r w:rsidR="00644691">
        <w:rPr>
          <w:iCs/>
        </w:rPr>
        <w:t xml:space="preserve">. </w:t>
      </w:r>
      <w:r w:rsidRPr="00644691">
        <w:rPr>
          <w:iCs/>
        </w:rPr>
        <w:t>Based on the PBAC Guidelines, half-cycle correction is the default approach to representing time of transition between states.</w:t>
      </w:r>
    </w:p>
    <w:p w:rsidR="00736EDA" w:rsidRPr="00B54AD9" w:rsidRDefault="00C56691" w:rsidP="00A06829">
      <w:pPr>
        <w:pStyle w:val="ExecSumBodyText"/>
        <w:rPr>
          <w:color w:val="0066FF"/>
        </w:rPr>
      </w:pPr>
      <w:r w:rsidRPr="00644691">
        <w:t>The model was based on the characteristics of patients in the DAPA-HF trial (mean age 66 years; 77% male; NYHA Class II: 68%</w:t>
      </w:r>
      <w:r w:rsidR="003D7A88" w:rsidRPr="00644691">
        <w:t>;</w:t>
      </w:r>
      <w:r w:rsidRPr="00644691">
        <w:t xml:space="preserve"> NYHA Class III: 32%; NYHA Class IV: 1%; </w:t>
      </w:r>
      <w:r w:rsidR="00C961A2" w:rsidRPr="00644691">
        <w:t>T2DM</w:t>
      </w:r>
      <w:r w:rsidRPr="00644691">
        <w:t>:</w:t>
      </w:r>
      <w:r w:rsidR="003D7A88" w:rsidRPr="00644691">
        <w:t> </w:t>
      </w:r>
      <w:r w:rsidRPr="00644691">
        <w:t>45.1%; ARNI as part of background treatment: 10.7%).</w:t>
      </w:r>
      <w:r w:rsidR="00245D1A" w:rsidRPr="00644691">
        <w:t xml:space="preserve"> </w:t>
      </w:r>
      <w:r w:rsidR="00FB2F50" w:rsidRPr="00644691">
        <w:t xml:space="preserve">The resubmission presented a comparison of the DAPA-HF population with the populations included in six Australian heart failure studies. The resubmission argued that it </w:t>
      </w:r>
      <w:r w:rsidR="000F78EE" w:rsidRPr="00644691">
        <w:t xml:space="preserve">was </w:t>
      </w:r>
      <w:r w:rsidR="00FB2F50" w:rsidRPr="00644691">
        <w:t>difficult to draw any conclusion</w:t>
      </w:r>
      <w:r w:rsidR="000D6670" w:rsidRPr="00644691">
        <w:t>s</w:t>
      </w:r>
      <w:r w:rsidR="00FB2F50" w:rsidRPr="00644691">
        <w:t xml:space="preserve"> regarding comparability given key differences between </w:t>
      </w:r>
      <w:r w:rsidR="000D6670" w:rsidRPr="00644691">
        <w:t xml:space="preserve">the </w:t>
      </w:r>
      <w:r w:rsidR="00FB2F50" w:rsidRPr="00644691">
        <w:t xml:space="preserve">DAPA-HF </w:t>
      </w:r>
      <w:r w:rsidR="000D6670" w:rsidRPr="00644691">
        <w:t xml:space="preserve">trial population </w:t>
      </w:r>
      <w:r w:rsidR="00FB2F50" w:rsidRPr="00644691">
        <w:t xml:space="preserve">and </w:t>
      </w:r>
      <w:r w:rsidR="00BC7C0E" w:rsidRPr="00644691">
        <w:t xml:space="preserve">the populations </w:t>
      </w:r>
      <w:r w:rsidR="00E67EDA" w:rsidRPr="00644691">
        <w:t xml:space="preserve">included </w:t>
      </w:r>
      <w:r w:rsidR="00BC7C0E" w:rsidRPr="00644691">
        <w:t xml:space="preserve">in the </w:t>
      </w:r>
      <w:r w:rsidR="00FB2F50" w:rsidRPr="00644691">
        <w:t xml:space="preserve">Australian </w:t>
      </w:r>
      <w:r w:rsidR="00BC7C0E" w:rsidRPr="00644691">
        <w:t xml:space="preserve">heart failure </w:t>
      </w:r>
      <w:r w:rsidR="00FB2F50" w:rsidRPr="00644691">
        <w:t xml:space="preserve">studies, </w:t>
      </w:r>
      <w:r w:rsidR="00E67EDA" w:rsidRPr="00644691">
        <w:t>as well as</w:t>
      </w:r>
      <w:r w:rsidR="00FB2F50" w:rsidRPr="00644691">
        <w:t xml:space="preserve"> heterogeneity across the Australian studies. </w:t>
      </w:r>
      <w:r w:rsidR="00327D17" w:rsidRPr="00644691">
        <w:rPr>
          <w:iCs/>
        </w:rPr>
        <w:t xml:space="preserve">In general, </w:t>
      </w:r>
      <w:r w:rsidR="00664943" w:rsidRPr="00644691">
        <w:rPr>
          <w:iCs/>
        </w:rPr>
        <w:t xml:space="preserve">patients in the Australian </w:t>
      </w:r>
      <w:r w:rsidR="008600B3" w:rsidRPr="00644691">
        <w:rPr>
          <w:iCs/>
        </w:rPr>
        <w:t xml:space="preserve">studies </w:t>
      </w:r>
      <w:r w:rsidR="00664943" w:rsidRPr="00644691">
        <w:rPr>
          <w:iCs/>
        </w:rPr>
        <w:t>appear</w:t>
      </w:r>
      <w:r w:rsidR="00245D1A" w:rsidRPr="00644691">
        <w:rPr>
          <w:iCs/>
        </w:rPr>
        <w:t>ed</w:t>
      </w:r>
      <w:r w:rsidR="00664943" w:rsidRPr="00644691">
        <w:rPr>
          <w:iCs/>
        </w:rPr>
        <w:t xml:space="preserve"> to be older</w:t>
      </w:r>
      <w:r w:rsidR="00327D17" w:rsidRPr="00644691">
        <w:rPr>
          <w:iCs/>
        </w:rPr>
        <w:t xml:space="preserve">, with a </w:t>
      </w:r>
      <w:r w:rsidR="00F50D46" w:rsidRPr="00644691">
        <w:rPr>
          <w:iCs/>
        </w:rPr>
        <w:t>higher</w:t>
      </w:r>
      <w:r w:rsidR="00327D17" w:rsidRPr="00644691">
        <w:rPr>
          <w:iCs/>
        </w:rPr>
        <w:t xml:space="preserve"> proportion of female patient</w:t>
      </w:r>
      <w:r w:rsidR="00226170" w:rsidRPr="00644691">
        <w:rPr>
          <w:iCs/>
        </w:rPr>
        <w:t>s</w:t>
      </w:r>
      <w:r w:rsidR="00664943" w:rsidRPr="00644691">
        <w:rPr>
          <w:iCs/>
        </w:rPr>
        <w:t xml:space="preserve">. </w:t>
      </w:r>
      <w:r w:rsidR="00684D14" w:rsidRPr="00644691">
        <w:t xml:space="preserve">The </w:t>
      </w:r>
      <w:r w:rsidR="00F8055A" w:rsidRPr="00644691">
        <w:t xml:space="preserve">evaluation considered the </w:t>
      </w:r>
      <w:r w:rsidR="00684D14" w:rsidRPr="00644691">
        <w:t xml:space="preserve">applicability of the modelled results to the proposed PBS population was unclear due to likely differences between the DAPA-HF trial population and the PBS population, including substantial differences in age, overall health status, the proportion of patients with </w:t>
      </w:r>
      <w:r w:rsidR="00AB05E2">
        <w:t>T2DM</w:t>
      </w:r>
      <w:r w:rsidR="00684D14" w:rsidRPr="00644691">
        <w:t>, and the proportion of patients receiving treatment with an ARNI.</w:t>
      </w:r>
      <w:r w:rsidR="00736EDA" w:rsidRPr="00644691">
        <w:t xml:space="preserve"> </w:t>
      </w:r>
      <w:r w:rsidR="00736EDA" w:rsidRPr="00B54AD9">
        <w:t xml:space="preserve">The pre-PBAC response argued there was no evidence of substantial differences in age between the DAPA-HF trial and the PBS population. It claimed that the sponsor’s Australian patient familiarisation program (N=1,409) showed that the average age of patients initiated on dapagliflozin for HFrEF was similar to that in the DAPA-HF trial at 68 and 66 years, respectively. The PBAC noted that the ESC had reviewed Table 3.4-6 of the resubmission, which showed that the mean age of patients in some large Australian studies ranged from approximately 74 to 80 years, and the median recorded in other studies was from 72 to 80 years. The pre-PBAC response presented a sensitivity analysis with a starting age in the model of 75 years, which resulted in an ICER of </w:t>
      </w:r>
      <w:r w:rsidR="00A06829" w:rsidRPr="00A06829">
        <w:t>$15,000 to &lt; $25,000</w:t>
      </w:r>
      <w:r w:rsidR="00A06829">
        <w:t xml:space="preserve"> </w:t>
      </w:r>
      <w:r w:rsidR="00736EDA" w:rsidRPr="00B54AD9">
        <w:t xml:space="preserve">per QALY saved (compared to </w:t>
      </w:r>
      <w:r w:rsidR="00A06829" w:rsidRPr="00A06829">
        <w:t>$15,000 to &lt; $25,000</w:t>
      </w:r>
      <w:r w:rsidR="00A06829">
        <w:t xml:space="preserve"> </w:t>
      </w:r>
      <w:r w:rsidR="00736EDA" w:rsidRPr="00B54AD9">
        <w:t>in the base case).</w:t>
      </w:r>
    </w:p>
    <w:p w:rsidR="00245D1A" w:rsidRPr="00B54AD9" w:rsidRDefault="00245D1A" w:rsidP="00B66910">
      <w:pPr>
        <w:pStyle w:val="ExecSumBodyText"/>
        <w:rPr>
          <w:color w:val="0066FF"/>
        </w:rPr>
      </w:pPr>
      <w:r w:rsidRPr="00644691">
        <w:t xml:space="preserve">The model provided the option of stratifying patients by the presence/absence of an ARNI as part of standard care treatment, or by the presence/absence of </w:t>
      </w:r>
      <w:r w:rsidR="00C961A2" w:rsidRPr="00644691">
        <w:t>T2DM</w:t>
      </w:r>
      <w:r w:rsidRPr="00644691">
        <w:t>. The base-case model results were stratified according to ARNI use as part of standard care treatment, based on the proportion of patients receiving an ARNI at baseline in the DAPA-HF trial (i.e., beta-blocker plus an ACE inhibitor or ARB for 89.</w:t>
      </w:r>
      <w:r w:rsidR="006B1FC3" w:rsidRPr="00644691">
        <w:t>3</w:t>
      </w:r>
      <w:r w:rsidRPr="00644691">
        <w:t>%; beta-blocker plus an ARNI for 10.</w:t>
      </w:r>
      <w:r w:rsidR="006B1FC3" w:rsidRPr="00644691">
        <w:t>7</w:t>
      </w:r>
      <w:r w:rsidRPr="00644691">
        <w:t>%).</w:t>
      </w:r>
    </w:p>
    <w:p w:rsidR="00580E6D" w:rsidRPr="00B54AD9" w:rsidRDefault="00F90745" w:rsidP="00B66910">
      <w:pPr>
        <w:pStyle w:val="ExecSumBodyText"/>
        <w:rPr>
          <w:color w:val="0066FF"/>
        </w:rPr>
      </w:pPr>
      <w:r w:rsidRPr="00644691">
        <w:lastRenderedPageBreak/>
        <w:t>Key drivers of the economic model are summarised in the table below.</w:t>
      </w:r>
      <w:r w:rsidR="005E0942" w:rsidRPr="00644691">
        <w:t xml:space="preserve"> </w:t>
      </w:r>
    </w:p>
    <w:p w:rsidR="00580E6D" w:rsidRPr="00644691" w:rsidRDefault="00580E6D" w:rsidP="00446FEF">
      <w:pPr>
        <w:pStyle w:val="TableFigureCaption"/>
        <w:rPr>
          <w:rStyle w:val="CommentReference"/>
          <w:sz w:val="20"/>
          <w:szCs w:val="20"/>
        </w:rPr>
      </w:pPr>
      <w:r w:rsidRPr="00644691">
        <w:rPr>
          <w:rStyle w:val="CommentReference"/>
          <w:sz w:val="20"/>
          <w:szCs w:val="20"/>
        </w:rPr>
        <w:t xml:space="preserve">Table </w:t>
      </w:r>
      <w:r w:rsidR="000C6AFA">
        <w:rPr>
          <w:rStyle w:val="CommentReference"/>
          <w:noProof/>
          <w:sz w:val="20"/>
          <w:szCs w:val="20"/>
        </w:rPr>
        <w:t>8</w:t>
      </w:r>
      <w:r w:rsidRPr="00644691">
        <w:rPr>
          <w:rStyle w:val="CommentReference"/>
          <w:sz w:val="20"/>
          <w:szCs w:val="20"/>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5"/>
        <w:gridCol w:w="6472"/>
        <w:gridCol w:w="1250"/>
      </w:tblGrid>
      <w:tr w:rsidR="00580E6D" w:rsidRPr="00644691" w:rsidTr="00C438C8">
        <w:trPr>
          <w:cantSplit/>
          <w:tblHeader/>
        </w:trPr>
        <w:tc>
          <w:tcPr>
            <w:tcW w:w="718" w:type="pct"/>
            <w:shd w:val="clear" w:color="auto" w:fill="auto"/>
            <w:vAlign w:val="center"/>
          </w:tcPr>
          <w:p w:rsidR="00580E6D" w:rsidRPr="00644691" w:rsidRDefault="00580E6D" w:rsidP="00DC3072">
            <w:pPr>
              <w:pStyle w:val="Tableheadingrow"/>
              <w:rPr>
                <w:lang w:val="en-AU"/>
              </w:rPr>
            </w:pPr>
            <w:r w:rsidRPr="00644691">
              <w:rPr>
                <w:lang w:val="en-AU"/>
              </w:rPr>
              <w:t>Description</w:t>
            </w:r>
          </w:p>
        </w:tc>
        <w:tc>
          <w:tcPr>
            <w:tcW w:w="3589" w:type="pct"/>
            <w:shd w:val="clear" w:color="auto" w:fill="auto"/>
            <w:vAlign w:val="center"/>
          </w:tcPr>
          <w:p w:rsidR="00580E6D" w:rsidRPr="00644691" w:rsidRDefault="00580E6D" w:rsidP="005F2C3D">
            <w:pPr>
              <w:pStyle w:val="Tabletext0"/>
              <w:jc w:val="center"/>
              <w:rPr>
                <w:b/>
              </w:rPr>
            </w:pPr>
            <w:r w:rsidRPr="00644691">
              <w:rPr>
                <w:b/>
              </w:rPr>
              <w:t>Method/Value</w:t>
            </w:r>
          </w:p>
        </w:tc>
        <w:tc>
          <w:tcPr>
            <w:tcW w:w="693" w:type="pct"/>
            <w:shd w:val="clear" w:color="auto" w:fill="auto"/>
            <w:vAlign w:val="center"/>
          </w:tcPr>
          <w:p w:rsidR="00580E6D" w:rsidRPr="00644691" w:rsidRDefault="00580E6D" w:rsidP="005F2C3D">
            <w:pPr>
              <w:pStyle w:val="Tabletext0"/>
              <w:jc w:val="center"/>
              <w:rPr>
                <w:b/>
              </w:rPr>
            </w:pPr>
            <w:r w:rsidRPr="00644691">
              <w:rPr>
                <w:b/>
              </w:rPr>
              <w:t>Impact</w:t>
            </w:r>
          </w:p>
        </w:tc>
      </w:tr>
      <w:tr w:rsidR="00580E6D" w:rsidRPr="00644691" w:rsidTr="00C438C8">
        <w:trPr>
          <w:cantSplit/>
        </w:trPr>
        <w:tc>
          <w:tcPr>
            <w:tcW w:w="718" w:type="pct"/>
            <w:shd w:val="clear" w:color="auto" w:fill="auto"/>
            <w:vAlign w:val="center"/>
          </w:tcPr>
          <w:p w:rsidR="00580E6D" w:rsidRPr="00644691" w:rsidRDefault="00541D36" w:rsidP="005A6241">
            <w:pPr>
              <w:pStyle w:val="TableText"/>
            </w:pPr>
            <w:r w:rsidRPr="00644691">
              <w:t>Cardiovascular and non-cardiovascular mortality</w:t>
            </w:r>
          </w:p>
        </w:tc>
        <w:tc>
          <w:tcPr>
            <w:tcW w:w="3589" w:type="pct"/>
            <w:shd w:val="clear" w:color="auto" w:fill="auto"/>
            <w:vAlign w:val="center"/>
          </w:tcPr>
          <w:p w:rsidR="00160B32" w:rsidRPr="00644691" w:rsidRDefault="00541D36" w:rsidP="005F2C3D">
            <w:pPr>
              <w:pStyle w:val="Tabletext0"/>
              <w:rPr>
                <w:iCs/>
              </w:rPr>
            </w:pPr>
            <w:r w:rsidRPr="00644691">
              <w:rPr>
                <w:iCs/>
              </w:rPr>
              <w:t>The model incorporated cardiovascular and non-cardiovascular mortality based on the results of the DAPA-HF trial. Rates reported for the DAPA-HF trial were converted to transition probabilities and applied in the first year of the model (i.e.</w:t>
            </w:r>
            <w:r w:rsidR="00DF6357" w:rsidRPr="00644691">
              <w:rPr>
                <w:iCs/>
              </w:rPr>
              <w:t>,</w:t>
            </w:r>
            <w:r w:rsidRPr="00644691">
              <w:rPr>
                <w:iCs/>
              </w:rPr>
              <w:t xml:space="preserve"> Cycle 1). Non-cardiovascular mortality was derived by deducting the cardiovascular mortality rate from the reported all-cause mortality rate. Transition probabilities beyond the first year of the model were derived by applying expected age-related </w:t>
            </w:r>
            <w:r w:rsidR="00D554A7" w:rsidRPr="00644691">
              <w:rPr>
                <w:iCs/>
              </w:rPr>
              <w:t xml:space="preserve">cardiovascular and non-cardiovascular </w:t>
            </w:r>
            <w:r w:rsidRPr="00644691">
              <w:rPr>
                <w:iCs/>
              </w:rPr>
              <w:t>mortality increases to the trial-based transition probabilities used in Cycle</w:t>
            </w:r>
            <w:r w:rsidR="00C961A2" w:rsidRPr="00644691">
              <w:rPr>
                <w:iCs/>
              </w:rPr>
              <w:t> </w:t>
            </w:r>
            <w:r w:rsidRPr="00644691">
              <w:rPr>
                <w:iCs/>
              </w:rPr>
              <w:t xml:space="preserve">1. </w:t>
            </w:r>
            <w:r w:rsidR="00D554A7" w:rsidRPr="00644691">
              <w:rPr>
                <w:iCs/>
              </w:rPr>
              <w:t>Age-related c</w:t>
            </w:r>
            <w:r w:rsidRPr="00644691">
              <w:rPr>
                <w:iCs/>
              </w:rPr>
              <w:t xml:space="preserve">hanges </w:t>
            </w:r>
            <w:r w:rsidR="00D554A7" w:rsidRPr="00644691">
              <w:rPr>
                <w:iCs/>
              </w:rPr>
              <w:t>in</w:t>
            </w:r>
            <w:r w:rsidRPr="00644691">
              <w:rPr>
                <w:iCs/>
              </w:rPr>
              <w:t xml:space="preserve"> the probabilities of cardiovascular and non-cardiovascular mortality were estimated from </w:t>
            </w:r>
            <w:r w:rsidR="00D554A7" w:rsidRPr="00644691">
              <w:rPr>
                <w:iCs/>
              </w:rPr>
              <w:t xml:space="preserve">2008 </w:t>
            </w:r>
            <w:r w:rsidRPr="00644691">
              <w:rPr>
                <w:iCs/>
              </w:rPr>
              <w:t xml:space="preserve">General Record of Incidence of Mortality (GRIM) data published by the AIHW. </w:t>
            </w:r>
          </w:p>
          <w:p w:rsidR="00160B32" w:rsidRPr="00644691" w:rsidRDefault="00160B32" w:rsidP="005F2C3D">
            <w:pPr>
              <w:pStyle w:val="Tabletext0"/>
              <w:rPr>
                <w:iCs/>
              </w:rPr>
            </w:pPr>
          </w:p>
          <w:p w:rsidR="00580E6D" w:rsidRPr="00644691" w:rsidRDefault="00541D36" w:rsidP="005F2C3D">
            <w:pPr>
              <w:pStyle w:val="Tabletext0"/>
              <w:rPr>
                <w:iCs/>
              </w:rPr>
            </w:pPr>
            <w:r w:rsidRPr="00644691">
              <w:t xml:space="preserve">It </w:t>
            </w:r>
            <w:r w:rsidR="00F25045" w:rsidRPr="00644691">
              <w:t>was</w:t>
            </w:r>
            <w:r w:rsidRPr="00644691">
              <w:t xml:space="preserve"> unclear whether the derived transitions adequately captured underlying mortality risk over time among the modelled HFrEF population. The applicability of the general population mortality estimates to increases in mortality over time in the </w:t>
            </w:r>
            <w:r w:rsidR="00960E2D" w:rsidRPr="00644691">
              <w:t>HFrEF</w:t>
            </w:r>
            <w:r w:rsidRPr="00644691">
              <w:t xml:space="preserve"> population </w:t>
            </w:r>
            <w:r w:rsidR="00F25045" w:rsidRPr="00644691">
              <w:t>wa</w:t>
            </w:r>
            <w:r w:rsidRPr="00644691">
              <w:t>s unclear, and the resubmission did not adequately justify the validity of the approach. The resubmission did not present data from published studies to validate the resulting mortality estimates.</w:t>
            </w:r>
          </w:p>
        </w:tc>
        <w:tc>
          <w:tcPr>
            <w:tcW w:w="693" w:type="pct"/>
            <w:shd w:val="clear" w:color="auto" w:fill="auto"/>
            <w:vAlign w:val="center"/>
          </w:tcPr>
          <w:p w:rsidR="00580E6D" w:rsidRPr="00644691" w:rsidRDefault="004513AA" w:rsidP="005F2C3D">
            <w:pPr>
              <w:pStyle w:val="Tabletext0"/>
              <w:jc w:val="center"/>
              <w:rPr>
                <w:iCs/>
              </w:rPr>
            </w:pPr>
            <w:r w:rsidRPr="00644691">
              <w:rPr>
                <w:iCs/>
              </w:rPr>
              <w:t>Moderate, favours dapagliflozin</w:t>
            </w:r>
          </w:p>
        </w:tc>
      </w:tr>
      <w:tr w:rsidR="00580E6D" w:rsidRPr="00644691" w:rsidTr="00C438C8">
        <w:trPr>
          <w:cantSplit/>
        </w:trPr>
        <w:tc>
          <w:tcPr>
            <w:tcW w:w="718" w:type="pct"/>
            <w:shd w:val="clear" w:color="auto" w:fill="auto"/>
            <w:vAlign w:val="center"/>
          </w:tcPr>
          <w:p w:rsidR="00580E6D" w:rsidRPr="00644691" w:rsidRDefault="002476D2" w:rsidP="00DC3072">
            <w:pPr>
              <w:pStyle w:val="TableText"/>
            </w:pPr>
            <w:r w:rsidRPr="00644691">
              <w:t>Dapagliflozin treatment effect</w:t>
            </w:r>
          </w:p>
        </w:tc>
        <w:tc>
          <w:tcPr>
            <w:tcW w:w="3589" w:type="pct"/>
            <w:shd w:val="clear" w:color="auto" w:fill="auto"/>
            <w:vAlign w:val="center"/>
          </w:tcPr>
          <w:p w:rsidR="00160B32" w:rsidRPr="00644691" w:rsidRDefault="002476D2" w:rsidP="005F2C3D">
            <w:pPr>
              <w:pStyle w:val="Tabletext0"/>
            </w:pPr>
            <w:r w:rsidRPr="00644691">
              <w:t xml:space="preserve">The </w:t>
            </w:r>
            <w:r w:rsidR="005A6241" w:rsidRPr="00644691">
              <w:t xml:space="preserve">model </w:t>
            </w:r>
            <w:r w:rsidRPr="00644691">
              <w:t xml:space="preserve">assumed that the treatment effect </w:t>
            </w:r>
            <w:r w:rsidR="00D554A7" w:rsidRPr="00644691">
              <w:t>of</w:t>
            </w:r>
            <w:r w:rsidRPr="00644691">
              <w:t xml:space="preserve"> dapagliflozin</w:t>
            </w:r>
            <w:r w:rsidR="00152224" w:rsidRPr="00644691">
              <w:t xml:space="preserve"> (based on a median duration of follow-up of 18.2</w:t>
            </w:r>
            <w:r w:rsidRPr="00644691">
              <w:t xml:space="preserve"> </w:t>
            </w:r>
            <w:r w:rsidR="00152224" w:rsidRPr="00644691">
              <w:t xml:space="preserve">months in the DAPA-HF trial) </w:t>
            </w:r>
            <w:r w:rsidRPr="00644691">
              <w:t xml:space="preserve">in reducing cardiovascular and non-cardiovascular mortality, and </w:t>
            </w:r>
            <w:r w:rsidR="00D554A7" w:rsidRPr="00644691">
              <w:t xml:space="preserve">in </w:t>
            </w:r>
            <w:r w:rsidRPr="00644691">
              <w:t>reducing heart failure hospitalisations</w:t>
            </w:r>
            <w:r w:rsidR="00152224" w:rsidRPr="00644691">
              <w:t>,</w:t>
            </w:r>
            <w:r w:rsidRPr="00644691">
              <w:t xml:space="preserve"> was maintained over the full </w:t>
            </w:r>
            <w:r w:rsidR="00254DA3" w:rsidRPr="00644691">
              <w:t xml:space="preserve">duration of the </w:t>
            </w:r>
            <w:r w:rsidRPr="00644691">
              <w:t xml:space="preserve">model. </w:t>
            </w:r>
            <w:r w:rsidR="00856CBE" w:rsidRPr="00644691">
              <w:t xml:space="preserve">The </w:t>
            </w:r>
            <w:r w:rsidR="004749FA" w:rsidRPr="00644691">
              <w:t>PSCR stated</w:t>
            </w:r>
            <w:r w:rsidR="00DF5088" w:rsidRPr="00644691">
              <w:t xml:space="preserve"> that transition probabilities from Cycle 1 of the model were drawn from DAPA-HF, and that from Cycle 2 onwards, transition probabilities increased according to expected age-related trends, using Australian mortality data. Thus, it claimed that the treatment effect of dapagliflozin was only assumed for one year. The ESC noted that the method used to derive transition probabilities from Cycle 2 onwards resulted in application of trial-based treatment effects for the full model time horizon, as was evident from inspection of the transition probabilities applied to each treatment arm from Cycle 2 onwards</w:t>
            </w:r>
            <w:r w:rsidR="00856CBE" w:rsidRPr="00644691">
              <w:t>.</w:t>
            </w:r>
          </w:p>
          <w:p w:rsidR="00160B32" w:rsidRPr="00644691" w:rsidRDefault="00160B32" w:rsidP="005F2C3D">
            <w:pPr>
              <w:pStyle w:val="Tabletext0"/>
              <w:rPr>
                <w:iCs/>
              </w:rPr>
            </w:pPr>
          </w:p>
          <w:p w:rsidR="00580E6D" w:rsidRPr="00644691" w:rsidRDefault="002476D2" w:rsidP="00A06829">
            <w:pPr>
              <w:pStyle w:val="Tabletext0"/>
            </w:pPr>
            <w:r w:rsidRPr="00644691">
              <w:rPr>
                <w:iCs/>
              </w:rPr>
              <w:t>This assumption was not adequately justified and was considered uncertain given the lack of long-term clinical data.</w:t>
            </w:r>
            <w:r w:rsidR="00E66EC5" w:rsidRPr="00644691">
              <w:rPr>
                <w:iCs/>
              </w:rPr>
              <w:t xml:space="preserve"> The pre-PBAC response reiterated that there was no rationale to assume a waning treatment effect of dapagliflozin over time. </w:t>
            </w:r>
            <w:r w:rsidR="00450A19" w:rsidRPr="00644691">
              <w:rPr>
                <w:iCs/>
              </w:rPr>
              <w:t xml:space="preserve">It also argued that survival in both the dapagliflozin and placebo groups in the model were equally short (about 16 years), </w:t>
            </w:r>
            <w:r w:rsidR="00703882" w:rsidRPr="00644691">
              <w:rPr>
                <w:iCs/>
              </w:rPr>
              <w:t>suggesting that</w:t>
            </w:r>
            <w:r w:rsidR="00450A19" w:rsidRPr="00644691">
              <w:rPr>
                <w:iCs/>
              </w:rPr>
              <w:t xml:space="preserve"> the modelled benefits of dapagliflozin were not sustained. Furthermore, </w:t>
            </w:r>
            <w:r w:rsidR="00703882" w:rsidRPr="00644691">
              <w:rPr>
                <w:iCs/>
              </w:rPr>
              <w:t xml:space="preserve">the pre-PBAC response </w:t>
            </w:r>
            <w:r w:rsidR="00E66EC5" w:rsidRPr="00644691">
              <w:rPr>
                <w:iCs/>
              </w:rPr>
              <w:t>presented sensitivity analyses</w:t>
            </w:r>
            <w:r w:rsidR="00450A19" w:rsidRPr="00644691">
              <w:rPr>
                <w:iCs/>
              </w:rPr>
              <w:t xml:space="preserve"> assuming that the efficacy of dapagliflozin waned over time, such that the risks of both mortality and hospitalisations for HFrEF approached those of placebo in a linear fashion over 30 years and 15 years; the ICERs were, respectively, $</w:t>
            </w:r>
            <w:r w:rsidR="00BB0C56">
              <w:rPr>
                <w:iCs/>
                <w:noProof/>
                <w:color w:val="000000"/>
                <w:highlight w:val="black"/>
              </w:rPr>
              <w:t>'''''''''''''''''</w:t>
            </w:r>
            <w:r w:rsidR="00A06829">
              <w:rPr>
                <w:iCs/>
                <w:vertAlign w:val="superscript"/>
              </w:rPr>
              <w:t>1</w:t>
            </w:r>
            <w:r w:rsidR="00450A19" w:rsidRPr="00644691">
              <w:rPr>
                <w:iCs/>
              </w:rPr>
              <w:t xml:space="preserve"> and $</w:t>
            </w:r>
            <w:r w:rsidR="00BB0C56">
              <w:rPr>
                <w:iCs/>
                <w:noProof/>
                <w:color w:val="000000"/>
                <w:highlight w:val="black"/>
              </w:rPr>
              <w:t>'''''''''''''''</w:t>
            </w:r>
            <w:r w:rsidR="00A06829">
              <w:rPr>
                <w:iCs/>
                <w:vertAlign w:val="superscript"/>
              </w:rPr>
              <w:t>2</w:t>
            </w:r>
            <w:r w:rsidR="00450A19" w:rsidRPr="00644691">
              <w:rPr>
                <w:iCs/>
              </w:rPr>
              <w:t xml:space="preserve"> per QALY saved (compared to</w:t>
            </w:r>
            <w:r w:rsidR="00703882" w:rsidRPr="00644691">
              <w:rPr>
                <w:iCs/>
              </w:rPr>
              <w:t xml:space="preserve"> the</w:t>
            </w:r>
            <w:r w:rsidR="00450A19" w:rsidRPr="00644691">
              <w:rPr>
                <w:iCs/>
              </w:rPr>
              <w:t xml:space="preserve"> base case of $</w:t>
            </w:r>
            <w:r w:rsidR="00BB0C56">
              <w:rPr>
                <w:iCs/>
                <w:noProof/>
                <w:color w:val="000000"/>
                <w:highlight w:val="black"/>
              </w:rPr>
              <w:t>''''''''''''''''</w:t>
            </w:r>
            <w:r w:rsidR="00A06829">
              <w:rPr>
                <w:iCs/>
                <w:vertAlign w:val="superscript"/>
              </w:rPr>
              <w:t>1</w:t>
            </w:r>
            <w:r w:rsidR="00450A19" w:rsidRPr="00644691">
              <w:rPr>
                <w:iCs/>
              </w:rPr>
              <w:t>).</w:t>
            </w:r>
          </w:p>
        </w:tc>
        <w:tc>
          <w:tcPr>
            <w:tcW w:w="693" w:type="pct"/>
            <w:shd w:val="clear" w:color="auto" w:fill="auto"/>
            <w:vAlign w:val="center"/>
          </w:tcPr>
          <w:p w:rsidR="00580E6D" w:rsidRPr="00644691" w:rsidRDefault="002476D2" w:rsidP="005F2C3D">
            <w:pPr>
              <w:pStyle w:val="Tabletext0"/>
              <w:jc w:val="center"/>
              <w:rPr>
                <w:iCs/>
              </w:rPr>
            </w:pPr>
            <w:r w:rsidRPr="00644691">
              <w:rPr>
                <w:iCs/>
              </w:rPr>
              <w:t>High, favours dapagliflozin</w:t>
            </w:r>
          </w:p>
        </w:tc>
      </w:tr>
      <w:tr w:rsidR="0048419E" w:rsidRPr="00644691" w:rsidTr="00C438C8">
        <w:trPr>
          <w:cantSplit/>
        </w:trPr>
        <w:tc>
          <w:tcPr>
            <w:tcW w:w="718" w:type="pct"/>
            <w:shd w:val="clear" w:color="auto" w:fill="auto"/>
            <w:vAlign w:val="center"/>
          </w:tcPr>
          <w:p w:rsidR="0048419E" w:rsidRPr="00644691" w:rsidRDefault="0048419E" w:rsidP="005F2C3D">
            <w:pPr>
              <w:pStyle w:val="Tabletext0"/>
            </w:pPr>
            <w:r w:rsidRPr="00644691">
              <w:t xml:space="preserve">Dapagliflozin </w:t>
            </w:r>
            <w:r w:rsidR="00495E7E" w:rsidRPr="00644691">
              <w:t>treatment persistence</w:t>
            </w:r>
          </w:p>
        </w:tc>
        <w:tc>
          <w:tcPr>
            <w:tcW w:w="3589" w:type="pct"/>
            <w:shd w:val="clear" w:color="auto" w:fill="auto"/>
            <w:vAlign w:val="center"/>
          </w:tcPr>
          <w:p w:rsidR="00160B32" w:rsidRPr="00644691" w:rsidRDefault="0048419E" w:rsidP="005F2C3D">
            <w:pPr>
              <w:pStyle w:val="Tabletext0"/>
            </w:pPr>
            <w:r w:rsidRPr="00644691">
              <w:t xml:space="preserve">The model incorporated dapagliflozin treatment persistence based on drug discontinuation data reported in the DAPA-HF trial (based on the proportion of patients remaining on dapagliflozin after exclusion of deaths). A log-normal parametric function was used to extrapolate discontinuation data over the full </w:t>
            </w:r>
            <w:r w:rsidR="00751541" w:rsidRPr="00644691">
              <w:t>duration of the model</w:t>
            </w:r>
            <w:r w:rsidRPr="00644691">
              <w:t xml:space="preserve">. </w:t>
            </w:r>
          </w:p>
          <w:p w:rsidR="00160B32" w:rsidRPr="00644691" w:rsidRDefault="00160B32" w:rsidP="005F2C3D">
            <w:pPr>
              <w:pStyle w:val="Tabletext0"/>
              <w:rPr>
                <w:iCs/>
              </w:rPr>
            </w:pPr>
          </w:p>
          <w:p w:rsidR="0048419E" w:rsidRPr="00644691" w:rsidRDefault="0048419E" w:rsidP="005F2C3D">
            <w:pPr>
              <w:pStyle w:val="Tabletext0"/>
            </w:pPr>
            <w:r w:rsidRPr="00644691">
              <w:rPr>
                <w:iCs/>
              </w:rPr>
              <w:t xml:space="preserve">The </w:t>
            </w:r>
            <w:r w:rsidR="0019522A" w:rsidRPr="00644691">
              <w:rPr>
                <w:iCs/>
              </w:rPr>
              <w:t>re</w:t>
            </w:r>
            <w:r w:rsidRPr="00644691">
              <w:rPr>
                <w:iCs/>
              </w:rPr>
              <w:t xml:space="preserve">submission </w:t>
            </w:r>
            <w:r w:rsidR="004D293E" w:rsidRPr="00644691">
              <w:rPr>
                <w:iCs/>
              </w:rPr>
              <w:t xml:space="preserve">applied </w:t>
            </w:r>
            <w:r w:rsidRPr="00644691">
              <w:rPr>
                <w:iCs/>
              </w:rPr>
              <w:t>treatment persistence as a reduction in drug costs only</w:t>
            </w:r>
            <w:r w:rsidR="004D293E" w:rsidRPr="00644691">
              <w:rPr>
                <w:iCs/>
              </w:rPr>
              <w:t>. This was in</w:t>
            </w:r>
            <w:r w:rsidRPr="00644691">
              <w:rPr>
                <w:iCs/>
              </w:rPr>
              <w:t xml:space="preserve">appropriate, </w:t>
            </w:r>
            <w:r w:rsidR="004D293E" w:rsidRPr="00644691">
              <w:rPr>
                <w:iCs/>
              </w:rPr>
              <w:t xml:space="preserve">given that </w:t>
            </w:r>
            <w:r w:rsidRPr="00644691">
              <w:rPr>
                <w:iCs/>
              </w:rPr>
              <w:t>treatment persistence would also affect the effectiveness and safety of the treatment</w:t>
            </w:r>
            <w:r w:rsidR="004D293E" w:rsidRPr="00644691">
              <w:rPr>
                <w:iCs/>
              </w:rPr>
              <w:t xml:space="preserve">. </w:t>
            </w:r>
            <w:r w:rsidRPr="00644691">
              <w:rPr>
                <w:iCs/>
              </w:rPr>
              <w:t>Longer-term extrapolation of discontinuation rates was considered uncertain due to the relatively short duration of trial data (median 18.2</w:t>
            </w:r>
            <w:r w:rsidR="005A6241" w:rsidRPr="00644691">
              <w:rPr>
                <w:iCs/>
              </w:rPr>
              <w:t> </w:t>
            </w:r>
            <w:r w:rsidRPr="00644691">
              <w:rPr>
                <w:iCs/>
              </w:rPr>
              <w:t>months follow-up) compared to the model time horizon (30 years).</w:t>
            </w:r>
          </w:p>
        </w:tc>
        <w:tc>
          <w:tcPr>
            <w:tcW w:w="693" w:type="pct"/>
            <w:shd w:val="clear" w:color="auto" w:fill="auto"/>
            <w:vAlign w:val="center"/>
          </w:tcPr>
          <w:p w:rsidR="0048419E" w:rsidRPr="00644691" w:rsidRDefault="00107425" w:rsidP="005F2C3D">
            <w:pPr>
              <w:pStyle w:val="Tabletext0"/>
              <w:jc w:val="center"/>
              <w:rPr>
                <w:iCs/>
              </w:rPr>
            </w:pPr>
            <w:r w:rsidRPr="00644691">
              <w:rPr>
                <w:iCs/>
              </w:rPr>
              <w:t>Low, favours dapagliflozin</w:t>
            </w:r>
          </w:p>
        </w:tc>
      </w:tr>
      <w:tr w:rsidR="00580E6D" w:rsidRPr="00644691" w:rsidTr="00C438C8">
        <w:trPr>
          <w:cantSplit/>
        </w:trPr>
        <w:tc>
          <w:tcPr>
            <w:tcW w:w="718" w:type="pct"/>
            <w:shd w:val="clear" w:color="auto" w:fill="auto"/>
            <w:vAlign w:val="center"/>
          </w:tcPr>
          <w:p w:rsidR="00580E6D" w:rsidRPr="00644691" w:rsidRDefault="00D94559" w:rsidP="005F2C3D">
            <w:pPr>
              <w:pStyle w:val="Tabletext0"/>
            </w:pPr>
            <w:r w:rsidRPr="00644691">
              <w:lastRenderedPageBreak/>
              <w:t xml:space="preserve">Disease </w:t>
            </w:r>
            <w:r w:rsidR="00EA0430" w:rsidRPr="00644691">
              <w:t>management</w:t>
            </w:r>
            <w:r w:rsidRPr="00644691">
              <w:t xml:space="preserve"> costs</w:t>
            </w:r>
          </w:p>
        </w:tc>
        <w:tc>
          <w:tcPr>
            <w:tcW w:w="3589" w:type="pct"/>
            <w:shd w:val="clear" w:color="auto" w:fill="auto"/>
            <w:vAlign w:val="center"/>
          </w:tcPr>
          <w:p w:rsidR="00160B32" w:rsidRPr="00644691" w:rsidRDefault="00E445A4" w:rsidP="005F2C3D">
            <w:pPr>
              <w:pStyle w:val="Tabletext0"/>
            </w:pPr>
            <w:r w:rsidRPr="00644691">
              <w:t>Annual non-hospitalisation costs were based on the median heart failure ‘community costs’ reported by Scuffham et al.</w:t>
            </w:r>
            <w:r w:rsidR="0096105D" w:rsidRPr="00644691">
              <w:t xml:space="preserve"> (</w:t>
            </w:r>
            <w:r w:rsidRPr="00644691">
              <w:t>2017</w:t>
            </w:r>
            <w:r w:rsidR="0096105D" w:rsidRPr="00644691">
              <w:t>)</w:t>
            </w:r>
            <w:r w:rsidRPr="00644691">
              <w:t>. Community costs included costs for allied health visits, GP visits (one health assessment and one care management plan per patient per annum), nursing home/aged care, and pharmaceuticals (estimated from the PBS drug costs multiplied by duration of use). The reported median cost of $3,000 was inflated to a 2022 value of $3,256 using the AIHW health price index.</w:t>
            </w:r>
            <w:r w:rsidR="004D293E" w:rsidRPr="00644691">
              <w:t xml:space="preserve"> </w:t>
            </w:r>
          </w:p>
          <w:p w:rsidR="00160B32" w:rsidRPr="00644691" w:rsidRDefault="00160B32" w:rsidP="005F2C3D">
            <w:pPr>
              <w:pStyle w:val="Tabletext0"/>
              <w:rPr>
                <w:iCs/>
              </w:rPr>
            </w:pPr>
          </w:p>
          <w:p w:rsidR="00580E6D" w:rsidRPr="00644691" w:rsidRDefault="00EA0430" w:rsidP="00343008">
            <w:pPr>
              <w:pStyle w:val="Tabletext0"/>
              <w:rPr>
                <w:iCs/>
              </w:rPr>
            </w:pPr>
            <w:r w:rsidRPr="00644691">
              <w:rPr>
                <w:iCs/>
              </w:rPr>
              <w:t>Differences between the DAPA-HF and Scuffham et al.</w:t>
            </w:r>
            <w:r w:rsidR="0096105D" w:rsidRPr="00644691">
              <w:rPr>
                <w:iCs/>
              </w:rPr>
              <w:t xml:space="preserve"> (</w:t>
            </w:r>
            <w:r w:rsidRPr="00644691">
              <w:rPr>
                <w:iCs/>
              </w:rPr>
              <w:t>2017</w:t>
            </w:r>
            <w:r w:rsidR="0096105D" w:rsidRPr="00644691">
              <w:rPr>
                <w:iCs/>
              </w:rPr>
              <w:t>)</w:t>
            </w:r>
            <w:r w:rsidRPr="00644691">
              <w:rPr>
                <w:iCs/>
              </w:rPr>
              <w:t xml:space="preserve"> </w:t>
            </w:r>
            <w:r w:rsidR="006C3F20" w:rsidRPr="00644691">
              <w:rPr>
                <w:iCs/>
              </w:rPr>
              <w:t>p</w:t>
            </w:r>
            <w:r w:rsidRPr="00644691">
              <w:rPr>
                <w:iCs/>
              </w:rPr>
              <w:t>opulations suggest</w:t>
            </w:r>
            <w:r w:rsidR="0096105D" w:rsidRPr="00644691">
              <w:rPr>
                <w:iCs/>
              </w:rPr>
              <w:t>ed</w:t>
            </w:r>
            <w:r w:rsidRPr="00644691">
              <w:rPr>
                <w:iCs/>
              </w:rPr>
              <w:t xml:space="preserve"> that the disease management costs may not be applicable to the DAPA-HF population.</w:t>
            </w:r>
            <w:r w:rsidR="00EC0731" w:rsidRPr="00644691">
              <w:rPr>
                <w:iCs/>
              </w:rPr>
              <w:t xml:space="preserve"> Disease management costs were applied to patients in the ‘alive’ health state as a static annual cost. This was unlikely to reflect the progressive nature of the disease, given that patients with worsening </w:t>
            </w:r>
            <w:r w:rsidR="00286611" w:rsidRPr="00644691">
              <w:rPr>
                <w:iCs/>
              </w:rPr>
              <w:t>heart failure</w:t>
            </w:r>
            <w:r w:rsidR="00EC0731" w:rsidRPr="00644691">
              <w:rPr>
                <w:iCs/>
              </w:rPr>
              <w:t xml:space="preserve"> would be expected to have increasing care needs and hence increasing costs over time.</w:t>
            </w:r>
          </w:p>
        </w:tc>
        <w:tc>
          <w:tcPr>
            <w:tcW w:w="693" w:type="pct"/>
            <w:shd w:val="clear" w:color="auto" w:fill="auto"/>
            <w:vAlign w:val="center"/>
          </w:tcPr>
          <w:p w:rsidR="00580E6D" w:rsidRPr="00644691" w:rsidRDefault="00E445A4" w:rsidP="005F2C3D">
            <w:pPr>
              <w:pStyle w:val="Tabletext0"/>
              <w:jc w:val="center"/>
              <w:rPr>
                <w:iCs/>
              </w:rPr>
            </w:pPr>
            <w:r w:rsidRPr="00644691">
              <w:rPr>
                <w:iCs/>
              </w:rPr>
              <w:t>Mod</w:t>
            </w:r>
            <w:r w:rsidR="004513AA" w:rsidRPr="00644691">
              <w:rPr>
                <w:iCs/>
              </w:rPr>
              <w:t>erate, favours dapagliflozin</w:t>
            </w:r>
          </w:p>
        </w:tc>
      </w:tr>
      <w:tr w:rsidR="00E445A4" w:rsidRPr="00644691" w:rsidTr="00C438C8">
        <w:trPr>
          <w:cantSplit/>
        </w:trPr>
        <w:tc>
          <w:tcPr>
            <w:tcW w:w="718" w:type="pct"/>
            <w:shd w:val="clear" w:color="auto" w:fill="auto"/>
            <w:vAlign w:val="center"/>
          </w:tcPr>
          <w:p w:rsidR="00E445A4" w:rsidRPr="00644691" w:rsidRDefault="00E445A4" w:rsidP="00E445A4">
            <w:pPr>
              <w:pStyle w:val="Tabletext0"/>
            </w:pPr>
            <w:r w:rsidRPr="00644691">
              <w:t>Health state utilities</w:t>
            </w:r>
          </w:p>
        </w:tc>
        <w:tc>
          <w:tcPr>
            <w:tcW w:w="3589" w:type="pct"/>
            <w:shd w:val="clear" w:color="auto" w:fill="auto"/>
            <w:vAlign w:val="center"/>
          </w:tcPr>
          <w:p w:rsidR="00160B32" w:rsidRPr="00644691" w:rsidRDefault="00286611" w:rsidP="00E445A4">
            <w:pPr>
              <w:pStyle w:val="Tabletext0"/>
            </w:pPr>
            <w:r w:rsidRPr="00644691">
              <w:t>Health state utility for the ‘alive’ health state for the first four years of the model was based on the b</w:t>
            </w:r>
            <w:r w:rsidR="00E445A4" w:rsidRPr="00644691">
              <w:t xml:space="preserve">aseline utility value for the placebo arm of the DAPA-HF trial. </w:t>
            </w:r>
            <w:r w:rsidR="00CF75F9" w:rsidRPr="00644691">
              <w:t>In subsequent cycles, the</w:t>
            </w:r>
            <w:r w:rsidRPr="00644691">
              <w:t xml:space="preserve"> resubmission applied an a</w:t>
            </w:r>
            <w:r w:rsidR="00E445A4" w:rsidRPr="00644691">
              <w:t>ge-related decline in utility based on Australian population utility estimates reported by Hawthorne et al. (2013)</w:t>
            </w:r>
            <w:r w:rsidR="00CF75F9" w:rsidRPr="00644691">
              <w:t>.</w:t>
            </w:r>
            <w:r w:rsidR="00493526" w:rsidRPr="00644691">
              <w:t xml:space="preserve"> </w:t>
            </w:r>
          </w:p>
          <w:p w:rsidR="00160B32" w:rsidRPr="00644691" w:rsidRDefault="00160B32" w:rsidP="00E445A4">
            <w:pPr>
              <w:pStyle w:val="Tabletext0"/>
              <w:rPr>
                <w:iCs/>
              </w:rPr>
            </w:pPr>
          </w:p>
          <w:p w:rsidR="00E445A4" w:rsidRPr="00644691" w:rsidRDefault="00E445A4" w:rsidP="00F25045">
            <w:pPr>
              <w:pStyle w:val="Tabletext0"/>
            </w:pPr>
            <w:r w:rsidRPr="00644691">
              <w:rPr>
                <w:iCs/>
              </w:rPr>
              <w:t xml:space="preserve">The methods used to model utility values over time were not adequately justified and were considered highly uncertain. It </w:t>
            </w:r>
            <w:r w:rsidR="00F25045" w:rsidRPr="00644691">
              <w:rPr>
                <w:iCs/>
              </w:rPr>
              <w:t xml:space="preserve">was </w:t>
            </w:r>
            <w:r w:rsidRPr="00644691">
              <w:rPr>
                <w:iCs/>
              </w:rPr>
              <w:t xml:space="preserve">unclear whether the derived utility values adequately captured underlying quality of life over time </w:t>
            </w:r>
            <w:r w:rsidR="0096105D" w:rsidRPr="00644691">
              <w:rPr>
                <w:iCs/>
              </w:rPr>
              <w:t xml:space="preserve">in </w:t>
            </w:r>
            <w:r w:rsidRPr="00644691">
              <w:rPr>
                <w:iCs/>
              </w:rPr>
              <w:t xml:space="preserve">the modelled </w:t>
            </w:r>
            <w:r w:rsidR="00960E2D" w:rsidRPr="00644691">
              <w:rPr>
                <w:iCs/>
              </w:rPr>
              <w:t>HFrEF</w:t>
            </w:r>
            <w:r w:rsidRPr="00644691">
              <w:rPr>
                <w:iCs/>
              </w:rPr>
              <w:t xml:space="preserve"> population. Additionally, the applicability of the population utility estimates to the decline in quality of life in the </w:t>
            </w:r>
            <w:r w:rsidR="00960E2D" w:rsidRPr="00644691">
              <w:rPr>
                <w:iCs/>
              </w:rPr>
              <w:t>HFrEF</w:t>
            </w:r>
            <w:r w:rsidRPr="00644691">
              <w:rPr>
                <w:iCs/>
              </w:rPr>
              <w:t xml:space="preserve"> population over time </w:t>
            </w:r>
            <w:r w:rsidR="00F25045" w:rsidRPr="00644691">
              <w:rPr>
                <w:iCs/>
              </w:rPr>
              <w:t xml:space="preserve">was </w:t>
            </w:r>
            <w:r w:rsidRPr="00644691">
              <w:rPr>
                <w:iCs/>
              </w:rPr>
              <w:t xml:space="preserve">unclear. The resubmission did not adequately justify the validity of the approach and did not present studies to validate the resulting </w:t>
            </w:r>
            <w:r w:rsidR="00CF75F9" w:rsidRPr="00644691">
              <w:rPr>
                <w:iCs/>
              </w:rPr>
              <w:t>utility</w:t>
            </w:r>
            <w:r w:rsidRPr="00644691">
              <w:rPr>
                <w:iCs/>
              </w:rPr>
              <w:t xml:space="preserve"> estimates</w:t>
            </w:r>
            <w:r w:rsidRPr="00644691">
              <w:t>.</w:t>
            </w:r>
          </w:p>
        </w:tc>
        <w:tc>
          <w:tcPr>
            <w:tcW w:w="693" w:type="pct"/>
            <w:shd w:val="clear" w:color="auto" w:fill="auto"/>
            <w:vAlign w:val="center"/>
          </w:tcPr>
          <w:p w:rsidR="00E445A4" w:rsidRPr="00644691" w:rsidRDefault="004513AA" w:rsidP="00E445A4">
            <w:pPr>
              <w:pStyle w:val="Tabletext0"/>
              <w:jc w:val="center"/>
              <w:rPr>
                <w:iCs/>
              </w:rPr>
            </w:pPr>
            <w:r w:rsidRPr="00644691">
              <w:rPr>
                <w:iCs/>
              </w:rPr>
              <w:t>Moderate, favours dapagliflozin</w:t>
            </w:r>
          </w:p>
        </w:tc>
      </w:tr>
    </w:tbl>
    <w:p w:rsidR="00A93219" w:rsidRPr="00644691" w:rsidRDefault="00EC0731" w:rsidP="00A93219">
      <w:pPr>
        <w:pStyle w:val="TableFooter"/>
        <w:spacing w:after="120"/>
      </w:pPr>
      <w:r w:rsidRPr="00644691">
        <w:t>Source:</w:t>
      </w:r>
      <w:r w:rsidR="00A93219" w:rsidRPr="00644691">
        <w:t xml:space="preserve"> </w:t>
      </w:r>
      <w:r w:rsidR="006C3F20" w:rsidRPr="00644691">
        <w:t xml:space="preserve">Compiled during the evaluation with reference to </w:t>
      </w:r>
      <w:r w:rsidR="00107425" w:rsidRPr="00644691">
        <w:t>Section 3B of the resubmission, and the ‘Dapagliflozin HF_PBAC Mar 2021_CE Model’ Excel workbook.</w:t>
      </w:r>
    </w:p>
    <w:p w:rsidR="00580E6D" w:rsidRDefault="00695EEA" w:rsidP="00A06829">
      <w:pPr>
        <w:pStyle w:val="TableFooter"/>
      </w:pPr>
      <w:r w:rsidRPr="00644691">
        <w:t xml:space="preserve">AIHW, Australian Institute of Health and Welfare; </w:t>
      </w:r>
      <w:r w:rsidR="00960E2D" w:rsidRPr="00644691">
        <w:t>HFrEF</w:t>
      </w:r>
      <w:r w:rsidRPr="00644691">
        <w:t>, heart failure with reduced ejection fraction.</w:t>
      </w:r>
    </w:p>
    <w:p w:rsidR="00A06829" w:rsidRDefault="00A06829" w:rsidP="00A06829">
      <w:pPr>
        <w:pStyle w:val="TableFigureFooter"/>
        <w:spacing w:after="0"/>
        <w:contextualSpacing w:val="0"/>
        <w:rPr>
          <w:i/>
        </w:rPr>
      </w:pPr>
      <w:r w:rsidRPr="009868C4">
        <w:rPr>
          <w:i/>
        </w:rPr>
        <w:t>The redacted values correspond to the following ranges</w:t>
      </w:r>
      <w:r>
        <w:rPr>
          <w:i/>
        </w:rPr>
        <w:t xml:space="preserve">: </w:t>
      </w:r>
    </w:p>
    <w:p w:rsidR="00A06829" w:rsidRPr="00870C5D" w:rsidRDefault="00A06829" w:rsidP="00A06829">
      <w:pPr>
        <w:pStyle w:val="TableFigureFooter"/>
        <w:spacing w:after="0"/>
        <w:contextualSpacing w:val="0"/>
      </w:pPr>
      <w:r>
        <w:rPr>
          <w:i/>
          <w:vertAlign w:val="superscript"/>
        </w:rPr>
        <w:t>1</w:t>
      </w:r>
      <w:r>
        <w:rPr>
          <w:i/>
        </w:rPr>
        <w:t xml:space="preserve"> </w:t>
      </w:r>
      <w:r w:rsidRPr="00A06829">
        <w:rPr>
          <w:i/>
        </w:rPr>
        <w:t>$15,000 to &lt; $25,000</w:t>
      </w:r>
    </w:p>
    <w:p w:rsidR="00A06829" w:rsidRPr="00870C5D" w:rsidRDefault="00A06829" w:rsidP="00A06829">
      <w:pPr>
        <w:pStyle w:val="TableFigureFooter"/>
        <w:spacing w:after="0"/>
        <w:contextualSpacing w:val="0"/>
      </w:pPr>
      <w:r>
        <w:rPr>
          <w:i/>
          <w:vertAlign w:val="superscript"/>
        </w:rPr>
        <w:t>2</w:t>
      </w:r>
      <w:r>
        <w:rPr>
          <w:i/>
        </w:rPr>
        <w:t xml:space="preserve"> </w:t>
      </w:r>
      <w:r w:rsidRPr="00A06829">
        <w:rPr>
          <w:i/>
        </w:rPr>
        <w:t>$25,000 to &lt; $35,000</w:t>
      </w:r>
    </w:p>
    <w:p w:rsidR="00A06829" w:rsidRPr="00644691" w:rsidRDefault="00A06829" w:rsidP="00A93219">
      <w:pPr>
        <w:pStyle w:val="TableFooter"/>
        <w:spacing w:after="120"/>
      </w:pPr>
    </w:p>
    <w:p w:rsidR="00BF6B7C" w:rsidRPr="00644691" w:rsidRDefault="00187DE1" w:rsidP="00A06829">
      <w:pPr>
        <w:pStyle w:val="ExecSumBodyText"/>
      </w:pPr>
      <w:r w:rsidRPr="00644691">
        <w:t>As described in the table above, the use of general population mortality rates and general population utility values to extrapolate the mortality and utility estimates from the DAPA-HF trial was not adequately justified in the resubmission. The resulting mortality and utility estimates used in the model may not reflect the mortality risk and utility change over time among patients with HFrEF. The PSCR</w:t>
      </w:r>
      <w:r w:rsidR="001D031F" w:rsidRPr="00644691">
        <w:t xml:space="preserve"> argued that the</w:t>
      </w:r>
      <w:r w:rsidRPr="00644691">
        <w:t xml:space="preserve"> economic model did not </w:t>
      </w:r>
      <w:r w:rsidR="001D031F" w:rsidRPr="00644691">
        <w:t xml:space="preserve">directly </w:t>
      </w:r>
      <w:r w:rsidRPr="00644691">
        <w:t xml:space="preserve">apply mortality rates nor utilities from the general population. Rather, it used these data to estimate age-related trends in mortality and utilities (for application to Cycle 2 and beyond). </w:t>
      </w:r>
      <w:r w:rsidR="001D031F" w:rsidRPr="00644691">
        <w:t>It claimed that there was</w:t>
      </w:r>
      <w:r w:rsidRPr="00644691">
        <w:t xml:space="preserve"> no evidence that age-related proportional changes to mortality and utilities </w:t>
      </w:r>
      <w:r w:rsidR="001D031F" w:rsidRPr="00644691">
        <w:t>were</w:t>
      </w:r>
      <w:r w:rsidRPr="00644691">
        <w:t xml:space="preserve"> different for the target PBS population than for the general population</w:t>
      </w:r>
      <w:r w:rsidR="00450A19" w:rsidRPr="00644691">
        <w:t xml:space="preserve"> (the pre-PBAC response reiterated this argument)</w:t>
      </w:r>
      <w:r w:rsidRPr="00644691">
        <w:t xml:space="preserve">. </w:t>
      </w:r>
      <w:r w:rsidR="001D031F" w:rsidRPr="00644691">
        <w:t>Nonetheless, the ESC noted that there was no evidence that the</w:t>
      </w:r>
      <w:r w:rsidR="00C46477" w:rsidRPr="00644691">
        <w:t xml:space="preserve"> values </w:t>
      </w:r>
      <w:r w:rsidR="004F52CA" w:rsidRPr="00644691">
        <w:t>would be the same</w:t>
      </w:r>
      <w:r w:rsidR="00C46477" w:rsidRPr="00644691">
        <w:t xml:space="preserve">, and hence agreed with the Commentary that the </w:t>
      </w:r>
      <w:r w:rsidR="004F52CA" w:rsidRPr="00644691">
        <w:t>submission’s approaches were</w:t>
      </w:r>
      <w:r w:rsidR="00C46477" w:rsidRPr="00644691">
        <w:t xml:space="preserve"> poorly justified. </w:t>
      </w:r>
      <w:r w:rsidR="004F52CA" w:rsidRPr="00644691">
        <w:t>The ESC also noted that</w:t>
      </w:r>
      <w:r w:rsidR="00C46477" w:rsidRPr="00644691">
        <w:t xml:space="preserve"> the submission had not justified why trial-based utilities were not applied in the model.</w:t>
      </w:r>
      <w:r w:rsidR="00E66EC5" w:rsidRPr="00644691">
        <w:t xml:space="preserve"> </w:t>
      </w:r>
      <w:r w:rsidR="00450A19" w:rsidRPr="00644691">
        <w:t xml:space="preserve">The pre-PBAC response presented sensitivity analyses that assumed age-related proportional changes to mortality were 50% and 100% higher than those assumed in the base case </w:t>
      </w:r>
      <w:r w:rsidR="00450A19" w:rsidRPr="00644691">
        <w:lastRenderedPageBreak/>
        <w:t xml:space="preserve">model; the ICERs were, respectively, </w:t>
      </w:r>
      <w:r w:rsidR="00A06829" w:rsidRPr="00A06829">
        <w:t>$15,000 to &lt; $25,000</w:t>
      </w:r>
      <w:r w:rsidR="00A06829">
        <w:t xml:space="preserve"> </w:t>
      </w:r>
      <w:r w:rsidR="00450A19" w:rsidRPr="00644691">
        <w:t xml:space="preserve">and </w:t>
      </w:r>
      <w:r w:rsidR="00A06829" w:rsidRPr="00A06829">
        <w:t>$15,000 to &lt; $25,000</w:t>
      </w:r>
      <w:r w:rsidR="00A06829">
        <w:t xml:space="preserve"> </w:t>
      </w:r>
      <w:r w:rsidR="00450A19" w:rsidRPr="00644691">
        <w:t xml:space="preserve">per QALY saved (compared to </w:t>
      </w:r>
      <w:r w:rsidR="00703882" w:rsidRPr="00644691">
        <w:t xml:space="preserve">the base case of </w:t>
      </w:r>
      <w:r w:rsidR="00A06829" w:rsidRPr="00A06829">
        <w:t>$15,000 to &lt; $25,000</w:t>
      </w:r>
      <w:r w:rsidR="00450A19" w:rsidRPr="00644691">
        <w:t xml:space="preserve">). </w:t>
      </w:r>
    </w:p>
    <w:p w:rsidR="00F50D46" w:rsidRPr="00644691" w:rsidRDefault="00F50D46" w:rsidP="00F50D46">
      <w:pPr>
        <w:pStyle w:val="ExecSumBodyText"/>
      </w:pPr>
      <w:r w:rsidRPr="00644691">
        <w:t xml:space="preserve">Figure </w:t>
      </w:r>
      <w:r w:rsidR="004A6117" w:rsidRPr="00644691">
        <w:t>1</w:t>
      </w:r>
      <w:r w:rsidRPr="00644691">
        <w:t xml:space="preserve"> presents the model trace for dapagliflozin plus standard care and placebo plus standard care.</w:t>
      </w:r>
    </w:p>
    <w:p w:rsidR="00F50D46" w:rsidRPr="00644691" w:rsidRDefault="00F50D46" w:rsidP="00446FEF">
      <w:pPr>
        <w:pStyle w:val="TableFigureCaption"/>
      </w:pPr>
      <w:r w:rsidRPr="00644691">
        <w:t xml:space="preserve">Figure </w:t>
      </w:r>
      <w:r w:rsidR="000C6AFA">
        <w:rPr>
          <w:noProof/>
        </w:rPr>
        <w:t>1</w:t>
      </w:r>
      <w:r w:rsidRPr="00644691">
        <w:t>: Model trace</w:t>
      </w:r>
      <w:r w:rsidR="00E13CD9" w:rsidRPr="00644691">
        <w:t>s</w:t>
      </w:r>
      <w:r w:rsidRPr="00644691">
        <w:t xml:space="preserve"> for </w:t>
      </w:r>
      <w:bookmarkStart w:id="36" w:name="_Hlk69716491"/>
      <w:r w:rsidRPr="00644691">
        <w:t>dapagliflozin plus standard care and placebo plus standard care</w:t>
      </w:r>
      <w:bookmarkEnd w:id="36"/>
    </w:p>
    <w:p w:rsidR="00F50D46" w:rsidRPr="00644691" w:rsidRDefault="00F50D46" w:rsidP="00F50D46">
      <w:r w:rsidRPr="00644691">
        <w:rPr>
          <w:noProof/>
        </w:rPr>
        <w:drawing>
          <wp:inline distT="0" distB="0" distL="0" distR="0" wp14:anchorId="5DE18663" wp14:editId="2FED7E19">
            <wp:extent cx="5536541" cy="3219450"/>
            <wp:effectExtent l="0" t="0" r="0" b="0"/>
            <wp:docPr id="16" name="Picture 16" title="Figure 1: Model traces for dapagliflozin plus standard care and placebo plus standar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7349" cy="3225735"/>
                    </a:xfrm>
                    <a:prstGeom prst="rect">
                      <a:avLst/>
                    </a:prstGeom>
                    <a:noFill/>
                  </pic:spPr>
                </pic:pic>
              </a:graphicData>
            </a:graphic>
          </wp:inline>
        </w:drawing>
      </w:r>
    </w:p>
    <w:p w:rsidR="00F50D46" w:rsidRPr="00644691" w:rsidRDefault="00F50D46" w:rsidP="00F50D46">
      <w:pPr>
        <w:pStyle w:val="TableFooter"/>
        <w:spacing w:after="120"/>
      </w:pPr>
      <w:r w:rsidRPr="00644691">
        <w:t>Source: Compiled using ‘Dapagliflozin HF_PBAC Mar 2021_CE Model’ Excel workbook.</w:t>
      </w:r>
    </w:p>
    <w:p w:rsidR="00F50D46" w:rsidRPr="00644691" w:rsidRDefault="00F25045" w:rsidP="00F50D46">
      <w:pPr>
        <w:pStyle w:val="TableFooter"/>
        <w:spacing w:after="120"/>
      </w:pPr>
      <w:r w:rsidRPr="00644691">
        <w:t xml:space="preserve">CV, cardiovascular; </w:t>
      </w:r>
      <w:r w:rsidR="00F50D46" w:rsidRPr="00644691">
        <w:t>DAP, dapagliflozin; PBO, placebo.</w:t>
      </w:r>
    </w:p>
    <w:p w:rsidR="00F50D46" w:rsidRPr="00644691" w:rsidRDefault="00F50D46" w:rsidP="00F50D46">
      <w:pPr>
        <w:pStyle w:val="ExecSumBodyText"/>
        <w:rPr>
          <w:iCs/>
        </w:rPr>
      </w:pPr>
      <w:r w:rsidRPr="00644691">
        <w:rPr>
          <w:iCs/>
        </w:rPr>
        <w:t>The model trace</w:t>
      </w:r>
      <w:r w:rsidR="00E13CD9" w:rsidRPr="00644691">
        <w:rPr>
          <w:iCs/>
        </w:rPr>
        <w:t>s</w:t>
      </w:r>
      <w:r w:rsidRPr="00644691">
        <w:rPr>
          <w:iCs/>
        </w:rPr>
        <w:t xml:space="preserve"> indicate</w:t>
      </w:r>
      <w:r w:rsidR="00F25045" w:rsidRPr="00644691">
        <w:rPr>
          <w:iCs/>
        </w:rPr>
        <w:t>d</w:t>
      </w:r>
      <w:r w:rsidRPr="00644691">
        <w:rPr>
          <w:iCs/>
        </w:rPr>
        <w:t xml:space="preserve"> that dapagliflozin was associated with a survival benefit, and that this was predominantly due to a reduction in cardiovascular deaths. All patients had died by 20 years in the model.</w:t>
      </w:r>
    </w:p>
    <w:p w:rsidR="00C374D2" w:rsidRPr="00644691" w:rsidRDefault="00C374D2" w:rsidP="00C77034">
      <w:pPr>
        <w:pStyle w:val="ExecSumBodyText"/>
      </w:pPr>
      <w:r w:rsidRPr="00644691">
        <w:t xml:space="preserve">The results of the modelled economic evaluation are summarised below. </w:t>
      </w:r>
    </w:p>
    <w:p w:rsidR="00C77034" w:rsidRPr="00644691" w:rsidRDefault="00C77034" w:rsidP="00446FEF">
      <w:pPr>
        <w:pStyle w:val="TableFigureCaption"/>
      </w:pPr>
      <w:r w:rsidRPr="00644691">
        <w:t xml:space="preserve">Table </w:t>
      </w:r>
      <w:r w:rsidR="000C6AFA">
        <w:rPr>
          <w:noProof/>
        </w:rPr>
        <w:t>9</w:t>
      </w:r>
      <w:r w:rsidRPr="00644691">
        <w:t>: Results of the modelled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C77034" w:rsidRPr="00644691" w:rsidTr="005F2C3D">
        <w:trPr>
          <w:tblHeader/>
        </w:trPr>
        <w:tc>
          <w:tcPr>
            <w:tcW w:w="1529" w:type="pct"/>
            <w:vAlign w:val="center"/>
          </w:tcPr>
          <w:p w:rsidR="00C77034" w:rsidRPr="00644691" w:rsidRDefault="00C77034" w:rsidP="005F2C3D">
            <w:pPr>
              <w:pStyle w:val="Tableheadingrow"/>
              <w:rPr>
                <w:lang w:val="en-AU"/>
              </w:rPr>
            </w:pPr>
            <w:r w:rsidRPr="00644691">
              <w:rPr>
                <w:lang w:val="en-AU"/>
              </w:rPr>
              <w:t>Component</w:t>
            </w:r>
          </w:p>
        </w:tc>
        <w:tc>
          <w:tcPr>
            <w:tcW w:w="1359" w:type="pct"/>
            <w:vAlign w:val="center"/>
          </w:tcPr>
          <w:p w:rsidR="00C77034" w:rsidRPr="00644691" w:rsidRDefault="00C77034" w:rsidP="005F2C3D">
            <w:pPr>
              <w:pStyle w:val="Tableheadingrow"/>
              <w:jc w:val="center"/>
              <w:rPr>
                <w:bCs/>
                <w:lang w:val="en-AU"/>
              </w:rPr>
            </w:pPr>
            <w:r w:rsidRPr="00644691">
              <w:rPr>
                <w:rFonts w:cstheme="minorHAnsi"/>
                <w:bCs/>
                <w:szCs w:val="20"/>
                <w:lang w:val="en-AU"/>
              </w:rPr>
              <w:t>Dapagliflozin + SOC</w:t>
            </w:r>
          </w:p>
        </w:tc>
        <w:tc>
          <w:tcPr>
            <w:tcW w:w="1274" w:type="pct"/>
            <w:vAlign w:val="center"/>
          </w:tcPr>
          <w:p w:rsidR="00C77034" w:rsidRPr="00644691" w:rsidRDefault="00C77034" w:rsidP="005F2C3D">
            <w:pPr>
              <w:pStyle w:val="Tableheadingrow"/>
              <w:jc w:val="center"/>
              <w:rPr>
                <w:bCs/>
                <w:lang w:val="en-AU"/>
              </w:rPr>
            </w:pPr>
            <w:r w:rsidRPr="00644691">
              <w:rPr>
                <w:rFonts w:cstheme="minorHAnsi"/>
                <w:bCs/>
                <w:szCs w:val="20"/>
                <w:lang w:val="en-AU"/>
              </w:rPr>
              <w:t>Placebo + SOC</w:t>
            </w:r>
          </w:p>
        </w:tc>
        <w:tc>
          <w:tcPr>
            <w:tcW w:w="838" w:type="pct"/>
            <w:vAlign w:val="center"/>
          </w:tcPr>
          <w:p w:rsidR="00C77034" w:rsidRPr="00644691" w:rsidRDefault="00C77034" w:rsidP="005F2C3D">
            <w:pPr>
              <w:pStyle w:val="Tableheadingrow"/>
              <w:jc w:val="center"/>
              <w:rPr>
                <w:bCs/>
                <w:lang w:val="en-AU"/>
              </w:rPr>
            </w:pPr>
            <w:r w:rsidRPr="00644691">
              <w:rPr>
                <w:rFonts w:cstheme="minorHAnsi"/>
                <w:bCs/>
                <w:szCs w:val="20"/>
                <w:lang w:val="en-AU"/>
              </w:rPr>
              <w:t>Increment</w:t>
            </w:r>
          </w:p>
        </w:tc>
      </w:tr>
      <w:tr w:rsidR="00C77034" w:rsidRPr="00644691" w:rsidTr="005F2C3D">
        <w:tc>
          <w:tcPr>
            <w:tcW w:w="1529" w:type="pct"/>
            <w:vAlign w:val="center"/>
          </w:tcPr>
          <w:p w:rsidR="00C77034" w:rsidRPr="00644691" w:rsidRDefault="00C77034" w:rsidP="005F2C3D">
            <w:pPr>
              <w:pStyle w:val="TableText"/>
              <w:rPr>
                <w:rFonts w:ascii="Times" w:hAnsi="Times"/>
              </w:rPr>
            </w:pPr>
            <w:r w:rsidRPr="00644691">
              <w:t>Costs</w:t>
            </w:r>
          </w:p>
        </w:tc>
        <w:tc>
          <w:tcPr>
            <w:tcW w:w="1359" w:type="pct"/>
            <w:vAlign w:val="center"/>
          </w:tcPr>
          <w:p w:rsidR="00C77034" w:rsidRPr="00644691" w:rsidRDefault="00C77034" w:rsidP="005F2C3D">
            <w:pPr>
              <w:pStyle w:val="TableText"/>
              <w:jc w:val="center"/>
              <w:rPr>
                <w:rFonts w:ascii="Times" w:hAnsi="Times"/>
              </w:rPr>
            </w:pPr>
            <w:r w:rsidRPr="00644691">
              <w:t>$</w:t>
            </w:r>
            <w:r w:rsidR="00BB0C56">
              <w:rPr>
                <w:noProof/>
                <w:color w:val="000000"/>
                <w:highlight w:val="black"/>
              </w:rPr>
              <w:t>''''''''''''''''</w:t>
            </w:r>
          </w:p>
        </w:tc>
        <w:tc>
          <w:tcPr>
            <w:tcW w:w="1274" w:type="pct"/>
            <w:vAlign w:val="center"/>
          </w:tcPr>
          <w:p w:rsidR="00C77034" w:rsidRPr="00644691" w:rsidRDefault="00C77034" w:rsidP="005F2C3D">
            <w:pPr>
              <w:pStyle w:val="TableText"/>
              <w:jc w:val="center"/>
              <w:rPr>
                <w:rFonts w:ascii="Times" w:hAnsi="Times"/>
              </w:rPr>
            </w:pPr>
            <w:r w:rsidRPr="00644691">
              <w:t>$24,452</w:t>
            </w:r>
          </w:p>
        </w:tc>
        <w:tc>
          <w:tcPr>
            <w:tcW w:w="838" w:type="pct"/>
            <w:vAlign w:val="center"/>
          </w:tcPr>
          <w:p w:rsidR="00C77034" w:rsidRPr="00644691" w:rsidRDefault="00C77034" w:rsidP="005F2C3D">
            <w:pPr>
              <w:pStyle w:val="TableText"/>
              <w:jc w:val="center"/>
              <w:rPr>
                <w:rFonts w:ascii="Times" w:hAnsi="Times"/>
              </w:rPr>
            </w:pPr>
            <w:r w:rsidRPr="00644691">
              <w:t>$</w:t>
            </w:r>
            <w:r w:rsidR="00BB0C56">
              <w:rPr>
                <w:noProof/>
                <w:color w:val="000000"/>
                <w:highlight w:val="black"/>
              </w:rPr>
              <w:t>''''''''''''''</w:t>
            </w:r>
          </w:p>
        </w:tc>
      </w:tr>
      <w:tr w:rsidR="00C77034" w:rsidRPr="00644691" w:rsidTr="005F2C3D">
        <w:tc>
          <w:tcPr>
            <w:tcW w:w="1529" w:type="pct"/>
            <w:vAlign w:val="center"/>
          </w:tcPr>
          <w:p w:rsidR="00C77034" w:rsidRPr="00644691" w:rsidRDefault="00C77034" w:rsidP="005F2C3D">
            <w:pPr>
              <w:pStyle w:val="TableText"/>
            </w:pPr>
            <w:r w:rsidRPr="00644691">
              <w:t>Life years</w:t>
            </w:r>
          </w:p>
        </w:tc>
        <w:tc>
          <w:tcPr>
            <w:tcW w:w="1359" w:type="pct"/>
            <w:vAlign w:val="center"/>
          </w:tcPr>
          <w:p w:rsidR="00C77034" w:rsidRPr="00644691" w:rsidRDefault="00C77034" w:rsidP="005F2C3D">
            <w:pPr>
              <w:pStyle w:val="TableText"/>
              <w:jc w:val="center"/>
            </w:pPr>
            <w:r w:rsidRPr="00644691">
              <w:t>5.42</w:t>
            </w:r>
          </w:p>
        </w:tc>
        <w:tc>
          <w:tcPr>
            <w:tcW w:w="1274" w:type="pct"/>
            <w:vAlign w:val="center"/>
          </w:tcPr>
          <w:p w:rsidR="00C77034" w:rsidRPr="00644691" w:rsidRDefault="00C77034" w:rsidP="005F2C3D">
            <w:pPr>
              <w:pStyle w:val="TableText"/>
              <w:jc w:val="center"/>
            </w:pPr>
            <w:r w:rsidRPr="00644691">
              <w:t>4.89</w:t>
            </w:r>
          </w:p>
        </w:tc>
        <w:tc>
          <w:tcPr>
            <w:tcW w:w="838" w:type="pct"/>
            <w:vAlign w:val="center"/>
          </w:tcPr>
          <w:p w:rsidR="00C77034" w:rsidRPr="00644691" w:rsidRDefault="00C77034" w:rsidP="005F2C3D">
            <w:pPr>
              <w:pStyle w:val="TableText"/>
              <w:jc w:val="center"/>
            </w:pPr>
            <w:r w:rsidRPr="00644691">
              <w:t>0.53</w:t>
            </w:r>
          </w:p>
        </w:tc>
      </w:tr>
      <w:tr w:rsidR="00C77034" w:rsidRPr="00644691" w:rsidTr="005F2C3D">
        <w:tc>
          <w:tcPr>
            <w:tcW w:w="1529" w:type="pct"/>
            <w:vAlign w:val="center"/>
          </w:tcPr>
          <w:p w:rsidR="00C77034" w:rsidRPr="00644691" w:rsidRDefault="00C77034" w:rsidP="005F2C3D">
            <w:pPr>
              <w:pStyle w:val="TableText"/>
              <w:rPr>
                <w:rFonts w:ascii="Times" w:hAnsi="Times"/>
              </w:rPr>
            </w:pPr>
            <w:r w:rsidRPr="00644691">
              <w:t>QALYs</w:t>
            </w:r>
          </w:p>
        </w:tc>
        <w:tc>
          <w:tcPr>
            <w:tcW w:w="1359" w:type="pct"/>
            <w:vAlign w:val="center"/>
          </w:tcPr>
          <w:p w:rsidR="00C77034" w:rsidRPr="00644691" w:rsidRDefault="00C77034" w:rsidP="005F2C3D">
            <w:pPr>
              <w:pStyle w:val="TableText"/>
              <w:jc w:val="center"/>
              <w:rPr>
                <w:rFonts w:ascii="Times" w:hAnsi="Times"/>
              </w:rPr>
            </w:pPr>
            <w:r w:rsidRPr="00644691">
              <w:t>3.92</w:t>
            </w:r>
          </w:p>
        </w:tc>
        <w:tc>
          <w:tcPr>
            <w:tcW w:w="1274" w:type="pct"/>
            <w:vAlign w:val="center"/>
          </w:tcPr>
          <w:p w:rsidR="00C77034" w:rsidRPr="00644691" w:rsidRDefault="00C77034" w:rsidP="005F2C3D">
            <w:pPr>
              <w:pStyle w:val="TableText"/>
              <w:jc w:val="center"/>
              <w:rPr>
                <w:rFonts w:ascii="Times" w:hAnsi="Times"/>
              </w:rPr>
            </w:pPr>
            <w:r w:rsidRPr="00644691">
              <w:t>3.55</w:t>
            </w:r>
          </w:p>
        </w:tc>
        <w:tc>
          <w:tcPr>
            <w:tcW w:w="838" w:type="pct"/>
            <w:vAlign w:val="center"/>
          </w:tcPr>
          <w:p w:rsidR="00C77034" w:rsidRPr="00A06829" w:rsidRDefault="00C77034" w:rsidP="00A06829">
            <w:pPr>
              <w:pStyle w:val="TableText"/>
              <w:jc w:val="center"/>
              <w:rPr>
                <w:vertAlign w:val="superscript"/>
              </w:rPr>
            </w:pPr>
            <w:r w:rsidRPr="00644691">
              <w:t>0.37</w:t>
            </w:r>
          </w:p>
        </w:tc>
      </w:tr>
      <w:tr w:rsidR="00C77034" w:rsidRPr="00644691" w:rsidTr="005F2C3D">
        <w:tc>
          <w:tcPr>
            <w:tcW w:w="4162" w:type="pct"/>
            <w:gridSpan w:val="3"/>
            <w:vAlign w:val="center"/>
          </w:tcPr>
          <w:p w:rsidR="00C77034" w:rsidRPr="00644691" w:rsidRDefault="00C77034" w:rsidP="005F2C3D">
            <w:pPr>
              <w:pStyle w:val="TableText"/>
              <w:rPr>
                <w:rFonts w:ascii="Times" w:hAnsi="Times"/>
                <w:b/>
              </w:rPr>
            </w:pPr>
            <w:r w:rsidRPr="00644691">
              <w:rPr>
                <w:b/>
              </w:rPr>
              <w:t>Incremental cost/QALY gained</w:t>
            </w:r>
          </w:p>
        </w:tc>
        <w:tc>
          <w:tcPr>
            <w:tcW w:w="838" w:type="pct"/>
            <w:vAlign w:val="center"/>
          </w:tcPr>
          <w:p w:rsidR="00C77034" w:rsidRPr="00644691" w:rsidRDefault="00C77034" w:rsidP="005F2C3D">
            <w:pPr>
              <w:pStyle w:val="TableText"/>
              <w:jc w:val="center"/>
              <w:rPr>
                <w:rFonts w:ascii="Times" w:hAnsi="Times"/>
                <w:b/>
              </w:rPr>
            </w:pPr>
            <w:r w:rsidRPr="00644691">
              <w:rPr>
                <w:b/>
              </w:rPr>
              <w:t>$</w:t>
            </w:r>
            <w:r w:rsidR="00BB0C56">
              <w:rPr>
                <w:b/>
                <w:noProof/>
                <w:color w:val="000000"/>
                <w:highlight w:val="black"/>
              </w:rPr>
              <w:t>''''''''''''</w:t>
            </w:r>
            <w:r w:rsidR="00A06829">
              <w:rPr>
                <w:vertAlign w:val="superscript"/>
              </w:rPr>
              <w:t>1</w:t>
            </w:r>
          </w:p>
        </w:tc>
      </w:tr>
    </w:tbl>
    <w:p w:rsidR="00C77034" w:rsidRPr="00644691" w:rsidRDefault="00C77034" w:rsidP="00C77034">
      <w:pPr>
        <w:pStyle w:val="TableFigureFooter"/>
      </w:pPr>
      <w:r w:rsidRPr="00644691">
        <w:t>Source: Table 3.4-16, p176 of the resubmission.</w:t>
      </w:r>
    </w:p>
    <w:p w:rsidR="00C77034" w:rsidRPr="00644691" w:rsidRDefault="00C77034" w:rsidP="00C77034">
      <w:pPr>
        <w:pStyle w:val="TableFigureFooter"/>
      </w:pPr>
      <w:r w:rsidRPr="00644691">
        <w:t>QALY, quality-adjusted life year; SOC, standard care.</w:t>
      </w:r>
    </w:p>
    <w:p w:rsidR="003419F4" w:rsidRDefault="003419F4" w:rsidP="00C77034">
      <w:pPr>
        <w:pStyle w:val="TableFigureFooter"/>
      </w:pPr>
      <w:r w:rsidRPr="00644691">
        <w:t xml:space="preserve">Note: results incorporate </w:t>
      </w:r>
      <w:r w:rsidR="00703882" w:rsidRPr="00644691">
        <w:t xml:space="preserve">the </w:t>
      </w:r>
      <w:r w:rsidRPr="00644691">
        <w:t xml:space="preserve">sacubitril/valsartan published price, which is subject to a Special Pricing Arrangement. </w:t>
      </w:r>
    </w:p>
    <w:p w:rsidR="00A06829" w:rsidRDefault="00A06829" w:rsidP="00A06829">
      <w:pPr>
        <w:pStyle w:val="TableFigureFooter"/>
        <w:spacing w:after="0"/>
        <w:contextualSpacing w:val="0"/>
        <w:rPr>
          <w:i/>
        </w:rPr>
      </w:pPr>
      <w:r w:rsidRPr="009868C4">
        <w:rPr>
          <w:i/>
        </w:rPr>
        <w:t>The redacted values correspond to the following ranges</w:t>
      </w:r>
      <w:r>
        <w:rPr>
          <w:i/>
        </w:rPr>
        <w:t xml:space="preserve">: </w:t>
      </w:r>
    </w:p>
    <w:p w:rsidR="00A06829" w:rsidRPr="00870C5D" w:rsidRDefault="00A06829" w:rsidP="00A06829">
      <w:pPr>
        <w:pStyle w:val="TableFigureFooter"/>
        <w:spacing w:after="0"/>
        <w:contextualSpacing w:val="0"/>
      </w:pPr>
      <w:r>
        <w:rPr>
          <w:i/>
          <w:vertAlign w:val="superscript"/>
        </w:rPr>
        <w:t>1</w:t>
      </w:r>
      <w:r>
        <w:rPr>
          <w:i/>
        </w:rPr>
        <w:t xml:space="preserve"> </w:t>
      </w:r>
      <w:r w:rsidRPr="00A06829">
        <w:rPr>
          <w:i/>
        </w:rPr>
        <w:t>$15,000 to &lt; $25,000</w:t>
      </w:r>
    </w:p>
    <w:p w:rsidR="00A06829" w:rsidRPr="00644691" w:rsidRDefault="00A06829" w:rsidP="00C77034">
      <w:pPr>
        <w:pStyle w:val="TableFigureFooter"/>
      </w:pPr>
    </w:p>
    <w:p w:rsidR="005A373D" w:rsidRPr="00644691" w:rsidRDefault="00A578CE" w:rsidP="00A06829">
      <w:pPr>
        <w:pStyle w:val="ExecSumBodyText"/>
      </w:pPr>
      <w:r w:rsidRPr="00644691">
        <w:t xml:space="preserve">Based on the modelled economic evaluation, treatment with dapagliflozin plus standard care (including a beta-blocker plus an ACE inhibitor or ARB in 89.3% of patients and a beta-blocker plus an ARNI in 10.7% of patients) was associated with a cost of </w:t>
      </w:r>
      <w:r w:rsidR="00A06829" w:rsidRPr="00A06829">
        <w:t>$15,000 to &lt; $25,000</w:t>
      </w:r>
      <w:r w:rsidR="00A06829">
        <w:t xml:space="preserve"> </w:t>
      </w:r>
      <w:r w:rsidR="00FF6185" w:rsidRPr="00644691">
        <w:t>per QALY gained</w:t>
      </w:r>
      <w:r w:rsidR="005D6844" w:rsidRPr="00644691">
        <w:t>. Results base</w:t>
      </w:r>
      <w:r w:rsidR="001832B6" w:rsidRPr="00644691">
        <w:t>d on</w:t>
      </w:r>
      <w:r w:rsidR="005D6844" w:rsidRPr="00644691">
        <w:t xml:space="preserve"> the subgroup of </w:t>
      </w:r>
      <w:r w:rsidR="005D6844" w:rsidRPr="00644691">
        <w:lastRenderedPageBreak/>
        <w:t xml:space="preserve">patients </w:t>
      </w:r>
      <w:r w:rsidR="001832B6" w:rsidRPr="00644691">
        <w:t xml:space="preserve">not </w:t>
      </w:r>
      <w:r w:rsidR="005D6844" w:rsidRPr="00644691">
        <w:t xml:space="preserve">receiving </w:t>
      </w:r>
      <w:r w:rsidR="001832B6" w:rsidRPr="00644691">
        <w:t xml:space="preserve">an ARNI as background therapy, and the subgroup of patients receiving an ARNI as background </w:t>
      </w:r>
      <w:r w:rsidR="006F0EDB" w:rsidRPr="00644691">
        <w:t>therapy</w:t>
      </w:r>
      <w:r w:rsidR="00C526B5" w:rsidRPr="00644691">
        <w:t xml:space="preserve"> were </w:t>
      </w:r>
      <w:r w:rsidR="00A06829" w:rsidRPr="00A06829">
        <w:t>$15,000 to &lt; $25,000</w:t>
      </w:r>
      <w:r w:rsidR="00A06829">
        <w:t xml:space="preserve"> </w:t>
      </w:r>
      <w:r w:rsidR="00C526B5" w:rsidRPr="00644691">
        <w:t xml:space="preserve">and </w:t>
      </w:r>
      <w:r w:rsidR="00A06829" w:rsidRPr="00A06829">
        <w:t>$25,000 to &lt; $35,000</w:t>
      </w:r>
      <w:r w:rsidR="00A06829">
        <w:t xml:space="preserve"> </w:t>
      </w:r>
      <w:r w:rsidR="00C526B5" w:rsidRPr="00644691">
        <w:t>per QALY gained</w:t>
      </w:r>
      <w:r w:rsidR="006F0EDB" w:rsidRPr="00644691">
        <w:t>,</w:t>
      </w:r>
      <w:r w:rsidR="00C526B5" w:rsidRPr="00644691">
        <w:t xml:space="preserve"> respectively</w:t>
      </w:r>
      <w:r w:rsidRPr="00644691">
        <w:t xml:space="preserve">. </w:t>
      </w:r>
    </w:p>
    <w:p w:rsidR="00E36512" w:rsidRPr="00644691" w:rsidRDefault="00E36512" w:rsidP="005F2C3D">
      <w:pPr>
        <w:pStyle w:val="ExecSumBodyText"/>
      </w:pPr>
      <w:r w:rsidRPr="00644691">
        <w:t>The pre-PBAC response</w:t>
      </w:r>
      <w:r w:rsidR="006B4253" w:rsidRPr="00644691">
        <w:t xml:space="preserve"> </w:t>
      </w:r>
      <w:r w:rsidRPr="00644691">
        <w:t>presented a revised base</w:t>
      </w:r>
      <w:r w:rsidR="00703882" w:rsidRPr="00644691">
        <w:t>-</w:t>
      </w:r>
      <w:r w:rsidRPr="00644691">
        <w:t xml:space="preserve">case ICER, incorporating </w:t>
      </w:r>
      <w:r w:rsidR="006B4253" w:rsidRPr="00644691">
        <w:t>an increased treatment initiation age</w:t>
      </w:r>
      <w:r w:rsidRPr="00644691">
        <w:t xml:space="preserve">, a waning treatment effect, </w:t>
      </w:r>
      <w:r w:rsidR="00700E10" w:rsidRPr="00644691">
        <w:t>an increase</w:t>
      </w:r>
      <w:r w:rsidR="006B4253" w:rsidRPr="00644691">
        <w:t xml:space="preserve"> </w:t>
      </w:r>
      <w:r w:rsidR="00700E10" w:rsidRPr="00644691">
        <w:t xml:space="preserve">in </w:t>
      </w:r>
      <w:r w:rsidR="006B4253" w:rsidRPr="00644691">
        <w:t>the</w:t>
      </w:r>
      <w:r w:rsidRPr="00644691">
        <w:t xml:space="preserve"> proportion of background ARNI use, and </w:t>
      </w:r>
      <w:r w:rsidR="00700E10" w:rsidRPr="00644691">
        <w:t xml:space="preserve">a </w:t>
      </w:r>
      <w:r w:rsidRPr="00644691">
        <w:t xml:space="preserve">reduction in </w:t>
      </w:r>
      <w:r w:rsidR="00700E10" w:rsidRPr="00644691">
        <w:t>the dapagliflozin price.</w:t>
      </w:r>
    </w:p>
    <w:p w:rsidR="00E36512" w:rsidRPr="00644691" w:rsidRDefault="00E36512" w:rsidP="00E36512">
      <w:pPr>
        <w:pStyle w:val="TableHeading"/>
        <w:rPr>
          <w:rFonts w:cstheme="minorBidi"/>
          <w:sz w:val="22"/>
          <w:szCs w:val="22"/>
        </w:rPr>
      </w:pPr>
      <w:bookmarkStart w:id="37" w:name="_Ref79041242"/>
      <w:bookmarkStart w:id="38" w:name="_Ref79041230"/>
      <w:r w:rsidRPr="00644691">
        <w:t xml:space="preserve">Table </w:t>
      </w:r>
      <w:r w:rsidR="000C6AFA">
        <w:rPr>
          <w:noProof/>
        </w:rPr>
        <w:t>10</w:t>
      </w:r>
      <w:bookmarkEnd w:id="37"/>
      <w:r w:rsidRPr="00644691">
        <w:t>: Revised base case ICER</w:t>
      </w:r>
      <w:bookmarkEnd w:id="38"/>
    </w:p>
    <w:tbl>
      <w:tblPr>
        <w:tblStyle w:val="TableGrid"/>
        <w:tblW w:w="5000" w:type="pct"/>
        <w:tblLook w:val="04A0" w:firstRow="1" w:lastRow="0" w:firstColumn="1" w:lastColumn="0" w:noHBand="0" w:noVBand="1"/>
        <w:tblCaption w:val="Table 10: Revised base case ICER"/>
      </w:tblPr>
      <w:tblGrid>
        <w:gridCol w:w="6403"/>
        <w:gridCol w:w="2614"/>
      </w:tblGrid>
      <w:tr w:rsidR="00CD3115" w:rsidRPr="00644691" w:rsidTr="00BE3A00">
        <w:trPr>
          <w:tblHeader/>
        </w:trPr>
        <w:tc>
          <w:tcPr>
            <w:tcW w:w="4919" w:type="dxa"/>
            <w:tcBorders>
              <w:top w:val="single" w:sz="4" w:space="0" w:color="auto"/>
              <w:left w:val="single" w:sz="4" w:space="0" w:color="auto"/>
              <w:bottom w:val="single" w:sz="4" w:space="0" w:color="auto"/>
              <w:right w:val="single" w:sz="4" w:space="0" w:color="auto"/>
            </w:tcBorders>
            <w:hideMark/>
          </w:tcPr>
          <w:p w:rsidR="00CD3115" w:rsidRPr="00644691" w:rsidRDefault="00CD3115">
            <w:pPr>
              <w:pStyle w:val="TableText"/>
              <w:rPr>
                <w:b/>
                <w:bCs w:val="0"/>
                <w:lang w:eastAsia="en-US"/>
              </w:rPr>
            </w:pPr>
            <w:r w:rsidRPr="00644691">
              <w:rPr>
                <w:b/>
                <w:bCs w:val="0"/>
                <w:lang w:eastAsia="en-US"/>
              </w:rPr>
              <w:t>Scenario</w:t>
            </w:r>
          </w:p>
        </w:tc>
        <w:tc>
          <w:tcPr>
            <w:tcW w:w="2008" w:type="dxa"/>
            <w:tcBorders>
              <w:top w:val="single" w:sz="4" w:space="0" w:color="auto"/>
              <w:left w:val="single" w:sz="4" w:space="0" w:color="auto"/>
              <w:bottom w:val="single" w:sz="4" w:space="0" w:color="auto"/>
              <w:right w:val="single" w:sz="4" w:space="0" w:color="auto"/>
            </w:tcBorders>
            <w:hideMark/>
          </w:tcPr>
          <w:p w:rsidR="00CD3115" w:rsidRPr="00644691" w:rsidRDefault="00CD3115">
            <w:pPr>
              <w:pStyle w:val="TableText"/>
              <w:jc w:val="center"/>
              <w:rPr>
                <w:b/>
                <w:bCs w:val="0"/>
                <w:lang w:eastAsia="en-US"/>
              </w:rPr>
            </w:pPr>
            <w:r w:rsidRPr="00644691">
              <w:rPr>
                <w:b/>
                <w:bCs w:val="0"/>
                <w:lang w:eastAsia="en-US"/>
              </w:rPr>
              <w:t>ICER ($/QALY gained)</w:t>
            </w:r>
          </w:p>
        </w:tc>
      </w:tr>
      <w:tr w:rsidR="00CD3115" w:rsidRPr="00644691" w:rsidTr="00BE3A00">
        <w:tc>
          <w:tcPr>
            <w:tcW w:w="4919" w:type="dxa"/>
            <w:tcBorders>
              <w:top w:val="single" w:sz="4" w:space="0" w:color="auto"/>
              <w:left w:val="single" w:sz="4" w:space="0" w:color="auto"/>
              <w:bottom w:val="single" w:sz="4" w:space="0" w:color="auto"/>
              <w:right w:val="single" w:sz="4" w:space="0" w:color="auto"/>
            </w:tcBorders>
            <w:hideMark/>
          </w:tcPr>
          <w:p w:rsidR="00CD3115" w:rsidRPr="00644691" w:rsidRDefault="00CD3115">
            <w:pPr>
              <w:pStyle w:val="TableText"/>
              <w:rPr>
                <w:lang w:eastAsia="en-US"/>
              </w:rPr>
            </w:pPr>
            <w:r w:rsidRPr="00644691">
              <w:rPr>
                <w:lang w:eastAsia="en-US"/>
              </w:rPr>
              <w:t>Resubmission base case</w:t>
            </w:r>
          </w:p>
        </w:tc>
        <w:tc>
          <w:tcPr>
            <w:tcW w:w="2008" w:type="dxa"/>
            <w:tcBorders>
              <w:top w:val="single" w:sz="4" w:space="0" w:color="auto"/>
              <w:left w:val="single" w:sz="4" w:space="0" w:color="auto"/>
              <w:bottom w:val="single" w:sz="4" w:space="0" w:color="auto"/>
              <w:right w:val="single" w:sz="4" w:space="0" w:color="auto"/>
            </w:tcBorders>
            <w:hideMark/>
          </w:tcPr>
          <w:p w:rsidR="00CD3115" w:rsidRPr="00BB0C56" w:rsidRDefault="00BB0C56">
            <w:pPr>
              <w:pStyle w:val="TableText"/>
              <w:jc w:val="center"/>
              <w:rPr>
                <w:lang w:eastAsia="en-US"/>
              </w:rPr>
            </w:pPr>
            <w:r>
              <w:rPr>
                <w:noProof/>
                <w:color w:val="000000"/>
                <w:highlight w:val="black"/>
                <w:lang w:eastAsia="en-US"/>
              </w:rPr>
              <w:t>''''''''''''''''''''''</w:t>
            </w:r>
            <w:r w:rsidR="004D3764">
              <w:rPr>
                <w:vertAlign w:val="superscript"/>
                <w:lang w:eastAsia="en-US"/>
              </w:rPr>
              <w:t>3</w:t>
            </w:r>
          </w:p>
        </w:tc>
      </w:tr>
      <w:tr w:rsidR="00CD3115" w:rsidRPr="00644691" w:rsidTr="00BE3A00">
        <w:tc>
          <w:tcPr>
            <w:tcW w:w="4919" w:type="dxa"/>
            <w:tcBorders>
              <w:top w:val="single" w:sz="4" w:space="0" w:color="auto"/>
              <w:left w:val="single" w:sz="4" w:space="0" w:color="auto"/>
              <w:bottom w:val="single" w:sz="4" w:space="0" w:color="auto"/>
              <w:right w:val="single" w:sz="4" w:space="0" w:color="auto"/>
            </w:tcBorders>
            <w:hideMark/>
          </w:tcPr>
          <w:p w:rsidR="00CD3115" w:rsidRPr="00644691" w:rsidRDefault="00CD3115">
            <w:pPr>
              <w:pStyle w:val="TableText"/>
              <w:rPr>
                <w:lang w:eastAsia="en-US"/>
              </w:rPr>
            </w:pPr>
            <w:r w:rsidRPr="00644691">
              <w:rPr>
                <w:lang w:eastAsia="en-US"/>
              </w:rPr>
              <w:t>Revised base case:</w:t>
            </w:r>
          </w:p>
        </w:tc>
        <w:tc>
          <w:tcPr>
            <w:tcW w:w="2008" w:type="dxa"/>
            <w:tcBorders>
              <w:top w:val="single" w:sz="4" w:space="0" w:color="auto"/>
              <w:left w:val="single" w:sz="4" w:space="0" w:color="auto"/>
              <w:bottom w:val="single" w:sz="4" w:space="0" w:color="auto"/>
              <w:right w:val="single" w:sz="4" w:space="0" w:color="auto"/>
            </w:tcBorders>
          </w:tcPr>
          <w:p w:rsidR="00CD3115" w:rsidRPr="00BB0C56" w:rsidRDefault="00CD3115">
            <w:pPr>
              <w:pStyle w:val="TableText"/>
              <w:jc w:val="center"/>
              <w:rPr>
                <w:lang w:eastAsia="en-US"/>
              </w:rPr>
            </w:pPr>
          </w:p>
        </w:tc>
      </w:tr>
      <w:tr w:rsidR="00CD3115" w:rsidRPr="00644691" w:rsidTr="00BE3A00">
        <w:tc>
          <w:tcPr>
            <w:tcW w:w="4919" w:type="dxa"/>
            <w:tcBorders>
              <w:top w:val="single" w:sz="4" w:space="0" w:color="auto"/>
              <w:left w:val="single" w:sz="4" w:space="0" w:color="auto"/>
              <w:bottom w:val="single" w:sz="4" w:space="0" w:color="auto"/>
              <w:right w:val="single" w:sz="4" w:space="0" w:color="auto"/>
            </w:tcBorders>
            <w:hideMark/>
          </w:tcPr>
          <w:p w:rsidR="00CD3115" w:rsidRPr="00644691" w:rsidRDefault="00CD3115">
            <w:pPr>
              <w:pStyle w:val="TableText"/>
              <w:rPr>
                <w:vertAlign w:val="superscript"/>
                <w:lang w:eastAsia="en-US"/>
              </w:rPr>
            </w:pPr>
            <w:r w:rsidRPr="00644691">
              <w:rPr>
                <w:lang w:eastAsia="en-US"/>
              </w:rPr>
              <w:t xml:space="preserve">  Increased age from 66 to 68 years</w:t>
            </w:r>
            <w:r w:rsidRPr="00644691">
              <w:rPr>
                <w:vertAlign w:val="superscript"/>
                <w:lang w:eastAsia="en-US"/>
              </w:rPr>
              <w:t>1</w:t>
            </w:r>
          </w:p>
        </w:tc>
        <w:tc>
          <w:tcPr>
            <w:tcW w:w="2008" w:type="dxa"/>
            <w:tcBorders>
              <w:top w:val="single" w:sz="4" w:space="0" w:color="auto"/>
              <w:left w:val="single" w:sz="4" w:space="0" w:color="auto"/>
              <w:bottom w:val="single" w:sz="4" w:space="0" w:color="auto"/>
              <w:right w:val="single" w:sz="4" w:space="0" w:color="auto"/>
            </w:tcBorders>
            <w:hideMark/>
          </w:tcPr>
          <w:p w:rsidR="00CD3115" w:rsidRPr="00BB0C56" w:rsidRDefault="00BB0C56">
            <w:pPr>
              <w:pStyle w:val="TableText"/>
              <w:jc w:val="center"/>
              <w:rPr>
                <w:lang w:eastAsia="en-US"/>
              </w:rPr>
            </w:pPr>
            <w:r>
              <w:rPr>
                <w:noProof/>
                <w:color w:val="000000"/>
                <w:highlight w:val="black"/>
                <w:lang w:eastAsia="en-US"/>
              </w:rPr>
              <w:t>'''''''''''''''''''</w:t>
            </w:r>
            <w:r w:rsidR="004D3764">
              <w:rPr>
                <w:vertAlign w:val="superscript"/>
                <w:lang w:eastAsia="en-US"/>
              </w:rPr>
              <w:t>3</w:t>
            </w:r>
          </w:p>
        </w:tc>
      </w:tr>
      <w:tr w:rsidR="00CD3115" w:rsidRPr="00644691" w:rsidTr="00BE3A00">
        <w:tc>
          <w:tcPr>
            <w:tcW w:w="4919" w:type="dxa"/>
            <w:tcBorders>
              <w:top w:val="single" w:sz="4" w:space="0" w:color="auto"/>
              <w:left w:val="single" w:sz="4" w:space="0" w:color="auto"/>
              <w:bottom w:val="single" w:sz="4" w:space="0" w:color="auto"/>
              <w:right w:val="single" w:sz="4" w:space="0" w:color="auto"/>
            </w:tcBorders>
            <w:hideMark/>
          </w:tcPr>
          <w:p w:rsidR="00CD3115" w:rsidRPr="00644691" w:rsidRDefault="00CD3115">
            <w:pPr>
              <w:pStyle w:val="TableText"/>
              <w:rPr>
                <w:vertAlign w:val="superscript"/>
                <w:lang w:eastAsia="en-US"/>
              </w:rPr>
            </w:pPr>
            <w:r w:rsidRPr="00644691">
              <w:rPr>
                <w:lang w:eastAsia="en-US"/>
              </w:rPr>
              <w:t xml:space="preserve">  Waning treatment effect from Cycle 2 to 15 years</w:t>
            </w:r>
          </w:p>
        </w:tc>
        <w:tc>
          <w:tcPr>
            <w:tcW w:w="2008" w:type="dxa"/>
            <w:tcBorders>
              <w:top w:val="single" w:sz="4" w:space="0" w:color="auto"/>
              <w:left w:val="single" w:sz="4" w:space="0" w:color="auto"/>
              <w:bottom w:val="single" w:sz="4" w:space="0" w:color="auto"/>
              <w:right w:val="single" w:sz="4" w:space="0" w:color="auto"/>
            </w:tcBorders>
            <w:hideMark/>
          </w:tcPr>
          <w:p w:rsidR="00CD3115" w:rsidRPr="00BB0C56" w:rsidRDefault="00BB0C56">
            <w:pPr>
              <w:pStyle w:val="TableText"/>
              <w:jc w:val="center"/>
              <w:rPr>
                <w:lang w:eastAsia="en-US"/>
              </w:rPr>
            </w:pPr>
            <w:r>
              <w:rPr>
                <w:noProof/>
                <w:color w:val="000000"/>
                <w:highlight w:val="black"/>
                <w:lang w:eastAsia="en-US"/>
              </w:rPr>
              <w:t>''''''''''''''''''''</w:t>
            </w:r>
            <w:r w:rsidR="004D3764">
              <w:rPr>
                <w:vertAlign w:val="superscript"/>
                <w:lang w:eastAsia="en-US"/>
              </w:rPr>
              <w:t>4</w:t>
            </w:r>
          </w:p>
        </w:tc>
      </w:tr>
      <w:tr w:rsidR="00CD3115" w:rsidRPr="00644691" w:rsidTr="00BE3A00">
        <w:tc>
          <w:tcPr>
            <w:tcW w:w="4919" w:type="dxa"/>
            <w:tcBorders>
              <w:top w:val="single" w:sz="4" w:space="0" w:color="auto"/>
              <w:left w:val="single" w:sz="4" w:space="0" w:color="auto"/>
              <w:bottom w:val="single" w:sz="4" w:space="0" w:color="auto"/>
              <w:right w:val="single" w:sz="4" w:space="0" w:color="auto"/>
            </w:tcBorders>
            <w:hideMark/>
          </w:tcPr>
          <w:p w:rsidR="00CD3115" w:rsidRPr="00644691" w:rsidRDefault="00CD3115">
            <w:pPr>
              <w:pStyle w:val="TableText"/>
              <w:rPr>
                <w:vertAlign w:val="superscript"/>
                <w:lang w:eastAsia="en-US"/>
              </w:rPr>
            </w:pPr>
            <w:r w:rsidRPr="00644691">
              <w:rPr>
                <w:lang w:eastAsia="en-US"/>
              </w:rPr>
              <w:t xml:space="preserve">  Proportion of ARNI use increased from 10.7% to 20%</w:t>
            </w:r>
            <w:r w:rsidRPr="00644691">
              <w:rPr>
                <w:vertAlign w:val="superscript"/>
                <w:lang w:eastAsia="en-US"/>
              </w:rPr>
              <w:t>2</w:t>
            </w:r>
          </w:p>
        </w:tc>
        <w:tc>
          <w:tcPr>
            <w:tcW w:w="2008" w:type="dxa"/>
            <w:tcBorders>
              <w:top w:val="single" w:sz="4" w:space="0" w:color="auto"/>
              <w:left w:val="single" w:sz="4" w:space="0" w:color="auto"/>
              <w:bottom w:val="single" w:sz="4" w:space="0" w:color="auto"/>
              <w:right w:val="single" w:sz="4" w:space="0" w:color="auto"/>
            </w:tcBorders>
            <w:hideMark/>
          </w:tcPr>
          <w:p w:rsidR="00CD3115" w:rsidRPr="00BB0C56" w:rsidRDefault="00BB0C56">
            <w:pPr>
              <w:pStyle w:val="TableText"/>
              <w:jc w:val="center"/>
              <w:rPr>
                <w:lang w:eastAsia="en-US"/>
              </w:rPr>
            </w:pPr>
            <w:r>
              <w:rPr>
                <w:noProof/>
                <w:color w:val="000000"/>
                <w:highlight w:val="black"/>
                <w:lang w:eastAsia="en-US"/>
              </w:rPr>
              <w:t>''''''''''''''''''</w:t>
            </w:r>
            <w:r w:rsidR="004D3764">
              <w:rPr>
                <w:vertAlign w:val="superscript"/>
                <w:lang w:eastAsia="en-US"/>
              </w:rPr>
              <w:t>4</w:t>
            </w:r>
          </w:p>
        </w:tc>
      </w:tr>
      <w:tr w:rsidR="00CD3115" w:rsidRPr="00644691" w:rsidTr="00BE3A00">
        <w:tc>
          <w:tcPr>
            <w:tcW w:w="4919" w:type="dxa"/>
            <w:tcBorders>
              <w:top w:val="single" w:sz="4" w:space="0" w:color="auto"/>
              <w:left w:val="single" w:sz="4" w:space="0" w:color="auto"/>
              <w:bottom w:val="single" w:sz="4" w:space="0" w:color="auto"/>
              <w:right w:val="single" w:sz="4" w:space="0" w:color="auto"/>
            </w:tcBorders>
            <w:hideMark/>
          </w:tcPr>
          <w:p w:rsidR="00CD3115" w:rsidRPr="004D3764" w:rsidRDefault="00CD3115" w:rsidP="004D3764">
            <w:pPr>
              <w:pStyle w:val="TableText"/>
              <w:rPr>
                <w:vertAlign w:val="superscript"/>
                <w:lang w:eastAsia="en-US"/>
              </w:rPr>
            </w:pPr>
            <w:bookmarkStart w:id="39" w:name="_Hlk79041151"/>
            <w:r w:rsidRPr="00644691">
              <w:rPr>
                <w:lang w:eastAsia="en-US"/>
              </w:rPr>
              <w:t xml:space="preserve">  Revised DPMQ ($</w:t>
            </w:r>
            <w:r w:rsidR="00BB0C56">
              <w:rPr>
                <w:noProof/>
                <w:color w:val="000000"/>
                <w:highlight w:val="black"/>
                <w:lang w:eastAsia="en-US"/>
              </w:rPr>
              <w:t>'''''''''''''''</w:t>
            </w:r>
            <w:r w:rsidRPr="00644691">
              <w:rPr>
                <w:lang w:eastAsia="en-US"/>
              </w:rPr>
              <w:t xml:space="preserve"> to </w:t>
            </w:r>
            <w:r w:rsidR="00BB0C56">
              <w:rPr>
                <w:noProof/>
                <w:color w:val="000000"/>
                <w:highlight w:val="black"/>
                <w:lang w:eastAsia="en-US"/>
              </w:rPr>
              <w:t>'''''''''''''</w:t>
            </w:r>
            <w:r w:rsidRPr="00644691">
              <w:rPr>
                <w:lang w:eastAsia="en-US"/>
              </w:rPr>
              <w:t xml:space="preserve"> DPMQ $</w:t>
            </w:r>
            <w:r w:rsidR="00BB0C56">
              <w:rPr>
                <w:noProof/>
                <w:color w:val="000000"/>
                <w:highlight w:val="black"/>
                <w:lang w:eastAsia="en-US"/>
              </w:rPr>
              <w:t>''''''''''''</w:t>
            </w:r>
            <w:r w:rsidRPr="00644691">
              <w:rPr>
                <w:lang w:eastAsia="en-US"/>
              </w:rPr>
              <w:t>)</w:t>
            </w:r>
          </w:p>
        </w:tc>
        <w:tc>
          <w:tcPr>
            <w:tcW w:w="2008" w:type="dxa"/>
            <w:tcBorders>
              <w:top w:val="single" w:sz="4" w:space="0" w:color="auto"/>
              <w:left w:val="single" w:sz="4" w:space="0" w:color="auto"/>
              <w:bottom w:val="single" w:sz="4" w:space="0" w:color="auto"/>
              <w:right w:val="single" w:sz="4" w:space="0" w:color="auto"/>
            </w:tcBorders>
            <w:hideMark/>
          </w:tcPr>
          <w:p w:rsidR="00CD3115" w:rsidRPr="00BB0C56" w:rsidRDefault="00BB0C56">
            <w:pPr>
              <w:pStyle w:val="TableText"/>
              <w:jc w:val="center"/>
              <w:rPr>
                <w:lang w:eastAsia="en-US"/>
              </w:rPr>
            </w:pPr>
            <w:r>
              <w:rPr>
                <w:noProof/>
                <w:color w:val="000000"/>
                <w:highlight w:val="black"/>
                <w:lang w:eastAsia="en-US"/>
              </w:rPr>
              <w:t>''''''''''''''''''''''</w:t>
            </w:r>
            <w:r w:rsidR="004D3764">
              <w:rPr>
                <w:vertAlign w:val="superscript"/>
                <w:lang w:eastAsia="en-US"/>
              </w:rPr>
              <w:t>3</w:t>
            </w:r>
          </w:p>
        </w:tc>
      </w:tr>
    </w:tbl>
    <w:bookmarkEnd w:id="39"/>
    <w:p w:rsidR="00703882" w:rsidRPr="00644691" w:rsidRDefault="00703882" w:rsidP="00E36512">
      <w:pPr>
        <w:pStyle w:val="TableFooter"/>
      </w:pPr>
      <w:r w:rsidRPr="00644691">
        <w:t>Source: pre-PBAC response, Table 2, p3.</w:t>
      </w:r>
    </w:p>
    <w:p w:rsidR="00E36512" w:rsidRPr="00644691" w:rsidRDefault="00E36512" w:rsidP="00E36512">
      <w:pPr>
        <w:pStyle w:val="TableFooter"/>
      </w:pPr>
      <w:r w:rsidRPr="00644691">
        <w:t>ARNI, angiotensin-receptor neprilysin inhibitor; ICER, incremental cost-effectiveness ratio; QALY, quality adjusted life year; SOC, standard of care.</w:t>
      </w:r>
    </w:p>
    <w:p w:rsidR="00E36512" w:rsidRPr="00644691" w:rsidRDefault="00E36512" w:rsidP="00E36512">
      <w:pPr>
        <w:pStyle w:val="TableFooter"/>
      </w:pPr>
      <w:r w:rsidRPr="00644691">
        <w:rPr>
          <w:vertAlign w:val="superscript"/>
        </w:rPr>
        <w:t xml:space="preserve">1 </w:t>
      </w:r>
      <w:r w:rsidR="00703882" w:rsidRPr="00644691">
        <w:t>Reported as a</w:t>
      </w:r>
      <w:r w:rsidRPr="00644691">
        <w:t>verage age of sponsor’s patient familiarisation program.</w:t>
      </w:r>
    </w:p>
    <w:p w:rsidR="00E36512" w:rsidRPr="00644691" w:rsidRDefault="00E36512" w:rsidP="00E36512">
      <w:pPr>
        <w:pStyle w:val="TableFooter"/>
      </w:pPr>
      <w:r w:rsidRPr="00644691">
        <w:rPr>
          <w:vertAlign w:val="superscript"/>
        </w:rPr>
        <w:t xml:space="preserve">2 </w:t>
      </w:r>
      <w:r w:rsidRPr="00644691">
        <w:t xml:space="preserve">Based on EMPEROR-Reduced (19%) and clinical opinion; </w:t>
      </w:r>
      <w:r w:rsidR="00700E10" w:rsidRPr="00644691">
        <w:t xml:space="preserve">noted in </w:t>
      </w:r>
      <w:r w:rsidRPr="00644691">
        <w:t>paragraph 7.5, dapagliflozin, PSD, November 2020 PBAC meeting.</w:t>
      </w:r>
    </w:p>
    <w:p w:rsidR="00703882" w:rsidRDefault="00703882" w:rsidP="00703882">
      <w:pPr>
        <w:pStyle w:val="TableFigureFooter"/>
      </w:pPr>
      <w:r w:rsidRPr="00644691">
        <w:t xml:space="preserve">Note: results incorporate the sacubitril/valsartan published price, which is subject to a Special Pricing Arrangement. </w:t>
      </w:r>
    </w:p>
    <w:p w:rsidR="00A06829" w:rsidRDefault="00A06829" w:rsidP="00A06829">
      <w:pPr>
        <w:pStyle w:val="TableFigureFooter"/>
        <w:spacing w:after="0"/>
        <w:contextualSpacing w:val="0"/>
        <w:rPr>
          <w:i/>
        </w:rPr>
      </w:pPr>
      <w:r w:rsidRPr="009868C4">
        <w:rPr>
          <w:i/>
        </w:rPr>
        <w:t>The redacted values correspond to the following ranges</w:t>
      </w:r>
      <w:r>
        <w:rPr>
          <w:i/>
        </w:rPr>
        <w:t xml:space="preserve">: </w:t>
      </w:r>
    </w:p>
    <w:p w:rsidR="00A06829" w:rsidRPr="00870C5D" w:rsidRDefault="004D3764" w:rsidP="00A06829">
      <w:pPr>
        <w:pStyle w:val="TableFigureFooter"/>
        <w:spacing w:after="0"/>
        <w:contextualSpacing w:val="0"/>
      </w:pPr>
      <w:r>
        <w:rPr>
          <w:i/>
          <w:vertAlign w:val="superscript"/>
        </w:rPr>
        <w:t>3</w:t>
      </w:r>
      <w:r w:rsidR="00A06829">
        <w:rPr>
          <w:i/>
        </w:rPr>
        <w:t xml:space="preserve"> </w:t>
      </w:r>
      <w:r w:rsidR="00A06829" w:rsidRPr="00A06829">
        <w:rPr>
          <w:i/>
        </w:rPr>
        <w:t>$15,000 to &lt; $25,000</w:t>
      </w:r>
    </w:p>
    <w:p w:rsidR="00A06829" w:rsidRPr="00870C5D" w:rsidRDefault="004D3764" w:rsidP="00A06829">
      <w:pPr>
        <w:pStyle w:val="TableFigureFooter"/>
        <w:spacing w:after="0"/>
        <w:contextualSpacing w:val="0"/>
      </w:pPr>
      <w:r>
        <w:rPr>
          <w:i/>
          <w:vertAlign w:val="superscript"/>
        </w:rPr>
        <w:t>4</w:t>
      </w:r>
      <w:r w:rsidR="00A06829">
        <w:rPr>
          <w:i/>
        </w:rPr>
        <w:t xml:space="preserve"> </w:t>
      </w:r>
      <w:r w:rsidR="00A06829" w:rsidRPr="00A06829">
        <w:rPr>
          <w:i/>
        </w:rPr>
        <w:t>$25,000 to &lt; $35,000</w:t>
      </w:r>
    </w:p>
    <w:p w:rsidR="00A06829" w:rsidRPr="00644691" w:rsidRDefault="00A06829" w:rsidP="00703882">
      <w:pPr>
        <w:pStyle w:val="TableFigureFooter"/>
      </w:pPr>
    </w:p>
    <w:p w:rsidR="008D1319" w:rsidRPr="00644691" w:rsidRDefault="008D1319" w:rsidP="008D1319">
      <w:pPr>
        <w:pStyle w:val="ExecSumBodyText"/>
      </w:pPr>
      <w:r w:rsidRPr="00644691">
        <w:t>The results of key sensitivity analyses are summarised below.</w:t>
      </w:r>
    </w:p>
    <w:p w:rsidR="002C0C3F" w:rsidRPr="00644691" w:rsidRDefault="002C0C3F" w:rsidP="00EB04BB">
      <w:pPr>
        <w:pStyle w:val="TableFigureCaption"/>
      </w:pPr>
      <w:r w:rsidRPr="00644691">
        <w:lastRenderedPageBreak/>
        <w:t xml:space="preserve">Table </w:t>
      </w:r>
      <w:r w:rsidR="000C6AFA">
        <w:rPr>
          <w:noProof/>
        </w:rPr>
        <w:t>11</w:t>
      </w:r>
      <w:r w:rsidRPr="00644691">
        <w:t>: Results of sensitivity analyses</w:t>
      </w:r>
      <w:r w:rsidR="001E6C83" w:rsidRPr="00644691">
        <w:t xml:space="preserve"> (note – these are not updated with the pre-PBAC response price offer)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306"/>
        <w:gridCol w:w="1306"/>
        <w:gridCol w:w="1307"/>
      </w:tblGrid>
      <w:tr w:rsidR="002C0C3F" w:rsidRPr="00644691" w:rsidTr="003B3BE4">
        <w:trPr>
          <w:tblHeader/>
        </w:trPr>
        <w:tc>
          <w:tcPr>
            <w:tcW w:w="5098" w:type="dxa"/>
            <w:vAlign w:val="center"/>
          </w:tcPr>
          <w:p w:rsidR="002C0C3F" w:rsidRPr="00644691" w:rsidRDefault="002C0C3F" w:rsidP="00EB04BB">
            <w:pPr>
              <w:pStyle w:val="Tableheadingrow"/>
              <w:rPr>
                <w:lang w:val="en-AU"/>
              </w:rPr>
            </w:pPr>
            <w:r w:rsidRPr="00644691">
              <w:rPr>
                <w:lang w:val="en-AU"/>
              </w:rPr>
              <w:t>Analyses</w:t>
            </w:r>
          </w:p>
        </w:tc>
        <w:tc>
          <w:tcPr>
            <w:tcW w:w="1306" w:type="dxa"/>
          </w:tcPr>
          <w:p w:rsidR="002C0C3F" w:rsidRPr="00644691" w:rsidRDefault="002C0C3F" w:rsidP="00EB04BB">
            <w:pPr>
              <w:pStyle w:val="Tableheadingrow"/>
              <w:jc w:val="center"/>
              <w:rPr>
                <w:lang w:val="en-AU"/>
              </w:rPr>
            </w:pPr>
            <w:r w:rsidRPr="00644691">
              <w:rPr>
                <w:lang w:val="en-AU"/>
              </w:rPr>
              <w:t>Incremental cost</w:t>
            </w:r>
          </w:p>
        </w:tc>
        <w:tc>
          <w:tcPr>
            <w:tcW w:w="1306" w:type="dxa"/>
          </w:tcPr>
          <w:p w:rsidR="002C0C3F" w:rsidRPr="00644691" w:rsidRDefault="002C0C3F" w:rsidP="00EB04BB">
            <w:pPr>
              <w:pStyle w:val="Tableheadingrow"/>
              <w:jc w:val="center"/>
              <w:rPr>
                <w:lang w:val="en-AU"/>
              </w:rPr>
            </w:pPr>
            <w:r w:rsidRPr="00644691">
              <w:rPr>
                <w:lang w:val="en-AU"/>
              </w:rPr>
              <w:t>Incremental QALY</w:t>
            </w:r>
          </w:p>
        </w:tc>
        <w:tc>
          <w:tcPr>
            <w:tcW w:w="1307" w:type="dxa"/>
            <w:vAlign w:val="center"/>
          </w:tcPr>
          <w:p w:rsidR="002C0C3F" w:rsidRPr="00644691" w:rsidRDefault="002C0C3F" w:rsidP="00EB04BB">
            <w:pPr>
              <w:pStyle w:val="Tableheadingrow"/>
              <w:jc w:val="center"/>
              <w:rPr>
                <w:lang w:val="en-AU"/>
              </w:rPr>
            </w:pPr>
            <w:r w:rsidRPr="00644691">
              <w:rPr>
                <w:lang w:val="en-AU"/>
              </w:rPr>
              <w:t>ICER</w:t>
            </w:r>
          </w:p>
        </w:tc>
      </w:tr>
      <w:tr w:rsidR="002C0C3F" w:rsidRPr="00644691" w:rsidTr="003B3BE4">
        <w:tc>
          <w:tcPr>
            <w:tcW w:w="5098" w:type="dxa"/>
          </w:tcPr>
          <w:p w:rsidR="002C0C3F" w:rsidRPr="00644691" w:rsidRDefault="002C0C3F" w:rsidP="00EB04BB">
            <w:pPr>
              <w:pStyle w:val="TableText"/>
              <w:rPr>
                <w:b/>
              </w:rPr>
            </w:pPr>
            <w:r w:rsidRPr="00644691">
              <w:rPr>
                <w:b/>
              </w:rPr>
              <w:t>Base case</w:t>
            </w:r>
          </w:p>
        </w:tc>
        <w:tc>
          <w:tcPr>
            <w:tcW w:w="1306" w:type="dxa"/>
          </w:tcPr>
          <w:p w:rsidR="002C0C3F" w:rsidRPr="00644691" w:rsidRDefault="002C0C3F" w:rsidP="00EB04BB">
            <w:pPr>
              <w:pStyle w:val="TableText"/>
              <w:jc w:val="center"/>
              <w:rPr>
                <w:b/>
              </w:rPr>
            </w:pPr>
            <w:r w:rsidRPr="00644691">
              <w:rPr>
                <w:b/>
              </w:rPr>
              <w:t>$</w:t>
            </w:r>
            <w:r w:rsidR="00BB0C56">
              <w:rPr>
                <w:b/>
                <w:noProof/>
                <w:color w:val="000000"/>
                <w:highlight w:val="black"/>
              </w:rPr>
              <w:t>'''''''''''</w:t>
            </w:r>
          </w:p>
        </w:tc>
        <w:tc>
          <w:tcPr>
            <w:tcW w:w="1306" w:type="dxa"/>
          </w:tcPr>
          <w:p w:rsidR="002C0C3F" w:rsidRPr="00644691" w:rsidRDefault="002C0C3F" w:rsidP="00EB04BB">
            <w:pPr>
              <w:pStyle w:val="TableText"/>
              <w:jc w:val="center"/>
              <w:rPr>
                <w:b/>
              </w:rPr>
            </w:pPr>
            <w:r w:rsidRPr="00644691">
              <w:rPr>
                <w:b/>
              </w:rPr>
              <w:t>0.37</w:t>
            </w:r>
          </w:p>
        </w:tc>
        <w:tc>
          <w:tcPr>
            <w:tcW w:w="1307" w:type="dxa"/>
          </w:tcPr>
          <w:p w:rsidR="002C0C3F" w:rsidRPr="00644691" w:rsidRDefault="002C0C3F" w:rsidP="00EB04BB">
            <w:pPr>
              <w:pStyle w:val="TableText"/>
              <w:jc w:val="center"/>
              <w:rPr>
                <w:b/>
              </w:rPr>
            </w:pPr>
            <w:r w:rsidRPr="00644691">
              <w:rPr>
                <w:b/>
              </w:rPr>
              <w:t>$</w:t>
            </w:r>
            <w:r w:rsidR="00BB0C56">
              <w:rPr>
                <w:b/>
                <w:noProof/>
                <w:color w:val="000000"/>
                <w:highlight w:val="black"/>
              </w:rPr>
              <w:t>''''''''''''</w:t>
            </w:r>
            <w:r w:rsidR="00723A20">
              <w:rPr>
                <w:vertAlign w:val="superscript"/>
              </w:rPr>
              <w:t>1</w:t>
            </w:r>
          </w:p>
        </w:tc>
      </w:tr>
      <w:tr w:rsidR="002C0C3F" w:rsidRPr="00644691" w:rsidTr="003B3BE4">
        <w:trPr>
          <w:trHeight w:val="944"/>
        </w:trPr>
        <w:tc>
          <w:tcPr>
            <w:tcW w:w="5098" w:type="dxa"/>
          </w:tcPr>
          <w:p w:rsidR="002C0C3F" w:rsidRPr="00644691" w:rsidRDefault="002C0C3F" w:rsidP="00EB04BB">
            <w:pPr>
              <w:pStyle w:val="TableText"/>
            </w:pPr>
            <w:r w:rsidRPr="00644691">
              <w:t>Time horizon (base case</w:t>
            </w:r>
            <w:r w:rsidR="00B8017F" w:rsidRPr="00644691">
              <w:t>:</w:t>
            </w:r>
            <w:r w:rsidRPr="00644691">
              <w:t xml:space="preserve"> </w:t>
            </w:r>
            <w:r w:rsidR="00FF6185" w:rsidRPr="00644691">
              <w:t>30</w:t>
            </w:r>
            <w:r w:rsidRPr="00644691">
              <w:t xml:space="preserve"> years)</w:t>
            </w:r>
          </w:p>
          <w:p w:rsidR="002C0C3F" w:rsidRPr="00644691" w:rsidRDefault="002C0C3F" w:rsidP="00B91468">
            <w:pPr>
              <w:pStyle w:val="TableText"/>
              <w:numPr>
                <w:ilvl w:val="0"/>
                <w:numId w:val="6"/>
              </w:numPr>
            </w:pPr>
            <w:r w:rsidRPr="00644691">
              <w:t>1.52 years (</w:t>
            </w:r>
            <w:r w:rsidR="00DF6B86" w:rsidRPr="00644691">
              <w:t>re</w:t>
            </w:r>
            <w:r w:rsidRPr="00644691">
              <w:t>submission’s trial-based analysis)</w:t>
            </w:r>
          </w:p>
          <w:p w:rsidR="002C0C3F" w:rsidRPr="00644691" w:rsidRDefault="002C0C3F" w:rsidP="00B91468">
            <w:pPr>
              <w:pStyle w:val="TableText"/>
              <w:numPr>
                <w:ilvl w:val="0"/>
                <w:numId w:val="6"/>
              </w:numPr>
              <w:rPr>
                <w:iCs/>
              </w:rPr>
            </w:pPr>
            <w:r w:rsidRPr="00644691">
              <w:rPr>
                <w:iCs/>
              </w:rPr>
              <w:t>5 years</w:t>
            </w:r>
            <w:r w:rsidR="00FF6185" w:rsidRPr="00644691">
              <w:rPr>
                <w:iCs/>
                <w:vertAlign w:val="superscript"/>
              </w:rPr>
              <w:t>1</w:t>
            </w:r>
          </w:p>
          <w:p w:rsidR="002C0C3F" w:rsidRPr="00644691" w:rsidRDefault="002C0C3F" w:rsidP="00B91468">
            <w:pPr>
              <w:pStyle w:val="TableText"/>
              <w:numPr>
                <w:ilvl w:val="0"/>
                <w:numId w:val="6"/>
              </w:numPr>
            </w:pPr>
            <w:r w:rsidRPr="00644691">
              <w:t>10 years</w:t>
            </w:r>
          </w:p>
          <w:p w:rsidR="002C0C3F" w:rsidRPr="00644691" w:rsidRDefault="002C0C3F" w:rsidP="00B91468">
            <w:pPr>
              <w:pStyle w:val="TableText"/>
              <w:numPr>
                <w:ilvl w:val="0"/>
                <w:numId w:val="6"/>
              </w:numPr>
            </w:pPr>
            <w:r w:rsidRPr="00644691">
              <w:t>15 years</w:t>
            </w:r>
          </w:p>
          <w:p w:rsidR="002C0C3F" w:rsidRPr="00644691" w:rsidRDefault="002C0C3F" w:rsidP="00B91468">
            <w:pPr>
              <w:pStyle w:val="TableText"/>
              <w:numPr>
                <w:ilvl w:val="0"/>
                <w:numId w:val="6"/>
              </w:numPr>
              <w:rPr>
                <w:iCs/>
              </w:rPr>
            </w:pPr>
            <w:r w:rsidRPr="00644691">
              <w:rPr>
                <w:iCs/>
              </w:rPr>
              <w:t>20 years</w:t>
            </w:r>
            <w:r w:rsidR="00FF6185" w:rsidRPr="00644691">
              <w:rPr>
                <w:iCs/>
                <w:vertAlign w:val="superscript"/>
              </w:rPr>
              <w:t>1</w:t>
            </w:r>
          </w:p>
        </w:tc>
        <w:tc>
          <w:tcPr>
            <w:tcW w:w="1306" w:type="dxa"/>
          </w:tcPr>
          <w:p w:rsidR="002C0C3F" w:rsidRPr="00644691" w:rsidRDefault="002C0C3F" w:rsidP="00EB04BB">
            <w:pPr>
              <w:pStyle w:val="TableText"/>
              <w:jc w:val="center"/>
            </w:pPr>
          </w:p>
          <w:p w:rsidR="002C0C3F" w:rsidRPr="00644691" w:rsidRDefault="002C0C3F" w:rsidP="00EB04BB">
            <w:pPr>
              <w:pStyle w:val="TableText"/>
              <w:jc w:val="center"/>
            </w:pPr>
            <w:r w:rsidRPr="00644691">
              <w:t>$</w:t>
            </w:r>
            <w:r w:rsidR="00BB0C56">
              <w:rPr>
                <w:noProof/>
                <w:color w:val="000000"/>
                <w:highlight w:val="black"/>
              </w:rPr>
              <w:t>'''''''''''''</w:t>
            </w:r>
          </w:p>
          <w:p w:rsidR="002C0C3F" w:rsidRPr="00644691" w:rsidRDefault="002C0C3F" w:rsidP="00EB04BB">
            <w:pPr>
              <w:pStyle w:val="TableText"/>
              <w:jc w:val="center"/>
              <w:rPr>
                <w:iCs/>
              </w:rPr>
            </w:pPr>
            <w:r w:rsidRPr="00644691">
              <w:rPr>
                <w:iCs/>
              </w:rPr>
              <w:t>$</w:t>
            </w:r>
            <w:r w:rsidR="00BB0C56">
              <w:rPr>
                <w:noProof/>
                <w:color w:val="000000"/>
                <w:highlight w:val="black"/>
              </w:rPr>
              <w:t>''''''''''''''</w:t>
            </w:r>
          </w:p>
          <w:p w:rsidR="002C0C3F" w:rsidRPr="00644691" w:rsidRDefault="002C0C3F" w:rsidP="00EB04BB">
            <w:pPr>
              <w:pStyle w:val="TableText"/>
              <w:jc w:val="center"/>
            </w:pPr>
            <w:r w:rsidRPr="00644691">
              <w:t>$</w:t>
            </w:r>
            <w:r w:rsidR="00BB0C56">
              <w:rPr>
                <w:noProof/>
                <w:color w:val="000000"/>
                <w:highlight w:val="black"/>
              </w:rPr>
              <w:t>'''''''''''''</w:t>
            </w:r>
          </w:p>
          <w:p w:rsidR="002C0C3F" w:rsidRPr="00644691" w:rsidRDefault="002C0C3F" w:rsidP="00EB04BB">
            <w:pPr>
              <w:pStyle w:val="TableText"/>
              <w:jc w:val="center"/>
            </w:pPr>
            <w:r w:rsidRPr="00644691">
              <w:t>$</w:t>
            </w:r>
            <w:r w:rsidR="00BB0C56">
              <w:rPr>
                <w:noProof/>
                <w:color w:val="000000"/>
                <w:highlight w:val="black"/>
              </w:rPr>
              <w:t>'''''''''''''''</w:t>
            </w:r>
          </w:p>
          <w:p w:rsidR="002C0C3F" w:rsidRPr="00644691" w:rsidRDefault="002C0C3F" w:rsidP="00EB04BB">
            <w:pPr>
              <w:pStyle w:val="TableText"/>
              <w:jc w:val="center"/>
              <w:rPr>
                <w:iCs/>
              </w:rPr>
            </w:pPr>
            <w:r w:rsidRPr="00644691">
              <w:rPr>
                <w:iCs/>
              </w:rPr>
              <w:t>$</w:t>
            </w:r>
            <w:r w:rsidR="00BB0C56">
              <w:rPr>
                <w:noProof/>
                <w:color w:val="000000"/>
                <w:highlight w:val="black"/>
              </w:rPr>
              <w:t>''''''''''''''</w:t>
            </w:r>
          </w:p>
        </w:tc>
        <w:tc>
          <w:tcPr>
            <w:tcW w:w="1306" w:type="dxa"/>
          </w:tcPr>
          <w:p w:rsidR="002C0C3F" w:rsidRPr="00644691" w:rsidRDefault="002C0C3F" w:rsidP="00EB04BB">
            <w:pPr>
              <w:pStyle w:val="TableText"/>
              <w:jc w:val="center"/>
            </w:pPr>
          </w:p>
          <w:p w:rsidR="002C0C3F" w:rsidRPr="00723A20" w:rsidRDefault="002C0C3F" w:rsidP="00EB04BB">
            <w:pPr>
              <w:pStyle w:val="TableText"/>
              <w:jc w:val="center"/>
              <w:rPr>
                <w:vertAlign w:val="superscript"/>
              </w:rPr>
            </w:pPr>
            <w:r w:rsidRPr="00644691">
              <w:t>0.01</w:t>
            </w:r>
          </w:p>
          <w:p w:rsidR="002C0C3F" w:rsidRPr="00644691" w:rsidRDefault="002C0C3F" w:rsidP="00EB04BB">
            <w:pPr>
              <w:pStyle w:val="TableText"/>
              <w:jc w:val="center"/>
              <w:rPr>
                <w:iCs/>
              </w:rPr>
            </w:pPr>
            <w:r w:rsidRPr="00644691">
              <w:rPr>
                <w:iCs/>
              </w:rPr>
              <w:t>0.11</w:t>
            </w:r>
          </w:p>
          <w:p w:rsidR="002C0C3F" w:rsidRPr="00644691" w:rsidRDefault="002C0C3F" w:rsidP="00EB04BB">
            <w:pPr>
              <w:pStyle w:val="TableText"/>
              <w:jc w:val="center"/>
            </w:pPr>
            <w:r w:rsidRPr="00644691">
              <w:t>0.29</w:t>
            </w:r>
          </w:p>
          <w:p w:rsidR="002C0C3F" w:rsidRPr="00644691" w:rsidRDefault="002C0C3F" w:rsidP="00EB04BB">
            <w:pPr>
              <w:pStyle w:val="TableText"/>
              <w:jc w:val="center"/>
            </w:pPr>
            <w:r w:rsidRPr="00644691">
              <w:t>0.36</w:t>
            </w:r>
          </w:p>
          <w:p w:rsidR="002C0C3F" w:rsidRPr="00644691" w:rsidRDefault="002C0C3F" w:rsidP="00EB04BB">
            <w:pPr>
              <w:pStyle w:val="TableText"/>
              <w:jc w:val="center"/>
              <w:rPr>
                <w:iCs/>
              </w:rPr>
            </w:pPr>
            <w:r w:rsidRPr="00644691">
              <w:rPr>
                <w:iCs/>
              </w:rPr>
              <w:t>0.37</w:t>
            </w:r>
          </w:p>
        </w:tc>
        <w:tc>
          <w:tcPr>
            <w:tcW w:w="1307" w:type="dxa"/>
          </w:tcPr>
          <w:p w:rsidR="002C0C3F" w:rsidRPr="00644691" w:rsidRDefault="002C0C3F" w:rsidP="00EB04BB">
            <w:pPr>
              <w:pStyle w:val="TableText"/>
              <w:jc w:val="center"/>
            </w:pPr>
          </w:p>
          <w:p w:rsidR="002C0C3F" w:rsidRPr="00644691" w:rsidRDefault="002C0C3F" w:rsidP="00EB04BB">
            <w:pPr>
              <w:pStyle w:val="TableText"/>
              <w:jc w:val="center"/>
            </w:pPr>
            <w:r w:rsidRPr="00644691">
              <w:t>$</w:t>
            </w:r>
            <w:r w:rsidR="00BB0C56">
              <w:rPr>
                <w:noProof/>
                <w:color w:val="000000"/>
                <w:highlight w:val="black"/>
              </w:rPr>
              <w:t>'''''''''''''''''</w:t>
            </w:r>
            <w:r w:rsidR="00723A20">
              <w:rPr>
                <w:vertAlign w:val="superscript"/>
              </w:rPr>
              <w:t>2</w:t>
            </w:r>
          </w:p>
          <w:p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3</w:t>
            </w:r>
          </w:p>
          <w:p w:rsidR="002C0C3F" w:rsidRPr="00644691" w:rsidRDefault="002C0C3F" w:rsidP="00EB04BB">
            <w:pPr>
              <w:pStyle w:val="TableText"/>
              <w:jc w:val="center"/>
            </w:pPr>
            <w:r w:rsidRPr="00644691">
              <w:t>$</w:t>
            </w:r>
            <w:r w:rsidR="00BB0C56">
              <w:rPr>
                <w:noProof/>
                <w:color w:val="000000"/>
                <w:highlight w:val="black"/>
              </w:rPr>
              <w:t>'''''''''''''''''</w:t>
            </w:r>
            <w:r w:rsidR="00723A20">
              <w:rPr>
                <w:vertAlign w:val="superscript"/>
              </w:rPr>
              <w:t>1</w:t>
            </w:r>
          </w:p>
          <w:p w:rsidR="002C0C3F" w:rsidRPr="00644691" w:rsidRDefault="002C0C3F" w:rsidP="00EB04BB">
            <w:pPr>
              <w:pStyle w:val="TableText"/>
              <w:jc w:val="center"/>
            </w:pPr>
            <w:r w:rsidRPr="00644691">
              <w:t>$</w:t>
            </w:r>
            <w:r w:rsidR="00BB0C56">
              <w:rPr>
                <w:noProof/>
                <w:color w:val="000000"/>
                <w:highlight w:val="black"/>
              </w:rPr>
              <w:t>'''''''''''''''</w:t>
            </w:r>
            <w:r w:rsidR="00723A20">
              <w:rPr>
                <w:vertAlign w:val="superscript"/>
              </w:rPr>
              <w:t>1</w:t>
            </w:r>
          </w:p>
          <w:p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1</w:t>
            </w:r>
          </w:p>
        </w:tc>
      </w:tr>
      <w:tr w:rsidR="002C0C3F" w:rsidRPr="00644691" w:rsidTr="003B3BE4">
        <w:tc>
          <w:tcPr>
            <w:tcW w:w="5098" w:type="dxa"/>
          </w:tcPr>
          <w:p w:rsidR="002C0C3F" w:rsidRPr="00644691" w:rsidRDefault="002C0C3F" w:rsidP="00EB04BB">
            <w:pPr>
              <w:pStyle w:val="TableText"/>
            </w:pPr>
            <w:r w:rsidRPr="00644691">
              <w:t>Proportion treated with an ARNI (base case: 10.7%)</w:t>
            </w:r>
          </w:p>
          <w:p w:rsidR="002C0C3F" w:rsidRPr="00644691" w:rsidRDefault="002C0C3F" w:rsidP="00B91468">
            <w:pPr>
              <w:pStyle w:val="TableText"/>
              <w:numPr>
                <w:ilvl w:val="0"/>
                <w:numId w:val="7"/>
              </w:numPr>
            </w:pPr>
            <w:r w:rsidRPr="00644691">
              <w:t>100%</w:t>
            </w:r>
          </w:p>
          <w:p w:rsidR="00C526B5" w:rsidRPr="00644691" w:rsidRDefault="00C526B5" w:rsidP="00B91468">
            <w:pPr>
              <w:pStyle w:val="TableText"/>
              <w:numPr>
                <w:ilvl w:val="0"/>
                <w:numId w:val="7"/>
              </w:numPr>
            </w:pPr>
            <w:r w:rsidRPr="00644691">
              <w:t>20%</w:t>
            </w:r>
          </w:p>
          <w:p w:rsidR="002C0C3F" w:rsidRPr="00644691" w:rsidRDefault="002C0C3F" w:rsidP="00B91468">
            <w:pPr>
              <w:pStyle w:val="TableText"/>
              <w:numPr>
                <w:ilvl w:val="0"/>
                <w:numId w:val="7"/>
              </w:numPr>
            </w:pPr>
            <w:r w:rsidRPr="00644691">
              <w:t>0%</w:t>
            </w:r>
          </w:p>
        </w:tc>
        <w:tc>
          <w:tcPr>
            <w:tcW w:w="1306" w:type="dxa"/>
          </w:tcPr>
          <w:p w:rsidR="002C0C3F" w:rsidRPr="00644691" w:rsidRDefault="002C0C3F" w:rsidP="00EB04BB">
            <w:pPr>
              <w:pStyle w:val="TableText"/>
              <w:jc w:val="center"/>
            </w:pPr>
          </w:p>
          <w:p w:rsidR="002C0C3F" w:rsidRPr="00644691" w:rsidRDefault="002C0C3F" w:rsidP="00EB04BB">
            <w:pPr>
              <w:pStyle w:val="TableText"/>
              <w:jc w:val="center"/>
            </w:pPr>
            <w:r w:rsidRPr="00644691">
              <w:t>$</w:t>
            </w:r>
            <w:r w:rsidR="00BB0C56">
              <w:rPr>
                <w:noProof/>
                <w:color w:val="000000"/>
                <w:highlight w:val="black"/>
              </w:rPr>
              <w:t>'''''''''''''</w:t>
            </w:r>
          </w:p>
          <w:p w:rsidR="00C526B5" w:rsidRPr="00644691" w:rsidRDefault="00C526B5" w:rsidP="00EB04BB">
            <w:pPr>
              <w:pStyle w:val="TableText"/>
              <w:jc w:val="center"/>
            </w:pPr>
            <w:r w:rsidRPr="00644691">
              <w:t>$</w:t>
            </w:r>
            <w:r w:rsidR="00BB0C56">
              <w:rPr>
                <w:noProof/>
                <w:color w:val="000000"/>
                <w:highlight w:val="black"/>
              </w:rPr>
              <w:t>'''''''''''''''</w:t>
            </w:r>
          </w:p>
          <w:p w:rsidR="002C0C3F" w:rsidRPr="00644691" w:rsidRDefault="002C0C3F" w:rsidP="00EB04BB">
            <w:pPr>
              <w:pStyle w:val="TableText"/>
              <w:jc w:val="center"/>
            </w:pPr>
            <w:r w:rsidRPr="00644691">
              <w:t>$</w:t>
            </w:r>
            <w:r w:rsidR="00BB0C56">
              <w:rPr>
                <w:noProof/>
                <w:color w:val="000000"/>
                <w:highlight w:val="black"/>
              </w:rPr>
              <w:t>'''''''''''''</w:t>
            </w:r>
          </w:p>
        </w:tc>
        <w:tc>
          <w:tcPr>
            <w:tcW w:w="1306" w:type="dxa"/>
          </w:tcPr>
          <w:p w:rsidR="002C0C3F" w:rsidRPr="00644691" w:rsidRDefault="002C0C3F" w:rsidP="00EB04BB">
            <w:pPr>
              <w:pStyle w:val="TableText"/>
              <w:jc w:val="center"/>
            </w:pPr>
          </w:p>
          <w:p w:rsidR="002C0C3F" w:rsidRPr="00644691" w:rsidRDefault="002C0C3F" w:rsidP="00EB04BB">
            <w:pPr>
              <w:pStyle w:val="TableText"/>
              <w:jc w:val="center"/>
            </w:pPr>
            <w:r w:rsidRPr="00644691">
              <w:t>0.19</w:t>
            </w:r>
          </w:p>
          <w:p w:rsidR="00C526B5" w:rsidRPr="00644691" w:rsidRDefault="00C526B5" w:rsidP="00EB04BB">
            <w:pPr>
              <w:pStyle w:val="TableText"/>
              <w:jc w:val="center"/>
            </w:pPr>
            <w:r w:rsidRPr="00644691">
              <w:t>0.35</w:t>
            </w:r>
          </w:p>
          <w:p w:rsidR="002C0C3F" w:rsidRPr="00644691" w:rsidRDefault="002C0C3F" w:rsidP="00EB04BB">
            <w:pPr>
              <w:pStyle w:val="TableText"/>
              <w:jc w:val="center"/>
            </w:pPr>
            <w:r w:rsidRPr="00644691">
              <w:t>0.39</w:t>
            </w:r>
          </w:p>
        </w:tc>
        <w:tc>
          <w:tcPr>
            <w:tcW w:w="1307" w:type="dxa"/>
          </w:tcPr>
          <w:p w:rsidR="002C0C3F" w:rsidRPr="00644691" w:rsidRDefault="002C0C3F" w:rsidP="00EB04BB">
            <w:pPr>
              <w:pStyle w:val="TableText"/>
              <w:jc w:val="center"/>
            </w:pPr>
          </w:p>
          <w:p w:rsidR="002C0C3F" w:rsidRPr="00644691" w:rsidRDefault="002C0C3F" w:rsidP="00EB04BB">
            <w:pPr>
              <w:pStyle w:val="TableText"/>
              <w:jc w:val="center"/>
            </w:pPr>
            <w:r w:rsidRPr="00644691">
              <w:t>$</w:t>
            </w:r>
            <w:r w:rsidR="00BB0C56">
              <w:rPr>
                <w:noProof/>
                <w:color w:val="000000"/>
                <w:highlight w:val="black"/>
              </w:rPr>
              <w:t>'''''''''''''''</w:t>
            </w:r>
            <w:r w:rsidR="00723A20">
              <w:rPr>
                <w:vertAlign w:val="superscript"/>
              </w:rPr>
              <w:t>4</w:t>
            </w:r>
          </w:p>
          <w:p w:rsidR="00C526B5" w:rsidRPr="00644691" w:rsidRDefault="00C526B5" w:rsidP="00EB04BB">
            <w:pPr>
              <w:pStyle w:val="TableText"/>
              <w:jc w:val="center"/>
            </w:pPr>
            <w:r w:rsidRPr="00644691">
              <w:t>$</w:t>
            </w:r>
            <w:r w:rsidR="00BB0C56">
              <w:rPr>
                <w:noProof/>
                <w:color w:val="000000"/>
                <w:highlight w:val="black"/>
              </w:rPr>
              <w:t>''''''''''''''''</w:t>
            </w:r>
            <w:r w:rsidR="00723A20">
              <w:rPr>
                <w:vertAlign w:val="superscript"/>
              </w:rPr>
              <w:t>1</w:t>
            </w:r>
          </w:p>
          <w:p w:rsidR="002C0C3F" w:rsidRPr="00644691" w:rsidRDefault="002C0C3F" w:rsidP="00EB04BB">
            <w:pPr>
              <w:pStyle w:val="TableText"/>
              <w:jc w:val="center"/>
            </w:pPr>
            <w:r w:rsidRPr="00644691">
              <w:t>$</w:t>
            </w:r>
            <w:r w:rsidR="00BB0C56">
              <w:rPr>
                <w:noProof/>
                <w:color w:val="000000"/>
                <w:highlight w:val="black"/>
              </w:rPr>
              <w:t>'''''''''''''''</w:t>
            </w:r>
            <w:r w:rsidR="00723A20">
              <w:rPr>
                <w:vertAlign w:val="superscript"/>
              </w:rPr>
              <w:t>1</w:t>
            </w:r>
          </w:p>
        </w:tc>
      </w:tr>
      <w:tr w:rsidR="002C0C3F" w:rsidRPr="00644691" w:rsidTr="003B3BE4">
        <w:tc>
          <w:tcPr>
            <w:tcW w:w="5098" w:type="dxa"/>
          </w:tcPr>
          <w:p w:rsidR="002C0C3F" w:rsidRPr="00644691" w:rsidRDefault="002C0C3F" w:rsidP="00EB04BB">
            <w:pPr>
              <w:pStyle w:val="TableText"/>
            </w:pPr>
            <w:r w:rsidRPr="00644691">
              <w:t xml:space="preserve">Proportion with </w:t>
            </w:r>
            <w:r w:rsidR="00C961A2" w:rsidRPr="00644691">
              <w:t>T2DM</w:t>
            </w:r>
            <w:r w:rsidRPr="00644691">
              <w:t xml:space="preserve"> (base case</w:t>
            </w:r>
            <w:r w:rsidR="00B8017F" w:rsidRPr="00644691">
              <w:t>:</w:t>
            </w:r>
            <w:r w:rsidRPr="00644691">
              <w:t xml:space="preserve"> 45.1%)</w:t>
            </w:r>
          </w:p>
          <w:p w:rsidR="002C0C3F" w:rsidRPr="00644691" w:rsidRDefault="002C0C3F" w:rsidP="00B91468">
            <w:pPr>
              <w:pStyle w:val="TableText"/>
              <w:numPr>
                <w:ilvl w:val="0"/>
                <w:numId w:val="7"/>
              </w:numPr>
            </w:pPr>
            <w:r w:rsidRPr="00644691">
              <w:t>100%</w:t>
            </w:r>
          </w:p>
          <w:p w:rsidR="00EB04BB" w:rsidRPr="00644691" w:rsidRDefault="00EB04BB" w:rsidP="00B91468">
            <w:pPr>
              <w:pStyle w:val="TableText"/>
              <w:numPr>
                <w:ilvl w:val="0"/>
                <w:numId w:val="7"/>
              </w:numPr>
            </w:pPr>
            <w:r w:rsidRPr="00644691">
              <w:t>22.5%</w:t>
            </w:r>
          </w:p>
          <w:p w:rsidR="002C0C3F" w:rsidRPr="00644691" w:rsidRDefault="002C0C3F" w:rsidP="00B91468">
            <w:pPr>
              <w:pStyle w:val="TableText"/>
              <w:numPr>
                <w:ilvl w:val="0"/>
                <w:numId w:val="7"/>
              </w:numPr>
            </w:pPr>
            <w:r w:rsidRPr="00644691">
              <w:t>0%</w:t>
            </w:r>
          </w:p>
        </w:tc>
        <w:tc>
          <w:tcPr>
            <w:tcW w:w="1306" w:type="dxa"/>
          </w:tcPr>
          <w:p w:rsidR="002C0C3F" w:rsidRPr="00644691" w:rsidRDefault="002C0C3F" w:rsidP="00EB04BB">
            <w:pPr>
              <w:pStyle w:val="TableText"/>
              <w:jc w:val="center"/>
            </w:pPr>
          </w:p>
          <w:p w:rsidR="00F93571" w:rsidRPr="00BB0C56" w:rsidRDefault="00577C10" w:rsidP="00EB04BB">
            <w:pPr>
              <w:pStyle w:val="TableText"/>
              <w:jc w:val="center"/>
            </w:pPr>
            <w:r w:rsidRPr="00644691">
              <w:t>$</w:t>
            </w:r>
            <w:r w:rsidR="00BB0C56">
              <w:rPr>
                <w:noProof/>
                <w:color w:val="000000"/>
                <w:highlight w:val="black"/>
              </w:rPr>
              <w:t>'''''''''''''''</w:t>
            </w:r>
          </w:p>
          <w:p w:rsidR="00EB04BB" w:rsidRPr="00644691" w:rsidRDefault="00EB04BB" w:rsidP="00EB04BB">
            <w:pPr>
              <w:pStyle w:val="TableText"/>
              <w:jc w:val="center"/>
            </w:pPr>
            <w:r w:rsidRPr="00644691">
              <w:t>$</w:t>
            </w:r>
            <w:r w:rsidR="00BB0C56">
              <w:rPr>
                <w:noProof/>
                <w:color w:val="000000"/>
                <w:highlight w:val="black"/>
              </w:rPr>
              <w:t>'''''''''''''''</w:t>
            </w:r>
          </w:p>
          <w:p w:rsidR="002C0C3F" w:rsidRPr="00644691" w:rsidRDefault="00F93571" w:rsidP="00EB04BB">
            <w:pPr>
              <w:pStyle w:val="TableText"/>
              <w:jc w:val="center"/>
            </w:pPr>
            <w:r w:rsidRPr="00644691">
              <w:t>$</w:t>
            </w:r>
            <w:r w:rsidR="00BB0C56">
              <w:rPr>
                <w:noProof/>
                <w:color w:val="000000"/>
                <w:highlight w:val="black"/>
              </w:rPr>
              <w:t>''''''''''''''</w:t>
            </w:r>
          </w:p>
        </w:tc>
        <w:tc>
          <w:tcPr>
            <w:tcW w:w="1306" w:type="dxa"/>
          </w:tcPr>
          <w:p w:rsidR="002C0C3F" w:rsidRPr="00644691" w:rsidRDefault="002C0C3F" w:rsidP="00EB04BB">
            <w:pPr>
              <w:pStyle w:val="TableText"/>
              <w:jc w:val="center"/>
            </w:pPr>
          </w:p>
          <w:p w:rsidR="00F93571" w:rsidRPr="00644691" w:rsidRDefault="00F93571" w:rsidP="00EB04BB">
            <w:pPr>
              <w:pStyle w:val="TableText"/>
              <w:jc w:val="center"/>
            </w:pPr>
            <w:r w:rsidRPr="00644691">
              <w:t>0.48</w:t>
            </w:r>
          </w:p>
          <w:p w:rsidR="00EB04BB" w:rsidRPr="00644691" w:rsidRDefault="00EB04BB" w:rsidP="00EB04BB">
            <w:pPr>
              <w:pStyle w:val="TableText"/>
              <w:jc w:val="center"/>
            </w:pPr>
            <w:r w:rsidRPr="00644691">
              <w:t>0.30</w:t>
            </w:r>
          </w:p>
          <w:p w:rsidR="002C0C3F" w:rsidRPr="00644691" w:rsidRDefault="00F93571" w:rsidP="00EB04BB">
            <w:pPr>
              <w:pStyle w:val="TableText"/>
              <w:jc w:val="center"/>
            </w:pPr>
            <w:r w:rsidRPr="00644691">
              <w:t>0.25</w:t>
            </w:r>
          </w:p>
        </w:tc>
        <w:tc>
          <w:tcPr>
            <w:tcW w:w="1307" w:type="dxa"/>
          </w:tcPr>
          <w:p w:rsidR="002C0C3F" w:rsidRPr="00644691" w:rsidRDefault="002C0C3F" w:rsidP="00EB04BB">
            <w:pPr>
              <w:pStyle w:val="TableText"/>
              <w:jc w:val="center"/>
            </w:pPr>
          </w:p>
          <w:p w:rsidR="00F93571" w:rsidRPr="00644691" w:rsidRDefault="00F93571" w:rsidP="00EB04BB">
            <w:pPr>
              <w:pStyle w:val="TableText"/>
              <w:jc w:val="center"/>
            </w:pPr>
            <w:r w:rsidRPr="00644691">
              <w:t>$</w:t>
            </w:r>
            <w:r w:rsidR="00BB0C56">
              <w:rPr>
                <w:noProof/>
                <w:color w:val="000000"/>
                <w:highlight w:val="black"/>
              </w:rPr>
              <w:t>'''''''''''''''''</w:t>
            </w:r>
            <w:r w:rsidR="00723A20">
              <w:rPr>
                <w:vertAlign w:val="superscript"/>
              </w:rPr>
              <w:t>1</w:t>
            </w:r>
          </w:p>
          <w:p w:rsidR="00EB04BB" w:rsidRPr="00644691" w:rsidRDefault="00EB04BB" w:rsidP="00EB04BB">
            <w:pPr>
              <w:pStyle w:val="TableText"/>
              <w:jc w:val="center"/>
            </w:pPr>
            <w:r w:rsidRPr="00644691">
              <w:t>$</w:t>
            </w:r>
            <w:r w:rsidR="00BB0C56">
              <w:rPr>
                <w:noProof/>
                <w:color w:val="000000"/>
                <w:highlight w:val="black"/>
              </w:rPr>
              <w:t>''''''''''''''''</w:t>
            </w:r>
            <w:r w:rsidR="00723A20">
              <w:rPr>
                <w:vertAlign w:val="superscript"/>
              </w:rPr>
              <w:t>1</w:t>
            </w:r>
          </w:p>
          <w:p w:rsidR="002C0C3F" w:rsidRPr="00FA18D3" w:rsidRDefault="00F93571" w:rsidP="00EB04BB">
            <w:pPr>
              <w:pStyle w:val="TableText"/>
              <w:jc w:val="center"/>
              <w:rPr>
                <w:vertAlign w:val="superscript"/>
              </w:rPr>
            </w:pPr>
            <w:r w:rsidRPr="00644691">
              <w:t>$</w:t>
            </w:r>
            <w:r w:rsidR="00BB0C56">
              <w:rPr>
                <w:noProof/>
                <w:color w:val="000000"/>
                <w:highlight w:val="black"/>
              </w:rPr>
              <w:t>'''''''''''''''</w:t>
            </w:r>
            <w:r w:rsidR="00FA18D3">
              <w:rPr>
                <w:noProof/>
                <w:color w:val="000000"/>
                <w:vertAlign w:val="superscript"/>
              </w:rPr>
              <w:t>4</w:t>
            </w:r>
            <w:bookmarkStart w:id="40" w:name="_GoBack"/>
            <w:bookmarkEnd w:id="40"/>
          </w:p>
        </w:tc>
      </w:tr>
      <w:tr w:rsidR="002C0C3F" w:rsidRPr="00644691" w:rsidTr="003B3BE4">
        <w:tc>
          <w:tcPr>
            <w:tcW w:w="5098" w:type="dxa"/>
          </w:tcPr>
          <w:p w:rsidR="002C0C3F" w:rsidRPr="00644691" w:rsidRDefault="002C0C3F" w:rsidP="00EB04BB">
            <w:pPr>
              <w:pStyle w:val="TableText"/>
            </w:pPr>
            <w:r w:rsidRPr="00644691">
              <w:t>Dapagliflozin discontinuation (base case</w:t>
            </w:r>
            <w:r w:rsidR="00B8017F" w:rsidRPr="00644691">
              <w:t>:</w:t>
            </w:r>
            <w:r w:rsidRPr="00644691">
              <w:t xml:space="preserve"> log-normal extrapolation)</w:t>
            </w:r>
          </w:p>
          <w:p w:rsidR="002C0C3F" w:rsidRPr="00644691" w:rsidRDefault="002C0C3F" w:rsidP="00B91468">
            <w:pPr>
              <w:pStyle w:val="TableText"/>
              <w:numPr>
                <w:ilvl w:val="0"/>
                <w:numId w:val="7"/>
              </w:numPr>
              <w:rPr>
                <w:iCs/>
              </w:rPr>
            </w:pPr>
            <w:r w:rsidRPr="00644691">
              <w:rPr>
                <w:iCs/>
              </w:rPr>
              <w:t>Exponential extrapolation</w:t>
            </w:r>
            <w:r w:rsidR="00FF6185" w:rsidRPr="00644691">
              <w:rPr>
                <w:iCs/>
                <w:vertAlign w:val="superscript"/>
              </w:rPr>
              <w:t>1</w:t>
            </w:r>
          </w:p>
          <w:p w:rsidR="002C0C3F" w:rsidRPr="00644691" w:rsidRDefault="002C0C3F" w:rsidP="00B91468">
            <w:pPr>
              <w:pStyle w:val="TableText"/>
              <w:numPr>
                <w:ilvl w:val="0"/>
                <w:numId w:val="7"/>
              </w:numPr>
              <w:rPr>
                <w:iCs/>
              </w:rPr>
            </w:pPr>
            <w:r w:rsidRPr="00644691">
              <w:rPr>
                <w:iCs/>
              </w:rPr>
              <w:t>Weibull extrapolation</w:t>
            </w:r>
            <w:r w:rsidR="00FF6185" w:rsidRPr="00644691">
              <w:rPr>
                <w:iCs/>
                <w:vertAlign w:val="superscript"/>
              </w:rPr>
              <w:t>1</w:t>
            </w:r>
          </w:p>
          <w:p w:rsidR="002C0C3F" w:rsidRPr="00644691" w:rsidRDefault="002C0C3F" w:rsidP="00B91468">
            <w:pPr>
              <w:pStyle w:val="TableText"/>
              <w:numPr>
                <w:ilvl w:val="0"/>
                <w:numId w:val="7"/>
              </w:numPr>
              <w:rPr>
                <w:iCs/>
              </w:rPr>
            </w:pPr>
            <w:r w:rsidRPr="00644691">
              <w:rPr>
                <w:iCs/>
              </w:rPr>
              <w:t>Gompertz extrapolation</w:t>
            </w:r>
            <w:r w:rsidR="00FF6185" w:rsidRPr="00644691">
              <w:rPr>
                <w:iCs/>
                <w:vertAlign w:val="superscript"/>
              </w:rPr>
              <w:t>1</w:t>
            </w:r>
          </w:p>
          <w:p w:rsidR="002C0C3F" w:rsidRPr="00644691" w:rsidRDefault="002C0C3F" w:rsidP="00B91468">
            <w:pPr>
              <w:pStyle w:val="TableText"/>
              <w:numPr>
                <w:ilvl w:val="0"/>
                <w:numId w:val="7"/>
              </w:numPr>
            </w:pPr>
            <w:r w:rsidRPr="00644691">
              <w:t>No discontinuations</w:t>
            </w:r>
          </w:p>
        </w:tc>
        <w:tc>
          <w:tcPr>
            <w:tcW w:w="1306" w:type="dxa"/>
          </w:tcPr>
          <w:p w:rsidR="002C0C3F" w:rsidRPr="00644691" w:rsidRDefault="002C0C3F" w:rsidP="00EB04BB">
            <w:pPr>
              <w:pStyle w:val="TableText"/>
              <w:jc w:val="center"/>
            </w:pPr>
          </w:p>
          <w:p w:rsidR="002C0C3F" w:rsidRPr="00644691" w:rsidRDefault="002C0C3F" w:rsidP="00EB04BB">
            <w:pPr>
              <w:pStyle w:val="TableText"/>
              <w:jc w:val="center"/>
              <w:rPr>
                <w:iCs/>
              </w:rPr>
            </w:pPr>
            <w:r w:rsidRPr="00644691">
              <w:rPr>
                <w:iCs/>
              </w:rPr>
              <w:t>$</w:t>
            </w:r>
            <w:r w:rsidR="00BB0C56">
              <w:rPr>
                <w:noProof/>
                <w:color w:val="000000"/>
                <w:highlight w:val="black"/>
              </w:rPr>
              <w:t>'''''''''''''''</w:t>
            </w:r>
          </w:p>
          <w:p w:rsidR="002C0C3F" w:rsidRPr="00644691" w:rsidRDefault="002C0C3F" w:rsidP="00EB04BB">
            <w:pPr>
              <w:pStyle w:val="TableText"/>
              <w:jc w:val="center"/>
              <w:rPr>
                <w:iCs/>
              </w:rPr>
            </w:pPr>
            <w:r w:rsidRPr="00644691">
              <w:rPr>
                <w:iCs/>
              </w:rPr>
              <w:t>$</w:t>
            </w:r>
            <w:r w:rsidR="00BB0C56">
              <w:rPr>
                <w:noProof/>
                <w:color w:val="000000"/>
                <w:highlight w:val="black"/>
              </w:rPr>
              <w:t>'''''''''''''</w:t>
            </w:r>
          </w:p>
          <w:p w:rsidR="002C0C3F" w:rsidRPr="00644691" w:rsidRDefault="002C0C3F" w:rsidP="00EB04BB">
            <w:pPr>
              <w:pStyle w:val="TableText"/>
              <w:jc w:val="center"/>
            </w:pPr>
            <w:r w:rsidRPr="00644691">
              <w:rPr>
                <w:iCs/>
              </w:rPr>
              <w:t>$</w:t>
            </w:r>
            <w:r w:rsidR="00BB0C56">
              <w:rPr>
                <w:noProof/>
                <w:color w:val="000000"/>
                <w:highlight w:val="black"/>
              </w:rPr>
              <w:t>'''''''''''''</w:t>
            </w:r>
          </w:p>
          <w:p w:rsidR="002C0C3F" w:rsidRPr="00644691" w:rsidRDefault="002C0C3F" w:rsidP="00EB04BB">
            <w:pPr>
              <w:pStyle w:val="TableText"/>
              <w:jc w:val="center"/>
            </w:pPr>
            <w:r w:rsidRPr="00644691">
              <w:t>$</w:t>
            </w:r>
            <w:r w:rsidR="00BB0C56">
              <w:rPr>
                <w:noProof/>
                <w:color w:val="000000"/>
                <w:highlight w:val="black"/>
              </w:rPr>
              <w:t>''''''''''''</w:t>
            </w:r>
          </w:p>
        </w:tc>
        <w:tc>
          <w:tcPr>
            <w:tcW w:w="1306" w:type="dxa"/>
          </w:tcPr>
          <w:p w:rsidR="002C0C3F" w:rsidRPr="00644691" w:rsidRDefault="002C0C3F" w:rsidP="00EB04BB">
            <w:pPr>
              <w:pStyle w:val="TableText"/>
              <w:jc w:val="center"/>
            </w:pPr>
          </w:p>
          <w:p w:rsidR="002C0C3F" w:rsidRPr="00644691" w:rsidRDefault="002C0C3F" w:rsidP="00EB04BB">
            <w:pPr>
              <w:pStyle w:val="TableText"/>
              <w:jc w:val="center"/>
              <w:rPr>
                <w:iCs/>
              </w:rPr>
            </w:pPr>
            <w:r w:rsidRPr="00644691">
              <w:rPr>
                <w:iCs/>
              </w:rPr>
              <w:t>0.37</w:t>
            </w:r>
          </w:p>
          <w:p w:rsidR="002C0C3F" w:rsidRPr="00644691" w:rsidRDefault="002C0C3F" w:rsidP="00EB04BB">
            <w:pPr>
              <w:pStyle w:val="TableText"/>
              <w:jc w:val="center"/>
              <w:rPr>
                <w:iCs/>
              </w:rPr>
            </w:pPr>
            <w:r w:rsidRPr="00644691">
              <w:rPr>
                <w:iCs/>
              </w:rPr>
              <w:t>0.37</w:t>
            </w:r>
          </w:p>
          <w:p w:rsidR="002C0C3F" w:rsidRPr="00644691" w:rsidRDefault="002C0C3F" w:rsidP="00EB04BB">
            <w:pPr>
              <w:pStyle w:val="TableText"/>
              <w:jc w:val="center"/>
              <w:rPr>
                <w:iCs/>
              </w:rPr>
            </w:pPr>
            <w:r w:rsidRPr="00644691">
              <w:rPr>
                <w:iCs/>
              </w:rPr>
              <w:t>0.37</w:t>
            </w:r>
          </w:p>
          <w:p w:rsidR="002C0C3F" w:rsidRPr="00644691" w:rsidRDefault="002C0C3F" w:rsidP="00EB04BB">
            <w:pPr>
              <w:pStyle w:val="TableText"/>
              <w:jc w:val="center"/>
            </w:pPr>
            <w:r w:rsidRPr="00644691">
              <w:t>0.37</w:t>
            </w:r>
          </w:p>
        </w:tc>
        <w:tc>
          <w:tcPr>
            <w:tcW w:w="1307" w:type="dxa"/>
          </w:tcPr>
          <w:p w:rsidR="002C0C3F" w:rsidRPr="00644691" w:rsidRDefault="002C0C3F" w:rsidP="00EB04BB">
            <w:pPr>
              <w:pStyle w:val="TableText"/>
              <w:jc w:val="center"/>
            </w:pPr>
          </w:p>
          <w:p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1</w:t>
            </w:r>
          </w:p>
          <w:p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1</w:t>
            </w:r>
          </w:p>
          <w:p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1</w:t>
            </w:r>
          </w:p>
          <w:p w:rsidR="002C0C3F" w:rsidRPr="00644691" w:rsidRDefault="002C0C3F" w:rsidP="00EB04BB">
            <w:pPr>
              <w:pStyle w:val="TableText"/>
              <w:jc w:val="center"/>
            </w:pPr>
            <w:r w:rsidRPr="00644691">
              <w:t>$</w:t>
            </w:r>
            <w:r w:rsidR="00BB0C56">
              <w:rPr>
                <w:noProof/>
                <w:color w:val="000000"/>
                <w:highlight w:val="black"/>
              </w:rPr>
              <w:t>''''''''''''''''</w:t>
            </w:r>
            <w:r w:rsidR="00723A20">
              <w:rPr>
                <w:vertAlign w:val="superscript"/>
              </w:rPr>
              <w:t>1</w:t>
            </w:r>
          </w:p>
        </w:tc>
      </w:tr>
      <w:tr w:rsidR="002C0C3F" w:rsidRPr="00644691" w:rsidTr="003B3BE4">
        <w:tc>
          <w:tcPr>
            <w:tcW w:w="5098" w:type="dxa"/>
          </w:tcPr>
          <w:p w:rsidR="002C0C3F" w:rsidRPr="00644691" w:rsidRDefault="002C0C3F" w:rsidP="00EB04BB">
            <w:pPr>
              <w:pStyle w:val="TableText"/>
            </w:pPr>
            <w:r w:rsidRPr="00644691">
              <w:t>‘Alive’ health state utility at baseline (base case: 0.74)</w:t>
            </w:r>
          </w:p>
          <w:p w:rsidR="002C0C3F" w:rsidRPr="00644691" w:rsidRDefault="002C0C3F" w:rsidP="00B91468">
            <w:pPr>
              <w:pStyle w:val="TableText"/>
              <w:numPr>
                <w:ilvl w:val="0"/>
                <w:numId w:val="7"/>
              </w:numPr>
            </w:pPr>
            <w:r w:rsidRPr="00644691">
              <w:t>0.77 (DAPA-HF at 12 months)</w:t>
            </w:r>
          </w:p>
          <w:p w:rsidR="002C0C3F" w:rsidRPr="00644691" w:rsidRDefault="002C0C3F" w:rsidP="00B91468">
            <w:pPr>
              <w:pStyle w:val="TableText"/>
              <w:numPr>
                <w:ilvl w:val="0"/>
                <w:numId w:val="7"/>
              </w:numPr>
            </w:pPr>
            <w:r w:rsidRPr="00644691">
              <w:t>0.65 (Adena</w:t>
            </w:r>
            <w:r w:rsidR="00FF6185" w:rsidRPr="00644691">
              <w:t xml:space="preserve"> et al</w:t>
            </w:r>
            <w:r w:rsidRPr="00644691">
              <w:t>., 2019; post HF hospitalisation)</w:t>
            </w:r>
          </w:p>
        </w:tc>
        <w:tc>
          <w:tcPr>
            <w:tcW w:w="1306" w:type="dxa"/>
          </w:tcPr>
          <w:p w:rsidR="002C0C3F" w:rsidRPr="00644691" w:rsidRDefault="002C0C3F" w:rsidP="00EB04BB">
            <w:pPr>
              <w:pStyle w:val="TableText"/>
              <w:jc w:val="center"/>
            </w:pPr>
          </w:p>
          <w:p w:rsidR="002C0C3F" w:rsidRPr="00644691" w:rsidRDefault="002C0C3F" w:rsidP="00EB04BB">
            <w:pPr>
              <w:pStyle w:val="TableText"/>
              <w:jc w:val="center"/>
            </w:pPr>
            <w:r w:rsidRPr="00644691">
              <w:t>$</w:t>
            </w:r>
            <w:r w:rsidR="00BB0C56">
              <w:rPr>
                <w:noProof/>
                <w:color w:val="000000"/>
                <w:highlight w:val="black"/>
              </w:rPr>
              <w:t>'''''''''''''</w:t>
            </w:r>
          </w:p>
          <w:p w:rsidR="002C0C3F" w:rsidRPr="00644691" w:rsidRDefault="002C0C3F" w:rsidP="00EB04BB">
            <w:pPr>
              <w:pStyle w:val="TableText"/>
              <w:jc w:val="center"/>
            </w:pPr>
            <w:r w:rsidRPr="00644691">
              <w:t>$</w:t>
            </w:r>
            <w:r w:rsidR="00BB0C56">
              <w:rPr>
                <w:noProof/>
                <w:color w:val="000000"/>
                <w:highlight w:val="black"/>
              </w:rPr>
              <w:t>''''''''''''''</w:t>
            </w:r>
          </w:p>
        </w:tc>
        <w:tc>
          <w:tcPr>
            <w:tcW w:w="1306" w:type="dxa"/>
          </w:tcPr>
          <w:p w:rsidR="002C0C3F" w:rsidRPr="00644691" w:rsidRDefault="002C0C3F" w:rsidP="00EB04BB">
            <w:pPr>
              <w:pStyle w:val="TableText"/>
              <w:jc w:val="center"/>
            </w:pPr>
          </w:p>
          <w:p w:rsidR="002C0C3F" w:rsidRPr="00644691" w:rsidRDefault="002C0C3F" w:rsidP="00EB04BB">
            <w:pPr>
              <w:pStyle w:val="TableText"/>
              <w:jc w:val="center"/>
            </w:pPr>
            <w:r w:rsidRPr="00644691">
              <w:t>0.39</w:t>
            </w:r>
          </w:p>
          <w:p w:rsidR="002C0C3F" w:rsidRPr="00644691" w:rsidRDefault="002C0C3F" w:rsidP="00EB04BB">
            <w:pPr>
              <w:pStyle w:val="TableText"/>
              <w:jc w:val="center"/>
            </w:pPr>
            <w:r w:rsidRPr="00644691">
              <w:t>0.32</w:t>
            </w:r>
          </w:p>
        </w:tc>
        <w:tc>
          <w:tcPr>
            <w:tcW w:w="1307" w:type="dxa"/>
          </w:tcPr>
          <w:p w:rsidR="002C0C3F" w:rsidRPr="00644691" w:rsidRDefault="002C0C3F" w:rsidP="00EB04BB">
            <w:pPr>
              <w:pStyle w:val="TableText"/>
              <w:jc w:val="center"/>
            </w:pPr>
          </w:p>
          <w:p w:rsidR="002C0C3F" w:rsidRPr="00644691" w:rsidRDefault="002C0C3F" w:rsidP="00EB04BB">
            <w:pPr>
              <w:pStyle w:val="TableText"/>
              <w:jc w:val="center"/>
            </w:pPr>
            <w:r w:rsidRPr="00644691">
              <w:t>$</w:t>
            </w:r>
            <w:r w:rsidR="00BB0C56">
              <w:rPr>
                <w:noProof/>
                <w:color w:val="000000"/>
                <w:highlight w:val="black"/>
              </w:rPr>
              <w:t>'''''''''''''''''</w:t>
            </w:r>
            <w:r w:rsidR="00723A20">
              <w:rPr>
                <w:vertAlign w:val="superscript"/>
              </w:rPr>
              <w:t>1</w:t>
            </w:r>
          </w:p>
          <w:p w:rsidR="002C0C3F" w:rsidRPr="00644691" w:rsidRDefault="002C0C3F" w:rsidP="00EB04BB">
            <w:pPr>
              <w:pStyle w:val="TableText"/>
              <w:jc w:val="center"/>
            </w:pPr>
            <w:r w:rsidRPr="00644691">
              <w:t>$</w:t>
            </w:r>
            <w:r w:rsidR="00BB0C56">
              <w:rPr>
                <w:noProof/>
                <w:color w:val="000000"/>
                <w:highlight w:val="black"/>
              </w:rPr>
              <w:t>''''''''''''''''''</w:t>
            </w:r>
            <w:r w:rsidR="00723A20">
              <w:rPr>
                <w:vertAlign w:val="superscript"/>
              </w:rPr>
              <w:t>1</w:t>
            </w:r>
          </w:p>
        </w:tc>
      </w:tr>
      <w:tr w:rsidR="002C0C3F" w:rsidRPr="00644691" w:rsidTr="003B3BE4">
        <w:tc>
          <w:tcPr>
            <w:tcW w:w="5098" w:type="dxa"/>
          </w:tcPr>
          <w:p w:rsidR="002C0C3F" w:rsidRPr="00644691" w:rsidRDefault="002C0C3F" w:rsidP="00EB04BB">
            <w:pPr>
              <w:pStyle w:val="TableText"/>
              <w:rPr>
                <w:iCs/>
              </w:rPr>
            </w:pPr>
            <w:r w:rsidRPr="00644691">
              <w:rPr>
                <w:iCs/>
              </w:rPr>
              <w:t>Disease management costs (base case: $3,256 / year)</w:t>
            </w:r>
            <w:r w:rsidR="00FF6185" w:rsidRPr="00644691">
              <w:rPr>
                <w:iCs/>
                <w:vertAlign w:val="superscript"/>
              </w:rPr>
              <w:t>1</w:t>
            </w:r>
          </w:p>
          <w:p w:rsidR="002C0C3F" w:rsidRPr="00644691" w:rsidRDefault="002C0C3F" w:rsidP="00B91468">
            <w:pPr>
              <w:pStyle w:val="TableText"/>
              <w:numPr>
                <w:ilvl w:val="0"/>
                <w:numId w:val="7"/>
              </w:numPr>
              <w:rPr>
                <w:iCs/>
              </w:rPr>
            </w:pPr>
            <w:r w:rsidRPr="00644691">
              <w:rPr>
                <w:iCs/>
              </w:rPr>
              <w:t>Doubled ($6,512 / year)</w:t>
            </w:r>
          </w:p>
          <w:p w:rsidR="002C0C3F" w:rsidRPr="00644691" w:rsidRDefault="002C0C3F" w:rsidP="00B91468">
            <w:pPr>
              <w:pStyle w:val="TableText"/>
              <w:numPr>
                <w:ilvl w:val="0"/>
                <w:numId w:val="7"/>
              </w:numPr>
              <w:rPr>
                <w:iCs/>
              </w:rPr>
            </w:pPr>
            <w:r w:rsidRPr="00644691">
              <w:rPr>
                <w:iCs/>
              </w:rPr>
              <w:t>Halved ($1,628 / year)</w:t>
            </w:r>
          </w:p>
        </w:tc>
        <w:tc>
          <w:tcPr>
            <w:tcW w:w="1306" w:type="dxa"/>
          </w:tcPr>
          <w:p w:rsidR="002C0C3F" w:rsidRPr="00644691" w:rsidRDefault="002C0C3F" w:rsidP="00EB04BB">
            <w:pPr>
              <w:pStyle w:val="TableText"/>
              <w:jc w:val="center"/>
              <w:rPr>
                <w:iCs/>
              </w:rPr>
            </w:pPr>
          </w:p>
          <w:p w:rsidR="002C0C3F" w:rsidRPr="00644691" w:rsidRDefault="002C0C3F" w:rsidP="00EB04BB">
            <w:pPr>
              <w:pStyle w:val="TableText"/>
              <w:jc w:val="center"/>
              <w:rPr>
                <w:iCs/>
              </w:rPr>
            </w:pPr>
            <w:r w:rsidRPr="00644691">
              <w:rPr>
                <w:iCs/>
              </w:rPr>
              <w:t>$</w:t>
            </w:r>
            <w:r w:rsidR="00BB0C56">
              <w:rPr>
                <w:noProof/>
                <w:color w:val="000000"/>
                <w:highlight w:val="black"/>
              </w:rPr>
              <w:t>''''''''''''''</w:t>
            </w:r>
          </w:p>
          <w:p w:rsidR="002C0C3F" w:rsidRPr="00644691" w:rsidRDefault="002C0C3F" w:rsidP="00EB04BB">
            <w:pPr>
              <w:pStyle w:val="TableText"/>
              <w:jc w:val="center"/>
              <w:rPr>
                <w:iCs/>
              </w:rPr>
            </w:pPr>
            <w:r w:rsidRPr="00644691">
              <w:rPr>
                <w:iCs/>
              </w:rPr>
              <w:t>$</w:t>
            </w:r>
            <w:r w:rsidR="00BB0C56">
              <w:rPr>
                <w:noProof/>
                <w:color w:val="000000"/>
                <w:highlight w:val="black"/>
              </w:rPr>
              <w:t>''''''''''''</w:t>
            </w:r>
          </w:p>
        </w:tc>
        <w:tc>
          <w:tcPr>
            <w:tcW w:w="1306" w:type="dxa"/>
          </w:tcPr>
          <w:p w:rsidR="002C0C3F" w:rsidRPr="00644691" w:rsidRDefault="002C0C3F" w:rsidP="00EB04BB">
            <w:pPr>
              <w:pStyle w:val="TableText"/>
              <w:jc w:val="center"/>
              <w:rPr>
                <w:iCs/>
              </w:rPr>
            </w:pPr>
          </w:p>
          <w:p w:rsidR="002C0C3F" w:rsidRPr="00644691" w:rsidRDefault="002C0C3F" w:rsidP="00EB04BB">
            <w:pPr>
              <w:pStyle w:val="TableText"/>
              <w:jc w:val="center"/>
              <w:rPr>
                <w:iCs/>
              </w:rPr>
            </w:pPr>
            <w:r w:rsidRPr="00644691">
              <w:rPr>
                <w:iCs/>
              </w:rPr>
              <w:t>0.37</w:t>
            </w:r>
          </w:p>
          <w:p w:rsidR="002C0C3F" w:rsidRPr="00644691" w:rsidRDefault="002C0C3F" w:rsidP="00EB04BB">
            <w:pPr>
              <w:pStyle w:val="TableText"/>
              <w:jc w:val="center"/>
              <w:rPr>
                <w:iCs/>
              </w:rPr>
            </w:pPr>
            <w:r w:rsidRPr="00644691">
              <w:rPr>
                <w:iCs/>
              </w:rPr>
              <w:t>0.37</w:t>
            </w:r>
          </w:p>
        </w:tc>
        <w:tc>
          <w:tcPr>
            <w:tcW w:w="1307" w:type="dxa"/>
          </w:tcPr>
          <w:p w:rsidR="002C0C3F" w:rsidRPr="00644691" w:rsidRDefault="002C0C3F" w:rsidP="00EB04BB">
            <w:pPr>
              <w:pStyle w:val="TableText"/>
              <w:jc w:val="center"/>
              <w:rPr>
                <w:iCs/>
              </w:rPr>
            </w:pPr>
          </w:p>
          <w:p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1</w:t>
            </w:r>
          </w:p>
          <w:p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1</w:t>
            </w:r>
          </w:p>
        </w:tc>
      </w:tr>
      <w:tr w:rsidR="002C0C3F" w:rsidRPr="00644691" w:rsidTr="003B3BE4">
        <w:tc>
          <w:tcPr>
            <w:tcW w:w="5098" w:type="dxa"/>
          </w:tcPr>
          <w:p w:rsidR="002C0C3F" w:rsidRPr="00644691" w:rsidRDefault="002C0C3F" w:rsidP="00EB04BB">
            <w:pPr>
              <w:pStyle w:val="TableText"/>
              <w:rPr>
                <w:iCs/>
              </w:rPr>
            </w:pPr>
            <w:r w:rsidRPr="00644691">
              <w:rPr>
                <w:iCs/>
              </w:rPr>
              <w:t>Mortality (base case: dapagliflozin and placebo independent)</w:t>
            </w:r>
            <w:r w:rsidR="00FF6185" w:rsidRPr="00644691">
              <w:rPr>
                <w:iCs/>
                <w:vertAlign w:val="superscript"/>
              </w:rPr>
              <w:t>1</w:t>
            </w:r>
          </w:p>
          <w:p w:rsidR="002C0C3F" w:rsidRPr="00644691" w:rsidRDefault="002C0C3F" w:rsidP="00B91468">
            <w:pPr>
              <w:pStyle w:val="TableText"/>
              <w:numPr>
                <w:ilvl w:val="0"/>
                <w:numId w:val="7"/>
              </w:numPr>
              <w:rPr>
                <w:iCs/>
              </w:rPr>
            </w:pPr>
            <w:r w:rsidRPr="00644691">
              <w:rPr>
                <w:iCs/>
              </w:rPr>
              <w:t>Dapagliflozin same as placebo after 2 years</w:t>
            </w:r>
          </w:p>
          <w:p w:rsidR="002C0C3F" w:rsidRPr="00644691" w:rsidRDefault="002C0C3F" w:rsidP="00B91468">
            <w:pPr>
              <w:pStyle w:val="TableText"/>
              <w:numPr>
                <w:ilvl w:val="0"/>
                <w:numId w:val="7"/>
              </w:numPr>
              <w:rPr>
                <w:iCs/>
              </w:rPr>
            </w:pPr>
            <w:r w:rsidRPr="00644691">
              <w:rPr>
                <w:iCs/>
              </w:rPr>
              <w:t>Dapagliflozin same as placebo after 5 years</w:t>
            </w:r>
          </w:p>
          <w:p w:rsidR="002C0C3F" w:rsidRPr="00644691" w:rsidRDefault="002C0C3F" w:rsidP="00B91468">
            <w:pPr>
              <w:pStyle w:val="TableText"/>
              <w:numPr>
                <w:ilvl w:val="0"/>
                <w:numId w:val="7"/>
              </w:numPr>
              <w:rPr>
                <w:iCs/>
              </w:rPr>
            </w:pPr>
            <w:r w:rsidRPr="00644691">
              <w:rPr>
                <w:iCs/>
              </w:rPr>
              <w:t>Dapagliflozin same as placebo after 10 years</w:t>
            </w:r>
          </w:p>
        </w:tc>
        <w:tc>
          <w:tcPr>
            <w:tcW w:w="1306" w:type="dxa"/>
          </w:tcPr>
          <w:p w:rsidR="002C0C3F" w:rsidRPr="00644691" w:rsidRDefault="002C0C3F" w:rsidP="00EB04BB">
            <w:pPr>
              <w:pStyle w:val="TableText"/>
              <w:jc w:val="center"/>
              <w:rPr>
                <w:iCs/>
              </w:rPr>
            </w:pPr>
          </w:p>
          <w:p w:rsidR="002C0C3F" w:rsidRPr="00644691" w:rsidRDefault="002C0C3F" w:rsidP="00EB04BB">
            <w:pPr>
              <w:pStyle w:val="TableText"/>
              <w:jc w:val="center"/>
              <w:rPr>
                <w:iCs/>
              </w:rPr>
            </w:pPr>
            <w:r w:rsidRPr="00644691">
              <w:rPr>
                <w:iCs/>
              </w:rPr>
              <w:t>$</w:t>
            </w:r>
            <w:r w:rsidR="00BB0C56">
              <w:rPr>
                <w:noProof/>
                <w:color w:val="000000"/>
                <w:highlight w:val="black"/>
              </w:rPr>
              <w:t>''''''''''''''</w:t>
            </w:r>
          </w:p>
          <w:p w:rsidR="002C0C3F" w:rsidRPr="00644691" w:rsidRDefault="002C0C3F" w:rsidP="00EB04BB">
            <w:pPr>
              <w:pStyle w:val="TableText"/>
              <w:jc w:val="center"/>
              <w:rPr>
                <w:iCs/>
              </w:rPr>
            </w:pPr>
            <w:r w:rsidRPr="00644691">
              <w:rPr>
                <w:iCs/>
              </w:rPr>
              <w:t>$</w:t>
            </w:r>
            <w:r w:rsidR="00BB0C56">
              <w:rPr>
                <w:noProof/>
                <w:color w:val="000000"/>
                <w:highlight w:val="black"/>
              </w:rPr>
              <w:t>''''''''''''</w:t>
            </w:r>
          </w:p>
          <w:p w:rsidR="002C0C3F" w:rsidRPr="00644691" w:rsidRDefault="002C0C3F" w:rsidP="00EB04BB">
            <w:pPr>
              <w:pStyle w:val="TableText"/>
              <w:jc w:val="center"/>
              <w:rPr>
                <w:iCs/>
              </w:rPr>
            </w:pPr>
            <w:r w:rsidRPr="00644691">
              <w:rPr>
                <w:iCs/>
              </w:rPr>
              <w:t>$</w:t>
            </w:r>
            <w:r w:rsidR="00BB0C56">
              <w:rPr>
                <w:noProof/>
                <w:color w:val="000000"/>
                <w:highlight w:val="black"/>
              </w:rPr>
              <w:t>''''''''''''</w:t>
            </w:r>
          </w:p>
        </w:tc>
        <w:tc>
          <w:tcPr>
            <w:tcW w:w="1306" w:type="dxa"/>
          </w:tcPr>
          <w:p w:rsidR="002C0C3F" w:rsidRPr="00644691" w:rsidRDefault="002C0C3F" w:rsidP="00EB04BB">
            <w:pPr>
              <w:pStyle w:val="TableText"/>
              <w:jc w:val="center"/>
              <w:rPr>
                <w:iCs/>
              </w:rPr>
            </w:pPr>
          </w:p>
          <w:p w:rsidR="002C0C3F" w:rsidRPr="00644691" w:rsidRDefault="002C0C3F" w:rsidP="00EB04BB">
            <w:pPr>
              <w:pStyle w:val="TableText"/>
              <w:jc w:val="center"/>
              <w:rPr>
                <w:iCs/>
              </w:rPr>
            </w:pPr>
            <w:r w:rsidRPr="00644691">
              <w:rPr>
                <w:iCs/>
              </w:rPr>
              <w:t>0.11</w:t>
            </w:r>
          </w:p>
          <w:p w:rsidR="002C0C3F" w:rsidRPr="00644691" w:rsidRDefault="002C0C3F" w:rsidP="00EB04BB">
            <w:pPr>
              <w:pStyle w:val="TableText"/>
              <w:jc w:val="center"/>
              <w:rPr>
                <w:iCs/>
              </w:rPr>
            </w:pPr>
            <w:r w:rsidRPr="00644691">
              <w:rPr>
                <w:iCs/>
              </w:rPr>
              <w:t>0.23</w:t>
            </w:r>
          </w:p>
          <w:p w:rsidR="002C0C3F" w:rsidRPr="00644691" w:rsidRDefault="002C0C3F" w:rsidP="00EB04BB">
            <w:pPr>
              <w:pStyle w:val="TableText"/>
              <w:jc w:val="center"/>
              <w:rPr>
                <w:iCs/>
              </w:rPr>
            </w:pPr>
            <w:r w:rsidRPr="00644691">
              <w:rPr>
                <w:iCs/>
              </w:rPr>
              <w:t>0.34</w:t>
            </w:r>
          </w:p>
        </w:tc>
        <w:tc>
          <w:tcPr>
            <w:tcW w:w="1307" w:type="dxa"/>
          </w:tcPr>
          <w:p w:rsidR="002C0C3F" w:rsidRPr="00644691" w:rsidRDefault="002C0C3F" w:rsidP="00EB04BB">
            <w:pPr>
              <w:pStyle w:val="TableText"/>
              <w:jc w:val="center"/>
              <w:rPr>
                <w:iCs/>
              </w:rPr>
            </w:pPr>
          </w:p>
          <w:p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5</w:t>
            </w:r>
          </w:p>
          <w:p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4</w:t>
            </w:r>
          </w:p>
          <w:p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1</w:t>
            </w:r>
          </w:p>
        </w:tc>
      </w:tr>
      <w:tr w:rsidR="002C0C3F" w:rsidRPr="00644691" w:rsidTr="003B3BE4">
        <w:tc>
          <w:tcPr>
            <w:tcW w:w="5098" w:type="dxa"/>
          </w:tcPr>
          <w:p w:rsidR="002C0C3F" w:rsidRPr="00644691" w:rsidRDefault="002C0C3F" w:rsidP="00EB04BB">
            <w:pPr>
              <w:pStyle w:val="TableText"/>
            </w:pPr>
            <w:r w:rsidRPr="00644691">
              <w:t>Age-related increase in HF hospitalisations (base case: excluded)</w:t>
            </w:r>
          </w:p>
          <w:p w:rsidR="002C0C3F" w:rsidRPr="00644691" w:rsidRDefault="002C0C3F" w:rsidP="00B91468">
            <w:pPr>
              <w:pStyle w:val="TableText"/>
              <w:numPr>
                <w:ilvl w:val="0"/>
                <w:numId w:val="7"/>
              </w:numPr>
            </w:pPr>
            <w:r w:rsidRPr="00644691">
              <w:t>Included</w:t>
            </w:r>
          </w:p>
        </w:tc>
        <w:tc>
          <w:tcPr>
            <w:tcW w:w="1306" w:type="dxa"/>
          </w:tcPr>
          <w:p w:rsidR="002C0C3F" w:rsidRPr="00BB0C56" w:rsidRDefault="002C0C3F" w:rsidP="00EB04BB">
            <w:pPr>
              <w:pStyle w:val="TableText"/>
              <w:jc w:val="center"/>
            </w:pPr>
          </w:p>
          <w:p w:rsidR="002C0C3F" w:rsidRPr="00BB0C56" w:rsidRDefault="002C0C3F" w:rsidP="00EB04BB">
            <w:pPr>
              <w:pStyle w:val="TableText"/>
              <w:jc w:val="center"/>
            </w:pPr>
            <w:r w:rsidRPr="00120665">
              <w:t>$</w:t>
            </w:r>
            <w:r w:rsidR="00BB0C56">
              <w:rPr>
                <w:noProof/>
                <w:color w:val="000000"/>
                <w:highlight w:val="black"/>
              </w:rPr>
              <w:t>''''''''''''</w:t>
            </w:r>
          </w:p>
        </w:tc>
        <w:tc>
          <w:tcPr>
            <w:tcW w:w="1306" w:type="dxa"/>
          </w:tcPr>
          <w:p w:rsidR="002C0C3F" w:rsidRPr="00644691" w:rsidRDefault="002C0C3F" w:rsidP="00EB04BB">
            <w:pPr>
              <w:pStyle w:val="TableText"/>
              <w:jc w:val="center"/>
            </w:pPr>
          </w:p>
          <w:p w:rsidR="002C0C3F" w:rsidRPr="00644691" w:rsidRDefault="002C0C3F" w:rsidP="00EB04BB">
            <w:pPr>
              <w:pStyle w:val="TableText"/>
              <w:jc w:val="center"/>
            </w:pPr>
            <w:r w:rsidRPr="00644691">
              <w:t>0.37</w:t>
            </w:r>
          </w:p>
        </w:tc>
        <w:tc>
          <w:tcPr>
            <w:tcW w:w="1307" w:type="dxa"/>
          </w:tcPr>
          <w:p w:rsidR="002C0C3F" w:rsidRPr="00644691" w:rsidRDefault="002C0C3F" w:rsidP="00EB04BB">
            <w:pPr>
              <w:pStyle w:val="TableText"/>
              <w:jc w:val="center"/>
            </w:pPr>
          </w:p>
          <w:p w:rsidR="002C0C3F" w:rsidRPr="00644691" w:rsidRDefault="002C0C3F" w:rsidP="00EB04BB">
            <w:pPr>
              <w:pStyle w:val="TableText"/>
              <w:jc w:val="center"/>
            </w:pPr>
            <w:r w:rsidRPr="00644691">
              <w:t>$</w:t>
            </w:r>
            <w:r w:rsidR="00BB0C56">
              <w:rPr>
                <w:noProof/>
                <w:color w:val="000000"/>
                <w:highlight w:val="black"/>
              </w:rPr>
              <w:t>'''''''''''''''</w:t>
            </w:r>
            <w:r w:rsidR="00723A20">
              <w:rPr>
                <w:vertAlign w:val="superscript"/>
              </w:rPr>
              <w:t>1</w:t>
            </w:r>
          </w:p>
        </w:tc>
      </w:tr>
      <w:tr w:rsidR="002C0C3F" w:rsidRPr="00644691" w:rsidTr="003B3BE4">
        <w:tc>
          <w:tcPr>
            <w:tcW w:w="5098" w:type="dxa"/>
          </w:tcPr>
          <w:p w:rsidR="002C0C3F" w:rsidRPr="00644691" w:rsidRDefault="002C0C3F" w:rsidP="00EB04BB">
            <w:pPr>
              <w:pStyle w:val="TableText"/>
              <w:rPr>
                <w:iCs/>
              </w:rPr>
            </w:pPr>
            <w:r w:rsidRPr="00644691">
              <w:rPr>
                <w:iCs/>
              </w:rPr>
              <w:t>HF hospitalisations (base case: dapagliflozin, placebo independent)</w:t>
            </w:r>
            <w:r w:rsidR="00FF6185" w:rsidRPr="00644691">
              <w:rPr>
                <w:iCs/>
                <w:vertAlign w:val="superscript"/>
              </w:rPr>
              <w:t>1</w:t>
            </w:r>
          </w:p>
          <w:p w:rsidR="002C0C3F" w:rsidRPr="00644691" w:rsidRDefault="002C0C3F" w:rsidP="00B91468">
            <w:pPr>
              <w:pStyle w:val="TableText"/>
              <w:numPr>
                <w:ilvl w:val="0"/>
                <w:numId w:val="7"/>
              </w:numPr>
              <w:rPr>
                <w:iCs/>
              </w:rPr>
            </w:pPr>
            <w:r w:rsidRPr="00644691">
              <w:rPr>
                <w:iCs/>
              </w:rPr>
              <w:t>Dapagliflozin same as placebo after 2 years</w:t>
            </w:r>
          </w:p>
          <w:p w:rsidR="002C0C3F" w:rsidRPr="00644691" w:rsidRDefault="002C0C3F" w:rsidP="00B91468">
            <w:pPr>
              <w:pStyle w:val="TableText"/>
              <w:numPr>
                <w:ilvl w:val="0"/>
                <w:numId w:val="7"/>
              </w:numPr>
              <w:rPr>
                <w:iCs/>
              </w:rPr>
            </w:pPr>
            <w:r w:rsidRPr="00644691">
              <w:rPr>
                <w:iCs/>
              </w:rPr>
              <w:t>Dapagliflozin same as placebo after 5 years</w:t>
            </w:r>
          </w:p>
          <w:p w:rsidR="002C0C3F" w:rsidRPr="00644691" w:rsidRDefault="002C0C3F" w:rsidP="00B91468">
            <w:pPr>
              <w:pStyle w:val="TableText"/>
              <w:numPr>
                <w:ilvl w:val="0"/>
                <w:numId w:val="7"/>
              </w:numPr>
              <w:rPr>
                <w:iCs/>
              </w:rPr>
            </w:pPr>
            <w:r w:rsidRPr="00644691">
              <w:rPr>
                <w:iCs/>
              </w:rPr>
              <w:t>Dapagliflozin same as placebo after 10 years</w:t>
            </w:r>
          </w:p>
        </w:tc>
        <w:tc>
          <w:tcPr>
            <w:tcW w:w="1306" w:type="dxa"/>
          </w:tcPr>
          <w:p w:rsidR="002C0C3F" w:rsidRPr="00644691" w:rsidRDefault="002C0C3F" w:rsidP="00EB04BB">
            <w:pPr>
              <w:pStyle w:val="TableText"/>
              <w:jc w:val="center"/>
              <w:rPr>
                <w:iCs/>
              </w:rPr>
            </w:pPr>
          </w:p>
          <w:p w:rsidR="002C0C3F" w:rsidRPr="00644691" w:rsidRDefault="002C0C3F" w:rsidP="00EB04BB">
            <w:pPr>
              <w:pStyle w:val="TableText"/>
              <w:jc w:val="center"/>
              <w:rPr>
                <w:iCs/>
              </w:rPr>
            </w:pPr>
          </w:p>
          <w:p w:rsidR="002C0C3F" w:rsidRPr="00644691" w:rsidRDefault="002C0C3F" w:rsidP="00EB04BB">
            <w:pPr>
              <w:pStyle w:val="TableText"/>
              <w:jc w:val="center"/>
              <w:rPr>
                <w:iCs/>
              </w:rPr>
            </w:pPr>
            <w:r w:rsidRPr="00644691">
              <w:rPr>
                <w:iCs/>
              </w:rPr>
              <w:t>$</w:t>
            </w:r>
            <w:r w:rsidR="00BB0C56">
              <w:rPr>
                <w:noProof/>
                <w:color w:val="000000"/>
                <w:highlight w:val="black"/>
              </w:rPr>
              <w:t>'''''''''''''''</w:t>
            </w:r>
          </w:p>
          <w:p w:rsidR="002C0C3F" w:rsidRPr="00644691" w:rsidRDefault="002C0C3F" w:rsidP="00EB04BB">
            <w:pPr>
              <w:pStyle w:val="TableText"/>
              <w:jc w:val="center"/>
              <w:rPr>
                <w:iCs/>
              </w:rPr>
            </w:pPr>
            <w:r w:rsidRPr="00644691">
              <w:rPr>
                <w:iCs/>
              </w:rPr>
              <w:t>$</w:t>
            </w:r>
            <w:r w:rsidR="00BB0C56">
              <w:rPr>
                <w:noProof/>
                <w:color w:val="000000"/>
                <w:highlight w:val="black"/>
              </w:rPr>
              <w:t>'''''''''''''''</w:t>
            </w:r>
          </w:p>
          <w:p w:rsidR="002C0C3F" w:rsidRPr="00644691" w:rsidRDefault="002C0C3F" w:rsidP="00EB04BB">
            <w:pPr>
              <w:pStyle w:val="TableText"/>
              <w:jc w:val="center"/>
              <w:rPr>
                <w:iCs/>
              </w:rPr>
            </w:pPr>
            <w:r w:rsidRPr="00644691">
              <w:rPr>
                <w:iCs/>
              </w:rPr>
              <w:t>$</w:t>
            </w:r>
            <w:r w:rsidR="00BB0C56">
              <w:rPr>
                <w:noProof/>
                <w:color w:val="000000"/>
                <w:highlight w:val="black"/>
              </w:rPr>
              <w:t>'''''''''''''</w:t>
            </w:r>
          </w:p>
        </w:tc>
        <w:tc>
          <w:tcPr>
            <w:tcW w:w="1306" w:type="dxa"/>
          </w:tcPr>
          <w:p w:rsidR="002C0C3F" w:rsidRPr="00644691" w:rsidRDefault="002C0C3F" w:rsidP="00EB04BB">
            <w:pPr>
              <w:pStyle w:val="TableText"/>
              <w:jc w:val="center"/>
              <w:rPr>
                <w:iCs/>
              </w:rPr>
            </w:pPr>
          </w:p>
          <w:p w:rsidR="002C0C3F" w:rsidRPr="00644691" w:rsidRDefault="002C0C3F" w:rsidP="00EB04BB">
            <w:pPr>
              <w:pStyle w:val="TableText"/>
              <w:jc w:val="center"/>
              <w:rPr>
                <w:iCs/>
              </w:rPr>
            </w:pPr>
          </w:p>
          <w:p w:rsidR="002C0C3F" w:rsidRPr="00644691" w:rsidRDefault="002C0C3F" w:rsidP="00EB04BB">
            <w:pPr>
              <w:pStyle w:val="TableText"/>
              <w:jc w:val="center"/>
              <w:rPr>
                <w:iCs/>
              </w:rPr>
            </w:pPr>
            <w:r w:rsidRPr="00644691">
              <w:rPr>
                <w:iCs/>
              </w:rPr>
              <w:t>0.37</w:t>
            </w:r>
          </w:p>
          <w:p w:rsidR="002C0C3F" w:rsidRPr="00644691" w:rsidRDefault="002C0C3F" w:rsidP="00EB04BB">
            <w:pPr>
              <w:pStyle w:val="TableText"/>
              <w:jc w:val="center"/>
              <w:rPr>
                <w:iCs/>
              </w:rPr>
            </w:pPr>
            <w:r w:rsidRPr="00644691">
              <w:rPr>
                <w:iCs/>
              </w:rPr>
              <w:t xml:space="preserve">0.37 </w:t>
            </w:r>
          </w:p>
          <w:p w:rsidR="002C0C3F" w:rsidRPr="00644691" w:rsidRDefault="002C0C3F" w:rsidP="00EB04BB">
            <w:pPr>
              <w:pStyle w:val="TableText"/>
              <w:jc w:val="center"/>
              <w:rPr>
                <w:iCs/>
              </w:rPr>
            </w:pPr>
            <w:r w:rsidRPr="00644691">
              <w:rPr>
                <w:iCs/>
              </w:rPr>
              <w:t>0.37</w:t>
            </w:r>
          </w:p>
        </w:tc>
        <w:tc>
          <w:tcPr>
            <w:tcW w:w="1307" w:type="dxa"/>
          </w:tcPr>
          <w:p w:rsidR="002C0C3F" w:rsidRPr="00644691" w:rsidRDefault="002C0C3F" w:rsidP="00EB04BB">
            <w:pPr>
              <w:pStyle w:val="TableText"/>
              <w:jc w:val="center"/>
              <w:rPr>
                <w:iCs/>
              </w:rPr>
            </w:pPr>
          </w:p>
          <w:p w:rsidR="002C0C3F" w:rsidRPr="00644691" w:rsidRDefault="002C0C3F" w:rsidP="00EB04BB">
            <w:pPr>
              <w:pStyle w:val="TableText"/>
              <w:jc w:val="center"/>
              <w:rPr>
                <w:iCs/>
              </w:rPr>
            </w:pPr>
          </w:p>
          <w:p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1</w:t>
            </w:r>
          </w:p>
          <w:p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1</w:t>
            </w:r>
          </w:p>
          <w:p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1</w:t>
            </w:r>
          </w:p>
        </w:tc>
      </w:tr>
      <w:tr w:rsidR="002C0C3F" w:rsidRPr="00644691" w:rsidTr="003B3BE4">
        <w:tc>
          <w:tcPr>
            <w:tcW w:w="5098" w:type="dxa"/>
          </w:tcPr>
          <w:p w:rsidR="002C0C3F" w:rsidRPr="00644691" w:rsidRDefault="002C0C3F" w:rsidP="00EB04BB">
            <w:pPr>
              <w:pStyle w:val="TableText"/>
              <w:rPr>
                <w:iCs/>
              </w:rPr>
            </w:pPr>
            <w:r w:rsidRPr="00644691">
              <w:rPr>
                <w:iCs/>
              </w:rPr>
              <w:t>Heart failure hospitalisation costs (base case: $8,116)</w:t>
            </w:r>
            <w:r w:rsidR="00FF6185" w:rsidRPr="00644691">
              <w:rPr>
                <w:iCs/>
                <w:vertAlign w:val="superscript"/>
              </w:rPr>
              <w:t>1</w:t>
            </w:r>
          </w:p>
          <w:p w:rsidR="002C0C3F" w:rsidRPr="00644691" w:rsidRDefault="002C0C3F" w:rsidP="00B91468">
            <w:pPr>
              <w:pStyle w:val="TableText"/>
              <w:numPr>
                <w:ilvl w:val="0"/>
                <w:numId w:val="7"/>
              </w:numPr>
              <w:rPr>
                <w:iCs/>
              </w:rPr>
            </w:pPr>
            <w:r w:rsidRPr="00644691">
              <w:rPr>
                <w:iCs/>
              </w:rPr>
              <w:t>Doubled ($16,232)</w:t>
            </w:r>
          </w:p>
          <w:p w:rsidR="002C0C3F" w:rsidRPr="00644691" w:rsidRDefault="002C0C3F" w:rsidP="00B91468">
            <w:pPr>
              <w:pStyle w:val="TableText"/>
              <w:numPr>
                <w:ilvl w:val="0"/>
                <w:numId w:val="7"/>
              </w:numPr>
              <w:rPr>
                <w:iCs/>
              </w:rPr>
            </w:pPr>
            <w:r w:rsidRPr="00644691">
              <w:rPr>
                <w:iCs/>
              </w:rPr>
              <w:t>Halved ($4,058)</w:t>
            </w:r>
          </w:p>
        </w:tc>
        <w:tc>
          <w:tcPr>
            <w:tcW w:w="1306" w:type="dxa"/>
            <w:shd w:val="clear" w:color="auto" w:fill="auto"/>
          </w:tcPr>
          <w:p w:rsidR="002C0C3F" w:rsidRPr="00644691" w:rsidRDefault="002C0C3F" w:rsidP="00EB04BB">
            <w:pPr>
              <w:pStyle w:val="TableText"/>
              <w:jc w:val="center"/>
              <w:rPr>
                <w:iCs/>
              </w:rPr>
            </w:pPr>
          </w:p>
          <w:p w:rsidR="002C0C3F" w:rsidRPr="00644691" w:rsidRDefault="002C0C3F" w:rsidP="00EB04BB">
            <w:pPr>
              <w:pStyle w:val="TableText"/>
              <w:jc w:val="center"/>
              <w:rPr>
                <w:iCs/>
              </w:rPr>
            </w:pPr>
            <w:r w:rsidRPr="00644691">
              <w:rPr>
                <w:iCs/>
              </w:rPr>
              <w:t>$</w:t>
            </w:r>
            <w:r w:rsidR="00BB0C56">
              <w:rPr>
                <w:noProof/>
                <w:color w:val="000000"/>
                <w:highlight w:val="black"/>
              </w:rPr>
              <w:t>'''''''''''''''</w:t>
            </w:r>
          </w:p>
          <w:p w:rsidR="002C0C3F" w:rsidRPr="00644691" w:rsidRDefault="007A3F9C" w:rsidP="00EB04BB">
            <w:pPr>
              <w:pStyle w:val="TableText"/>
              <w:jc w:val="center"/>
              <w:rPr>
                <w:iCs/>
              </w:rPr>
            </w:pPr>
            <w:r w:rsidRPr="00644691">
              <w:rPr>
                <w:iCs/>
              </w:rPr>
              <w:t>$</w:t>
            </w:r>
            <w:r w:rsidR="00BB0C56">
              <w:rPr>
                <w:noProof/>
                <w:color w:val="000000"/>
                <w:highlight w:val="black"/>
              </w:rPr>
              <w:t>''''''''''''''</w:t>
            </w:r>
          </w:p>
        </w:tc>
        <w:tc>
          <w:tcPr>
            <w:tcW w:w="1306" w:type="dxa"/>
            <w:shd w:val="clear" w:color="auto" w:fill="auto"/>
          </w:tcPr>
          <w:p w:rsidR="002C0C3F" w:rsidRPr="00644691" w:rsidRDefault="002C0C3F" w:rsidP="00EB04BB">
            <w:pPr>
              <w:pStyle w:val="TableText"/>
              <w:jc w:val="center"/>
              <w:rPr>
                <w:iCs/>
              </w:rPr>
            </w:pPr>
          </w:p>
          <w:p w:rsidR="002C0C3F" w:rsidRPr="00644691" w:rsidRDefault="002C0C3F" w:rsidP="00EB04BB">
            <w:pPr>
              <w:pStyle w:val="TableText"/>
              <w:jc w:val="center"/>
              <w:rPr>
                <w:iCs/>
              </w:rPr>
            </w:pPr>
            <w:r w:rsidRPr="00644691">
              <w:rPr>
                <w:iCs/>
              </w:rPr>
              <w:t>0.37</w:t>
            </w:r>
          </w:p>
          <w:p w:rsidR="002C0C3F" w:rsidRPr="00644691" w:rsidRDefault="007A3F9C" w:rsidP="00EB04BB">
            <w:pPr>
              <w:pStyle w:val="TableText"/>
              <w:jc w:val="center"/>
              <w:rPr>
                <w:iCs/>
              </w:rPr>
            </w:pPr>
            <w:r w:rsidRPr="00644691">
              <w:rPr>
                <w:iCs/>
              </w:rPr>
              <w:t>0.37</w:t>
            </w:r>
          </w:p>
        </w:tc>
        <w:tc>
          <w:tcPr>
            <w:tcW w:w="1307" w:type="dxa"/>
            <w:shd w:val="clear" w:color="auto" w:fill="auto"/>
          </w:tcPr>
          <w:p w:rsidR="002C0C3F" w:rsidRPr="00644691" w:rsidRDefault="002C0C3F" w:rsidP="00EB04BB">
            <w:pPr>
              <w:pStyle w:val="TableText"/>
              <w:jc w:val="center"/>
              <w:rPr>
                <w:iCs/>
              </w:rPr>
            </w:pPr>
          </w:p>
          <w:p w:rsidR="002C0C3F" w:rsidRPr="00644691" w:rsidRDefault="002C0C3F" w:rsidP="00EB04BB">
            <w:pPr>
              <w:pStyle w:val="TableText"/>
              <w:jc w:val="center"/>
              <w:rPr>
                <w:iCs/>
              </w:rPr>
            </w:pPr>
            <w:r w:rsidRPr="00644691">
              <w:rPr>
                <w:iCs/>
              </w:rPr>
              <w:t>$</w:t>
            </w:r>
            <w:r w:rsidR="00BB0C56">
              <w:rPr>
                <w:noProof/>
                <w:color w:val="000000"/>
                <w:highlight w:val="black"/>
              </w:rPr>
              <w:t>''''''''''''''''</w:t>
            </w:r>
            <w:r w:rsidR="00723A20">
              <w:rPr>
                <w:vertAlign w:val="superscript"/>
              </w:rPr>
              <w:t>1</w:t>
            </w:r>
          </w:p>
          <w:p w:rsidR="002C0C3F" w:rsidRPr="00644691" w:rsidRDefault="007A3F9C" w:rsidP="00EB04BB">
            <w:pPr>
              <w:pStyle w:val="TableText"/>
              <w:jc w:val="center"/>
              <w:rPr>
                <w:iCs/>
              </w:rPr>
            </w:pPr>
            <w:r w:rsidRPr="00644691">
              <w:rPr>
                <w:iCs/>
              </w:rPr>
              <w:t>$</w:t>
            </w:r>
            <w:r w:rsidR="00BB0C56">
              <w:rPr>
                <w:noProof/>
                <w:color w:val="000000"/>
                <w:highlight w:val="black"/>
              </w:rPr>
              <w:t>''''''''''''''''</w:t>
            </w:r>
            <w:r w:rsidR="00723A20">
              <w:rPr>
                <w:vertAlign w:val="superscript"/>
              </w:rPr>
              <w:t>1</w:t>
            </w:r>
          </w:p>
        </w:tc>
      </w:tr>
    </w:tbl>
    <w:p w:rsidR="002C0C3F" w:rsidRPr="00644691" w:rsidRDefault="002C0C3F" w:rsidP="002C0C3F">
      <w:pPr>
        <w:pStyle w:val="TableFigureFooter"/>
      </w:pPr>
      <w:r w:rsidRPr="00644691">
        <w:t>Source: Compiled using the ‘Dapagliflozin HF_PBAC Mar 2021_CE Model’ Excel workbook.</w:t>
      </w:r>
    </w:p>
    <w:p w:rsidR="00FB6BE3" w:rsidRPr="00644691" w:rsidRDefault="00FB6BE3" w:rsidP="002C0C3F">
      <w:pPr>
        <w:pStyle w:val="TableFigureFooter"/>
      </w:pPr>
      <w:r w:rsidRPr="00644691">
        <w:t>ARNI, angiotensin receptor neprilysin inhibitor</w:t>
      </w:r>
      <w:r w:rsidR="00E36207" w:rsidRPr="00644691">
        <w:t>; ICER, incremental cost-effectiveness ratio; T2DM, Type 2 diabetes mellitus.</w:t>
      </w:r>
    </w:p>
    <w:p w:rsidR="00FF6185" w:rsidRPr="00644691" w:rsidRDefault="00FF6185" w:rsidP="002C0C3F">
      <w:pPr>
        <w:pStyle w:val="TableFigureFooter"/>
        <w:rPr>
          <w:iCs/>
        </w:rPr>
      </w:pPr>
      <w:r w:rsidRPr="00644691">
        <w:rPr>
          <w:iCs/>
          <w:vertAlign w:val="superscript"/>
        </w:rPr>
        <w:t xml:space="preserve">1 </w:t>
      </w:r>
      <w:r w:rsidRPr="00644691">
        <w:rPr>
          <w:iCs/>
        </w:rPr>
        <w:t>Sensitivity analyses conducted during evaluation.</w:t>
      </w:r>
    </w:p>
    <w:p w:rsidR="003419F4" w:rsidRDefault="003419F4" w:rsidP="002C0C3F">
      <w:pPr>
        <w:pStyle w:val="TableFigureFooter"/>
      </w:pPr>
      <w:r w:rsidRPr="00644691">
        <w:t xml:space="preserve">Note: results incorporate </w:t>
      </w:r>
      <w:r w:rsidR="00703882" w:rsidRPr="00644691">
        <w:t xml:space="preserve">the </w:t>
      </w:r>
      <w:r w:rsidRPr="00644691">
        <w:t>sacubitril/valsartan published price, which is subject to a Special Pricing Arrangement.</w:t>
      </w:r>
    </w:p>
    <w:p w:rsidR="00120665" w:rsidRDefault="00120665" w:rsidP="00120665">
      <w:pPr>
        <w:pStyle w:val="TableFigureFooter"/>
        <w:spacing w:after="0"/>
        <w:contextualSpacing w:val="0"/>
        <w:rPr>
          <w:i/>
        </w:rPr>
      </w:pPr>
      <w:r w:rsidRPr="009868C4">
        <w:rPr>
          <w:i/>
        </w:rPr>
        <w:t>The redacted values correspond to the following ranges</w:t>
      </w:r>
      <w:r>
        <w:rPr>
          <w:i/>
        </w:rPr>
        <w:t xml:space="preserve">: </w:t>
      </w:r>
    </w:p>
    <w:p w:rsidR="00120665" w:rsidRPr="00870C5D" w:rsidRDefault="00120665" w:rsidP="00120665">
      <w:pPr>
        <w:pStyle w:val="TableFigureFooter"/>
        <w:spacing w:after="0"/>
        <w:contextualSpacing w:val="0"/>
      </w:pPr>
      <w:r>
        <w:rPr>
          <w:i/>
          <w:vertAlign w:val="superscript"/>
        </w:rPr>
        <w:t>1</w:t>
      </w:r>
      <w:r>
        <w:rPr>
          <w:i/>
        </w:rPr>
        <w:t xml:space="preserve"> </w:t>
      </w:r>
      <w:r w:rsidRPr="00120665">
        <w:rPr>
          <w:i/>
        </w:rPr>
        <w:t>$15,000 to &lt; $25,000</w:t>
      </w:r>
    </w:p>
    <w:p w:rsidR="00120665" w:rsidRPr="00870C5D" w:rsidRDefault="00120665" w:rsidP="00120665">
      <w:pPr>
        <w:pStyle w:val="TableFigureFooter"/>
        <w:spacing w:after="0"/>
        <w:contextualSpacing w:val="0"/>
      </w:pPr>
      <w:r>
        <w:rPr>
          <w:i/>
          <w:vertAlign w:val="superscript"/>
        </w:rPr>
        <w:t>2</w:t>
      </w:r>
      <w:r>
        <w:rPr>
          <w:i/>
        </w:rPr>
        <w:t xml:space="preserve"> </w:t>
      </w:r>
      <w:r w:rsidR="00723A20" w:rsidRPr="00723A20">
        <w:rPr>
          <w:i/>
        </w:rPr>
        <w:t>$115,000 to &lt; $135,000</w:t>
      </w:r>
    </w:p>
    <w:p w:rsidR="00723A20" w:rsidRDefault="00120665" w:rsidP="00120665">
      <w:pPr>
        <w:pStyle w:val="TableFigureFooter"/>
        <w:spacing w:after="0"/>
        <w:contextualSpacing w:val="0"/>
        <w:rPr>
          <w:i/>
        </w:rPr>
      </w:pPr>
      <w:r>
        <w:rPr>
          <w:i/>
          <w:vertAlign w:val="superscript"/>
        </w:rPr>
        <w:t>3</w:t>
      </w:r>
      <w:r>
        <w:rPr>
          <w:i/>
        </w:rPr>
        <w:t xml:space="preserve"> </w:t>
      </w:r>
      <w:r w:rsidR="00723A20" w:rsidRPr="00723A20">
        <w:rPr>
          <w:i/>
        </w:rPr>
        <w:t>$35,000 to &lt; $45,000</w:t>
      </w:r>
    </w:p>
    <w:p w:rsidR="00120665" w:rsidRPr="00870C5D" w:rsidRDefault="00120665" w:rsidP="00120665">
      <w:pPr>
        <w:pStyle w:val="TableFigureFooter"/>
        <w:spacing w:after="0"/>
        <w:contextualSpacing w:val="0"/>
      </w:pPr>
      <w:r>
        <w:rPr>
          <w:i/>
          <w:vertAlign w:val="superscript"/>
        </w:rPr>
        <w:t>4</w:t>
      </w:r>
      <w:r>
        <w:rPr>
          <w:i/>
        </w:rPr>
        <w:t xml:space="preserve"> </w:t>
      </w:r>
      <w:r w:rsidR="00723A20" w:rsidRPr="00723A20">
        <w:rPr>
          <w:i/>
        </w:rPr>
        <w:t>$25,000 to &lt; $35,000</w:t>
      </w:r>
    </w:p>
    <w:p w:rsidR="00120665" w:rsidRPr="00644691" w:rsidRDefault="00723A20" w:rsidP="002C0C3F">
      <w:pPr>
        <w:pStyle w:val="TableFigureFooter"/>
      </w:pPr>
      <w:r>
        <w:rPr>
          <w:i/>
          <w:vertAlign w:val="superscript"/>
        </w:rPr>
        <w:t xml:space="preserve">5 </w:t>
      </w:r>
      <w:r>
        <w:rPr>
          <w:i/>
        </w:rPr>
        <w:t>$4</w:t>
      </w:r>
      <w:r w:rsidRPr="00723A20">
        <w:rPr>
          <w:i/>
        </w:rPr>
        <w:t>5,000 to &lt; $55,000</w:t>
      </w:r>
    </w:p>
    <w:p w:rsidR="002C0C3F" w:rsidRPr="00644691" w:rsidRDefault="002C0C3F" w:rsidP="002C0C3F">
      <w:pPr>
        <w:pStyle w:val="ExecSumBodyText"/>
        <w:rPr>
          <w:iCs/>
        </w:rPr>
      </w:pPr>
      <w:r w:rsidRPr="00644691">
        <w:rPr>
          <w:iCs/>
        </w:rPr>
        <w:lastRenderedPageBreak/>
        <w:t>The model was most sensitive to changes in the time horizon, mortality rate assumptions, the baseline health state utility, and the heart failure disease management costs.</w:t>
      </w:r>
      <w:r w:rsidR="00E36512" w:rsidRPr="00644691">
        <w:rPr>
          <w:iCs/>
        </w:rPr>
        <w:t xml:space="preserve"> </w:t>
      </w:r>
    </w:p>
    <w:p w:rsidR="00C25D9C" w:rsidRPr="00644691" w:rsidRDefault="00C25D9C" w:rsidP="00BB732D">
      <w:pPr>
        <w:pStyle w:val="3-SubsectionHeading"/>
      </w:pPr>
      <w:bookmarkStart w:id="41" w:name="_Toc22897646"/>
      <w:bookmarkStart w:id="42" w:name="_Toc72325062"/>
      <w:r w:rsidRPr="00644691">
        <w:t>Drug cost/patient/year</w:t>
      </w:r>
      <w:bookmarkEnd w:id="41"/>
      <w:bookmarkEnd w:id="42"/>
    </w:p>
    <w:p w:rsidR="00181BAC" w:rsidRPr="00644691" w:rsidRDefault="00181BAC" w:rsidP="00181BAC">
      <w:pPr>
        <w:pStyle w:val="ExecSumBodyText"/>
        <w:rPr>
          <w:rFonts w:ascii="Arial" w:hAnsi="Arial"/>
          <w:color w:val="0066FF"/>
          <w:sz w:val="20"/>
          <w:szCs w:val="20"/>
        </w:rPr>
      </w:pPr>
      <w:r w:rsidRPr="00644691">
        <w:t xml:space="preserve">The dapagliflozin drug cost per patient per year </w:t>
      </w:r>
      <w:r w:rsidR="00993987" w:rsidRPr="00644691">
        <w:t>was</w:t>
      </w:r>
      <w:r w:rsidRPr="00644691">
        <w:t xml:space="preserve"> </w:t>
      </w:r>
      <w:r w:rsidR="00B46F48" w:rsidRPr="00644691">
        <w:t>$</w:t>
      </w:r>
      <w:r w:rsidR="00BB0C56">
        <w:rPr>
          <w:noProof/>
          <w:color w:val="000000"/>
          <w:highlight w:val="black"/>
        </w:rPr>
        <w:t>''''''''''''</w:t>
      </w:r>
      <w:r w:rsidR="00B46F48" w:rsidRPr="00644691">
        <w:t xml:space="preserve"> based on the revised price offer in the pre-PBAC response and</w:t>
      </w:r>
      <w:r w:rsidR="006D6128" w:rsidRPr="00644691">
        <w:t xml:space="preserve"> </w:t>
      </w:r>
      <w:r w:rsidRPr="00644691">
        <w:t>13.04</w:t>
      </w:r>
      <w:r w:rsidR="00B01340">
        <w:t>5</w:t>
      </w:r>
      <w:r w:rsidRPr="00644691">
        <w:t xml:space="preserve"> scripts per patient per year</w:t>
      </w:r>
      <w:r w:rsidR="00997047" w:rsidRPr="00644691">
        <w:t xml:space="preserve">, </w:t>
      </w:r>
      <w:r w:rsidR="00B8017F" w:rsidRPr="00644691">
        <w:t>assuming</w:t>
      </w:r>
      <w:r w:rsidR="00997047" w:rsidRPr="00644691">
        <w:t xml:space="preserve"> </w:t>
      </w:r>
      <w:r w:rsidR="002733ED" w:rsidRPr="00644691">
        <w:t>100% compliance</w:t>
      </w:r>
      <w:r w:rsidRPr="00644691">
        <w:t xml:space="preserve">. </w:t>
      </w:r>
      <w:r w:rsidRPr="00644691">
        <w:rPr>
          <w:iCs/>
        </w:rPr>
        <w:t>The estimat</w:t>
      </w:r>
      <w:r w:rsidR="00997047" w:rsidRPr="00644691">
        <w:rPr>
          <w:iCs/>
        </w:rPr>
        <w:t>ed</w:t>
      </w:r>
      <w:r w:rsidRPr="00644691">
        <w:rPr>
          <w:iCs/>
        </w:rPr>
        <w:t xml:space="preserve"> drug cost</w:t>
      </w:r>
      <w:r w:rsidR="002733ED" w:rsidRPr="00644691">
        <w:rPr>
          <w:iCs/>
        </w:rPr>
        <w:t>s</w:t>
      </w:r>
      <w:r w:rsidRPr="00644691">
        <w:rPr>
          <w:iCs/>
        </w:rPr>
        <w:t xml:space="preserve"> </w:t>
      </w:r>
      <w:r w:rsidR="002733ED" w:rsidRPr="00644691">
        <w:rPr>
          <w:iCs/>
        </w:rPr>
        <w:t xml:space="preserve">differed between the economic analysis and the </w:t>
      </w:r>
      <w:r w:rsidRPr="00644691">
        <w:rPr>
          <w:iCs/>
        </w:rPr>
        <w:t>financial estimates</w:t>
      </w:r>
      <w:r w:rsidR="002733ED" w:rsidRPr="00644691">
        <w:rPr>
          <w:iCs/>
        </w:rPr>
        <w:t xml:space="preserve"> due to differences in assumptions relating to treatment </w:t>
      </w:r>
      <w:r w:rsidR="003B3BE4" w:rsidRPr="00644691">
        <w:rPr>
          <w:iCs/>
        </w:rPr>
        <w:t xml:space="preserve">adherence </w:t>
      </w:r>
      <w:r w:rsidR="002733ED" w:rsidRPr="00644691">
        <w:rPr>
          <w:iCs/>
        </w:rPr>
        <w:t>and treatment persistence.</w:t>
      </w:r>
      <w:r w:rsidRPr="00644691">
        <w:t xml:space="preserve"> </w:t>
      </w:r>
      <w:r w:rsidR="00DC6FCA" w:rsidRPr="00644691">
        <w:t xml:space="preserve">The </w:t>
      </w:r>
      <w:r w:rsidR="00B46F48" w:rsidRPr="00644691">
        <w:t xml:space="preserve">original and </w:t>
      </w:r>
      <w:r w:rsidR="00DC6FCA" w:rsidRPr="00644691">
        <w:t xml:space="preserve">revised </w:t>
      </w:r>
      <w:r w:rsidR="00644691" w:rsidRPr="00644691">
        <w:t>DPMQs</w:t>
      </w:r>
      <w:r w:rsidR="00DC6FCA" w:rsidRPr="00644691">
        <w:t xml:space="preserve"> </w:t>
      </w:r>
      <w:r w:rsidR="00B46F48" w:rsidRPr="00644691">
        <w:t>are</w:t>
      </w:r>
      <w:r w:rsidR="00662993" w:rsidRPr="00644691">
        <w:t xml:space="preserve"> shown</w:t>
      </w:r>
      <w:r w:rsidR="00DC6FCA" w:rsidRPr="00644691">
        <w:t xml:space="preserve"> in the table below.</w:t>
      </w:r>
    </w:p>
    <w:p w:rsidR="00181BAC" w:rsidRPr="00644691" w:rsidRDefault="00181BAC" w:rsidP="00446FEF">
      <w:pPr>
        <w:pStyle w:val="TableFigureCaption"/>
      </w:pPr>
      <w:r w:rsidRPr="00644691">
        <w:t xml:space="preserve">Table </w:t>
      </w:r>
      <w:r w:rsidR="000C6AFA">
        <w:rPr>
          <w:noProof/>
        </w:rPr>
        <w:t>12</w:t>
      </w:r>
      <w:r w:rsidRPr="00644691">
        <w:t xml:space="preserve">: Drug cost per patient per year for </w:t>
      </w:r>
      <w:r w:rsidR="00C22F16" w:rsidRPr="00644691">
        <w:t>dapagliflozin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1701"/>
        <w:gridCol w:w="1560"/>
        <w:gridCol w:w="1417"/>
        <w:gridCol w:w="2076"/>
      </w:tblGrid>
      <w:tr w:rsidR="00513699" w:rsidRPr="00644691" w:rsidTr="00DC6FCA">
        <w:trPr>
          <w:cantSplit/>
          <w:tblHeader/>
          <w:jc w:val="center"/>
        </w:trPr>
        <w:tc>
          <w:tcPr>
            <w:tcW w:w="1255" w:type="pct"/>
            <w:tcMar>
              <w:top w:w="0" w:type="dxa"/>
              <w:left w:w="28" w:type="dxa"/>
              <w:bottom w:w="0" w:type="dxa"/>
              <w:right w:w="28" w:type="dxa"/>
            </w:tcMar>
            <w:vAlign w:val="center"/>
          </w:tcPr>
          <w:p w:rsidR="00513699" w:rsidRPr="00644691" w:rsidRDefault="00513699" w:rsidP="005A5B03">
            <w:pPr>
              <w:pStyle w:val="Tableheadingrow"/>
              <w:jc w:val="center"/>
              <w:rPr>
                <w:lang w:val="en-AU"/>
              </w:rPr>
            </w:pPr>
          </w:p>
        </w:tc>
        <w:tc>
          <w:tcPr>
            <w:tcW w:w="943" w:type="pct"/>
            <w:tcMar>
              <w:top w:w="0" w:type="dxa"/>
              <w:left w:w="28" w:type="dxa"/>
              <w:bottom w:w="0" w:type="dxa"/>
              <w:right w:w="28" w:type="dxa"/>
            </w:tcMar>
            <w:vAlign w:val="center"/>
            <w:hideMark/>
          </w:tcPr>
          <w:p w:rsidR="00513699" w:rsidRPr="00644691" w:rsidRDefault="00513699" w:rsidP="005A5B03">
            <w:pPr>
              <w:pStyle w:val="Tableheadingrow"/>
              <w:jc w:val="center"/>
              <w:rPr>
                <w:lang w:val="en-AU"/>
              </w:rPr>
            </w:pPr>
            <w:r w:rsidRPr="00644691">
              <w:rPr>
                <w:lang w:val="en-AU"/>
              </w:rPr>
              <w:t>DAPA-HF trial</w:t>
            </w:r>
          </w:p>
        </w:tc>
        <w:tc>
          <w:tcPr>
            <w:tcW w:w="1651" w:type="pct"/>
            <w:gridSpan w:val="2"/>
            <w:tcMar>
              <w:top w:w="0" w:type="dxa"/>
              <w:left w:w="28" w:type="dxa"/>
              <w:bottom w:w="0" w:type="dxa"/>
              <w:right w:w="28" w:type="dxa"/>
            </w:tcMar>
            <w:vAlign w:val="center"/>
            <w:hideMark/>
          </w:tcPr>
          <w:p w:rsidR="00513699" w:rsidRPr="00644691" w:rsidRDefault="00513699" w:rsidP="005A5B03">
            <w:pPr>
              <w:pStyle w:val="Tableheadingrow"/>
              <w:jc w:val="center"/>
              <w:rPr>
                <w:lang w:val="en-AU"/>
              </w:rPr>
            </w:pPr>
            <w:r w:rsidRPr="00644691">
              <w:rPr>
                <w:lang w:val="en-AU"/>
              </w:rPr>
              <w:t>Economic model</w:t>
            </w:r>
          </w:p>
        </w:tc>
        <w:tc>
          <w:tcPr>
            <w:tcW w:w="1151" w:type="pct"/>
            <w:tcMar>
              <w:top w:w="0" w:type="dxa"/>
              <w:left w:w="28" w:type="dxa"/>
              <w:bottom w:w="0" w:type="dxa"/>
              <w:right w:w="28" w:type="dxa"/>
            </w:tcMar>
            <w:vAlign w:val="center"/>
            <w:hideMark/>
          </w:tcPr>
          <w:p w:rsidR="00513699" w:rsidRPr="00644691" w:rsidRDefault="00513699" w:rsidP="005A5B03">
            <w:pPr>
              <w:pStyle w:val="Tableheadingrow"/>
              <w:jc w:val="center"/>
              <w:rPr>
                <w:lang w:val="en-AU"/>
              </w:rPr>
            </w:pPr>
            <w:r w:rsidRPr="00644691">
              <w:rPr>
                <w:lang w:val="en-AU"/>
              </w:rPr>
              <w:t>Financial estimates</w:t>
            </w:r>
          </w:p>
        </w:tc>
      </w:tr>
      <w:tr w:rsidR="00513699" w:rsidRPr="00644691" w:rsidTr="00DC6FCA">
        <w:trPr>
          <w:cantSplit/>
          <w:jc w:val="center"/>
        </w:trPr>
        <w:tc>
          <w:tcPr>
            <w:tcW w:w="1255" w:type="pct"/>
            <w:tcMar>
              <w:top w:w="0" w:type="dxa"/>
              <w:left w:w="28" w:type="dxa"/>
              <w:bottom w:w="0" w:type="dxa"/>
              <w:right w:w="28" w:type="dxa"/>
            </w:tcMar>
            <w:vAlign w:val="center"/>
            <w:hideMark/>
          </w:tcPr>
          <w:p w:rsidR="00513699" w:rsidRPr="00644691" w:rsidRDefault="00513699" w:rsidP="005A5B03">
            <w:pPr>
              <w:pStyle w:val="TableText"/>
            </w:pPr>
            <w:r w:rsidRPr="00644691">
              <w:t>Daily dose</w:t>
            </w:r>
          </w:p>
        </w:tc>
        <w:tc>
          <w:tcPr>
            <w:tcW w:w="943" w:type="pct"/>
            <w:tcMar>
              <w:top w:w="0" w:type="dxa"/>
              <w:left w:w="28" w:type="dxa"/>
              <w:bottom w:w="0" w:type="dxa"/>
              <w:right w:w="28" w:type="dxa"/>
            </w:tcMar>
            <w:vAlign w:val="center"/>
            <w:hideMark/>
          </w:tcPr>
          <w:p w:rsidR="00513699" w:rsidRPr="00644691" w:rsidRDefault="00513699" w:rsidP="005A5B03">
            <w:pPr>
              <w:pStyle w:val="TableText"/>
              <w:jc w:val="center"/>
            </w:pPr>
            <w:r w:rsidRPr="00644691">
              <w:t>10 mg daily</w:t>
            </w:r>
          </w:p>
        </w:tc>
        <w:tc>
          <w:tcPr>
            <w:tcW w:w="1651" w:type="pct"/>
            <w:gridSpan w:val="2"/>
            <w:tcMar>
              <w:top w:w="0" w:type="dxa"/>
              <w:left w:w="28" w:type="dxa"/>
              <w:bottom w:w="0" w:type="dxa"/>
              <w:right w:w="28" w:type="dxa"/>
            </w:tcMar>
            <w:vAlign w:val="center"/>
            <w:hideMark/>
          </w:tcPr>
          <w:p w:rsidR="00513699" w:rsidRPr="00644691" w:rsidRDefault="00513699" w:rsidP="005A5B03">
            <w:pPr>
              <w:pStyle w:val="TableText"/>
              <w:jc w:val="center"/>
            </w:pPr>
            <w:r w:rsidRPr="00644691">
              <w:t>10 mg daily</w:t>
            </w:r>
          </w:p>
        </w:tc>
        <w:tc>
          <w:tcPr>
            <w:tcW w:w="1151" w:type="pct"/>
            <w:tcMar>
              <w:top w:w="0" w:type="dxa"/>
              <w:left w:w="28" w:type="dxa"/>
              <w:bottom w:w="0" w:type="dxa"/>
              <w:right w:w="28" w:type="dxa"/>
            </w:tcMar>
            <w:vAlign w:val="center"/>
            <w:hideMark/>
          </w:tcPr>
          <w:p w:rsidR="00513699" w:rsidRPr="00644691" w:rsidRDefault="00513699" w:rsidP="005A5B03">
            <w:pPr>
              <w:pStyle w:val="TableText"/>
              <w:jc w:val="center"/>
            </w:pPr>
            <w:r w:rsidRPr="00644691">
              <w:t>10 mg daily</w:t>
            </w:r>
          </w:p>
        </w:tc>
      </w:tr>
      <w:tr w:rsidR="00513699" w:rsidRPr="00644691" w:rsidTr="00DC6FCA">
        <w:trPr>
          <w:cantSplit/>
          <w:jc w:val="center"/>
        </w:trPr>
        <w:tc>
          <w:tcPr>
            <w:tcW w:w="1255" w:type="pct"/>
            <w:tcMar>
              <w:top w:w="0" w:type="dxa"/>
              <w:left w:w="28" w:type="dxa"/>
              <w:bottom w:w="0" w:type="dxa"/>
              <w:right w:w="28" w:type="dxa"/>
            </w:tcMar>
            <w:vAlign w:val="center"/>
            <w:hideMark/>
          </w:tcPr>
          <w:p w:rsidR="00513699" w:rsidRPr="00644691" w:rsidRDefault="00513699" w:rsidP="005A5B03">
            <w:pPr>
              <w:pStyle w:val="TableText"/>
            </w:pPr>
            <w:r w:rsidRPr="00644691">
              <w:t>Cost per pack of 28 tablets (</w:t>
            </w:r>
            <w:r w:rsidR="00BB6D60" w:rsidRPr="00644691">
              <w:t>resubmission</w:t>
            </w:r>
            <w:r w:rsidR="00DC6FCA" w:rsidRPr="00644691">
              <w:t xml:space="preserve"> </w:t>
            </w:r>
            <w:r w:rsidRPr="00644691">
              <w:t>DPMQ)</w:t>
            </w:r>
          </w:p>
        </w:tc>
        <w:tc>
          <w:tcPr>
            <w:tcW w:w="943" w:type="pct"/>
            <w:tcMar>
              <w:top w:w="0" w:type="dxa"/>
              <w:left w:w="28" w:type="dxa"/>
              <w:bottom w:w="0" w:type="dxa"/>
              <w:right w:w="28" w:type="dxa"/>
            </w:tcMar>
            <w:vAlign w:val="center"/>
            <w:hideMark/>
          </w:tcPr>
          <w:p w:rsidR="00513699" w:rsidRPr="00644691" w:rsidRDefault="00513699" w:rsidP="005A5B03">
            <w:pPr>
              <w:pStyle w:val="TableText"/>
              <w:jc w:val="center"/>
            </w:pPr>
            <w:r w:rsidRPr="00644691">
              <w:t>-</w:t>
            </w:r>
          </w:p>
        </w:tc>
        <w:tc>
          <w:tcPr>
            <w:tcW w:w="1651" w:type="pct"/>
            <w:gridSpan w:val="2"/>
            <w:tcMar>
              <w:top w:w="0" w:type="dxa"/>
              <w:left w:w="28" w:type="dxa"/>
              <w:bottom w:w="0" w:type="dxa"/>
              <w:right w:w="28" w:type="dxa"/>
            </w:tcMar>
            <w:vAlign w:val="center"/>
            <w:hideMark/>
          </w:tcPr>
          <w:p w:rsidR="00513699" w:rsidRPr="00644691" w:rsidRDefault="00513699" w:rsidP="005A5B03">
            <w:pPr>
              <w:pStyle w:val="TableText"/>
              <w:jc w:val="center"/>
            </w:pPr>
            <w:r w:rsidRPr="00644691">
              <w:t>$</w:t>
            </w:r>
            <w:r w:rsidR="00BB0C56">
              <w:rPr>
                <w:noProof/>
                <w:color w:val="000000"/>
                <w:highlight w:val="black"/>
              </w:rPr>
              <w:t>'''''''''''''''</w:t>
            </w:r>
          </w:p>
        </w:tc>
        <w:tc>
          <w:tcPr>
            <w:tcW w:w="1151" w:type="pct"/>
            <w:tcMar>
              <w:top w:w="0" w:type="dxa"/>
              <w:left w:w="28" w:type="dxa"/>
              <w:bottom w:w="0" w:type="dxa"/>
              <w:right w:w="28" w:type="dxa"/>
            </w:tcMar>
            <w:vAlign w:val="center"/>
            <w:hideMark/>
          </w:tcPr>
          <w:p w:rsidR="00513699" w:rsidRPr="00644691" w:rsidRDefault="00513699" w:rsidP="005A5B03">
            <w:pPr>
              <w:pStyle w:val="TableText"/>
              <w:jc w:val="center"/>
            </w:pPr>
            <w:r w:rsidRPr="00644691">
              <w:t>$</w:t>
            </w:r>
            <w:r w:rsidR="00BB0C56">
              <w:rPr>
                <w:noProof/>
                <w:color w:val="000000"/>
                <w:highlight w:val="black"/>
              </w:rPr>
              <w:t>''''''''''''''''</w:t>
            </w:r>
          </w:p>
        </w:tc>
      </w:tr>
      <w:tr w:rsidR="00BB6D60" w:rsidRPr="00644691" w:rsidTr="00DC6FCA">
        <w:trPr>
          <w:cantSplit/>
          <w:jc w:val="center"/>
        </w:trPr>
        <w:tc>
          <w:tcPr>
            <w:tcW w:w="1255" w:type="pct"/>
            <w:tcMar>
              <w:top w:w="0" w:type="dxa"/>
              <w:left w:w="28" w:type="dxa"/>
              <w:bottom w:w="0" w:type="dxa"/>
              <w:right w:w="28" w:type="dxa"/>
            </w:tcMar>
            <w:vAlign w:val="center"/>
          </w:tcPr>
          <w:p w:rsidR="00BB6D60" w:rsidRPr="00644691" w:rsidRDefault="00BB6D60" w:rsidP="005A5B03">
            <w:pPr>
              <w:pStyle w:val="TableText"/>
              <w:rPr>
                <w:vertAlign w:val="superscript"/>
              </w:rPr>
            </w:pPr>
            <w:r w:rsidRPr="00644691">
              <w:t>Cost per pack of 28 tablets (</w:t>
            </w:r>
            <w:r w:rsidR="00DC6FCA" w:rsidRPr="00644691">
              <w:t>pre-PBAC</w:t>
            </w:r>
            <w:r w:rsidRPr="00644691">
              <w:t xml:space="preserve"> </w:t>
            </w:r>
            <w:r w:rsidR="00DC6FCA" w:rsidRPr="00644691">
              <w:t>response</w:t>
            </w:r>
            <w:r w:rsidR="00662993" w:rsidRPr="00644691">
              <w:t xml:space="preserve"> price</w:t>
            </w:r>
            <w:r w:rsidRPr="00644691">
              <w:t>)</w:t>
            </w:r>
            <w:r w:rsidR="00DC6FCA" w:rsidRPr="00644691">
              <w:rPr>
                <w:vertAlign w:val="superscript"/>
              </w:rPr>
              <w:t>1</w:t>
            </w:r>
          </w:p>
        </w:tc>
        <w:tc>
          <w:tcPr>
            <w:tcW w:w="943" w:type="pct"/>
            <w:tcMar>
              <w:top w:w="0" w:type="dxa"/>
              <w:left w:w="28" w:type="dxa"/>
              <w:bottom w:w="0" w:type="dxa"/>
              <w:right w:w="28" w:type="dxa"/>
            </w:tcMar>
            <w:vAlign w:val="center"/>
          </w:tcPr>
          <w:p w:rsidR="00BB6D60" w:rsidRPr="00644691" w:rsidRDefault="00BB6D60" w:rsidP="005A5B03">
            <w:pPr>
              <w:pStyle w:val="TableText"/>
              <w:jc w:val="center"/>
            </w:pPr>
          </w:p>
        </w:tc>
        <w:tc>
          <w:tcPr>
            <w:tcW w:w="1651" w:type="pct"/>
            <w:gridSpan w:val="2"/>
            <w:tcMar>
              <w:top w:w="0" w:type="dxa"/>
              <w:left w:w="28" w:type="dxa"/>
              <w:bottom w:w="0" w:type="dxa"/>
              <w:right w:w="28" w:type="dxa"/>
            </w:tcMar>
            <w:vAlign w:val="center"/>
          </w:tcPr>
          <w:p w:rsidR="00BB6D60" w:rsidRPr="00644691" w:rsidRDefault="00DC6FCA" w:rsidP="005A5B03">
            <w:pPr>
              <w:pStyle w:val="TableText"/>
              <w:jc w:val="center"/>
            </w:pPr>
            <w:r w:rsidRPr="00644691">
              <w:t>$</w:t>
            </w:r>
            <w:r w:rsidR="00BB0C56">
              <w:rPr>
                <w:noProof/>
                <w:color w:val="000000"/>
                <w:highlight w:val="black"/>
              </w:rPr>
              <w:t>'''''''''''''''</w:t>
            </w:r>
          </w:p>
        </w:tc>
        <w:tc>
          <w:tcPr>
            <w:tcW w:w="1151" w:type="pct"/>
            <w:tcMar>
              <w:top w:w="0" w:type="dxa"/>
              <w:left w:w="28" w:type="dxa"/>
              <w:bottom w:w="0" w:type="dxa"/>
              <w:right w:w="28" w:type="dxa"/>
            </w:tcMar>
            <w:vAlign w:val="center"/>
          </w:tcPr>
          <w:p w:rsidR="00BB6D60" w:rsidRPr="00644691" w:rsidRDefault="00DC6FCA" w:rsidP="005A5B03">
            <w:pPr>
              <w:pStyle w:val="TableText"/>
              <w:jc w:val="center"/>
            </w:pPr>
            <w:r w:rsidRPr="00644691">
              <w:t>$</w:t>
            </w:r>
            <w:r w:rsidR="00BB0C56">
              <w:rPr>
                <w:noProof/>
                <w:color w:val="000000"/>
                <w:highlight w:val="black"/>
              </w:rPr>
              <w:t>'''''''''''''</w:t>
            </w:r>
          </w:p>
        </w:tc>
      </w:tr>
      <w:tr w:rsidR="00513699" w:rsidRPr="00644691" w:rsidTr="00DC6FCA">
        <w:trPr>
          <w:cantSplit/>
          <w:jc w:val="center"/>
        </w:trPr>
        <w:tc>
          <w:tcPr>
            <w:tcW w:w="1255" w:type="pct"/>
            <w:tcMar>
              <w:top w:w="0" w:type="dxa"/>
              <w:left w:w="28" w:type="dxa"/>
              <w:bottom w:w="0" w:type="dxa"/>
              <w:right w:w="28" w:type="dxa"/>
            </w:tcMar>
            <w:vAlign w:val="center"/>
          </w:tcPr>
          <w:p w:rsidR="00513699" w:rsidRPr="00644691" w:rsidRDefault="00513699" w:rsidP="005A5B03">
            <w:pPr>
              <w:pStyle w:val="TableText"/>
            </w:pPr>
            <w:r w:rsidRPr="00644691">
              <w:t>Adherence</w:t>
            </w:r>
          </w:p>
        </w:tc>
        <w:tc>
          <w:tcPr>
            <w:tcW w:w="943" w:type="pct"/>
            <w:tcMar>
              <w:top w:w="0" w:type="dxa"/>
              <w:left w:w="28" w:type="dxa"/>
              <w:bottom w:w="0" w:type="dxa"/>
              <w:right w:w="28" w:type="dxa"/>
            </w:tcMar>
            <w:vAlign w:val="center"/>
          </w:tcPr>
          <w:p w:rsidR="00513699" w:rsidRPr="00644691" w:rsidRDefault="00513699" w:rsidP="005A5B03">
            <w:pPr>
              <w:pStyle w:val="TableText"/>
              <w:jc w:val="center"/>
            </w:pPr>
            <w:r w:rsidRPr="00644691">
              <w:t>96.7%</w:t>
            </w:r>
          </w:p>
        </w:tc>
        <w:tc>
          <w:tcPr>
            <w:tcW w:w="1651" w:type="pct"/>
            <w:gridSpan w:val="2"/>
            <w:tcMar>
              <w:top w:w="0" w:type="dxa"/>
              <w:left w:w="28" w:type="dxa"/>
              <w:bottom w:w="0" w:type="dxa"/>
              <w:right w:w="28" w:type="dxa"/>
            </w:tcMar>
            <w:vAlign w:val="center"/>
          </w:tcPr>
          <w:p w:rsidR="00513699" w:rsidRPr="00644691" w:rsidRDefault="00513699" w:rsidP="005A5B03">
            <w:pPr>
              <w:pStyle w:val="TableText"/>
              <w:jc w:val="center"/>
            </w:pPr>
            <w:r w:rsidRPr="00644691">
              <w:t>100%</w:t>
            </w:r>
          </w:p>
        </w:tc>
        <w:tc>
          <w:tcPr>
            <w:tcW w:w="1151" w:type="pct"/>
            <w:tcMar>
              <w:top w:w="0" w:type="dxa"/>
              <w:left w:w="28" w:type="dxa"/>
              <w:bottom w:w="0" w:type="dxa"/>
              <w:right w:w="28" w:type="dxa"/>
            </w:tcMar>
            <w:vAlign w:val="center"/>
          </w:tcPr>
          <w:p w:rsidR="00513699" w:rsidRPr="00644691" w:rsidRDefault="00513699" w:rsidP="005A5B03">
            <w:pPr>
              <w:pStyle w:val="TableText"/>
              <w:jc w:val="center"/>
            </w:pPr>
            <w:r w:rsidRPr="00644691">
              <w:t>85%</w:t>
            </w:r>
          </w:p>
        </w:tc>
      </w:tr>
      <w:tr w:rsidR="00513699" w:rsidRPr="00644691" w:rsidTr="00DC6FCA">
        <w:trPr>
          <w:cantSplit/>
          <w:jc w:val="center"/>
        </w:trPr>
        <w:tc>
          <w:tcPr>
            <w:tcW w:w="1255" w:type="pct"/>
            <w:tcMar>
              <w:top w:w="0" w:type="dxa"/>
              <w:left w:w="28" w:type="dxa"/>
              <w:bottom w:w="0" w:type="dxa"/>
              <w:right w:w="28" w:type="dxa"/>
            </w:tcMar>
            <w:vAlign w:val="center"/>
            <w:hideMark/>
          </w:tcPr>
          <w:p w:rsidR="00513699" w:rsidRPr="00644691" w:rsidRDefault="00513699" w:rsidP="005A5B03">
            <w:pPr>
              <w:pStyle w:val="TableText"/>
            </w:pPr>
            <w:r w:rsidRPr="00644691">
              <w:t>Number of scripts per year</w:t>
            </w:r>
          </w:p>
        </w:tc>
        <w:tc>
          <w:tcPr>
            <w:tcW w:w="943" w:type="pct"/>
            <w:tcMar>
              <w:top w:w="0" w:type="dxa"/>
              <w:left w:w="28" w:type="dxa"/>
              <w:bottom w:w="0" w:type="dxa"/>
              <w:right w:w="28" w:type="dxa"/>
            </w:tcMar>
            <w:vAlign w:val="center"/>
            <w:hideMark/>
          </w:tcPr>
          <w:p w:rsidR="00513699" w:rsidRPr="00644691" w:rsidRDefault="00513699" w:rsidP="005A5B03">
            <w:pPr>
              <w:pStyle w:val="TableText"/>
              <w:jc w:val="center"/>
            </w:pPr>
            <w:r w:rsidRPr="00644691">
              <w:t>-</w:t>
            </w:r>
          </w:p>
        </w:tc>
        <w:tc>
          <w:tcPr>
            <w:tcW w:w="1651" w:type="pct"/>
            <w:gridSpan w:val="2"/>
            <w:tcMar>
              <w:top w:w="0" w:type="dxa"/>
              <w:left w:w="28" w:type="dxa"/>
              <w:bottom w:w="0" w:type="dxa"/>
              <w:right w:w="28" w:type="dxa"/>
            </w:tcMar>
            <w:vAlign w:val="center"/>
            <w:hideMark/>
          </w:tcPr>
          <w:p w:rsidR="00513699" w:rsidRPr="00644691" w:rsidRDefault="00513699" w:rsidP="005A5B03">
            <w:pPr>
              <w:pStyle w:val="TableText"/>
              <w:jc w:val="center"/>
            </w:pPr>
            <w:r w:rsidRPr="00644691">
              <w:t>13.045 (=365.25/28 x 100%)</w:t>
            </w:r>
          </w:p>
        </w:tc>
        <w:tc>
          <w:tcPr>
            <w:tcW w:w="1151" w:type="pct"/>
            <w:tcMar>
              <w:top w:w="0" w:type="dxa"/>
              <w:left w:w="28" w:type="dxa"/>
              <w:bottom w:w="0" w:type="dxa"/>
              <w:right w:w="28" w:type="dxa"/>
            </w:tcMar>
            <w:vAlign w:val="center"/>
            <w:hideMark/>
          </w:tcPr>
          <w:p w:rsidR="00513699" w:rsidRPr="00644691" w:rsidRDefault="00513699" w:rsidP="005A5B03">
            <w:pPr>
              <w:pStyle w:val="TableText"/>
              <w:jc w:val="center"/>
            </w:pPr>
            <w:r w:rsidRPr="00644691">
              <w:t>11.088 (=365.25/28 x 85%)</w:t>
            </w:r>
          </w:p>
        </w:tc>
      </w:tr>
      <w:tr w:rsidR="00513699" w:rsidRPr="00644691" w:rsidTr="00DC6FCA">
        <w:trPr>
          <w:cantSplit/>
          <w:jc w:val="center"/>
        </w:trPr>
        <w:tc>
          <w:tcPr>
            <w:tcW w:w="1255" w:type="pct"/>
            <w:tcMar>
              <w:top w:w="0" w:type="dxa"/>
              <w:left w:w="28" w:type="dxa"/>
              <w:bottom w:w="0" w:type="dxa"/>
              <w:right w:w="28" w:type="dxa"/>
            </w:tcMar>
            <w:vAlign w:val="center"/>
            <w:hideMark/>
          </w:tcPr>
          <w:p w:rsidR="00513699" w:rsidRPr="00644691" w:rsidRDefault="00513699" w:rsidP="005A5B03">
            <w:pPr>
              <w:pStyle w:val="TableText"/>
            </w:pPr>
            <w:r w:rsidRPr="00644691">
              <w:t>Cost per year</w:t>
            </w:r>
            <w:r w:rsidR="00BB6D60" w:rsidRPr="00644691">
              <w:t xml:space="preserve"> (resubmission</w:t>
            </w:r>
            <w:r w:rsidR="00C660F5" w:rsidRPr="00644691">
              <w:t xml:space="preserve"> DPMQ</w:t>
            </w:r>
            <w:r w:rsidR="00BB6D60" w:rsidRPr="00644691">
              <w:t>)</w:t>
            </w:r>
          </w:p>
        </w:tc>
        <w:tc>
          <w:tcPr>
            <w:tcW w:w="943" w:type="pct"/>
            <w:tcMar>
              <w:top w:w="0" w:type="dxa"/>
              <w:left w:w="28" w:type="dxa"/>
              <w:bottom w:w="0" w:type="dxa"/>
              <w:right w:w="28" w:type="dxa"/>
            </w:tcMar>
            <w:vAlign w:val="center"/>
            <w:hideMark/>
          </w:tcPr>
          <w:p w:rsidR="00513699" w:rsidRPr="00644691" w:rsidRDefault="00513699" w:rsidP="005A5B03">
            <w:pPr>
              <w:pStyle w:val="TableText"/>
              <w:jc w:val="center"/>
            </w:pPr>
            <w:r w:rsidRPr="00644691">
              <w:t>-</w:t>
            </w:r>
          </w:p>
        </w:tc>
        <w:tc>
          <w:tcPr>
            <w:tcW w:w="1651" w:type="pct"/>
            <w:gridSpan w:val="2"/>
            <w:tcMar>
              <w:top w:w="0" w:type="dxa"/>
              <w:left w:w="28" w:type="dxa"/>
              <w:bottom w:w="0" w:type="dxa"/>
              <w:right w:w="28" w:type="dxa"/>
            </w:tcMar>
            <w:vAlign w:val="center"/>
            <w:hideMark/>
          </w:tcPr>
          <w:p w:rsidR="00513699" w:rsidRPr="00644691" w:rsidRDefault="00513699" w:rsidP="005A5B03">
            <w:pPr>
              <w:pStyle w:val="TableText"/>
              <w:jc w:val="center"/>
            </w:pPr>
            <w:r w:rsidRPr="00644691">
              <w:t>$</w:t>
            </w:r>
            <w:r w:rsidR="00BB0C56">
              <w:rPr>
                <w:noProof/>
                <w:color w:val="000000"/>
                <w:highlight w:val="black"/>
              </w:rPr>
              <w:t>''''''''''''''''''''</w:t>
            </w:r>
          </w:p>
        </w:tc>
        <w:tc>
          <w:tcPr>
            <w:tcW w:w="1151" w:type="pct"/>
            <w:tcMar>
              <w:top w:w="0" w:type="dxa"/>
              <w:left w:w="28" w:type="dxa"/>
              <w:bottom w:w="0" w:type="dxa"/>
              <w:right w:w="28" w:type="dxa"/>
            </w:tcMar>
            <w:vAlign w:val="center"/>
            <w:hideMark/>
          </w:tcPr>
          <w:p w:rsidR="00513699" w:rsidRPr="00644691" w:rsidRDefault="00513699" w:rsidP="005A5B03">
            <w:pPr>
              <w:pStyle w:val="TableText"/>
              <w:jc w:val="center"/>
            </w:pPr>
            <w:r w:rsidRPr="00644691">
              <w:t>$</w:t>
            </w:r>
            <w:r w:rsidR="00BB0C56">
              <w:rPr>
                <w:noProof/>
                <w:color w:val="000000"/>
                <w:highlight w:val="black"/>
              </w:rPr>
              <w:t>'''''''''''''''''''</w:t>
            </w:r>
          </w:p>
        </w:tc>
      </w:tr>
      <w:tr w:rsidR="00BB6D60" w:rsidRPr="00644691" w:rsidTr="00DC6FCA">
        <w:trPr>
          <w:cantSplit/>
          <w:jc w:val="center"/>
        </w:trPr>
        <w:tc>
          <w:tcPr>
            <w:tcW w:w="1255" w:type="pct"/>
            <w:tcMar>
              <w:top w:w="0" w:type="dxa"/>
              <w:left w:w="28" w:type="dxa"/>
              <w:bottom w:w="0" w:type="dxa"/>
              <w:right w:w="28" w:type="dxa"/>
            </w:tcMar>
            <w:vAlign w:val="center"/>
          </w:tcPr>
          <w:p w:rsidR="00BB6D60" w:rsidRPr="00644691" w:rsidRDefault="00BB6D60" w:rsidP="005A5B03">
            <w:pPr>
              <w:pStyle w:val="TableText"/>
            </w:pPr>
            <w:r w:rsidRPr="00644691">
              <w:t>Cost per year (pre-PBAC response</w:t>
            </w:r>
            <w:r w:rsidR="00662993" w:rsidRPr="00644691">
              <w:t xml:space="preserve"> price</w:t>
            </w:r>
            <w:r w:rsidRPr="00644691">
              <w:t>)</w:t>
            </w:r>
            <w:r w:rsidR="00C660F5" w:rsidRPr="00644691">
              <w:rPr>
                <w:vertAlign w:val="superscript"/>
              </w:rPr>
              <w:t>1</w:t>
            </w:r>
          </w:p>
        </w:tc>
        <w:tc>
          <w:tcPr>
            <w:tcW w:w="943" w:type="pct"/>
            <w:tcMar>
              <w:top w:w="0" w:type="dxa"/>
              <w:left w:w="28" w:type="dxa"/>
              <w:bottom w:w="0" w:type="dxa"/>
              <w:right w:w="28" w:type="dxa"/>
            </w:tcMar>
            <w:vAlign w:val="center"/>
          </w:tcPr>
          <w:p w:rsidR="00BB6D60" w:rsidRPr="00644691" w:rsidRDefault="00BB6D60" w:rsidP="005A5B03">
            <w:pPr>
              <w:pStyle w:val="TableText"/>
              <w:jc w:val="center"/>
            </w:pPr>
          </w:p>
        </w:tc>
        <w:tc>
          <w:tcPr>
            <w:tcW w:w="1651" w:type="pct"/>
            <w:gridSpan w:val="2"/>
            <w:tcMar>
              <w:top w:w="0" w:type="dxa"/>
              <w:left w:w="28" w:type="dxa"/>
              <w:bottom w:w="0" w:type="dxa"/>
              <w:right w:w="28" w:type="dxa"/>
            </w:tcMar>
            <w:vAlign w:val="center"/>
          </w:tcPr>
          <w:p w:rsidR="00BB6D60" w:rsidRPr="00644691" w:rsidRDefault="00DC6FCA" w:rsidP="005A5B03">
            <w:pPr>
              <w:pStyle w:val="TableText"/>
              <w:jc w:val="center"/>
            </w:pPr>
            <w:r w:rsidRPr="00644691">
              <w:t>$</w:t>
            </w:r>
            <w:r w:rsidR="00BB0C56">
              <w:rPr>
                <w:noProof/>
                <w:color w:val="000000"/>
                <w:highlight w:val="black"/>
              </w:rPr>
              <w:t>'''''''''''''''</w:t>
            </w:r>
          </w:p>
        </w:tc>
        <w:tc>
          <w:tcPr>
            <w:tcW w:w="1151" w:type="pct"/>
            <w:tcMar>
              <w:top w:w="0" w:type="dxa"/>
              <w:left w:w="28" w:type="dxa"/>
              <w:bottom w:w="0" w:type="dxa"/>
              <w:right w:w="28" w:type="dxa"/>
            </w:tcMar>
            <w:vAlign w:val="center"/>
          </w:tcPr>
          <w:p w:rsidR="00BB6D60" w:rsidRPr="00644691" w:rsidRDefault="00DC6FCA" w:rsidP="005A5B03">
            <w:pPr>
              <w:pStyle w:val="TableText"/>
              <w:jc w:val="center"/>
            </w:pPr>
            <w:r w:rsidRPr="00644691">
              <w:t>$</w:t>
            </w:r>
            <w:r w:rsidR="00BB0C56">
              <w:rPr>
                <w:noProof/>
                <w:color w:val="000000"/>
                <w:highlight w:val="black"/>
              </w:rPr>
              <w:t>'''''''''''''''</w:t>
            </w:r>
          </w:p>
        </w:tc>
      </w:tr>
      <w:tr w:rsidR="00513699" w:rsidRPr="00644691" w:rsidTr="00DC6FCA">
        <w:trPr>
          <w:cantSplit/>
          <w:trHeight w:val="1389"/>
          <w:jc w:val="center"/>
        </w:trPr>
        <w:tc>
          <w:tcPr>
            <w:tcW w:w="1255" w:type="pct"/>
            <w:tcMar>
              <w:top w:w="0" w:type="dxa"/>
              <w:left w:w="28" w:type="dxa"/>
              <w:bottom w:w="0" w:type="dxa"/>
              <w:right w:w="28" w:type="dxa"/>
            </w:tcMar>
            <w:vAlign w:val="center"/>
          </w:tcPr>
          <w:p w:rsidR="00513699" w:rsidRPr="00644691" w:rsidRDefault="00513699" w:rsidP="005A5B03">
            <w:pPr>
              <w:pStyle w:val="TableText"/>
            </w:pPr>
            <w:r w:rsidRPr="00644691">
              <w:t>Proportion of patients on treatment (persistence)</w:t>
            </w:r>
          </w:p>
        </w:tc>
        <w:tc>
          <w:tcPr>
            <w:tcW w:w="943" w:type="pct"/>
            <w:tcMar>
              <w:top w:w="0" w:type="dxa"/>
              <w:left w:w="28" w:type="dxa"/>
              <w:bottom w:w="0" w:type="dxa"/>
              <w:right w:w="28" w:type="dxa"/>
            </w:tcMar>
            <w:vAlign w:val="center"/>
          </w:tcPr>
          <w:p w:rsidR="00513699" w:rsidRPr="00644691" w:rsidRDefault="00513699" w:rsidP="005A5B03">
            <w:pPr>
              <w:pStyle w:val="TableText"/>
              <w:jc w:val="center"/>
            </w:pPr>
            <w:r w:rsidRPr="00644691">
              <w:t>At a median follow-up of 18.2 months, 89.5% of patients in the dapagliflozin arm remained on treatment.</w:t>
            </w:r>
          </w:p>
        </w:tc>
        <w:tc>
          <w:tcPr>
            <w:tcW w:w="865" w:type="pct"/>
            <w:tcMar>
              <w:top w:w="0" w:type="dxa"/>
              <w:left w:w="28" w:type="dxa"/>
              <w:bottom w:w="0" w:type="dxa"/>
              <w:right w:w="28" w:type="dxa"/>
            </w:tcMar>
          </w:tcPr>
          <w:p w:rsidR="00513699" w:rsidRPr="00644691" w:rsidRDefault="00513699" w:rsidP="005A5B03">
            <w:pPr>
              <w:pStyle w:val="TableText"/>
              <w:jc w:val="center"/>
              <w:rPr>
                <w:u w:val="single"/>
              </w:rPr>
            </w:pPr>
            <w:r w:rsidRPr="00644691">
              <w:rPr>
                <w:u w:val="single"/>
              </w:rPr>
              <w:t>No ARNI subgroup</w:t>
            </w:r>
          </w:p>
          <w:p w:rsidR="00513699" w:rsidRPr="00644691" w:rsidRDefault="00513699" w:rsidP="005A5B03">
            <w:pPr>
              <w:pStyle w:val="TableText"/>
              <w:jc w:val="center"/>
            </w:pPr>
            <w:r w:rsidRPr="00644691">
              <w:t>Year 1: 100%</w:t>
            </w:r>
          </w:p>
          <w:p w:rsidR="00513699" w:rsidRPr="00644691" w:rsidRDefault="00513699" w:rsidP="005A5B03">
            <w:pPr>
              <w:pStyle w:val="TableText"/>
              <w:jc w:val="center"/>
            </w:pPr>
            <w:r w:rsidRPr="00644691">
              <w:t>Year 2: 92%</w:t>
            </w:r>
          </w:p>
          <w:p w:rsidR="00513699" w:rsidRPr="00644691" w:rsidRDefault="00513699" w:rsidP="005A5B03">
            <w:pPr>
              <w:pStyle w:val="TableText"/>
              <w:jc w:val="center"/>
            </w:pPr>
            <w:r w:rsidRPr="00644691">
              <w:t>Year 3: 88%</w:t>
            </w:r>
          </w:p>
          <w:p w:rsidR="00513699" w:rsidRPr="00644691" w:rsidRDefault="00513699" w:rsidP="005A5B03">
            <w:pPr>
              <w:pStyle w:val="TableText"/>
              <w:jc w:val="center"/>
            </w:pPr>
            <w:r w:rsidRPr="00644691">
              <w:t>Year 4: 85%</w:t>
            </w:r>
          </w:p>
          <w:p w:rsidR="00513699" w:rsidRPr="00644691" w:rsidRDefault="00513699" w:rsidP="005A5B03">
            <w:pPr>
              <w:pStyle w:val="TableText"/>
              <w:jc w:val="center"/>
            </w:pPr>
            <w:r w:rsidRPr="00644691">
              <w:t>Year 5: 83%</w:t>
            </w:r>
          </w:p>
          <w:p w:rsidR="00513699" w:rsidRPr="00644691" w:rsidRDefault="00513699" w:rsidP="005A5B03">
            <w:pPr>
              <w:pStyle w:val="TableText"/>
              <w:jc w:val="center"/>
            </w:pPr>
            <w:r w:rsidRPr="00644691">
              <w:t>Year 6: 81%</w:t>
            </w:r>
          </w:p>
        </w:tc>
        <w:tc>
          <w:tcPr>
            <w:tcW w:w="786" w:type="pct"/>
          </w:tcPr>
          <w:p w:rsidR="00513699" w:rsidRPr="00644691" w:rsidRDefault="00513699" w:rsidP="005A5B03">
            <w:pPr>
              <w:pStyle w:val="TableText"/>
              <w:jc w:val="center"/>
              <w:rPr>
                <w:u w:val="single"/>
              </w:rPr>
            </w:pPr>
            <w:r w:rsidRPr="00644691">
              <w:rPr>
                <w:u w:val="single"/>
              </w:rPr>
              <w:t>ARNI subgroup</w:t>
            </w:r>
          </w:p>
          <w:p w:rsidR="00513699" w:rsidRPr="00644691" w:rsidRDefault="00513699" w:rsidP="005A5B03">
            <w:pPr>
              <w:pStyle w:val="TableText"/>
              <w:jc w:val="center"/>
            </w:pPr>
            <w:r w:rsidRPr="00644691">
              <w:t>Year 1: 100%</w:t>
            </w:r>
          </w:p>
          <w:p w:rsidR="00513699" w:rsidRPr="00644691" w:rsidRDefault="00513699" w:rsidP="005A5B03">
            <w:pPr>
              <w:pStyle w:val="TableText"/>
              <w:jc w:val="center"/>
            </w:pPr>
            <w:r w:rsidRPr="00644691">
              <w:t>Year 2: 89%</w:t>
            </w:r>
          </w:p>
          <w:p w:rsidR="00513699" w:rsidRPr="00644691" w:rsidRDefault="00513699" w:rsidP="005A5B03">
            <w:pPr>
              <w:pStyle w:val="TableText"/>
              <w:jc w:val="center"/>
            </w:pPr>
            <w:r w:rsidRPr="00644691">
              <w:t>Year 3: 85%</w:t>
            </w:r>
          </w:p>
          <w:p w:rsidR="00513699" w:rsidRPr="00644691" w:rsidRDefault="00513699" w:rsidP="005A5B03">
            <w:pPr>
              <w:pStyle w:val="TableText"/>
              <w:jc w:val="center"/>
            </w:pPr>
            <w:r w:rsidRPr="00644691">
              <w:t>Year 4: 83%</w:t>
            </w:r>
          </w:p>
          <w:p w:rsidR="00513699" w:rsidRPr="00644691" w:rsidRDefault="00513699" w:rsidP="005A5B03">
            <w:pPr>
              <w:pStyle w:val="TableText"/>
              <w:jc w:val="center"/>
            </w:pPr>
            <w:r w:rsidRPr="00644691">
              <w:t>Year 5: 81%</w:t>
            </w:r>
          </w:p>
          <w:p w:rsidR="00513699" w:rsidRPr="00644691" w:rsidRDefault="00513699" w:rsidP="005A5B03">
            <w:pPr>
              <w:pStyle w:val="TableText"/>
              <w:jc w:val="center"/>
            </w:pPr>
            <w:r w:rsidRPr="00644691">
              <w:t>Year 6: 79%</w:t>
            </w:r>
          </w:p>
        </w:tc>
        <w:tc>
          <w:tcPr>
            <w:tcW w:w="1151" w:type="pct"/>
            <w:tcMar>
              <w:top w:w="0" w:type="dxa"/>
              <w:left w:w="28" w:type="dxa"/>
              <w:bottom w:w="0" w:type="dxa"/>
              <w:right w:w="28" w:type="dxa"/>
            </w:tcMar>
            <w:vAlign w:val="center"/>
          </w:tcPr>
          <w:p w:rsidR="00513699" w:rsidRPr="00644691" w:rsidRDefault="00513699" w:rsidP="005A5B03">
            <w:pPr>
              <w:pStyle w:val="TableText"/>
              <w:jc w:val="center"/>
            </w:pPr>
            <w:r w:rsidRPr="00644691">
              <w:t>100%</w:t>
            </w:r>
          </w:p>
        </w:tc>
      </w:tr>
    </w:tbl>
    <w:p w:rsidR="00D3782F" w:rsidRPr="00644691" w:rsidRDefault="00181BAC" w:rsidP="00181BAC">
      <w:pPr>
        <w:pStyle w:val="TableFigureFooter"/>
      </w:pPr>
      <w:r w:rsidRPr="00644691">
        <w:t xml:space="preserve">Source: </w:t>
      </w:r>
      <w:r w:rsidR="00B52C81" w:rsidRPr="00644691">
        <w:t xml:space="preserve">Table 4.2-2, pp185-186 of the resubmission; </w:t>
      </w:r>
      <w:r w:rsidR="00D3782F" w:rsidRPr="00644691">
        <w:t>Table 14.1.1, p144</w:t>
      </w:r>
      <w:r w:rsidR="00B52C81" w:rsidRPr="00644691">
        <w:t>; Table 14.1.9, p369</w:t>
      </w:r>
      <w:r w:rsidR="00D3782F" w:rsidRPr="00644691">
        <w:t xml:space="preserve"> of the DAPA-HF clinical study report; ‘DrugSurv’ worksheet of the ‘Dapagliflozin</w:t>
      </w:r>
      <w:r w:rsidR="00AD7515" w:rsidRPr="00644691">
        <w:t xml:space="preserve"> </w:t>
      </w:r>
      <w:r w:rsidR="00D3782F" w:rsidRPr="00644691">
        <w:t>HF_PBAC Mar 2021_CE Model’ Excel workbook</w:t>
      </w:r>
      <w:r w:rsidR="00B52C81" w:rsidRPr="00644691">
        <w:t>.</w:t>
      </w:r>
    </w:p>
    <w:p w:rsidR="00B52C81" w:rsidRPr="00644691" w:rsidRDefault="00B52C81" w:rsidP="00181BAC">
      <w:pPr>
        <w:pStyle w:val="TableFigureFooter"/>
      </w:pPr>
      <w:r w:rsidRPr="00644691">
        <w:t>DPMQ, dispensed price for maximum quantity.</w:t>
      </w:r>
    </w:p>
    <w:p w:rsidR="00DC6FCA" w:rsidRPr="00644691" w:rsidRDefault="00DC6FCA" w:rsidP="00181BAC">
      <w:pPr>
        <w:pStyle w:val="TableFigureFooter"/>
      </w:pPr>
      <w:r w:rsidRPr="00644691">
        <w:rPr>
          <w:vertAlign w:val="superscript"/>
        </w:rPr>
        <w:t xml:space="preserve">1 </w:t>
      </w:r>
      <w:r w:rsidR="00FD69CB" w:rsidRPr="00644691">
        <w:t>The p</w:t>
      </w:r>
      <w:r w:rsidRPr="00644691">
        <w:t>re-PBAC response offered a DPMQ of $</w:t>
      </w:r>
      <w:r w:rsidR="00BB0C56">
        <w:rPr>
          <w:noProof/>
          <w:color w:val="000000"/>
          <w:highlight w:val="black"/>
        </w:rPr>
        <w:t>'''''''''''''</w:t>
      </w:r>
      <w:r w:rsidRPr="00644691">
        <w:t xml:space="preserve">, consistent with the </w:t>
      </w:r>
      <w:r w:rsidR="00BB0C56">
        <w:rPr>
          <w:noProof/>
          <w:color w:val="000000"/>
          <w:highlight w:val="black"/>
        </w:rPr>
        <w:t>'''''''''''''</w:t>
      </w:r>
      <w:r w:rsidRPr="00644691">
        <w:t xml:space="preserve"> price. The </w:t>
      </w:r>
      <w:r w:rsidR="00BB0C56">
        <w:rPr>
          <w:noProof/>
          <w:color w:val="000000"/>
          <w:highlight w:val="black"/>
        </w:rPr>
        <w:t>''''''''''''''</w:t>
      </w:r>
      <w:r w:rsidRPr="00644691">
        <w:t xml:space="preserve"> DPMQ at the time of the July 2021 PBAC meeting was $</w:t>
      </w:r>
      <w:r w:rsidR="00BB0C56">
        <w:rPr>
          <w:noProof/>
          <w:color w:val="000000"/>
          <w:highlight w:val="black"/>
        </w:rPr>
        <w:t>'''''''''''''</w:t>
      </w:r>
      <w:r w:rsidRPr="00644691">
        <w:t>.</w:t>
      </w:r>
    </w:p>
    <w:p w:rsidR="00B60939" w:rsidRPr="00644691" w:rsidRDefault="00B60939" w:rsidP="002B05A1">
      <w:pPr>
        <w:pStyle w:val="3-SubsectionHeading"/>
      </w:pPr>
      <w:bookmarkStart w:id="43" w:name="_Toc22897647"/>
      <w:bookmarkStart w:id="44" w:name="_Toc72325063"/>
      <w:r w:rsidRPr="00644691">
        <w:t>Estimated PBS usage &amp; financial implications</w:t>
      </w:r>
      <w:bookmarkEnd w:id="43"/>
      <w:bookmarkEnd w:id="44"/>
    </w:p>
    <w:p w:rsidR="0014698E" w:rsidRPr="00644691" w:rsidRDefault="00C25D9C" w:rsidP="007B6DA5">
      <w:pPr>
        <w:pStyle w:val="ExecSumBodyText"/>
      </w:pPr>
      <w:r w:rsidRPr="00644691">
        <w:t>Th</w:t>
      </w:r>
      <w:r w:rsidR="0014698E" w:rsidRPr="00644691">
        <w:t>e</w:t>
      </w:r>
      <w:r w:rsidRPr="00644691">
        <w:t xml:space="preserve"> </w:t>
      </w:r>
      <w:r w:rsidR="0014698E" w:rsidRPr="00644691">
        <w:t>re</w:t>
      </w:r>
      <w:r w:rsidRPr="00644691">
        <w:t xml:space="preserve">submission </w:t>
      </w:r>
      <w:r w:rsidR="007B6DA5" w:rsidRPr="00644691">
        <w:t>was not</w:t>
      </w:r>
      <w:r w:rsidR="0014698E" w:rsidRPr="00644691">
        <w:t xml:space="preserve"> </w:t>
      </w:r>
      <w:r w:rsidRPr="00644691">
        <w:t>considered by DUSC</w:t>
      </w:r>
      <w:r w:rsidR="0014698E" w:rsidRPr="00644691">
        <w:t>.</w:t>
      </w:r>
      <w:r w:rsidR="007B6DA5" w:rsidRPr="00644691">
        <w:t xml:space="preserve"> </w:t>
      </w:r>
      <w:r w:rsidR="0014698E" w:rsidRPr="00644691">
        <w:t xml:space="preserve">Compared to the November 2020 submission, the main changes to </w:t>
      </w:r>
      <w:r w:rsidR="00E14972" w:rsidRPr="00644691">
        <w:t xml:space="preserve">the </w:t>
      </w:r>
      <w:r w:rsidR="00683527" w:rsidRPr="00644691">
        <w:t xml:space="preserve">financial estimates </w:t>
      </w:r>
      <w:r w:rsidR="0014698E" w:rsidRPr="00644691">
        <w:t>were:</w:t>
      </w:r>
    </w:p>
    <w:p w:rsidR="0014698E" w:rsidRPr="00644691" w:rsidRDefault="0014698E" w:rsidP="00B91468">
      <w:pPr>
        <w:pStyle w:val="ListParagraph"/>
        <w:numPr>
          <w:ilvl w:val="0"/>
          <w:numId w:val="9"/>
        </w:numPr>
        <w:ind w:left="998" w:hanging="221"/>
      </w:pPr>
      <w:r w:rsidRPr="00644691">
        <w:t xml:space="preserve">The use of an epidemiological approach to estimate the financial impacts of listing dapagliflozin for </w:t>
      </w:r>
      <w:r w:rsidR="00960E2D" w:rsidRPr="00644691">
        <w:t>HFrEF</w:t>
      </w:r>
      <w:r w:rsidR="00227096" w:rsidRPr="00644691">
        <w:t xml:space="preserve"> (previously a mixed epidemiological and market share approach)</w:t>
      </w:r>
      <w:r w:rsidRPr="00644691">
        <w:t>.</w:t>
      </w:r>
    </w:p>
    <w:p w:rsidR="0014698E" w:rsidRPr="00644691" w:rsidRDefault="0014698E" w:rsidP="00B91468">
      <w:pPr>
        <w:pStyle w:val="ListParagraph"/>
        <w:numPr>
          <w:ilvl w:val="0"/>
          <w:numId w:val="9"/>
        </w:numPr>
        <w:ind w:left="998" w:hanging="221"/>
      </w:pPr>
      <w:r w:rsidRPr="00644691">
        <w:t xml:space="preserve">Updates to the epidemiological inputs used to derive the financial impacts, including the estimated Australian adult heart failure prevalence (increased from 1.5% to 2.199%); the proportion of patients with </w:t>
      </w:r>
      <w:r w:rsidR="00960E2D" w:rsidRPr="00644691">
        <w:t>HFrEF</w:t>
      </w:r>
      <w:r w:rsidRPr="00644691">
        <w:t xml:space="preserve"> (reduced from 64% to 57%); the proportion of patients receiving optimised standard care (reduced from 95% to </w:t>
      </w:r>
      <w:r w:rsidRPr="00644691">
        <w:lastRenderedPageBreak/>
        <w:t>90%); the proportion of patients not already taking an SGLT2 inhibitor (reduced from 88.4% to 80.0%); the dapagliflozin uptake rates (</w:t>
      </w:r>
      <w:r w:rsidR="00BB0C56">
        <w:rPr>
          <w:noProof/>
          <w:color w:val="000000"/>
          <w:highlight w:val="black"/>
        </w:rPr>
        <w:t>'''''</w:t>
      </w:r>
      <w:r w:rsidRPr="00644691">
        <w:t xml:space="preserve">% in Year 1 to </w:t>
      </w:r>
      <w:r w:rsidR="00BB0C56">
        <w:rPr>
          <w:noProof/>
          <w:color w:val="000000"/>
          <w:highlight w:val="black"/>
        </w:rPr>
        <w:t>'''''</w:t>
      </w:r>
      <w:r w:rsidRPr="00644691">
        <w:t>% in Year</w:t>
      </w:r>
      <w:r w:rsidR="00993987" w:rsidRPr="00644691">
        <w:t> </w:t>
      </w:r>
      <w:r w:rsidRPr="00644691">
        <w:t xml:space="preserve">6; increased from 5% in Year 1 to </w:t>
      </w:r>
      <w:r w:rsidR="00035073">
        <w:t>4</w:t>
      </w:r>
      <w:r w:rsidRPr="00644691">
        <w:t>2% in Year 6); and the dapagliflozin compliance rate (reduced from 95% to 85%).</w:t>
      </w:r>
    </w:p>
    <w:p w:rsidR="0014698E" w:rsidRPr="00644691" w:rsidRDefault="0014698E" w:rsidP="00B91468">
      <w:pPr>
        <w:pStyle w:val="ListBullet"/>
        <w:numPr>
          <w:ilvl w:val="0"/>
          <w:numId w:val="9"/>
        </w:numPr>
        <w:spacing w:after="120"/>
        <w:ind w:left="998" w:hanging="221"/>
      </w:pPr>
      <w:r w:rsidRPr="00644691">
        <w:t>Removal of PBS and MBS cost offsets associated with displaced sacubitril/valsartan prescriptions.</w:t>
      </w:r>
    </w:p>
    <w:p w:rsidR="00767B08" w:rsidRPr="00644691" w:rsidRDefault="00767B08" w:rsidP="00767B08">
      <w:pPr>
        <w:pStyle w:val="ExecSumBodyText"/>
      </w:pPr>
      <w:r w:rsidRPr="00644691">
        <w:t>Key inputs used to derive the financial estimates are presented in the table below.</w:t>
      </w:r>
      <w:r w:rsidR="00AF0060" w:rsidRPr="00644691">
        <w:t xml:space="preserve"> </w:t>
      </w:r>
    </w:p>
    <w:p w:rsidR="00E42F73" w:rsidRPr="00644691" w:rsidRDefault="00E42F73" w:rsidP="00EB04BB">
      <w:pPr>
        <w:pStyle w:val="TableFigureCaption"/>
      </w:pPr>
      <w:bookmarkStart w:id="45" w:name="_Ref79050604"/>
      <w:r w:rsidRPr="00644691">
        <w:t xml:space="preserve">Table </w:t>
      </w:r>
      <w:r w:rsidR="000C6AFA">
        <w:rPr>
          <w:noProof/>
        </w:rPr>
        <w:t>13</w:t>
      </w:r>
      <w:bookmarkEnd w:id="45"/>
      <w:r w:rsidRPr="00644691">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2694"/>
        <w:gridCol w:w="5194"/>
      </w:tblGrid>
      <w:tr w:rsidR="00E42F73" w:rsidRPr="00644691" w:rsidTr="00B8621D">
        <w:trPr>
          <w:tblHeader/>
        </w:trPr>
        <w:tc>
          <w:tcPr>
            <w:tcW w:w="626" w:type="pct"/>
            <w:shd w:val="clear" w:color="auto" w:fill="auto"/>
            <w:vAlign w:val="center"/>
          </w:tcPr>
          <w:p w:rsidR="00E42F73" w:rsidRPr="00644691" w:rsidRDefault="004658B5" w:rsidP="00EB04BB">
            <w:pPr>
              <w:pStyle w:val="Tableheadingrow"/>
              <w:rPr>
                <w:lang w:val="en-AU"/>
              </w:rPr>
            </w:pPr>
            <w:r w:rsidRPr="00644691">
              <w:rPr>
                <w:lang w:val="en-AU"/>
              </w:rPr>
              <w:t>Parameter</w:t>
            </w:r>
          </w:p>
        </w:tc>
        <w:tc>
          <w:tcPr>
            <w:tcW w:w="1494" w:type="pct"/>
            <w:shd w:val="clear" w:color="auto" w:fill="auto"/>
            <w:vAlign w:val="center"/>
          </w:tcPr>
          <w:p w:rsidR="00E42F73" w:rsidRPr="00644691" w:rsidRDefault="004658B5" w:rsidP="00EB04BB">
            <w:pPr>
              <w:pStyle w:val="Tableheadingrow"/>
              <w:jc w:val="center"/>
              <w:rPr>
                <w:lang w:val="en-AU"/>
              </w:rPr>
            </w:pPr>
            <w:r w:rsidRPr="00644691">
              <w:rPr>
                <w:lang w:val="en-AU"/>
              </w:rPr>
              <w:t>Value applied and source</w:t>
            </w:r>
          </w:p>
        </w:tc>
        <w:tc>
          <w:tcPr>
            <w:tcW w:w="2880" w:type="pct"/>
            <w:shd w:val="clear" w:color="auto" w:fill="auto"/>
            <w:vAlign w:val="center"/>
          </w:tcPr>
          <w:p w:rsidR="00E42F73" w:rsidRPr="00644691" w:rsidRDefault="004658B5" w:rsidP="00EB04BB">
            <w:pPr>
              <w:pStyle w:val="Tableheadingrow"/>
              <w:jc w:val="center"/>
              <w:rPr>
                <w:lang w:val="en-AU"/>
              </w:rPr>
            </w:pPr>
            <w:r w:rsidRPr="00644691">
              <w:rPr>
                <w:lang w:val="en-AU"/>
              </w:rPr>
              <w:t>Comment</w:t>
            </w:r>
            <w:r w:rsidR="00E52404" w:rsidRPr="00644691">
              <w:rPr>
                <w:lang w:val="en-AU"/>
              </w:rPr>
              <w:t xml:space="preserve"> </w:t>
            </w:r>
          </w:p>
        </w:tc>
      </w:tr>
      <w:tr w:rsidR="00E42F73" w:rsidRPr="00644691" w:rsidTr="00B8621D">
        <w:tc>
          <w:tcPr>
            <w:tcW w:w="626" w:type="pct"/>
            <w:shd w:val="clear" w:color="auto" w:fill="auto"/>
            <w:vAlign w:val="center"/>
          </w:tcPr>
          <w:p w:rsidR="00E42F73" w:rsidRPr="00644691" w:rsidRDefault="00793996" w:rsidP="00EB04BB">
            <w:pPr>
              <w:pStyle w:val="TableText"/>
            </w:pPr>
            <w:r w:rsidRPr="00644691">
              <w:t>Australian p</w:t>
            </w:r>
            <w:r w:rsidR="00CF2F6A" w:rsidRPr="00644691">
              <w:t>revalen</w:t>
            </w:r>
            <w:r w:rsidRPr="00644691">
              <w:t>ce</w:t>
            </w:r>
            <w:r w:rsidR="00CF2F6A" w:rsidRPr="00644691">
              <w:t xml:space="preserve"> of HF</w:t>
            </w:r>
          </w:p>
        </w:tc>
        <w:tc>
          <w:tcPr>
            <w:tcW w:w="1494" w:type="pct"/>
            <w:shd w:val="clear" w:color="auto" w:fill="auto"/>
            <w:vAlign w:val="center"/>
          </w:tcPr>
          <w:p w:rsidR="00E42F73" w:rsidRPr="00644691" w:rsidRDefault="00CF2F6A" w:rsidP="00EB04BB">
            <w:pPr>
              <w:pStyle w:val="TableText"/>
            </w:pPr>
            <w:r w:rsidRPr="00644691">
              <w:t>Adult prevalence of 2.199% based on the SHAPE study (Liew et al., 2020</w:t>
            </w:r>
            <w:r w:rsidR="00A5101B" w:rsidRPr="00644691">
              <w:t>; N=12,968</w:t>
            </w:r>
            <w:r w:rsidR="00353460" w:rsidRPr="00644691">
              <w:t>)</w:t>
            </w:r>
            <w:r w:rsidR="00210499" w:rsidRPr="00644691">
              <w:t>.</w:t>
            </w:r>
          </w:p>
        </w:tc>
        <w:tc>
          <w:tcPr>
            <w:tcW w:w="2880" w:type="pct"/>
            <w:shd w:val="clear" w:color="auto" w:fill="auto"/>
            <w:vAlign w:val="center"/>
          </w:tcPr>
          <w:p w:rsidR="00E42F73" w:rsidRPr="00644691" w:rsidRDefault="00793996" w:rsidP="00EB04BB">
            <w:pPr>
              <w:pStyle w:val="TableText"/>
            </w:pPr>
            <w:r w:rsidRPr="00644691">
              <w:t>Prevalence estimate increased from the November 2020 submission prevalence estimate of 1.5% (midpoint of 1.0% and 2.0% reported in a systematic review reported by Sahle et al., 2016).</w:t>
            </w:r>
          </w:p>
        </w:tc>
      </w:tr>
      <w:tr w:rsidR="00793996" w:rsidRPr="00644691" w:rsidTr="00B8621D">
        <w:tc>
          <w:tcPr>
            <w:tcW w:w="626" w:type="pct"/>
            <w:shd w:val="clear" w:color="auto" w:fill="auto"/>
            <w:vAlign w:val="center"/>
          </w:tcPr>
          <w:p w:rsidR="00793996" w:rsidRPr="00644691" w:rsidRDefault="00793996" w:rsidP="00EB04BB">
            <w:pPr>
              <w:pStyle w:val="TableText"/>
            </w:pPr>
            <w:r w:rsidRPr="00644691">
              <w:t xml:space="preserve">Proportion of patients with </w:t>
            </w:r>
            <w:r w:rsidR="00960E2D" w:rsidRPr="00644691">
              <w:t>HFrEF</w:t>
            </w:r>
          </w:p>
        </w:tc>
        <w:tc>
          <w:tcPr>
            <w:tcW w:w="1494" w:type="pct"/>
            <w:shd w:val="clear" w:color="auto" w:fill="auto"/>
            <w:vAlign w:val="center"/>
          </w:tcPr>
          <w:p w:rsidR="00793996" w:rsidRPr="00644691" w:rsidRDefault="00793996" w:rsidP="00EB04BB">
            <w:pPr>
              <w:pStyle w:val="TableText"/>
            </w:pPr>
            <w:r w:rsidRPr="00644691">
              <w:t>57%; sponsor assumption.</w:t>
            </w:r>
          </w:p>
        </w:tc>
        <w:tc>
          <w:tcPr>
            <w:tcW w:w="2880" w:type="pct"/>
            <w:vAlign w:val="center"/>
          </w:tcPr>
          <w:p w:rsidR="00793996" w:rsidRPr="00644691" w:rsidRDefault="00793996" w:rsidP="00EB04BB">
            <w:pPr>
              <w:pStyle w:val="TableText"/>
            </w:pPr>
            <w:r w:rsidRPr="00644691">
              <w:rPr>
                <w:iCs/>
              </w:rPr>
              <w:t xml:space="preserve">Reduced from the November 2020 submission estimate of 64% (Adabag et al., 2012). </w:t>
            </w:r>
            <w:r w:rsidRPr="00644691">
              <w:t>DUSC previously noted that data from an analysis of the SHAPE study suggest</w:t>
            </w:r>
            <w:r w:rsidR="00993987" w:rsidRPr="00644691">
              <w:t>ed</w:t>
            </w:r>
            <w:r w:rsidRPr="00644691">
              <w:t xml:space="preserve"> that 62% of heart failure patients may be </w:t>
            </w:r>
            <w:r w:rsidR="00960E2D" w:rsidRPr="00644691">
              <w:t>HFrEF</w:t>
            </w:r>
            <w:r w:rsidRPr="00644691">
              <w:t xml:space="preserve"> and data from the SNAPSHOT-HF study suggest</w:t>
            </w:r>
            <w:r w:rsidR="00993987" w:rsidRPr="00644691">
              <w:t>ed</w:t>
            </w:r>
            <w:r w:rsidRPr="00644691">
              <w:t xml:space="preserve"> 58% of acute heart failure admissions were </w:t>
            </w:r>
            <w:r w:rsidR="00960E2D" w:rsidRPr="00644691">
              <w:t>HFrEF</w:t>
            </w:r>
            <w:r w:rsidR="00132430" w:rsidRPr="00644691">
              <w:t xml:space="preserve"> (</w:t>
            </w:r>
            <w:r w:rsidR="001A74BF" w:rsidRPr="00644691">
              <w:t>paragraph</w:t>
            </w:r>
            <w:r w:rsidR="00132430" w:rsidRPr="00644691">
              <w:t xml:space="preserve"> 6.60, dapagliflozin, </w:t>
            </w:r>
            <w:r w:rsidR="00C5400D" w:rsidRPr="00644691">
              <w:t>PSD</w:t>
            </w:r>
            <w:r w:rsidR="00132430" w:rsidRPr="00644691">
              <w:t>, November 2020 PBAC meeting).</w:t>
            </w:r>
            <w:r w:rsidRPr="00644691">
              <w:t xml:space="preserve"> </w:t>
            </w:r>
          </w:p>
        </w:tc>
      </w:tr>
      <w:tr w:rsidR="00793996" w:rsidRPr="00644691" w:rsidTr="00B8621D">
        <w:tc>
          <w:tcPr>
            <w:tcW w:w="626" w:type="pct"/>
            <w:shd w:val="clear" w:color="auto" w:fill="auto"/>
            <w:vAlign w:val="center"/>
          </w:tcPr>
          <w:p w:rsidR="00793996" w:rsidRPr="00644691" w:rsidRDefault="00132430" w:rsidP="00EB04BB">
            <w:pPr>
              <w:pStyle w:val="TableText"/>
            </w:pPr>
            <w:r w:rsidRPr="00644691">
              <w:t>Proportion of patients with NYHA Class II-IV</w:t>
            </w:r>
          </w:p>
        </w:tc>
        <w:tc>
          <w:tcPr>
            <w:tcW w:w="1494" w:type="pct"/>
            <w:shd w:val="clear" w:color="auto" w:fill="auto"/>
            <w:vAlign w:val="center"/>
          </w:tcPr>
          <w:p w:rsidR="00793996" w:rsidRPr="00644691" w:rsidRDefault="00132430" w:rsidP="00EB04BB">
            <w:pPr>
              <w:pStyle w:val="TableText"/>
            </w:pPr>
            <w:r w:rsidRPr="00644691">
              <w:t>95%</w:t>
            </w:r>
            <w:r w:rsidR="000B7894" w:rsidRPr="00644691">
              <w:t>; b</w:t>
            </w:r>
            <w:r w:rsidRPr="00644691">
              <w:t xml:space="preserve">ased on the proportion of patients with Class II-IV </w:t>
            </w:r>
            <w:r w:rsidR="00B8621D" w:rsidRPr="00644691">
              <w:t>HF</w:t>
            </w:r>
            <w:r w:rsidR="00993987" w:rsidRPr="00644691">
              <w:t xml:space="preserve"> </w:t>
            </w:r>
            <w:r w:rsidRPr="00644691">
              <w:t>used in the July 2016 sacubitril/valsartan resubmission.</w:t>
            </w:r>
          </w:p>
        </w:tc>
        <w:tc>
          <w:tcPr>
            <w:tcW w:w="2880" w:type="pct"/>
            <w:shd w:val="clear" w:color="auto" w:fill="auto"/>
            <w:vAlign w:val="center"/>
          </w:tcPr>
          <w:p w:rsidR="00793996" w:rsidRPr="00644691" w:rsidRDefault="000B7894" w:rsidP="00EB04BB">
            <w:pPr>
              <w:pStyle w:val="TableText"/>
            </w:pPr>
            <w:r w:rsidRPr="00644691">
              <w:t>Unchanged from the November 2020 submission.</w:t>
            </w:r>
          </w:p>
        </w:tc>
      </w:tr>
      <w:tr w:rsidR="00793996" w:rsidRPr="00644691" w:rsidTr="00B8621D">
        <w:tc>
          <w:tcPr>
            <w:tcW w:w="626" w:type="pct"/>
            <w:shd w:val="clear" w:color="auto" w:fill="auto"/>
            <w:vAlign w:val="center"/>
          </w:tcPr>
          <w:p w:rsidR="00793996" w:rsidRPr="00644691" w:rsidRDefault="000B7894" w:rsidP="00EB04BB">
            <w:pPr>
              <w:pStyle w:val="TableText"/>
            </w:pPr>
            <w:r w:rsidRPr="00644691">
              <w:t>Proportion of patients receiving optimised standard care</w:t>
            </w:r>
          </w:p>
        </w:tc>
        <w:tc>
          <w:tcPr>
            <w:tcW w:w="1494" w:type="pct"/>
            <w:shd w:val="clear" w:color="auto" w:fill="auto"/>
            <w:vAlign w:val="center"/>
          </w:tcPr>
          <w:p w:rsidR="00793996" w:rsidRPr="00644691" w:rsidRDefault="000B7894" w:rsidP="00EB04BB">
            <w:pPr>
              <w:pStyle w:val="TableText"/>
            </w:pPr>
            <w:r w:rsidRPr="00644691">
              <w:t>90%; sponsor assumption.</w:t>
            </w:r>
          </w:p>
        </w:tc>
        <w:tc>
          <w:tcPr>
            <w:tcW w:w="2880" w:type="pct"/>
            <w:shd w:val="clear" w:color="auto" w:fill="auto"/>
            <w:vAlign w:val="center"/>
          </w:tcPr>
          <w:p w:rsidR="00793996" w:rsidRPr="00644691" w:rsidRDefault="000B7894" w:rsidP="00EB04BB">
            <w:pPr>
              <w:pStyle w:val="TableText"/>
              <w:rPr>
                <w:i/>
                <w:iCs/>
              </w:rPr>
            </w:pPr>
            <w:r w:rsidRPr="00644691">
              <w:t xml:space="preserve">Reduced from the November 2020 submission estimate of 95% (based on the assumption that the proportion of patients not receiving standard care would be less than 100% </w:t>
            </w:r>
            <w:r w:rsidR="00210499" w:rsidRPr="00644691">
              <w:t xml:space="preserve">due to </w:t>
            </w:r>
            <w:r w:rsidRPr="00644691">
              <w:t>inability to tolerate standard care treatments, or choice not to be treated with standard care). This proportion was considered uncertain.</w:t>
            </w:r>
            <w:r w:rsidR="003447E2" w:rsidRPr="00644691">
              <w:t xml:space="preserve"> The proposed restriction includes treatment of patients who are contraindicated or intolerant to standard care therapies.</w:t>
            </w:r>
            <w:r w:rsidR="00E52404" w:rsidRPr="00644691">
              <w:t xml:space="preserve"> </w:t>
            </w:r>
            <w:r w:rsidR="00E52404" w:rsidRPr="00644691">
              <w:rPr>
                <w:i/>
                <w:iCs/>
              </w:rPr>
              <w:t>The PBAC view is in section 7.</w:t>
            </w:r>
          </w:p>
        </w:tc>
      </w:tr>
      <w:tr w:rsidR="00793996" w:rsidRPr="00644691" w:rsidTr="00B8621D">
        <w:tc>
          <w:tcPr>
            <w:tcW w:w="626" w:type="pct"/>
            <w:shd w:val="clear" w:color="auto" w:fill="auto"/>
            <w:vAlign w:val="center"/>
          </w:tcPr>
          <w:p w:rsidR="00793996" w:rsidRPr="00644691" w:rsidRDefault="000B7894" w:rsidP="00AB05E2">
            <w:pPr>
              <w:pStyle w:val="TableText"/>
            </w:pPr>
            <w:r w:rsidRPr="00644691">
              <w:t xml:space="preserve">Proportion of patients not receiving an SGLT2 </w:t>
            </w:r>
            <w:r w:rsidR="00AB05E2">
              <w:t xml:space="preserve">inhibitor </w:t>
            </w:r>
            <w:r w:rsidRPr="00644691">
              <w:t xml:space="preserve">for </w:t>
            </w:r>
            <w:r w:rsidR="00AB05E2">
              <w:t>T2DM</w:t>
            </w:r>
          </w:p>
        </w:tc>
        <w:tc>
          <w:tcPr>
            <w:tcW w:w="1494" w:type="pct"/>
            <w:shd w:val="clear" w:color="auto" w:fill="auto"/>
            <w:vAlign w:val="center"/>
          </w:tcPr>
          <w:p w:rsidR="00793996" w:rsidRPr="00644691" w:rsidRDefault="000B7894" w:rsidP="00EB04BB">
            <w:pPr>
              <w:pStyle w:val="TableText"/>
            </w:pPr>
            <w:r w:rsidRPr="00644691">
              <w:t xml:space="preserve">80%; </w:t>
            </w:r>
            <w:r w:rsidR="00720519" w:rsidRPr="00644691">
              <w:t>s</w:t>
            </w:r>
            <w:r w:rsidRPr="00644691">
              <w:t>ponsor assumption.</w:t>
            </w:r>
          </w:p>
        </w:tc>
        <w:tc>
          <w:tcPr>
            <w:tcW w:w="2880" w:type="pct"/>
            <w:shd w:val="clear" w:color="auto" w:fill="auto"/>
            <w:vAlign w:val="center"/>
          </w:tcPr>
          <w:p w:rsidR="00793996" w:rsidRPr="00644691" w:rsidRDefault="000B7894" w:rsidP="00AB05E2">
            <w:pPr>
              <w:pStyle w:val="TableText"/>
            </w:pPr>
            <w:r w:rsidRPr="00644691">
              <w:t>Reduced from the November 2020 submission estimate of 88.4% (derived from a sponsor-commissioned 10% Medicare analysis of patients coadministering sacubitril/valsartan and an SGLT2 inhibitor).</w:t>
            </w:r>
            <w:r w:rsidR="00CA7DBE" w:rsidRPr="00644691">
              <w:t xml:space="preserve"> This proportion was considered uncertain</w:t>
            </w:r>
            <w:r w:rsidR="00B72E29" w:rsidRPr="00644691">
              <w:t xml:space="preserve"> and may be impacted by changes to dapagliflozin (and SGLT2 inhibitor) positioning in </w:t>
            </w:r>
            <w:r w:rsidR="00AB05E2">
              <w:t>T2DM</w:t>
            </w:r>
            <w:r w:rsidR="00AB05E2" w:rsidRPr="00644691">
              <w:t xml:space="preserve"> </w:t>
            </w:r>
            <w:r w:rsidR="00B72E29" w:rsidRPr="00644691">
              <w:t>treatment guidelines.</w:t>
            </w:r>
            <w:r w:rsidR="00E52404" w:rsidRPr="00644691">
              <w:t xml:space="preserve"> </w:t>
            </w:r>
            <w:r w:rsidR="00E52404" w:rsidRPr="00644691">
              <w:rPr>
                <w:i/>
                <w:iCs/>
              </w:rPr>
              <w:t>The PBAC view is in section 7.</w:t>
            </w:r>
          </w:p>
        </w:tc>
      </w:tr>
      <w:tr w:rsidR="00793996" w:rsidRPr="00644691" w:rsidTr="00B8621D">
        <w:tc>
          <w:tcPr>
            <w:tcW w:w="626" w:type="pct"/>
            <w:shd w:val="clear" w:color="auto" w:fill="auto"/>
            <w:vAlign w:val="center"/>
          </w:tcPr>
          <w:p w:rsidR="00793996" w:rsidRPr="00644691" w:rsidRDefault="00720519" w:rsidP="00EB04BB">
            <w:pPr>
              <w:pStyle w:val="TableText"/>
            </w:pPr>
            <w:r w:rsidRPr="00644691">
              <w:t>Dapagliflozin uptake</w:t>
            </w:r>
          </w:p>
        </w:tc>
        <w:tc>
          <w:tcPr>
            <w:tcW w:w="1494" w:type="pct"/>
            <w:shd w:val="clear" w:color="auto" w:fill="auto"/>
            <w:vAlign w:val="center"/>
          </w:tcPr>
          <w:p w:rsidR="00793996" w:rsidRPr="00644691" w:rsidRDefault="00720519" w:rsidP="00EB04BB">
            <w:pPr>
              <w:pStyle w:val="TableText"/>
            </w:pPr>
            <w:r w:rsidRPr="00644691">
              <w:t xml:space="preserve">Yr 1: </w:t>
            </w:r>
            <w:r w:rsidR="00BB0C56">
              <w:rPr>
                <w:noProof/>
                <w:color w:val="000000"/>
                <w:highlight w:val="black"/>
              </w:rPr>
              <w:t>''''''</w:t>
            </w:r>
            <w:r w:rsidRPr="00644691">
              <w:t xml:space="preserve">%; Yr 2: </w:t>
            </w:r>
            <w:r w:rsidR="00BB0C56">
              <w:rPr>
                <w:noProof/>
                <w:color w:val="000000"/>
                <w:highlight w:val="black"/>
              </w:rPr>
              <w:t>'''''</w:t>
            </w:r>
            <w:r w:rsidRPr="00644691">
              <w:t xml:space="preserve">%; Yr 3: </w:t>
            </w:r>
            <w:r w:rsidR="00BB0C56">
              <w:rPr>
                <w:noProof/>
                <w:color w:val="000000"/>
                <w:highlight w:val="black"/>
              </w:rPr>
              <w:t>'''''''</w:t>
            </w:r>
            <w:r w:rsidRPr="00644691">
              <w:t>%; Yr</w:t>
            </w:r>
            <w:r w:rsidR="00993987" w:rsidRPr="00644691">
              <w:t> </w:t>
            </w:r>
            <w:r w:rsidRPr="00644691">
              <w:t xml:space="preserve">4: </w:t>
            </w:r>
            <w:r w:rsidR="00BB0C56">
              <w:rPr>
                <w:noProof/>
                <w:color w:val="000000"/>
                <w:highlight w:val="black"/>
              </w:rPr>
              <w:t>'''''</w:t>
            </w:r>
            <w:r w:rsidRPr="00644691">
              <w:t xml:space="preserve">%; Yr 5: </w:t>
            </w:r>
            <w:r w:rsidR="00BB0C56">
              <w:rPr>
                <w:noProof/>
                <w:color w:val="000000"/>
                <w:highlight w:val="black"/>
              </w:rPr>
              <w:t>'''''</w:t>
            </w:r>
            <w:r w:rsidRPr="00644691">
              <w:t xml:space="preserve">%; Yr 6: </w:t>
            </w:r>
            <w:r w:rsidR="00BB0C56">
              <w:rPr>
                <w:noProof/>
                <w:color w:val="000000"/>
                <w:highlight w:val="black"/>
              </w:rPr>
              <w:t>'''''''</w:t>
            </w:r>
            <w:r w:rsidRPr="00644691">
              <w:t>%; sponsor assumption.</w:t>
            </w:r>
          </w:p>
        </w:tc>
        <w:tc>
          <w:tcPr>
            <w:tcW w:w="2880" w:type="pct"/>
            <w:shd w:val="clear" w:color="auto" w:fill="auto"/>
            <w:vAlign w:val="center"/>
          </w:tcPr>
          <w:p w:rsidR="00793996" w:rsidRPr="00644691" w:rsidRDefault="00720519" w:rsidP="00EB04BB">
            <w:pPr>
              <w:pStyle w:val="TableText"/>
            </w:pPr>
            <w:r w:rsidRPr="00644691">
              <w:t>The November 2020 submission assumed uptake rates of Yr 1: 5%; Yr</w:t>
            </w:r>
            <w:r w:rsidR="00993987" w:rsidRPr="00644691">
              <w:t> </w:t>
            </w:r>
            <w:r w:rsidRPr="00644691">
              <w:t>2: 18%; Yr 3: 22%; Yr 4: 28%; Yr 5: 35%; Yr 6: 42%. DUSC previously noted that uptake was likely to be higher as dapagliflozin is already well-known to prescribers with a favourable safety profile relative to sacubitril/valsartan</w:t>
            </w:r>
            <w:r w:rsidR="00B72E29" w:rsidRPr="00644691">
              <w:t xml:space="preserve"> (</w:t>
            </w:r>
            <w:r w:rsidR="001A74BF" w:rsidRPr="00644691">
              <w:t>paragraph</w:t>
            </w:r>
            <w:r w:rsidR="00B72E29" w:rsidRPr="00644691">
              <w:t xml:space="preserve"> 6.60, dapagliflozin, </w:t>
            </w:r>
            <w:r w:rsidR="00C5400D" w:rsidRPr="00644691">
              <w:t>PSD</w:t>
            </w:r>
            <w:r w:rsidR="00B72E29" w:rsidRPr="00644691">
              <w:t>, November 2020 PBAC meeting)</w:t>
            </w:r>
            <w:r w:rsidRPr="00644691">
              <w:t xml:space="preserve">. </w:t>
            </w:r>
            <w:r w:rsidR="00B72E29" w:rsidRPr="00644691">
              <w:t>The resubmission u</w:t>
            </w:r>
            <w:r w:rsidRPr="00644691">
              <w:t>ptake rates were considered uncertain.</w:t>
            </w:r>
            <w:r w:rsidR="00E52404" w:rsidRPr="00644691">
              <w:t xml:space="preserve"> </w:t>
            </w:r>
            <w:r w:rsidR="00E52404" w:rsidRPr="00644691">
              <w:rPr>
                <w:i/>
                <w:iCs/>
              </w:rPr>
              <w:t>The PBAC view is in section 7.</w:t>
            </w:r>
          </w:p>
        </w:tc>
      </w:tr>
      <w:tr w:rsidR="00793996" w:rsidRPr="00644691" w:rsidTr="00B8621D">
        <w:tc>
          <w:tcPr>
            <w:tcW w:w="626" w:type="pct"/>
            <w:tcBorders>
              <w:bottom w:val="single" w:sz="4" w:space="0" w:color="auto"/>
            </w:tcBorders>
            <w:shd w:val="clear" w:color="auto" w:fill="auto"/>
            <w:vAlign w:val="center"/>
          </w:tcPr>
          <w:p w:rsidR="00793996" w:rsidRPr="00644691" w:rsidRDefault="00720519" w:rsidP="00EB04BB">
            <w:pPr>
              <w:pStyle w:val="TableText"/>
            </w:pPr>
            <w:r w:rsidRPr="00644691">
              <w:t>Dapagliflozin compliance</w:t>
            </w:r>
          </w:p>
        </w:tc>
        <w:tc>
          <w:tcPr>
            <w:tcW w:w="1494" w:type="pct"/>
            <w:tcBorders>
              <w:bottom w:val="single" w:sz="4" w:space="0" w:color="auto"/>
            </w:tcBorders>
            <w:shd w:val="clear" w:color="auto" w:fill="auto"/>
            <w:vAlign w:val="center"/>
          </w:tcPr>
          <w:p w:rsidR="00793996" w:rsidRPr="00644691" w:rsidRDefault="00720519" w:rsidP="00EB04BB">
            <w:pPr>
              <w:pStyle w:val="TableText"/>
            </w:pPr>
            <w:r w:rsidRPr="00644691">
              <w:t>85%; sponsor assumption.</w:t>
            </w:r>
          </w:p>
        </w:tc>
        <w:tc>
          <w:tcPr>
            <w:tcW w:w="2880" w:type="pct"/>
            <w:tcBorders>
              <w:bottom w:val="single" w:sz="4" w:space="0" w:color="auto"/>
            </w:tcBorders>
            <w:shd w:val="clear" w:color="auto" w:fill="auto"/>
            <w:vAlign w:val="center"/>
          </w:tcPr>
          <w:p w:rsidR="00793996" w:rsidRPr="00644691" w:rsidRDefault="00720519" w:rsidP="00EB04BB">
            <w:pPr>
              <w:pStyle w:val="TableText"/>
            </w:pPr>
            <w:r w:rsidRPr="00644691">
              <w:t>Reduced from November 2020 estimate of 95%. Compliance rates were considered uncertain. The mean compliance reported in the dapagliflozin arm of the DAPA-HF trial was 97%.</w:t>
            </w:r>
            <w:r w:rsidR="00E52404" w:rsidRPr="00644691">
              <w:t xml:space="preserve"> </w:t>
            </w:r>
            <w:r w:rsidR="00E52404" w:rsidRPr="00644691">
              <w:rPr>
                <w:i/>
                <w:iCs/>
              </w:rPr>
              <w:t>The PBAC view is in section 7.</w:t>
            </w:r>
          </w:p>
        </w:tc>
      </w:tr>
    </w:tbl>
    <w:p w:rsidR="00720519" w:rsidRPr="00644691" w:rsidRDefault="00720519" w:rsidP="00720519">
      <w:pPr>
        <w:pStyle w:val="TableFigureFooter"/>
      </w:pPr>
      <w:r w:rsidRPr="00644691">
        <w:t>Source: Figure 4.1.2, p182; Table 4.2-2, pp185-186 of the resubmission.</w:t>
      </w:r>
    </w:p>
    <w:p w:rsidR="00E42F73" w:rsidRPr="00644691" w:rsidRDefault="00720519" w:rsidP="00720519">
      <w:pPr>
        <w:pStyle w:val="TableFigureFooter"/>
      </w:pPr>
      <w:r w:rsidRPr="00644691">
        <w:t xml:space="preserve">DUSC, drug utilisation sub-committee; HF, heart failure; </w:t>
      </w:r>
      <w:r w:rsidR="00960E2D" w:rsidRPr="00644691">
        <w:t>HFrEF</w:t>
      </w:r>
      <w:r w:rsidRPr="00644691">
        <w:t>, heart failure with reduced ejection fraction; SGLT2, sodium-glucose co-transporter 2; Yr, Year.</w:t>
      </w:r>
    </w:p>
    <w:p w:rsidR="00D937A5" w:rsidRPr="00644691" w:rsidRDefault="000C6AFA" w:rsidP="00D937A5">
      <w:pPr>
        <w:pStyle w:val="ExecSumBodyText"/>
        <w:numPr>
          <w:ilvl w:val="1"/>
          <w:numId w:val="1"/>
        </w:numPr>
      </w:pPr>
      <w:r w:rsidRPr="00644691">
        <w:lastRenderedPageBreak/>
        <w:t xml:space="preserve">Table </w:t>
      </w:r>
      <w:r>
        <w:rPr>
          <w:noProof/>
        </w:rPr>
        <w:t>14</w:t>
      </w:r>
      <w:r w:rsidR="000C79F9" w:rsidRPr="00644691">
        <w:t xml:space="preserve"> </w:t>
      </w:r>
      <w:r w:rsidR="00D937A5" w:rsidRPr="00644691">
        <w:t xml:space="preserve">presents the estimated net cost to the PBS/RPBS of listing dapagliflozin for </w:t>
      </w:r>
      <w:r w:rsidR="00960E2D" w:rsidRPr="00644691">
        <w:t>HFrEF</w:t>
      </w:r>
      <w:r w:rsidR="003576DA" w:rsidRPr="00644691">
        <w:t xml:space="preserve">, based on the resubmission’s DPMQ </w:t>
      </w:r>
      <w:r w:rsidR="00E15572" w:rsidRPr="00644691">
        <w:t>o</w:t>
      </w:r>
      <w:r w:rsidR="003576DA" w:rsidRPr="00644691">
        <w:t>f $</w:t>
      </w:r>
      <w:r w:rsidR="00BB0C56">
        <w:rPr>
          <w:noProof/>
          <w:color w:val="000000"/>
          <w:highlight w:val="black"/>
        </w:rPr>
        <w:t>''''''''''''</w:t>
      </w:r>
      <w:r w:rsidR="00D937A5" w:rsidRPr="00644691">
        <w:t>.</w:t>
      </w:r>
      <w:r w:rsidR="003576DA" w:rsidRPr="00644691">
        <w:t xml:space="preserve"> This table </w:t>
      </w:r>
      <w:r w:rsidR="00284A42" w:rsidRPr="00644691">
        <w:t>also shows</w:t>
      </w:r>
      <w:r w:rsidR="003576DA" w:rsidRPr="00644691">
        <w:t xml:space="preserve"> </w:t>
      </w:r>
      <w:r w:rsidR="00990519" w:rsidRPr="00644691">
        <w:t xml:space="preserve">the pre-PBAC response’s </w:t>
      </w:r>
      <w:r w:rsidR="003576DA" w:rsidRPr="00644691">
        <w:t>revised estimates based on the price of $</w:t>
      </w:r>
      <w:r w:rsidR="00BB0C56">
        <w:rPr>
          <w:noProof/>
          <w:color w:val="000000"/>
          <w:highlight w:val="black"/>
        </w:rPr>
        <w:t>''''''''''</w:t>
      </w:r>
      <w:r w:rsidR="003576DA" w:rsidRPr="00644691">
        <w:t>.</w:t>
      </w:r>
    </w:p>
    <w:p w:rsidR="00D937A5" w:rsidRPr="00644691" w:rsidRDefault="00D937A5" w:rsidP="00993987">
      <w:pPr>
        <w:pStyle w:val="TableFigureCaption"/>
      </w:pPr>
      <w:bookmarkStart w:id="46" w:name="_Ref69832639"/>
      <w:bookmarkStart w:id="47" w:name="_Ref74147429"/>
      <w:r w:rsidRPr="00644691">
        <w:t xml:space="preserve">Table </w:t>
      </w:r>
      <w:r w:rsidR="000C6AFA">
        <w:rPr>
          <w:noProof/>
        </w:rPr>
        <w:t>14</w:t>
      </w:r>
      <w:bookmarkEnd w:id="46"/>
      <w:r w:rsidRPr="00644691">
        <w:t>: Estimated net cost to the PBS/RPBS of listing dapagliflozin</w:t>
      </w:r>
      <w:r w:rsidR="0002268E" w:rsidRPr="00644691">
        <w:t xml:space="preserve"> for </w:t>
      </w:r>
      <w:r w:rsidR="00960E2D" w:rsidRPr="00644691">
        <w:t>HFrEF</w:t>
      </w:r>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053"/>
        <w:gridCol w:w="1055"/>
        <w:gridCol w:w="1055"/>
        <w:gridCol w:w="1055"/>
        <w:gridCol w:w="1055"/>
        <w:gridCol w:w="1055"/>
      </w:tblGrid>
      <w:tr w:rsidR="00D937A5" w:rsidRPr="00644691" w:rsidTr="005F2C3D">
        <w:tc>
          <w:tcPr>
            <w:tcW w:w="1491" w:type="pct"/>
          </w:tcPr>
          <w:p w:rsidR="00D937A5" w:rsidRPr="00644691" w:rsidRDefault="00D937A5" w:rsidP="00993987">
            <w:pPr>
              <w:pStyle w:val="TableText"/>
              <w:rPr>
                <w:b/>
                <w:szCs w:val="20"/>
              </w:rPr>
            </w:pPr>
          </w:p>
        </w:tc>
        <w:tc>
          <w:tcPr>
            <w:tcW w:w="584" w:type="pct"/>
            <w:vAlign w:val="bottom"/>
          </w:tcPr>
          <w:p w:rsidR="00D937A5" w:rsidRPr="00644691" w:rsidRDefault="00D937A5" w:rsidP="00603A86">
            <w:pPr>
              <w:keepNext/>
              <w:jc w:val="center"/>
              <w:rPr>
                <w:rFonts w:ascii="Arial Narrow" w:hAnsi="Arial Narrow"/>
                <w:b/>
                <w:sz w:val="20"/>
                <w:szCs w:val="20"/>
              </w:rPr>
            </w:pPr>
            <w:r w:rsidRPr="00644691">
              <w:rPr>
                <w:rFonts w:ascii="Arial Narrow" w:hAnsi="Arial Narrow"/>
                <w:b/>
                <w:bCs/>
                <w:snapToGrid w:val="0"/>
                <w:sz w:val="20"/>
                <w:szCs w:val="20"/>
              </w:rPr>
              <w:t>Year 1</w:t>
            </w:r>
          </w:p>
        </w:tc>
        <w:tc>
          <w:tcPr>
            <w:tcW w:w="585" w:type="pct"/>
            <w:vAlign w:val="bottom"/>
          </w:tcPr>
          <w:p w:rsidR="00D937A5" w:rsidRPr="00644691" w:rsidRDefault="00D937A5" w:rsidP="00603A86">
            <w:pPr>
              <w:keepNext/>
              <w:jc w:val="center"/>
              <w:rPr>
                <w:rFonts w:ascii="Arial Narrow" w:hAnsi="Arial Narrow"/>
                <w:b/>
                <w:sz w:val="20"/>
                <w:szCs w:val="20"/>
              </w:rPr>
            </w:pPr>
            <w:r w:rsidRPr="00644691">
              <w:rPr>
                <w:rFonts w:ascii="Arial Narrow" w:hAnsi="Arial Narrow"/>
                <w:b/>
                <w:bCs/>
                <w:snapToGrid w:val="0"/>
                <w:sz w:val="20"/>
                <w:szCs w:val="20"/>
              </w:rPr>
              <w:t>Year 2</w:t>
            </w:r>
          </w:p>
        </w:tc>
        <w:tc>
          <w:tcPr>
            <w:tcW w:w="585" w:type="pct"/>
            <w:vAlign w:val="bottom"/>
          </w:tcPr>
          <w:p w:rsidR="00D937A5" w:rsidRPr="00644691" w:rsidRDefault="00D937A5" w:rsidP="00993987">
            <w:pPr>
              <w:pStyle w:val="TableText"/>
              <w:jc w:val="center"/>
              <w:rPr>
                <w:b/>
                <w:szCs w:val="20"/>
              </w:rPr>
            </w:pPr>
            <w:r w:rsidRPr="00644691">
              <w:rPr>
                <w:rFonts w:eastAsia="Times New Roman" w:cs="Arial"/>
                <w:b/>
                <w:bCs w:val="0"/>
                <w:snapToGrid w:val="0"/>
                <w:szCs w:val="20"/>
              </w:rPr>
              <w:t>Year 3</w:t>
            </w:r>
          </w:p>
        </w:tc>
        <w:tc>
          <w:tcPr>
            <w:tcW w:w="585" w:type="pct"/>
            <w:vAlign w:val="bottom"/>
          </w:tcPr>
          <w:p w:rsidR="00D937A5" w:rsidRPr="00644691" w:rsidRDefault="00D937A5" w:rsidP="00603A86">
            <w:pPr>
              <w:keepNext/>
              <w:jc w:val="center"/>
              <w:rPr>
                <w:rFonts w:ascii="Arial Narrow" w:hAnsi="Arial Narrow"/>
                <w:b/>
                <w:sz w:val="20"/>
                <w:szCs w:val="20"/>
              </w:rPr>
            </w:pPr>
            <w:r w:rsidRPr="00644691">
              <w:rPr>
                <w:rFonts w:ascii="Arial Narrow" w:hAnsi="Arial Narrow"/>
                <w:b/>
                <w:bCs/>
                <w:snapToGrid w:val="0"/>
                <w:sz w:val="20"/>
                <w:szCs w:val="20"/>
              </w:rPr>
              <w:t>Year 4</w:t>
            </w:r>
          </w:p>
        </w:tc>
        <w:tc>
          <w:tcPr>
            <w:tcW w:w="585" w:type="pct"/>
            <w:vAlign w:val="bottom"/>
          </w:tcPr>
          <w:p w:rsidR="00D937A5" w:rsidRPr="00644691" w:rsidRDefault="00D937A5" w:rsidP="00603A86">
            <w:pPr>
              <w:keepNext/>
              <w:jc w:val="center"/>
              <w:rPr>
                <w:rFonts w:ascii="Arial Narrow" w:hAnsi="Arial Narrow"/>
                <w:b/>
                <w:sz w:val="20"/>
                <w:szCs w:val="20"/>
              </w:rPr>
            </w:pPr>
            <w:r w:rsidRPr="00644691">
              <w:rPr>
                <w:rFonts w:ascii="Arial Narrow" w:hAnsi="Arial Narrow"/>
                <w:b/>
                <w:bCs/>
                <w:snapToGrid w:val="0"/>
                <w:sz w:val="20"/>
                <w:szCs w:val="20"/>
              </w:rPr>
              <w:t>Year 5</w:t>
            </w:r>
          </w:p>
        </w:tc>
        <w:tc>
          <w:tcPr>
            <w:tcW w:w="585" w:type="pct"/>
          </w:tcPr>
          <w:p w:rsidR="00D937A5" w:rsidRPr="00644691" w:rsidRDefault="00D937A5" w:rsidP="00603A86">
            <w:pPr>
              <w:keepNext/>
              <w:jc w:val="center"/>
              <w:rPr>
                <w:rFonts w:ascii="Arial Narrow" w:hAnsi="Arial Narrow"/>
                <w:b/>
                <w:sz w:val="20"/>
                <w:szCs w:val="20"/>
              </w:rPr>
            </w:pPr>
            <w:r w:rsidRPr="00644691">
              <w:rPr>
                <w:rFonts w:ascii="Arial Narrow" w:hAnsi="Arial Narrow"/>
                <w:b/>
                <w:bCs/>
                <w:snapToGrid w:val="0"/>
                <w:sz w:val="20"/>
                <w:szCs w:val="20"/>
              </w:rPr>
              <w:t>Year 6</w:t>
            </w:r>
          </w:p>
        </w:tc>
      </w:tr>
      <w:tr w:rsidR="00D937A5" w:rsidRPr="00644691" w:rsidTr="005F2C3D">
        <w:tc>
          <w:tcPr>
            <w:tcW w:w="5000" w:type="pct"/>
            <w:gridSpan w:val="7"/>
          </w:tcPr>
          <w:p w:rsidR="00D937A5" w:rsidRPr="00644691" w:rsidRDefault="00D937A5" w:rsidP="00993987">
            <w:pPr>
              <w:pStyle w:val="TableText"/>
              <w:tabs>
                <w:tab w:val="left" w:pos="1035"/>
              </w:tabs>
              <w:jc w:val="both"/>
              <w:rPr>
                <w:b/>
                <w:szCs w:val="20"/>
              </w:rPr>
            </w:pPr>
            <w:r w:rsidRPr="00644691">
              <w:rPr>
                <w:b/>
                <w:szCs w:val="20"/>
              </w:rPr>
              <w:t>Eligible patients</w:t>
            </w:r>
          </w:p>
        </w:tc>
      </w:tr>
      <w:tr w:rsidR="00D937A5" w:rsidRPr="00644691" w:rsidTr="005F2C3D">
        <w:tc>
          <w:tcPr>
            <w:tcW w:w="1491" w:type="pct"/>
          </w:tcPr>
          <w:p w:rsidR="00D937A5" w:rsidRPr="00644691" w:rsidRDefault="00D937A5" w:rsidP="00993987">
            <w:pPr>
              <w:pStyle w:val="TableText"/>
              <w:rPr>
                <w:szCs w:val="20"/>
              </w:rPr>
            </w:pPr>
            <w:r w:rsidRPr="00644691">
              <w:rPr>
                <w:szCs w:val="20"/>
              </w:rPr>
              <w:t>Australian population ≥18 years</w:t>
            </w:r>
          </w:p>
        </w:tc>
        <w:tc>
          <w:tcPr>
            <w:tcW w:w="584" w:type="pct"/>
          </w:tcPr>
          <w:p w:rsidR="00D937A5" w:rsidRPr="00644691" w:rsidRDefault="00D937A5" w:rsidP="00993987">
            <w:pPr>
              <w:pStyle w:val="TableText"/>
              <w:jc w:val="center"/>
              <w:rPr>
                <w:b/>
                <w:szCs w:val="20"/>
              </w:rPr>
            </w:pPr>
            <w:r w:rsidRPr="00644691">
              <w:t xml:space="preserve">20,757,917 </w:t>
            </w:r>
          </w:p>
        </w:tc>
        <w:tc>
          <w:tcPr>
            <w:tcW w:w="585" w:type="pct"/>
          </w:tcPr>
          <w:p w:rsidR="00D937A5" w:rsidRPr="00644691" w:rsidRDefault="00D937A5" w:rsidP="00993987">
            <w:pPr>
              <w:pStyle w:val="TableText"/>
              <w:jc w:val="center"/>
              <w:rPr>
                <w:b/>
                <w:szCs w:val="20"/>
              </w:rPr>
            </w:pPr>
            <w:r w:rsidRPr="00644691">
              <w:t xml:space="preserve">21,082,471 </w:t>
            </w:r>
          </w:p>
        </w:tc>
        <w:tc>
          <w:tcPr>
            <w:tcW w:w="585" w:type="pct"/>
          </w:tcPr>
          <w:p w:rsidR="00D937A5" w:rsidRPr="00644691" w:rsidRDefault="00D937A5" w:rsidP="00993987">
            <w:pPr>
              <w:pStyle w:val="TableText"/>
              <w:jc w:val="center"/>
              <w:rPr>
                <w:b/>
                <w:szCs w:val="20"/>
              </w:rPr>
            </w:pPr>
            <w:r w:rsidRPr="00644691">
              <w:t xml:space="preserve">21,411,852 </w:t>
            </w:r>
          </w:p>
        </w:tc>
        <w:tc>
          <w:tcPr>
            <w:tcW w:w="585" w:type="pct"/>
          </w:tcPr>
          <w:p w:rsidR="00D937A5" w:rsidRPr="00644691" w:rsidRDefault="00D937A5" w:rsidP="00993987">
            <w:pPr>
              <w:pStyle w:val="TableText"/>
              <w:jc w:val="center"/>
              <w:rPr>
                <w:b/>
                <w:szCs w:val="20"/>
              </w:rPr>
            </w:pPr>
            <w:r w:rsidRPr="00644691">
              <w:t xml:space="preserve">21,744,502 </w:t>
            </w:r>
          </w:p>
        </w:tc>
        <w:tc>
          <w:tcPr>
            <w:tcW w:w="585" w:type="pct"/>
          </w:tcPr>
          <w:p w:rsidR="00D937A5" w:rsidRPr="00644691" w:rsidRDefault="00D937A5" w:rsidP="00993987">
            <w:pPr>
              <w:pStyle w:val="TableText"/>
              <w:jc w:val="center"/>
              <w:rPr>
                <w:b/>
                <w:szCs w:val="20"/>
              </w:rPr>
            </w:pPr>
            <w:r w:rsidRPr="00644691">
              <w:t xml:space="preserve">22,073,220 </w:t>
            </w:r>
          </w:p>
        </w:tc>
        <w:tc>
          <w:tcPr>
            <w:tcW w:w="585" w:type="pct"/>
          </w:tcPr>
          <w:p w:rsidR="00D937A5" w:rsidRPr="00644691" w:rsidRDefault="00D937A5" w:rsidP="00993987">
            <w:pPr>
              <w:pStyle w:val="TableText"/>
              <w:jc w:val="center"/>
              <w:rPr>
                <w:b/>
                <w:szCs w:val="20"/>
              </w:rPr>
            </w:pPr>
            <w:r w:rsidRPr="00644691">
              <w:t xml:space="preserve">22,393,101 </w:t>
            </w:r>
          </w:p>
        </w:tc>
      </w:tr>
      <w:tr w:rsidR="00D937A5" w:rsidRPr="00644691" w:rsidTr="005F2C3D">
        <w:tc>
          <w:tcPr>
            <w:tcW w:w="1491" w:type="pct"/>
          </w:tcPr>
          <w:p w:rsidR="00D937A5" w:rsidRPr="00644691" w:rsidRDefault="00D937A5" w:rsidP="00993987">
            <w:pPr>
              <w:pStyle w:val="TableText"/>
              <w:rPr>
                <w:szCs w:val="20"/>
              </w:rPr>
            </w:pPr>
            <w:r w:rsidRPr="00644691">
              <w:rPr>
                <w:szCs w:val="20"/>
              </w:rPr>
              <w:t>Heart failure prevalence (2.199%)</w:t>
            </w:r>
          </w:p>
        </w:tc>
        <w:tc>
          <w:tcPr>
            <w:tcW w:w="584" w:type="pct"/>
          </w:tcPr>
          <w:p w:rsidR="00D937A5" w:rsidRPr="00644691" w:rsidRDefault="00D937A5" w:rsidP="00993987">
            <w:pPr>
              <w:pStyle w:val="TableText"/>
              <w:jc w:val="center"/>
              <w:rPr>
                <w:b/>
                <w:szCs w:val="20"/>
              </w:rPr>
            </w:pPr>
            <w:r w:rsidRPr="00644691">
              <w:t>456,467</w:t>
            </w:r>
          </w:p>
        </w:tc>
        <w:tc>
          <w:tcPr>
            <w:tcW w:w="585" w:type="pct"/>
          </w:tcPr>
          <w:p w:rsidR="00D937A5" w:rsidRPr="00644691" w:rsidRDefault="00D937A5" w:rsidP="00993987">
            <w:pPr>
              <w:pStyle w:val="TableText"/>
              <w:jc w:val="center"/>
              <w:rPr>
                <w:b/>
                <w:szCs w:val="20"/>
              </w:rPr>
            </w:pPr>
            <w:r w:rsidRPr="00644691">
              <w:t>463,604</w:t>
            </w:r>
          </w:p>
        </w:tc>
        <w:tc>
          <w:tcPr>
            <w:tcW w:w="585" w:type="pct"/>
          </w:tcPr>
          <w:p w:rsidR="00D937A5" w:rsidRPr="00644691" w:rsidRDefault="00D937A5" w:rsidP="00993987">
            <w:pPr>
              <w:pStyle w:val="TableText"/>
              <w:jc w:val="center"/>
              <w:rPr>
                <w:b/>
                <w:szCs w:val="20"/>
              </w:rPr>
            </w:pPr>
            <w:r w:rsidRPr="00644691">
              <w:t>470,847</w:t>
            </w:r>
          </w:p>
        </w:tc>
        <w:tc>
          <w:tcPr>
            <w:tcW w:w="585" w:type="pct"/>
          </w:tcPr>
          <w:p w:rsidR="00D937A5" w:rsidRPr="00644691" w:rsidRDefault="00D937A5" w:rsidP="00993987">
            <w:pPr>
              <w:pStyle w:val="TableText"/>
              <w:jc w:val="center"/>
              <w:rPr>
                <w:b/>
                <w:szCs w:val="20"/>
              </w:rPr>
            </w:pPr>
            <w:r w:rsidRPr="00644691">
              <w:t>478,162</w:t>
            </w:r>
          </w:p>
        </w:tc>
        <w:tc>
          <w:tcPr>
            <w:tcW w:w="585" w:type="pct"/>
          </w:tcPr>
          <w:p w:rsidR="00D937A5" w:rsidRPr="00644691" w:rsidRDefault="00D937A5" w:rsidP="00993987">
            <w:pPr>
              <w:pStyle w:val="TableText"/>
              <w:jc w:val="center"/>
              <w:rPr>
                <w:b/>
                <w:szCs w:val="20"/>
              </w:rPr>
            </w:pPr>
            <w:r w:rsidRPr="00644691">
              <w:t>485,390</w:t>
            </w:r>
          </w:p>
        </w:tc>
        <w:tc>
          <w:tcPr>
            <w:tcW w:w="585" w:type="pct"/>
          </w:tcPr>
          <w:p w:rsidR="00D937A5" w:rsidRPr="00644691" w:rsidRDefault="00D937A5" w:rsidP="00993987">
            <w:pPr>
              <w:pStyle w:val="TableText"/>
              <w:jc w:val="center"/>
              <w:rPr>
                <w:b/>
                <w:szCs w:val="20"/>
              </w:rPr>
            </w:pPr>
            <w:r w:rsidRPr="00644691">
              <w:t>492,424</w:t>
            </w:r>
          </w:p>
        </w:tc>
      </w:tr>
      <w:tr w:rsidR="00D937A5" w:rsidRPr="00644691" w:rsidTr="005F2C3D">
        <w:tc>
          <w:tcPr>
            <w:tcW w:w="1491" w:type="pct"/>
          </w:tcPr>
          <w:p w:rsidR="00D937A5" w:rsidRPr="00644691" w:rsidRDefault="00D937A5" w:rsidP="00993987">
            <w:pPr>
              <w:pStyle w:val="TableText"/>
              <w:rPr>
                <w:szCs w:val="20"/>
              </w:rPr>
            </w:pPr>
            <w:r w:rsidRPr="00644691">
              <w:rPr>
                <w:szCs w:val="20"/>
              </w:rPr>
              <w:t xml:space="preserve">Patients with </w:t>
            </w:r>
            <w:r w:rsidR="00960E2D" w:rsidRPr="00644691">
              <w:rPr>
                <w:szCs w:val="20"/>
              </w:rPr>
              <w:t>HFrEF</w:t>
            </w:r>
            <w:r w:rsidRPr="00644691">
              <w:rPr>
                <w:szCs w:val="20"/>
              </w:rPr>
              <w:t xml:space="preserve"> (57%)</w:t>
            </w:r>
          </w:p>
        </w:tc>
        <w:tc>
          <w:tcPr>
            <w:tcW w:w="584" w:type="pct"/>
          </w:tcPr>
          <w:p w:rsidR="00D937A5" w:rsidRPr="00644691" w:rsidRDefault="00D937A5" w:rsidP="00993987">
            <w:pPr>
              <w:pStyle w:val="TableText"/>
              <w:jc w:val="center"/>
            </w:pPr>
            <w:r w:rsidRPr="00644691">
              <w:t>260,186</w:t>
            </w:r>
          </w:p>
        </w:tc>
        <w:tc>
          <w:tcPr>
            <w:tcW w:w="585" w:type="pct"/>
          </w:tcPr>
          <w:p w:rsidR="00D937A5" w:rsidRPr="00644691" w:rsidRDefault="00D937A5" w:rsidP="00993987">
            <w:pPr>
              <w:pStyle w:val="TableText"/>
              <w:jc w:val="center"/>
            </w:pPr>
            <w:r w:rsidRPr="00644691">
              <w:t>264,254</w:t>
            </w:r>
          </w:p>
        </w:tc>
        <w:tc>
          <w:tcPr>
            <w:tcW w:w="585" w:type="pct"/>
          </w:tcPr>
          <w:p w:rsidR="00D937A5" w:rsidRPr="00644691" w:rsidRDefault="00D937A5" w:rsidP="00993987">
            <w:pPr>
              <w:pStyle w:val="TableText"/>
              <w:jc w:val="center"/>
            </w:pPr>
            <w:r w:rsidRPr="00644691">
              <w:t>268,383</w:t>
            </w:r>
          </w:p>
        </w:tc>
        <w:tc>
          <w:tcPr>
            <w:tcW w:w="585" w:type="pct"/>
          </w:tcPr>
          <w:p w:rsidR="00D937A5" w:rsidRPr="00644691" w:rsidRDefault="00D937A5" w:rsidP="00993987">
            <w:pPr>
              <w:pStyle w:val="TableText"/>
              <w:jc w:val="center"/>
            </w:pPr>
            <w:r w:rsidRPr="00644691">
              <w:t>272,552</w:t>
            </w:r>
          </w:p>
        </w:tc>
        <w:tc>
          <w:tcPr>
            <w:tcW w:w="585" w:type="pct"/>
          </w:tcPr>
          <w:p w:rsidR="00D937A5" w:rsidRPr="00644691" w:rsidRDefault="00D937A5" w:rsidP="00993987">
            <w:pPr>
              <w:pStyle w:val="TableText"/>
              <w:jc w:val="center"/>
            </w:pPr>
            <w:r w:rsidRPr="00644691">
              <w:t>276,672</w:t>
            </w:r>
          </w:p>
        </w:tc>
        <w:tc>
          <w:tcPr>
            <w:tcW w:w="585" w:type="pct"/>
          </w:tcPr>
          <w:p w:rsidR="00D937A5" w:rsidRPr="00644691" w:rsidRDefault="00D937A5" w:rsidP="00993987">
            <w:pPr>
              <w:pStyle w:val="TableText"/>
              <w:jc w:val="center"/>
            </w:pPr>
            <w:r w:rsidRPr="00644691">
              <w:t>280,682</w:t>
            </w:r>
          </w:p>
        </w:tc>
      </w:tr>
      <w:tr w:rsidR="00D937A5" w:rsidRPr="00644691" w:rsidTr="005F2C3D">
        <w:tc>
          <w:tcPr>
            <w:tcW w:w="1491" w:type="pct"/>
          </w:tcPr>
          <w:p w:rsidR="00D937A5" w:rsidRPr="00644691" w:rsidRDefault="00D937A5" w:rsidP="00993987">
            <w:pPr>
              <w:pStyle w:val="TableText"/>
              <w:rPr>
                <w:szCs w:val="20"/>
              </w:rPr>
            </w:pPr>
            <w:r w:rsidRPr="00644691">
              <w:rPr>
                <w:szCs w:val="20"/>
              </w:rPr>
              <w:t>Patients with Class II-IV (95%)</w:t>
            </w:r>
          </w:p>
        </w:tc>
        <w:tc>
          <w:tcPr>
            <w:tcW w:w="584" w:type="pct"/>
          </w:tcPr>
          <w:p w:rsidR="00D937A5" w:rsidRPr="00644691" w:rsidRDefault="00D937A5" w:rsidP="00993987">
            <w:pPr>
              <w:pStyle w:val="TableText"/>
              <w:jc w:val="center"/>
              <w:rPr>
                <w:b/>
                <w:szCs w:val="20"/>
              </w:rPr>
            </w:pPr>
            <w:r w:rsidRPr="00644691">
              <w:t>247,177</w:t>
            </w:r>
          </w:p>
        </w:tc>
        <w:tc>
          <w:tcPr>
            <w:tcW w:w="585" w:type="pct"/>
          </w:tcPr>
          <w:p w:rsidR="00D937A5" w:rsidRPr="00644691" w:rsidRDefault="00D937A5" w:rsidP="00993987">
            <w:pPr>
              <w:pStyle w:val="TableText"/>
              <w:jc w:val="center"/>
              <w:rPr>
                <w:b/>
                <w:szCs w:val="20"/>
              </w:rPr>
            </w:pPr>
            <w:r w:rsidRPr="00644691">
              <w:t>251,041</w:t>
            </w:r>
          </w:p>
        </w:tc>
        <w:tc>
          <w:tcPr>
            <w:tcW w:w="585" w:type="pct"/>
          </w:tcPr>
          <w:p w:rsidR="00D937A5" w:rsidRPr="00644691" w:rsidRDefault="00D937A5" w:rsidP="00993987">
            <w:pPr>
              <w:pStyle w:val="TableText"/>
              <w:jc w:val="center"/>
              <w:rPr>
                <w:b/>
                <w:szCs w:val="20"/>
              </w:rPr>
            </w:pPr>
            <w:r w:rsidRPr="00644691">
              <w:t>254,963</w:t>
            </w:r>
          </w:p>
        </w:tc>
        <w:tc>
          <w:tcPr>
            <w:tcW w:w="585" w:type="pct"/>
          </w:tcPr>
          <w:p w:rsidR="00D937A5" w:rsidRPr="00644691" w:rsidRDefault="00D937A5" w:rsidP="00993987">
            <w:pPr>
              <w:pStyle w:val="TableText"/>
              <w:jc w:val="center"/>
              <w:rPr>
                <w:b/>
                <w:szCs w:val="20"/>
              </w:rPr>
            </w:pPr>
            <w:r w:rsidRPr="00644691">
              <w:t>258,925</w:t>
            </w:r>
          </w:p>
        </w:tc>
        <w:tc>
          <w:tcPr>
            <w:tcW w:w="585" w:type="pct"/>
          </w:tcPr>
          <w:p w:rsidR="00D937A5" w:rsidRPr="00644691" w:rsidRDefault="00D937A5" w:rsidP="00993987">
            <w:pPr>
              <w:pStyle w:val="TableText"/>
              <w:jc w:val="center"/>
              <w:rPr>
                <w:b/>
                <w:szCs w:val="20"/>
              </w:rPr>
            </w:pPr>
            <w:r w:rsidRPr="00644691">
              <w:t>262,839</w:t>
            </w:r>
          </w:p>
        </w:tc>
        <w:tc>
          <w:tcPr>
            <w:tcW w:w="585" w:type="pct"/>
          </w:tcPr>
          <w:p w:rsidR="00D937A5" w:rsidRPr="00644691" w:rsidRDefault="00D937A5" w:rsidP="00993987">
            <w:pPr>
              <w:pStyle w:val="TableText"/>
              <w:jc w:val="center"/>
              <w:rPr>
                <w:b/>
                <w:szCs w:val="20"/>
              </w:rPr>
            </w:pPr>
            <w:r w:rsidRPr="00644691">
              <w:t>266,648</w:t>
            </w:r>
          </w:p>
        </w:tc>
      </w:tr>
      <w:tr w:rsidR="00D937A5" w:rsidRPr="00644691" w:rsidTr="005F2C3D">
        <w:tc>
          <w:tcPr>
            <w:tcW w:w="1491" w:type="pct"/>
          </w:tcPr>
          <w:p w:rsidR="00D937A5" w:rsidRPr="00644691" w:rsidRDefault="00D937A5" w:rsidP="00993987">
            <w:pPr>
              <w:pStyle w:val="TableText"/>
              <w:rPr>
                <w:szCs w:val="20"/>
                <w:vertAlign w:val="superscript"/>
              </w:rPr>
            </w:pPr>
            <w:r w:rsidRPr="00644691">
              <w:rPr>
                <w:szCs w:val="20"/>
              </w:rPr>
              <w:t>Proportion receiving optimised standard care (90%)</w:t>
            </w:r>
            <w:r w:rsidRPr="00644691">
              <w:rPr>
                <w:szCs w:val="20"/>
                <w:vertAlign w:val="superscript"/>
              </w:rPr>
              <w:t>1</w:t>
            </w:r>
          </w:p>
        </w:tc>
        <w:tc>
          <w:tcPr>
            <w:tcW w:w="584" w:type="pct"/>
            <w:vAlign w:val="center"/>
          </w:tcPr>
          <w:p w:rsidR="00D937A5" w:rsidRPr="00644691" w:rsidRDefault="00D937A5" w:rsidP="00993987">
            <w:pPr>
              <w:pStyle w:val="TableText"/>
              <w:jc w:val="center"/>
              <w:rPr>
                <w:b/>
                <w:szCs w:val="20"/>
              </w:rPr>
            </w:pPr>
            <w:r w:rsidRPr="00644691">
              <w:t>222,459</w:t>
            </w:r>
          </w:p>
        </w:tc>
        <w:tc>
          <w:tcPr>
            <w:tcW w:w="585" w:type="pct"/>
            <w:vAlign w:val="center"/>
          </w:tcPr>
          <w:p w:rsidR="00D937A5" w:rsidRPr="00644691" w:rsidRDefault="00D937A5" w:rsidP="00993987">
            <w:pPr>
              <w:pStyle w:val="TableText"/>
              <w:jc w:val="center"/>
              <w:rPr>
                <w:b/>
                <w:szCs w:val="20"/>
              </w:rPr>
            </w:pPr>
            <w:r w:rsidRPr="00644691">
              <w:t>225,937</w:t>
            </w:r>
          </w:p>
        </w:tc>
        <w:tc>
          <w:tcPr>
            <w:tcW w:w="585" w:type="pct"/>
            <w:vAlign w:val="center"/>
          </w:tcPr>
          <w:p w:rsidR="00D937A5" w:rsidRPr="00644691" w:rsidRDefault="00D937A5" w:rsidP="00993987">
            <w:pPr>
              <w:pStyle w:val="TableText"/>
              <w:jc w:val="center"/>
              <w:rPr>
                <w:b/>
                <w:szCs w:val="20"/>
              </w:rPr>
            </w:pPr>
            <w:r w:rsidRPr="00644691">
              <w:t>229,467</w:t>
            </w:r>
          </w:p>
        </w:tc>
        <w:tc>
          <w:tcPr>
            <w:tcW w:w="585" w:type="pct"/>
            <w:vAlign w:val="center"/>
          </w:tcPr>
          <w:p w:rsidR="00D937A5" w:rsidRPr="00644691" w:rsidRDefault="00D937A5" w:rsidP="00993987">
            <w:pPr>
              <w:pStyle w:val="TableText"/>
              <w:jc w:val="center"/>
              <w:rPr>
                <w:b/>
                <w:szCs w:val="20"/>
              </w:rPr>
            </w:pPr>
            <w:r w:rsidRPr="00644691">
              <w:t>233,032</w:t>
            </w:r>
          </w:p>
        </w:tc>
        <w:tc>
          <w:tcPr>
            <w:tcW w:w="585" w:type="pct"/>
            <w:vAlign w:val="center"/>
          </w:tcPr>
          <w:p w:rsidR="00D937A5" w:rsidRPr="00644691" w:rsidRDefault="00D937A5" w:rsidP="00993987">
            <w:pPr>
              <w:pStyle w:val="TableText"/>
              <w:jc w:val="center"/>
              <w:rPr>
                <w:b/>
                <w:szCs w:val="20"/>
              </w:rPr>
            </w:pPr>
            <w:r w:rsidRPr="00644691">
              <w:t>236,555</w:t>
            </w:r>
          </w:p>
        </w:tc>
        <w:tc>
          <w:tcPr>
            <w:tcW w:w="585" w:type="pct"/>
            <w:vAlign w:val="center"/>
          </w:tcPr>
          <w:p w:rsidR="00D937A5" w:rsidRPr="00644691" w:rsidRDefault="00D937A5" w:rsidP="00993987">
            <w:pPr>
              <w:pStyle w:val="TableText"/>
              <w:jc w:val="center"/>
              <w:rPr>
                <w:b/>
                <w:szCs w:val="20"/>
              </w:rPr>
            </w:pPr>
            <w:r w:rsidRPr="00644691">
              <w:t>239,983</w:t>
            </w:r>
          </w:p>
        </w:tc>
      </w:tr>
      <w:tr w:rsidR="00D937A5" w:rsidRPr="00644691" w:rsidTr="005F2C3D">
        <w:tc>
          <w:tcPr>
            <w:tcW w:w="1491" w:type="pct"/>
          </w:tcPr>
          <w:p w:rsidR="00D937A5" w:rsidRPr="00644691" w:rsidRDefault="00D937A5" w:rsidP="00993987">
            <w:pPr>
              <w:pStyle w:val="TableText"/>
              <w:rPr>
                <w:szCs w:val="20"/>
              </w:rPr>
            </w:pPr>
            <w:r w:rsidRPr="00644691">
              <w:t>Patients not already on an SGLT2 inhibitor (80%)</w:t>
            </w:r>
          </w:p>
        </w:tc>
        <w:tc>
          <w:tcPr>
            <w:tcW w:w="584" w:type="pct"/>
            <w:vAlign w:val="center"/>
          </w:tcPr>
          <w:p w:rsidR="00D937A5" w:rsidRPr="00644691" w:rsidRDefault="00D937A5" w:rsidP="00993987">
            <w:pPr>
              <w:pStyle w:val="TableText"/>
              <w:jc w:val="center"/>
              <w:rPr>
                <w:b/>
                <w:szCs w:val="20"/>
              </w:rPr>
            </w:pPr>
            <w:r w:rsidRPr="00644691">
              <w:t>177,967</w:t>
            </w:r>
          </w:p>
        </w:tc>
        <w:tc>
          <w:tcPr>
            <w:tcW w:w="585" w:type="pct"/>
            <w:vAlign w:val="center"/>
          </w:tcPr>
          <w:p w:rsidR="00D937A5" w:rsidRPr="00644691" w:rsidRDefault="00D937A5" w:rsidP="00993987">
            <w:pPr>
              <w:pStyle w:val="TableText"/>
              <w:jc w:val="center"/>
              <w:rPr>
                <w:b/>
                <w:szCs w:val="20"/>
              </w:rPr>
            </w:pPr>
            <w:r w:rsidRPr="00644691">
              <w:t>180,750</w:t>
            </w:r>
          </w:p>
        </w:tc>
        <w:tc>
          <w:tcPr>
            <w:tcW w:w="585" w:type="pct"/>
            <w:vAlign w:val="center"/>
          </w:tcPr>
          <w:p w:rsidR="00D937A5" w:rsidRPr="00644691" w:rsidRDefault="00D937A5" w:rsidP="00993987">
            <w:pPr>
              <w:pStyle w:val="TableText"/>
              <w:jc w:val="center"/>
              <w:rPr>
                <w:b/>
                <w:szCs w:val="20"/>
              </w:rPr>
            </w:pPr>
            <w:r w:rsidRPr="00644691">
              <w:t>183,574</w:t>
            </w:r>
          </w:p>
        </w:tc>
        <w:tc>
          <w:tcPr>
            <w:tcW w:w="585" w:type="pct"/>
            <w:vAlign w:val="center"/>
          </w:tcPr>
          <w:p w:rsidR="00D937A5" w:rsidRPr="00644691" w:rsidRDefault="00D937A5" w:rsidP="00993987">
            <w:pPr>
              <w:pStyle w:val="TableText"/>
              <w:jc w:val="center"/>
              <w:rPr>
                <w:b/>
                <w:szCs w:val="20"/>
              </w:rPr>
            </w:pPr>
            <w:r w:rsidRPr="00644691">
              <w:t>186,426</w:t>
            </w:r>
          </w:p>
        </w:tc>
        <w:tc>
          <w:tcPr>
            <w:tcW w:w="585" w:type="pct"/>
            <w:vAlign w:val="center"/>
          </w:tcPr>
          <w:p w:rsidR="00D937A5" w:rsidRPr="00644691" w:rsidRDefault="00D937A5" w:rsidP="00993987">
            <w:pPr>
              <w:pStyle w:val="TableText"/>
              <w:jc w:val="center"/>
              <w:rPr>
                <w:b/>
                <w:szCs w:val="20"/>
              </w:rPr>
            </w:pPr>
            <w:r w:rsidRPr="00644691">
              <w:t>189,244</w:t>
            </w:r>
          </w:p>
        </w:tc>
        <w:tc>
          <w:tcPr>
            <w:tcW w:w="585" w:type="pct"/>
            <w:vAlign w:val="center"/>
          </w:tcPr>
          <w:p w:rsidR="00D937A5" w:rsidRPr="00644691" w:rsidRDefault="00D937A5" w:rsidP="00993987">
            <w:pPr>
              <w:pStyle w:val="TableText"/>
              <w:jc w:val="center"/>
              <w:rPr>
                <w:b/>
                <w:szCs w:val="20"/>
              </w:rPr>
            </w:pPr>
            <w:r w:rsidRPr="00644691">
              <w:t>191,986</w:t>
            </w:r>
          </w:p>
        </w:tc>
      </w:tr>
      <w:tr w:rsidR="00D937A5" w:rsidRPr="00644691" w:rsidTr="005F2C3D">
        <w:tc>
          <w:tcPr>
            <w:tcW w:w="1491" w:type="pct"/>
          </w:tcPr>
          <w:p w:rsidR="00D937A5" w:rsidRPr="00644691" w:rsidRDefault="00D937A5" w:rsidP="00993987">
            <w:pPr>
              <w:pStyle w:val="TableText"/>
              <w:rPr>
                <w:szCs w:val="20"/>
              </w:rPr>
            </w:pPr>
            <w:r w:rsidRPr="00644691">
              <w:rPr>
                <w:szCs w:val="20"/>
              </w:rPr>
              <w:t>Dapagliflozin uptake</w:t>
            </w:r>
          </w:p>
        </w:tc>
        <w:tc>
          <w:tcPr>
            <w:tcW w:w="584" w:type="pct"/>
          </w:tcPr>
          <w:p w:rsidR="00D937A5" w:rsidRPr="00644691" w:rsidRDefault="00BB0C56" w:rsidP="00993987">
            <w:pPr>
              <w:pStyle w:val="TableText"/>
              <w:jc w:val="center"/>
              <w:rPr>
                <w:b/>
                <w:szCs w:val="20"/>
              </w:rPr>
            </w:pPr>
            <w:r>
              <w:rPr>
                <w:noProof/>
                <w:color w:val="000000"/>
                <w:highlight w:val="black"/>
              </w:rPr>
              <w:t>'''''</w:t>
            </w:r>
            <w:r w:rsidR="00D937A5" w:rsidRPr="00644691">
              <w:t>%</w:t>
            </w:r>
          </w:p>
        </w:tc>
        <w:tc>
          <w:tcPr>
            <w:tcW w:w="585" w:type="pct"/>
          </w:tcPr>
          <w:p w:rsidR="00D937A5" w:rsidRPr="00644691" w:rsidRDefault="00BB0C56" w:rsidP="00993987">
            <w:pPr>
              <w:pStyle w:val="TableText"/>
              <w:jc w:val="center"/>
              <w:rPr>
                <w:b/>
                <w:szCs w:val="20"/>
              </w:rPr>
            </w:pPr>
            <w:r>
              <w:rPr>
                <w:noProof/>
                <w:color w:val="000000"/>
                <w:highlight w:val="black"/>
              </w:rPr>
              <w:t>''''''</w:t>
            </w:r>
            <w:r w:rsidR="00D937A5" w:rsidRPr="00644691">
              <w:t>%</w:t>
            </w:r>
          </w:p>
        </w:tc>
        <w:tc>
          <w:tcPr>
            <w:tcW w:w="585" w:type="pct"/>
          </w:tcPr>
          <w:p w:rsidR="00D937A5" w:rsidRPr="00644691" w:rsidRDefault="00BB0C56" w:rsidP="00993987">
            <w:pPr>
              <w:pStyle w:val="TableText"/>
              <w:jc w:val="center"/>
              <w:rPr>
                <w:b/>
                <w:szCs w:val="20"/>
              </w:rPr>
            </w:pPr>
            <w:r>
              <w:rPr>
                <w:noProof/>
                <w:color w:val="000000"/>
                <w:highlight w:val="black"/>
              </w:rPr>
              <w:t>'''''''</w:t>
            </w:r>
            <w:r w:rsidR="00D937A5" w:rsidRPr="00644691">
              <w:t>%</w:t>
            </w:r>
          </w:p>
        </w:tc>
        <w:tc>
          <w:tcPr>
            <w:tcW w:w="585" w:type="pct"/>
          </w:tcPr>
          <w:p w:rsidR="00D937A5" w:rsidRPr="00644691" w:rsidRDefault="00BB0C56" w:rsidP="00993987">
            <w:pPr>
              <w:pStyle w:val="TableText"/>
              <w:jc w:val="center"/>
              <w:rPr>
                <w:b/>
                <w:szCs w:val="20"/>
              </w:rPr>
            </w:pPr>
            <w:r>
              <w:rPr>
                <w:noProof/>
                <w:color w:val="000000"/>
                <w:highlight w:val="black"/>
              </w:rPr>
              <w:t>'''''''</w:t>
            </w:r>
            <w:r w:rsidR="00D937A5" w:rsidRPr="00644691">
              <w:t>%</w:t>
            </w:r>
          </w:p>
        </w:tc>
        <w:tc>
          <w:tcPr>
            <w:tcW w:w="585" w:type="pct"/>
          </w:tcPr>
          <w:p w:rsidR="00D937A5" w:rsidRPr="00644691" w:rsidRDefault="00BB0C56" w:rsidP="00993987">
            <w:pPr>
              <w:pStyle w:val="TableText"/>
              <w:jc w:val="center"/>
              <w:rPr>
                <w:b/>
                <w:szCs w:val="20"/>
              </w:rPr>
            </w:pPr>
            <w:r>
              <w:rPr>
                <w:noProof/>
                <w:color w:val="000000"/>
                <w:highlight w:val="black"/>
              </w:rPr>
              <w:t>''''''</w:t>
            </w:r>
            <w:r w:rsidR="00D937A5" w:rsidRPr="00644691">
              <w:t>%</w:t>
            </w:r>
          </w:p>
        </w:tc>
        <w:tc>
          <w:tcPr>
            <w:tcW w:w="585" w:type="pct"/>
          </w:tcPr>
          <w:p w:rsidR="00D937A5" w:rsidRPr="00644691" w:rsidRDefault="00BB0C56" w:rsidP="00993987">
            <w:pPr>
              <w:pStyle w:val="TableText"/>
              <w:jc w:val="center"/>
              <w:rPr>
                <w:b/>
                <w:szCs w:val="20"/>
              </w:rPr>
            </w:pPr>
            <w:r>
              <w:rPr>
                <w:noProof/>
                <w:color w:val="000000"/>
                <w:highlight w:val="black"/>
              </w:rPr>
              <w:t>''''''</w:t>
            </w:r>
            <w:r w:rsidR="00D937A5" w:rsidRPr="00644691">
              <w:t>%</w:t>
            </w:r>
          </w:p>
        </w:tc>
      </w:tr>
      <w:tr w:rsidR="00D937A5" w:rsidRPr="00644691" w:rsidTr="005F2C3D">
        <w:tc>
          <w:tcPr>
            <w:tcW w:w="1491" w:type="pct"/>
          </w:tcPr>
          <w:p w:rsidR="00D937A5" w:rsidRPr="000227C0" w:rsidRDefault="00D937A5" w:rsidP="000227C0">
            <w:pPr>
              <w:pStyle w:val="TableText"/>
              <w:rPr>
                <w:szCs w:val="20"/>
                <w:vertAlign w:val="superscript"/>
              </w:rPr>
            </w:pPr>
            <w:r w:rsidRPr="00644691">
              <w:rPr>
                <w:szCs w:val="20"/>
              </w:rPr>
              <w:t>Total dapagliflozin patients</w:t>
            </w:r>
          </w:p>
        </w:tc>
        <w:tc>
          <w:tcPr>
            <w:tcW w:w="584" w:type="pct"/>
          </w:tcPr>
          <w:p w:rsidR="00D937A5" w:rsidRPr="00BB0C56" w:rsidRDefault="00BB0C56" w:rsidP="00993987">
            <w:pPr>
              <w:pStyle w:val="TableText"/>
              <w:jc w:val="center"/>
              <w:rPr>
                <w:b/>
                <w:szCs w:val="20"/>
              </w:rPr>
            </w:pPr>
            <w:r>
              <w:rPr>
                <w:noProof/>
                <w:color w:val="000000"/>
                <w:highlight w:val="black"/>
              </w:rPr>
              <w:t>'''''''''''''''''</w:t>
            </w:r>
            <w:r w:rsidR="000227C0">
              <w:rPr>
                <w:szCs w:val="20"/>
                <w:vertAlign w:val="superscript"/>
              </w:rPr>
              <w:t>4</w:t>
            </w:r>
          </w:p>
        </w:tc>
        <w:tc>
          <w:tcPr>
            <w:tcW w:w="585" w:type="pct"/>
          </w:tcPr>
          <w:p w:rsidR="00D937A5" w:rsidRPr="00BB0C56" w:rsidRDefault="00BB0C56" w:rsidP="00993987">
            <w:pPr>
              <w:pStyle w:val="TableText"/>
              <w:jc w:val="center"/>
              <w:rPr>
                <w:b/>
                <w:szCs w:val="20"/>
              </w:rPr>
            </w:pPr>
            <w:r>
              <w:rPr>
                <w:noProof/>
                <w:color w:val="000000"/>
                <w:highlight w:val="black"/>
              </w:rPr>
              <w:t>'''''''''''''''''</w:t>
            </w:r>
            <w:r w:rsidR="000227C0">
              <w:rPr>
                <w:szCs w:val="20"/>
                <w:vertAlign w:val="superscript"/>
              </w:rPr>
              <w:t>5</w:t>
            </w:r>
          </w:p>
        </w:tc>
        <w:tc>
          <w:tcPr>
            <w:tcW w:w="585" w:type="pct"/>
          </w:tcPr>
          <w:p w:rsidR="00D937A5" w:rsidRPr="00BB0C56" w:rsidRDefault="00BB0C56" w:rsidP="00993987">
            <w:pPr>
              <w:pStyle w:val="TableText"/>
              <w:jc w:val="center"/>
              <w:rPr>
                <w:b/>
                <w:szCs w:val="20"/>
              </w:rPr>
            </w:pPr>
            <w:r>
              <w:rPr>
                <w:noProof/>
                <w:color w:val="000000"/>
                <w:highlight w:val="black"/>
              </w:rPr>
              <w:t>''''''''''''''''</w:t>
            </w:r>
            <w:r w:rsidR="000227C0">
              <w:rPr>
                <w:szCs w:val="20"/>
                <w:vertAlign w:val="superscript"/>
              </w:rPr>
              <w:t>6</w:t>
            </w:r>
          </w:p>
        </w:tc>
        <w:tc>
          <w:tcPr>
            <w:tcW w:w="585" w:type="pct"/>
          </w:tcPr>
          <w:p w:rsidR="00D937A5" w:rsidRPr="00BB0C56" w:rsidRDefault="00BB0C56" w:rsidP="00993987">
            <w:pPr>
              <w:pStyle w:val="TableText"/>
              <w:jc w:val="center"/>
              <w:rPr>
                <w:b/>
                <w:szCs w:val="20"/>
              </w:rPr>
            </w:pPr>
            <w:r>
              <w:rPr>
                <w:noProof/>
                <w:color w:val="000000"/>
                <w:highlight w:val="black"/>
              </w:rPr>
              <w:t>''''''''''''''''</w:t>
            </w:r>
            <w:r w:rsidR="000227C0">
              <w:rPr>
                <w:szCs w:val="20"/>
                <w:vertAlign w:val="superscript"/>
              </w:rPr>
              <w:t>7</w:t>
            </w:r>
          </w:p>
        </w:tc>
        <w:tc>
          <w:tcPr>
            <w:tcW w:w="585" w:type="pct"/>
          </w:tcPr>
          <w:p w:rsidR="00D937A5" w:rsidRPr="00BB0C56" w:rsidRDefault="00BB0C56" w:rsidP="00993987">
            <w:pPr>
              <w:pStyle w:val="TableText"/>
              <w:jc w:val="center"/>
              <w:rPr>
                <w:b/>
                <w:szCs w:val="20"/>
              </w:rPr>
            </w:pPr>
            <w:r>
              <w:rPr>
                <w:noProof/>
                <w:color w:val="000000"/>
                <w:highlight w:val="black"/>
              </w:rPr>
              <w:t>'''''''''''''''''''</w:t>
            </w:r>
            <w:r w:rsidR="000227C0">
              <w:rPr>
                <w:szCs w:val="20"/>
                <w:vertAlign w:val="superscript"/>
              </w:rPr>
              <w:t>8</w:t>
            </w:r>
          </w:p>
        </w:tc>
        <w:tc>
          <w:tcPr>
            <w:tcW w:w="585" w:type="pct"/>
          </w:tcPr>
          <w:p w:rsidR="00D937A5" w:rsidRPr="00BB0C56" w:rsidRDefault="00BB0C56" w:rsidP="00993987">
            <w:pPr>
              <w:pStyle w:val="TableText"/>
              <w:jc w:val="center"/>
              <w:rPr>
                <w:b/>
                <w:szCs w:val="20"/>
              </w:rPr>
            </w:pPr>
            <w:r>
              <w:rPr>
                <w:noProof/>
                <w:color w:val="000000"/>
                <w:highlight w:val="black"/>
              </w:rPr>
              <w:t>'''''''''''''''''</w:t>
            </w:r>
            <w:r w:rsidR="000227C0">
              <w:rPr>
                <w:szCs w:val="20"/>
                <w:vertAlign w:val="superscript"/>
              </w:rPr>
              <w:t>8</w:t>
            </w:r>
          </w:p>
        </w:tc>
      </w:tr>
      <w:tr w:rsidR="00D937A5" w:rsidRPr="00644691" w:rsidTr="005F2C3D">
        <w:tc>
          <w:tcPr>
            <w:tcW w:w="1491" w:type="pct"/>
          </w:tcPr>
          <w:p w:rsidR="00D937A5" w:rsidRPr="00644691" w:rsidRDefault="00D937A5" w:rsidP="00993987">
            <w:pPr>
              <w:pStyle w:val="TableText"/>
              <w:rPr>
                <w:szCs w:val="20"/>
              </w:rPr>
            </w:pPr>
            <w:r w:rsidRPr="00644691">
              <w:rPr>
                <w:szCs w:val="20"/>
              </w:rPr>
              <w:t>Grandfathered patients</w:t>
            </w:r>
          </w:p>
        </w:tc>
        <w:tc>
          <w:tcPr>
            <w:tcW w:w="584" w:type="pct"/>
          </w:tcPr>
          <w:p w:rsidR="00D937A5" w:rsidRPr="00BB0C56" w:rsidRDefault="00BB0C56" w:rsidP="00993987">
            <w:pPr>
              <w:pStyle w:val="TableText"/>
              <w:jc w:val="center"/>
            </w:pPr>
            <w:r>
              <w:rPr>
                <w:noProof/>
                <w:color w:val="000000"/>
                <w:highlight w:val="black"/>
              </w:rPr>
              <w:t>''''''''''''</w:t>
            </w:r>
            <w:r w:rsidR="000227C0">
              <w:rPr>
                <w:szCs w:val="20"/>
                <w:vertAlign w:val="superscript"/>
              </w:rPr>
              <w:t>9</w:t>
            </w:r>
          </w:p>
        </w:tc>
        <w:tc>
          <w:tcPr>
            <w:tcW w:w="585" w:type="pct"/>
          </w:tcPr>
          <w:p w:rsidR="00D937A5" w:rsidRPr="00BB0C56" w:rsidRDefault="00BB0C56" w:rsidP="00993987">
            <w:pPr>
              <w:pStyle w:val="TableText"/>
              <w:jc w:val="center"/>
            </w:pPr>
            <w:r>
              <w:rPr>
                <w:noProof/>
                <w:color w:val="000000"/>
                <w:highlight w:val="black"/>
              </w:rPr>
              <w:t>''''''''''''</w:t>
            </w:r>
            <w:r w:rsidR="000227C0">
              <w:rPr>
                <w:szCs w:val="20"/>
                <w:vertAlign w:val="superscript"/>
              </w:rPr>
              <w:t>9</w:t>
            </w:r>
          </w:p>
        </w:tc>
        <w:tc>
          <w:tcPr>
            <w:tcW w:w="585" w:type="pct"/>
          </w:tcPr>
          <w:p w:rsidR="00D937A5" w:rsidRPr="00BB0C56" w:rsidRDefault="00BB0C56" w:rsidP="00993987">
            <w:pPr>
              <w:pStyle w:val="TableText"/>
              <w:jc w:val="center"/>
            </w:pPr>
            <w:r>
              <w:rPr>
                <w:noProof/>
                <w:color w:val="000000"/>
                <w:highlight w:val="black"/>
              </w:rPr>
              <w:t>''''''''''''''</w:t>
            </w:r>
            <w:r w:rsidR="000227C0">
              <w:rPr>
                <w:szCs w:val="20"/>
                <w:vertAlign w:val="superscript"/>
              </w:rPr>
              <w:t>9</w:t>
            </w:r>
          </w:p>
        </w:tc>
        <w:tc>
          <w:tcPr>
            <w:tcW w:w="585" w:type="pct"/>
          </w:tcPr>
          <w:p w:rsidR="00D937A5" w:rsidRPr="00BB0C56" w:rsidRDefault="00BB0C56" w:rsidP="00993987">
            <w:pPr>
              <w:pStyle w:val="TableText"/>
              <w:jc w:val="center"/>
            </w:pPr>
            <w:r>
              <w:rPr>
                <w:noProof/>
                <w:color w:val="000000"/>
                <w:highlight w:val="black"/>
              </w:rPr>
              <w:t>''''''''''''''</w:t>
            </w:r>
            <w:r w:rsidR="000227C0">
              <w:rPr>
                <w:szCs w:val="20"/>
                <w:vertAlign w:val="superscript"/>
              </w:rPr>
              <w:t>9</w:t>
            </w:r>
          </w:p>
        </w:tc>
        <w:tc>
          <w:tcPr>
            <w:tcW w:w="585" w:type="pct"/>
          </w:tcPr>
          <w:p w:rsidR="00D937A5" w:rsidRPr="00BB0C56" w:rsidRDefault="00BB0C56" w:rsidP="00993987">
            <w:pPr>
              <w:pStyle w:val="TableText"/>
              <w:jc w:val="center"/>
            </w:pPr>
            <w:r>
              <w:rPr>
                <w:noProof/>
                <w:color w:val="000000"/>
                <w:highlight w:val="black"/>
              </w:rPr>
              <w:t>'''''''''''''</w:t>
            </w:r>
            <w:r w:rsidR="000227C0">
              <w:rPr>
                <w:szCs w:val="20"/>
                <w:vertAlign w:val="superscript"/>
              </w:rPr>
              <w:t>9</w:t>
            </w:r>
          </w:p>
        </w:tc>
        <w:tc>
          <w:tcPr>
            <w:tcW w:w="585" w:type="pct"/>
          </w:tcPr>
          <w:p w:rsidR="00D937A5" w:rsidRPr="00BB0C56" w:rsidRDefault="00BB0C56" w:rsidP="00993987">
            <w:pPr>
              <w:pStyle w:val="TableText"/>
              <w:jc w:val="center"/>
            </w:pPr>
            <w:r>
              <w:rPr>
                <w:noProof/>
                <w:color w:val="000000"/>
                <w:highlight w:val="black"/>
              </w:rPr>
              <w:t>'''''''''''''''</w:t>
            </w:r>
            <w:r w:rsidR="000227C0">
              <w:rPr>
                <w:szCs w:val="20"/>
                <w:vertAlign w:val="superscript"/>
              </w:rPr>
              <w:t>9</w:t>
            </w:r>
          </w:p>
        </w:tc>
      </w:tr>
      <w:tr w:rsidR="00D937A5" w:rsidRPr="00644691" w:rsidTr="005F2C3D">
        <w:tc>
          <w:tcPr>
            <w:tcW w:w="1491" w:type="pct"/>
          </w:tcPr>
          <w:p w:rsidR="00D937A5" w:rsidRPr="00644691" w:rsidRDefault="00D937A5" w:rsidP="00993987">
            <w:pPr>
              <w:pStyle w:val="TableText"/>
              <w:rPr>
                <w:szCs w:val="20"/>
              </w:rPr>
            </w:pPr>
            <w:r w:rsidRPr="00644691">
              <w:rPr>
                <w:szCs w:val="20"/>
              </w:rPr>
              <w:t>Total treated patients</w:t>
            </w:r>
          </w:p>
        </w:tc>
        <w:tc>
          <w:tcPr>
            <w:tcW w:w="584" w:type="pct"/>
          </w:tcPr>
          <w:p w:rsidR="00D937A5" w:rsidRPr="00BB0C56" w:rsidRDefault="00BB0C56" w:rsidP="00993987">
            <w:pPr>
              <w:pStyle w:val="TableText"/>
              <w:jc w:val="center"/>
            </w:pPr>
            <w:r>
              <w:rPr>
                <w:noProof/>
                <w:color w:val="000000"/>
                <w:highlight w:val="black"/>
              </w:rPr>
              <w:t>'''''''''''''''''</w:t>
            </w:r>
            <w:r w:rsidR="000227C0">
              <w:rPr>
                <w:szCs w:val="20"/>
                <w:vertAlign w:val="superscript"/>
              </w:rPr>
              <w:t>4</w:t>
            </w:r>
          </w:p>
        </w:tc>
        <w:tc>
          <w:tcPr>
            <w:tcW w:w="585" w:type="pct"/>
          </w:tcPr>
          <w:p w:rsidR="00D937A5" w:rsidRPr="00BB0C56" w:rsidRDefault="00BB0C56" w:rsidP="00993987">
            <w:pPr>
              <w:pStyle w:val="TableText"/>
              <w:jc w:val="center"/>
            </w:pPr>
            <w:r>
              <w:rPr>
                <w:noProof/>
                <w:color w:val="000000"/>
                <w:highlight w:val="black"/>
              </w:rPr>
              <w:t>''''''''''''''''</w:t>
            </w:r>
            <w:r w:rsidR="000227C0">
              <w:rPr>
                <w:szCs w:val="20"/>
                <w:vertAlign w:val="superscript"/>
              </w:rPr>
              <w:t>10</w:t>
            </w:r>
          </w:p>
        </w:tc>
        <w:tc>
          <w:tcPr>
            <w:tcW w:w="585" w:type="pct"/>
          </w:tcPr>
          <w:p w:rsidR="00D937A5" w:rsidRPr="00BB0C56" w:rsidRDefault="00BB0C56" w:rsidP="00993987">
            <w:pPr>
              <w:pStyle w:val="TableText"/>
              <w:jc w:val="center"/>
            </w:pPr>
            <w:r>
              <w:rPr>
                <w:noProof/>
                <w:color w:val="000000"/>
                <w:highlight w:val="black"/>
              </w:rPr>
              <w:t>'''''''''''''''</w:t>
            </w:r>
            <w:r w:rsidR="000227C0">
              <w:rPr>
                <w:szCs w:val="20"/>
                <w:vertAlign w:val="superscript"/>
              </w:rPr>
              <w:t>6</w:t>
            </w:r>
          </w:p>
        </w:tc>
        <w:tc>
          <w:tcPr>
            <w:tcW w:w="585" w:type="pct"/>
          </w:tcPr>
          <w:p w:rsidR="00D937A5" w:rsidRPr="00BB0C56" w:rsidRDefault="00BB0C56" w:rsidP="00993987">
            <w:pPr>
              <w:pStyle w:val="TableText"/>
              <w:jc w:val="center"/>
            </w:pPr>
            <w:r>
              <w:rPr>
                <w:noProof/>
                <w:color w:val="000000"/>
                <w:highlight w:val="black"/>
              </w:rPr>
              <w:t>''''''''''''''''''</w:t>
            </w:r>
            <w:r w:rsidR="000227C0">
              <w:rPr>
                <w:szCs w:val="20"/>
                <w:vertAlign w:val="superscript"/>
              </w:rPr>
              <w:t>7</w:t>
            </w:r>
          </w:p>
        </w:tc>
        <w:tc>
          <w:tcPr>
            <w:tcW w:w="585" w:type="pct"/>
          </w:tcPr>
          <w:p w:rsidR="00D937A5" w:rsidRPr="00BB0C56" w:rsidRDefault="00BB0C56" w:rsidP="00993987">
            <w:pPr>
              <w:pStyle w:val="TableText"/>
              <w:jc w:val="center"/>
            </w:pPr>
            <w:r>
              <w:rPr>
                <w:noProof/>
                <w:color w:val="000000"/>
                <w:highlight w:val="black"/>
              </w:rPr>
              <w:t>'''''''''''''''''''</w:t>
            </w:r>
            <w:r w:rsidR="000227C0">
              <w:rPr>
                <w:szCs w:val="20"/>
                <w:vertAlign w:val="superscript"/>
              </w:rPr>
              <w:t>8</w:t>
            </w:r>
          </w:p>
        </w:tc>
        <w:tc>
          <w:tcPr>
            <w:tcW w:w="585" w:type="pct"/>
          </w:tcPr>
          <w:p w:rsidR="00D937A5" w:rsidRPr="00BB0C56" w:rsidRDefault="00BB0C56" w:rsidP="00993987">
            <w:pPr>
              <w:pStyle w:val="TableText"/>
              <w:jc w:val="center"/>
            </w:pPr>
            <w:r>
              <w:rPr>
                <w:noProof/>
                <w:color w:val="000000"/>
                <w:highlight w:val="black"/>
              </w:rPr>
              <w:t>'''''''''''''''''''</w:t>
            </w:r>
            <w:r w:rsidR="000227C0">
              <w:rPr>
                <w:szCs w:val="20"/>
                <w:vertAlign w:val="superscript"/>
              </w:rPr>
              <w:t>8</w:t>
            </w:r>
          </w:p>
        </w:tc>
      </w:tr>
      <w:tr w:rsidR="00D937A5" w:rsidRPr="00644691" w:rsidTr="005F2C3D">
        <w:tc>
          <w:tcPr>
            <w:tcW w:w="1491" w:type="pct"/>
          </w:tcPr>
          <w:p w:rsidR="00D937A5" w:rsidRPr="00644691" w:rsidRDefault="00D937A5" w:rsidP="00993987">
            <w:pPr>
              <w:pStyle w:val="TableText"/>
              <w:rPr>
                <w:szCs w:val="20"/>
              </w:rPr>
            </w:pPr>
            <w:r w:rsidRPr="00644691">
              <w:rPr>
                <w:szCs w:val="20"/>
              </w:rPr>
              <w:t>Total dapagliflozin scripts (13.04 per year x 85% compliance)</w:t>
            </w:r>
          </w:p>
        </w:tc>
        <w:tc>
          <w:tcPr>
            <w:tcW w:w="584" w:type="pct"/>
            <w:vAlign w:val="center"/>
          </w:tcPr>
          <w:p w:rsidR="00D937A5" w:rsidRPr="00BB0C56" w:rsidRDefault="00BB0C56" w:rsidP="00993987">
            <w:pPr>
              <w:pStyle w:val="TableText"/>
              <w:jc w:val="center"/>
            </w:pPr>
            <w:r>
              <w:rPr>
                <w:noProof/>
                <w:color w:val="000000"/>
                <w:highlight w:val="black"/>
              </w:rPr>
              <w:t>''''''''''''''''''''</w:t>
            </w:r>
            <w:r w:rsidR="000227C0">
              <w:rPr>
                <w:szCs w:val="20"/>
                <w:vertAlign w:val="superscript"/>
              </w:rPr>
              <w:t>11</w:t>
            </w:r>
          </w:p>
        </w:tc>
        <w:tc>
          <w:tcPr>
            <w:tcW w:w="585" w:type="pct"/>
            <w:vAlign w:val="center"/>
          </w:tcPr>
          <w:p w:rsidR="00D937A5" w:rsidRPr="00BB0C56" w:rsidRDefault="00BB0C56" w:rsidP="00993987">
            <w:pPr>
              <w:pStyle w:val="TableText"/>
              <w:jc w:val="center"/>
            </w:pPr>
            <w:r>
              <w:rPr>
                <w:noProof/>
                <w:color w:val="000000"/>
                <w:highlight w:val="black"/>
              </w:rPr>
              <w:t>''''''''''''''''''</w:t>
            </w:r>
            <w:r w:rsidR="000227C0">
              <w:rPr>
                <w:szCs w:val="20"/>
                <w:vertAlign w:val="superscript"/>
              </w:rPr>
              <w:t>12</w:t>
            </w:r>
          </w:p>
        </w:tc>
        <w:tc>
          <w:tcPr>
            <w:tcW w:w="585" w:type="pct"/>
            <w:vAlign w:val="center"/>
          </w:tcPr>
          <w:p w:rsidR="00D937A5" w:rsidRPr="00BB0C56" w:rsidRDefault="00BB0C56" w:rsidP="00993987">
            <w:pPr>
              <w:pStyle w:val="TableText"/>
              <w:jc w:val="center"/>
            </w:pPr>
            <w:r>
              <w:rPr>
                <w:noProof/>
                <w:color w:val="000000"/>
                <w:highlight w:val="black"/>
              </w:rPr>
              <w:t>''''''''''''''''''</w:t>
            </w:r>
            <w:r w:rsidR="000227C0">
              <w:rPr>
                <w:szCs w:val="20"/>
                <w:vertAlign w:val="superscript"/>
              </w:rPr>
              <w:t>13</w:t>
            </w:r>
          </w:p>
        </w:tc>
        <w:tc>
          <w:tcPr>
            <w:tcW w:w="585" w:type="pct"/>
            <w:vAlign w:val="center"/>
          </w:tcPr>
          <w:p w:rsidR="00D937A5" w:rsidRPr="00BB0C56" w:rsidRDefault="00BB0C56" w:rsidP="00993987">
            <w:pPr>
              <w:pStyle w:val="TableText"/>
              <w:jc w:val="center"/>
            </w:pPr>
            <w:r>
              <w:rPr>
                <w:noProof/>
                <w:color w:val="000000"/>
                <w:highlight w:val="black"/>
              </w:rPr>
              <w:t>'''''''''''''''''''''</w:t>
            </w:r>
            <w:r w:rsidR="000227C0">
              <w:rPr>
                <w:szCs w:val="20"/>
                <w:vertAlign w:val="superscript"/>
              </w:rPr>
              <w:t>14</w:t>
            </w:r>
          </w:p>
        </w:tc>
        <w:tc>
          <w:tcPr>
            <w:tcW w:w="585" w:type="pct"/>
            <w:vAlign w:val="center"/>
          </w:tcPr>
          <w:p w:rsidR="00D937A5" w:rsidRPr="00BB0C56" w:rsidRDefault="00BB0C56" w:rsidP="00993987">
            <w:pPr>
              <w:pStyle w:val="TableText"/>
              <w:jc w:val="center"/>
            </w:pPr>
            <w:r>
              <w:rPr>
                <w:noProof/>
                <w:color w:val="000000"/>
                <w:highlight w:val="black"/>
              </w:rPr>
              <w:t>'''''''''''''''''''''</w:t>
            </w:r>
            <w:r w:rsidR="000227C0">
              <w:rPr>
                <w:szCs w:val="20"/>
                <w:vertAlign w:val="superscript"/>
              </w:rPr>
              <w:t>15</w:t>
            </w:r>
          </w:p>
        </w:tc>
        <w:tc>
          <w:tcPr>
            <w:tcW w:w="585" w:type="pct"/>
            <w:vAlign w:val="center"/>
          </w:tcPr>
          <w:p w:rsidR="00D937A5" w:rsidRPr="00BB0C56" w:rsidRDefault="00BB0C56" w:rsidP="00993987">
            <w:pPr>
              <w:pStyle w:val="TableText"/>
              <w:jc w:val="center"/>
            </w:pPr>
            <w:r>
              <w:rPr>
                <w:noProof/>
                <w:color w:val="000000"/>
                <w:highlight w:val="black"/>
              </w:rPr>
              <w:t>'''''''''''''''''''''</w:t>
            </w:r>
            <w:r w:rsidR="000227C0">
              <w:rPr>
                <w:szCs w:val="20"/>
                <w:vertAlign w:val="superscript"/>
              </w:rPr>
              <w:t>15</w:t>
            </w:r>
          </w:p>
        </w:tc>
      </w:tr>
      <w:tr w:rsidR="00D937A5" w:rsidRPr="00644691" w:rsidTr="005F2C3D">
        <w:tc>
          <w:tcPr>
            <w:tcW w:w="5000" w:type="pct"/>
            <w:gridSpan w:val="7"/>
            <w:vAlign w:val="center"/>
          </w:tcPr>
          <w:p w:rsidR="00D937A5" w:rsidRPr="00644691" w:rsidRDefault="00D937A5" w:rsidP="00993987">
            <w:pPr>
              <w:pStyle w:val="TableText"/>
            </w:pPr>
            <w:r w:rsidRPr="00644691">
              <w:rPr>
                <w:b/>
              </w:rPr>
              <w:t>Net cost to the PBS/RPBS</w:t>
            </w:r>
          </w:p>
        </w:tc>
      </w:tr>
      <w:tr w:rsidR="00D937A5" w:rsidRPr="00644691" w:rsidTr="005F2C3D">
        <w:tc>
          <w:tcPr>
            <w:tcW w:w="1491" w:type="pct"/>
          </w:tcPr>
          <w:p w:rsidR="00D937A5" w:rsidRPr="00644691" w:rsidRDefault="00D937A5" w:rsidP="00993987">
            <w:pPr>
              <w:pStyle w:val="TableText"/>
              <w:rPr>
                <w:szCs w:val="20"/>
              </w:rPr>
            </w:pPr>
            <w:r w:rsidRPr="00644691">
              <w:rPr>
                <w:szCs w:val="20"/>
              </w:rPr>
              <w:t>PBS/RPBS cost ($107.01 per script)</w:t>
            </w:r>
          </w:p>
        </w:tc>
        <w:tc>
          <w:tcPr>
            <w:tcW w:w="584" w:type="pct"/>
            <w:vAlign w:val="center"/>
          </w:tcPr>
          <w:p w:rsidR="00D937A5" w:rsidRPr="00644691" w:rsidRDefault="00D937A5" w:rsidP="00993987">
            <w:pPr>
              <w:pStyle w:val="TableText"/>
              <w:ind w:left="-113" w:right="-113"/>
              <w:jc w:val="center"/>
            </w:pPr>
            <w:r w:rsidRPr="00644691">
              <w:t>$</w:t>
            </w:r>
            <w:r w:rsidR="00BB0C56">
              <w:rPr>
                <w:noProof/>
                <w:color w:val="000000"/>
                <w:highlight w:val="black"/>
              </w:rPr>
              <w:t>''''''''''''''''''''''''</w:t>
            </w:r>
            <w:r w:rsidR="000227C0">
              <w:rPr>
                <w:szCs w:val="20"/>
                <w:vertAlign w:val="superscript"/>
              </w:rPr>
              <w:t>16</w:t>
            </w:r>
          </w:p>
        </w:tc>
        <w:tc>
          <w:tcPr>
            <w:tcW w:w="585" w:type="pct"/>
            <w:vAlign w:val="center"/>
          </w:tcPr>
          <w:p w:rsidR="00D937A5" w:rsidRPr="00BB0C56" w:rsidRDefault="00D937A5" w:rsidP="00993987">
            <w:pPr>
              <w:pStyle w:val="TableText"/>
              <w:ind w:left="-113" w:right="-113"/>
              <w:jc w:val="center"/>
            </w:pPr>
            <w:r w:rsidRPr="00417C55">
              <w:t>$</w:t>
            </w:r>
            <w:r w:rsidR="00BB0C56">
              <w:rPr>
                <w:noProof/>
                <w:color w:val="000000"/>
                <w:highlight w:val="black"/>
              </w:rPr>
              <w:t>'''''''''''''''''''''''''</w:t>
            </w:r>
            <w:r w:rsidR="000227C0">
              <w:rPr>
                <w:szCs w:val="20"/>
                <w:vertAlign w:val="superscript"/>
              </w:rPr>
              <w:t>17</w:t>
            </w:r>
          </w:p>
        </w:tc>
        <w:tc>
          <w:tcPr>
            <w:tcW w:w="585" w:type="pct"/>
            <w:vAlign w:val="center"/>
          </w:tcPr>
          <w:p w:rsidR="00D937A5" w:rsidRPr="00644691" w:rsidRDefault="00D937A5" w:rsidP="00993987">
            <w:pPr>
              <w:pStyle w:val="TableText"/>
              <w:ind w:left="-113" w:right="-113"/>
              <w:jc w:val="center"/>
            </w:pPr>
            <w:r w:rsidRPr="00644691">
              <w:t>$</w:t>
            </w:r>
            <w:r w:rsidR="00BB0C56">
              <w:rPr>
                <w:noProof/>
                <w:color w:val="000000"/>
                <w:highlight w:val="black"/>
              </w:rPr>
              <w:t>'''''''''''''''''''''''''</w:t>
            </w:r>
            <w:r w:rsidR="000227C0">
              <w:rPr>
                <w:szCs w:val="20"/>
                <w:vertAlign w:val="superscript"/>
              </w:rPr>
              <w:t>18</w:t>
            </w:r>
          </w:p>
        </w:tc>
        <w:tc>
          <w:tcPr>
            <w:tcW w:w="585" w:type="pct"/>
            <w:vAlign w:val="center"/>
          </w:tcPr>
          <w:p w:rsidR="00D937A5" w:rsidRPr="00644691" w:rsidRDefault="00D937A5" w:rsidP="00993987">
            <w:pPr>
              <w:pStyle w:val="TableText"/>
              <w:ind w:left="-113" w:right="-113"/>
              <w:jc w:val="center"/>
            </w:pPr>
            <w:r w:rsidRPr="00644691">
              <w:t>$</w:t>
            </w:r>
            <w:r w:rsidR="00BB0C56">
              <w:rPr>
                <w:noProof/>
                <w:color w:val="000000"/>
                <w:highlight w:val="black"/>
              </w:rPr>
              <w:t>'''''''''''''''''''''''''''</w:t>
            </w:r>
            <w:r w:rsidR="000227C0">
              <w:rPr>
                <w:szCs w:val="20"/>
                <w:vertAlign w:val="superscript"/>
              </w:rPr>
              <w:t>19</w:t>
            </w:r>
          </w:p>
        </w:tc>
        <w:tc>
          <w:tcPr>
            <w:tcW w:w="585" w:type="pct"/>
            <w:vAlign w:val="center"/>
          </w:tcPr>
          <w:p w:rsidR="00D937A5" w:rsidRPr="00644691" w:rsidRDefault="00D937A5" w:rsidP="00993987">
            <w:pPr>
              <w:pStyle w:val="TableText"/>
              <w:ind w:left="-113" w:right="-113"/>
              <w:jc w:val="center"/>
            </w:pPr>
            <w:r w:rsidRPr="00644691">
              <w:t>$</w:t>
            </w:r>
            <w:r w:rsidR="00BB0C56">
              <w:rPr>
                <w:noProof/>
                <w:color w:val="000000"/>
                <w:highlight w:val="black"/>
              </w:rPr>
              <w:t>'''''''''''''''''''''''''</w:t>
            </w:r>
            <w:r w:rsidR="005C0989">
              <w:rPr>
                <w:szCs w:val="20"/>
                <w:vertAlign w:val="superscript"/>
              </w:rPr>
              <w:t>19</w:t>
            </w:r>
          </w:p>
        </w:tc>
        <w:tc>
          <w:tcPr>
            <w:tcW w:w="585" w:type="pct"/>
            <w:vAlign w:val="center"/>
          </w:tcPr>
          <w:p w:rsidR="00D937A5" w:rsidRPr="00644691" w:rsidRDefault="00D937A5" w:rsidP="00993987">
            <w:pPr>
              <w:pStyle w:val="TableText"/>
              <w:ind w:left="-113" w:right="-113"/>
              <w:jc w:val="center"/>
            </w:pPr>
            <w:r w:rsidRPr="00644691">
              <w:t>$</w:t>
            </w:r>
            <w:r w:rsidR="00BB0C56">
              <w:rPr>
                <w:noProof/>
                <w:color w:val="000000"/>
                <w:highlight w:val="black"/>
              </w:rPr>
              <w:t>''''''''''''''''''''''''''</w:t>
            </w:r>
            <w:r w:rsidR="005C0989">
              <w:rPr>
                <w:szCs w:val="20"/>
                <w:vertAlign w:val="superscript"/>
              </w:rPr>
              <w:t>19</w:t>
            </w:r>
          </w:p>
        </w:tc>
      </w:tr>
      <w:tr w:rsidR="00D937A5" w:rsidRPr="00644691" w:rsidTr="005F2C3D">
        <w:tc>
          <w:tcPr>
            <w:tcW w:w="1491" w:type="pct"/>
          </w:tcPr>
          <w:p w:rsidR="00D937A5" w:rsidRPr="00644691" w:rsidRDefault="00D937A5" w:rsidP="00993987">
            <w:pPr>
              <w:pStyle w:val="TableText"/>
              <w:rPr>
                <w:szCs w:val="20"/>
              </w:rPr>
            </w:pPr>
            <w:r w:rsidRPr="00644691">
              <w:rPr>
                <w:szCs w:val="20"/>
              </w:rPr>
              <w:t>Patient co-payment ($12.81 per script)</w:t>
            </w:r>
          </w:p>
        </w:tc>
        <w:tc>
          <w:tcPr>
            <w:tcW w:w="584" w:type="pct"/>
            <w:vAlign w:val="center"/>
          </w:tcPr>
          <w:p w:rsidR="00D937A5" w:rsidRPr="00644691" w:rsidRDefault="00D937A5" w:rsidP="00993987">
            <w:pPr>
              <w:pStyle w:val="TableText"/>
              <w:ind w:left="-57" w:right="-57"/>
              <w:jc w:val="center"/>
            </w:pPr>
            <w:r w:rsidRPr="00644691">
              <w:t>$</w:t>
            </w:r>
            <w:r w:rsidR="00BB0C56">
              <w:rPr>
                <w:noProof/>
                <w:color w:val="000000"/>
                <w:highlight w:val="black"/>
              </w:rPr>
              <w:t>'''''''''''''''''''''''</w:t>
            </w:r>
            <w:r w:rsidR="005C0989">
              <w:rPr>
                <w:szCs w:val="20"/>
                <w:vertAlign w:val="superscript"/>
              </w:rPr>
              <w:t>20</w:t>
            </w:r>
          </w:p>
        </w:tc>
        <w:tc>
          <w:tcPr>
            <w:tcW w:w="585" w:type="pct"/>
            <w:vAlign w:val="center"/>
          </w:tcPr>
          <w:p w:rsidR="00D937A5" w:rsidRPr="00644691" w:rsidRDefault="00D937A5" w:rsidP="00993987">
            <w:pPr>
              <w:pStyle w:val="TableText"/>
              <w:ind w:left="-57" w:right="-57"/>
              <w:jc w:val="center"/>
            </w:pPr>
            <w:r w:rsidRPr="00644691">
              <w:t>$</w:t>
            </w:r>
            <w:r w:rsidR="00BB0C56">
              <w:rPr>
                <w:noProof/>
                <w:color w:val="000000"/>
                <w:highlight w:val="black"/>
              </w:rPr>
              <w:t>'''''''''''''''''''''''</w:t>
            </w:r>
            <w:r w:rsidR="005C0989">
              <w:rPr>
                <w:szCs w:val="20"/>
                <w:vertAlign w:val="superscript"/>
              </w:rPr>
              <w:t>20</w:t>
            </w:r>
          </w:p>
        </w:tc>
        <w:tc>
          <w:tcPr>
            <w:tcW w:w="585" w:type="pct"/>
            <w:vAlign w:val="center"/>
          </w:tcPr>
          <w:p w:rsidR="00D937A5" w:rsidRPr="00644691" w:rsidRDefault="00D937A5" w:rsidP="00993987">
            <w:pPr>
              <w:pStyle w:val="TableText"/>
              <w:ind w:left="-57" w:right="-57"/>
              <w:jc w:val="center"/>
            </w:pPr>
            <w:r w:rsidRPr="00644691">
              <w:t>$</w:t>
            </w:r>
            <w:r w:rsidR="00BB0C56">
              <w:rPr>
                <w:noProof/>
                <w:color w:val="000000"/>
                <w:highlight w:val="black"/>
              </w:rPr>
              <w:t>'''''''''''''''''''''''</w:t>
            </w:r>
            <w:r w:rsidR="005C0989">
              <w:rPr>
                <w:szCs w:val="20"/>
                <w:vertAlign w:val="superscript"/>
              </w:rPr>
              <w:t>20</w:t>
            </w:r>
          </w:p>
        </w:tc>
        <w:tc>
          <w:tcPr>
            <w:tcW w:w="585" w:type="pct"/>
            <w:vAlign w:val="center"/>
          </w:tcPr>
          <w:p w:rsidR="00D937A5" w:rsidRPr="00644691" w:rsidRDefault="00D937A5" w:rsidP="00993987">
            <w:pPr>
              <w:pStyle w:val="TableText"/>
              <w:ind w:left="-57" w:right="-57"/>
              <w:jc w:val="center"/>
            </w:pPr>
            <w:r w:rsidRPr="00644691">
              <w:t>$</w:t>
            </w:r>
            <w:r w:rsidR="00BB0C56">
              <w:rPr>
                <w:noProof/>
                <w:color w:val="000000"/>
                <w:highlight w:val="black"/>
              </w:rPr>
              <w:t>''''''''''''''''''''''</w:t>
            </w:r>
            <w:r w:rsidR="005C0989">
              <w:rPr>
                <w:szCs w:val="20"/>
                <w:vertAlign w:val="superscript"/>
              </w:rPr>
              <w:t>21</w:t>
            </w:r>
          </w:p>
        </w:tc>
        <w:tc>
          <w:tcPr>
            <w:tcW w:w="585" w:type="pct"/>
            <w:vAlign w:val="center"/>
          </w:tcPr>
          <w:p w:rsidR="00D937A5" w:rsidRPr="00644691" w:rsidRDefault="00D937A5" w:rsidP="00993987">
            <w:pPr>
              <w:pStyle w:val="TableText"/>
              <w:ind w:left="-57" w:right="-57"/>
              <w:jc w:val="center"/>
            </w:pPr>
            <w:r w:rsidRPr="00644691">
              <w:t>$</w:t>
            </w:r>
            <w:r w:rsidR="00BB0C56">
              <w:rPr>
                <w:noProof/>
                <w:color w:val="000000"/>
                <w:highlight w:val="black"/>
              </w:rPr>
              <w:t>'''''''''''''''''''''''</w:t>
            </w:r>
            <w:r w:rsidR="005C0989">
              <w:rPr>
                <w:szCs w:val="20"/>
                <w:vertAlign w:val="superscript"/>
              </w:rPr>
              <w:t>21</w:t>
            </w:r>
          </w:p>
        </w:tc>
        <w:tc>
          <w:tcPr>
            <w:tcW w:w="585" w:type="pct"/>
            <w:vAlign w:val="center"/>
          </w:tcPr>
          <w:p w:rsidR="00D937A5" w:rsidRPr="00644691" w:rsidRDefault="00D937A5" w:rsidP="00993987">
            <w:pPr>
              <w:pStyle w:val="TableText"/>
              <w:ind w:left="-57" w:right="-57"/>
              <w:jc w:val="center"/>
            </w:pPr>
            <w:r w:rsidRPr="00644691">
              <w:t>$</w:t>
            </w:r>
            <w:r w:rsidR="00BB0C56">
              <w:rPr>
                <w:noProof/>
                <w:color w:val="000000"/>
                <w:highlight w:val="black"/>
              </w:rPr>
              <w:t>'''''''''''''''''''''''</w:t>
            </w:r>
            <w:r w:rsidR="005C0989">
              <w:rPr>
                <w:szCs w:val="20"/>
                <w:vertAlign w:val="superscript"/>
              </w:rPr>
              <w:t>21</w:t>
            </w:r>
          </w:p>
        </w:tc>
      </w:tr>
      <w:tr w:rsidR="00D937A5" w:rsidRPr="00644691" w:rsidTr="005F2C3D">
        <w:tc>
          <w:tcPr>
            <w:tcW w:w="1491" w:type="pct"/>
          </w:tcPr>
          <w:p w:rsidR="00D937A5" w:rsidRPr="00644691" w:rsidRDefault="00D937A5" w:rsidP="00993987">
            <w:pPr>
              <w:pStyle w:val="TableText"/>
              <w:rPr>
                <w:szCs w:val="20"/>
              </w:rPr>
            </w:pPr>
            <w:r w:rsidRPr="00644691">
              <w:rPr>
                <w:szCs w:val="20"/>
              </w:rPr>
              <w:t>Net cost to the PBS/RPBS</w:t>
            </w:r>
          </w:p>
        </w:tc>
        <w:tc>
          <w:tcPr>
            <w:tcW w:w="584" w:type="pct"/>
          </w:tcPr>
          <w:p w:rsidR="00D937A5" w:rsidRPr="00BB0C56" w:rsidRDefault="00D937A5" w:rsidP="00993987">
            <w:pPr>
              <w:pStyle w:val="TableText"/>
              <w:ind w:left="-113" w:right="-113"/>
              <w:jc w:val="center"/>
            </w:pPr>
            <w:r w:rsidRPr="00417C55">
              <w:t>$</w:t>
            </w:r>
            <w:r w:rsidR="00BB0C56">
              <w:rPr>
                <w:noProof/>
                <w:color w:val="000000"/>
                <w:highlight w:val="black"/>
              </w:rPr>
              <w:t>'''''''''''''''''''''''''</w:t>
            </w:r>
            <w:r w:rsidR="005C0989">
              <w:rPr>
                <w:szCs w:val="20"/>
                <w:vertAlign w:val="superscript"/>
              </w:rPr>
              <w:t>16</w:t>
            </w:r>
          </w:p>
        </w:tc>
        <w:tc>
          <w:tcPr>
            <w:tcW w:w="585" w:type="pct"/>
          </w:tcPr>
          <w:p w:rsidR="00D937A5" w:rsidRPr="00644691" w:rsidRDefault="00D937A5" w:rsidP="00993987">
            <w:pPr>
              <w:pStyle w:val="TableText"/>
              <w:ind w:left="-113" w:right="-113"/>
              <w:jc w:val="center"/>
            </w:pPr>
            <w:r w:rsidRPr="00644691">
              <w:t>$</w:t>
            </w:r>
            <w:r w:rsidR="00BB0C56">
              <w:rPr>
                <w:noProof/>
                <w:color w:val="000000"/>
                <w:highlight w:val="black"/>
              </w:rPr>
              <w:t>'''''''''''''''''''''''''</w:t>
            </w:r>
            <w:r w:rsidR="005C0989">
              <w:rPr>
                <w:szCs w:val="20"/>
                <w:vertAlign w:val="superscript"/>
              </w:rPr>
              <w:t>17</w:t>
            </w:r>
          </w:p>
        </w:tc>
        <w:tc>
          <w:tcPr>
            <w:tcW w:w="585" w:type="pct"/>
          </w:tcPr>
          <w:p w:rsidR="00D937A5" w:rsidRPr="00644691" w:rsidRDefault="00D937A5" w:rsidP="00993987">
            <w:pPr>
              <w:pStyle w:val="TableText"/>
              <w:ind w:left="-113" w:right="-113"/>
              <w:jc w:val="center"/>
            </w:pPr>
            <w:r w:rsidRPr="00644691">
              <w:t>$</w:t>
            </w:r>
            <w:r w:rsidR="00BB0C56">
              <w:rPr>
                <w:noProof/>
                <w:color w:val="000000"/>
                <w:highlight w:val="black"/>
              </w:rPr>
              <w:t>''''''''''''''''''''''''</w:t>
            </w:r>
            <w:r w:rsidR="005C0989">
              <w:rPr>
                <w:szCs w:val="20"/>
                <w:vertAlign w:val="superscript"/>
              </w:rPr>
              <w:t>22</w:t>
            </w:r>
          </w:p>
        </w:tc>
        <w:tc>
          <w:tcPr>
            <w:tcW w:w="585" w:type="pct"/>
          </w:tcPr>
          <w:p w:rsidR="00D937A5" w:rsidRPr="00644691" w:rsidRDefault="00D937A5" w:rsidP="00993987">
            <w:pPr>
              <w:pStyle w:val="TableText"/>
              <w:ind w:left="-113" w:right="-113"/>
              <w:jc w:val="center"/>
            </w:pPr>
            <w:r w:rsidRPr="00644691">
              <w:t>$</w:t>
            </w:r>
            <w:r w:rsidR="00BB0C56">
              <w:rPr>
                <w:noProof/>
                <w:color w:val="000000"/>
                <w:highlight w:val="black"/>
              </w:rPr>
              <w:t>''''''''''''''''''''''''</w:t>
            </w:r>
            <w:r w:rsidR="005C0989">
              <w:rPr>
                <w:szCs w:val="20"/>
                <w:vertAlign w:val="superscript"/>
              </w:rPr>
              <w:t>23</w:t>
            </w:r>
          </w:p>
        </w:tc>
        <w:tc>
          <w:tcPr>
            <w:tcW w:w="585" w:type="pct"/>
          </w:tcPr>
          <w:p w:rsidR="00D937A5" w:rsidRPr="00BB0C56" w:rsidRDefault="00D937A5" w:rsidP="00993987">
            <w:pPr>
              <w:pStyle w:val="TableText"/>
              <w:ind w:left="-113" w:right="-113"/>
              <w:jc w:val="center"/>
            </w:pPr>
            <w:r w:rsidRPr="00417C55">
              <w:t>$</w:t>
            </w:r>
            <w:r w:rsidR="00BB0C56">
              <w:rPr>
                <w:noProof/>
                <w:color w:val="000000"/>
                <w:highlight w:val="black"/>
              </w:rPr>
              <w:t>''''''''''''''''''''''''</w:t>
            </w:r>
            <w:r w:rsidR="005C0989">
              <w:rPr>
                <w:szCs w:val="20"/>
                <w:vertAlign w:val="superscript"/>
              </w:rPr>
              <w:t>19</w:t>
            </w:r>
          </w:p>
        </w:tc>
        <w:tc>
          <w:tcPr>
            <w:tcW w:w="585" w:type="pct"/>
          </w:tcPr>
          <w:p w:rsidR="00D937A5" w:rsidRPr="00644691" w:rsidRDefault="00D937A5" w:rsidP="00993987">
            <w:pPr>
              <w:pStyle w:val="TableText"/>
              <w:ind w:left="-113" w:right="-113"/>
              <w:jc w:val="center"/>
            </w:pPr>
            <w:r w:rsidRPr="00644691">
              <w:t>$</w:t>
            </w:r>
            <w:r w:rsidR="00BB0C56">
              <w:rPr>
                <w:noProof/>
                <w:color w:val="000000"/>
                <w:highlight w:val="black"/>
              </w:rPr>
              <w:t>'''''''''''''''''''''''</w:t>
            </w:r>
            <w:r w:rsidR="005C0989">
              <w:rPr>
                <w:szCs w:val="20"/>
                <w:vertAlign w:val="superscript"/>
              </w:rPr>
              <w:t>19</w:t>
            </w:r>
          </w:p>
        </w:tc>
      </w:tr>
      <w:tr w:rsidR="00C01386" w:rsidRPr="00644691" w:rsidTr="00C01386">
        <w:tc>
          <w:tcPr>
            <w:tcW w:w="1491" w:type="pct"/>
          </w:tcPr>
          <w:p w:rsidR="00C01386" w:rsidRPr="00644691" w:rsidRDefault="00C01386" w:rsidP="00C01386">
            <w:pPr>
              <w:pStyle w:val="TableText"/>
              <w:rPr>
                <w:szCs w:val="20"/>
                <w:vertAlign w:val="superscript"/>
              </w:rPr>
            </w:pPr>
            <w:r w:rsidRPr="00644691">
              <w:rPr>
                <w:szCs w:val="20"/>
              </w:rPr>
              <w:t>Net cost to the PBS/RPBS ($</w:t>
            </w:r>
            <w:r w:rsidR="00BB0C56">
              <w:rPr>
                <w:noProof/>
                <w:color w:val="000000"/>
                <w:szCs w:val="20"/>
                <w:highlight w:val="black"/>
              </w:rPr>
              <w:t>'''''''''''''</w:t>
            </w:r>
            <w:r w:rsidR="00E13174" w:rsidRPr="00644691">
              <w:rPr>
                <w:szCs w:val="20"/>
              </w:rPr>
              <w:t xml:space="preserve"> per script</w:t>
            </w:r>
            <w:r w:rsidRPr="00644691">
              <w:rPr>
                <w:szCs w:val="20"/>
              </w:rPr>
              <w:t>, pre-PBAC response price)</w:t>
            </w:r>
            <w:r w:rsidR="009A4027" w:rsidRPr="00644691">
              <w:rPr>
                <w:szCs w:val="20"/>
                <w:vertAlign w:val="superscript"/>
              </w:rPr>
              <w:t>3</w:t>
            </w:r>
          </w:p>
        </w:tc>
        <w:tc>
          <w:tcPr>
            <w:tcW w:w="584" w:type="pct"/>
            <w:vAlign w:val="center"/>
          </w:tcPr>
          <w:p w:rsidR="00C01386" w:rsidRPr="00BB0C56" w:rsidRDefault="00C01386" w:rsidP="00C01386">
            <w:pPr>
              <w:pStyle w:val="TableText"/>
              <w:ind w:left="-113" w:right="-113"/>
              <w:jc w:val="center"/>
            </w:pPr>
            <w:r w:rsidRPr="00417C55">
              <w:t>$</w:t>
            </w:r>
            <w:r w:rsidR="00BB0C56">
              <w:rPr>
                <w:noProof/>
                <w:color w:val="000000"/>
                <w:highlight w:val="black"/>
              </w:rPr>
              <w:t>''''''''''''''''''''''''</w:t>
            </w:r>
            <w:r w:rsidR="005C0989">
              <w:rPr>
                <w:szCs w:val="20"/>
                <w:vertAlign w:val="superscript"/>
              </w:rPr>
              <w:t>21</w:t>
            </w:r>
          </w:p>
        </w:tc>
        <w:tc>
          <w:tcPr>
            <w:tcW w:w="585" w:type="pct"/>
            <w:vAlign w:val="center"/>
          </w:tcPr>
          <w:p w:rsidR="00C01386" w:rsidRPr="00644691" w:rsidRDefault="00C01386" w:rsidP="00C01386">
            <w:pPr>
              <w:pStyle w:val="TableText"/>
              <w:ind w:left="-113" w:right="-113"/>
              <w:jc w:val="center"/>
            </w:pPr>
            <w:r w:rsidRPr="00644691">
              <w:t>$</w:t>
            </w:r>
            <w:r w:rsidR="00BB0C56">
              <w:rPr>
                <w:noProof/>
                <w:color w:val="000000"/>
                <w:highlight w:val="black"/>
              </w:rPr>
              <w:t>''''''''''''''''''''''''</w:t>
            </w:r>
            <w:r w:rsidR="005C0989">
              <w:rPr>
                <w:szCs w:val="20"/>
                <w:vertAlign w:val="superscript"/>
              </w:rPr>
              <w:t>16</w:t>
            </w:r>
          </w:p>
        </w:tc>
        <w:tc>
          <w:tcPr>
            <w:tcW w:w="585" w:type="pct"/>
            <w:vAlign w:val="center"/>
          </w:tcPr>
          <w:p w:rsidR="00C01386" w:rsidRPr="00644691" w:rsidRDefault="00C01386" w:rsidP="00C01386">
            <w:pPr>
              <w:pStyle w:val="TableText"/>
              <w:ind w:left="-113" w:right="-113"/>
              <w:jc w:val="center"/>
            </w:pPr>
            <w:r w:rsidRPr="00644691">
              <w:t>$</w:t>
            </w:r>
            <w:r w:rsidR="00BB0C56">
              <w:rPr>
                <w:noProof/>
                <w:color w:val="000000"/>
                <w:highlight w:val="black"/>
              </w:rPr>
              <w:t>'''''''''''''''''''''''</w:t>
            </w:r>
            <w:r w:rsidR="005C0989">
              <w:rPr>
                <w:szCs w:val="20"/>
                <w:vertAlign w:val="superscript"/>
              </w:rPr>
              <w:t>24</w:t>
            </w:r>
          </w:p>
        </w:tc>
        <w:tc>
          <w:tcPr>
            <w:tcW w:w="585" w:type="pct"/>
            <w:vAlign w:val="center"/>
          </w:tcPr>
          <w:p w:rsidR="00C01386" w:rsidRPr="00644691" w:rsidRDefault="00C01386" w:rsidP="00C01386">
            <w:pPr>
              <w:pStyle w:val="TableText"/>
              <w:ind w:left="-113" w:right="-113"/>
              <w:jc w:val="center"/>
            </w:pPr>
            <w:r w:rsidRPr="00644691">
              <w:t>$</w:t>
            </w:r>
            <w:r w:rsidR="00BB0C56">
              <w:rPr>
                <w:noProof/>
                <w:color w:val="000000"/>
                <w:highlight w:val="black"/>
              </w:rPr>
              <w:t>''''''''''''''''''''''''</w:t>
            </w:r>
            <w:r w:rsidR="005C0989">
              <w:rPr>
                <w:szCs w:val="20"/>
                <w:vertAlign w:val="superscript"/>
              </w:rPr>
              <w:t>25</w:t>
            </w:r>
          </w:p>
        </w:tc>
        <w:tc>
          <w:tcPr>
            <w:tcW w:w="585" w:type="pct"/>
            <w:vAlign w:val="center"/>
          </w:tcPr>
          <w:p w:rsidR="00C01386" w:rsidRPr="00644691" w:rsidRDefault="00C01386" w:rsidP="00C01386">
            <w:pPr>
              <w:pStyle w:val="TableText"/>
              <w:ind w:left="-113" w:right="-113"/>
              <w:jc w:val="center"/>
            </w:pPr>
            <w:r w:rsidRPr="00644691">
              <w:t>$</w:t>
            </w:r>
            <w:r w:rsidR="00BB0C56">
              <w:rPr>
                <w:noProof/>
                <w:color w:val="000000"/>
                <w:highlight w:val="black"/>
              </w:rPr>
              <w:t>'''''''''''''''''''''''''''</w:t>
            </w:r>
            <w:r w:rsidR="005C0989">
              <w:rPr>
                <w:szCs w:val="20"/>
                <w:vertAlign w:val="superscript"/>
              </w:rPr>
              <w:t>17</w:t>
            </w:r>
          </w:p>
        </w:tc>
        <w:tc>
          <w:tcPr>
            <w:tcW w:w="585" w:type="pct"/>
            <w:vAlign w:val="center"/>
          </w:tcPr>
          <w:p w:rsidR="00C01386" w:rsidRPr="00644691" w:rsidRDefault="00C01386" w:rsidP="00C01386">
            <w:pPr>
              <w:pStyle w:val="TableText"/>
              <w:ind w:left="-113" w:right="-113"/>
              <w:jc w:val="center"/>
            </w:pPr>
            <w:r w:rsidRPr="00644691">
              <w:t>$</w:t>
            </w:r>
            <w:r w:rsidR="00BB0C56">
              <w:rPr>
                <w:noProof/>
                <w:color w:val="000000"/>
                <w:highlight w:val="black"/>
              </w:rPr>
              <w:t>''''''''''''''''''''''''''</w:t>
            </w:r>
            <w:r w:rsidR="005C0989">
              <w:rPr>
                <w:szCs w:val="20"/>
                <w:vertAlign w:val="superscript"/>
              </w:rPr>
              <w:t>26</w:t>
            </w:r>
          </w:p>
        </w:tc>
      </w:tr>
      <w:tr w:rsidR="00EC1000" w:rsidRPr="00644691" w:rsidTr="0082120E">
        <w:tc>
          <w:tcPr>
            <w:tcW w:w="5000" w:type="pct"/>
            <w:gridSpan w:val="7"/>
            <w:shd w:val="clear" w:color="auto" w:fill="B8CCE4" w:themeFill="accent1" w:themeFillTint="66"/>
          </w:tcPr>
          <w:p w:rsidR="00EC1000" w:rsidRPr="00644691" w:rsidRDefault="00B623B2" w:rsidP="00993987">
            <w:pPr>
              <w:pStyle w:val="TableText"/>
              <w:rPr>
                <w:b/>
                <w:bCs w:val="0"/>
                <w:vertAlign w:val="superscript"/>
              </w:rPr>
            </w:pPr>
            <w:r w:rsidRPr="00644691">
              <w:rPr>
                <w:b/>
                <w:bCs w:val="0"/>
              </w:rPr>
              <w:t>Dapagliflozin November 2020</w:t>
            </w:r>
            <w:r w:rsidR="00E5690E" w:rsidRPr="00644691">
              <w:rPr>
                <w:b/>
                <w:bCs w:val="0"/>
                <w:vertAlign w:val="superscript"/>
              </w:rPr>
              <w:t>2</w:t>
            </w:r>
          </w:p>
        </w:tc>
      </w:tr>
      <w:tr w:rsidR="00787B74" w:rsidRPr="00644691" w:rsidTr="0082120E">
        <w:tc>
          <w:tcPr>
            <w:tcW w:w="1491" w:type="pct"/>
            <w:shd w:val="clear" w:color="auto" w:fill="B8CCE4" w:themeFill="accent1" w:themeFillTint="66"/>
          </w:tcPr>
          <w:p w:rsidR="00787B74" w:rsidRPr="00644691" w:rsidRDefault="00787B74" w:rsidP="00993987">
            <w:pPr>
              <w:pStyle w:val="TableText"/>
              <w:rPr>
                <w:szCs w:val="20"/>
              </w:rPr>
            </w:pPr>
            <w:bookmarkStart w:id="48" w:name="_Hlk69747767"/>
            <w:r w:rsidRPr="00644691">
              <w:t>Net cost to PBS/RPBS</w:t>
            </w:r>
          </w:p>
        </w:tc>
        <w:tc>
          <w:tcPr>
            <w:tcW w:w="584" w:type="pct"/>
            <w:shd w:val="clear" w:color="auto" w:fill="B8CCE4" w:themeFill="accent1" w:themeFillTint="66"/>
          </w:tcPr>
          <w:p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21</w:t>
            </w:r>
          </w:p>
        </w:tc>
        <w:tc>
          <w:tcPr>
            <w:tcW w:w="585" w:type="pct"/>
            <w:shd w:val="clear" w:color="auto" w:fill="B8CCE4" w:themeFill="accent1" w:themeFillTint="66"/>
          </w:tcPr>
          <w:p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24</w:t>
            </w:r>
          </w:p>
        </w:tc>
        <w:tc>
          <w:tcPr>
            <w:tcW w:w="585" w:type="pct"/>
            <w:shd w:val="clear" w:color="auto" w:fill="B8CCE4" w:themeFill="accent1" w:themeFillTint="66"/>
          </w:tcPr>
          <w:p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25</w:t>
            </w:r>
          </w:p>
        </w:tc>
        <w:tc>
          <w:tcPr>
            <w:tcW w:w="585" w:type="pct"/>
            <w:shd w:val="clear" w:color="auto" w:fill="B8CCE4" w:themeFill="accent1" w:themeFillTint="66"/>
          </w:tcPr>
          <w:p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17</w:t>
            </w:r>
          </w:p>
        </w:tc>
        <w:tc>
          <w:tcPr>
            <w:tcW w:w="585" w:type="pct"/>
            <w:shd w:val="clear" w:color="auto" w:fill="B8CCE4" w:themeFill="accent1" w:themeFillTint="66"/>
          </w:tcPr>
          <w:p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26</w:t>
            </w:r>
          </w:p>
        </w:tc>
        <w:tc>
          <w:tcPr>
            <w:tcW w:w="585" w:type="pct"/>
            <w:shd w:val="clear" w:color="auto" w:fill="B8CCE4" w:themeFill="accent1" w:themeFillTint="66"/>
          </w:tcPr>
          <w:p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18</w:t>
            </w:r>
          </w:p>
        </w:tc>
      </w:tr>
      <w:tr w:rsidR="00787B74" w:rsidRPr="00644691" w:rsidTr="0082120E">
        <w:tc>
          <w:tcPr>
            <w:tcW w:w="1491" w:type="pct"/>
            <w:shd w:val="clear" w:color="auto" w:fill="B8CCE4" w:themeFill="accent1" w:themeFillTint="66"/>
          </w:tcPr>
          <w:p w:rsidR="00787B74" w:rsidRPr="00644691" w:rsidRDefault="00787B74" w:rsidP="00993987">
            <w:pPr>
              <w:pStyle w:val="TableText"/>
              <w:rPr>
                <w:szCs w:val="20"/>
              </w:rPr>
            </w:pPr>
            <w:r w:rsidRPr="00644691">
              <w:t>Net saving to MBS</w:t>
            </w:r>
          </w:p>
        </w:tc>
        <w:tc>
          <w:tcPr>
            <w:tcW w:w="584" w:type="pct"/>
            <w:shd w:val="clear" w:color="auto" w:fill="B8CCE4" w:themeFill="accent1" w:themeFillTint="66"/>
          </w:tcPr>
          <w:p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20</w:t>
            </w:r>
          </w:p>
        </w:tc>
        <w:tc>
          <w:tcPr>
            <w:tcW w:w="585" w:type="pct"/>
            <w:shd w:val="clear" w:color="auto" w:fill="B8CCE4" w:themeFill="accent1" w:themeFillTint="66"/>
          </w:tcPr>
          <w:p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20</w:t>
            </w:r>
          </w:p>
        </w:tc>
        <w:tc>
          <w:tcPr>
            <w:tcW w:w="585" w:type="pct"/>
            <w:shd w:val="clear" w:color="auto" w:fill="B8CCE4" w:themeFill="accent1" w:themeFillTint="66"/>
          </w:tcPr>
          <w:p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20</w:t>
            </w:r>
          </w:p>
        </w:tc>
        <w:tc>
          <w:tcPr>
            <w:tcW w:w="585" w:type="pct"/>
            <w:shd w:val="clear" w:color="auto" w:fill="B8CCE4" w:themeFill="accent1" w:themeFillTint="66"/>
          </w:tcPr>
          <w:p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20</w:t>
            </w:r>
          </w:p>
        </w:tc>
        <w:tc>
          <w:tcPr>
            <w:tcW w:w="585" w:type="pct"/>
            <w:shd w:val="clear" w:color="auto" w:fill="B8CCE4" w:themeFill="accent1" w:themeFillTint="66"/>
          </w:tcPr>
          <w:p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20</w:t>
            </w:r>
          </w:p>
        </w:tc>
        <w:tc>
          <w:tcPr>
            <w:tcW w:w="585" w:type="pct"/>
            <w:shd w:val="clear" w:color="auto" w:fill="B8CCE4" w:themeFill="accent1" w:themeFillTint="66"/>
          </w:tcPr>
          <w:p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20</w:t>
            </w:r>
          </w:p>
        </w:tc>
      </w:tr>
      <w:tr w:rsidR="00787B74" w:rsidRPr="00644691" w:rsidTr="0082120E">
        <w:tc>
          <w:tcPr>
            <w:tcW w:w="1491" w:type="pct"/>
            <w:shd w:val="clear" w:color="auto" w:fill="B8CCE4" w:themeFill="accent1" w:themeFillTint="66"/>
          </w:tcPr>
          <w:p w:rsidR="00787B74" w:rsidRPr="00644691" w:rsidRDefault="00787B74" w:rsidP="00993987">
            <w:pPr>
              <w:pStyle w:val="TableText"/>
              <w:rPr>
                <w:szCs w:val="20"/>
              </w:rPr>
            </w:pPr>
            <w:r w:rsidRPr="00644691">
              <w:t>Net cost to Government</w:t>
            </w:r>
          </w:p>
        </w:tc>
        <w:tc>
          <w:tcPr>
            <w:tcW w:w="584" w:type="pct"/>
            <w:shd w:val="clear" w:color="auto" w:fill="B8CCE4" w:themeFill="accent1" w:themeFillTint="66"/>
          </w:tcPr>
          <w:p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21</w:t>
            </w:r>
          </w:p>
        </w:tc>
        <w:tc>
          <w:tcPr>
            <w:tcW w:w="585" w:type="pct"/>
            <w:shd w:val="clear" w:color="auto" w:fill="B8CCE4" w:themeFill="accent1" w:themeFillTint="66"/>
          </w:tcPr>
          <w:p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24</w:t>
            </w:r>
          </w:p>
        </w:tc>
        <w:tc>
          <w:tcPr>
            <w:tcW w:w="585" w:type="pct"/>
            <w:shd w:val="clear" w:color="auto" w:fill="B8CCE4" w:themeFill="accent1" w:themeFillTint="66"/>
          </w:tcPr>
          <w:p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25</w:t>
            </w:r>
          </w:p>
        </w:tc>
        <w:tc>
          <w:tcPr>
            <w:tcW w:w="585" w:type="pct"/>
            <w:shd w:val="clear" w:color="auto" w:fill="B8CCE4" w:themeFill="accent1" w:themeFillTint="66"/>
          </w:tcPr>
          <w:p w:rsidR="00787B74" w:rsidRPr="00BB0C56" w:rsidRDefault="00787B74" w:rsidP="00993987">
            <w:pPr>
              <w:pStyle w:val="TableText"/>
              <w:ind w:left="-113" w:right="-113"/>
              <w:jc w:val="center"/>
            </w:pPr>
            <w:r w:rsidRPr="00417C55">
              <w:t>$</w:t>
            </w:r>
            <w:r w:rsidR="00BB0C56">
              <w:rPr>
                <w:noProof/>
                <w:color w:val="000000"/>
                <w:highlight w:val="black"/>
              </w:rPr>
              <w:t>'''''''''''''''''''''''</w:t>
            </w:r>
            <w:r w:rsidR="005C0989">
              <w:rPr>
                <w:szCs w:val="20"/>
                <w:vertAlign w:val="superscript"/>
              </w:rPr>
              <w:t>17</w:t>
            </w:r>
          </w:p>
        </w:tc>
        <w:tc>
          <w:tcPr>
            <w:tcW w:w="585" w:type="pct"/>
            <w:shd w:val="clear" w:color="auto" w:fill="B8CCE4" w:themeFill="accent1" w:themeFillTint="66"/>
          </w:tcPr>
          <w:p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26</w:t>
            </w:r>
          </w:p>
        </w:tc>
        <w:tc>
          <w:tcPr>
            <w:tcW w:w="585" w:type="pct"/>
            <w:shd w:val="clear" w:color="auto" w:fill="B8CCE4" w:themeFill="accent1" w:themeFillTint="66"/>
          </w:tcPr>
          <w:p w:rsidR="00787B74" w:rsidRPr="00644691" w:rsidRDefault="00787B74" w:rsidP="00993987">
            <w:pPr>
              <w:pStyle w:val="TableText"/>
              <w:ind w:left="-113" w:right="-113"/>
              <w:jc w:val="center"/>
            </w:pPr>
            <w:r w:rsidRPr="00644691">
              <w:t>$</w:t>
            </w:r>
            <w:r w:rsidR="00BB0C56">
              <w:rPr>
                <w:noProof/>
                <w:color w:val="000000"/>
                <w:highlight w:val="black"/>
              </w:rPr>
              <w:t>'''''''''''''''''''''''</w:t>
            </w:r>
            <w:r w:rsidR="005C0989">
              <w:rPr>
                <w:szCs w:val="20"/>
                <w:vertAlign w:val="superscript"/>
              </w:rPr>
              <w:t>18</w:t>
            </w:r>
          </w:p>
        </w:tc>
      </w:tr>
    </w:tbl>
    <w:bookmarkEnd w:id="48"/>
    <w:p w:rsidR="00D937A5" w:rsidRPr="00644691" w:rsidRDefault="00D937A5" w:rsidP="00D937A5">
      <w:pPr>
        <w:pStyle w:val="TableFooter"/>
        <w:spacing w:after="120"/>
      </w:pPr>
      <w:r w:rsidRPr="00644691">
        <w:t>Source: Figure 4.2-2, pp185-186; Table 4.2-4, p187; Table 4.2-10, p191; Table 4.2-12, p193 of the resubmission</w:t>
      </w:r>
      <w:r w:rsidR="001170C4" w:rsidRPr="00644691">
        <w:t xml:space="preserve">; Table 4.2, p83 of the </w:t>
      </w:r>
      <w:r w:rsidR="00B6149A" w:rsidRPr="00644691">
        <w:t xml:space="preserve">November 2020 dapagliflozin </w:t>
      </w:r>
      <w:r w:rsidR="007B6DA5" w:rsidRPr="00644691">
        <w:t>C</w:t>
      </w:r>
      <w:r w:rsidR="00B6149A" w:rsidRPr="00644691">
        <w:t>ommentary</w:t>
      </w:r>
      <w:r w:rsidR="009A4027" w:rsidRPr="00644691">
        <w:t>; Table 3, p2 of the pre-PBAC response.</w:t>
      </w:r>
    </w:p>
    <w:p w:rsidR="00D937A5" w:rsidRPr="00644691" w:rsidRDefault="00D937A5" w:rsidP="00D937A5">
      <w:pPr>
        <w:pStyle w:val="TableFooter"/>
        <w:spacing w:after="120"/>
      </w:pPr>
      <w:r w:rsidRPr="00644691">
        <w:t xml:space="preserve">ACE, angiotensin-converting enzyme; ARB, angiotensin II receptor blocker; </w:t>
      </w:r>
      <w:r w:rsidR="00960E2D" w:rsidRPr="00644691">
        <w:t>HFrEF</w:t>
      </w:r>
      <w:r w:rsidRPr="00644691">
        <w:t>, heart failure with reduced ejection fraction; SGLT2, sodium-glucose co-transporter 2.</w:t>
      </w:r>
    </w:p>
    <w:p w:rsidR="00D937A5" w:rsidRPr="00644691" w:rsidRDefault="00D937A5" w:rsidP="00D937A5">
      <w:pPr>
        <w:pStyle w:val="TableFooter"/>
        <w:spacing w:after="120"/>
      </w:pPr>
      <w:r w:rsidRPr="00644691">
        <w:rPr>
          <w:vertAlign w:val="superscript"/>
        </w:rPr>
        <w:t>1</w:t>
      </w:r>
      <w:r w:rsidRPr="00644691">
        <w:t xml:space="preserve"> Comprising a beta-blocker plus an ACE inhibitor or ARB or ARNI.</w:t>
      </w:r>
    </w:p>
    <w:p w:rsidR="00E5690E" w:rsidRPr="00644691" w:rsidRDefault="00E5690E" w:rsidP="009A4027">
      <w:pPr>
        <w:pStyle w:val="TableFooter"/>
      </w:pPr>
      <w:r w:rsidRPr="00644691">
        <w:rPr>
          <w:vertAlign w:val="superscript"/>
        </w:rPr>
        <w:t xml:space="preserve">2 </w:t>
      </w:r>
      <w:r w:rsidRPr="00644691">
        <w:t>Based on published prices of sacubitril/valsartan. The net cost to the PBS would have been reduced once the effective price was applied.</w:t>
      </w:r>
    </w:p>
    <w:p w:rsidR="009A4027" w:rsidRDefault="009A4027" w:rsidP="009A4027">
      <w:pPr>
        <w:pStyle w:val="TableFigureFooter"/>
      </w:pPr>
      <w:r w:rsidRPr="00644691">
        <w:rPr>
          <w:vertAlign w:val="superscript"/>
        </w:rPr>
        <w:t>3</w:t>
      </w:r>
      <w:r w:rsidRPr="00644691">
        <w:t xml:space="preserve"> The pre-PBAC response offered a DPMQ of $</w:t>
      </w:r>
      <w:r w:rsidR="00BB0C56">
        <w:rPr>
          <w:noProof/>
          <w:color w:val="000000"/>
          <w:highlight w:val="black"/>
        </w:rPr>
        <w:t>''''''''''''''</w:t>
      </w:r>
      <w:r w:rsidRPr="00644691">
        <w:t xml:space="preserve">, consistent with the </w:t>
      </w:r>
      <w:r w:rsidR="00BB0C56">
        <w:rPr>
          <w:noProof/>
          <w:color w:val="000000"/>
          <w:highlight w:val="black"/>
        </w:rPr>
        <w:t>'''''''''''''''</w:t>
      </w:r>
      <w:r w:rsidRPr="00644691">
        <w:t xml:space="preserve"> price. The </w:t>
      </w:r>
      <w:r w:rsidR="00BB0C56">
        <w:rPr>
          <w:noProof/>
          <w:color w:val="000000"/>
          <w:highlight w:val="black"/>
        </w:rPr>
        <w:t>''''''''''''''</w:t>
      </w:r>
      <w:r w:rsidRPr="00644691">
        <w:t xml:space="preserve"> DPMQ at the time of the July 2021 PBAC meeting was $</w:t>
      </w:r>
      <w:r w:rsidR="00BB0C56">
        <w:rPr>
          <w:noProof/>
          <w:color w:val="000000"/>
          <w:highlight w:val="black"/>
        </w:rPr>
        <w:t>'''''''''''''''</w:t>
      </w:r>
      <w:r w:rsidRPr="00644691">
        <w:t>.</w:t>
      </w:r>
    </w:p>
    <w:p w:rsidR="00417C55" w:rsidRDefault="00417C55" w:rsidP="00417C55">
      <w:pPr>
        <w:pStyle w:val="TableFigureFooter"/>
        <w:spacing w:after="0"/>
        <w:contextualSpacing w:val="0"/>
        <w:rPr>
          <w:i/>
        </w:rPr>
      </w:pPr>
      <w:r w:rsidRPr="009868C4">
        <w:rPr>
          <w:i/>
        </w:rPr>
        <w:t>The redacted values correspond to the following ranges</w:t>
      </w:r>
      <w:r>
        <w:rPr>
          <w:i/>
        </w:rPr>
        <w:t xml:space="preserve">: </w:t>
      </w:r>
    </w:p>
    <w:p w:rsidR="00417C55" w:rsidRPr="00870C5D" w:rsidRDefault="00417C55" w:rsidP="00417C55">
      <w:pPr>
        <w:pStyle w:val="TableFigureFooter"/>
        <w:spacing w:after="0"/>
        <w:contextualSpacing w:val="0"/>
      </w:pPr>
      <w:r>
        <w:rPr>
          <w:i/>
          <w:vertAlign w:val="superscript"/>
        </w:rPr>
        <w:t>4</w:t>
      </w:r>
      <w:r>
        <w:rPr>
          <w:i/>
        </w:rPr>
        <w:t xml:space="preserve"> </w:t>
      </w:r>
      <w:r w:rsidR="005B4553" w:rsidRPr="005B4553">
        <w:rPr>
          <w:i/>
        </w:rPr>
        <w:t>20,000 to &lt; 30,000</w:t>
      </w:r>
    </w:p>
    <w:p w:rsidR="00417C55" w:rsidRPr="00870C5D" w:rsidRDefault="00417C55" w:rsidP="00417C55">
      <w:pPr>
        <w:pStyle w:val="TableFigureFooter"/>
        <w:spacing w:after="0"/>
        <w:contextualSpacing w:val="0"/>
      </w:pPr>
      <w:r>
        <w:rPr>
          <w:i/>
          <w:vertAlign w:val="superscript"/>
        </w:rPr>
        <w:t>5</w:t>
      </w:r>
      <w:r>
        <w:rPr>
          <w:i/>
        </w:rPr>
        <w:t xml:space="preserve"> </w:t>
      </w:r>
      <w:r w:rsidR="005B4553" w:rsidRPr="005B4553">
        <w:rPr>
          <w:i/>
        </w:rPr>
        <w:t>40,000 to &lt; 50,000</w:t>
      </w:r>
    </w:p>
    <w:p w:rsidR="00417C55" w:rsidRPr="00870C5D" w:rsidRDefault="00417C55" w:rsidP="00417C55">
      <w:pPr>
        <w:pStyle w:val="TableFigureFooter"/>
        <w:spacing w:after="0"/>
        <w:contextualSpacing w:val="0"/>
      </w:pPr>
      <w:r>
        <w:rPr>
          <w:i/>
          <w:vertAlign w:val="superscript"/>
        </w:rPr>
        <w:t>6</w:t>
      </w:r>
      <w:r>
        <w:rPr>
          <w:i/>
        </w:rPr>
        <w:t xml:space="preserve"> </w:t>
      </w:r>
      <w:r w:rsidR="005B4553" w:rsidRPr="005B4553">
        <w:rPr>
          <w:i/>
        </w:rPr>
        <w:t>60,000 to &lt; 70,000</w:t>
      </w:r>
    </w:p>
    <w:p w:rsidR="00417C55" w:rsidRPr="00870C5D" w:rsidRDefault="00417C55" w:rsidP="00417C55">
      <w:pPr>
        <w:pStyle w:val="TableFigureFooter"/>
        <w:spacing w:after="0"/>
        <w:contextualSpacing w:val="0"/>
      </w:pPr>
      <w:r>
        <w:rPr>
          <w:i/>
          <w:vertAlign w:val="superscript"/>
        </w:rPr>
        <w:t>7</w:t>
      </w:r>
      <w:r>
        <w:rPr>
          <w:i/>
        </w:rPr>
        <w:t xml:space="preserve"> </w:t>
      </w:r>
      <w:r w:rsidR="005B4553" w:rsidRPr="005B4553">
        <w:rPr>
          <w:i/>
        </w:rPr>
        <w:t>80,000 to &lt; 90,000</w:t>
      </w:r>
    </w:p>
    <w:p w:rsidR="00417C55" w:rsidRPr="00870C5D" w:rsidRDefault="00417C55" w:rsidP="00417C55">
      <w:pPr>
        <w:pStyle w:val="TableFigureFooter"/>
        <w:spacing w:after="0"/>
        <w:contextualSpacing w:val="0"/>
      </w:pPr>
      <w:r>
        <w:rPr>
          <w:i/>
          <w:vertAlign w:val="superscript"/>
        </w:rPr>
        <w:t>8</w:t>
      </w:r>
      <w:r>
        <w:rPr>
          <w:i/>
        </w:rPr>
        <w:t xml:space="preserve"> </w:t>
      </w:r>
      <w:r w:rsidR="005B4553" w:rsidRPr="005B4553">
        <w:rPr>
          <w:i/>
        </w:rPr>
        <w:t>100,000 to &lt; 200,000</w:t>
      </w:r>
    </w:p>
    <w:p w:rsidR="00417C55" w:rsidRPr="00870C5D" w:rsidRDefault="00417C55" w:rsidP="00417C55">
      <w:pPr>
        <w:pStyle w:val="TableFigureFooter"/>
        <w:spacing w:after="0"/>
        <w:contextualSpacing w:val="0"/>
      </w:pPr>
      <w:r>
        <w:rPr>
          <w:i/>
          <w:vertAlign w:val="superscript"/>
        </w:rPr>
        <w:t>9</w:t>
      </w:r>
      <w:r>
        <w:rPr>
          <w:i/>
        </w:rPr>
        <w:t xml:space="preserve"> </w:t>
      </w:r>
      <w:r w:rsidR="005B4553" w:rsidRPr="005B4553">
        <w:rPr>
          <w:i/>
        </w:rPr>
        <w:t>500 to &lt; 5,000</w:t>
      </w:r>
    </w:p>
    <w:p w:rsidR="00417C55" w:rsidRPr="00870C5D" w:rsidRDefault="00417C55" w:rsidP="00417C55">
      <w:pPr>
        <w:pStyle w:val="TableFigureFooter"/>
        <w:spacing w:after="0"/>
        <w:contextualSpacing w:val="0"/>
      </w:pPr>
      <w:r>
        <w:rPr>
          <w:i/>
          <w:vertAlign w:val="superscript"/>
        </w:rPr>
        <w:t>10</w:t>
      </w:r>
      <w:r>
        <w:rPr>
          <w:i/>
        </w:rPr>
        <w:t xml:space="preserve"> </w:t>
      </w:r>
      <w:r w:rsidR="005B4553" w:rsidRPr="005B4553">
        <w:rPr>
          <w:i/>
        </w:rPr>
        <w:t>50,000 to &lt; 60,000</w:t>
      </w:r>
    </w:p>
    <w:p w:rsidR="00417C55" w:rsidRPr="00870C5D" w:rsidRDefault="00417C55" w:rsidP="00417C55">
      <w:pPr>
        <w:pStyle w:val="TableFigureFooter"/>
        <w:spacing w:after="0"/>
        <w:contextualSpacing w:val="0"/>
      </w:pPr>
      <w:r>
        <w:rPr>
          <w:i/>
          <w:vertAlign w:val="superscript"/>
        </w:rPr>
        <w:t>11</w:t>
      </w:r>
      <w:r>
        <w:rPr>
          <w:i/>
        </w:rPr>
        <w:t xml:space="preserve"> </w:t>
      </w:r>
      <w:r w:rsidR="005B4553" w:rsidRPr="005B4553">
        <w:rPr>
          <w:i/>
        </w:rPr>
        <w:t>200,000 to &lt; 300,000</w:t>
      </w:r>
    </w:p>
    <w:p w:rsidR="00417C55" w:rsidRPr="00870C5D" w:rsidRDefault="00417C55" w:rsidP="00417C55">
      <w:pPr>
        <w:pStyle w:val="TableFigureFooter"/>
        <w:spacing w:after="0"/>
        <w:contextualSpacing w:val="0"/>
      </w:pPr>
      <w:r>
        <w:rPr>
          <w:i/>
          <w:vertAlign w:val="superscript"/>
        </w:rPr>
        <w:t>12</w:t>
      </w:r>
      <w:r>
        <w:rPr>
          <w:i/>
        </w:rPr>
        <w:t xml:space="preserve"> </w:t>
      </w:r>
      <w:r w:rsidR="005B4553" w:rsidRPr="005B4553">
        <w:rPr>
          <w:i/>
        </w:rPr>
        <w:t>500,000 to &lt; 600,000</w:t>
      </w:r>
    </w:p>
    <w:p w:rsidR="00417C55" w:rsidRPr="00870C5D" w:rsidRDefault="00417C55" w:rsidP="00417C55">
      <w:pPr>
        <w:pStyle w:val="TableFigureFooter"/>
        <w:spacing w:after="0"/>
        <w:contextualSpacing w:val="0"/>
      </w:pPr>
      <w:r>
        <w:rPr>
          <w:i/>
          <w:vertAlign w:val="superscript"/>
        </w:rPr>
        <w:t>13</w:t>
      </w:r>
      <w:r>
        <w:rPr>
          <w:i/>
        </w:rPr>
        <w:t xml:space="preserve"> </w:t>
      </w:r>
      <w:r w:rsidR="005B4553" w:rsidRPr="005B4553">
        <w:rPr>
          <w:i/>
        </w:rPr>
        <w:t>700,000 to &lt; 800,000</w:t>
      </w:r>
    </w:p>
    <w:p w:rsidR="00417C55" w:rsidRPr="00870C5D" w:rsidRDefault="00417C55" w:rsidP="00417C55">
      <w:pPr>
        <w:pStyle w:val="TableFigureFooter"/>
        <w:spacing w:after="0"/>
        <w:contextualSpacing w:val="0"/>
      </w:pPr>
      <w:r>
        <w:rPr>
          <w:i/>
          <w:vertAlign w:val="superscript"/>
        </w:rPr>
        <w:t>14</w:t>
      </w:r>
      <w:r>
        <w:rPr>
          <w:i/>
        </w:rPr>
        <w:t xml:space="preserve"> </w:t>
      </w:r>
      <w:r w:rsidR="005B4553" w:rsidRPr="005B4553">
        <w:rPr>
          <w:i/>
        </w:rPr>
        <w:t>900,000 to &lt; 1,000,000</w:t>
      </w:r>
    </w:p>
    <w:p w:rsidR="00417C55" w:rsidRPr="00870C5D" w:rsidRDefault="00417C55" w:rsidP="00417C55">
      <w:pPr>
        <w:pStyle w:val="TableFigureFooter"/>
        <w:spacing w:after="0"/>
        <w:contextualSpacing w:val="0"/>
      </w:pPr>
      <w:r>
        <w:rPr>
          <w:i/>
          <w:vertAlign w:val="superscript"/>
        </w:rPr>
        <w:t>15</w:t>
      </w:r>
      <w:r>
        <w:rPr>
          <w:i/>
        </w:rPr>
        <w:t xml:space="preserve"> </w:t>
      </w:r>
      <w:r w:rsidR="005B4553" w:rsidRPr="005B4553">
        <w:rPr>
          <w:i/>
        </w:rPr>
        <w:t>1,000,000 to &lt; 2,000,000</w:t>
      </w:r>
    </w:p>
    <w:p w:rsidR="00417C55" w:rsidRDefault="00417C55" w:rsidP="00417C55">
      <w:pPr>
        <w:pStyle w:val="TableFigureFooter"/>
        <w:spacing w:after="0"/>
        <w:contextualSpacing w:val="0"/>
        <w:rPr>
          <w:i/>
        </w:rPr>
      </w:pPr>
      <w:r>
        <w:rPr>
          <w:i/>
          <w:vertAlign w:val="superscript"/>
        </w:rPr>
        <w:t>16</w:t>
      </w:r>
      <w:r>
        <w:rPr>
          <w:i/>
        </w:rPr>
        <w:t xml:space="preserve"> </w:t>
      </w:r>
      <w:r w:rsidR="005B4553" w:rsidRPr="005B4553">
        <w:rPr>
          <w:i/>
        </w:rPr>
        <w:t>$20 million to &lt; $30 million</w:t>
      </w:r>
    </w:p>
    <w:p w:rsidR="005B4553" w:rsidRPr="00870C5D" w:rsidRDefault="005B4553" w:rsidP="005B4553">
      <w:pPr>
        <w:pStyle w:val="TableFigureFooter"/>
        <w:spacing w:after="0"/>
        <w:contextualSpacing w:val="0"/>
      </w:pPr>
      <w:r>
        <w:rPr>
          <w:i/>
          <w:vertAlign w:val="superscript"/>
        </w:rPr>
        <w:lastRenderedPageBreak/>
        <w:t>17</w:t>
      </w:r>
      <w:r>
        <w:rPr>
          <w:i/>
        </w:rPr>
        <w:t xml:space="preserve"> </w:t>
      </w:r>
      <w:r w:rsidRPr="005B4553">
        <w:rPr>
          <w:i/>
        </w:rPr>
        <w:t>$50 million to &lt; $60 million</w:t>
      </w:r>
    </w:p>
    <w:p w:rsidR="005B4553" w:rsidRPr="00870C5D" w:rsidRDefault="005B4553" w:rsidP="005B4553">
      <w:pPr>
        <w:pStyle w:val="TableFigureFooter"/>
        <w:spacing w:after="0"/>
        <w:contextualSpacing w:val="0"/>
      </w:pPr>
      <w:r>
        <w:rPr>
          <w:i/>
          <w:vertAlign w:val="superscript"/>
        </w:rPr>
        <w:t>18</w:t>
      </w:r>
      <w:r>
        <w:rPr>
          <w:i/>
        </w:rPr>
        <w:t xml:space="preserve"> </w:t>
      </w:r>
      <w:r w:rsidRPr="005B4553">
        <w:rPr>
          <w:i/>
        </w:rPr>
        <w:t>$80 million to &lt; $90 million</w:t>
      </w:r>
    </w:p>
    <w:p w:rsidR="005B4553" w:rsidRPr="00870C5D" w:rsidRDefault="005B4553" w:rsidP="005B4553">
      <w:pPr>
        <w:pStyle w:val="TableFigureFooter"/>
        <w:spacing w:after="0"/>
        <w:contextualSpacing w:val="0"/>
      </w:pPr>
      <w:r>
        <w:rPr>
          <w:i/>
          <w:vertAlign w:val="superscript"/>
        </w:rPr>
        <w:t>19</w:t>
      </w:r>
      <w:r>
        <w:rPr>
          <w:i/>
        </w:rPr>
        <w:t xml:space="preserve"> </w:t>
      </w:r>
      <w:r w:rsidRPr="005B4553">
        <w:rPr>
          <w:i/>
        </w:rPr>
        <w:t>$100 million to &lt; $200 million</w:t>
      </w:r>
    </w:p>
    <w:p w:rsidR="005B4553" w:rsidRDefault="005B4553" w:rsidP="005B4553">
      <w:pPr>
        <w:pStyle w:val="TableFigureFooter"/>
        <w:spacing w:after="0"/>
        <w:contextualSpacing w:val="0"/>
        <w:rPr>
          <w:i/>
        </w:rPr>
      </w:pPr>
      <w:r>
        <w:rPr>
          <w:i/>
          <w:vertAlign w:val="superscript"/>
        </w:rPr>
        <w:t>20</w:t>
      </w:r>
      <w:r>
        <w:rPr>
          <w:i/>
        </w:rPr>
        <w:t xml:space="preserve"> </w:t>
      </w:r>
      <w:r w:rsidRPr="005B4553">
        <w:rPr>
          <w:i/>
        </w:rPr>
        <w:t>$0 to &lt; $10 million</w:t>
      </w:r>
    </w:p>
    <w:p w:rsidR="005B4553" w:rsidRPr="00870C5D" w:rsidRDefault="005B4553" w:rsidP="005B4553">
      <w:pPr>
        <w:pStyle w:val="TableFigureFooter"/>
        <w:spacing w:after="0"/>
        <w:contextualSpacing w:val="0"/>
      </w:pPr>
      <w:r>
        <w:rPr>
          <w:i/>
          <w:vertAlign w:val="superscript"/>
        </w:rPr>
        <w:t>21</w:t>
      </w:r>
      <w:r>
        <w:rPr>
          <w:i/>
        </w:rPr>
        <w:t xml:space="preserve"> </w:t>
      </w:r>
      <w:r w:rsidRPr="005B4553">
        <w:rPr>
          <w:i/>
        </w:rPr>
        <w:t>$10 million to &lt; $20 million</w:t>
      </w:r>
    </w:p>
    <w:p w:rsidR="005B4553" w:rsidRDefault="005B4553" w:rsidP="005B4553">
      <w:pPr>
        <w:pStyle w:val="TableFigureFooter"/>
        <w:spacing w:after="0"/>
        <w:contextualSpacing w:val="0"/>
        <w:rPr>
          <w:i/>
        </w:rPr>
      </w:pPr>
      <w:r>
        <w:rPr>
          <w:i/>
          <w:vertAlign w:val="superscript"/>
        </w:rPr>
        <w:t>22</w:t>
      </w:r>
      <w:r>
        <w:rPr>
          <w:i/>
        </w:rPr>
        <w:t xml:space="preserve"> </w:t>
      </w:r>
      <w:r w:rsidRPr="005B4553">
        <w:rPr>
          <w:i/>
        </w:rPr>
        <w:t>$70 million to &lt; $80 million</w:t>
      </w:r>
    </w:p>
    <w:p w:rsidR="005B4553" w:rsidRPr="00870C5D" w:rsidRDefault="005B4553" w:rsidP="005B4553">
      <w:pPr>
        <w:pStyle w:val="TableFigureFooter"/>
        <w:spacing w:after="0"/>
        <w:contextualSpacing w:val="0"/>
      </w:pPr>
      <w:r>
        <w:rPr>
          <w:i/>
          <w:vertAlign w:val="superscript"/>
        </w:rPr>
        <w:t>23</w:t>
      </w:r>
      <w:r>
        <w:rPr>
          <w:i/>
        </w:rPr>
        <w:t xml:space="preserve"> </w:t>
      </w:r>
      <w:r w:rsidRPr="005B4553">
        <w:rPr>
          <w:i/>
        </w:rPr>
        <w:t>$90 million to &lt; $100 million</w:t>
      </w:r>
    </w:p>
    <w:p w:rsidR="005B4553" w:rsidRPr="00870C5D" w:rsidRDefault="005B4553" w:rsidP="005B4553">
      <w:pPr>
        <w:pStyle w:val="TableFigureFooter"/>
        <w:spacing w:after="0"/>
        <w:contextualSpacing w:val="0"/>
      </w:pPr>
      <w:r>
        <w:rPr>
          <w:i/>
          <w:vertAlign w:val="superscript"/>
        </w:rPr>
        <w:t>24</w:t>
      </w:r>
      <w:r>
        <w:rPr>
          <w:i/>
        </w:rPr>
        <w:t xml:space="preserve"> </w:t>
      </w:r>
      <w:r w:rsidRPr="005B4553">
        <w:rPr>
          <w:i/>
        </w:rPr>
        <w:t>$30 million to &lt; $40 million</w:t>
      </w:r>
    </w:p>
    <w:p w:rsidR="005B4553" w:rsidRPr="00870C5D" w:rsidRDefault="005B4553" w:rsidP="005B4553">
      <w:pPr>
        <w:pStyle w:val="TableFigureFooter"/>
        <w:spacing w:after="0"/>
        <w:contextualSpacing w:val="0"/>
      </w:pPr>
      <w:r>
        <w:rPr>
          <w:i/>
          <w:vertAlign w:val="superscript"/>
        </w:rPr>
        <w:t>25</w:t>
      </w:r>
      <w:r>
        <w:rPr>
          <w:i/>
        </w:rPr>
        <w:t xml:space="preserve"> </w:t>
      </w:r>
      <w:r w:rsidRPr="005B4553">
        <w:rPr>
          <w:i/>
        </w:rPr>
        <w:t>$40 million to &lt; $50 million</w:t>
      </w:r>
    </w:p>
    <w:p w:rsidR="005B4553" w:rsidRDefault="005B4553" w:rsidP="005B4553">
      <w:pPr>
        <w:pStyle w:val="TableFigureFooter"/>
        <w:spacing w:after="0"/>
        <w:contextualSpacing w:val="0"/>
        <w:rPr>
          <w:i/>
        </w:rPr>
      </w:pPr>
      <w:r>
        <w:rPr>
          <w:i/>
          <w:vertAlign w:val="superscript"/>
        </w:rPr>
        <w:t>26</w:t>
      </w:r>
      <w:r>
        <w:rPr>
          <w:i/>
        </w:rPr>
        <w:t xml:space="preserve"> </w:t>
      </w:r>
      <w:r w:rsidR="000227C0" w:rsidRPr="000227C0">
        <w:rPr>
          <w:i/>
        </w:rPr>
        <w:t>$60 million to &lt; $70 million</w:t>
      </w:r>
    </w:p>
    <w:p w:rsidR="005B4553" w:rsidRPr="00870C5D" w:rsidRDefault="005B4553" w:rsidP="005B4553">
      <w:pPr>
        <w:pStyle w:val="TableFigureFooter"/>
        <w:spacing w:after="0"/>
        <w:contextualSpacing w:val="0"/>
      </w:pPr>
    </w:p>
    <w:p w:rsidR="005B4553" w:rsidRPr="00870C5D" w:rsidRDefault="005B4553" w:rsidP="00417C55">
      <w:pPr>
        <w:pStyle w:val="TableFigureFooter"/>
        <w:spacing w:after="0"/>
        <w:contextualSpacing w:val="0"/>
      </w:pPr>
    </w:p>
    <w:p w:rsidR="00417C55" w:rsidRPr="00644691" w:rsidRDefault="00417C55" w:rsidP="009A4027">
      <w:pPr>
        <w:pStyle w:val="TableFigureFooter"/>
      </w:pPr>
    </w:p>
    <w:p w:rsidR="00746A16" w:rsidRPr="00644691" w:rsidRDefault="00D937A5" w:rsidP="00417C55">
      <w:pPr>
        <w:pStyle w:val="ExecSumBodyText"/>
      </w:pPr>
      <w:r w:rsidRPr="00644691">
        <w:t xml:space="preserve">The estimated net cost to the PBS/RPBS was </w:t>
      </w:r>
      <w:r w:rsidR="00417C55" w:rsidRPr="00417C55">
        <w:t>$20 million to &lt; $30 million</w:t>
      </w:r>
      <w:r w:rsidR="00417C55">
        <w:t xml:space="preserve"> </w:t>
      </w:r>
      <w:r w:rsidRPr="00644691">
        <w:t xml:space="preserve">in Year 1 of listing, increasing to </w:t>
      </w:r>
      <w:r w:rsidR="00417C55" w:rsidRPr="00417C55">
        <w:t>$100 million to &lt; $200 million</w:t>
      </w:r>
      <w:r w:rsidR="00417C55">
        <w:t xml:space="preserve"> </w:t>
      </w:r>
      <w:r w:rsidRPr="00644691">
        <w:t xml:space="preserve">in Year 6, an estimated net cost of </w:t>
      </w:r>
      <w:r w:rsidR="00417C55" w:rsidRPr="00417C55">
        <w:t>$400 million to &lt; $500 million</w:t>
      </w:r>
      <w:r w:rsidR="00417C55">
        <w:t xml:space="preserve"> </w:t>
      </w:r>
      <w:r w:rsidRPr="00644691">
        <w:t xml:space="preserve">over the first six years of listing. </w:t>
      </w:r>
      <w:r w:rsidRPr="00644691">
        <w:rPr>
          <w:iCs/>
        </w:rPr>
        <w:t xml:space="preserve">The November 2020 submission estimated a net cost to the PBS/RPBS of </w:t>
      </w:r>
      <w:r w:rsidR="00417C55" w:rsidRPr="00417C55">
        <w:rPr>
          <w:iCs/>
        </w:rPr>
        <w:t>$200 million to &lt; $300 million</w:t>
      </w:r>
      <w:r w:rsidR="00417C55">
        <w:rPr>
          <w:iCs/>
        </w:rPr>
        <w:t xml:space="preserve"> </w:t>
      </w:r>
      <w:r w:rsidRPr="00644691">
        <w:rPr>
          <w:iCs/>
        </w:rPr>
        <w:t xml:space="preserve">over the first six years of listing. </w:t>
      </w:r>
      <w:r w:rsidR="00961BDB" w:rsidRPr="00644691">
        <w:rPr>
          <w:iCs/>
        </w:rPr>
        <w:t xml:space="preserve">The higher </w:t>
      </w:r>
      <w:r w:rsidR="00D539CA" w:rsidRPr="00644691">
        <w:rPr>
          <w:iCs/>
        </w:rPr>
        <w:t xml:space="preserve">net </w:t>
      </w:r>
      <w:r w:rsidR="00961BDB" w:rsidRPr="00644691">
        <w:rPr>
          <w:iCs/>
        </w:rPr>
        <w:t xml:space="preserve">cost to the PBS/RPBS was predominantly due to </w:t>
      </w:r>
      <w:r w:rsidR="00D539CA" w:rsidRPr="00644691">
        <w:rPr>
          <w:iCs/>
        </w:rPr>
        <w:t xml:space="preserve">a </w:t>
      </w:r>
      <w:r w:rsidR="00961BDB" w:rsidRPr="00644691">
        <w:rPr>
          <w:iCs/>
        </w:rPr>
        <w:t xml:space="preserve">higher estimated prevalence </w:t>
      </w:r>
      <w:r w:rsidR="00D539CA" w:rsidRPr="00644691">
        <w:rPr>
          <w:iCs/>
        </w:rPr>
        <w:t xml:space="preserve">rate </w:t>
      </w:r>
      <w:r w:rsidR="00961BDB" w:rsidRPr="00644691">
        <w:rPr>
          <w:iCs/>
        </w:rPr>
        <w:t xml:space="preserve">of heart failure, </w:t>
      </w:r>
      <w:r w:rsidR="00D539CA" w:rsidRPr="00644691">
        <w:rPr>
          <w:iCs/>
        </w:rPr>
        <w:t xml:space="preserve">the assumption of </w:t>
      </w:r>
      <w:r w:rsidR="00961BDB" w:rsidRPr="00644691">
        <w:rPr>
          <w:iCs/>
        </w:rPr>
        <w:t>increased uptake rates for dapagliflozin, and the removal of cost</w:t>
      </w:r>
      <w:r w:rsidR="004F52CA" w:rsidRPr="00644691">
        <w:rPr>
          <w:iCs/>
        </w:rPr>
        <w:t xml:space="preserve"> </w:t>
      </w:r>
      <w:r w:rsidR="00961BDB" w:rsidRPr="00644691">
        <w:rPr>
          <w:iCs/>
        </w:rPr>
        <w:t xml:space="preserve">offsets associated with </w:t>
      </w:r>
      <w:r w:rsidR="00D539CA" w:rsidRPr="00644691">
        <w:rPr>
          <w:iCs/>
        </w:rPr>
        <w:t xml:space="preserve">dapagliflozin </w:t>
      </w:r>
      <w:r w:rsidR="00961BDB" w:rsidRPr="00644691">
        <w:rPr>
          <w:iCs/>
        </w:rPr>
        <w:t xml:space="preserve">substitution for sacubitril/valsartan. </w:t>
      </w:r>
    </w:p>
    <w:p w:rsidR="00C01386" w:rsidRPr="00644691" w:rsidRDefault="00F90CD9" w:rsidP="00417C55">
      <w:pPr>
        <w:pStyle w:val="ExecSumBodyText"/>
      </w:pPr>
      <w:r w:rsidRPr="00644691">
        <w:t>The revised price in the pre-PBAC response (DPMQ $</w:t>
      </w:r>
      <w:r w:rsidR="00BB0C56">
        <w:rPr>
          <w:noProof/>
          <w:color w:val="000000"/>
          <w:highlight w:val="black"/>
        </w:rPr>
        <w:t>''''''''''</w:t>
      </w:r>
      <w:r w:rsidRPr="00644691">
        <w:t xml:space="preserve">) resulted in a net cost to the PBS/RPBS of </w:t>
      </w:r>
      <w:r w:rsidR="00417C55" w:rsidRPr="00417C55">
        <w:t>$10 million to &lt; $20 million</w:t>
      </w:r>
      <w:r w:rsidR="00417C55">
        <w:t xml:space="preserve"> </w:t>
      </w:r>
      <w:r w:rsidRPr="00644691">
        <w:t xml:space="preserve">in Year 1 of listing, increasing to </w:t>
      </w:r>
      <w:r w:rsidR="00417C55" w:rsidRPr="00417C55">
        <w:t>$60 million to &lt; $70 million</w:t>
      </w:r>
      <w:r w:rsidR="00417C55">
        <w:t xml:space="preserve"> </w:t>
      </w:r>
      <w:r w:rsidRPr="00644691">
        <w:t xml:space="preserve">in Year 6, an estimated net cost of </w:t>
      </w:r>
      <w:r w:rsidR="00417C55" w:rsidRPr="00417C55">
        <w:t>$200 million to &lt; $300 million</w:t>
      </w:r>
      <w:r w:rsidR="00417C55" w:rsidRPr="00417C55" w:rsidDel="00417C55">
        <w:t xml:space="preserve"> </w:t>
      </w:r>
      <w:r w:rsidRPr="00644691">
        <w:t>over the first six years of listing.</w:t>
      </w:r>
    </w:p>
    <w:p w:rsidR="00746A16" w:rsidRPr="00644691" w:rsidRDefault="00746A16" w:rsidP="00746A16">
      <w:pPr>
        <w:pStyle w:val="ExecSumBodyText"/>
      </w:pPr>
      <w:bookmarkStart w:id="49" w:name="_Ref79050665"/>
      <w:r w:rsidRPr="00644691">
        <w:rPr>
          <w:iCs/>
        </w:rPr>
        <w:t>The</w:t>
      </w:r>
      <w:r w:rsidR="00E56F79" w:rsidRPr="00644691">
        <w:rPr>
          <w:iCs/>
        </w:rPr>
        <w:t xml:space="preserve"> evaluation considered the</w:t>
      </w:r>
      <w:r w:rsidRPr="00644691">
        <w:rPr>
          <w:iCs/>
        </w:rPr>
        <w:t xml:space="preserve"> utilisation/financial estimates </w:t>
      </w:r>
      <w:r w:rsidR="00E56F79" w:rsidRPr="00644691">
        <w:rPr>
          <w:iCs/>
        </w:rPr>
        <w:t>to be</w:t>
      </w:r>
      <w:r w:rsidRPr="00644691">
        <w:rPr>
          <w:iCs/>
        </w:rPr>
        <w:t xml:space="preserve"> </w:t>
      </w:r>
      <w:r w:rsidR="001C7764" w:rsidRPr="00644691">
        <w:rPr>
          <w:iCs/>
        </w:rPr>
        <w:t xml:space="preserve">highly </w:t>
      </w:r>
      <w:r w:rsidRPr="00644691">
        <w:rPr>
          <w:iCs/>
        </w:rPr>
        <w:t>uncertain due to the following issues:</w:t>
      </w:r>
      <w:bookmarkEnd w:id="49"/>
    </w:p>
    <w:p w:rsidR="00746A16" w:rsidRPr="00644691" w:rsidRDefault="00631CFF" w:rsidP="00A31D91">
      <w:pPr>
        <w:pStyle w:val="ListBullet"/>
        <w:spacing w:after="120"/>
        <w:ind w:left="998" w:hanging="221"/>
        <w:contextualSpacing w:val="0"/>
        <w:rPr>
          <w:iCs/>
        </w:rPr>
      </w:pPr>
      <w:r w:rsidRPr="00644691">
        <w:rPr>
          <w:iCs/>
        </w:rPr>
        <w:t>The assumed d</w:t>
      </w:r>
      <w:r w:rsidR="00746A16" w:rsidRPr="00644691">
        <w:rPr>
          <w:iCs/>
        </w:rPr>
        <w:t xml:space="preserve">apagliflozin uptake rates were uncertain. Factors that could result in higher uptake rates are the familiarity with dapagliflozin in the treatment of diabetes, the favourable results for SGLT2 inhibitors in heart failure clinical trials, and the inclusion of dapagliflozin in Australian heart failure treatment guidelines. Lower uptake of dapagliflozin may result from prescribing of alternative SGLT2 inhibitors (e.g. empagliflozin) </w:t>
      </w:r>
      <w:r w:rsidRPr="00644691">
        <w:rPr>
          <w:iCs/>
        </w:rPr>
        <w:t xml:space="preserve">with </w:t>
      </w:r>
      <w:r w:rsidR="00746A16" w:rsidRPr="00644691">
        <w:rPr>
          <w:iCs/>
        </w:rPr>
        <w:t xml:space="preserve">evidence in </w:t>
      </w:r>
      <w:r w:rsidR="00960E2D" w:rsidRPr="00644691">
        <w:rPr>
          <w:iCs/>
        </w:rPr>
        <w:t>HFrEF</w:t>
      </w:r>
      <w:r w:rsidR="006F0EDB" w:rsidRPr="00644691">
        <w:rPr>
          <w:iCs/>
        </w:rPr>
        <w:t xml:space="preserve"> for patients with T2DM</w:t>
      </w:r>
      <w:r w:rsidR="00746A16" w:rsidRPr="00644691">
        <w:rPr>
          <w:iCs/>
        </w:rPr>
        <w:t>.</w:t>
      </w:r>
    </w:p>
    <w:p w:rsidR="00746A16" w:rsidRPr="00644691" w:rsidRDefault="00746A16" w:rsidP="00A31D91">
      <w:pPr>
        <w:pStyle w:val="ListBullet"/>
        <w:spacing w:after="120"/>
        <w:ind w:left="998" w:hanging="221"/>
        <w:contextualSpacing w:val="0"/>
        <w:rPr>
          <w:iCs/>
        </w:rPr>
      </w:pPr>
      <w:r w:rsidRPr="00644691">
        <w:rPr>
          <w:iCs/>
        </w:rPr>
        <w:t xml:space="preserve">The proportion of patients </w:t>
      </w:r>
      <w:r w:rsidR="00BD6624" w:rsidRPr="00644691">
        <w:rPr>
          <w:iCs/>
        </w:rPr>
        <w:t xml:space="preserve">with T2DM and </w:t>
      </w:r>
      <w:r w:rsidR="00960E2D" w:rsidRPr="00644691">
        <w:rPr>
          <w:iCs/>
        </w:rPr>
        <w:t>HFrEF</w:t>
      </w:r>
      <w:r w:rsidR="00BD6624" w:rsidRPr="00644691">
        <w:rPr>
          <w:iCs/>
        </w:rPr>
        <w:t xml:space="preserve"> </w:t>
      </w:r>
      <w:r w:rsidR="008F6617" w:rsidRPr="00644691">
        <w:rPr>
          <w:iCs/>
        </w:rPr>
        <w:t>who</w:t>
      </w:r>
      <w:r w:rsidR="00BD6624" w:rsidRPr="00644691">
        <w:rPr>
          <w:iCs/>
        </w:rPr>
        <w:t xml:space="preserve"> would be </w:t>
      </w:r>
      <w:r w:rsidRPr="00644691">
        <w:rPr>
          <w:iCs/>
        </w:rPr>
        <w:t xml:space="preserve">receiving </w:t>
      </w:r>
      <w:r w:rsidR="0069321C" w:rsidRPr="00644691">
        <w:rPr>
          <w:iCs/>
        </w:rPr>
        <w:t>dapagliflozin</w:t>
      </w:r>
      <w:r w:rsidRPr="00644691">
        <w:rPr>
          <w:iCs/>
        </w:rPr>
        <w:t xml:space="preserve"> for diabetes was </w:t>
      </w:r>
      <w:r w:rsidR="004367ED" w:rsidRPr="00644691">
        <w:rPr>
          <w:iCs/>
        </w:rPr>
        <w:t>uncertain</w:t>
      </w:r>
      <w:r w:rsidR="00EA3146" w:rsidRPr="00644691">
        <w:rPr>
          <w:iCs/>
        </w:rPr>
        <w:t xml:space="preserve"> and</w:t>
      </w:r>
      <w:r w:rsidR="0069321C" w:rsidRPr="00644691">
        <w:rPr>
          <w:iCs/>
        </w:rPr>
        <w:t xml:space="preserve"> m</w:t>
      </w:r>
      <w:r w:rsidR="004367ED" w:rsidRPr="00644691">
        <w:rPr>
          <w:iCs/>
        </w:rPr>
        <w:t xml:space="preserve">ay be impacted by changes to </w:t>
      </w:r>
      <w:r w:rsidR="0069321C" w:rsidRPr="00644691">
        <w:rPr>
          <w:iCs/>
        </w:rPr>
        <w:t xml:space="preserve">dapagliflozin (and SGLT2 inhibitor) </w:t>
      </w:r>
      <w:r w:rsidR="0040729C" w:rsidRPr="00644691">
        <w:rPr>
          <w:iCs/>
        </w:rPr>
        <w:t>positioning</w:t>
      </w:r>
      <w:r w:rsidR="0069321C" w:rsidRPr="00644691">
        <w:rPr>
          <w:iCs/>
        </w:rPr>
        <w:t xml:space="preserve"> in </w:t>
      </w:r>
      <w:r w:rsidR="004367ED" w:rsidRPr="00644691">
        <w:rPr>
          <w:iCs/>
        </w:rPr>
        <w:t>diabetes treatment guidelines</w:t>
      </w:r>
      <w:r w:rsidR="0040729C" w:rsidRPr="00644691">
        <w:rPr>
          <w:iCs/>
        </w:rPr>
        <w:t>.</w:t>
      </w:r>
      <w:r w:rsidR="00EA3146" w:rsidRPr="00644691">
        <w:rPr>
          <w:iCs/>
        </w:rPr>
        <w:t xml:space="preserve"> </w:t>
      </w:r>
    </w:p>
    <w:p w:rsidR="00B45717" w:rsidRPr="00644691" w:rsidRDefault="0028748D" w:rsidP="00746A16">
      <w:pPr>
        <w:pStyle w:val="ListBullet"/>
        <w:spacing w:after="120"/>
        <w:ind w:left="998" w:hanging="221"/>
        <w:contextualSpacing w:val="0"/>
        <w:rPr>
          <w:iCs/>
        </w:rPr>
      </w:pPr>
      <w:r w:rsidRPr="00644691">
        <w:rPr>
          <w:iCs/>
        </w:rPr>
        <w:t xml:space="preserve">DUSC previously noted that the risk of leakage is likely to be high as dapagliflozin is already well-known to prescribers and evidence shows positive outcomes for cardiovascular disease, heart failure with reduced/preserved ejection fraction and potentially chronic kidney disease, and that there may also be an increase in patients utilising the </w:t>
      </w:r>
      <w:r w:rsidR="00AB05E2">
        <w:rPr>
          <w:iCs/>
        </w:rPr>
        <w:t>T2DM</w:t>
      </w:r>
      <w:r w:rsidR="00AB05E2" w:rsidRPr="00644691">
        <w:rPr>
          <w:iCs/>
        </w:rPr>
        <w:t xml:space="preserve"> </w:t>
      </w:r>
      <w:r w:rsidRPr="00644691">
        <w:rPr>
          <w:iCs/>
        </w:rPr>
        <w:t>restriction due to these positive outcomes for other diseases</w:t>
      </w:r>
      <w:r w:rsidR="009B7A78" w:rsidRPr="00644691">
        <w:rPr>
          <w:iCs/>
        </w:rPr>
        <w:t xml:space="preserve"> (paragraph 6.60, dapagliflozin, PSD, November 2020 PBAC meeting)</w:t>
      </w:r>
      <w:r w:rsidRPr="00644691">
        <w:rPr>
          <w:iCs/>
        </w:rPr>
        <w:t>.</w:t>
      </w:r>
      <w:r w:rsidR="00B45717" w:rsidRPr="00644691">
        <w:rPr>
          <w:iCs/>
        </w:rPr>
        <w:t xml:space="preserve"> </w:t>
      </w:r>
      <w:r w:rsidR="00C94586">
        <w:rPr>
          <w:iCs/>
        </w:rPr>
        <w:t xml:space="preserve">The PBAC noted </w:t>
      </w:r>
      <w:r w:rsidR="00DF0C94">
        <w:rPr>
          <w:iCs/>
        </w:rPr>
        <w:t xml:space="preserve">a </w:t>
      </w:r>
      <w:r w:rsidR="00C94586">
        <w:rPr>
          <w:iCs/>
        </w:rPr>
        <w:t xml:space="preserve">recent </w:t>
      </w:r>
      <w:r w:rsidR="00DF0C94">
        <w:rPr>
          <w:iCs/>
        </w:rPr>
        <w:t xml:space="preserve">industry report showing positive outcomes for empagliflozin </w:t>
      </w:r>
      <w:r w:rsidR="00DF0C94">
        <w:rPr>
          <w:iCs/>
        </w:rPr>
        <w:lastRenderedPageBreak/>
        <w:t>for use in heart failure with preserved ejection fraction (EMPEROR-Preserved)</w:t>
      </w:r>
      <w:r w:rsidR="00DF0C94">
        <w:rPr>
          <w:rStyle w:val="FootnoteReference"/>
          <w:iCs/>
        </w:rPr>
        <w:footnoteReference w:id="2"/>
      </w:r>
      <w:r w:rsidR="00DF0C94">
        <w:rPr>
          <w:iCs/>
        </w:rPr>
        <w:t>, and that the dapagliflozin DELIVER trial (</w:t>
      </w:r>
      <w:r w:rsidR="00DF0C94" w:rsidRPr="00DF0C94">
        <w:rPr>
          <w:iCs/>
        </w:rPr>
        <w:t>Dapagliflozin Evaluation to Improve the LIVEs of Patients With PReserved Ejection Fraction Heart Failure</w:t>
      </w:r>
      <w:r w:rsidR="00DF0C94">
        <w:rPr>
          <w:iCs/>
        </w:rPr>
        <w:t>;</w:t>
      </w:r>
      <w:r w:rsidR="00DF0C94" w:rsidRPr="00DF0C94">
        <w:t xml:space="preserve"> </w:t>
      </w:r>
      <w:r w:rsidR="00DF0C94" w:rsidRPr="00DF0C94">
        <w:rPr>
          <w:iCs/>
        </w:rPr>
        <w:t>NCT03619213</w:t>
      </w:r>
      <w:r w:rsidR="00DF0C94">
        <w:rPr>
          <w:iCs/>
        </w:rPr>
        <w:t>) was expected to be completed in early 2022</w:t>
      </w:r>
      <w:r w:rsidR="00DF0C94">
        <w:rPr>
          <w:rStyle w:val="FootnoteReference"/>
          <w:iCs/>
        </w:rPr>
        <w:footnoteReference w:id="3"/>
      </w:r>
      <w:r w:rsidR="00DF0C94">
        <w:rPr>
          <w:iCs/>
        </w:rPr>
        <w:t>.</w:t>
      </w:r>
    </w:p>
    <w:p w:rsidR="00746A16" w:rsidRPr="00644691" w:rsidRDefault="00746A16" w:rsidP="00746A16">
      <w:pPr>
        <w:pStyle w:val="ListBullet"/>
        <w:spacing w:after="120"/>
        <w:ind w:left="998" w:hanging="221"/>
        <w:rPr>
          <w:iCs/>
        </w:rPr>
      </w:pPr>
      <w:r w:rsidRPr="00644691">
        <w:rPr>
          <w:iCs/>
        </w:rPr>
        <w:t xml:space="preserve">The resubmission did not include any cost offsets </w:t>
      </w:r>
      <w:r w:rsidR="002D7F4D" w:rsidRPr="00644691">
        <w:rPr>
          <w:iCs/>
        </w:rPr>
        <w:t xml:space="preserve">associated with substitution of sacubitril/valsartan for dapagliflozin. </w:t>
      </w:r>
      <w:r w:rsidRPr="00644691">
        <w:rPr>
          <w:iCs/>
        </w:rPr>
        <w:t>The PBAC previously considered that dapagliflozin has a different mechanism of action compared to sacubitril/valsartan, and patients will potentially switch from, add-on, or displace sacubitril/valsartan, or grow the current heart failure market (</w:t>
      </w:r>
      <w:r w:rsidR="001A74BF" w:rsidRPr="00644691">
        <w:rPr>
          <w:iCs/>
        </w:rPr>
        <w:t>paragraph</w:t>
      </w:r>
      <w:r w:rsidRPr="00644691">
        <w:rPr>
          <w:iCs/>
        </w:rPr>
        <w:t xml:space="preserve"> 7.3, dapagliflozin, </w:t>
      </w:r>
      <w:r w:rsidR="00C5400D" w:rsidRPr="00644691">
        <w:rPr>
          <w:iCs/>
        </w:rPr>
        <w:t>PSD</w:t>
      </w:r>
      <w:r w:rsidRPr="00644691">
        <w:rPr>
          <w:iCs/>
        </w:rPr>
        <w:t>, November 2020 PBAC meeting).</w:t>
      </w:r>
    </w:p>
    <w:p w:rsidR="00B5013A" w:rsidRPr="00644691" w:rsidRDefault="00B5013A" w:rsidP="00B63DC6">
      <w:pPr>
        <w:pStyle w:val="ExecSumBodyText"/>
      </w:pPr>
      <w:r w:rsidRPr="00644691">
        <w:t>The PSCR advised that grandfathered patients (N=</w:t>
      </w:r>
      <w:r w:rsidR="00B63DC6" w:rsidRPr="00B63DC6">
        <w:t>500 to &lt; 5,000</w:t>
      </w:r>
      <w:r w:rsidR="00B63DC6">
        <w:t xml:space="preserve"> </w:t>
      </w:r>
      <w:r w:rsidRPr="00644691">
        <w:t xml:space="preserve">in Year 1 in </w:t>
      </w:r>
      <w:r w:rsidR="000C6AFA" w:rsidRPr="00644691">
        <w:t xml:space="preserve">Table </w:t>
      </w:r>
      <w:r w:rsidR="000C6AFA">
        <w:t>14</w:t>
      </w:r>
      <w:r w:rsidRPr="00644691">
        <w:t xml:space="preserve"> above) were not included in the prevalent patient pool</w:t>
      </w:r>
      <w:r w:rsidR="00644691">
        <w:t xml:space="preserve">. </w:t>
      </w:r>
      <w:r w:rsidR="00E522C1" w:rsidRPr="00644691">
        <w:t>It was assumed that all patients in the grandfathered cohort would continue taking dapagliflozin (100% uptake in all 6 years) as long as they stayed alive. Hence</w:t>
      </w:r>
      <w:r w:rsidR="00F0622C" w:rsidRPr="00644691">
        <w:t>,</w:t>
      </w:r>
      <w:r w:rsidR="00E522C1" w:rsidRPr="00644691">
        <w:t xml:space="preserve"> the only attrition in use of dapagliflozin occurred as a result of death.</w:t>
      </w:r>
      <w:r w:rsidR="00AC6661" w:rsidRPr="00644691">
        <w:t xml:space="preserve"> The ESC noted that it was unclear if the prevalent patient population may have double-counted the grandfathered population.</w:t>
      </w:r>
    </w:p>
    <w:p w:rsidR="00576972" w:rsidRPr="00644691" w:rsidRDefault="00576972" w:rsidP="00606FBA">
      <w:pPr>
        <w:pStyle w:val="3-SubsectionHeading"/>
      </w:pPr>
      <w:bookmarkStart w:id="50" w:name="_Toc22897648"/>
      <w:bookmarkStart w:id="51" w:name="_Toc72325064"/>
      <w:r w:rsidRPr="00644691">
        <w:t>Quality Use of Medicines</w:t>
      </w:r>
      <w:bookmarkEnd w:id="50"/>
      <w:bookmarkEnd w:id="51"/>
    </w:p>
    <w:p w:rsidR="00576972" w:rsidRPr="00644691" w:rsidRDefault="00746A16" w:rsidP="008D1AB4">
      <w:pPr>
        <w:pStyle w:val="ExecSumBodyText"/>
      </w:pPr>
      <w:r w:rsidRPr="00644691">
        <w:t xml:space="preserve">The resubmission </w:t>
      </w:r>
      <w:r w:rsidR="00AD62EA" w:rsidRPr="00644691">
        <w:t>presented</w:t>
      </w:r>
      <w:r w:rsidRPr="00644691">
        <w:t xml:space="preserve"> expert opinion to address the quality use of medicines issues </w:t>
      </w:r>
      <w:r w:rsidR="00AD62EA" w:rsidRPr="00644691">
        <w:t>raised by DUSC and the PBAC in relation to the November 2020 submission</w:t>
      </w:r>
      <w:r w:rsidR="00210188" w:rsidRPr="00644691">
        <w:t>. The resubmission also provided a list of current and future activities</w:t>
      </w:r>
      <w:r w:rsidR="0065003A" w:rsidRPr="00644691">
        <w:t>, which it stated would</w:t>
      </w:r>
      <w:r w:rsidR="00210188" w:rsidRPr="00644691">
        <w:t xml:space="preserve"> support the quality use of medicines in relation to </w:t>
      </w:r>
      <w:r w:rsidR="008D1AB4" w:rsidRPr="00644691">
        <w:t xml:space="preserve">dapagliflozin for the treatment of </w:t>
      </w:r>
      <w:r w:rsidR="00960E2D" w:rsidRPr="00644691">
        <w:t>HFrEF</w:t>
      </w:r>
      <w:r w:rsidR="008D1AB4" w:rsidRPr="00644691">
        <w:t>.</w:t>
      </w:r>
      <w:r w:rsidR="00DB6CF9" w:rsidRPr="00644691">
        <w:t xml:space="preserve"> </w:t>
      </w:r>
      <w:r w:rsidR="00575460" w:rsidRPr="00644691">
        <w:t xml:space="preserve">The resubmission claimed that quality use of medicines issues raised in relation to switching from sacubitril/valsartan were no longer relevant as the comparator nominated in the resubmission is standard of care alone. </w:t>
      </w:r>
      <w:r w:rsidR="00575460" w:rsidRPr="00644691">
        <w:rPr>
          <w:iCs/>
        </w:rPr>
        <w:t xml:space="preserve">However, this </w:t>
      </w:r>
      <w:r w:rsidR="0022689B" w:rsidRPr="00644691">
        <w:rPr>
          <w:iCs/>
        </w:rPr>
        <w:t>was</w:t>
      </w:r>
      <w:r w:rsidR="00575460" w:rsidRPr="00644691">
        <w:rPr>
          <w:iCs/>
        </w:rPr>
        <w:t xml:space="preserve"> not reasonable given that </w:t>
      </w:r>
      <w:r w:rsidR="0014708E" w:rsidRPr="00644691">
        <w:rPr>
          <w:iCs/>
        </w:rPr>
        <w:t xml:space="preserve">some </w:t>
      </w:r>
      <w:r w:rsidR="002D7F4D" w:rsidRPr="00644691">
        <w:rPr>
          <w:iCs/>
        </w:rPr>
        <w:t>switching from sacubitril/valsartan to dapagliflozin</w:t>
      </w:r>
      <w:r w:rsidR="00A553BC" w:rsidRPr="00644691">
        <w:rPr>
          <w:iCs/>
        </w:rPr>
        <w:t xml:space="preserve"> may </w:t>
      </w:r>
      <w:r w:rsidR="002D7F4D" w:rsidRPr="00644691">
        <w:rPr>
          <w:iCs/>
        </w:rPr>
        <w:t>occur</w:t>
      </w:r>
      <w:r w:rsidR="00A553BC" w:rsidRPr="00644691">
        <w:rPr>
          <w:iCs/>
        </w:rPr>
        <w:t xml:space="preserve"> in clinical practice.</w:t>
      </w:r>
    </w:p>
    <w:p w:rsidR="00576972" w:rsidRPr="00644691" w:rsidRDefault="00576972" w:rsidP="00606FBA">
      <w:pPr>
        <w:pStyle w:val="3-SubsectionHeading"/>
      </w:pPr>
      <w:bookmarkStart w:id="52" w:name="_Toc22897649"/>
      <w:bookmarkStart w:id="53" w:name="_Toc72325065"/>
      <w:r w:rsidRPr="00644691">
        <w:t>Financial Management – Risk Sharing Arrangements</w:t>
      </w:r>
      <w:bookmarkEnd w:id="52"/>
      <w:bookmarkEnd w:id="53"/>
    </w:p>
    <w:p w:rsidR="00576972" w:rsidRPr="00644691" w:rsidRDefault="00DF704A" w:rsidP="008D1AB4">
      <w:pPr>
        <w:pStyle w:val="ExecSumBodyText"/>
      </w:pPr>
      <w:r w:rsidRPr="00644691">
        <w:t>As noted above,</w:t>
      </w:r>
      <w:r w:rsidR="00990519" w:rsidRPr="00644691">
        <w:t xml:space="preserve"> DUSC previously advised that the risk of leakage outside the proposed PBS population was high. </w:t>
      </w:r>
      <w:r w:rsidR="00990519" w:rsidRPr="00644691">
        <w:rPr>
          <w:iCs/>
        </w:rPr>
        <w:t xml:space="preserve">The PSCR had claimed that the restriction wording, a proposed weighted price, and a </w:t>
      </w:r>
      <w:r w:rsidR="00721BF4">
        <w:rPr>
          <w:iCs/>
        </w:rPr>
        <w:t>R</w:t>
      </w:r>
      <w:r w:rsidR="00721BF4" w:rsidRPr="00644691">
        <w:rPr>
          <w:iCs/>
        </w:rPr>
        <w:t xml:space="preserve">isk </w:t>
      </w:r>
      <w:r w:rsidR="00721BF4">
        <w:rPr>
          <w:iCs/>
        </w:rPr>
        <w:t>S</w:t>
      </w:r>
      <w:r w:rsidR="00721BF4" w:rsidRPr="00644691">
        <w:rPr>
          <w:iCs/>
        </w:rPr>
        <w:t xml:space="preserve">haring </w:t>
      </w:r>
      <w:r w:rsidR="00721BF4">
        <w:rPr>
          <w:iCs/>
        </w:rPr>
        <w:t>A</w:t>
      </w:r>
      <w:r w:rsidR="00721BF4" w:rsidRPr="00644691">
        <w:rPr>
          <w:iCs/>
        </w:rPr>
        <w:t xml:space="preserve">rrangement </w:t>
      </w:r>
      <w:r w:rsidR="00990519" w:rsidRPr="00644691">
        <w:rPr>
          <w:iCs/>
        </w:rPr>
        <w:t xml:space="preserve">(RSA) would address the risk of leakage. The ESC considered that the </w:t>
      </w:r>
      <w:r w:rsidR="003B7D1B" w:rsidRPr="00644691">
        <w:rPr>
          <w:iCs/>
        </w:rPr>
        <w:t>re</w:t>
      </w:r>
      <w:r w:rsidR="00990519" w:rsidRPr="00644691">
        <w:rPr>
          <w:iCs/>
        </w:rPr>
        <w:t xml:space="preserve">submission’s estimates (particularly with respect to the overlapping population with T2DM) were unreliable, and that there remained a particular risk </w:t>
      </w:r>
      <w:bookmarkStart w:id="54" w:name="_Hlk79040896"/>
      <w:r w:rsidR="00990519" w:rsidRPr="00644691">
        <w:rPr>
          <w:iCs/>
        </w:rPr>
        <w:t>that the Australian Government would pay more for patients with T2DM who are already receiving, or eligible to receive, cardiovascular benefits at a substantially lower price</w:t>
      </w:r>
      <w:bookmarkEnd w:id="54"/>
      <w:r w:rsidR="00990519" w:rsidRPr="00644691">
        <w:rPr>
          <w:iCs/>
        </w:rPr>
        <w:t xml:space="preserve">. </w:t>
      </w:r>
      <w:r w:rsidR="00E13174" w:rsidRPr="00644691">
        <w:rPr>
          <w:iCs/>
        </w:rPr>
        <w:t>It considered that the</w:t>
      </w:r>
      <w:r w:rsidR="00990519" w:rsidRPr="00644691">
        <w:rPr>
          <w:iCs/>
        </w:rPr>
        <w:t xml:space="preserve"> RSA and </w:t>
      </w:r>
      <w:r w:rsidR="00E13174" w:rsidRPr="00644691">
        <w:rPr>
          <w:iCs/>
        </w:rPr>
        <w:t xml:space="preserve">proposed </w:t>
      </w:r>
      <w:r w:rsidR="00990519" w:rsidRPr="00644691">
        <w:rPr>
          <w:iCs/>
        </w:rPr>
        <w:lastRenderedPageBreak/>
        <w:t>weighted price did not mitigate this risk</w:t>
      </w:r>
      <w:r w:rsidR="00644691">
        <w:rPr>
          <w:iCs/>
        </w:rPr>
        <w:t xml:space="preserve">. </w:t>
      </w:r>
      <w:r w:rsidR="00990519" w:rsidRPr="00644691">
        <w:t>The pre-PBAC response</w:t>
      </w:r>
      <w:r w:rsidR="00E13174" w:rsidRPr="00644691">
        <w:t xml:space="preserve"> presented a ‘risk of leakage’ assessment, and</w:t>
      </w:r>
      <w:r w:rsidR="00990519" w:rsidRPr="00644691">
        <w:t xml:space="preserve"> was of the strong opinion that a price reduction to </w:t>
      </w:r>
      <w:r w:rsidR="0001515F">
        <w:rPr>
          <w:noProof/>
          <w:color w:val="000000"/>
          <w:highlight w:val="black"/>
        </w:rPr>
        <w:t>'''''''''''''</w:t>
      </w:r>
      <w:r w:rsidR="00990519" w:rsidRPr="00644691">
        <w:t xml:space="preserve"> the </w:t>
      </w:r>
      <w:r w:rsidR="00BB0C56">
        <w:rPr>
          <w:noProof/>
          <w:color w:val="000000"/>
          <w:highlight w:val="black"/>
        </w:rPr>
        <w:t>'''''''''''''</w:t>
      </w:r>
      <w:r w:rsidR="00990519" w:rsidRPr="00644691">
        <w:t xml:space="preserve"> DPMQ negated the need for an RSA</w:t>
      </w:r>
      <w:r w:rsidR="008A14FF" w:rsidRPr="00644691">
        <w:t xml:space="preserve">, as it </w:t>
      </w:r>
      <w:r w:rsidR="00E13174" w:rsidRPr="00644691">
        <w:t xml:space="preserve">would </w:t>
      </w:r>
      <w:r w:rsidR="008A14FF" w:rsidRPr="00644691">
        <w:t>alleviate the risk of leakage between T2DM, HF and CKD</w:t>
      </w:r>
      <w:r w:rsidR="00990519" w:rsidRPr="00644691">
        <w:t>.</w:t>
      </w:r>
      <w:r w:rsidR="00537EF8" w:rsidRPr="00644691">
        <w:t xml:space="preserve"> The PBAC noted the revised price offer did not address the risk of use in the HFpEF population.</w:t>
      </w:r>
    </w:p>
    <w:p w:rsidR="00B623FF" w:rsidRPr="00644691" w:rsidRDefault="008449FD" w:rsidP="00B623FF">
      <w:pPr>
        <w:pStyle w:val="3-SubsectionHeading"/>
      </w:pPr>
      <w:bookmarkStart w:id="55" w:name="_Toc72325066"/>
      <w:r w:rsidRPr="00644691">
        <w:t>Additional Information</w:t>
      </w:r>
      <w:bookmarkEnd w:id="55"/>
    </w:p>
    <w:p w:rsidR="00C47882" w:rsidRPr="00644691" w:rsidRDefault="008449FD" w:rsidP="00C47882">
      <w:pPr>
        <w:pStyle w:val="ExecSumBodyText"/>
      </w:pPr>
      <w:r w:rsidRPr="00644691">
        <w:t xml:space="preserve">The sponsor presented the estimated combined financial implications to the PBS and health budgets of listing dapagliflozin for the treatment of </w:t>
      </w:r>
      <w:r w:rsidR="00960E2D" w:rsidRPr="00644691">
        <w:t>HFrEF</w:t>
      </w:r>
      <w:r w:rsidRPr="00644691">
        <w:t xml:space="preserve"> and CKD in Section 5 of both submissions.</w:t>
      </w:r>
      <w:r w:rsidR="00C47882" w:rsidRPr="00644691">
        <w:t xml:space="preserve"> The approach attempted to account for the existing </w:t>
      </w:r>
      <w:r w:rsidR="00C961A2" w:rsidRPr="00644691">
        <w:t>T2DM</w:t>
      </w:r>
      <w:r w:rsidR="00C47882" w:rsidRPr="00644691">
        <w:t xml:space="preserve"> population, and the overlap between the proposed </w:t>
      </w:r>
      <w:r w:rsidR="00960E2D" w:rsidRPr="00644691">
        <w:t>HFrEF</w:t>
      </w:r>
      <w:r w:rsidR="00C47882" w:rsidRPr="00644691">
        <w:t xml:space="preserve"> and CKD population</w:t>
      </w:r>
      <w:r w:rsidR="000C79F9" w:rsidRPr="00644691">
        <w:t>s</w:t>
      </w:r>
      <w:r w:rsidR="00C47882" w:rsidRPr="00644691">
        <w:t>.</w:t>
      </w:r>
      <w:r w:rsidR="00BA6BD2" w:rsidRPr="00644691">
        <w:t xml:space="preserve"> </w:t>
      </w:r>
      <w:r w:rsidR="00B54AD9">
        <w:t>The PBAC considered revisions to these estimates were required to account for the eligible CKD population (refer to agenda item 6.03), the projected utilisation on T2DM, and the revised price offer.</w:t>
      </w:r>
    </w:p>
    <w:p w:rsidR="00EB17CC" w:rsidRPr="00644691" w:rsidRDefault="00EB17CC" w:rsidP="001D438C">
      <w:pPr>
        <w:pStyle w:val="ExecSumBodyText"/>
        <w:numPr>
          <w:ilvl w:val="0"/>
          <w:numId w:val="0"/>
        </w:numPr>
        <w:spacing w:before="240"/>
        <w:ind w:left="720"/>
        <w:rPr>
          <w:i/>
        </w:rPr>
      </w:pPr>
      <w:r w:rsidRPr="00644691">
        <w:rPr>
          <w:i/>
        </w:rPr>
        <w:t>For more detail on PBAC’s view, see section 7 PBAC outcome.</w:t>
      </w:r>
    </w:p>
    <w:p w:rsidR="00C769B5" w:rsidRPr="00644691" w:rsidRDefault="00C769B5" w:rsidP="006E14C8">
      <w:pPr>
        <w:pStyle w:val="2-SectionHeading"/>
        <w:numPr>
          <w:ilvl w:val="0"/>
          <w:numId w:val="1"/>
        </w:numPr>
      </w:pPr>
      <w:bookmarkStart w:id="56" w:name="_Hlk76381249"/>
      <w:r w:rsidRPr="00644691">
        <w:t>PBAC Outcome</w:t>
      </w:r>
    </w:p>
    <w:p w:rsidR="005850F5" w:rsidRPr="00644691" w:rsidRDefault="00237D3B" w:rsidP="006D2C37">
      <w:pPr>
        <w:pStyle w:val="ExecSumBodyText"/>
        <w:rPr>
          <w:i/>
          <w:iCs/>
          <w:strike/>
          <w:lang w:eastAsia="en-US"/>
        </w:rPr>
      </w:pPr>
      <w:bookmarkStart w:id="57" w:name="_Ref79042037"/>
      <w:r w:rsidRPr="00644691">
        <w:rPr>
          <w:lang w:eastAsia="en-US"/>
        </w:rPr>
        <w:t xml:space="preserve">The PBAC deferred making a recommendation for </w:t>
      </w:r>
      <w:r w:rsidR="00A13F60" w:rsidRPr="00644691">
        <w:rPr>
          <w:lang w:eastAsia="en-US"/>
        </w:rPr>
        <w:t>dapagliflozin</w:t>
      </w:r>
      <w:r w:rsidRPr="00644691">
        <w:rPr>
          <w:lang w:eastAsia="en-US"/>
        </w:rPr>
        <w:t xml:space="preserve"> for the treatment of patients with chronic heart failure with reduced ejection fraction</w:t>
      </w:r>
      <w:r w:rsidR="00E26816" w:rsidRPr="00644691">
        <w:rPr>
          <w:lang w:eastAsia="en-US"/>
        </w:rPr>
        <w:t xml:space="preserve"> (HFrEF)</w:t>
      </w:r>
      <w:r w:rsidRPr="00644691">
        <w:rPr>
          <w:lang w:eastAsia="en-US"/>
        </w:rPr>
        <w:t>.</w:t>
      </w:r>
      <w:r w:rsidR="00A13F60" w:rsidRPr="00644691">
        <w:rPr>
          <w:lang w:eastAsia="en-US"/>
        </w:rPr>
        <w:t xml:space="preserve"> T</w:t>
      </w:r>
      <w:r w:rsidR="005850F5" w:rsidRPr="00644691">
        <w:rPr>
          <w:lang w:eastAsia="en-US"/>
        </w:rPr>
        <w:t>he PBAC is</w:t>
      </w:r>
      <w:r w:rsidR="005850F5" w:rsidRPr="00644691">
        <w:rPr>
          <w:color w:val="0070C0"/>
          <w:lang w:eastAsia="en-US"/>
        </w:rPr>
        <w:t xml:space="preserve"> </w:t>
      </w:r>
      <w:r w:rsidR="005850F5" w:rsidRPr="00644691">
        <w:rPr>
          <w:lang w:eastAsia="en-US"/>
        </w:rPr>
        <w:t xml:space="preserve">satisfied that dapagliflozin added to standard care provides, for some patients, a significant improvement in efficacy over standard care alone. The PBAC </w:t>
      </w:r>
      <w:r w:rsidR="00A13F60" w:rsidRPr="00644691">
        <w:rPr>
          <w:lang w:eastAsia="en-US"/>
        </w:rPr>
        <w:t xml:space="preserve">considered that the listing would be cost effective at the price proposed in the pre-PBAC response (the </w:t>
      </w:r>
      <w:r w:rsidR="00BB0C56">
        <w:rPr>
          <w:noProof/>
          <w:color w:val="000000"/>
          <w:highlight w:val="black"/>
          <w:lang w:eastAsia="en-US"/>
        </w:rPr>
        <w:t>'''''''''''''</w:t>
      </w:r>
      <w:r w:rsidR="00A13F60" w:rsidRPr="00644691">
        <w:rPr>
          <w:lang w:eastAsia="en-US"/>
        </w:rPr>
        <w:t xml:space="preserve"> PBS price for </w:t>
      </w:r>
      <w:r w:rsidR="0001515F">
        <w:rPr>
          <w:noProof/>
          <w:color w:val="000000"/>
          <w:highlight w:val="black"/>
          <w:lang w:eastAsia="en-US"/>
        </w:rPr>
        <w:t>''''''''''''''''''''''''' '''''' ''''''''''</w:t>
      </w:r>
      <w:r w:rsidR="00A13F60" w:rsidRPr="00644691">
        <w:rPr>
          <w:lang w:eastAsia="en-US"/>
        </w:rPr>
        <w:t xml:space="preserve">), and it was therefore of a mind to recommend a General Schedule Authority Required (Streamlined) listing. However, the PBAC remained concerned about the risk of use outside the proposed PBS restriction. The PBAC noted that although the resubmission had presented additional information to estimate the overall net impact of listing for </w:t>
      </w:r>
      <w:r w:rsidR="006B6197" w:rsidRPr="00644691">
        <w:rPr>
          <w:lang w:eastAsia="en-US"/>
        </w:rPr>
        <w:t xml:space="preserve">both </w:t>
      </w:r>
      <w:r w:rsidR="00A13F60" w:rsidRPr="00644691">
        <w:rPr>
          <w:lang w:eastAsia="en-US"/>
        </w:rPr>
        <w:t>HFrEF and CKD</w:t>
      </w:r>
      <w:r w:rsidR="004B488E" w:rsidRPr="00644691">
        <w:rPr>
          <w:lang w:eastAsia="en-US"/>
        </w:rPr>
        <w:t xml:space="preserve"> (see agenda </w:t>
      </w:r>
      <w:r w:rsidR="00721BF4" w:rsidRPr="00644691">
        <w:rPr>
          <w:lang w:eastAsia="en-US"/>
        </w:rPr>
        <w:t>item 6.03</w:t>
      </w:r>
      <w:r w:rsidR="004B488E" w:rsidRPr="00644691">
        <w:rPr>
          <w:lang w:eastAsia="en-US"/>
        </w:rPr>
        <w:t>, July 2021 PBAC meeting)</w:t>
      </w:r>
      <w:r w:rsidR="00A13F60" w:rsidRPr="00644691">
        <w:rPr>
          <w:lang w:eastAsia="en-US"/>
        </w:rPr>
        <w:t xml:space="preserve">, </w:t>
      </w:r>
      <w:r w:rsidR="006B6197" w:rsidRPr="00644691">
        <w:rPr>
          <w:lang w:eastAsia="en-US"/>
        </w:rPr>
        <w:t xml:space="preserve">it had not provided estimates for total dapagliflozin PBS utilisation including T2DM. The PBAC considered that these estimates were necessary to inform its advice to </w:t>
      </w:r>
      <w:r w:rsidR="00BF6CFE" w:rsidRPr="00644691">
        <w:rPr>
          <w:lang w:eastAsia="en-US"/>
        </w:rPr>
        <w:t>the Australian G</w:t>
      </w:r>
      <w:r w:rsidR="006B6197" w:rsidRPr="00644691">
        <w:rPr>
          <w:lang w:eastAsia="en-US"/>
        </w:rPr>
        <w:t>overnment about an appropriate RSA to ensure that the subsidy of dapagliflozin is restricted to the populations in whom PBAC has considered it cost effective.</w:t>
      </w:r>
      <w:r w:rsidR="00BF6CFE" w:rsidRPr="00644691">
        <w:rPr>
          <w:lang w:eastAsia="en-US"/>
        </w:rPr>
        <w:t xml:space="preserve"> The PBAC therefore requested that the department obtain these estimates from the sponsor </w:t>
      </w:r>
      <w:r w:rsidR="00B54AD9">
        <w:rPr>
          <w:lang w:eastAsia="en-US"/>
        </w:rPr>
        <w:t>before it</w:t>
      </w:r>
      <w:r w:rsidR="00BF6CFE" w:rsidRPr="00644691">
        <w:rPr>
          <w:lang w:eastAsia="en-US"/>
        </w:rPr>
        <w:t xml:space="preserve"> reconsider</w:t>
      </w:r>
      <w:r w:rsidR="00AB05E2">
        <w:rPr>
          <w:lang w:eastAsia="en-US"/>
        </w:rPr>
        <w:t>ed</w:t>
      </w:r>
      <w:r w:rsidR="00BF6CFE" w:rsidRPr="00644691">
        <w:rPr>
          <w:lang w:eastAsia="en-US"/>
        </w:rPr>
        <w:t xml:space="preserve"> this resubmission for HFrEF (and the submission for CKD).</w:t>
      </w:r>
      <w:bookmarkEnd w:id="57"/>
    </w:p>
    <w:p w:rsidR="000820CD" w:rsidRPr="00644691" w:rsidRDefault="004E6378" w:rsidP="000820CD">
      <w:pPr>
        <w:pStyle w:val="ExecSumBodyText"/>
        <w:rPr>
          <w:i/>
          <w:iCs/>
          <w:strike/>
          <w:lang w:eastAsia="en-US"/>
        </w:rPr>
      </w:pPr>
      <w:r w:rsidRPr="00644691">
        <w:rPr>
          <w:lang w:eastAsia="en-US"/>
        </w:rPr>
        <w:t xml:space="preserve">The PBAC </w:t>
      </w:r>
      <w:r w:rsidR="000820CD" w:rsidRPr="00644691">
        <w:rPr>
          <w:lang w:eastAsia="en-US"/>
        </w:rPr>
        <w:t>noted</w:t>
      </w:r>
      <w:r w:rsidRPr="00644691">
        <w:rPr>
          <w:lang w:eastAsia="en-US"/>
        </w:rPr>
        <w:t xml:space="preserve"> that the resubmission for HFrEF had </w:t>
      </w:r>
      <w:r w:rsidR="000820CD" w:rsidRPr="00644691">
        <w:rPr>
          <w:lang w:eastAsia="en-US"/>
        </w:rPr>
        <w:t xml:space="preserve">addressed its </w:t>
      </w:r>
      <w:r w:rsidR="000820CD" w:rsidRPr="00644691">
        <w:rPr>
          <w:i/>
          <w:iCs/>
          <w:lang w:eastAsia="en-US"/>
        </w:rPr>
        <w:t>main</w:t>
      </w:r>
      <w:r w:rsidR="000820CD" w:rsidRPr="00644691">
        <w:rPr>
          <w:lang w:eastAsia="en-US"/>
        </w:rPr>
        <w:t xml:space="preserve"> concerns with the November 2020 submission in terms of a revised comparator, clinical place in therapy, </w:t>
      </w:r>
      <w:r w:rsidR="003A6845" w:rsidRPr="00644691">
        <w:rPr>
          <w:lang w:eastAsia="en-US"/>
        </w:rPr>
        <w:t xml:space="preserve">the </w:t>
      </w:r>
      <w:r w:rsidR="00B871BA" w:rsidRPr="00644691">
        <w:rPr>
          <w:lang w:eastAsia="en-US"/>
        </w:rPr>
        <w:t xml:space="preserve">type of </w:t>
      </w:r>
      <w:r w:rsidR="000820CD" w:rsidRPr="00644691">
        <w:rPr>
          <w:lang w:eastAsia="en-US"/>
        </w:rPr>
        <w:t xml:space="preserve">economic analysis, </w:t>
      </w:r>
      <w:r w:rsidR="003A6845" w:rsidRPr="00644691">
        <w:rPr>
          <w:lang w:eastAsia="en-US"/>
        </w:rPr>
        <w:t xml:space="preserve">the </w:t>
      </w:r>
      <w:r w:rsidR="000820CD" w:rsidRPr="00644691">
        <w:rPr>
          <w:lang w:eastAsia="en-US"/>
        </w:rPr>
        <w:t xml:space="preserve">financial estimates and quality use of medicines (see </w:t>
      </w:r>
      <w:r w:rsidR="000C6AFA" w:rsidRPr="00644691">
        <w:t xml:space="preserve">Table </w:t>
      </w:r>
      <w:r w:rsidR="000C6AFA">
        <w:t>2</w:t>
      </w:r>
      <w:r w:rsidR="002C5DB2" w:rsidRPr="00644691">
        <w:rPr>
          <w:lang w:eastAsia="en-US"/>
        </w:rPr>
        <w:t xml:space="preserve"> and </w:t>
      </w:r>
      <w:r w:rsidR="003A6845" w:rsidRPr="00644691">
        <w:rPr>
          <w:lang w:eastAsia="en-US"/>
        </w:rPr>
        <w:t>paragraphs</w:t>
      </w:r>
      <w:r w:rsidR="002C5DB2" w:rsidRPr="00644691">
        <w:rPr>
          <w:lang w:eastAsia="en-US"/>
        </w:rPr>
        <w:t xml:space="preserve"> below</w:t>
      </w:r>
      <w:r w:rsidR="000820CD" w:rsidRPr="00644691">
        <w:rPr>
          <w:lang w:eastAsia="en-US"/>
        </w:rPr>
        <w:t xml:space="preserve"> for </w:t>
      </w:r>
      <w:r w:rsidR="007D36E4" w:rsidRPr="00644691">
        <w:rPr>
          <w:lang w:eastAsia="en-US"/>
        </w:rPr>
        <w:t xml:space="preserve">more </w:t>
      </w:r>
      <w:r w:rsidR="000820CD" w:rsidRPr="00644691">
        <w:rPr>
          <w:lang w:eastAsia="en-US"/>
        </w:rPr>
        <w:t>details).</w:t>
      </w:r>
    </w:p>
    <w:p w:rsidR="004E6378" w:rsidRPr="00644691" w:rsidRDefault="000820CD" w:rsidP="000820CD">
      <w:pPr>
        <w:pStyle w:val="ExecSumBodyText"/>
        <w:rPr>
          <w:i/>
          <w:iCs/>
          <w:strike/>
          <w:lang w:eastAsia="en-US"/>
        </w:rPr>
      </w:pPr>
      <w:r w:rsidRPr="00644691">
        <w:rPr>
          <w:lang w:eastAsia="en-US"/>
        </w:rPr>
        <w:t xml:space="preserve">The PBAC </w:t>
      </w:r>
      <w:r w:rsidR="007D36E4" w:rsidRPr="00644691">
        <w:rPr>
          <w:lang w:eastAsia="en-US"/>
        </w:rPr>
        <w:t>considered that the resubmission’s</w:t>
      </w:r>
      <w:r w:rsidRPr="00644691">
        <w:rPr>
          <w:lang w:eastAsia="en-US"/>
        </w:rPr>
        <w:t xml:space="preserve"> </w:t>
      </w:r>
      <w:r w:rsidR="007D36E4" w:rsidRPr="00644691">
        <w:rPr>
          <w:lang w:eastAsia="en-US"/>
        </w:rPr>
        <w:t>nominated</w:t>
      </w:r>
      <w:r w:rsidRPr="00644691">
        <w:rPr>
          <w:lang w:eastAsia="en-US"/>
        </w:rPr>
        <w:t xml:space="preserve"> main comparator</w:t>
      </w:r>
      <w:r w:rsidR="007D36E4" w:rsidRPr="00644691">
        <w:rPr>
          <w:lang w:eastAsia="en-US"/>
        </w:rPr>
        <w:t xml:space="preserve"> was in line with the PBAC’s previous advice</w:t>
      </w:r>
      <w:r w:rsidRPr="00644691">
        <w:rPr>
          <w:lang w:eastAsia="en-US"/>
        </w:rPr>
        <w:t xml:space="preserve"> (</w:t>
      </w:r>
      <w:r w:rsidR="007D36E4" w:rsidRPr="00644691">
        <w:rPr>
          <w:lang w:eastAsia="en-US"/>
        </w:rPr>
        <w:t xml:space="preserve">i.e. </w:t>
      </w:r>
      <w:r w:rsidRPr="00644691">
        <w:rPr>
          <w:lang w:eastAsia="en-US"/>
        </w:rPr>
        <w:t xml:space="preserve">beta-blocker plus an ACE inhibitor or ARB (with or without an MRA and other heart failure medications) </w:t>
      </w:r>
      <w:r w:rsidR="00607DC3" w:rsidRPr="00644691">
        <w:rPr>
          <w:lang w:eastAsia="en-US"/>
        </w:rPr>
        <w:t xml:space="preserve">to be the </w:t>
      </w:r>
      <w:r w:rsidR="007D36E4" w:rsidRPr="00644691">
        <w:rPr>
          <w:lang w:eastAsia="en-US"/>
        </w:rPr>
        <w:t xml:space="preserve">comparator </w:t>
      </w:r>
      <w:r w:rsidRPr="00644691">
        <w:rPr>
          <w:lang w:eastAsia="en-US"/>
        </w:rPr>
        <w:t xml:space="preserve">for the </w:t>
      </w:r>
      <w:r w:rsidRPr="00644691">
        <w:rPr>
          <w:lang w:eastAsia="en-US"/>
        </w:rPr>
        <w:lastRenderedPageBreak/>
        <w:t>majority of patients (80-89%)</w:t>
      </w:r>
      <w:r w:rsidR="007D36E4" w:rsidRPr="00644691">
        <w:rPr>
          <w:lang w:eastAsia="en-US"/>
        </w:rPr>
        <w:t>)</w:t>
      </w:r>
      <w:r w:rsidR="00316AF4" w:rsidRPr="00644691">
        <w:rPr>
          <w:lang w:eastAsia="en-US"/>
        </w:rPr>
        <w:t xml:space="preserve">, with the addition of </w:t>
      </w:r>
      <w:r w:rsidR="00D941CE" w:rsidRPr="00644691">
        <w:rPr>
          <w:lang w:eastAsia="en-US"/>
        </w:rPr>
        <w:t xml:space="preserve">an </w:t>
      </w:r>
      <w:r w:rsidR="00316AF4" w:rsidRPr="00644691">
        <w:rPr>
          <w:lang w:eastAsia="en-US"/>
        </w:rPr>
        <w:t xml:space="preserve">ARNI </w:t>
      </w:r>
      <w:r w:rsidR="00F21E98" w:rsidRPr="00644691">
        <w:rPr>
          <w:lang w:eastAsia="en-US"/>
        </w:rPr>
        <w:t xml:space="preserve">instead of </w:t>
      </w:r>
      <w:r w:rsidR="00D941CE" w:rsidRPr="00644691">
        <w:rPr>
          <w:lang w:eastAsia="en-US"/>
        </w:rPr>
        <w:t xml:space="preserve">an </w:t>
      </w:r>
      <w:r w:rsidR="00F21E98" w:rsidRPr="00644691">
        <w:rPr>
          <w:lang w:eastAsia="en-US"/>
        </w:rPr>
        <w:t xml:space="preserve">ARB </w:t>
      </w:r>
      <w:r w:rsidR="00316AF4" w:rsidRPr="00644691">
        <w:rPr>
          <w:lang w:eastAsia="en-US"/>
        </w:rPr>
        <w:t>i</w:t>
      </w:r>
      <w:r w:rsidR="00421459" w:rsidRPr="00644691">
        <w:rPr>
          <w:lang w:eastAsia="en-US"/>
        </w:rPr>
        <w:t>n the remaining patients</w:t>
      </w:r>
      <w:r w:rsidR="007D36E4" w:rsidRPr="00644691">
        <w:rPr>
          <w:lang w:eastAsia="en-US"/>
        </w:rPr>
        <w:t>.</w:t>
      </w:r>
      <w:r w:rsidR="00B871BA" w:rsidRPr="00644691">
        <w:rPr>
          <w:lang w:eastAsia="en-US"/>
        </w:rPr>
        <w:t xml:space="preserve"> </w:t>
      </w:r>
    </w:p>
    <w:p w:rsidR="007D36E4" w:rsidRPr="00644691" w:rsidRDefault="007D36E4" w:rsidP="007D36E4">
      <w:pPr>
        <w:pStyle w:val="ExecSumBodyText"/>
        <w:rPr>
          <w:lang w:eastAsia="en-US"/>
        </w:rPr>
      </w:pPr>
      <w:r w:rsidRPr="00644691">
        <w:rPr>
          <w:lang w:eastAsia="en-US"/>
        </w:rPr>
        <w:t>The PBAC remained of the view that the clinical place of dapagliflozin</w:t>
      </w:r>
      <w:r w:rsidR="006C027E" w:rsidRPr="00644691">
        <w:rPr>
          <w:lang w:eastAsia="en-US"/>
        </w:rPr>
        <w:t xml:space="preserve"> for heart failure</w:t>
      </w:r>
      <w:r w:rsidRPr="00644691">
        <w:rPr>
          <w:lang w:eastAsia="en-US"/>
        </w:rPr>
        <w:t xml:space="preserve"> was not yet established and was likely to continue to evolve. It reaffirmed its advice that given that dapagliflozin has a different mechanism of action to sacubitril/valsartan, patients will potentially switch from, add-on, or displace sacubitril/valsartan, or grow the current heart failure market. The PBAC recognised that SGLT2 inhibitors are gaining increasing prominence in international clinical guidelines for heart failure, and as such it considered that the comparator mix presented in the resubmission represented the vast majority of expected use</w:t>
      </w:r>
      <w:r w:rsidR="00297358" w:rsidRPr="00644691">
        <w:rPr>
          <w:lang w:eastAsia="en-US"/>
        </w:rPr>
        <w:t xml:space="preserve"> and that it was </w:t>
      </w:r>
      <w:r w:rsidR="00DF7F5E" w:rsidRPr="00644691">
        <w:rPr>
          <w:lang w:eastAsia="en-US"/>
        </w:rPr>
        <w:t xml:space="preserve">reasonable </w:t>
      </w:r>
      <w:r w:rsidR="00297358" w:rsidRPr="00644691">
        <w:rPr>
          <w:lang w:eastAsia="en-US"/>
        </w:rPr>
        <w:t xml:space="preserve">that the </w:t>
      </w:r>
      <w:r w:rsidR="00C651A1" w:rsidRPr="00644691">
        <w:rPr>
          <w:lang w:eastAsia="en-US"/>
        </w:rPr>
        <w:t xml:space="preserve">economic </w:t>
      </w:r>
      <w:r w:rsidR="00297358" w:rsidRPr="00644691">
        <w:rPr>
          <w:lang w:eastAsia="en-US"/>
        </w:rPr>
        <w:t xml:space="preserve">model and </w:t>
      </w:r>
      <w:r w:rsidR="00C651A1" w:rsidRPr="00644691">
        <w:rPr>
          <w:lang w:eastAsia="en-US"/>
        </w:rPr>
        <w:t xml:space="preserve">financial </w:t>
      </w:r>
      <w:r w:rsidR="00297358" w:rsidRPr="00644691">
        <w:rPr>
          <w:lang w:eastAsia="en-US"/>
        </w:rPr>
        <w:t>estimates did not account for patients switching between sacubitril/valsartan and dapagliflozin</w:t>
      </w:r>
      <w:r w:rsidRPr="00644691">
        <w:rPr>
          <w:lang w:eastAsia="en-US"/>
        </w:rPr>
        <w:t xml:space="preserve">. </w:t>
      </w:r>
    </w:p>
    <w:p w:rsidR="007D36E4" w:rsidRPr="00644691" w:rsidRDefault="007D36E4" w:rsidP="007D36E4">
      <w:pPr>
        <w:pStyle w:val="ExecSumBodyText"/>
        <w:rPr>
          <w:lang w:eastAsia="en-US"/>
        </w:rPr>
      </w:pPr>
      <w:r w:rsidRPr="00644691">
        <w:rPr>
          <w:lang w:eastAsia="en-US"/>
        </w:rPr>
        <w:t xml:space="preserve">The PBAC reaffirmed its </w:t>
      </w:r>
      <w:r w:rsidR="00B871BA" w:rsidRPr="00644691">
        <w:rPr>
          <w:lang w:eastAsia="en-US"/>
        </w:rPr>
        <w:t>previous advice that the DAPA-HF trial supported a claim</w:t>
      </w:r>
      <w:r w:rsidR="00AB6C2F" w:rsidRPr="00644691">
        <w:rPr>
          <w:lang w:eastAsia="en-US"/>
        </w:rPr>
        <w:t xml:space="preserve">, with a high level </w:t>
      </w:r>
      <w:r w:rsidR="009A4886">
        <w:rPr>
          <w:lang w:eastAsia="en-US"/>
        </w:rPr>
        <w:t xml:space="preserve">of </w:t>
      </w:r>
      <w:r w:rsidR="00AB6C2F" w:rsidRPr="00644691">
        <w:rPr>
          <w:lang w:eastAsia="en-US"/>
        </w:rPr>
        <w:t>certainty,</w:t>
      </w:r>
      <w:r w:rsidR="00B871BA" w:rsidRPr="00644691">
        <w:rPr>
          <w:lang w:eastAsia="en-US"/>
        </w:rPr>
        <w:t xml:space="preserve"> that dapagliflozin added to standard of care had </w:t>
      </w:r>
      <w:r w:rsidR="00AB6C2F" w:rsidRPr="00644691">
        <w:rPr>
          <w:lang w:eastAsia="en-US"/>
        </w:rPr>
        <w:t>a moderate benefit</w:t>
      </w:r>
      <w:r w:rsidR="00B871BA" w:rsidRPr="00644691">
        <w:rPr>
          <w:lang w:eastAsia="en-US"/>
        </w:rPr>
        <w:t>, and non</w:t>
      </w:r>
      <w:r w:rsidR="00721BF4">
        <w:rPr>
          <w:lang w:eastAsia="en-US"/>
        </w:rPr>
        <w:t>-</w:t>
      </w:r>
      <w:r w:rsidR="00B871BA" w:rsidRPr="00644691">
        <w:rPr>
          <w:lang w:eastAsia="en-US"/>
        </w:rPr>
        <w:t xml:space="preserve">inferior safety, compared with standard of care alone. </w:t>
      </w:r>
    </w:p>
    <w:p w:rsidR="0031223B" w:rsidRPr="00644691" w:rsidRDefault="000B42E6" w:rsidP="00E15572">
      <w:pPr>
        <w:pStyle w:val="ExecSumBodyText"/>
        <w:rPr>
          <w:i/>
          <w:iCs/>
          <w:color w:val="00B050"/>
          <w:lang w:eastAsia="en-US"/>
        </w:rPr>
      </w:pPr>
      <w:r w:rsidRPr="00644691">
        <w:rPr>
          <w:lang w:eastAsia="en-US"/>
        </w:rPr>
        <w:t>T</w:t>
      </w:r>
      <w:r w:rsidR="00B17607" w:rsidRPr="00644691">
        <w:rPr>
          <w:lang w:eastAsia="en-US"/>
        </w:rPr>
        <w:t xml:space="preserve">he resubmission presented a cost utility </w:t>
      </w:r>
      <w:r w:rsidR="0018260C" w:rsidRPr="00644691">
        <w:rPr>
          <w:lang w:eastAsia="en-US"/>
        </w:rPr>
        <w:t xml:space="preserve">analysis </w:t>
      </w:r>
      <w:r w:rsidR="00C804E1" w:rsidRPr="00644691">
        <w:t>of dapagliflozin plus standard care versus standard care alone</w:t>
      </w:r>
      <w:r w:rsidR="00B17607" w:rsidRPr="00644691">
        <w:rPr>
          <w:lang w:eastAsia="en-US"/>
        </w:rPr>
        <w:t xml:space="preserve">, </w:t>
      </w:r>
      <w:r w:rsidRPr="00644691">
        <w:rPr>
          <w:lang w:eastAsia="en-US"/>
        </w:rPr>
        <w:t>using a two-state model structure</w:t>
      </w:r>
      <w:r w:rsidR="00C804E1" w:rsidRPr="00644691">
        <w:rPr>
          <w:lang w:eastAsia="en-US"/>
        </w:rPr>
        <w:t>.</w:t>
      </w:r>
      <w:r w:rsidRPr="00644691">
        <w:rPr>
          <w:lang w:eastAsia="en-US"/>
        </w:rPr>
        <w:t xml:space="preserve"> </w:t>
      </w:r>
      <w:r w:rsidR="00C804E1" w:rsidRPr="00644691">
        <w:rPr>
          <w:lang w:eastAsia="en-US"/>
        </w:rPr>
        <w:t>T</w:t>
      </w:r>
      <w:r w:rsidR="00B17607" w:rsidRPr="00644691">
        <w:rPr>
          <w:lang w:eastAsia="en-US"/>
        </w:rPr>
        <w:t xml:space="preserve">he PBAC agreed with the ESC that </w:t>
      </w:r>
      <w:r w:rsidR="00C804E1" w:rsidRPr="00644691">
        <w:rPr>
          <w:lang w:eastAsia="en-US"/>
        </w:rPr>
        <w:t xml:space="preserve">this structure was </w:t>
      </w:r>
      <w:r w:rsidR="00B17607" w:rsidRPr="00644691">
        <w:rPr>
          <w:lang w:eastAsia="en-US"/>
        </w:rPr>
        <w:t xml:space="preserve">overly simplistic </w:t>
      </w:r>
      <w:r w:rsidR="00297358" w:rsidRPr="00644691">
        <w:rPr>
          <w:lang w:eastAsia="en-US"/>
        </w:rPr>
        <w:t>and</w:t>
      </w:r>
      <w:r w:rsidR="00B17607" w:rsidRPr="00644691">
        <w:rPr>
          <w:lang w:eastAsia="en-US"/>
        </w:rPr>
        <w:t xml:space="preserve"> did not adequately reflect the progressive nature of heart failure, and associated changes in costs, quality of life and mortality risk. </w:t>
      </w:r>
      <w:r w:rsidR="0095342A" w:rsidRPr="00644691">
        <w:rPr>
          <w:lang w:eastAsia="en-US"/>
        </w:rPr>
        <w:t>The PBAC acknowledged the various sensitivity analyses put forward in the pre-PBAC response</w:t>
      </w:r>
      <w:r w:rsidR="00103DCA" w:rsidRPr="00644691">
        <w:rPr>
          <w:lang w:eastAsia="en-US"/>
        </w:rPr>
        <w:t>, and noted minimal variation from the base case analysis, but considered that this did not overcome the fundamental issues with the model structure</w:t>
      </w:r>
      <w:r w:rsidR="00C804E1" w:rsidRPr="00644691">
        <w:rPr>
          <w:lang w:eastAsia="en-US"/>
        </w:rPr>
        <w:t xml:space="preserve"> and reduced confidence in the resulting ICERs</w:t>
      </w:r>
      <w:r w:rsidR="00103DCA" w:rsidRPr="00644691">
        <w:rPr>
          <w:lang w:eastAsia="en-US"/>
        </w:rPr>
        <w:t>.</w:t>
      </w:r>
      <w:r w:rsidR="00BE3A00" w:rsidRPr="00644691">
        <w:rPr>
          <w:lang w:eastAsia="en-US"/>
        </w:rPr>
        <w:t xml:space="preserve"> </w:t>
      </w:r>
    </w:p>
    <w:p w:rsidR="00BE3A00" w:rsidRPr="00644691" w:rsidRDefault="00BE3A00" w:rsidP="00417C55">
      <w:pPr>
        <w:pStyle w:val="ExecSumBodyText"/>
        <w:rPr>
          <w:i/>
          <w:iCs/>
          <w:color w:val="00B050"/>
          <w:lang w:eastAsia="en-US"/>
        </w:rPr>
      </w:pPr>
      <w:r w:rsidRPr="00644691">
        <w:rPr>
          <w:lang w:eastAsia="en-US"/>
        </w:rPr>
        <w:t xml:space="preserve">The PBAC noted the revised base case presented in the pre-PBAC response </w:t>
      </w:r>
      <w:r w:rsidR="00C804E1" w:rsidRPr="00644691">
        <w:rPr>
          <w:lang w:eastAsia="en-US"/>
        </w:rPr>
        <w:t>was</w:t>
      </w:r>
      <w:r w:rsidRPr="00644691">
        <w:rPr>
          <w:lang w:eastAsia="en-US"/>
        </w:rPr>
        <w:t xml:space="preserve"> an ICER of </w:t>
      </w:r>
      <w:r w:rsidR="00417C55" w:rsidRPr="00417C55">
        <w:rPr>
          <w:lang w:eastAsia="en-US"/>
        </w:rPr>
        <w:t>$15,000 to &lt; $25,000</w:t>
      </w:r>
      <w:r w:rsidR="00417C55">
        <w:rPr>
          <w:lang w:eastAsia="en-US"/>
        </w:rPr>
        <w:t xml:space="preserve"> </w:t>
      </w:r>
      <w:r w:rsidRPr="00644691">
        <w:rPr>
          <w:lang w:eastAsia="en-US"/>
        </w:rPr>
        <w:t xml:space="preserve">per QALY gained, incorporating </w:t>
      </w:r>
      <w:r w:rsidR="00C804E1" w:rsidRPr="00644691">
        <w:rPr>
          <w:lang w:eastAsia="en-US"/>
        </w:rPr>
        <w:t xml:space="preserve">the </w:t>
      </w:r>
      <w:r w:rsidRPr="00644691">
        <w:rPr>
          <w:lang w:eastAsia="en-US"/>
        </w:rPr>
        <w:t xml:space="preserve">price reduction to </w:t>
      </w:r>
      <w:r w:rsidR="0001515F">
        <w:rPr>
          <w:noProof/>
          <w:color w:val="000000"/>
          <w:highlight w:val="black"/>
          <w:lang w:eastAsia="en-US"/>
        </w:rPr>
        <w:t>'''''''''''</w:t>
      </w:r>
      <w:r w:rsidRPr="00644691">
        <w:rPr>
          <w:lang w:eastAsia="en-US"/>
        </w:rPr>
        <w:t xml:space="preserve"> the </w:t>
      </w:r>
      <w:r w:rsidR="00BB0C56">
        <w:rPr>
          <w:noProof/>
          <w:color w:val="000000"/>
          <w:highlight w:val="black"/>
          <w:lang w:eastAsia="en-US"/>
        </w:rPr>
        <w:t>''''''''''''' '''''''''''</w:t>
      </w:r>
      <w:r w:rsidRPr="00644691">
        <w:rPr>
          <w:lang w:eastAsia="en-US"/>
        </w:rPr>
        <w:t xml:space="preserve"> price and various other adjustments (see </w:t>
      </w:r>
      <w:r w:rsidR="000C6AFA" w:rsidRPr="00644691">
        <w:t xml:space="preserve">Table </w:t>
      </w:r>
      <w:r w:rsidR="000C6AFA">
        <w:rPr>
          <w:noProof/>
        </w:rPr>
        <w:t>10</w:t>
      </w:r>
      <w:r w:rsidRPr="00644691">
        <w:rPr>
          <w:lang w:eastAsia="en-US"/>
        </w:rPr>
        <w:t xml:space="preserve">). </w:t>
      </w:r>
      <w:r w:rsidR="0031223B" w:rsidRPr="00644691">
        <w:rPr>
          <w:lang w:eastAsia="en-US"/>
        </w:rPr>
        <w:t xml:space="preserve">The PBAC remained concerned that the model structure was not robust, however, at the reduced price the Committee was confident that the ICER would be in an acceptable range, comparable to other treatments for chronic conditions. </w:t>
      </w:r>
      <w:r w:rsidRPr="00644691">
        <w:rPr>
          <w:lang w:eastAsia="en-US"/>
        </w:rPr>
        <w:t xml:space="preserve">Overall, </w:t>
      </w:r>
      <w:r w:rsidR="00927AF6" w:rsidRPr="00644691">
        <w:rPr>
          <w:lang w:eastAsia="en-US"/>
        </w:rPr>
        <w:t>the PBAC considered a</w:t>
      </w:r>
      <w:r w:rsidR="00721BF4">
        <w:rPr>
          <w:lang w:eastAsia="en-US"/>
        </w:rPr>
        <w:t>n</w:t>
      </w:r>
      <w:r w:rsidR="00927AF6" w:rsidRPr="00644691">
        <w:rPr>
          <w:lang w:eastAsia="en-US"/>
        </w:rPr>
        <w:t xml:space="preserve"> HFrEF listing would be cost effective at the </w:t>
      </w:r>
      <w:r w:rsidR="00BB0C56">
        <w:rPr>
          <w:noProof/>
          <w:color w:val="000000"/>
          <w:highlight w:val="black"/>
          <w:lang w:eastAsia="en-US"/>
        </w:rPr>
        <w:t>'''''''''''</w:t>
      </w:r>
      <w:r w:rsidR="00927AF6" w:rsidRPr="00644691">
        <w:rPr>
          <w:lang w:eastAsia="en-US"/>
        </w:rPr>
        <w:t xml:space="preserve"> price</w:t>
      </w:r>
      <w:r w:rsidR="006A6136" w:rsidRPr="00644691">
        <w:rPr>
          <w:lang w:eastAsia="en-US"/>
        </w:rPr>
        <w:t>.</w:t>
      </w:r>
      <w:r w:rsidR="00927AF6" w:rsidRPr="00644691">
        <w:rPr>
          <w:lang w:eastAsia="en-US"/>
        </w:rPr>
        <w:t xml:space="preserve"> </w:t>
      </w:r>
    </w:p>
    <w:p w:rsidR="00D36776" w:rsidRPr="00644691" w:rsidRDefault="00D27280" w:rsidP="00316AF4">
      <w:pPr>
        <w:pStyle w:val="ExecSumBodyText"/>
        <w:rPr>
          <w:rFonts w:cstheme="minorHAnsi"/>
          <w:i/>
          <w:iCs/>
          <w:snapToGrid/>
          <w:color w:val="0070C0"/>
          <w:lang w:eastAsia="en-US"/>
        </w:rPr>
      </w:pPr>
      <w:bookmarkStart w:id="58" w:name="_Hlk79498230"/>
      <w:r w:rsidRPr="00644691">
        <w:rPr>
          <w:lang w:eastAsia="en-US"/>
        </w:rPr>
        <w:t xml:space="preserve">In terms of the financial implications, </w:t>
      </w:r>
      <w:r w:rsidR="00E15572" w:rsidRPr="00644691">
        <w:rPr>
          <w:lang w:eastAsia="en-US"/>
        </w:rPr>
        <w:t xml:space="preserve">the PBAC </w:t>
      </w:r>
      <w:r w:rsidR="00836081">
        <w:rPr>
          <w:lang w:eastAsia="en-US"/>
        </w:rPr>
        <w:t>noted</w:t>
      </w:r>
      <w:r w:rsidR="00E15572" w:rsidRPr="00644691">
        <w:rPr>
          <w:lang w:eastAsia="en-US"/>
        </w:rPr>
        <w:t xml:space="preserve"> the evaluation</w:t>
      </w:r>
      <w:r w:rsidR="00836081">
        <w:rPr>
          <w:lang w:eastAsia="en-US"/>
        </w:rPr>
        <w:t xml:space="preserve"> highlighted</w:t>
      </w:r>
      <w:r w:rsidR="00E15572" w:rsidRPr="00644691">
        <w:rPr>
          <w:lang w:eastAsia="en-US"/>
        </w:rPr>
        <w:t xml:space="preserve"> that a number of uncertainties remained, including the proportion of patients receiving optimised standard care, the proportion of patients not already receiving an SGLT2 inhibitor for </w:t>
      </w:r>
      <w:r w:rsidR="003B7D1B" w:rsidRPr="00644691">
        <w:rPr>
          <w:lang w:eastAsia="en-US"/>
        </w:rPr>
        <w:t>T2DM</w:t>
      </w:r>
      <w:r w:rsidR="00E15572" w:rsidRPr="00644691">
        <w:rPr>
          <w:lang w:eastAsia="en-US"/>
        </w:rPr>
        <w:t xml:space="preserve">, and the dapagliflozin uptake and compliance rates (see </w:t>
      </w:r>
      <w:r w:rsidR="000C6AFA" w:rsidRPr="00644691">
        <w:t xml:space="preserve">Table </w:t>
      </w:r>
      <w:r w:rsidR="000C6AFA">
        <w:rPr>
          <w:noProof/>
        </w:rPr>
        <w:t>13</w:t>
      </w:r>
      <w:r w:rsidR="00E15572" w:rsidRPr="00644691">
        <w:rPr>
          <w:lang w:eastAsia="en-US"/>
        </w:rPr>
        <w:t xml:space="preserve"> and paragraph </w:t>
      </w:r>
      <w:r w:rsidR="000C6AFA">
        <w:rPr>
          <w:lang w:eastAsia="en-US"/>
        </w:rPr>
        <w:t>6.41</w:t>
      </w:r>
      <w:r w:rsidR="00E15572" w:rsidRPr="00644691">
        <w:rPr>
          <w:lang w:eastAsia="en-US"/>
        </w:rPr>
        <w:t xml:space="preserve">). </w:t>
      </w:r>
      <w:r w:rsidR="003B7D1B" w:rsidRPr="00644691">
        <w:rPr>
          <w:lang w:eastAsia="en-US"/>
        </w:rPr>
        <w:t>The PBAC noted the ESC’s advice that the resubmission’s estimates (particularly with respect to the overlapping population with T2DM) were unreliable</w:t>
      </w:r>
      <w:r w:rsidR="00607DC3" w:rsidRPr="00644691">
        <w:rPr>
          <w:lang w:eastAsia="en-US"/>
        </w:rPr>
        <w:t xml:space="preserve">, and </w:t>
      </w:r>
      <w:bookmarkStart w:id="59" w:name="_Hlk79497922"/>
      <w:r w:rsidR="00607DC3" w:rsidRPr="00644691">
        <w:rPr>
          <w:lang w:eastAsia="en-US"/>
        </w:rPr>
        <w:t xml:space="preserve">the </w:t>
      </w:r>
      <w:r w:rsidR="003B7D1B" w:rsidRPr="00644691">
        <w:rPr>
          <w:lang w:eastAsia="en-US"/>
        </w:rPr>
        <w:t>PBAC</w:t>
      </w:r>
      <w:r w:rsidR="00607DC3" w:rsidRPr="00644691">
        <w:rPr>
          <w:lang w:eastAsia="en-US"/>
        </w:rPr>
        <w:t xml:space="preserve"> also</w:t>
      </w:r>
      <w:r w:rsidR="003B7D1B" w:rsidRPr="00644691">
        <w:rPr>
          <w:lang w:eastAsia="en-US"/>
        </w:rPr>
        <w:t xml:space="preserve"> recalled the DUSC’s advice that that the risk of leakage is likely to be high (paragraph 6.60, dapagliflozin, PSD, November 2020 PBAC meeting). </w:t>
      </w:r>
      <w:bookmarkEnd w:id="59"/>
      <w:r w:rsidR="003B7D1B" w:rsidRPr="00644691">
        <w:rPr>
          <w:lang w:eastAsia="en-US"/>
        </w:rPr>
        <w:t xml:space="preserve">The </w:t>
      </w:r>
      <w:r w:rsidR="00ED3BF4" w:rsidRPr="00644691">
        <w:rPr>
          <w:lang w:eastAsia="en-US"/>
        </w:rPr>
        <w:t xml:space="preserve">PBAC then noted that the </w:t>
      </w:r>
      <w:r w:rsidR="003B7D1B" w:rsidRPr="00644691">
        <w:rPr>
          <w:lang w:eastAsia="en-US"/>
        </w:rPr>
        <w:t xml:space="preserve">pre-PBAC response presented a ‘risk of leakage’ assessment, </w:t>
      </w:r>
      <w:r w:rsidR="00836081">
        <w:rPr>
          <w:lang w:eastAsia="en-US"/>
        </w:rPr>
        <w:t xml:space="preserve">in which the </w:t>
      </w:r>
      <w:r w:rsidR="009A4886">
        <w:rPr>
          <w:lang w:eastAsia="en-US"/>
        </w:rPr>
        <w:t>sponsor</w:t>
      </w:r>
      <w:r w:rsidR="009A4886" w:rsidRPr="00644691">
        <w:rPr>
          <w:lang w:eastAsia="en-US"/>
        </w:rPr>
        <w:t xml:space="preserve"> </w:t>
      </w:r>
      <w:r w:rsidR="003B7D1B" w:rsidRPr="00644691">
        <w:rPr>
          <w:lang w:eastAsia="en-US"/>
        </w:rPr>
        <w:t xml:space="preserve">was of the strong opinion that a price reduction to </w:t>
      </w:r>
      <w:r w:rsidR="003B7D1B" w:rsidRPr="00644691">
        <w:rPr>
          <w:lang w:eastAsia="en-US"/>
        </w:rPr>
        <w:lastRenderedPageBreak/>
        <w:t xml:space="preserve">match the </w:t>
      </w:r>
      <w:r w:rsidR="00BB0C56">
        <w:rPr>
          <w:noProof/>
          <w:color w:val="000000"/>
          <w:highlight w:val="black"/>
          <w:lang w:eastAsia="en-US"/>
        </w:rPr>
        <w:t>'''''''''''</w:t>
      </w:r>
      <w:r w:rsidR="003B7D1B" w:rsidRPr="00644691">
        <w:rPr>
          <w:lang w:eastAsia="en-US"/>
        </w:rPr>
        <w:t xml:space="preserve"> DPMQ negated the need for an RSA, as it would alleviate the risk of leakage between T2DM, HF and CKD.</w:t>
      </w:r>
    </w:p>
    <w:p w:rsidR="002B6D04" w:rsidRPr="00644691" w:rsidRDefault="003B7D1B" w:rsidP="00316AF4">
      <w:pPr>
        <w:pStyle w:val="ExecSumBodyText"/>
        <w:rPr>
          <w:rFonts w:cstheme="minorHAnsi"/>
          <w:i/>
          <w:iCs/>
          <w:snapToGrid/>
          <w:color w:val="0070C0"/>
          <w:lang w:eastAsia="en-US"/>
        </w:rPr>
      </w:pPr>
      <w:r w:rsidRPr="00644691">
        <w:rPr>
          <w:lang w:eastAsia="en-US"/>
        </w:rPr>
        <w:t xml:space="preserve">The PBAC acknowledged that the resubmission had amended the financial estimates in line with the </w:t>
      </w:r>
      <w:r w:rsidR="00D36776" w:rsidRPr="00644691">
        <w:rPr>
          <w:lang w:eastAsia="en-US"/>
        </w:rPr>
        <w:t>previous</w:t>
      </w:r>
      <w:r w:rsidRPr="00644691">
        <w:rPr>
          <w:lang w:eastAsia="en-US"/>
        </w:rPr>
        <w:t xml:space="preserve"> DUSC advice, and it considered that the values outlined in </w:t>
      </w:r>
      <w:r w:rsidR="000C6AFA" w:rsidRPr="00644691">
        <w:t xml:space="preserve">Table </w:t>
      </w:r>
      <w:r w:rsidR="000C6AFA">
        <w:rPr>
          <w:noProof/>
        </w:rPr>
        <w:t>13</w:t>
      </w:r>
      <w:r w:rsidRPr="00644691">
        <w:rPr>
          <w:lang w:eastAsia="en-US"/>
        </w:rPr>
        <w:t xml:space="preserve"> were reasonable assumptions based on the available sources</w:t>
      </w:r>
      <w:r w:rsidR="003B3EB3" w:rsidRPr="00644691">
        <w:rPr>
          <w:lang w:eastAsia="en-US"/>
        </w:rPr>
        <w:t xml:space="preserve"> (with respect to the </w:t>
      </w:r>
      <w:r w:rsidRPr="00644691">
        <w:rPr>
          <w:lang w:eastAsia="en-US"/>
        </w:rPr>
        <w:t xml:space="preserve">overlapping population with T2DM, the PBAC </w:t>
      </w:r>
      <w:r w:rsidR="003B3EB3" w:rsidRPr="00644691">
        <w:rPr>
          <w:lang w:eastAsia="en-US"/>
        </w:rPr>
        <w:t xml:space="preserve">reached this view specifically in the context of the </w:t>
      </w:r>
      <w:r w:rsidRPr="00644691">
        <w:rPr>
          <w:lang w:eastAsia="en-US"/>
        </w:rPr>
        <w:t xml:space="preserve">pre-PBAC </w:t>
      </w:r>
      <w:r w:rsidR="003B3EB3" w:rsidRPr="00644691">
        <w:rPr>
          <w:lang w:eastAsia="en-US"/>
        </w:rPr>
        <w:t xml:space="preserve">price reduction). Importantly, however, the PBAC did not consider that the price reduction removed the risk of use in patients with heart failure with preserved ejection fraction, </w:t>
      </w:r>
      <w:r w:rsidR="00DF0C94">
        <w:rPr>
          <w:lang w:eastAsia="en-US"/>
        </w:rPr>
        <w:t xml:space="preserve">noting the emerging evidence for SGLT2 </w:t>
      </w:r>
      <w:r w:rsidR="00AB05E2">
        <w:rPr>
          <w:lang w:eastAsia="en-US"/>
        </w:rPr>
        <w:t xml:space="preserve">inhibitor </w:t>
      </w:r>
      <w:r w:rsidR="00DF0C94">
        <w:rPr>
          <w:lang w:eastAsia="en-US"/>
        </w:rPr>
        <w:t>use in this population and a lack of other available therapies. I</w:t>
      </w:r>
      <w:r w:rsidR="003B3EB3" w:rsidRPr="00644691">
        <w:rPr>
          <w:lang w:eastAsia="en-US"/>
        </w:rPr>
        <w:t xml:space="preserve">t recommended that an RSA would be needed to manage the </w:t>
      </w:r>
      <w:r w:rsidR="00DF0C94">
        <w:rPr>
          <w:lang w:eastAsia="en-US"/>
        </w:rPr>
        <w:t xml:space="preserve">high and increasing </w:t>
      </w:r>
      <w:r w:rsidR="003B3EB3" w:rsidRPr="00644691">
        <w:rPr>
          <w:lang w:eastAsia="en-US"/>
        </w:rPr>
        <w:t xml:space="preserve">risk of use in </w:t>
      </w:r>
      <w:r w:rsidR="00AB05E2">
        <w:rPr>
          <w:lang w:eastAsia="en-US"/>
        </w:rPr>
        <w:t>this</w:t>
      </w:r>
      <w:r w:rsidR="00AB05E2" w:rsidRPr="00644691">
        <w:rPr>
          <w:lang w:eastAsia="en-US"/>
        </w:rPr>
        <w:t xml:space="preserve"> </w:t>
      </w:r>
      <w:r w:rsidR="003B3EB3" w:rsidRPr="00644691">
        <w:rPr>
          <w:lang w:eastAsia="en-US"/>
        </w:rPr>
        <w:t xml:space="preserve">group. The PBAC also noted that grandfathered patients appeared </w:t>
      </w:r>
      <w:r w:rsidR="002B6D04" w:rsidRPr="00644691">
        <w:rPr>
          <w:lang w:eastAsia="en-US"/>
        </w:rPr>
        <w:t>to be</w:t>
      </w:r>
      <w:r w:rsidR="003B3EB3" w:rsidRPr="00644691">
        <w:rPr>
          <w:lang w:eastAsia="en-US"/>
        </w:rPr>
        <w:t xml:space="preserve"> double counted</w:t>
      </w:r>
      <w:r w:rsidR="002B6D04" w:rsidRPr="00644691">
        <w:rPr>
          <w:lang w:eastAsia="en-US"/>
        </w:rPr>
        <w:t xml:space="preserve"> (the PSCR had suggested these patients were not included in the prevalent pool, but no evidence was presented to support this claim)</w:t>
      </w:r>
      <w:r w:rsidR="003B3EB3" w:rsidRPr="00644691">
        <w:rPr>
          <w:lang w:eastAsia="en-US"/>
        </w:rPr>
        <w:t xml:space="preserve">. </w:t>
      </w:r>
      <w:r w:rsidR="002B6D04" w:rsidRPr="00644691">
        <w:rPr>
          <w:lang w:eastAsia="en-US"/>
        </w:rPr>
        <w:t>Overall, the PBAC had moderate certainty with respect to the financial estimates for HFrEF, but considered that financial estimates for the dapagliflozin market across T2DM, HF</w:t>
      </w:r>
      <w:r w:rsidR="000112E8" w:rsidRPr="00644691">
        <w:rPr>
          <w:lang w:eastAsia="en-US"/>
        </w:rPr>
        <w:t>r</w:t>
      </w:r>
      <w:r w:rsidR="002B6D04" w:rsidRPr="00644691">
        <w:rPr>
          <w:lang w:eastAsia="en-US"/>
        </w:rPr>
        <w:t>EF and CKD were need</w:t>
      </w:r>
      <w:r w:rsidR="000112E8" w:rsidRPr="00644691">
        <w:rPr>
          <w:lang w:eastAsia="en-US"/>
        </w:rPr>
        <w:t>ed</w:t>
      </w:r>
      <w:r w:rsidR="002B6D04" w:rsidRPr="00644691">
        <w:rPr>
          <w:lang w:eastAsia="en-US"/>
        </w:rPr>
        <w:t xml:space="preserve"> to inform its deliberations about how best to ensure that PBS subsidy be limited to only those patients in whom </w:t>
      </w:r>
      <w:r w:rsidR="00D36776" w:rsidRPr="00644691">
        <w:rPr>
          <w:lang w:eastAsia="en-US"/>
        </w:rPr>
        <w:t>it</w:t>
      </w:r>
      <w:r w:rsidR="002B6D04" w:rsidRPr="00644691">
        <w:rPr>
          <w:lang w:eastAsia="en-US"/>
        </w:rPr>
        <w:t xml:space="preserve"> had determined its use would be cost effective.</w:t>
      </w:r>
    </w:p>
    <w:bookmarkEnd w:id="58"/>
    <w:p w:rsidR="000733AE" w:rsidRPr="00644691" w:rsidRDefault="00E15572" w:rsidP="00D36776">
      <w:pPr>
        <w:pStyle w:val="ExecSumBodyText"/>
        <w:rPr>
          <w:lang w:eastAsia="en-US"/>
        </w:rPr>
      </w:pPr>
      <w:r w:rsidRPr="00644691">
        <w:rPr>
          <w:lang w:eastAsia="en-US"/>
        </w:rPr>
        <w:t>T</w:t>
      </w:r>
      <w:r w:rsidR="000733AE" w:rsidRPr="00644691">
        <w:rPr>
          <w:lang w:eastAsia="en-US"/>
        </w:rPr>
        <w:t xml:space="preserve">he PBAC considered that the proposed restriction shown under the </w:t>
      </w:r>
      <w:r w:rsidR="000733AE" w:rsidRPr="00644691">
        <w:rPr>
          <w:i/>
          <w:iCs/>
          <w:lang w:eastAsia="en-US"/>
        </w:rPr>
        <w:t>Requested listing</w:t>
      </w:r>
      <w:r w:rsidR="000733AE" w:rsidRPr="00644691">
        <w:rPr>
          <w:lang w:eastAsia="en-US"/>
        </w:rPr>
        <w:t xml:space="preserve"> heading above was appropriate, noting that the maximum quantity of one pack with five repeats would provide for six months’ treatment, which was suitable for a chronic condition and consistent with the dapagliflozin listings for T2DM.</w:t>
      </w:r>
    </w:p>
    <w:p w:rsidR="00237D3B" w:rsidRPr="00644691" w:rsidRDefault="00237D3B" w:rsidP="000733AE">
      <w:pPr>
        <w:widowControl w:val="0"/>
        <w:spacing w:after="120"/>
        <w:ind w:left="720"/>
        <w:contextualSpacing/>
        <w:rPr>
          <w:rFonts w:asciiTheme="minorHAnsi" w:hAnsiTheme="minorHAnsi"/>
          <w:snapToGrid w:val="0"/>
          <w:color w:val="0070C0"/>
          <w:lang w:eastAsia="en-US"/>
        </w:rPr>
      </w:pPr>
    </w:p>
    <w:p w:rsidR="00C769B5" w:rsidRPr="00644691" w:rsidRDefault="00C769B5" w:rsidP="00C769B5">
      <w:pPr>
        <w:spacing w:before="240"/>
        <w:rPr>
          <w:rFonts w:asciiTheme="minorHAnsi" w:hAnsiTheme="minorHAnsi"/>
          <w:b/>
          <w:bCs/>
          <w:snapToGrid w:val="0"/>
          <w:lang w:eastAsia="en-US"/>
        </w:rPr>
      </w:pPr>
      <w:r w:rsidRPr="00644691">
        <w:rPr>
          <w:rFonts w:asciiTheme="minorHAnsi" w:hAnsiTheme="minorHAnsi"/>
          <w:b/>
          <w:bCs/>
          <w:snapToGrid w:val="0"/>
          <w:lang w:eastAsia="en-US"/>
        </w:rPr>
        <w:t>Outcome:</w:t>
      </w:r>
    </w:p>
    <w:p w:rsidR="00C769B5" w:rsidRPr="00644691" w:rsidRDefault="00C769B5" w:rsidP="00C769B5">
      <w:pPr>
        <w:spacing w:after="120"/>
        <w:rPr>
          <w:rFonts w:asciiTheme="minorHAnsi" w:hAnsiTheme="minorHAnsi"/>
          <w:bCs/>
          <w:snapToGrid w:val="0"/>
          <w:lang w:eastAsia="en-US"/>
        </w:rPr>
      </w:pPr>
      <w:r w:rsidRPr="00644691">
        <w:rPr>
          <w:rFonts w:asciiTheme="minorHAnsi" w:hAnsiTheme="minorHAnsi"/>
          <w:bCs/>
          <w:snapToGrid w:val="0"/>
          <w:lang w:eastAsia="en-US"/>
        </w:rPr>
        <w:t>Deferred</w:t>
      </w:r>
    </w:p>
    <w:p w:rsidR="009E5741" w:rsidRPr="009E5741" w:rsidRDefault="009E5741" w:rsidP="009E5741">
      <w:pPr>
        <w:pStyle w:val="2-SectionHeading"/>
        <w:numPr>
          <w:ilvl w:val="0"/>
          <w:numId w:val="1"/>
        </w:numPr>
      </w:pPr>
      <w:bookmarkStart w:id="60" w:name="_Hlk76377978"/>
      <w:bookmarkEnd w:id="56"/>
      <w:r w:rsidRPr="00C07617">
        <w:t>Context for Decision</w:t>
      </w:r>
    </w:p>
    <w:p w:rsidR="009E5741" w:rsidRPr="007129F2" w:rsidRDefault="009E5741" w:rsidP="009E5741">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9E5741" w:rsidRPr="009E5741" w:rsidRDefault="009E5741" w:rsidP="009E5741">
      <w:pPr>
        <w:pStyle w:val="2-SectionHeading"/>
        <w:numPr>
          <w:ilvl w:val="0"/>
          <w:numId w:val="1"/>
        </w:numPr>
      </w:pPr>
      <w:r>
        <w:t>Sponsor’s Comment</w:t>
      </w:r>
    </w:p>
    <w:p w:rsidR="009E5741" w:rsidRPr="001179AC" w:rsidRDefault="009E5741" w:rsidP="009E5741">
      <w:pPr>
        <w:spacing w:after="120"/>
        <w:ind w:left="426" w:firstLine="294"/>
        <w:rPr>
          <w:bCs/>
        </w:rPr>
      </w:pPr>
      <w:r w:rsidRPr="00C07617">
        <w:rPr>
          <w:bCs/>
        </w:rPr>
        <w:t>The sponsor had no comment.</w:t>
      </w:r>
    </w:p>
    <w:p w:rsidR="00C5292E" w:rsidRPr="00644691" w:rsidRDefault="00C5292E" w:rsidP="009E5741">
      <w:pPr>
        <w:contextualSpacing/>
        <w:jc w:val="left"/>
        <w:rPr>
          <w:rFonts w:cs="Calibri"/>
        </w:rPr>
      </w:pPr>
    </w:p>
    <w:bookmarkEnd w:id="60"/>
    <w:p w:rsidR="001C7764" w:rsidRPr="00644691" w:rsidRDefault="001C7764" w:rsidP="00247FB9">
      <w:pPr>
        <w:spacing w:after="120"/>
        <w:rPr>
          <w:rFonts w:ascii="Arial Narrow" w:hAnsi="Arial Narrow" w:cstheme="minorHAnsi"/>
          <w:sz w:val="18"/>
          <w:szCs w:val="18"/>
        </w:rPr>
      </w:pPr>
    </w:p>
    <w:sectPr w:rsidR="001C7764" w:rsidRPr="00644691" w:rsidSect="009B4646">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15F" w:rsidRDefault="0001515F" w:rsidP="00124A51">
      <w:r>
        <w:separator/>
      </w:r>
    </w:p>
    <w:p w:rsidR="0001515F" w:rsidRDefault="0001515F"/>
  </w:endnote>
  <w:endnote w:type="continuationSeparator" w:id="0">
    <w:p w:rsidR="0001515F" w:rsidRDefault="0001515F" w:rsidP="00124A51">
      <w:r>
        <w:continuationSeparator/>
      </w:r>
    </w:p>
    <w:p w:rsidR="0001515F" w:rsidRDefault="00015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C56" w:rsidRDefault="00BB0C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09" w:rsidRDefault="00713709" w:rsidP="00EB17CC">
    <w:pPr>
      <w:pStyle w:val="Footer"/>
      <w:keepNext/>
      <w:ind w:left="360"/>
      <w:jc w:val="center"/>
      <w:rPr>
        <w:b/>
        <w:iCs/>
      </w:rPr>
    </w:pPr>
    <w:bookmarkStart w:id="62" w:name="_Hlk76375156"/>
  </w:p>
  <w:p w:rsidR="00713709" w:rsidRPr="00F90A91" w:rsidRDefault="00713709" w:rsidP="00EB17CC">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FA18D3">
      <w:rPr>
        <w:b/>
        <w:noProof/>
      </w:rPr>
      <w:t>22</w:t>
    </w:r>
    <w:r w:rsidRPr="00836F75">
      <w:rPr>
        <w:b/>
        <w:noProof/>
      </w:rPr>
      <w:fldChar w:fldCharType="end"/>
    </w:r>
    <w:bookmarkEnd w:id="6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C56" w:rsidRDefault="00BB0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15F" w:rsidRDefault="0001515F" w:rsidP="00124A51">
      <w:r>
        <w:separator/>
      </w:r>
    </w:p>
    <w:p w:rsidR="0001515F" w:rsidRDefault="0001515F"/>
  </w:footnote>
  <w:footnote w:type="continuationSeparator" w:id="0">
    <w:p w:rsidR="0001515F" w:rsidRDefault="0001515F" w:rsidP="00124A51">
      <w:r>
        <w:continuationSeparator/>
      </w:r>
    </w:p>
    <w:p w:rsidR="0001515F" w:rsidRDefault="0001515F"/>
  </w:footnote>
  <w:footnote w:id="1">
    <w:p w:rsidR="00D03F98" w:rsidRDefault="00D03F98">
      <w:pPr>
        <w:pStyle w:val="FootnoteText"/>
      </w:pPr>
      <w:r>
        <w:rPr>
          <w:rStyle w:val="FootnoteReference"/>
        </w:rPr>
        <w:footnoteRef/>
      </w:r>
      <w:r>
        <w:t xml:space="preserve"> </w:t>
      </w:r>
      <w:r w:rsidRPr="00D03F98">
        <w:rPr>
          <w:i/>
        </w:rPr>
        <w:t>This reference was provided with the clinical comparison in the supplementary analysis of the submission, which did not explicitly claim non-inferiority to empagliflozin, but rather was a clinical comparison provided for completeness (see para 6.11).</w:t>
      </w:r>
    </w:p>
  </w:footnote>
  <w:footnote w:id="2">
    <w:p w:rsidR="00713709" w:rsidRDefault="00713709">
      <w:pPr>
        <w:pStyle w:val="FootnoteText"/>
      </w:pPr>
      <w:r>
        <w:rPr>
          <w:rStyle w:val="FootnoteReference"/>
        </w:rPr>
        <w:footnoteRef/>
      </w:r>
      <w:r>
        <w:t xml:space="preserve"> </w:t>
      </w:r>
      <w:r w:rsidRPr="00DF0C94">
        <w:t>https://investor.lilly.com/news-releases/news-release-details/breakthrough-results-jardiancer-empagliflozin-confirm-emperor</w:t>
      </w:r>
      <w:r>
        <w:t>.</w:t>
      </w:r>
    </w:p>
  </w:footnote>
  <w:footnote w:id="3">
    <w:p w:rsidR="00713709" w:rsidRDefault="00713709">
      <w:pPr>
        <w:pStyle w:val="FootnoteText"/>
      </w:pPr>
      <w:r>
        <w:rPr>
          <w:rStyle w:val="FootnoteReference"/>
        </w:rPr>
        <w:footnoteRef/>
      </w:r>
      <w:r>
        <w:t xml:space="preserve"> </w:t>
      </w:r>
      <w:r w:rsidRPr="00DF0C94">
        <w:t>https://clinicaltrials.gov/ct2/show/NCT03619213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C56" w:rsidRDefault="00BB0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09" w:rsidRPr="00056684" w:rsidRDefault="00713709" w:rsidP="00EB17CC">
    <w:pPr>
      <w:pStyle w:val="Header"/>
      <w:keepNext/>
      <w:ind w:left="360"/>
      <w:jc w:val="center"/>
      <w:rPr>
        <w:rFonts w:asciiTheme="minorHAnsi" w:hAnsiTheme="minorHAnsi"/>
        <w:i/>
        <w:color w:val="808080"/>
      </w:rPr>
    </w:pPr>
    <w:bookmarkStart w:id="61" w:name="_Hlk76375146"/>
    <w:r w:rsidRPr="009E5741">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July 2021</w:t>
    </w:r>
    <w:r w:rsidRPr="00056684">
      <w:rPr>
        <w:rFonts w:asciiTheme="minorHAnsi" w:hAnsiTheme="minorHAnsi"/>
        <w:i/>
        <w:color w:val="808080"/>
      </w:rPr>
      <w:t xml:space="preserve"> PBAC Meeting</w:t>
    </w:r>
  </w:p>
  <w:bookmarkEnd w:id="61"/>
  <w:p w:rsidR="00713709" w:rsidRDefault="0071370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C56" w:rsidRDefault="00BB0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C9049BE"/>
    <w:lvl w:ilvl="0">
      <w:start w:val="10"/>
      <w:numFmt w:val="bullet"/>
      <w:pStyle w:val="ListBullet"/>
      <w:lvlText w:val="-"/>
      <w:lvlJc w:val="left"/>
      <w:pPr>
        <w:ind w:left="720" w:hanging="360"/>
      </w:pPr>
      <w:rPr>
        <w:rFonts w:ascii="Arial Narrow" w:eastAsiaTheme="majorEastAsia" w:hAnsi="Arial Narrow" w:cstheme="majorBidi"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86046D"/>
    <w:multiLevelType w:val="hybridMultilevel"/>
    <w:tmpl w:val="CEC4BAEA"/>
    <w:lvl w:ilvl="0" w:tplc="3FEA4A98">
      <w:start w:val="1"/>
      <w:numFmt w:val="bullet"/>
      <w:lvlText w:val=""/>
      <w:lvlJc w:val="left"/>
      <w:pPr>
        <w:tabs>
          <w:tab w:val="num" w:pos="720"/>
        </w:tabs>
        <w:ind w:left="720" w:hanging="360"/>
      </w:pPr>
      <w:rPr>
        <w:rFonts w:ascii="Wingdings" w:hAnsi="Wingdings" w:hint="default"/>
      </w:rPr>
    </w:lvl>
    <w:lvl w:ilvl="1" w:tplc="066CC6B4">
      <w:numFmt w:val="bullet"/>
      <w:lvlText w:val="•"/>
      <w:lvlJc w:val="left"/>
      <w:pPr>
        <w:tabs>
          <w:tab w:val="num" w:pos="1440"/>
        </w:tabs>
        <w:ind w:left="1440" w:hanging="360"/>
      </w:pPr>
      <w:rPr>
        <w:rFonts w:ascii="Arial" w:hAnsi="Arial" w:hint="default"/>
      </w:rPr>
    </w:lvl>
    <w:lvl w:ilvl="2" w:tplc="984AC2D4" w:tentative="1">
      <w:start w:val="1"/>
      <w:numFmt w:val="bullet"/>
      <w:lvlText w:val=""/>
      <w:lvlJc w:val="left"/>
      <w:pPr>
        <w:tabs>
          <w:tab w:val="num" w:pos="2160"/>
        </w:tabs>
        <w:ind w:left="2160" w:hanging="360"/>
      </w:pPr>
      <w:rPr>
        <w:rFonts w:ascii="Wingdings" w:hAnsi="Wingdings" w:hint="default"/>
      </w:rPr>
    </w:lvl>
    <w:lvl w:ilvl="3" w:tplc="F12A8898" w:tentative="1">
      <w:start w:val="1"/>
      <w:numFmt w:val="bullet"/>
      <w:lvlText w:val=""/>
      <w:lvlJc w:val="left"/>
      <w:pPr>
        <w:tabs>
          <w:tab w:val="num" w:pos="2880"/>
        </w:tabs>
        <w:ind w:left="2880" w:hanging="360"/>
      </w:pPr>
      <w:rPr>
        <w:rFonts w:ascii="Wingdings" w:hAnsi="Wingdings" w:hint="default"/>
      </w:rPr>
    </w:lvl>
    <w:lvl w:ilvl="4" w:tplc="A92C6606" w:tentative="1">
      <w:start w:val="1"/>
      <w:numFmt w:val="bullet"/>
      <w:lvlText w:val=""/>
      <w:lvlJc w:val="left"/>
      <w:pPr>
        <w:tabs>
          <w:tab w:val="num" w:pos="3600"/>
        </w:tabs>
        <w:ind w:left="3600" w:hanging="360"/>
      </w:pPr>
      <w:rPr>
        <w:rFonts w:ascii="Wingdings" w:hAnsi="Wingdings" w:hint="default"/>
      </w:rPr>
    </w:lvl>
    <w:lvl w:ilvl="5" w:tplc="862816EC" w:tentative="1">
      <w:start w:val="1"/>
      <w:numFmt w:val="bullet"/>
      <w:lvlText w:val=""/>
      <w:lvlJc w:val="left"/>
      <w:pPr>
        <w:tabs>
          <w:tab w:val="num" w:pos="4320"/>
        </w:tabs>
        <w:ind w:left="4320" w:hanging="360"/>
      </w:pPr>
      <w:rPr>
        <w:rFonts w:ascii="Wingdings" w:hAnsi="Wingdings" w:hint="default"/>
      </w:rPr>
    </w:lvl>
    <w:lvl w:ilvl="6" w:tplc="B6C89ED8" w:tentative="1">
      <w:start w:val="1"/>
      <w:numFmt w:val="bullet"/>
      <w:lvlText w:val=""/>
      <w:lvlJc w:val="left"/>
      <w:pPr>
        <w:tabs>
          <w:tab w:val="num" w:pos="5040"/>
        </w:tabs>
        <w:ind w:left="5040" w:hanging="360"/>
      </w:pPr>
      <w:rPr>
        <w:rFonts w:ascii="Wingdings" w:hAnsi="Wingdings" w:hint="default"/>
      </w:rPr>
    </w:lvl>
    <w:lvl w:ilvl="7" w:tplc="49EC5F68" w:tentative="1">
      <w:start w:val="1"/>
      <w:numFmt w:val="bullet"/>
      <w:lvlText w:val=""/>
      <w:lvlJc w:val="left"/>
      <w:pPr>
        <w:tabs>
          <w:tab w:val="num" w:pos="5760"/>
        </w:tabs>
        <w:ind w:left="5760" w:hanging="360"/>
      </w:pPr>
      <w:rPr>
        <w:rFonts w:ascii="Wingdings" w:hAnsi="Wingdings" w:hint="default"/>
      </w:rPr>
    </w:lvl>
    <w:lvl w:ilvl="8" w:tplc="B5BED0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2E1292"/>
    <w:multiLevelType w:val="hybridMultilevel"/>
    <w:tmpl w:val="8F24C84C"/>
    <w:lvl w:ilvl="0" w:tplc="83C46D02">
      <w:start w:val="4"/>
      <w:numFmt w:val="bullet"/>
      <w:lvlText w:val="-"/>
      <w:lvlJc w:val="left"/>
      <w:pPr>
        <w:ind w:left="720" w:hanging="360"/>
      </w:pPr>
      <w:rPr>
        <w:rFonts w:ascii="Arial Narrow" w:eastAsiaTheme="majorEastAsia" w:hAnsi="Arial Narrow"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7508E9"/>
    <w:multiLevelType w:val="hybridMultilevel"/>
    <w:tmpl w:val="854ADBDA"/>
    <w:lvl w:ilvl="0" w:tplc="56682988">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B6274A"/>
    <w:multiLevelType w:val="hybridMultilevel"/>
    <w:tmpl w:val="0A164CA8"/>
    <w:lvl w:ilvl="0" w:tplc="E1B6BF4A">
      <w:start w:val="1"/>
      <w:numFmt w:val="decimal"/>
      <w:lvlText w:val="%1."/>
      <w:lvlJc w:val="left"/>
      <w:pPr>
        <w:ind w:left="1778" w:hanging="360"/>
      </w:pPr>
      <w:rPr>
        <w:rFonts w:hint="default"/>
        <w:color w:val="auto"/>
      </w:rPr>
    </w:lvl>
    <w:lvl w:ilvl="1" w:tplc="394ED9B0">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6F7822"/>
    <w:multiLevelType w:val="hybridMultilevel"/>
    <w:tmpl w:val="E586F2D4"/>
    <w:lvl w:ilvl="0" w:tplc="8FD2F72C">
      <w:numFmt w:val="bullet"/>
      <w:lvlText w:val="-"/>
      <w:lvlJc w:val="left"/>
      <w:pPr>
        <w:ind w:left="794" w:hanging="360"/>
      </w:pPr>
      <w:rPr>
        <w:rFonts w:ascii="Calibri" w:eastAsia="Times New Roman" w:hAnsi="Calibri" w:cs="Calibri" w:hint="default"/>
      </w:rPr>
    </w:lvl>
    <w:lvl w:ilvl="1" w:tplc="0C090003" w:tentative="1">
      <w:start w:val="1"/>
      <w:numFmt w:val="bullet"/>
      <w:lvlText w:val="o"/>
      <w:lvlJc w:val="left"/>
      <w:pPr>
        <w:ind w:left="1514" w:hanging="360"/>
      </w:pPr>
      <w:rPr>
        <w:rFonts w:ascii="Courier New" w:hAnsi="Courier New" w:cs="Courier New" w:hint="default"/>
      </w:rPr>
    </w:lvl>
    <w:lvl w:ilvl="2" w:tplc="0C090005" w:tentative="1">
      <w:start w:val="1"/>
      <w:numFmt w:val="bullet"/>
      <w:lvlText w:val=""/>
      <w:lvlJc w:val="left"/>
      <w:pPr>
        <w:ind w:left="2234" w:hanging="360"/>
      </w:pPr>
      <w:rPr>
        <w:rFonts w:ascii="Wingdings" w:hAnsi="Wingdings" w:hint="default"/>
      </w:rPr>
    </w:lvl>
    <w:lvl w:ilvl="3" w:tplc="0C090001" w:tentative="1">
      <w:start w:val="1"/>
      <w:numFmt w:val="bullet"/>
      <w:lvlText w:val=""/>
      <w:lvlJc w:val="left"/>
      <w:pPr>
        <w:ind w:left="2954" w:hanging="360"/>
      </w:pPr>
      <w:rPr>
        <w:rFonts w:ascii="Symbol" w:hAnsi="Symbol" w:hint="default"/>
      </w:rPr>
    </w:lvl>
    <w:lvl w:ilvl="4" w:tplc="0C090003" w:tentative="1">
      <w:start w:val="1"/>
      <w:numFmt w:val="bullet"/>
      <w:lvlText w:val="o"/>
      <w:lvlJc w:val="left"/>
      <w:pPr>
        <w:ind w:left="3674" w:hanging="360"/>
      </w:pPr>
      <w:rPr>
        <w:rFonts w:ascii="Courier New" w:hAnsi="Courier New" w:cs="Courier New" w:hint="default"/>
      </w:rPr>
    </w:lvl>
    <w:lvl w:ilvl="5" w:tplc="0C090005" w:tentative="1">
      <w:start w:val="1"/>
      <w:numFmt w:val="bullet"/>
      <w:lvlText w:val=""/>
      <w:lvlJc w:val="left"/>
      <w:pPr>
        <w:ind w:left="4394" w:hanging="360"/>
      </w:pPr>
      <w:rPr>
        <w:rFonts w:ascii="Wingdings" w:hAnsi="Wingdings" w:hint="default"/>
      </w:rPr>
    </w:lvl>
    <w:lvl w:ilvl="6" w:tplc="0C090001" w:tentative="1">
      <w:start w:val="1"/>
      <w:numFmt w:val="bullet"/>
      <w:lvlText w:val=""/>
      <w:lvlJc w:val="left"/>
      <w:pPr>
        <w:ind w:left="5114" w:hanging="360"/>
      </w:pPr>
      <w:rPr>
        <w:rFonts w:ascii="Symbol" w:hAnsi="Symbol" w:hint="default"/>
      </w:rPr>
    </w:lvl>
    <w:lvl w:ilvl="7" w:tplc="0C090003" w:tentative="1">
      <w:start w:val="1"/>
      <w:numFmt w:val="bullet"/>
      <w:lvlText w:val="o"/>
      <w:lvlJc w:val="left"/>
      <w:pPr>
        <w:ind w:left="5834" w:hanging="360"/>
      </w:pPr>
      <w:rPr>
        <w:rFonts w:ascii="Courier New" w:hAnsi="Courier New" w:cs="Courier New" w:hint="default"/>
      </w:rPr>
    </w:lvl>
    <w:lvl w:ilvl="8" w:tplc="0C090005" w:tentative="1">
      <w:start w:val="1"/>
      <w:numFmt w:val="bullet"/>
      <w:lvlText w:val=""/>
      <w:lvlJc w:val="left"/>
      <w:pPr>
        <w:ind w:left="6554" w:hanging="360"/>
      </w:pPr>
      <w:rPr>
        <w:rFonts w:ascii="Wingdings" w:hAnsi="Wingdings" w:hint="default"/>
      </w:r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D76BF8"/>
    <w:multiLevelType w:val="hybridMultilevel"/>
    <w:tmpl w:val="AD5E9A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22033A"/>
    <w:multiLevelType w:val="hybridMultilevel"/>
    <w:tmpl w:val="DB560EA0"/>
    <w:lvl w:ilvl="0" w:tplc="83C46D02">
      <w:start w:val="4"/>
      <w:numFmt w:val="bullet"/>
      <w:lvlText w:val="-"/>
      <w:lvlJc w:val="left"/>
      <w:pPr>
        <w:ind w:left="720" w:hanging="360"/>
      </w:pPr>
      <w:rPr>
        <w:rFonts w:ascii="Arial Narrow" w:eastAsiaTheme="majorEastAsia" w:hAnsi="Arial Narrow"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7921824"/>
    <w:multiLevelType w:val="hybridMultilevel"/>
    <w:tmpl w:val="B8D4523E"/>
    <w:lvl w:ilvl="0" w:tplc="8FD2F72C">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BF727AA"/>
    <w:multiLevelType w:val="hybridMultilevel"/>
    <w:tmpl w:val="E09EBC4E"/>
    <w:lvl w:ilvl="0" w:tplc="CAEE80AC">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4D033C"/>
    <w:multiLevelType w:val="multilevel"/>
    <w:tmpl w:val="8A02CEEC"/>
    <w:lvl w:ilvl="0">
      <w:start w:val="1"/>
      <w:numFmt w:val="decimal"/>
      <w:pStyle w:val="2-SectionHeading"/>
      <w:lvlText w:val="%1"/>
      <w:lvlJc w:val="left"/>
      <w:pPr>
        <w:ind w:left="720" w:hanging="720"/>
      </w:pPr>
      <w:rPr>
        <w:rFonts w:hint="default"/>
        <w:b/>
        <w:i w:val="0"/>
        <w:iCs/>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0"/>
  </w:num>
  <w:num w:numId="2">
    <w:abstractNumId w:val="13"/>
  </w:num>
  <w:num w:numId="3">
    <w:abstractNumId w:val="0"/>
  </w:num>
  <w:num w:numId="4">
    <w:abstractNumId w:val="20"/>
  </w:num>
  <w:num w:numId="5">
    <w:abstractNumId w:val="4"/>
  </w:num>
  <w:num w:numId="6">
    <w:abstractNumId w:val="5"/>
  </w:num>
  <w:num w:numId="7">
    <w:abstractNumId w:val="12"/>
  </w:num>
  <w:num w:numId="8">
    <w:abstractNumId w:val="11"/>
  </w:num>
  <w:num w:numId="9">
    <w:abstractNumId w:val="9"/>
  </w:num>
  <w:num w:numId="10">
    <w:abstractNumId w:val="17"/>
  </w:num>
  <w:num w:numId="11">
    <w:abstractNumId w:val="7"/>
  </w:num>
  <w:num w:numId="12">
    <w:abstractNumId w:val="21"/>
  </w:num>
  <w:num w:numId="13">
    <w:abstractNumId w:val="15"/>
  </w:num>
  <w:num w:numId="14">
    <w:abstractNumId w:val="3"/>
  </w:num>
  <w:num w:numId="15">
    <w:abstractNumId w:val="1"/>
  </w:num>
  <w:num w:numId="16">
    <w:abstractNumId w:val="8"/>
  </w:num>
  <w:num w:numId="17">
    <w:abstractNumId w:val="10"/>
  </w:num>
  <w:num w:numId="18">
    <w:abstractNumId w:val="6"/>
  </w:num>
  <w:num w:numId="1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4"/>
  </w:num>
  <w:num w:numId="22">
    <w:abstractNumId w:val="20"/>
  </w:num>
  <w:num w:numId="23">
    <w:abstractNumId w:val="20"/>
  </w:num>
  <w:num w:numId="24">
    <w:abstractNumId w:val="20"/>
  </w:num>
  <w:num w:numId="25">
    <w:abstractNumId w:val="2"/>
  </w:num>
  <w:num w:numId="26">
    <w:abstractNumId w:val="20"/>
  </w:num>
  <w:num w:numId="27">
    <w:abstractNumId w:val="20"/>
  </w:num>
  <w:num w:numId="28">
    <w:abstractNumId w:val="18"/>
  </w:num>
  <w:num w:numId="29">
    <w:abstractNumId w:val="20"/>
  </w:num>
  <w:num w:numId="30">
    <w:abstractNumId w:val="20"/>
  </w:num>
  <w:num w:numId="31">
    <w:abstractNumId w:val="20"/>
  </w:num>
  <w:num w:numId="32">
    <w:abstractNumId w:val="20"/>
  </w:num>
  <w:num w:numId="33">
    <w:abstractNumId w:val="20"/>
  </w:num>
  <w:num w:numId="34">
    <w:abstractNumId w:val="20"/>
  </w:num>
  <w:num w:numId="35">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873"/>
    <w:rsid w:val="00000E55"/>
    <w:rsid w:val="0000110B"/>
    <w:rsid w:val="000015AE"/>
    <w:rsid w:val="000017CF"/>
    <w:rsid w:val="00001A7C"/>
    <w:rsid w:val="00002B4C"/>
    <w:rsid w:val="00003499"/>
    <w:rsid w:val="000039B7"/>
    <w:rsid w:val="00005B74"/>
    <w:rsid w:val="00006361"/>
    <w:rsid w:val="0000639A"/>
    <w:rsid w:val="0000770D"/>
    <w:rsid w:val="00007773"/>
    <w:rsid w:val="00007911"/>
    <w:rsid w:val="00010EA4"/>
    <w:rsid w:val="000112E8"/>
    <w:rsid w:val="000116BE"/>
    <w:rsid w:val="000125D2"/>
    <w:rsid w:val="00013247"/>
    <w:rsid w:val="00013ADB"/>
    <w:rsid w:val="00013F62"/>
    <w:rsid w:val="00014067"/>
    <w:rsid w:val="0001515F"/>
    <w:rsid w:val="0001574E"/>
    <w:rsid w:val="00015886"/>
    <w:rsid w:val="000162EF"/>
    <w:rsid w:val="00016E98"/>
    <w:rsid w:val="000175DA"/>
    <w:rsid w:val="00017C93"/>
    <w:rsid w:val="00020278"/>
    <w:rsid w:val="000207C9"/>
    <w:rsid w:val="000208E2"/>
    <w:rsid w:val="00020ED6"/>
    <w:rsid w:val="000213A9"/>
    <w:rsid w:val="00021E3C"/>
    <w:rsid w:val="0002220A"/>
    <w:rsid w:val="0002225F"/>
    <w:rsid w:val="0002268E"/>
    <w:rsid w:val="000227C0"/>
    <w:rsid w:val="00022EFD"/>
    <w:rsid w:val="00023763"/>
    <w:rsid w:val="00023D66"/>
    <w:rsid w:val="00023F24"/>
    <w:rsid w:val="00023F6A"/>
    <w:rsid w:val="00024213"/>
    <w:rsid w:val="00024C1E"/>
    <w:rsid w:val="00025880"/>
    <w:rsid w:val="00025947"/>
    <w:rsid w:val="00026CFF"/>
    <w:rsid w:val="000274B8"/>
    <w:rsid w:val="000278CD"/>
    <w:rsid w:val="00027AAC"/>
    <w:rsid w:val="0003087C"/>
    <w:rsid w:val="00031870"/>
    <w:rsid w:val="00031CF2"/>
    <w:rsid w:val="00032468"/>
    <w:rsid w:val="00032489"/>
    <w:rsid w:val="00032A06"/>
    <w:rsid w:val="00033863"/>
    <w:rsid w:val="0003477F"/>
    <w:rsid w:val="00034C41"/>
    <w:rsid w:val="00035073"/>
    <w:rsid w:val="000359DF"/>
    <w:rsid w:val="00035DC0"/>
    <w:rsid w:val="00035EAB"/>
    <w:rsid w:val="00036829"/>
    <w:rsid w:val="000374B5"/>
    <w:rsid w:val="00037E6E"/>
    <w:rsid w:val="00040895"/>
    <w:rsid w:val="00041B51"/>
    <w:rsid w:val="00041EA2"/>
    <w:rsid w:val="0004210F"/>
    <w:rsid w:val="000425E7"/>
    <w:rsid w:val="000428DF"/>
    <w:rsid w:val="00042FA0"/>
    <w:rsid w:val="000435EE"/>
    <w:rsid w:val="00043C37"/>
    <w:rsid w:val="00043E35"/>
    <w:rsid w:val="00045017"/>
    <w:rsid w:val="0004567E"/>
    <w:rsid w:val="00045A2B"/>
    <w:rsid w:val="00045BA3"/>
    <w:rsid w:val="000460CA"/>
    <w:rsid w:val="0004698F"/>
    <w:rsid w:val="00051543"/>
    <w:rsid w:val="00053184"/>
    <w:rsid w:val="00053960"/>
    <w:rsid w:val="000539D0"/>
    <w:rsid w:val="00054621"/>
    <w:rsid w:val="000546D7"/>
    <w:rsid w:val="00054CD5"/>
    <w:rsid w:val="000552D5"/>
    <w:rsid w:val="00056030"/>
    <w:rsid w:val="0005643A"/>
    <w:rsid w:val="00056AFF"/>
    <w:rsid w:val="00056ECF"/>
    <w:rsid w:val="000604DF"/>
    <w:rsid w:val="0006060C"/>
    <w:rsid w:val="00060FB9"/>
    <w:rsid w:val="000610F2"/>
    <w:rsid w:val="00061872"/>
    <w:rsid w:val="00062B34"/>
    <w:rsid w:val="00062D98"/>
    <w:rsid w:val="0006347E"/>
    <w:rsid w:val="00063538"/>
    <w:rsid w:val="00063672"/>
    <w:rsid w:val="000645C7"/>
    <w:rsid w:val="000653B5"/>
    <w:rsid w:val="00065E1E"/>
    <w:rsid w:val="00066360"/>
    <w:rsid w:val="00066AF8"/>
    <w:rsid w:val="00066CA2"/>
    <w:rsid w:val="00067381"/>
    <w:rsid w:val="00067747"/>
    <w:rsid w:val="0006794F"/>
    <w:rsid w:val="00067C7B"/>
    <w:rsid w:val="00067E8D"/>
    <w:rsid w:val="0007023A"/>
    <w:rsid w:val="00070F1C"/>
    <w:rsid w:val="00071248"/>
    <w:rsid w:val="000714CB"/>
    <w:rsid w:val="000720B9"/>
    <w:rsid w:val="00072CFD"/>
    <w:rsid w:val="00072E91"/>
    <w:rsid w:val="000733AE"/>
    <w:rsid w:val="00073400"/>
    <w:rsid w:val="000737F7"/>
    <w:rsid w:val="00073B7A"/>
    <w:rsid w:val="000746B6"/>
    <w:rsid w:val="000753E5"/>
    <w:rsid w:val="00075F11"/>
    <w:rsid w:val="0007672F"/>
    <w:rsid w:val="000768D4"/>
    <w:rsid w:val="00076B24"/>
    <w:rsid w:val="00076B54"/>
    <w:rsid w:val="00076DE3"/>
    <w:rsid w:val="00076E2F"/>
    <w:rsid w:val="000774F0"/>
    <w:rsid w:val="00077AC2"/>
    <w:rsid w:val="00080473"/>
    <w:rsid w:val="00080909"/>
    <w:rsid w:val="000812CA"/>
    <w:rsid w:val="00081E63"/>
    <w:rsid w:val="000820CD"/>
    <w:rsid w:val="0008258D"/>
    <w:rsid w:val="00083E99"/>
    <w:rsid w:val="000844B4"/>
    <w:rsid w:val="00084573"/>
    <w:rsid w:val="00084DBE"/>
    <w:rsid w:val="00084FA8"/>
    <w:rsid w:val="00085571"/>
    <w:rsid w:val="000856C5"/>
    <w:rsid w:val="000857F2"/>
    <w:rsid w:val="00085C31"/>
    <w:rsid w:val="00085D65"/>
    <w:rsid w:val="00086A56"/>
    <w:rsid w:val="0008773E"/>
    <w:rsid w:val="000902D9"/>
    <w:rsid w:val="00090C7E"/>
    <w:rsid w:val="000911CC"/>
    <w:rsid w:val="00092600"/>
    <w:rsid w:val="0009262B"/>
    <w:rsid w:val="0009267A"/>
    <w:rsid w:val="00093310"/>
    <w:rsid w:val="000935EA"/>
    <w:rsid w:val="0009445C"/>
    <w:rsid w:val="00095200"/>
    <w:rsid w:val="00095FE5"/>
    <w:rsid w:val="00096009"/>
    <w:rsid w:val="00096284"/>
    <w:rsid w:val="00096E72"/>
    <w:rsid w:val="00097D0F"/>
    <w:rsid w:val="000A00A7"/>
    <w:rsid w:val="000A03EB"/>
    <w:rsid w:val="000A11BA"/>
    <w:rsid w:val="000A1BC0"/>
    <w:rsid w:val="000A23FB"/>
    <w:rsid w:val="000A25FD"/>
    <w:rsid w:val="000A2A1C"/>
    <w:rsid w:val="000A35EF"/>
    <w:rsid w:val="000A39C5"/>
    <w:rsid w:val="000A39E8"/>
    <w:rsid w:val="000A5237"/>
    <w:rsid w:val="000A6039"/>
    <w:rsid w:val="000A61C7"/>
    <w:rsid w:val="000A631C"/>
    <w:rsid w:val="000A6921"/>
    <w:rsid w:val="000A737F"/>
    <w:rsid w:val="000A7453"/>
    <w:rsid w:val="000A7887"/>
    <w:rsid w:val="000A789A"/>
    <w:rsid w:val="000A7D08"/>
    <w:rsid w:val="000B0121"/>
    <w:rsid w:val="000B04BB"/>
    <w:rsid w:val="000B0670"/>
    <w:rsid w:val="000B09D8"/>
    <w:rsid w:val="000B0E75"/>
    <w:rsid w:val="000B11D8"/>
    <w:rsid w:val="000B1D4B"/>
    <w:rsid w:val="000B2BEF"/>
    <w:rsid w:val="000B2DC6"/>
    <w:rsid w:val="000B2DCB"/>
    <w:rsid w:val="000B3FFB"/>
    <w:rsid w:val="000B42E6"/>
    <w:rsid w:val="000B4F3F"/>
    <w:rsid w:val="000B5CE0"/>
    <w:rsid w:val="000B5D63"/>
    <w:rsid w:val="000B6CAC"/>
    <w:rsid w:val="000B758C"/>
    <w:rsid w:val="000B7612"/>
    <w:rsid w:val="000B7894"/>
    <w:rsid w:val="000B78AE"/>
    <w:rsid w:val="000B7C8E"/>
    <w:rsid w:val="000B7D3E"/>
    <w:rsid w:val="000C0E5C"/>
    <w:rsid w:val="000C131B"/>
    <w:rsid w:val="000C16EA"/>
    <w:rsid w:val="000C1813"/>
    <w:rsid w:val="000C2298"/>
    <w:rsid w:val="000C3853"/>
    <w:rsid w:val="000C3990"/>
    <w:rsid w:val="000C3DF9"/>
    <w:rsid w:val="000C6713"/>
    <w:rsid w:val="000C69BC"/>
    <w:rsid w:val="000C6AFA"/>
    <w:rsid w:val="000C7422"/>
    <w:rsid w:val="000C79F9"/>
    <w:rsid w:val="000C7F36"/>
    <w:rsid w:val="000D0C37"/>
    <w:rsid w:val="000D1884"/>
    <w:rsid w:val="000D1BFC"/>
    <w:rsid w:val="000D1CA6"/>
    <w:rsid w:val="000D1D5D"/>
    <w:rsid w:val="000D1DBC"/>
    <w:rsid w:val="000D281A"/>
    <w:rsid w:val="000D2848"/>
    <w:rsid w:val="000D2BD8"/>
    <w:rsid w:val="000D2CD7"/>
    <w:rsid w:val="000D31B2"/>
    <w:rsid w:val="000D326A"/>
    <w:rsid w:val="000D36B8"/>
    <w:rsid w:val="000D371A"/>
    <w:rsid w:val="000D399A"/>
    <w:rsid w:val="000D3C14"/>
    <w:rsid w:val="000D4CC5"/>
    <w:rsid w:val="000D51FB"/>
    <w:rsid w:val="000D5D0B"/>
    <w:rsid w:val="000D6670"/>
    <w:rsid w:val="000D6947"/>
    <w:rsid w:val="000D69B9"/>
    <w:rsid w:val="000D7508"/>
    <w:rsid w:val="000E0285"/>
    <w:rsid w:val="000E0640"/>
    <w:rsid w:val="000E0BD5"/>
    <w:rsid w:val="000E135D"/>
    <w:rsid w:val="000E1AE5"/>
    <w:rsid w:val="000E2532"/>
    <w:rsid w:val="000E38FC"/>
    <w:rsid w:val="000E4B26"/>
    <w:rsid w:val="000E555B"/>
    <w:rsid w:val="000E555D"/>
    <w:rsid w:val="000E7833"/>
    <w:rsid w:val="000F00BA"/>
    <w:rsid w:val="000F0C84"/>
    <w:rsid w:val="000F0F05"/>
    <w:rsid w:val="000F0FD5"/>
    <w:rsid w:val="000F123C"/>
    <w:rsid w:val="000F1340"/>
    <w:rsid w:val="000F1433"/>
    <w:rsid w:val="000F1856"/>
    <w:rsid w:val="000F2F3F"/>
    <w:rsid w:val="000F316A"/>
    <w:rsid w:val="000F3C74"/>
    <w:rsid w:val="000F4BB8"/>
    <w:rsid w:val="000F4FA9"/>
    <w:rsid w:val="000F518F"/>
    <w:rsid w:val="000F53FB"/>
    <w:rsid w:val="000F5A1B"/>
    <w:rsid w:val="000F7127"/>
    <w:rsid w:val="000F75DD"/>
    <w:rsid w:val="000F78EE"/>
    <w:rsid w:val="000F7B54"/>
    <w:rsid w:val="000F7D42"/>
    <w:rsid w:val="00100CC6"/>
    <w:rsid w:val="00100F8A"/>
    <w:rsid w:val="00101399"/>
    <w:rsid w:val="00103DCA"/>
    <w:rsid w:val="0010429E"/>
    <w:rsid w:val="0010452E"/>
    <w:rsid w:val="00105503"/>
    <w:rsid w:val="001055BB"/>
    <w:rsid w:val="00105AE2"/>
    <w:rsid w:val="001060C6"/>
    <w:rsid w:val="001060F8"/>
    <w:rsid w:val="00106478"/>
    <w:rsid w:val="00106AC9"/>
    <w:rsid w:val="00106B80"/>
    <w:rsid w:val="00107425"/>
    <w:rsid w:val="00107EC6"/>
    <w:rsid w:val="0011032E"/>
    <w:rsid w:val="001104E5"/>
    <w:rsid w:val="001106B9"/>
    <w:rsid w:val="00111ADD"/>
    <w:rsid w:val="00112FBF"/>
    <w:rsid w:val="0011348B"/>
    <w:rsid w:val="00113FAC"/>
    <w:rsid w:val="0011405E"/>
    <w:rsid w:val="001145F8"/>
    <w:rsid w:val="00114AFA"/>
    <w:rsid w:val="00114C4C"/>
    <w:rsid w:val="001154D1"/>
    <w:rsid w:val="00115982"/>
    <w:rsid w:val="00115AC2"/>
    <w:rsid w:val="00115FFA"/>
    <w:rsid w:val="00116C53"/>
    <w:rsid w:val="001170C4"/>
    <w:rsid w:val="00117AA5"/>
    <w:rsid w:val="00120665"/>
    <w:rsid w:val="00121799"/>
    <w:rsid w:val="001222FC"/>
    <w:rsid w:val="0012290E"/>
    <w:rsid w:val="00122E0C"/>
    <w:rsid w:val="00122E0F"/>
    <w:rsid w:val="001231E2"/>
    <w:rsid w:val="001236D0"/>
    <w:rsid w:val="001238D7"/>
    <w:rsid w:val="00123902"/>
    <w:rsid w:val="001239B2"/>
    <w:rsid w:val="00123B5B"/>
    <w:rsid w:val="00124304"/>
    <w:rsid w:val="00124A51"/>
    <w:rsid w:val="00124EDF"/>
    <w:rsid w:val="00124F91"/>
    <w:rsid w:val="00125975"/>
    <w:rsid w:val="00125E56"/>
    <w:rsid w:val="001263F5"/>
    <w:rsid w:val="00126621"/>
    <w:rsid w:val="00126B1D"/>
    <w:rsid w:val="001274A4"/>
    <w:rsid w:val="001301E9"/>
    <w:rsid w:val="00131CCD"/>
    <w:rsid w:val="00131D82"/>
    <w:rsid w:val="00132430"/>
    <w:rsid w:val="00132A48"/>
    <w:rsid w:val="00132B22"/>
    <w:rsid w:val="00133966"/>
    <w:rsid w:val="00133D36"/>
    <w:rsid w:val="00134333"/>
    <w:rsid w:val="00134392"/>
    <w:rsid w:val="00134FC0"/>
    <w:rsid w:val="0013713D"/>
    <w:rsid w:val="00137645"/>
    <w:rsid w:val="0014015A"/>
    <w:rsid w:val="001402C0"/>
    <w:rsid w:val="00140A7E"/>
    <w:rsid w:val="00140E99"/>
    <w:rsid w:val="00141F97"/>
    <w:rsid w:val="001424DA"/>
    <w:rsid w:val="00142ACF"/>
    <w:rsid w:val="00142F35"/>
    <w:rsid w:val="00142FE6"/>
    <w:rsid w:val="0014322F"/>
    <w:rsid w:val="00143F67"/>
    <w:rsid w:val="001441E2"/>
    <w:rsid w:val="00145414"/>
    <w:rsid w:val="00145540"/>
    <w:rsid w:val="001456B0"/>
    <w:rsid w:val="001456C2"/>
    <w:rsid w:val="0014655D"/>
    <w:rsid w:val="001466DF"/>
    <w:rsid w:val="0014698E"/>
    <w:rsid w:val="00146F14"/>
    <w:rsid w:val="0014708E"/>
    <w:rsid w:val="00147358"/>
    <w:rsid w:val="00151EEE"/>
    <w:rsid w:val="00152159"/>
    <w:rsid w:val="00152224"/>
    <w:rsid w:val="00152AA3"/>
    <w:rsid w:val="001531A6"/>
    <w:rsid w:val="00153B27"/>
    <w:rsid w:val="0015442D"/>
    <w:rsid w:val="00154EDC"/>
    <w:rsid w:val="00155CC0"/>
    <w:rsid w:val="00156F8F"/>
    <w:rsid w:val="00157130"/>
    <w:rsid w:val="0015718B"/>
    <w:rsid w:val="001571E4"/>
    <w:rsid w:val="001576B1"/>
    <w:rsid w:val="00157DD5"/>
    <w:rsid w:val="0016047B"/>
    <w:rsid w:val="0016070E"/>
    <w:rsid w:val="00160A4C"/>
    <w:rsid w:val="00160B32"/>
    <w:rsid w:val="001614A3"/>
    <w:rsid w:val="00162113"/>
    <w:rsid w:val="001621FB"/>
    <w:rsid w:val="001622AC"/>
    <w:rsid w:val="00162913"/>
    <w:rsid w:val="00162D87"/>
    <w:rsid w:val="001634A1"/>
    <w:rsid w:val="00163EFF"/>
    <w:rsid w:val="00163F66"/>
    <w:rsid w:val="00164193"/>
    <w:rsid w:val="00164898"/>
    <w:rsid w:val="00165B9E"/>
    <w:rsid w:val="00165DC4"/>
    <w:rsid w:val="001661FB"/>
    <w:rsid w:val="001666AB"/>
    <w:rsid w:val="001671A0"/>
    <w:rsid w:val="0016767F"/>
    <w:rsid w:val="00170677"/>
    <w:rsid w:val="001713FB"/>
    <w:rsid w:val="00173565"/>
    <w:rsid w:val="00173B07"/>
    <w:rsid w:val="001745DB"/>
    <w:rsid w:val="001746FC"/>
    <w:rsid w:val="001751FA"/>
    <w:rsid w:val="00175209"/>
    <w:rsid w:val="00177C3B"/>
    <w:rsid w:val="00180B3B"/>
    <w:rsid w:val="00181BAC"/>
    <w:rsid w:val="00181D9C"/>
    <w:rsid w:val="00182245"/>
    <w:rsid w:val="001825FA"/>
    <w:rsid w:val="0018260C"/>
    <w:rsid w:val="00182DD0"/>
    <w:rsid w:val="00182F80"/>
    <w:rsid w:val="001832B6"/>
    <w:rsid w:val="00184608"/>
    <w:rsid w:val="00184B0E"/>
    <w:rsid w:val="00184BB1"/>
    <w:rsid w:val="00186417"/>
    <w:rsid w:val="00186ABE"/>
    <w:rsid w:val="001872B8"/>
    <w:rsid w:val="0018752F"/>
    <w:rsid w:val="00187DE1"/>
    <w:rsid w:val="00190289"/>
    <w:rsid w:val="001902B9"/>
    <w:rsid w:val="00190BCB"/>
    <w:rsid w:val="0019181A"/>
    <w:rsid w:val="00192199"/>
    <w:rsid w:val="00192FC2"/>
    <w:rsid w:val="0019348B"/>
    <w:rsid w:val="00193838"/>
    <w:rsid w:val="0019458B"/>
    <w:rsid w:val="00194AD8"/>
    <w:rsid w:val="00195078"/>
    <w:rsid w:val="00195222"/>
    <w:rsid w:val="0019522A"/>
    <w:rsid w:val="001956DD"/>
    <w:rsid w:val="00195A7C"/>
    <w:rsid w:val="00195C34"/>
    <w:rsid w:val="00196536"/>
    <w:rsid w:val="0019683B"/>
    <w:rsid w:val="00196B34"/>
    <w:rsid w:val="001975D8"/>
    <w:rsid w:val="001A0CB7"/>
    <w:rsid w:val="001A1786"/>
    <w:rsid w:val="001A178E"/>
    <w:rsid w:val="001A435A"/>
    <w:rsid w:val="001A43FA"/>
    <w:rsid w:val="001A47C5"/>
    <w:rsid w:val="001A4896"/>
    <w:rsid w:val="001A48EC"/>
    <w:rsid w:val="001A59FB"/>
    <w:rsid w:val="001A5E9E"/>
    <w:rsid w:val="001A6006"/>
    <w:rsid w:val="001A6303"/>
    <w:rsid w:val="001A6354"/>
    <w:rsid w:val="001A6366"/>
    <w:rsid w:val="001A72D9"/>
    <w:rsid w:val="001A74BF"/>
    <w:rsid w:val="001A756F"/>
    <w:rsid w:val="001A78AE"/>
    <w:rsid w:val="001A7AE8"/>
    <w:rsid w:val="001B204E"/>
    <w:rsid w:val="001B22B6"/>
    <w:rsid w:val="001B2372"/>
    <w:rsid w:val="001B2AAB"/>
    <w:rsid w:val="001B3159"/>
    <w:rsid w:val="001B3443"/>
    <w:rsid w:val="001B4D20"/>
    <w:rsid w:val="001B4E89"/>
    <w:rsid w:val="001B5944"/>
    <w:rsid w:val="001B5E0B"/>
    <w:rsid w:val="001B68C3"/>
    <w:rsid w:val="001B7502"/>
    <w:rsid w:val="001C0F6B"/>
    <w:rsid w:val="001C1E57"/>
    <w:rsid w:val="001C279C"/>
    <w:rsid w:val="001C2A9B"/>
    <w:rsid w:val="001C3820"/>
    <w:rsid w:val="001C4299"/>
    <w:rsid w:val="001C4874"/>
    <w:rsid w:val="001C4FFD"/>
    <w:rsid w:val="001C5F94"/>
    <w:rsid w:val="001C6BD0"/>
    <w:rsid w:val="001C6E66"/>
    <w:rsid w:val="001C7764"/>
    <w:rsid w:val="001D01FA"/>
    <w:rsid w:val="001D01FB"/>
    <w:rsid w:val="001D031F"/>
    <w:rsid w:val="001D0D66"/>
    <w:rsid w:val="001D1100"/>
    <w:rsid w:val="001D1391"/>
    <w:rsid w:val="001D25D7"/>
    <w:rsid w:val="001D2734"/>
    <w:rsid w:val="001D2BAF"/>
    <w:rsid w:val="001D38A2"/>
    <w:rsid w:val="001D406B"/>
    <w:rsid w:val="001D438C"/>
    <w:rsid w:val="001D4AB8"/>
    <w:rsid w:val="001D4D55"/>
    <w:rsid w:val="001D50B2"/>
    <w:rsid w:val="001D5483"/>
    <w:rsid w:val="001D557E"/>
    <w:rsid w:val="001D56AD"/>
    <w:rsid w:val="001D5782"/>
    <w:rsid w:val="001D5814"/>
    <w:rsid w:val="001D6351"/>
    <w:rsid w:val="001D7122"/>
    <w:rsid w:val="001D7368"/>
    <w:rsid w:val="001D7507"/>
    <w:rsid w:val="001D7645"/>
    <w:rsid w:val="001D791A"/>
    <w:rsid w:val="001E0603"/>
    <w:rsid w:val="001E0A28"/>
    <w:rsid w:val="001E0E8B"/>
    <w:rsid w:val="001E1DE6"/>
    <w:rsid w:val="001E1E86"/>
    <w:rsid w:val="001E238E"/>
    <w:rsid w:val="001E2483"/>
    <w:rsid w:val="001E2AC3"/>
    <w:rsid w:val="001E2B1E"/>
    <w:rsid w:val="001E2CFF"/>
    <w:rsid w:val="001E2D20"/>
    <w:rsid w:val="001E2F24"/>
    <w:rsid w:val="001E30D4"/>
    <w:rsid w:val="001E34DF"/>
    <w:rsid w:val="001E370F"/>
    <w:rsid w:val="001E3807"/>
    <w:rsid w:val="001E52EB"/>
    <w:rsid w:val="001E61D2"/>
    <w:rsid w:val="001E6C83"/>
    <w:rsid w:val="001E740C"/>
    <w:rsid w:val="001E7549"/>
    <w:rsid w:val="001E7B53"/>
    <w:rsid w:val="001F00EE"/>
    <w:rsid w:val="001F1235"/>
    <w:rsid w:val="001F13C8"/>
    <w:rsid w:val="001F1CB3"/>
    <w:rsid w:val="001F33FA"/>
    <w:rsid w:val="001F38B5"/>
    <w:rsid w:val="001F4081"/>
    <w:rsid w:val="001F5016"/>
    <w:rsid w:val="001F515D"/>
    <w:rsid w:val="001F53A2"/>
    <w:rsid w:val="001F641B"/>
    <w:rsid w:val="001F65EF"/>
    <w:rsid w:val="001F6B7C"/>
    <w:rsid w:val="001F6C1C"/>
    <w:rsid w:val="001F7361"/>
    <w:rsid w:val="00200EF8"/>
    <w:rsid w:val="002011B0"/>
    <w:rsid w:val="00201BDE"/>
    <w:rsid w:val="0020278F"/>
    <w:rsid w:val="002029F7"/>
    <w:rsid w:val="00203181"/>
    <w:rsid w:val="00203783"/>
    <w:rsid w:val="0020385F"/>
    <w:rsid w:val="0020414C"/>
    <w:rsid w:val="002044E0"/>
    <w:rsid w:val="00204FA3"/>
    <w:rsid w:val="00205750"/>
    <w:rsid w:val="002064CA"/>
    <w:rsid w:val="002068A0"/>
    <w:rsid w:val="00207021"/>
    <w:rsid w:val="0020732F"/>
    <w:rsid w:val="00207BF3"/>
    <w:rsid w:val="00207D00"/>
    <w:rsid w:val="00210188"/>
    <w:rsid w:val="00210499"/>
    <w:rsid w:val="002105C1"/>
    <w:rsid w:val="002106FD"/>
    <w:rsid w:val="00210A7F"/>
    <w:rsid w:val="00211911"/>
    <w:rsid w:val="00213EF5"/>
    <w:rsid w:val="00214232"/>
    <w:rsid w:val="002142DF"/>
    <w:rsid w:val="00214F9D"/>
    <w:rsid w:val="00215C29"/>
    <w:rsid w:val="00216016"/>
    <w:rsid w:val="00216BF5"/>
    <w:rsid w:val="002174E6"/>
    <w:rsid w:val="00221ABC"/>
    <w:rsid w:val="0022272B"/>
    <w:rsid w:val="00222832"/>
    <w:rsid w:val="00222E19"/>
    <w:rsid w:val="00223B49"/>
    <w:rsid w:val="00223D5A"/>
    <w:rsid w:val="0022419E"/>
    <w:rsid w:val="0022458D"/>
    <w:rsid w:val="00224DD4"/>
    <w:rsid w:val="00224E31"/>
    <w:rsid w:val="00224E48"/>
    <w:rsid w:val="00225C26"/>
    <w:rsid w:val="00226170"/>
    <w:rsid w:val="0022678E"/>
    <w:rsid w:val="0022689B"/>
    <w:rsid w:val="00227096"/>
    <w:rsid w:val="00227675"/>
    <w:rsid w:val="002278A0"/>
    <w:rsid w:val="00227DD1"/>
    <w:rsid w:val="002300E3"/>
    <w:rsid w:val="002309CC"/>
    <w:rsid w:val="00230DB1"/>
    <w:rsid w:val="002314FA"/>
    <w:rsid w:val="00231D7A"/>
    <w:rsid w:val="0023209F"/>
    <w:rsid w:val="00232F34"/>
    <w:rsid w:val="0023311B"/>
    <w:rsid w:val="002336AD"/>
    <w:rsid w:val="00233C01"/>
    <w:rsid w:val="00233F05"/>
    <w:rsid w:val="0023413C"/>
    <w:rsid w:val="002346F0"/>
    <w:rsid w:val="00234955"/>
    <w:rsid w:val="00235D25"/>
    <w:rsid w:val="0023629D"/>
    <w:rsid w:val="00236371"/>
    <w:rsid w:val="00237015"/>
    <w:rsid w:val="0023715E"/>
    <w:rsid w:val="00237255"/>
    <w:rsid w:val="00237BF7"/>
    <w:rsid w:val="00237D3B"/>
    <w:rsid w:val="00237E42"/>
    <w:rsid w:val="00240C1E"/>
    <w:rsid w:val="00241BA5"/>
    <w:rsid w:val="002424AF"/>
    <w:rsid w:val="00242A65"/>
    <w:rsid w:val="00242DFF"/>
    <w:rsid w:val="0024318E"/>
    <w:rsid w:val="0024319B"/>
    <w:rsid w:val="0024361D"/>
    <w:rsid w:val="002439DC"/>
    <w:rsid w:val="002441D2"/>
    <w:rsid w:val="00244DC8"/>
    <w:rsid w:val="002458BA"/>
    <w:rsid w:val="00245A4E"/>
    <w:rsid w:val="00245CE9"/>
    <w:rsid w:val="00245D1A"/>
    <w:rsid w:val="0024636C"/>
    <w:rsid w:val="002476D2"/>
    <w:rsid w:val="00247925"/>
    <w:rsid w:val="00247A0A"/>
    <w:rsid w:val="00247FB9"/>
    <w:rsid w:val="00251006"/>
    <w:rsid w:val="002519AF"/>
    <w:rsid w:val="002524D4"/>
    <w:rsid w:val="002524D5"/>
    <w:rsid w:val="002532D4"/>
    <w:rsid w:val="00253B1D"/>
    <w:rsid w:val="002541B8"/>
    <w:rsid w:val="002545B8"/>
    <w:rsid w:val="00254864"/>
    <w:rsid w:val="00254BB4"/>
    <w:rsid w:val="00254C80"/>
    <w:rsid w:val="00254DA3"/>
    <w:rsid w:val="00254DCF"/>
    <w:rsid w:val="0025534B"/>
    <w:rsid w:val="00255757"/>
    <w:rsid w:val="00255BB7"/>
    <w:rsid w:val="00256DE4"/>
    <w:rsid w:val="00256E4A"/>
    <w:rsid w:val="002571B5"/>
    <w:rsid w:val="00257541"/>
    <w:rsid w:val="00257A39"/>
    <w:rsid w:val="00257AC4"/>
    <w:rsid w:val="00257C1B"/>
    <w:rsid w:val="00260743"/>
    <w:rsid w:val="00260B78"/>
    <w:rsid w:val="00261EEF"/>
    <w:rsid w:val="00262221"/>
    <w:rsid w:val="00262352"/>
    <w:rsid w:val="002623F4"/>
    <w:rsid w:val="0026245A"/>
    <w:rsid w:val="00262982"/>
    <w:rsid w:val="00262A1A"/>
    <w:rsid w:val="00262A87"/>
    <w:rsid w:val="002635DD"/>
    <w:rsid w:val="00263C4D"/>
    <w:rsid w:val="00263DA8"/>
    <w:rsid w:val="00263DD9"/>
    <w:rsid w:val="00264D26"/>
    <w:rsid w:val="0026502E"/>
    <w:rsid w:val="00267642"/>
    <w:rsid w:val="00267AEA"/>
    <w:rsid w:val="002700E6"/>
    <w:rsid w:val="00270254"/>
    <w:rsid w:val="00271803"/>
    <w:rsid w:val="00271DEC"/>
    <w:rsid w:val="00271F3B"/>
    <w:rsid w:val="002724A7"/>
    <w:rsid w:val="0027294B"/>
    <w:rsid w:val="0027299F"/>
    <w:rsid w:val="00272C80"/>
    <w:rsid w:val="00272E57"/>
    <w:rsid w:val="002733ED"/>
    <w:rsid w:val="00273536"/>
    <w:rsid w:val="00273913"/>
    <w:rsid w:val="00273EB4"/>
    <w:rsid w:val="00274682"/>
    <w:rsid w:val="00274AE5"/>
    <w:rsid w:val="00275AFA"/>
    <w:rsid w:val="00275C5A"/>
    <w:rsid w:val="0027656E"/>
    <w:rsid w:val="00276790"/>
    <w:rsid w:val="00276BAD"/>
    <w:rsid w:val="00276DA5"/>
    <w:rsid w:val="00277B7F"/>
    <w:rsid w:val="0028029D"/>
    <w:rsid w:val="00280601"/>
    <w:rsid w:val="002807CA"/>
    <w:rsid w:val="00280BF7"/>
    <w:rsid w:val="00280D78"/>
    <w:rsid w:val="00280F47"/>
    <w:rsid w:val="00281014"/>
    <w:rsid w:val="00281737"/>
    <w:rsid w:val="00281C4A"/>
    <w:rsid w:val="00281F02"/>
    <w:rsid w:val="00282386"/>
    <w:rsid w:val="00282C83"/>
    <w:rsid w:val="00282D2D"/>
    <w:rsid w:val="00282FD9"/>
    <w:rsid w:val="00283323"/>
    <w:rsid w:val="00283A49"/>
    <w:rsid w:val="00284A42"/>
    <w:rsid w:val="00286029"/>
    <w:rsid w:val="00286611"/>
    <w:rsid w:val="0028665D"/>
    <w:rsid w:val="002869D9"/>
    <w:rsid w:val="00286DD5"/>
    <w:rsid w:val="0028748D"/>
    <w:rsid w:val="00292B3E"/>
    <w:rsid w:val="0029320E"/>
    <w:rsid w:val="00293986"/>
    <w:rsid w:val="00293E0A"/>
    <w:rsid w:val="00294933"/>
    <w:rsid w:val="002949FB"/>
    <w:rsid w:val="00294CD2"/>
    <w:rsid w:val="00294E91"/>
    <w:rsid w:val="00295EA8"/>
    <w:rsid w:val="002968F5"/>
    <w:rsid w:val="002971D1"/>
    <w:rsid w:val="00297358"/>
    <w:rsid w:val="00297A37"/>
    <w:rsid w:val="002A0349"/>
    <w:rsid w:val="002A06DB"/>
    <w:rsid w:val="002A0BA1"/>
    <w:rsid w:val="002A0D8E"/>
    <w:rsid w:val="002A107D"/>
    <w:rsid w:val="002A10F8"/>
    <w:rsid w:val="002A14AB"/>
    <w:rsid w:val="002A268C"/>
    <w:rsid w:val="002A2ADE"/>
    <w:rsid w:val="002A2F50"/>
    <w:rsid w:val="002A3167"/>
    <w:rsid w:val="002A3A2C"/>
    <w:rsid w:val="002A3F62"/>
    <w:rsid w:val="002A42F6"/>
    <w:rsid w:val="002A46F1"/>
    <w:rsid w:val="002A4DA7"/>
    <w:rsid w:val="002B02A7"/>
    <w:rsid w:val="002B05A1"/>
    <w:rsid w:val="002B08C1"/>
    <w:rsid w:val="002B09A4"/>
    <w:rsid w:val="002B1C1F"/>
    <w:rsid w:val="002B2796"/>
    <w:rsid w:val="002B2ABB"/>
    <w:rsid w:val="002B3777"/>
    <w:rsid w:val="002B37BB"/>
    <w:rsid w:val="002B4210"/>
    <w:rsid w:val="002B432F"/>
    <w:rsid w:val="002B53AE"/>
    <w:rsid w:val="002B54D8"/>
    <w:rsid w:val="002B5922"/>
    <w:rsid w:val="002B62B3"/>
    <w:rsid w:val="002B6754"/>
    <w:rsid w:val="002B6C60"/>
    <w:rsid w:val="002B6CCE"/>
    <w:rsid w:val="002B6D04"/>
    <w:rsid w:val="002B79C1"/>
    <w:rsid w:val="002C0177"/>
    <w:rsid w:val="002C04ED"/>
    <w:rsid w:val="002C0A31"/>
    <w:rsid w:val="002C0C3F"/>
    <w:rsid w:val="002C117D"/>
    <w:rsid w:val="002C1775"/>
    <w:rsid w:val="002C1FD1"/>
    <w:rsid w:val="002C2510"/>
    <w:rsid w:val="002C2775"/>
    <w:rsid w:val="002C27C1"/>
    <w:rsid w:val="002C2850"/>
    <w:rsid w:val="002C2C31"/>
    <w:rsid w:val="002C2D19"/>
    <w:rsid w:val="002C2D24"/>
    <w:rsid w:val="002C3FA0"/>
    <w:rsid w:val="002C44AE"/>
    <w:rsid w:val="002C5099"/>
    <w:rsid w:val="002C5751"/>
    <w:rsid w:val="002C5889"/>
    <w:rsid w:val="002C5DB2"/>
    <w:rsid w:val="002C71CE"/>
    <w:rsid w:val="002C72A7"/>
    <w:rsid w:val="002C75A4"/>
    <w:rsid w:val="002D043C"/>
    <w:rsid w:val="002D08F8"/>
    <w:rsid w:val="002D1600"/>
    <w:rsid w:val="002D257E"/>
    <w:rsid w:val="002D28EA"/>
    <w:rsid w:val="002D46ED"/>
    <w:rsid w:val="002D49CA"/>
    <w:rsid w:val="002D577C"/>
    <w:rsid w:val="002D6172"/>
    <w:rsid w:val="002D7F4D"/>
    <w:rsid w:val="002E1071"/>
    <w:rsid w:val="002E157C"/>
    <w:rsid w:val="002E15B9"/>
    <w:rsid w:val="002E17AD"/>
    <w:rsid w:val="002E1EEC"/>
    <w:rsid w:val="002E2158"/>
    <w:rsid w:val="002E2640"/>
    <w:rsid w:val="002E3AA1"/>
    <w:rsid w:val="002E3BA3"/>
    <w:rsid w:val="002E4F02"/>
    <w:rsid w:val="002E5BA6"/>
    <w:rsid w:val="002E5ECA"/>
    <w:rsid w:val="002E62F0"/>
    <w:rsid w:val="002E66A8"/>
    <w:rsid w:val="002E682E"/>
    <w:rsid w:val="002E7722"/>
    <w:rsid w:val="002E7ED9"/>
    <w:rsid w:val="002F07BA"/>
    <w:rsid w:val="002F0D8A"/>
    <w:rsid w:val="002F0DA9"/>
    <w:rsid w:val="002F1014"/>
    <w:rsid w:val="002F314C"/>
    <w:rsid w:val="002F4ADA"/>
    <w:rsid w:val="002F4C7B"/>
    <w:rsid w:val="002F5764"/>
    <w:rsid w:val="002F643C"/>
    <w:rsid w:val="002F6F42"/>
    <w:rsid w:val="002F71C0"/>
    <w:rsid w:val="002F74F1"/>
    <w:rsid w:val="002F77B2"/>
    <w:rsid w:val="003007AF"/>
    <w:rsid w:val="00300AF0"/>
    <w:rsid w:val="00301017"/>
    <w:rsid w:val="0030155F"/>
    <w:rsid w:val="00302497"/>
    <w:rsid w:val="00302B38"/>
    <w:rsid w:val="00303347"/>
    <w:rsid w:val="00303B0C"/>
    <w:rsid w:val="0030587B"/>
    <w:rsid w:val="00305EFC"/>
    <w:rsid w:val="003068C9"/>
    <w:rsid w:val="00306D98"/>
    <w:rsid w:val="003072BC"/>
    <w:rsid w:val="00307418"/>
    <w:rsid w:val="0030772F"/>
    <w:rsid w:val="0030786C"/>
    <w:rsid w:val="0031031A"/>
    <w:rsid w:val="00310981"/>
    <w:rsid w:val="00310E88"/>
    <w:rsid w:val="003119B1"/>
    <w:rsid w:val="003119F9"/>
    <w:rsid w:val="00311E7D"/>
    <w:rsid w:val="00311F44"/>
    <w:rsid w:val="0031223B"/>
    <w:rsid w:val="003124D9"/>
    <w:rsid w:val="00312594"/>
    <w:rsid w:val="003146A6"/>
    <w:rsid w:val="00315498"/>
    <w:rsid w:val="00316474"/>
    <w:rsid w:val="00316713"/>
    <w:rsid w:val="00316740"/>
    <w:rsid w:val="00316AF4"/>
    <w:rsid w:val="00316B52"/>
    <w:rsid w:val="00317B44"/>
    <w:rsid w:val="00321FF0"/>
    <w:rsid w:val="00322107"/>
    <w:rsid w:val="00322355"/>
    <w:rsid w:val="00322846"/>
    <w:rsid w:val="00322C1E"/>
    <w:rsid w:val="00323E2B"/>
    <w:rsid w:val="003248A8"/>
    <w:rsid w:val="00324948"/>
    <w:rsid w:val="00325654"/>
    <w:rsid w:val="00325658"/>
    <w:rsid w:val="00325801"/>
    <w:rsid w:val="00326688"/>
    <w:rsid w:val="00326754"/>
    <w:rsid w:val="00326DA7"/>
    <w:rsid w:val="003270E4"/>
    <w:rsid w:val="00327D17"/>
    <w:rsid w:val="003301CA"/>
    <w:rsid w:val="00330DAA"/>
    <w:rsid w:val="00330F5C"/>
    <w:rsid w:val="00330FEA"/>
    <w:rsid w:val="0033182E"/>
    <w:rsid w:val="003318D1"/>
    <w:rsid w:val="00331DAC"/>
    <w:rsid w:val="00332DC4"/>
    <w:rsid w:val="00333A1C"/>
    <w:rsid w:val="00333C70"/>
    <w:rsid w:val="00333D9A"/>
    <w:rsid w:val="00334911"/>
    <w:rsid w:val="00336229"/>
    <w:rsid w:val="00336347"/>
    <w:rsid w:val="003366C9"/>
    <w:rsid w:val="003371B0"/>
    <w:rsid w:val="003375BB"/>
    <w:rsid w:val="00337E09"/>
    <w:rsid w:val="00340DF1"/>
    <w:rsid w:val="003419F4"/>
    <w:rsid w:val="00342467"/>
    <w:rsid w:val="00342EC8"/>
    <w:rsid w:val="00343008"/>
    <w:rsid w:val="00343743"/>
    <w:rsid w:val="00343AF9"/>
    <w:rsid w:val="0034419D"/>
    <w:rsid w:val="003447D7"/>
    <w:rsid w:val="003447E2"/>
    <w:rsid w:val="00345B95"/>
    <w:rsid w:val="00345D64"/>
    <w:rsid w:val="003461E6"/>
    <w:rsid w:val="003465BE"/>
    <w:rsid w:val="00346AAA"/>
    <w:rsid w:val="00347279"/>
    <w:rsid w:val="003500FA"/>
    <w:rsid w:val="00350740"/>
    <w:rsid w:val="003515CF"/>
    <w:rsid w:val="003517F9"/>
    <w:rsid w:val="00351BA9"/>
    <w:rsid w:val="003525E1"/>
    <w:rsid w:val="0035287D"/>
    <w:rsid w:val="00352FAB"/>
    <w:rsid w:val="00352FAE"/>
    <w:rsid w:val="00353460"/>
    <w:rsid w:val="003538B8"/>
    <w:rsid w:val="00353E61"/>
    <w:rsid w:val="00353EC6"/>
    <w:rsid w:val="003542FA"/>
    <w:rsid w:val="00354F64"/>
    <w:rsid w:val="003556E6"/>
    <w:rsid w:val="00355B83"/>
    <w:rsid w:val="003560EE"/>
    <w:rsid w:val="0035620E"/>
    <w:rsid w:val="0035628A"/>
    <w:rsid w:val="0035662D"/>
    <w:rsid w:val="003569C0"/>
    <w:rsid w:val="00356DD6"/>
    <w:rsid w:val="00357110"/>
    <w:rsid w:val="003576DA"/>
    <w:rsid w:val="003578D9"/>
    <w:rsid w:val="00360345"/>
    <w:rsid w:val="00360789"/>
    <w:rsid w:val="003615B9"/>
    <w:rsid w:val="003615CF"/>
    <w:rsid w:val="003618B8"/>
    <w:rsid w:val="00361A05"/>
    <w:rsid w:val="003624C4"/>
    <w:rsid w:val="00363B00"/>
    <w:rsid w:val="00364E5E"/>
    <w:rsid w:val="003654AC"/>
    <w:rsid w:val="0036587D"/>
    <w:rsid w:val="00366202"/>
    <w:rsid w:val="003662D5"/>
    <w:rsid w:val="003665B4"/>
    <w:rsid w:val="00366664"/>
    <w:rsid w:val="00367DB7"/>
    <w:rsid w:val="003704A0"/>
    <w:rsid w:val="00370ADD"/>
    <w:rsid w:val="003710CF"/>
    <w:rsid w:val="00371792"/>
    <w:rsid w:val="003718B8"/>
    <w:rsid w:val="00371A5F"/>
    <w:rsid w:val="0037358A"/>
    <w:rsid w:val="00373793"/>
    <w:rsid w:val="003749DB"/>
    <w:rsid w:val="003750F6"/>
    <w:rsid w:val="00375305"/>
    <w:rsid w:val="00375B00"/>
    <w:rsid w:val="00375B88"/>
    <w:rsid w:val="00375D89"/>
    <w:rsid w:val="003760FC"/>
    <w:rsid w:val="00376715"/>
    <w:rsid w:val="00376BAB"/>
    <w:rsid w:val="00377D9F"/>
    <w:rsid w:val="00380B79"/>
    <w:rsid w:val="00381075"/>
    <w:rsid w:val="003823DC"/>
    <w:rsid w:val="0038365C"/>
    <w:rsid w:val="0038369B"/>
    <w:rsid w:val="00383B42"/>
    <w:rsid w:val="00383B78"/>
    <w:rsid w:val="003842DA"/>
    <w:rsid w:val="0038459E"/>
    <w:rsid w:val="003848A2"/>
    <w:rsid w:val="003848A4"/>
    <w:rsid w:val="0038499B"/>
    <w:rsid w:val="003853A8"/>
    <w:rsid w:val="0038568B"/>
    <w:rsid w:val="00385A95"/>
    <w:rsid w:val="00385A9D"/>
    <w:rsid w:val="0038693C"/>
    <w:rsid w:val="00386EA5"/>
    <w:rsid w:val="0038744C"/>
    <w:rsid w:val="003902B1"/>
    <w:rsid w:val="0039036C"/>
    <w:rsid w:val="00390683"/>
    <w:rsid w:val="0039080E"/>
    <w:rsid w:val="0039179C"/>
    <w:rsid w:val="00391C0B"/>
    <w:rsid w:val="00391F66"/>
    <w:rsid w:val="00393B37"/>
    <w:rsid w:val="00395515"/>
    <w:rsid w:val="00395980"/>
    <w:rsid w:val="00395E35"/>
    <w:rsid w:val="00395EF5"/>
    <w:rsid w:val="00396026"/>
    <w:rsid w:val="0039621D"/>
    <w:rsid w:val="00396896"/>
    <w:rsid w:val="00396FD0"/>
    <w:rsid w:val="003A030A"/>
    <w:rsid w:val="003A15A2"/>
    <w:rsid w:val="003A1A7A"/>
    <w:rsid w:val="003A2392"/>
    <w:rsid w:val="003A27A6"/>
    <w:rsid w:val="003A2831"/>
    <w:rsid w:val="003A3920"/>
    <w:rsid w:val="003A3CB6"/>
    <w:rsid w:val="003A3ED1"/>
    <w:rsid w:val="003A44DB"/>
    <w:rsid w:val="003A5E83"/>
    <w:rsid w:val="003A612A"/>
    <w:rsid w:val="003A6845"/>
    <w:rsid w:val="003A7EDF"/>
    <w:rsid w:val="003B2382"/>
    <w:rsid w:val="003B3971"/>
    <w:rsid w:val="003B3BE4"/>
    <w:rsid w:val="003B3EB3"/>
    <w:rsid w:val="003B47F7"/>
    <w:rsid w:val="003B4997"/>
    <w:rsid w:val="003B4A71"/>
    <w:rsid w:val="003B55D1"/>
    <w:rsid w:val="003B5B61"/>
    <w:rsid w:val="003B5F0B"/>
    <w:rsid w:val="003B74F8"/>
    <w:rsid w:val="003B7D1B"/>
    <w:rsid w:val="003C1245"/>
    <w:rsid w:val="003C1654"/>
    <w:rsid w:val="003C230C"/>
    <w:rsid w:val="003C2A88"/>
    <w:rsid w:val="003C2A8E"/>
    <w:rsid w:val="003C346E"/>
    <w:rsid w:val="003C399E"/>
    <w:rsid w:val="003C43CE"/>
    <w:rsid w:val="003C5542"/>
    <w:rsid w:val="003C5AA0"/>
    <w:rsid w:val="003C70EA"/>
    <w:rsid w:val="003C7D19"/>
    <w:rsid w:val="003C7D2F"/>
    <w:rsid w:val="003D01D5"/>
    <w:rsid w:val="003D0C06"/>
    <w:rsid w:val="003D17AF"/>
    <w:rsid w:val="003D1828"/>
    <w:rsid w:val="003D1885"/>
    <w:rsid w:val="003D1D5F"/>
    <w:rsid w:val="003D1DE4"/>
    <w:rsid w:val="003D1E9A"/>
    <w:rsid w:val="003D2422"/>
    <w:rsid w:val="003D293D"/>
    <w:rsid w:val="003D35D3"/>
    <w:rsid w:val="003D39A1"/>
    <w:rsid w:val="003D3FBF"/>
    <w:rsid w:val="003D4490"/>
    <w:rsid w:val="003D48D6"/>
    <w:rsid w:val="003D4A30"/>
    <w:rsid w:val="003D4E25"/>
    <w:rsid w:val="003D51E4"/>
    <w:rsid w:val="003D5E7B"/>
    <w:rsid w:val="003D60AC"/>
    <w:rsid w:val="003D65A8"/>
    <w:rsid w:val="003D7418"/>
    <w:rsid w:val="003D7452"/>
    <w:rsid w:val="003D79BB"/>
    <w:rsid w:val="003D7A88"/>
    <w:rsid w:val="003D7C98"/>
    <w:rsid w:val="003D7D9D"/>
    <w:rsid w:val="003E0543"/>
    <w:rsid w:val="003E09F2"/>
    <w:rsid w:val="003E1FE7"/>
    <w:rsid w:val="003E2F37"/>
    <w:rsid w:val="003E377B"/>
    <w:rsid w:val="003E3E35"/>
    <w:rsid w:val="003E6216"/>
    <w:rsid w:val="003E749E"/>
    <w:rsid w:val="003E75D6"/>
    <w:rsid w:val="003E7DE4"/>
    <w:rsid w:val="003E7F5C"/>
    <w:rsid w:val="003F24E2"/>
    <w:rsid w:val="003F2807"/>
    <w:rsid w:val="003F381B"/>
    <w:rsid w:val="003F3825"/>
    <w:rsid w:val="003F4156"/>
    <w:rsid w:val="003F4441"/>
    <w:rsid w:val="003F490A"/>
    <w:rsid w:val="003F49D6"/>
    <w:rsid w:val="003F5505"/>
    <w:rsid w:val="003F5ADF"/>
    <w:rsid w:val="003F5B73"/>
    <w:rsid w:val="003F6FB3"/>
    <w:rsid w:val="003F742B"/>
    <w:rsid w:val="003F76C0"/>
    <w:rsid w:val="004001B5"/>
    <w:rsid w:val="00400B29"/>
    <w:rsid w:val="00400CDE"/>
    <w:rsid w:val="004023BB"/>
    <w:rsid w:val="00402C31"/>
    <w:rsid w:val="0040399F"/>
    <w:rsid w:val="0040458E"/>
    <w:rsid w:val="0040484A"/>
    <w:rsid w:val="0040504B"/>
    <w:rsid w:val="004059F4"/>
    <w:rsid w:val="0040627F"/>
    <w:rsid w:val="0040629E"/>
    <w:rsid w:val="00406950"/>
    <w:rsid w:val="00406A0A"/>
    <w:rsid w:val="0040729C"/>
    <w:rsid w:val="00407C0F"/>
    <w:rsid w:val="00407EC8"/>
    <w:rsid w:val="00407FE5"/>
    <w:rsid w:val="004101B0"/>
    <w:rsid w:val="00410326"/>
    <w:rsid w:val="00410708"/>
    <w:rsid w:val="0041070A"/>
    <w:rsid w:val="00410962"/>
    <w:rsid w:val="00410EC7"/>
    <w:rsid w:val="00411B39"/>
    <w:rsid w:val="004127A7"/>
    <w:rsid w:val="0041284E"/>
    <w:rsid w:val="00412935"/>
    <w:rsid w:val="00412C8E"/>
    <w:rsid w:val="00413A1E"/>
    <w:rsid w:val="00414476"/>
    <w:rsid w:val="00414C2E"/>
    <w:rsid w:val="00414C93"/>
    <w:rsid w:val="00414D17"/>
    <w:rsid w:val="004151CF"/>
    <w:rsid w:val="00415751"/>
    <w:rsid w:val="00415966"/>
    <w:rsid w:val="00416364"/>
    <w:rsid w:val="004164C1"/>
    <w:rsid w:val="00416612"/>
    <w:rsid w:val="00417C55"/>
    <w:rsid w:val="0042047F"/>
    <w:rsid w:val="00420AA6"/>
    <w:rsid w:val="00420B9F"/>
    <w:rsid w:val="00421459"/>
    <w:rsid w:val="0042192C"/>
    <w:rsid w:val="004221C8"/>
    <w:rsid w:val="00422201"/>
    <w:rsid w:val="00422260"/>
    <w:rsid w:val="0042413F"/>
    <w:rsid w:val="00425208"/>
    <w:rsid w:val="0042561E"/>
    <w:rsid w:val="00426F65"/>
    <w:rsid w:val="0042789A"/>
    <w:rsid w:val="00427995"/>
    <w:rsid w:val="00427F15"/>
    <w:rsid w:val="00430464"/>
    <w:rsid w:val="00431243"/>
    <w:rsid w:val="004319F8"/>
    <w:rsid w:val="00431E55"/>
    <w:rsid w:val="004321F6"/>
    <w:rsid w:val="00432305"/>
    <w:rsid w:val="00433044"/>
    <w:rsid w:val="00433926"/>
    <w:rsid w:val="00433CDE"/>
    <w:rsid w:val="00434088"/>
    <w:rsid w:val="00434A33"/>
    <w:rsid w:val="004352E3"/>
    <w:rsid w:val="00435792"/>
    <w:rsid w:val="0043594F"/>
    <w:rsid w:val="00435CBE"/>
    <w:rsid w:val="004361BC"/>
    <w:rsid w:val="004364BC"/>
    <w:rsid w:val="00436569"/>
    <w:rsid w:val="004367ED"/>
    <w:rsid w:val="00436D22"/>
    <w:rsid w:val="004375B9"/>
    <w:rsid w:val="00437F55"/>
    <w:rsid w:val="004404BC"/>
    <w:rsid w:val="00440DE2"/>
    <w:rsid w:val="00441060"/>
    <w:rsid w:val="0044245B"/>
    <w:rsid w:val="004428D0"/>
    <w:rsid w:val="004431AF"/>
    <w:rsid w:val="0044342C"/>
    <w:rsid w:val="00443800"/>
    <w:rsid w:val="00444185"/>
    <w:rsid w:val="004443A7"/>
    <w:rsid w:val="0044442C"/>
    <w:rsid w:val="00444469"/>
    <w:rsid w:val="0044472A"/>
    <w:rsid w:val="00444DDB"/>
    <w:rsid w:val="00445244"/>
    <w:rsid w:val="00445941"/>
    <w:rsid w:val="00446349"/>
    <w:rsid w:val="004464EB"/>
    <w:rsid w:val="00446FEF"/>
    <w:rsid w:val="0044758C"/>
    <w:rsid w:val="00447D26"/>
    <w:rsid w:val="00447DFC"/>
    <w:rsid w:val="00450640"/>
    <w:rsid w:val="00450A19"/>
    <w:rsid w:val="004513AA"/>
    <w:rsid w:val="00451D92"/>
    <w:rsid w:val="00452371"/>
    <w:rsid w:val="00453328"/>
    <w:rsid w:val="00453703"/>
    <w:rsid w:val="004547BF"/>
    <w:rsid w:val="0045493A"/>
    <w:rsid w:val="00455D45"/>
    <w:rsid w:val="0045788B"/>
    <w:rsid w:val="004608D7"/>
    <w:rsid w:val="00461244"/>
    <w:rsid w:val="00461489"/>
    <w:rsid w:val="00461573"/>
    <w:rsid w:val="00463BDF"/>
    <w:rsid w:val="00463F20"/>
    <w:rsid w:val="004643E6"/>
    <w:rsid w:val="00464595"/>
    <w:rsid w:val="004658B5"/>
    <w:rsid w:val="00471869"/>
    <w:rsid w:val="00471EA5"/>
    <w:rsid w:val="0047226C"/>
    <w:rsid w:val="00472A79"/>
    <w:rsid w:val="00472C62"/>
    <w:rsid w:val="00473844"/>
    <w:rsid w:val="00473986"/>
    <w:rsid w:val="00473F19"/>
    <w:rsid w:val="00474534"/>
    <w:rsid w:val="004749FA"/>
    <w:rsid w:val="004751C3"/>
    <w:rsid w:val="00475E22"/>
    <w:rsid w:val="004760A3"/>
    <w:rsid w:val="0047645E"/>
    <w:rsid w:val="00476A7A"/>
    <w:rsid w:val="00477A48"/>
    <w:rsid w:val="00477CB0"/>
    <w:rsid w:val="00477FA1"/>
    <w:rsid w:val="004806B7"/>
    <w:rsid w:val="0048088E"/>
    <w:rsid w:val="00480D03"/>
    <w:rsid w:val="00480F2B"/>
    <w:rsid w:val="004810CB"/>
    <w:rsid w:val="004823AA"/>
    <w:rsid w:val="00482600"/>
    <w:rsid w:val="00482720"/>
    <w:rsid w:val="00482AAF"/>
    <w:rsid w:val="00482B51"/>
    <w:rsid w:val="00482B98"/>
    <w:rsid w:val="004835E7"/>
    <w:rsid w:val="00484023"/>
    <w:rsid w:val="0048419E"/>
    <w:rsid w:val="00484296"/>
    <w:rsid w:val="0048502A"/>
    <w:rsid w:val="0048516F"/>
    <w:rsid w:val="0048636F"/>
    <w:rsid w:val="004867E2"/>
    <w:rsid w:val="004869D9"/>
    <w:rsid w:val="00490B17"/>
    <w:rsid w:val="00490B51"/>
    <w:rsid w:val="00491B3A"/>
    <w:rsid w:val="00492CFD"/>
    <w:rsid w:val="00493526"/>
    <w:rsid w:val="00493833"/>
    <w:rsid w:val="00494207"/>
    <w:rsid w:val="00494391"/>
    <w:rsid w:val="00494CA8"/>
    <w:rsid w:val="00494DD5"/>
    <w:rsid w:val="00495759"/>
    <w:rsid w:val="00495E7E"/>
    <w:rsid w:val="0049613F"/>
    <w:rsid w:val="004962D2"/>
    <w:rsid w:val="0049674F"/>
    <w:rsid w:val="00496C24"/>
    <w:rsid w:val="00497DA2"/>
    <w:rsid w:val="004A0DA1"/>
    <w:rsid w:val="004A1282"/>
    <w:rsid w:val="004A1316"/>
    <w:rsid w:val="004A13D6"/>
    <w:rsid w:val="004A16C8"/>
    <w:rsid w:val="004A185B"/>
    <w:rsid w:val="004A1DBF"/>
    <w:rsid w:val="004A37D4"/>
    <w:rsid w:val="004A50B0"/>
    <w:rsid w:val="004A52E9"/>
    <w:rsid w:val="004A6040"/>
    <w:rsid w:val="004A610D"/>
    <w:rsid w:val="004A6117"/>
    <w:rsid w:val="004A6597"/>
    <w:rsid w:val="004A777B"/>
    <w:rsid w:val="004A781E"/>
    <w:rsid w:val="004A7848"/>
    <w:rsid w:val="004B00FE"/>
    <w:rsid w:val="004B1072"/>
    <w:rsid w:val="004B1C26"/>
    <w:rsid w:val="004B1CB4"/>
    <w:rsid w:val="004B2C2E"/>
    <w:rsid w:val="004B2F18"/>
    <w:rsid w:val="004B34D7"/>
    <w:rsid w:val="004B3623"/>
    <w:rsid w:val="004B3DDB"/>
    <w:rsid w:val="004B44FD"/>
    <w:rsid w:val="004B488E"/>
    <w:rsid w:val="004B496A"/>
    <w:rsid w:val="004B4AAC"/>
    <w:rsid w:val="004B4BA6"/>
    <w:rsid w:val="004B52F3"/>
    <w:rsid w:val="004B5CFC"/>
    <w:rsid w:val="004B68C4"/>
    <w:rsid w:val="004B6F79"/>
    <w:rsid w:val="004B75F4"/>
    <w:rsid w:val="004B774D"/>
    <w:rsid w:val="004B7A97"/>
    <w:rsid w:val="004C1A00"/>
    <w:rsid w:val="004C3635"/>
    <w:rsid w:val="004C407D"/>
    <w:rsid w:val="004C436B"/>
    <w:rsid w:val="004C43EE"/>
    <w:rsid w:val="004C47AD"/>
    <w:rsid w:val="004C481B"/>
    <w:rsid w:val="004C49C5"/>
    <w:rsid w:val="004C4AED"/>
    <w:rsid w:val="004C532F"/>
    <w:rsid w:val="004C5D7D"/>
    <w:rsid w:val="004C6BD7"/>
    <w:rsid w:val="004C7875"/>
    <w:rsid w:val="004C7BC5"/>
    <w:rsid w:val="004D014E"/>
    <w:rsid w:val="004D1223"/>
    <w:rsid w:val="004D18D3"/>
    <w:rsid w:val="004D1B20"/>
    <w:rsid w:val="004D1CA0"/>
    <w:rsid w:val="004D2709"/>
    <w:rsid w:val="004D293E"/>
    <w:rsid w:val="004D2C2D"/>
    <w:rsid w:val="004D3764"/>
    <w:rsid w:val="004D4644"/>
    <w:rsid w:val="004D4B3E"/>
    <w:rsid w:val="004D5D36"/>
    <w:rsid w:val="004D6448"/>
    <w:rsid w:val="004D69B5"/>
    <w:rsid w:val="004D7227"/>
    <w:rsid w:val="004D7FC0"/>
    <w:rsid w:val="004E0975"/>
    <w:rsid w:val="004E0BB3"/>
    <w:rsid w:val="004E0E7F"/>
    <w:rsid w:val="004E0EB8"/>
    <w:rsid w:val="004E1274"/>
    <w:rsid w:val="004E17D8"/>
    <w:rsid w:val="004E18E9"/>
    <w:rsid w:val="004E244A"/>
    <w:rsid w:val="004E2ADC"/>
    <w:rsid w:val="004E2C5F"/>
    <w:rsid w:val="004E2E7D"/>
    <w:rsid w:val="004E3E24"/>
    <w:rsid w:val="004E43B2"/>
    <w:rsid w:val="004E529A"/>
    <w:rsid w:val="004E5C3B"/>
    <w:rsid w:val="004E6378"/>
    <w:rsid w:val="004E6482"/>
    <w:rsid w:val="004E7092"/>
    <w:rsid w:val="004E747B"/>
    <w:rsid w:val="004F0049"/>
    <w:rsid w:val="004F023E"/>
    <w:rsid w:val="004F0DCB"/>
    <w:rsid w:val="004F1328"/>
    <w:rsid w:val="004F1D02"/>
    <w:rsid w:val="004F2679"/>
    <w:rsid w:val="004F2F21"/>
    <w:rsid w:val="004F39B9"/>
    <w:rsid w:val="004F3DE5"/>
    <w:rsid w:val="004F3DE6"/>
    <w:rsid w:val="004F3F1F"/>
    <w:rsid w:val="004F3F23"/>
    <w:rsid w:val="004F3F85"/>
    <w:rsid w:val="004F4A0D"/>
    <w:rsid w:val="004F4C7A"/>
    <w:rsid w:val="004F52CA"/>
    <w:rsid w:val="004F575F"/>
    <w:rsid w:val="004F6095"/>
    <w:rsid w:val="004F6913"/>
    <w:rsid w:val="004F6F2A"/>
    <w:rsid w:val="004F7410"/>
    <w:rsid w:val="004F7865"/>
    <w:rsid w:val="0050174E"/>
    <w:rsid w:val="00501854"/>
    <w:rsid w:val="0050219B"/>
    <w:rsid w:val="005028DB"/>
    <w:rsid w:val="00503F17"/>
    <w:rsid w:val="00504049"/>
    <w:rsid w:val="005058E4"/>
    <w:rsid w:val="00506928"/>
    <w:rsid w:val="00506D46"/>
    <w:rsid w:val="0050726E"/>
    <w:rsid w:val="005077EF"/>
    <w:rsid w:val="005078DB"/>
    <w:rsid w:val="00510595"/>
    <w:rsid w:val="00510A71"/>
    <w:rsid w:val="00510D7B"/>
    <w:rsid w:val="00511268"/>
    <w:rsid w:val="00511A43"/>
    <w:rsid w:val="00511AD5"/>
    <w:rsid w:val="00511DBE"/>
    <w:rsid w:val="00511DC7"/>
    <w:rsid w:val="00513699"/>
    <w:rsid w:val="0051381F"/>
    <w:rsid w:val="005142C5"/>
    <w:rsid w:val="00514811"/>
    <w:rsid w:val="0051501B"/>
    <w:rsid w:val="005152B5"/>
    <w:rsid w:val="005171DD"/>
    <w:rsid w:val="00517424"/>
    <w:rsid w:val="0052123C"/>
    <w:rsid w:val="00521319"/>
    <w:rsid w:val="00522372"/>
    <w:rsid w:val="00522BC8"/>
    <w:rsid w:val="0052363A"/>
    <w:rsid w:val="00523C28"/>
    <w:rsid w:val="00523D27"/>
    <w:rsid w:val="005240F9"/>
    <w:rsid w:val="00524291"/>
    <w:rsid w:val="00524D08"/>
    <w:rsid w:val="00525506"/>
    <w:rsid w:val="00525F8C"/>
    <w:rsid w:val="005264E4"/>
    <w:rsid w:val="005265B3"/>
    <w:rsid w:val="00527416"/>
    <w:rsid w:val="00530BCC"/>
    <w:rsid w:val="00530DF4"/>
    <w:rsid w:val="0053176B"/>
    <w:rsid w:val="0053202D"/>
    <w:rsid w:val="00532DAF"/>
    <w:rsid w:val="00532E50"/>
    <w:rsid w:val="00533104"/>
    <w:rsid w:val="0053322C"/>
    <w:rsid w:val="00533607"/>
    <w:rsid w:val="00534C28"/>
    <w:rsid w:val="00535F26"/>
    <w:rsid w:val="0053691A"/>
    <w:rsid w:val="00536F42"/>
    <w:rsid w:val="00537182"/>
    <w:rsid w:val="00537EF8"/>
    <w:rsid w:val="005411DD"/>
    <w:rsid w:val="00541461"/>
    <w:rsid w:val="0054174B"/>
    <w:rsid w:val="00541D36"/>
    <w:rsid w:val="00541EDD"/>
    <w:rsid w:val="00542743"/>
    <w:rsid w:val="005429F7"/>
    <w:rsid w:val="00542C2D"/>
    <w:rsid w:val="0054360C"/>
    <w:rsid w:val="00543B84"/>
    <w:rsid w:val="00543DEA"/>
    <w:rsid w:val="0054543E"/>
    <w:rsid w:val="00547017"/>
    <w:rsid w:val="0054720E"/>
    <w:rsid w:val="00547710"/>
    <w:rsid w:val="005478BD"/>
    <w:rsid w:val="005479E3"/>
    <w:rsid w:val="00547A27"/>
    <w:rsid w:val="00551325"/>
    <w:rsid w:val="00551985"/>
    <w:rsid w:val="00552BD3"/>
    <w:rsid w:val="005532A0"/>
    <w:rsid w:val="00553B5F"/>
    <w:rsid w:val="00555109"/>
    <w:rsid w:val="005559C6"/>
    <w:rsid w:val="005569E7"/>
    <w:rsid w:val="00556B35"/>
    <w:rsid w:val="0055741A"/>
    <w:rsid w:val="0055747F"/>
    <w:rsid w:val="005600F1"/>
    <w:rsid w:val="0056076A"/>
    <w:rsid w:val="005611B7"/>
    <w:rsid w:val="005618D4"/>
    <w:rsid w:val="00561D33"/>
    <w:rsid w:val="00561E2F"/>
    <w:rsid w:val="00561F88"/>
    <w:rsid w:val="0056271E"/>
    <w:rsid w:val="0056364D"/>
    <w:rsid w:val="005643A6"/>
    <w:rsid w:val="00564B39"/>
    <w:rsid w:val="00564FBF"/>
    <w:rsid w:val="00565DF0"/>
    <w:rsid w:val="00565FB1"/>
    <w:rsid w:val="005668C7"/>
    <w:rsid w:val="0056696F"/>
    <w:rsid w:val="00566DD4"/>
    <w:rsid w:val="00567A8E"/>
    <w:rsid w:val="0057029C"/>
    <w:rsid w:val="005705F4"/>
    <w:rsid w:val="00571BD6"/>
    <w:rsid w:val="00571CE9"/>
    <w:rsid w:val="00571EA3"/>
    <w:rsid w:val="005720E1"/>
    <w:rsid w:val="00572269"/>
    <w:rsid w:val="0057244A"/>
    <w:rsid w:val="00572F26"/>
    <w:rsid w:val="00574A3D"/>
    <w:rsid w:val="005750C5"/>
    <w:rsid w:val="005752DE"/>
    <w:rsid w:val="00575403"/>
    <w:rsid w:val="00575460"/>
    <w:rsid w:val="00575D8D"/>
    <w:rsid w:val="0057670C"/>
    <w:rsid w:val="00576972"/>
    <w:rsid w:val="00576A27"/>
    <w:rsid w:val="00576E42"/>
    <w:rsid w:val="00577163"/>
    <w:rsid w:val="00577C10"/>
    <w:rsid w:val="00577D32"/>
    <w:rsid w:val="00580E6D"/>
    <w:rsid w:val="00581CE5"/>
    <w:rsid w:val="00583699"/>
    <w:rsid w:val="00583A94"/>
    <w:rsid w:val="005850F5"/>
    <w:rsid w:val="00585CDD"/>
    <w:rsid w:val="0058610A"/>
    <w:rsid w:val="00586B36"/>
    <w:rsid w:val="00587058"/>
    <w:rsid w:val="00587934"/>
    <w:rsid w:val="00591957"/>
    <w:rsid w:val="005934C9"/>
    <w:rsid w:val="0059450E"/>
    <w:rsid w:val="0059521F"/>
    <w:rsid w:val="00595C90"/>
    <w:rsid w:val="00595DAA"/>
    <w:rsid w:val="005966B0"/>
    <w:rsid w:val="00597900"/>
    <w:rsid w:val="00597BF9"/>
    <w:rsid w:val="005A1B53"/>
    <w:rsid w:val="005A1B77"/>
    <w:rsid w:val="005A22A6"/>
    <w:rsid w:val="005A309A"/>
    <w:rsid w:val="005A373D"/>
    <w:rsid w:val="005A3D5C"/>
    <w:rsid w:val="005A4241"/>
    <w:rsid w:val="005A4568"/>
    <w:rsid w:val="005A4895"/>
    <w:rsid w:val="005A596F"/>
    <w:rsid w:val="005A5B03"/>
    <w:rsid w:val="005A6241"/>
    <w:rsid w:val="005A7463"/>
    <w:rsid w:val="005A7484"/>
    <w:rsid w:val="005A758D"/>
    <w:rsid w:val="005B0B58"/>
    <w:rsid w:val="005B0EF1"/>
    <w:rsid w:val="005B2871"/>
    <w:rsid w:val="005B4265"/>
    <w:rsid w:val="005B4553"/>
    <w:rsid w:val="005B4E53"/>
    <w:rsid w:val="005B50E2"/>
    <w:rsid w:val="005B57EE"/>
    <w:rsid w:val="005B5857"/>
    <w:rsid w:val="005B634B"/>
    <w:rsid w:val="005B6767"/>
    <w:rsid w:val="005B7834"/>
    <w:rsid w:val="005C0989"/>
    <w:rsid w:val="005C1142"/>
    <w:rsid w:val="005C1B83"/>
    <w:rsid w:val="005C21D9"/>
    <w:rsid w:val="005C25FF"/>
    <w:rsid w:val="005C2D55"/>
    <w:rsid w:val="005C320C"/>
    <w:rsid w:val="005C3278"/>
    <w:rsid w:val="005C346B"/>
    <w:rsid w:val="005C52D6"/>
    <w:rsid w:val="005C5761"/>
    <w:rsid w:val="005C5ED3"/>
    <w:rsid w:val="005C7892"/>
    <w:rsid w:val="005D044D"/>
    <w:rsid w:val="005D0ABD"/>
    <w:rsid w:val="005D18AD"/>
    <w:rsid w:val="005D1C04"/>
    <w:rsid w:val="005D2519"/>
    <w:rsid w:val="005D2600"/>
    <w:rsid w:val="005D26B4"/>
    <w:rsid w:val="005D2CBD"/>
    <w:rsid w:val="005D34E0"/>
    <w:rsid w:val="005D36F5"/>
    <w:rsid w:val="005D38FA"/>
    <w:rsid w:val="005D39BE"/>
    <w:rsid w:val="005D46CA"/>
    <w:rsid w:val="005D61D8"/>
    <w:rsid w:val="005D63BF"/>
    <w:rsid w:val="005D6844"/>
    <w:rsid w:val="005D7201"/>
    <w:rsid w:val="005E02EB"/>
    <w:rsid w:val="005E0942"/>
    <w:rsid w:val="005E0D1E"/>
    <w:rsid w:val="005E0E9C"/>
    <w:rsid w:val="005E1F2F"/>
    <w:rsid w:val="005E30C3"/>
    <w:rsid w:val="005E38C0"/>
    <w:rsid w:val="005E39F1"/>
    <w:rsid w:val="005E3E44"/>
    <w:rsid w:val="005E480D"/>
    <w:rsid w:val="005E4F7E"/>
    <w:rsid w:val="005E52B3"/>
    <w:rsid w:val="005E5DA6"/>
    <w:rsid w:val="005E5EDB"/>
    <w:rsid w:val="005E68BF"/>
    <w:rsid w:val="005E6CBC"/>
    <w:rsid w:val="005E72FF"/>
    <w:rsid w:val="005E73C0"/>
    <w:rsid w:val="005F12E1"/>
    <w:rsid w:val="005F23DB"/>
    <w:rsid w:val="005F2706"/>
    <w:rsid w:val="005F2C3D"/>
    <w:rsid w:val="005F3951"/>
    <w:rsid w:val="005F3E33"/>
    <w:rsid w:val="005F48A6"/>
    <w:rsid w:val="005F53B6"/>
    <w:rsid w:val="005F677F"/>
    <w:rsid w:val="005F6A8F"/>
    <w:rsid w:val="005F6BB7"/>
    <w:rsid w:val="005F7588"/>
    <w:rsid w:val="005F7CFB"/>
    <w:rsid w:val="00601156"/>
    <w:rsid w:val="006011F0"/>
    <w:rsid w:val="006016A8"/>
    <w:rsid w:val="00601C5A"/>
    <w:rsid w:val="00602B20"/>
    <w:rsid w:val="00603A86"/>
    <w:rsid w:val="00603D7B"/>
    <w:rsid w:val="00603DB9"/>
    <w:rsid w:val="00603DC7"/>
    <w:rsid w:val="00603FC1"/>
    <w:rsid w:val="00604357"/>
    <w:rsid w:val="006044D2"/>
    <w:rsid w:val="00605953"/>
    <w:rsid w:val="0060595F"/>
    <w:rsid w:val="006063DB"/>
    <w:rsid w:val="00606634"/>
    <w:rsid w:val="0060690C"/>
    <w:rsid w:val="00606CA7"/>
    <w:rsid w:val="00606F78"/>
    <w:rsid w:val="00606FBA"/>
    <w:rsid w:val="00607669"/>
    <w:rsid w:val="006076F4"/>
    <w:rsid w:val="00607A2B"/>
    <w:rsid w:val="00607AFD"/>
    <w:rsid w:val="00607DC3"/>
    <w:rsid w:val="006101C8"/>
    <w:rsid w:val="00610801"/>
    <w:rsid w:val="0061081D"/>
    <w:rsid w:val="00610B02"/>
    <w:rsid w:val="00610BEA"/>
    <w:rsid w:val="006120E0"/>
    <w:rsid w:val="006129EF"/>
    <w:rsid w:val="00612A3C"/>
    <w:rsid w:val="00612B98"/>
    <w:rsid w:val="00612C1A"/>
    <w:rsid w:val="00612F97"/>
    <w:rsid w:val="0061345D"/>
    <w:rsid w:val="006144CD"/>
    <w:rsid w:val="00614D63"/>
    <w:rsid w:val="0061534E"/>
    <w:rsid w:val="0061549B"/>
    <w:rsid w:val="006157A9"/>
    <w:rsid w:val="006157FC"/>
    <w:rsid w:val="00616802"/>
    <w:rsid w:val="006171EE"/>
    <w:rsid w:val="00617ACB"/>
    <w:rsid w:val="00617E12"/>
    <w:rsid w:val="00620C25"/>
    <w:rsid w:val="006213B1"/>
    <w:rsid w:val="00621477"/>
    <w:rsid w:val="0062169D"/>
    <w:rsid w:val="00621ADA"/>
    <w:rsid w:val="00621E0C"/>
    <w:rsid w:val="00622B2A"/>
    <w:rsid w:val="00623F7B"/>
    <w:rsid w:val="006244B0"/>
    <w:rsid w:val="00624767"/>
    <w:rsid w:val="00624953"/>
    <w:rsid w:val="00624C55"/>
    <w:rsid w:val="00624ED0"/>
    <w:rsid w:val="00624FDF"/>
    <w:rsid w:val="0062523C"/>
    <w:rsid w:val="00626EE8"/>
    <w:rsid w:val="0062709C"/>
    <w:rsid w:val="0063158F"/>
    <w:rsid w:val="00631CFF"/>
    <w:rsid w:val="00631D6B"/>
    <w:rsid w:val="00632183"/>
    <w:rsid w:val="006330A1"/>
    <w:rsid w:val="0063479F"/>
    <w:rsid w:val="006353A2"/>
    <w:rsid w:val="006353F0"/>
    <w:rsid w:val="00635459"/>
    <w:rsid w:val="006354FA"/>
    <w:rsid w:val="006357B5"/>
    <w:rsid w:val="00635FB9"/>
    <w:rsid w:val="00636063"/>
    <w:rsid w:val="006364A1"/>
    <w:rsid w:val="0063678E"/>
    <w:rsid w:val="00636921"/>
    <w:rsid w:val="006371F3"/>
    <w:rsid w:val="00637BFD"/>
    <w:rsid w:val="00637CC8"/>
    <w:rsid w:val="00640A38"/>
    <w:rsid w:val="00640EBA"/>
    <w:rsid w:val="00640EFF"/>
    <w:rsid w:val="006411F5"/>
    <w:rsid w:val="0064162F"/>
    <w:rsid w:val="00641A00"/>
    <w:rsid w:val="00641C4E"/>
    <w:rsid w:val="00641FB3"/>
    <w:rsid w:val="00642C7D"/>
    <w:rsid w:val="006438F8"/>
    <w:rsid w:val="0064434C"/>
    <w:rsid w:val="00644691"/>
    <w:rsid w:val="00644849"/>
    <w:rsid w:val="0064496C"/>
    <w:rsid w:val="006455FA"/>
    <w:rsid w:val="006456EA"/>
    <w:rsid w:val="00645704"/>
    <w:rsid w:val="006461E7"/>
    <w:rsid w:val="006471CC"/>
    <w:rsid w:val="00647A03"/>
    <w:rsid w:val="00647A29"/>
    <w:rsid w:val="00647A67"/>
    <w:rsid w:val="0065003A"/>
    <w:rsid w:val="0065079F"/>
    <w:rsid w:val="00652A28"/>
    <w:rsid w:val="006534A4"/>
    <w:rsid w:val="0065379F"/>
    <w:rsid w:val="00654A07"/>
    <w:rsid w:val="006551E6"/>
    <w:rsid w:val="006555CF"/>
    <w:rsid w:val="00655610"/>
    <w:rsid w:val="00655614"/>
    <w:rsid w:val="006556E1"/>
    <w:rsid w:val="006558B8"/>
    <w:rsid w:val="00656188"/>
    <w:rsid w:val="00656397"/>
    <w:rsid w:val="0065640B"/>
    <w:rsid w:val="006565B7"/>
    <w:rsid w:val="0065715A"/>
    <w:rsid w:val="006610F1"/>
    <w:rsid w:val="00661C6B"/>
    <w:rsid w:val="006622CC"/>
    <w:rsid w:val="00662993"/>
    <w:rsid w:val="00662CFE"/>
    <w:rsid w:val="00663793"/>
    <w:rsid w:val="0066439B"/>
    <w:rsid w:val="00664943"/>
    <w:rsid w:val="00665219"/>
    <w:rsid w:val="006667DD"/>
    <w:rsid w:val="00671004"/>
    <w:rsid w:val="00671711"/>
    <w:rsid w:val="00671AB8"/>
    <w:rsid w:val="00672646"/>
    <w:rsid w:val="006728E7"/>
    <w:rsid w:val="00672F17"/>
    <w:rsid w:val="00672FAB"/>
    <w:rsid w:val="00674329"/>
    <w:rsid w:val="00674E42"/>
    <w:rsid w:val="006750F8"/>
    <w:rsid w:val="00675226"/>
    <w:rsid w:val="006765FA"/>
    <w:rsid w:val="00676DFC"/>
    <w:rsid w:val="00677C4A"/>
    <w:rsid w:val="006813F8"/>
    <w:rsid w:val="00681786"/>
    <w:rsid w:val="00681961"/>
    <w:rsid w:val="00682112"/>
    <w:rsid w:val="00682246"/>
    <w:rsid w:val="006827DA"/>
    <w:rsid w:val="00682BA6"/>
    <w:rsid w:val="00683047"/>
    <w:rsid w:val="00683527"/>
    <w:rsid w:val="00683DDC"/>
    <w:rsid w:val="00684D14"/>
    <w:rsid w:val="00684FC8"/>
    <w:rsid w:val="00685711"/>
    <w:rsid w:val="00686910"/>
    <w:rsid w:val="00686957"/>
    <w:rsid w:val="006872BA"/>
    <w:rsid w:val="00687844"/>
    <w:rsid w:val="006900F4"/>
    <w:rsid w:val="0069023B"/>
    <w:rsid w:val="006904C8"/>
    <w:rsid w:val="00690795"/>
    <w:rsid w:val="00691648"/>
    <w:rsid w:val="006917D7"/>
    <w:rsid w:val="0069321C"/>
    <w:rsid w:val="0069434C"/>
    <w:rsid w:val="00694B8D"/>
    <w:rsid w:val="00694F44"/>
    <w:rsid w:val="0069555E"/>
    <w:rsid w:val="00695583"/>
    <w:rsid w:val="00695EEA"/>
    <w:rsid w:val="00696449"/>
    <w:rsid w:val="00696CBE"/>
    <w:rsid w:val="00696F51"/>
    <w:rsid w:val="00696FB9"/>
    <w:rsid w:val="00697059"/>
    <w:rsid w:val="006979A5"/>
    <w:rsid w:val="006A1099"/>
    <w:rsid w:val="006A10C5"/>
    <w:rsid w:val="006A22D9"/>
    <w:rsid w:val="006A292D"/>
    <w:rsid w:val="006A2C1D"/>
    <w:rsid w:val="006A5014"/>
    <w:rsid w:val="006A508A"/>
    <w:rsid w:val="006A5C0E"/>
    <w:rsid w:val="006A5F57"/>
    <w:rsid w:val="006A6027"/>
    <w:rsid w:val="006A6136"/>
    <w:rsid w:val="006A652A"/>
    <w:rsid w:val="006A6997"/>
    <w:rsid w:val="006A6B99"/>
    <w:rsid w:val="006A71A5"/>
    <w:rsid w:val="006A7E48"/>
    <w:rsid w:val="006A7E5F"/>
    <w:rsid w:val="006B0D18"/>
    <w:rsid w:val="006B15EF"/>
    <w:rsid w:val="006B1FC3"/>
    <w:rsid w:val="006B261B"/>
    <w:rsid w:val="006B2C90"/>
    <w:rsid w:val="006B35E6"/>
    <w:rsid w:val="006B4253"/>
    <w:rsid w:val="006B465A"/>
    <w:rsid w:val="006B5766"/>
    <w:rsid w:val="006B6197"/>
    <w:rsid w:val="006B6576"/>
    <w:rsid w:val="006B6920"/>
    <w:rsid w:val="006B6D2A"/>
    <w:rsid w:val="006B6DD0"/>
    <w:rsid w:val="006B75DD"/>
    <w:rsid w:val="006B789F"/>
    <w:rsid w:val="006B7DEE"/>
    <w:rsid w:val="006C027E"/>
    <w:rsid w:val="006C0399"/>
    <w:rsid w:val="006C0532"/>
    <w:rsid w:val="006C1687"/>
    <w:rsid w:val="006C2A8E"/>
    <w:rsid w:val="006C3255"/>
    <w:rsid w:val="006C3F20"/>
    <w:rsid w:val="006C3F26"/>
    <w:rsid w:val="006C4044"/>
    <w:rsid w:val="006C50FB"/>
    <w:rsid w:val="006C572F"/>
    <w:rsid w:val="006C6993"/>
    <w:rsid w:val="006C7E26"/>
    <w:rsid w:val="006D0D17"/>
    <w:rsid w:val="006D15A5"/>
    <w:rsid w:val="006D18A5"/>
    <w:rsid w:val="006D1DAA"/>
    <w:rsid w:val="006D23DC"/>
    <w:rsid w:val="006D2C37"/>
    <w:rsid w:val="006D3C5B"/>
    <w:rsid w:val="006D3C7D"/>
    <w:rsid w:val="006D3E6F"/>
    <w:rsid w:val="006D4659"/>
    <w:rsid w:val="006D4E26"/>
    <w:rsid w:val="006D527A"/>
    <w:rsid w:val="006D5D5F"/>
    <w:rsid w:val="006D6128"/>
    <w:rsid w:val="006D6493"/>
    <w:rsid w:val="006D68FB"/>
    <w:rsid w:val="006D7287"/>
    <w:rsid w:val="006D757D"/>
    <w:rsid w:val="006D7A76"/>
    <w:rsid w:val="006E06C0"/>
    <w:rsid w:val="006E0C9B"/>
    <w:rsid w:val="006E14C8"/>
    <w:rsid w:val="006E1514"/>
    <w:rsid w:val="006E2868"/>
    <w:rsid w:val="006E2C79"/>
    <w:rsid w:val="006E2CC6"/>
    <w:rsid w:val="006E351E"/>
    <w:rsid w:val="006E3B47"/>
    <w:rsid w:val="006E6299"/>
    <w:rsid w:val="006E6EBB"/>
    <w:rsid w:val="006E72FC"/>
    <w:rsid w:val="006E75A4"/>
    <w:rsid w:val="006E7880"/>
    <w:rsid w:val="006E7902"/>
    <w:rsid w:val="006E7B72"/>
    <w:rsid w:val="006F0BFF"/>
    <w:rsid w:val="006F0EDB"/>
    <w:rsid w:val="006F14D8"/>
    <w:rsid w:val="006F1743"/>
    <w:rsid w:val="006F1CD5"/>
    <w:rsid w:val="006F2002"/>
    <w:rsid w:val="006F22E4"/>
    <w:rsid w:val="006F2337"/>
    <w:rsid w:val="006F2679"/>
    <w:rsid w:val="006F306C"/>
    <w:rsid w:val="006F3083"/>
    <w:rsid w:val="006F39A3"/>
    <w:rsid w:val="006F5372"/>
    <w:rsid w:val="006F5ECE"/>
    <w:rsid w:val="006F6173"/>
    <w:rsid w:val="006F63A5"/>
    <w:rsid w:val="006F65E0"/>
    <w:rsid w:val="006F67C4"/>
    <w:rsid w:val="006F744B"/>
    <w:rsid w:val="006F7A82"/>
    <w:rsid w:val="006F7F15"/>
    <w:rsid w:val="00700A82"/>
    <w:rsid w:val="00700AF7"/>
    <w:rsid w:val="00700E10"/>
    <w:rsid w:val="00701115"/>
    <w:rsid w:val="0070142B"/>
    <w:rsid w:val="00701E79"/>
    <w:rsid w:val="0070276E"/>
    <w:rsid w:val="007028D4"/>
    <w:rsid w:val="00702F8F"/>
    <w:rsid w:val="00703125"/>
    <w:rsid w:val="00703264"/>
    <w:rsid w:val="00703296"/>
    <w:rsid w:val="00703882"/>
    <w:rsid w:val="00704A00"/>
    <w:rsid w:val="00704C9B"/>
    <w:rsid w:val="007058CF"/>
    <w:rsid w:val="00706727"/>
    <w:rsid w:val="007067E6"/>
    <w:rsid w:val="007079FC"/>
    <w:rsid w:val="007101A3"/>
    <w:rsid w:val="0071080D"/>
    <w:rsid w:val="00710B75"/>
    <w:rsid w:val="00711A36"/>
    <w:rsid w:val="007125F4"/>
    <w:rsid w:val="00712A77"/>
    <w:rsid w:val="00712C24"/>
    <w:rsid w:val="00713709"/>
    <w:rsid w:val="00714387"/>
    <w:rsid w:val="0071476A"/>
    <w:rsid w:val="00714C26"/>
    <w:rsid w:val="0071529C"/>
    <w:rsid w:val="00715A09"/>
    <w:rsid w:val="00715DAC"/>
    <w:rsid w:val="007162AA"/>
    <w:rsid w:val="00716922"/>
    <w:rsid w:val="007170DA"/>
    <w:rsid w:val="007172AD"/>
    <w:rsid w:val="00720519"/>
    <w:rsid w:val="00720801"/>
    <w:rsid w:val="00720B98"/>
    <w:rsid w:val="00720E02"/>
    <w:rsid w:val="00721982"/>
    <w:rsid w:val="00721BF4"/>
    <w:rsid w:val="00721E04"/>
    <w:rsid w:val="00722329"/>
    <w:rsid w:val="00722B1B"/>
    <w:rsid w:val="00723A20"/>
    <w:rsid w:val="00723C84"/>
    <w:rsid w:val="00723CF0"/>
    <w:rsid w:val="0072416F"/>
    <w:rsid w:val="00724FA1"/>
    <w:rsid w:val="00725523"/>
    <w:rsid w:val="0072580A"/>
    <w:rsid w:val="00725A96"/>
    <w:rsid w:val="007265E2"/>
    <w:rsid w:val="00727A2B"/>
    <w:rsid w:val="00727C94"/>
    <w:rsid w:val="00730B8F"/>
    <w:rsid w:val="007311F4"/>
    <w:rsid w:val="00731B0A"/>
    <w:rsid w:val="00731EAE"/>
    <w:rsid w:val="00731FE9"/>
    <w:rsid w:val="00732036"/>
    <w:rsid w:val="00733073"/>
    <w:rsid w:val="007333C5"/>
    <w:rsid w:val="00734878"/>
    <w:rsid w:val="00735033"/>
    <w:rsid w:val="00735328"/>
    <w:rsid w:val="007357D8"/>
    <w:rsid w:val="00736261"/>
    <w:rsid w:val="007367A3"/>
    <w:rsid w:val="00736814"/>
    <w:rsid w:val="0073685B"/>
    <w:rsid w:val="00736EDA"/>
    <w:rsid w:val="00736F1C"/>
    <w:rsid w:val="0073789F"/>
    <w:rsid w:val="00740621"/>
    <w:rsid w:val="00740C59"/>
    <w:rsid w:val="00741669"/>
    <w:rsid w:val="00742109"/>
    <w:rsid w:val="00742B2B"/>
    <w:rsid w:val="00743368"/>
    <w:rsid w:val="0074436E"/>
    <w:rsid w:val="007449BF"/>
    <w:rsid w:val="007454A8"/>
    <w:rsid w:val="007461AF"/>
    <w:rsid w:val="007464D2"/>
    <w:rsid w:val="00746A16"/>
    <w:rsid w:val="00746BC0"/>
    <w:rsid w:val="00747630"/>
    <w:rsid w:val="00747741"/>
    <w:rsid w:val="00747A41"/>
    <w:rsid w:val="007510B4"/>
    <w:rsid w:val="00751541"/>
    <w:rsid w:val="007517AB"/>
    <w:rsid w:val="00751902"/>
    <w:rsid w:val="00752142"/>
    <w:rsid w:val="007523F9"/>
    <w:rsid w:val="0075246C"/>
    <w:rsid w:val="0075357E"/>
    <w:rsid w:val="007541C8"/>
    <w:rsid w:val="007549A1"/>
    <w:rsid w:val="00756146"/>
    <w:rsid w:val="007563F8"/>
    <w:rsid w:val="00756D6A"/>
    <w:rsid w:val="007573E8"/>
    <w:rsid w:val="007577AE"/>
    <w:rsid w:val="007578F6"/>
    <w:rsid w:val="00757D49"/>
    <w:rsid w:val="007603E1"/>
    <w:rsid w:val="00760C4E"/>
    <w:rsid w:val="00760F9E"/>
    <w:rsid w:val="0076193E"/>
    <w:rsid w:val="00761B4D"/>
    <w:rsid w:val="00761D8E"/>
    <w:rsid w:val="0076221F"/>
    <w:rsid w:val="007625D2"/>
    <w:rsid w:val="007627BE"/>
    <w:rsid w:val="007643D8"/>
    <w:rsid w:val="0076499B"/>
    <w:rsid w:val="00764F03"/>
    <w:rsid w:val="007658A4"/>
    <w:rsid w:val="00765B1A"/>
    <w:rsid w:val="00766EA6"/>
    <w:rsid w:val="007673A2"/>
    <w:rsid w:val="00767B08"/>
    <w:rsid w:val="00770C03"/>
    <w:rsid w:val="0077157C"/>
    <w:rsid w:val="00771F7E"/>
    <w:rsid w:val="007738AF"/>
    <w:rsid w:val="00773DB6"/>
    <w:rsid w:val="007767F1"/>
    <w:rsid w:val="0077697A"/>
    <w:rsid w:val="00777299"/>
    <w:rsid w:val="00777335"/>
    <w:rsid w:val="0077749C"/>
    <w:rsid w:val="0077768E"/>
    <w:rsid w:val="00777FAC"/>
    <w:rsid w:val="007824A9"/>
    <w:rsid w:val="00783366"/>
    <w:rsid w:val="007843F2"/>
    <w:rsid w:val="00785184"/>
    <w:rsid w:val="00785A9F"/>
    <w:rsid w:val="00786668"/>
    <w:rsid w:val="0078705F"/>
    <w:rsid w:val="00787922"/>
    <w:rsid w:val="00787B74"/>
    <w:rsid w:val="007901CA"/>
    <w:rsid w:val="00791074"/>
    <w:rsid w:val="00791F3C"/>
    <w:rsid w:val="007925DF"/>
    <w:rsid w:val="00792BB7"/>
    <w:rsid w:val="007935CB"/>
    <w:rsid w:val="00793952"/>
    <w:rsid w:val="00793996"/>
    <w:rsid w:val="007945DE"/>
    <w:rsid w:val="00795078"/>
    <w:rsid w:val="0079520E"/>
    <w:rsid w:val="007A032D"/>
    <w:rsid w:val="007A08AA"/>
    <w:rsid w:val="007A0A12"/>
    <w:rsid w:val="007A0EDB"/>
    <w:rsid w:val="007A132D"/>
    <w:rsid w:val="007A1345"/>
    <w:rsid w:val="007A1356"/>
    <w:rsid w:val="007A228C"/>
    <w:rsid w:val="007A2BC7"/>
    <w:rsid w:val="007A2C6E"/>
    <w:rsid w:val="007A2DDB"/>
    <w:rsid w:val="007A3F9C"/>
    <w:rsid w:val="007A4037"/>
    <w:rsid w:val="007A4811"/>
    <w:rsid w:val="007A5966"/>
    <w:rsid w:val="007A5AAF"/>
    <w:rsid w:val="007A5F2F"/>
    <w:rsid w:val="007A65F6"/>
    <w:rsid w:val="007A70BA"/>
    <w:rsid w:val="007A7244"/>
    <w:rsid w:val="007B0797"/>
    <w:rsid w:val="007B0D68"/>
    <w:rsid w:val="007B1012"/>
    <w:rsid w:val="007B251D"/>
    <w:rsid w:val="007B29B4"/>
    <w:rsid w:val="007B3192"/>
    <w:rsid w:val="007B4F58"/>
    <w:rsid w:val="007B4FF7"/>
    <w:rsid w:val="007B528D"/>
    <w:rsid w:val="007B6098"/>
    <w:rsid w:val="007B6379"/>
    <w:rsid w:val="007B63CA"/>
    <w:rsid w:val="007B6B88"/>
    <w:rsid w:val="007B6DA5"/>
    <w:rsid w:val="007B73BC"/>
    <w:rsid w:val="007B77D1"/>
    <w:rsid w:val="007C07C7"/>
    <w:rsid w:val="007C11F7"/>
    <w:rsid w:val="007C1CD9"/>
    <w:rsid w:val="007C32EF"/>
    <w:rsid w:val="007C361D"/>
    <w:rsid w:val="007C4868"/>
    <w:rsid w:val="007C4B84"/>
    <w:rsid w:val="007C69A6"/>
    <w:rsid w:val="007C70FF"/>
    <w:rsid w:val="007C7742"/>
    <w:rsid w:val="007C79F1"/>
    <w:rsid w:val="007C7C25"/>
    <w:rsid w:val="007D004F"/>
    <w:rsid w:val="007D0B38"/>
    <w:rsid w:val="007D126C"/>
    <w:rsid w:val="007D1362"/>
    <w:rsid w:val="007D2640"/>
    <w:rsid w:val="007D2871"/>
    <w:rsid w:val="007D35E0"/>
    <w:rsid w:val="007D36E4"/>
    <w:rsid w:val="007D3A0D"/>
    <w:rsid w:val="007D48F7"/>
    <w:rsid w:val="007D4C47"/>
    <w:rsid w:val="007D5108"/>
    <w:rsid w:val="007D53EF"/>
    <w:rsid w:val="007D5440"/>
    <w:rsid w:val="007D5C86"/>
    <w:rsid w:val="007D6766"/>
    <w:rsid w:val="007D69EB"/>
    <w:rsid w:val="007D72F1"/>
    <w:rsid w:val="007D778C"/>
    <w:rsid w:val="007E06DE"/>
    <w:rsid w:val="007E0BA7"/>
    <w:rsid w:val="007E0BBF"/>
    <w:rsid w:val="007E0F51"/>
    <w:rsid w:val="007E128F"/>
    <w:rsid w:val="007E2C32"/>
    <w:rsid w:val="007E3011"/>
    <w:rsid w:val="007E4B47"/>
    <w:rsid w:val="007E5C92"/>
    <w:rsid w:val="007E5F57"/>
    <w:rsid w:val="007E6336"/>
    <w:rsid w:val="007F1017"/>
    <w:rsid w:val="007F2117"/>
    <w:rsid w:val="007F3BC9"/>
    <w:rsid w:val="007F3C42"/>
    <w:rsid w:val="007F4A3F"/>
    <w:rsid w:val="007F4A61"/>
    <w:rsid w:val="007F5255"/>
    <w:rsid w:val="007F56CC"/>
    <w:rsid w:val="007F5C0F"/>
    <w:rsid w:val="007F5FC3"/>
    <w:rsid w:val="007F6133"/>
    <w:rsid w:val="007F61C2"/>
    <w:rsid w:val="007F74F9"/>
    <w:rsid w:val="0080102F"/>
    <w:rsid w:val="0080286C"/>
    <w:rsid w:val="008039B8"/>
    <w:rsid w:val="00805142"/>
    <w:rsid w:val="0080523F"/>
    <w:rsid w:val="00805A8A"/>
    <w:rsid w:val="00805CC7"/>
    <w:rsid w:val="00805FCE"/>
    <w:rsid w:val="00806094"/>
    <w:rsid w:val="00806750"/>
    <w:rsid w:val="00806F9D"/>
    <w:rsid w:val="00807A8B"/>
    <w:rsid w:val="0081091F"/>
    <w:rsid w:val="00810933"/>
    <w:rsid w:val="008109E3"/>
    <w:rsid w:val="00810BCD"/>
    <w:rsid w:val="00810FAB"/>
    <w:rsid w:val="00810FF8"/>
    <w:rsid w:val="00811307"/>
    <w:rsid w:val="00811383"/>
    <w:rsid w:val="00811A61"/>
    <w:rsid w:val="00811C14"/>
    <w:rsid w:val="00811C23"/>
    <w:rsid w:val="00812149"/>
    <w:rsid w:val="00812767"/>
    <w:rsid w:val="008127D1"/>
    <w:rsid w:val="00812CAC"/>
    <w:rsid w:val="00813B2B"/>
    <w:rsid w:val="00814878"/>
    <w:rsid w:val="00814BC0"/>
    <w:rsid w:val="0081524B"/>
    <w:rsid w:val="00815EDF"/>
    <w:rsid w:val="00815FD2"/>
    <w:rsid w:val="00816361"/>
    <w:rsid w:val="00816544"/>
    <w:rsid w:val="008166EF"/>
    <w:rsid w:val="00816FEF"/>
    <w:rsid w:val="00817E1F"/>
    <w:rsid w:val="00817EB3"/>
    <w:rsid w:val="00820067"/>
    <w:rsid w:val="00820231"/>
    <w:rsid w:val="00820A8C"/>
    <w:rsid w:val="00820CB0"/>
    <w:rsid w:val="0082120E"/>
    <w:rsid w:val="008215FB"/>
    <w:rsid w:val="0082177F"/>
    <w:rsid w:val="008218E1"/>
    <w:rsid w:val="008220DE"/>
    <w:rsid w:val="008220E1"/>
    <w:rsid w:val="008224A9"/>
    <w:rsid w:val="0082285A"/>
    <w:rsid w:val="00822DED"/>
    <w:rsid w:val="00823174"/>
    <w:rsid w:val="008236CB"/>
    <w:rsid w:val="00824B80"/>
    <w:rsid w:val="00825751"/>
    <w:rsid w:val="008264EB"/>
    <w:rsid w:val="00830332"/>
    <w:rsid w:val="008304D2"/>
    <w:rsid w:val="00830CC4"/>
    <w:rsid w:val="00830F34"/>
    <w:rsid w:val="00831048"/>
    <w:rsid w:val="00831252"/>
    <w:rsid w:val="008314F3"/>
    <w:rsid w:val="00831EBC"/>
    <w:rsid w:val="00832AEE"/>
    <w:rsid w:val="00832C37"/>
    <w:rsid w:val="00832C71"/>
    <w:rsid w:val="008333E0"/>
    <w:rsid w:val="00833B05"/>
    <w:rsid w:val="00834F04"/>
    <w:rsid w:val="00835036"/>
    <w:rsid w:val="00836081"/>
    <w:rsid w:val="008362B4"/>
    <w:rsid w:val="00836519"/>
    <w:rsid w:val="00837856"/>
    <w:rsid w:val="00840CA0"/>
    <w:rsid w:val="00840CA2"/>
    <w:rsid w:val="00840F83"/>
    <w:rsid w:val="0084172B"/>
    <w:rsid w:val="0084189A"/>
    <w:rsid w:val="00841C00"/>
    <w:rsid w:val="00841F31"/>
    <w:rsid w:val="0084374F"/>
    <w:rsid w:val="00843A85"/>
    <w:rsid w:val="00844277"/>
    <w:rsid w:val="008449FD"/>
    <w:rsid w:val="00844A22"/>
    <w:rsid w:val="00844BC2"/>
    <w:rsid w:val="00844BE7"/>
    <w:rsid w:val="00847703"/>
    <w:rsid w:val="00847DF5"/>
    <w:rsid w:val="00851B3E"/>
    <w:rsid w:val="00851B64"/>
    <w:rsid w:val="00851E90"/>
    <w:rsid w:val="0085207F"/>
    <w:rsid w:val="008525DA"/>
    <w:rsid w:val="0085309D"/>
    <w:rsid w:val="008532AA"/>
    <w:rsid w:val="00853AE7"/>
    <w:rsid w:val="00853DC5"/>
    <w:rsid w:val="00854E31"/>
    <w:rsid w:val="00855435"/>
    <w:rsid w:val="00855507"/>
    <w:rsid w:val="00855A9F"/>
    <w:rsid w:val="00855C53"/>
    <w:rsid w:val="008561BB"/>
    <w:rsid w:val="008566EB"/>
    <w:rsid w:val="00856897"/>
    <w:rsid w:val="00856CBE"/>
    <w:rsid w:val="00856E9A"/>
    <w:rsid w:val="00857139"/>
    <w:rsid w:val="00857275"/>
    <w:rsid w:val="0085741A"/>
    <w:rsid w:val="008600B3"/>
    <w:rsid w:val="0086075D"/>
    <w:rsid w:val="0086118C"/>
    <w:rsid w:val="008621F4"/>
    <w:rsid w:val="00862502"/>
    <w:rsid w:val="00862CC1"/>
    <w:rsid w:val="00862FEB"/>
    <w:rsid w:val="00863698"/>
    <w:rsid w:val="008649BA"/>
    <w:rsid w:val="00865181"/>
    <w:rsid w:val="0086590B"/>
    <w:rsid w:val="008660D4"/>
    <w:rsid w:val="00867246"/>
    <w:rsid w:val="00867257"/>
    <w:rsid w:val="00867AD5"/>
    <w:rsid w:val="00870378"/>
    <w:rsid w:val="00871485"/>
    <w:rsid w:val="00871FA9"/>
    <w:rsid w:val="0087201A"/>
    <w:rsid w:val="008728E9"/>
    <w:rsid w:val="00872EED"/>
    <w:rsid w:val="008743FD"/>
    <w:rsid w:val="00874DD3"/>
    <w:rsid w:val="0087578C"/>
    <w:rsid w:val="00876D8F"/>
    <w:rsid w:val="00877239"/>
    <w:rsid w:val="00877931"/>
    <w:rsid w:val="008814CA"/>
    <w:rsid w:val="00882743"/>
    <w:rsid w:val="00882874"/>
    <w:rsid w:val="00882E3C"/>
    <w:rsid w:val="00883787"/>
    <w:rsid w:val="008851E7"/>
    <w:rsid w:val="008855E4"/>
    <w:rsid w:val="00886CD2"/>
    <w:rsid w:val="008872FC"/>
    <w:rsid w:val="008874B1"/>
    <w:rsid w:val="008874FB"/>
    <w:rsid w:val="008877D2"/>
    <w:rsid w:val="008908A8"/>
    <w:rsid w:val="008908C5"/>
    <w:rsid w:val="00891634"/>
    <w:rsid w:val="00891B47"/>
    <w:rsid w:val="00891D0D"/>
    <w:rsid w:val="00891E6F"/>
    <w:rsid w:val="00891F92"/>
    <w:rsid w:val="00892502"/>
    <w:rsid w:val="0089275D"/>
    <w:rsid w:val="00892A36"/>
    <w:rsid w:val="008930FE"/>
    <w:rsid w:val="00893109"/>
    <w:rsid w:val="00893185"/>
    <w:rsid w:val="00893239"/>
    <w:rsid w:val="00893578"/>
    <w:rsid w:val="00893AD9"/>
    <w:rsid w:val="00894489"/>
    <w:rsid w:val="008947C5"/>
    <w:rsid w:val="0089630F"/>
    <w:rsid w:val="008963A5"/>
    <w:rsid w:val="00896587"/>
    <w:rsid w:val="00896D5D"/>
    <w:rsid w:val="0089729A"/>
    <w:rsid w:val="008972FF"/>
    <w:rsid w:val="008975B6"/>
    <w:rsid w:val="00897F3B"/>
    <w:rsid w:val="00897F6C"/>
    <w:rsid w:val="008A0B71"/>
    <w:rsid w:val="008A0B90"/>
    <w:rsid w:val="008A0C86"/>
    <w:rsid w:val="008A14FF"/>
    <w:rsid w:val="008A1650"/>
    <w:rsid w:val="008A2C4E"/>
    <w:rsid w:val="008A330B"/>
    <w:rsid w:val="008A3363"/>
    <w:rsid w:val="008A3371"/>
    <w:rsid w:val="008A34F9"/>
    <w:rsid w:val="008A3C3E"/>
    <w:rsid w:val="008A5486"/>
    <w:rsid w:val="008A662C"/>
    <w:rsid w:val="008A66C1"/>
    <w:rsid w:val="008A6BAC"/>
    <w:rsid w:val="008A79DE"/>
    <w:rsid w:val="008A7EEF"/>
    <w:rsid w:val="008B0FF4"/>
    <w:rsid w:val="008B127F"/>
    <w:rsid w:val="008B1757"/>
    <w:rsid w:val="008B2013"/>
    <w:rsid w:val="008B32B3"/>
    <w:rsid w:val="008B3983"/>
    <w:rsid w:val="008B4128"/>
    <w:rsid w:val="008B574A"/>
    <w:rsid w:val="008B75DA"/>
    <w:rsid w:val="008B7992"/>
    <w:rsid w:val="008B7D7E"/>
    <w:rsid w:val="008C05B7"/>
    <w:rsid w:val="008C1860"/>
    <w:rsid w:val="008C25B3"/>
    <w:rsid w:val="008C39F5"/>
    <w:rsid w:val="008C40BF"/>
    <w:rsid w:val="008C44AA"/>
    <w:rsid w:val="008C4E7F"/>
    <w:rsid w:val="008C5610"/>
    <w:rsid w:val="008C564B"/>
    <w:rsid w:val="008C5739"/>
    <w:rsid w:val="008C651F"/>
    <w:rsid w:val="008C6B24"/>
    <w:rsid w:val="008C702D"/>
    <w:rsid w:val="008C7ECB"/>
    <w:rsid w:val="008D000F"/>
    <w:rsid w:val="008D02FC"/>
    <w:rsid w:val="008D04C7"/>
    <w:rsid w:val="008D06EA"/>
    <w:rsid w:val="008D1319"/>
    <w:rsid w:val="008D13C6"/>
    <w:rsid w:val="008D18C7"/>
    <w:rsid w:val="008D1AB4"/>
    <w:rsid w:val="008D3264"/>
    <w:rsid w:val="008D375E"/>
    <w:rsid w:val="008D3B86"/>
    <w:rsid w:val="008D4755"/>
    <w:rsid w:val="008D4A2F"/>
    <w:rsid w:val="008D4C3D"/>
    <w:rsid w:val="008D6CDA"/>
    <w:rsid w:val="008D743C"/>
    <w:rsid w:val="008D74E2"/>
    <w:rsid w:val="008E0D3C"/>
    <w:rsid w:val="008E1B9E"/>
    <w:rsid w:val="008E370A"/>
    <w:rsid w:val="008E4F7E"/>
    <w:rsid w:val="008E55AB"/>
    <w:rsid w:val="008E5F80"/>
    <w:rsid w:val="008E72DC"/>
    <w:rsid w:val="008E74B4"/>
    <w:rsid w:val="008E75EC"/>
    <w:rsid w:val="008E7D83"/>
    <w:rsid w:val="008E7E80"/>
    <w:rsid w:val="008F0C2F"/>
    <w:rsid w:val="008F120A"/>
    <w:rsid w:val="008F13AE"/>
    <w:rsid w:val="008F1714"/>
    <w:rsid w:val="008F1B78"/>
    <w:rsid w:val="008F26FD"/>
    <w:rsid w:val="008F27E0"/>
    <w:rsid w:val="008F3CF2"/>
    <w:rsid w:val="008F4113"/>
    <w:rsid w:val="008F48EB"/>
    <w:rsid w:val="008F4F0B"/>
    <w:rsid w:val="008F516A"/>
    <w:rsid w:val="008F5E51"/>
    <w:rsid w:val="008F6617"/>
    <w:rsid w:val="008F739F"/>
    <w:rsid w:val="008F7CBE"/>
    <w:rsid w:val="00900837"/>
    <w:rsid w:val="00901D09"/>
    <w:rsid w:val="0090358A"/>
    <w:rsid w:val="0090382C"/>
    <w:rsid w:val="00903EC2"/>
    <w:rsid w:val="00903FAF"/>
    <w:rsid w:val="0090445E"/>
    <w:rsid w:val="009046C4"/>
    <w:rsid w:val="00904992"/>
    <w:rsid w:val="009056D1"/>
    <w:rsid w:val="00905EB3"/>
    <w:rsid w:val="009062A5"/>
    <w:rsid w:val="00906FF9"/>
    <w:rsid w:val="0090770A"/>
    <w:rsid w:val="00907C67"/>
    <w:rsid w:val="00910105"/>
    <w:rsid w:val="009103C9"/>
    <w:rsid w:val="009103D4"/>
    <w:rsid w:val="00910981"/>
    <w:rsid w:val="00910F69"/>
    <w:rsid w:val="00910FA7"/>
    <w:rsid w:val="009111E2"/>
    <w:rsid w:val="00911272"/>
    <w:rsid w:val="00911E27"/>
    <w:rsid w:val="009128DF"/>
    <w:rsid w:val="00912941"/>
    <w:rsid w:val="0091335B"/>
    <w:rsid w:val="009135D6"/>
    <w:rsid w:val="00913F01"/>
    <w:rsid w:val="00914C77"/>
    <w:rsid w:val="00914CAE"/>
    <w:rsid w:val="00914CF9"/>
    <w:rsid w:val="00915608"/>
    <w:rsid w:val="009156CF"/>
    <w:rsid w:val="00915768"/>
    <w:rsid w:val="00916547"/>
    <w:rsid w:val="00916E89"/>
    <w:rsid w:val="009206CA"/>
    <w:rsid w:val="00921ACB"/>
    <w:rsid w:val="00922A11"/>
    <w:rsid w:val="0092369B"/>
    <w:rsid w:val="00924E44"/>
    <w:rsid w:val="00925323"/>
    <w:rsid w:val="00926030"/>
    <w:rsid w:val="00926066"/>
    <w:rsid w:val="009268BC"/>
    <w:rsid w:val="00926A7C"/>
    <w:rsid w:val="0092787D"/>
    <w:rsid w:val="00927AF6"/>
    <w:rsid w:val="00931B1C"/>
    <w:rsid w:val="0093212E"/>
    <w:rsid w:val="00933425"/>
    <w:rsid w:val="00933690"/>
    <w:rsid w:val="00933861"/>
    <w:rsid w:val="00933EAF"/>
    <w:rsid w:val="0093424E"/>
    <w:rsid w:val="00934481"/>
    <w:rsid w:val="00934988"/>
    <w:rsid w:val="009350E4"/>
    <w:rsid w:val="009354A9"/>
    <w:rsid w:val="009363E5"/>
    <w:rsid w:val="00937089"/>
    <w:rsid w:val="00937178"/>
    <w:rsid w:val="009379A5"/>
    <w:rsid w:val="00937AD5"/>
    <w:rsid w:val="009401B1"/>
    <w:rsid w:val="00940F80"/>
    <w:rsid w:val="00941776"/>
    <w:rsid w:val="009424BD"/>
    <w:rsid w:val="00943150"/>
    <w:rsid w:val="00944710"/>
    <w:rsid w:val="00944F8A"/>
    <w:rsid w:val="00945CF7"/>
    <w:rsid w:val="0094629F"/>
    <w:rsid w:val="00946730"/>
    <w:rsid w:val="009478D0"/>
    <w:rsid w:val="00950E1A"/>
    <w:rsid w:val="009510A2"/>
    <w:rsid w:val="0095119C"/>
    <w:rsid w:val="009511FF"/>
    <w:rsid w:val="0095174B"/>
    <w:rsid w:val="00953257"/>
    <w:rsid w:val="0095328A"/>
    <w:rsid w:val="0095342A"/>
    <w:rsid w:val="0095379B"/>
    <w:rsid w:val="0095474C"/>
    <w:rsid w:val="0095602A"/>
    <w:rsid w:val="00957104"/>
    <w:rsid w:val="00957A4F"/>
    <w:rsid w:val="00957AE9"/>
    <w:rsid w:val="00957FFD"/>
    <w:rsid w:val="00960E2D"/>
    <w:rsid w:val="0096105D"/>
    <w:rsid w:val="00961BDB"/>
    <w:rsid w:val="00961FB3"/>
    <w:rsid w:val="00962CB9"/>
    <w:rsid w:val="0096312D"/>
    <w:rsid w:val="00963BF9"/>
    <w:rsid w:val="00963C46"/>
    <w:rsid w:val="00964312"/>
    <w:rsid w:val="00964D5C"/>
    <w:rsid w:val="00965866"/>
    <w:rsid w:val="00965B8A"/>
    <w:rsid w:val="009662C5"/>
    <w:rsid w:val="009664B7"/>
    <w:rsid w:val="00967719"/>
    <w:rsid w:val="009678EF"/>
    <w:rsid w:val="00967965"/>
    <w:rsid w:val="009704D3"/>
    <w:rsid w:val="0097071F"/>
    <w:rsid w:val="00970868"/>
    <w:rsid w:val="00971233"/>
    <w:rsid w:val="00971679"/>
    <w:rsid w:val="009717AC"/>
    <w:rsid w:val="00971D81"/>
    <w:rsid w:val="00972029"/>
    <w:rsid w:val="00973546"/>
    <w:rsid w:val="00973AA7"/>
    <w:rsid w:val="00973DF8"/>
    <w:rsid w:val="00974885"/>
    <w:rsid w:val="00974D22"/>
    <w:rsid w:val="00974D7B"/>
    <w:rsid w:val="009751C1"/>
    <w:rsid w:val="00975528"/>
    <w:rsid w:val="00975753"/>
    <w:rsid w:val="00975CB1"/>
    <w:rsid w:val="00976186"/>
    <w:rsid w:val="009771A6"/>
    <w:rsid w:val="00977BC7"/>
    <w:rsid w:val="009811F1"/>
    <w:rsid w:val="00982F3B"/>
    <w:rsid w:val="00983662"/>
    <w:rsid w:val="00983E57"/>
    <w:rsid w:val="00983F0B"/>
    <w:rsid w:val="00983F83"/>
    <w:rsid w:val="00984CC9"/>
    <w:rsid w:val="00985DE2"/>
    <w:rsid w:val="009864F5"/>
    <w:rsid w:val="009865E4"/>
    <w:rsid w:val="0098675D"/>
    <w:rsid w:val="009877E0"/>
    <w:rsid w:val="00990309"/>
    <w:rsid w:val="00990519"/>
    <w:rsid w:val="00990875"/>
    <w:rsid w:val="009926E0"/>
    <w:rsid w:val="00993987"/>
    <w:rsid w:val="009940CD"/>
    <w:rsid w:val="009944D7"/>
    <w:rsid w:val="0099451E"/>
    <w:rsid w:val="00994873"/>
    <w:rsid w:val="00995D3C"/>
    <w:rsid w:val="0099692B"/>
    <w:rsid w:val="00996B1A"/>
    <w:rsid w:val="00997047"/>
    <w:rsid w:val="00997215"/>
    <w:rsid w:val="0099734F"/>
    <w:rsid w:val="00997D90"/>
    <w:rsid w:val="00997FEF"/>
    <w:rsid w:val="009A0140"/>
    <w:rsid w:val="009A1036"/>
    <w:rsid w:val="009A19F4"/>
    <w:rsid w:val="009A2CD7"/>
    <w:rsid w:val="009A2DCC"/>
    <w:rsid w:val="009A4027"/>
    <w:rsid w:val="009A40D1"/>
    <w:rsid w:val="009A4886"/>
    <w:rsid w:val="009A48D7"/>
    <w:rsid w:val="009A4C5A"/>
    <w:rsid w:val="009A4C8B"/>
    <w:rsid w:val="009A54DA"/>
    <w:rsid w:val="009A5ABC"/>
    <w:rsid w:val="009A6CD3"/>
    <w:rsid w:val="009A6D95"/>
    <w:rsid w:val="009A6EBD"/>
    <w:rsid w:val="009A7DA5"/>
    <w:rsid w:val="009A7F10"/>
    <w:rsid w:val="009B0AAC"/>
    <w:rsid w:val="009B1275"/>
    <w:rsid w:val="009B132D"/>
    <w:rsid w:val="009B2615"/>
    <w:rsid w:val="009B3E26"/>
    <w:rsid w:val="009B4309"/>
    <w:rsid w:val="009B4646"/>
    <w:rsid w:val="009B60E5"/>
    <w:rsid w:val="009B6607"/>
    <w:rsid w:val="009B78EB"/>
    <w:rsid w:val="009B7A78"/>
    <w:rsid w:val="009B7B4E"/>
    <w:rsid w:val="009C003F"/>
    <w:rsid w:val="009C00DB"/>
    <w:rsid w:val="009C018F"/>
    <w:rsid w:val="009C0D37"/>
    <w:rsid w:val="009C1478"/>
    <w:rsid w:val="009C2232"/>
    <w:rsid w:val="009C2266"/>
    <w:rsid w:val="009C319E"/>
    <w:rsid w:val="009C3480"/>
    <w:rsid w:val="009C3706"/>
    <w:rsid w:val="009C37FD"/>
    <w:rsid w:val="009C3A3A"/>
    <w:rsid w:val="009C4073"/>
    <w:rsid w:val="009C4DD1"/>
    <w:rsid w:val="009C5602"/>
    <w:rsid w:val="009C5C89"/>
    <w:rsid w:val="009C604F"/>
    <w:rsid w:val="009C6CEA"/>
    <w:rsid w:val="009C7B85"/>
    <w:rsid w:val="009C7D24"/>
    <w:rsid w:val="009D0254"/>
    <w:rsid w:val="009D04BC"/>
    <w:rsid w:val="009D148D"/>
    <w:rsid w:val="009D17C4"/>
    <w:rsid w:val="009D19F1"/>
    <w:rsid w:val="009D1A64"/>
    <w:rsid w:val="009D2141"/>
    <w:rsid w:val="009D21D6"/>
    <w:rsid w:val="009D2E12"/>
    <w:rsid w:val="009D335B"/>
    <w:rsid w:val="009D4532"/>
    <w:rsid w:val="009D4D7E"/>
    <w:rsid w:val="009D5446"/>
    <w:rsid w:val="009D5603"/>
    <w:rsid w:val="009D5B91"/>
    <w:rsid w:val="009D5D03"/>
    <w:rsid w:val="009D6033"/>
    <w:rsid w:val="009D66F3"/>
    <w:rsid w:val="009D6A56"/>
    <w:rsid w:val="009D792E"/>
    <w:rsid w:val="009E0DFE"/>
    <w:rsid w:val="009E1409"/>
    <w:rsid w:val="009E2523"/>
    <w:rsid w:val="009E31F6"/>
    <w:rsid w:val="009E3268"/>
    <w:rsid w:val="009E435C"/>
    <w:rsid w:val="009E438F"/>
    <w:rsid w:val="009E4C07"/>
    <w:rsid w:val="009E4C1C"/>
    <w:rsid w:val="009E4E0A"/>
    <w:rsid w:val="009E5741"/>
    <w:rsid w:val="009E5755"/>
    <w:rsid w:val="009E5A2E"/>
    <w:rsid w:val="009E5A92"/>
    <w:rsid w:val="009E5C11"/>
    <w:rsid w:val="009E6C0C"/>
    <w:rsid w:val="009E7509"/>
    <w:rsid w:val="009F08BD"/>
    <w:rsid w:val="009F0C77"/>
    <w:rsid w:val="009F0E6F"/>
    <w:rsid w:val="009F1762"/>
    <w:rsid w:val="009F1B90"/>
    <w:rsid w:val="009F1D24"/>
    <w:rsid w:val="009F2480"/>
    <w:rsid w:val="009F2520"/>
    <w:rsid w:val="009F2DE3"/>
    <w:rsid w:val="009F4208"/>
    <w:rsid w:val="009F50D8"/>
    <w:rsid w:val="009F59E6"/>
    <w:rsid w:val="009F5DD0"/>
    <w:rsid w:val="009F6886"/>
    <w:rsid w:val="009F6FAB"/>
    <w:rsid w:val="00A00003"/>
    <w:rsid w:val="00A00616"/>
    <w:rsid w:val="00A01184"/>
    <w:rsid w:val="00A02670"/>
    <w:rsid w:val="00A031E1"/>
    <w:rsid w:val="00A037C2"/>
    <w:rsid w:val="00A03873"/>
    <w:rsid w:val="00A03D43"/>
    <w:rsid w:val="00A04380"/>
    <w:rsid w:val="00A04913"/>
    <w:rsid w:val="00A04F67"/>
    <w:rsid w:val="00A04FC6"/>
    <w:rsid w:val="00A05472"/>
    <w:rsid w:val="00A05C32"/>
    <w:rsid w:val="00A0653F"/>
    <w:rsid w:val="00A06829"/>
    <w:rsid w:val="00A06A7A"/>
    <w:rsid w:val="00A10AAF"/>
    <w:rsid w:val="00A11672"/>
    <w:rsid w:val="00A11CD0"/>
    <w:rsid w:val="00A12BE1"/>
    <w:rsid w:val="00A13948"/>
    <w:rsid w:val="00A13F60"/>
    <w:rsid w:val="00A14615"/>
    <w:rsid w:val="00A14B27"/>
    <w:rsid w:val="00A14E10"/>
    <w:rsid w:val="00A1555B"/>
    <w:rsid w:val="00A15598"/>
    <w:rsid w:val="00A155C5"/>
    <w:rsid w:val="00A16016"/>
    <w:rsid w:val="00A16AD8"/>
    <w:rsid w:val="00A17CD6"/>
    <w:rsid w:val="00A208E1"/>
    <w:rsid w:val="00A21618"/>
    <w:rsid w:val="00A21C95"/>
    <w:rsid w:val="00A21CF3"/>
    <w:rsid w:val="00A22ED6"/>
    <w:rsid w:val="00A23EAE"/>
    <w:rsid w:val="00A24813"/>
    <w:rsid w:val="00A24ACB"/>
    <w:rsid w:val="00A268DB"/>
    <w:rsid w:val="00A272A5"/>
    <w:rsid w:val="00A274F5"/>
    <w:rsid w:val="00A27AEC"/>
    <w:rsid w:val="00A3093B"/>
    <w:rsid w:val="00A3195C"/>
    <w:rsid w:val="00A31D91"/>
    <w:rsid w:val="00A320DB"/>
    <w:rsid w:val="00A320EF"/>
    <w:rsid w:val="00A32A67"/>
    <w:rsid w:val="00A33A41"/>
    <w:rsid w:val="00A33E0D"/>
    <w:rsid w:val="00A357CD"/>
    <w:rsid w:val="00A35D16"/>
    <w:rsid w:val="00A3647B"/>
    <w:rsid w:val="00A36CDE"/>
    <w:rsid w:val="00A37A1B"/>
    <w:rsid w:val="00A37BCD"/>
    <w:rsid w:val="00A412BF"/>
    <w:rsid w:val="00A41689"/>
    <w:rsid w:val="00A41EB2"/>
    <w:rsid w:val="00A4204B"/>
    <w:rsid w:val="00A4239A"/>
    <w:rsid w:val="00A42592"/>
    <w:rsid w:val="00A429BC"/>
    <w:rsid w:val="00A42DA4"/>
    <w:rsid w:val="00A43167"/>
    <w:rsid w:val="00A43902"/>
    <w:rsid w:val="00A43C59"/>
    <w:rsid w:val="00A44904"/>
    <w:rsid w:val="00A46261"/>
    <w:rsid w:val="00A4693A"/>
    <w:rsid w:val="00A47BFB"/>
    <w:rsid w:val="00A504E3"/>
    <w:rsid w:val="00A509E4"/>
    <w:rsid w:val="00A50D54"/>
    <w:rsid w:val="00A50ECD"/>
    <w:rsid w:val="00A5101B"/>
    <w:rsid w:val="00A518F3"/>
    <w:rsid w:val="00A52729"/>
    <w:rsid w:val="00A53675"/>
    <w:rsid w:val="00A53DBA"/>
    <w:rsid w:val="00A5402E"/>
    <w:rsid w:val="00A54765"/>
    <w:rsid w:val="00A54BB8"/>
    <w:rsid w:val="00A54D69"/>
    <w:rsid w:val="00A553BC"/>
    <w:rsid w:val="00A562BE"/>
    <w:rsid w:val="00A5641F"/>
    <w:rsid w:val="00A564D7"/>
    <w:rsid w:val="00A569CE"/>
    <w:rsid w:val="00A56B6A"/>
    <w:rsid w:val="00A56C5E"/>
    <w:rsid w:val="00A578CE"/>
    <w:rsid w:val="00A578DC"/>
    <w:rsid w:val="00A617FE"/>
    <w:rsid w:val="00A627C9"/>
    <w:rsid w:val="00A640E2"/>
    <w:rsid w:val="00A6424C"/>
    <w:rsid w:val="00A64D65"/>
    <w:rsid w:val="00A65275"/>
    <w:rsid w:val="00A65789"/>
    <w:rsid w:val="00A6643B"/>
    <w:rsid w:val="00A6725B"/>
    <w:rsid w:val="00A67AAF"/>
    <w:rsid w:val="00A70431"/>
    <w:rsid w:val="00A70605"/>
    <w:rsid w:val="00A71BA1"/>
    <w:rsid w:val="00A7255B"/>
    <w:rsid w:val="00A73134"/>
    <w:rsid w:val="00A74EF3"/>
    <w:rsid w:val="00A756A5"/>
    <w:rsid w:val="00A76001"/>
    <w:rsid w:val="00A76972"/>
    <w:rsid w:val="00A777B2"/>
    <w:rsid w:val="00A778DE"/>
    <w:rsid w:val="00A80D3E"/>
    <w:rsid w:val="00A81D4F"/>
    <w:rsid w:val="00A82521"/>
    <w:rsid w:val="00A825D4"/>
    <w:rsid w:val="00A82672"/>
    <w:rsid w:val="00A828F6"/>
    <w:rsid w:val="00A82B73"/>
    <w:rsid w:val="00A82FD2"/>
    <w:rsid w:val="00A84291"/>
    <w:rsid w:val="00A85A28"/>
    <w:rsid w:val="00A85B7B"/>
    <w:rsid w:val="00A8637E"/>
    <w:rsid w:val="00A86E8B"/>
    <w:rsid w:val="00A87164"/>
    <w:rsid w:val="00A900EE"/>
    <w:rsid w:val="00A90B95"/>
    <w:rsid w:val="00A9171C"/>
    <w:rsid w:val="00A9232B"/>
    <w:rsid w:val="00A92646"/>
    <w:rsid w:val="00A9268F"/>
    <w:rsid w:val="00A93072"/>
    <w:rsid w:val="00A93219"/>
    <w:rsid w:val="00A938BD"/>
    <w:rsid w:val="00A93953"/>
    <w:rsid w:val="00A951D8"/>
    <w:rsid w:val="00A959D8"/>
    <w:rsid w:val="00A9616E"/>
    <w:rsid w:val="00A96193"/>
    <w:rsid w:val="00A9696D"/>
    <w:rsid w:val="00AA113D"/>
    <w:rsid w:val="00AA1382"/>
    <w:rsid w:val="00AA19A6"/>
    <w:rsid w:val="00AA1C5F"/>
    <w:rsid w:val="00AA2324"/>
    <w:rsid w:val="00AA37FF"/>
    <w:rsid w:val="00AA3932"/>
    <w:rsid w:val="00AA41F9"/>
    <w:rsid w:val="00AA4A4D"/>
    <w:rsid w:val="00AA4B43"/>
    <w:rsid w:val="00AA522A"/>
    <w:rsid w:val="00AA6150"/>
    <w:rsid w:val="00AA6769"/>
    <w:rsid w:val="00AA6BD5"/>
    <w:rsid w:val="00AA6BD8"/>
    <w:rsid w:val="00AA6C7D"/>
    <w:rsid w:val="00AA7FD6"/>
    <w:rsid w:val="00AB00FD"/>
    <w:rsid w:val="00AB0224"/>
    <w:rsid w:val="00AB042A"/>
    <w:rsid w:val="00AB05E2"/>
    <w:rsid w:val="00AB0945"/>
    <w:rsid w:val="00AB116C"/>
    <w:rsid w:val="00AB1792"/>
    <w:rsid w:val="00AB1795"/>
    <w:rsid w:val="00AB1893"/>
    <w:rsid w:val="00AB19EF"/>
    <w:rsid w:val="00AB2160"/>
    <w:rsid w:val="00AB2D34"/>
    <w:rsid w:val="00AB3430"/>
    <w:rsid w:val="00AB37B9"/>
    <w:rsid w:val="00AB3CB3"/>
    <w:rsid w:val="00AB436E"/>
    <w:rsid w:val="00AB465F"/>
    <w:rsid w:val="00AB4AD1"/>
    <w:rsid w:val="00AB5025"/>
    <w:rsid w:val="00AB5161"/>
    <w:rsid w:val="00AB598E"/>
    <w:rsid w:val="00AB5E07"/>
    <w:rsid w:val="00AB5EBE"/>
    <w:rsid w:val="00AB5FB0"/>
    <w:rsid w:val="00AB6C2F"/>
    <w:rsid w:val="00AB6EC1"/>
    <w:rsid w:val="00AB7933"/>
    <w:rsid w:val="00AB7CFA"/>
    <w:rsid w:val="00AC110B"/>
    <w:rsid w:val="00AC1A43"/>
    <w:rsid w:val="00AC1B8F"/>
    <w:rsid w:val="00AC1DB3"/>
    <w:rsid w:val="00AC2C34"/>
    <w:rsid w:val="00AC3709"/>
    <w:rsid w:val="00AC38FD"/>
    <w:rsid w:val="00AC3D9A"/>
    <w:rsid w:val="00AC4502"/>
    <w:rsid w:val="00AC4B7C"/>
    <w:rsid w:val="00AC4BF2"/>
    <w:rsid w:val="00AC5858"/>
    <w:rsid w:val="00AC5AFF"/>
    <w:rsid w:val="00AC5B48"/>
    <w:rsid w:val="00AC6661"/>
    <w:rsid w:val="00AC6950"/>
    <w:rsid w:val="00AC72A5"/>
    <w:rsid w:val="00AC762E"/>
    <w:rsid w:val="00AD13A3"/>
    <w:rsid w:val="00AD1450"/>
    <w:rsid w:val="00AD2828"/>
    <w:rsid w:val="00AD2916"/>
    <w:rsid w:val="00AD2A11"/>
    <w:rsid w:val="00AD5E05"/>
    <w:rsid w:val="00AD61CB"/>
    <w:rsid w:val="00AD62EA"/>
    <w:rsid w:val="00AD6502"/>
    <w:rsid w:val="00AD6EF3"/>
    <w:rsid w:val="00AD7515"/>
    <w:rsid w:val="00AD7B4C"/>
    <w:rsid w:val="00AE002F"/>
    <w:rsid w:val="00AE0695"/>
    <w:rsid w:val="00AE08BD"/>
    <w:rsid w:val="00AE2347"/>
    <w:rsid w:val="00AE25D7"/>
    <w:rsid w:val="00AE3952"/>
    <w:rsid w:val="00AE3E7E"/>
    <w:rsid w:val="00AE4ACA"/>
    <w:rsid w:val="00AE51E9"/>
    <w:rsid w:val="00AE5523"/>
    <w:rsid w:val="00AE71D7"/>
    <w:rsid w:val="00AE7FB0"/>
    <w:rsid w:val="00AF0060"/>
    <w:rsid w:val="00AF1315"/>
    <w:rsid w:val="00AF15B9"/>
    <w:rsid w:val="00AF19BF"/>
    <w:rsid w:val="00AF2DC3"/>
    <w:rsid w:val="00AF437F"/>
    <w:rsid w:val="00AF442A"/>
    <w:rsid w:val="00AF45B5"/>
    <w:rsid w:val="00AF54A1"/>
    <w:rsid w:val="00AF5754"/>
    <w:rsid w:val="00AF57D2"/>
    <w:rsid w:val="00AF6B3D"/>
    <w:rsid w:val="00AF7B68"/>
    <w:rsid w:val="00AF7C4E"/>
    <w:rsid w:val="00B006D0"/>
    <w:rsid w:val="00B01340"/>
    <w:rsid w:val="00B014FB"/>
    <w:rsid w:val="00B01703"/>
    <w:rsid w:val="00B0194D"/>
    <w:rsid w:val="00B0255B"/>
    <w:rsid w:val="00B02E17"/>
    <w:rsid w:val="00B03164"/>
    <w:rsid w:val="00B03297"/>
    <w:rsid w:val="00B033E5"/>
    <w:rsid w:val="00B036ED"/>
    <w:rsid w:val="00B03A63"/>
    <w:rsid w:val="00B045F1"/>
    <w:rsid w:val="00B046E8"/>
    <w:rsid w:val="00B053A2"/>
    <w:rsid w:val="00B05F29"/>
    <w:rsid w:val="00B06AAE"/>
    <w:rsid w:val="00B07C4A"/>
    <w:rsid w:val="00B11482"/>
    <w:rsid w:val="00B11663"/>
    <w:rsid w:val="00B12AEB"/>
    <w:rsid w:val="00B12CD9"/>
    <w:rsid w:val="00B12F66"/>
    <w:rsid w:val="00B13E2B"/>
    <w:rsid w:val="00B147CF"/>
    <w:rsid w:val="00B1484E"/>
    <w:rsid w:val="00B149A0"/>
    <w:rsid w:val="00B15BA6"/>
    <w:rsid w:val="00B165C2"/>
    <w:rsid w:val="00B168FB"/>
    <w:rsid w:val="00B17124"/>
    <w:rsid w:val="00B17607"/>
    <w:rsid w:val="00B201A4"/>
    <w:rsid w:val="00B201D1"/>
    <w:rsid w:val="00B204F3"/>
    <w:rsid w:val="00B20FA8"/>
    <w:rsid w:val="00B213A6"/>
    <w:rsid w:val="00B21A6C"/>
    <w:rsid w:val="00B233CB"/>
    <w:rsid w:val="00B235B0"/>
    <w:rsid w:val="00B2408C"/>
    <w:rsid w:val="00B24DF6"/>
    <w:rsid w:val="00B259EB"/>
    <w:rsid w:val="00B25C95"/>
    <w:rsid w:val="00B25D2B"/>
    <w:rsid w:val="00B25F6D"/>
    <w:rsid w:val="00B2612F"/>
    <w:rsid w:val="00B27ACF"/>
    <w:rsid w:val="00B27C75"/>
    <w:rsid w:val="00B303DD"/>
    <w:rsid w:val="00B3120F"/>
    <w:rsid w:val="00B31FD9"/>
    <w:rsid w:val="00B330BD"/>
    <w:rsid w:val="00B3326C"/>
    <w:rsid w:val="00B33C8B"/>
    <w:rsid w:val="00B34FE2"/>
    <w:rsid w:val="00B35166"/>
    <w:rsid w:val="00B357D8"/>
    <w:rsid w:val="00B35C86"/>
    <w:rsid w:val="00B360F4"/>
    <w:rsid w:val="00B36A00"/>
    <w:rsid w:val="00B36A84"/>
    <w:rsid w:val="00B36C7A"/>
    <w:rsid w:val="00B37B97"/>
    <w:rsid w:val="00B37BFC"/>
    <w:rsid w:val="00B37C67"/>
    <w:rsid w:val="00B37F11"/>
    <w:rsid w:val="00B40337"/>
    <w:rsid w:val="00B40358"/>
    <w:rsid w:val="00B41614"/>
    <w:rsid w:val="00B417C4"/>
    <w:rsid w:val="00B420AA"/>
    <w:rsid w:val="00B42851"/>
    <w:rsid w:val="00B42DA8"/>
    <w:rsid w:val="00B42F80"/>
    <w:rsid w:val="00B4318D"/>
    <w:rsid w:val="00B435CB"/>
    <w:rsid w:val="00B4394A"/>
    <w:rsid w:val="00B44164"/>
    <w:rsid w:val="00B44669"/>
    <w:rsid w:val="00B4536D"/>
    <w:rsid w:val="00B45717"/>
    <w:rsid w:val="00B45F70"/>
    <w:rsid w:val="00B46729"/>
    <w:rsid w:val="00B46F48"/>
    <w:rsid w:val="00B4771A"/>
    <w:rsid w:val="00B5013A"/>
    <w:rsid w:val="00B5039B"/>
    <w:rsid w:val="00B505C8"/>
    <w:rsid w:val="00B50DB8"/>
    <w:rsid w:val="00B51150"/>
    <w:rsid w:val="00B516E0"/>
    <w:rsid w:val="00B51988"/>
    <w:rsid w:val="00B52240"/>
    <w:rsid w:val="00B52627"/>
    <w:rsid w:val="00B52C81"/>
    <w:rsid w:val="00B53654"/>
    <w:rsid w:val="00B5367D"/>
    <w:rsid w:val="00B53905"/>
    <w:rsid w:val="00B54AD9"/>
    <w:rsid w:val="00B54B5B"/>
    <w:rsid w:val="00B54D6B"/>
    <w:rsid w:val="00B551CB"/>
    <w:rsid w:val="00B55532"/>
    <w:rsid w:val="00B5562E"/>
    <w:rsid w:val="00B55D65"/>
    <w:rsid w:val="00B567B3"/>
    <w:rsid w:val="00B56A75"/>
    <w:rsid w:val="00B57000"/>
    <w:rsid w:val="00B573BE"/>
    <w:rsid w:val="00B60939"/>
    <w:rsid w:val="00B60A2E"/>
    <w:rsid w:val="00B60AFD"/>
    <w:rsid w:val="00B6149A"/>
    <w:rsid w:val="00B61B49"/>
    <w:rsid w:val="00B61D3A"/>
    <w:rsid w:val="00B61DD2"/>
    <w:rsid w:val="00B623B2"/>
    <w:rsid w:val="00B623FF"/>
    <w:rsid w:val="00B62493"/>
    <w:rsid w:val="00B62715"/>
    <w:rsid w:val="00B63580"/>
    <w:rsid w:val="00B638BE"/>
    <w:rsid w:val="00B63DC6"/>
    <w:rsid w:val="00B64A01"/>
    <w:rsid w:val="00B651F8"/>
    <w:rsid w:val="00B65611"/>
    <w:rsid w:val="00B658D3"/>
    <w:rsid w:val="00B65D39"/>
    <w:rsid w:val="00B66567"/>
    <w:rsid w:val="00B6671D"/>
    <w:rsid w:val="00B66910"/>
    <w:rsid w:val="00B66DA2"/>
    <w:rsid w:val="00B66E1C"/>
    <w:rsid w:val="00B67036"/>
    <w:rsid w:val="00B670FD"/>
    <w:rsid w:val="00B6762B"/>
    <w:rsid w:val="00B677F3"/>
    <w:rsid w:val="00B70E8E"/>
    <w:rsid w:val="00B729D0"/>
    <w:rsid w:val="00B72E29"/>
    <w:rsid w:val="00B7325E"/>
    <w:rsid w:val="00B73E9D"/>
    <w:rsid w:val="00B7484B"/>
    <w:rsid w:val="00B74C64"/>
    <w:rsid w:val="00B756F7"/>
    <w:rsid w:val="00B75963"/>
    <w:rsid w:val="00B75F4F"/>
    <w:rsid w:val="00B76A85"/>
    <w:rsid w:val="00B76C92"/>
    <w:rsid w:val="00B77266"/>
    <w:rsid w:val="00B7743D"/>
    <w:rsid w:val="00B8017F"/>
    <w:rsid w:val="00B809FD"/>
    <w:rsid w:val="00B80B49"/>
    <w:rsid w:val="00B80DF9"/>
    <w:rsid w:val="00B818A4"/>
    <w:rsid w:val="00B81CE2"/>
    <w:rsid w:val="00B81DBD"/>
    <w:rsid w:val="00B82205"/>
    <w:rsid w:val="00B824CF"/>
    <w:rsid w:val="00B84117"/>
    <w:rsid w:val="00B847F8"/>
    <w:rsid w:val="00B8523E"/>
    <w:rsid w:val="00B85524"/>
    <w:rsid w:val="00B858F0"/>
    <w:rsid w:val="00B85AA2"/>
    <w:rsid w:val="00B85E72"/>
    <w:rsid w:val="00B8621D"/>
    <w:rsid w:val="00B8649C"/>
    <w:rsid w:val="00B8695D"/>
    <w:rsid w:val="00B86D06"/>
    <w:rsid w:val="00B871BA"/>
    <w:rsid w:val="00B87F0A"/>
    <w:rsid w:val="00B902A8"/>
    <w:rsid w:val="00B90730"/>
    <w:rsid w:val="00B91468"/>
    <w:rsid w:val="00B91586"/>
    <w:rsid w:val="00B91CCD"/>
    <w:rsid w:val="00B92D0B"/>
    <w:rsid w:val="00B92E2D"/>
    <w:rsid w:val="00B948B4"/>
    <w:rsid w:val="00B94945"/>
    <w:rsid w:val="00B94DD6"/>
    <w:rsid w:val="00B95374"/>
    <w:rsid w:val="00B9575D"/>
    <w:rsid w:val="00B96609"/>
    <w:rsid w:val="00B97590"/>
    <w:rsid w:val="00B978EF"/>
    <w:rsid w:val="00B97C23"/>
    <w:rsid w:val="00B97C79"/>
    <w:rsid w:val="00BA0508"/>
    <w:rsid w:val="00BA0A85"/>
    <w:rsid w:val="00BA18B4"/>
    <w:rsid w:val="00BA2471"/>
    <w:rsid w:val="00BA24D1"/>
    <w:rsid w:val="00BA2DC4"/>
    <w:rsid w:val="00BA31D9"/>
    <w:rsid w:val="00BA322D"/>
    <w:rsid w:val="00BA3AE1"/>
    <w:rsid w:val="00BA3D30"/>
    <w:rsid w:val="00BA4565"/>
    <w:rsid w:val="00BA4A72"/>
    <w:rsid w:val="00BA5162"/>
    <w:rsid w:val="00BA57C2"/>
    <w:rsid w:val="00BA5801"/>
    <w:rsid w:val="00BA62AF"/>
    <w:rsid w:val="00BA63FA"/>
    <w:rsid w:val="00BA67F0"/>
    <w:rsid w:val="00BA6BD2"/>
    <w:rsid w:val="00BB00B3"/>
    <w:rsid w:val="00BB0BDD"/>
    <w:rsid w:val="00BB0C56"/>
    <w:rsid w:val="00BB176C"/>
    <w:rsid w:val="00BB18AB"/>
    <w:rsid w:val="00BB1A63"/>
    <w:rsid w:val="00BB1A76"/>
    <w:rsid w:val="00BB1E65"/>
    <w:rsid w:val="00BB21D4"/>
    <w:rsid w:val="00BB282C"/>
    <w:rsid w:val="00BB2A73"/>
    <w:rsid w:val="00BB2DD3"/>
    <w:rsid w:val="00BB322D"/>
    <w:rsid w:val="00BB3394"/>
    <w:rsid w:val="00BB362C"/>
    <w:rsid w:val="00BB3A0D"/>
    <w:rsid w:val="00BB3A14"/>
    <w:rsid w:val="00BB3A45"/>
    <w:rsid w:val="00BB3F9C"/>
    <w:rsid w:val="00BB415B"/>
    <w:rsid w:val="00BB4ACC"/>
    <w:rsid w:val="00BB5F0E"/>
    <w:rsid w:val="00BB5F89"/>
    <w:rsid w:val="00BB6D60"/>
    <w:rsid w:val="00BB6F42"/>
    <w:rsid w:val="00BB703E"/>
    <w:rsid w:val="00BB7329"/>
    <w:rsid w:val="00BB732D"/>
    <w:rsid w:val="00BB7405"/>
    <w:rsid w:val="00BB7875"/>
    <w:rsid w:val="00BB7A3D"/>
    <w:rsid w:val="00BC0340"/>
    <w:rsid w:val="00BC24AA"/>
    <w:rsid w:val="00BC2B49"/>
    <w:rsid w:val="00BC3631"/>
    <w:rsid w:val="00BC3710"/>
    <w:rsid w:val="00BC44D6"/>
    <w:rsid w:val="00BC49F7"/>
    <w:rsid w:val="00BC4D44"/>
    <w:rsid w:val="00BC591F"/>
    <w:rsid w:val="00BC60A4"/>
    <w:rsid w:val="00BC6901"/>
    <w:rsid w:val="00BC69FF"/>
    <w:rsid w:val="00BC6C79"/>
    <w:rsid w:val="00BC7C08"/>
    <w:rsid w:val="00BC7C0E"/>
    <w:rsid w:val="00BC7D6D"/>
    <w:rsid w:val="00BD0107"/>
    <w:rsid w:val="00BD095A"/>
    <w:rsid w:val="00BD0D94"/>
    <w:rsid w:val="00BD13AD"/>
    <w:rsid w:val="00BD1A51"/>
    <w:rsid w:val="00BD2108"/>
    <w:rsid w:val="00BD23BD"/>
    <w:rsid w:val="00BD4EA4"/>
    <w:rsid w:val="00BD51CF"/>
    <w:rsid w:val="00BD51E6"/>
    <w:rsid w:val="00BD56B8"/>
    <w:rsid w:val="00BD6624"/>
    <w:rsid w:val="00BD68A3"/>
    <w:rsid w:val="00BD68B5"/>
    <w:rsid w:val="00BD6938"/>
    <w:rsid w:val="00BD6CF3"/>
    <w:rsid w:val="00BD6D35"/>
    <w:rsid w:val="00BD7847"/>
    <w:rsid w:val="00BD7A9F"/>
    <w:rsid w:val="00BD7EB9"/>
    <w:rsid w:val="00BE0314"/>
    <w:rsid w:val="00BE0D61"/>
    <w:rsid w:val="00BE0ECA"/>
    <w:rsid w:val="00BE1354"/>
    <w:rsid w:val="00BE1666"/>
    <w:rsid w:val="00BE1AF5"/>
    <w:rsid w:val="00BE2180"/>
    <w:rsid w:val="00BE21F2"/>
    <w:rsid w:val="00BE36C5"/>
    <w:rsid w:val="00BE3A00"/>
    <w:rsid w:val="00BE3AC5"/>
    <w:rsid w:val="00BE3DE8"/>
    <w:rsid w:val="00BE4275"/>
    <w:rsid w:val="00BE50C9"/>
    <w:rsid w:val="00BE536F"/>
    <w:rsid w:val="00BE5DC4"/>
    <w:rsid w:val="00BF06AE"/>
    <w:rsid w:val="00BF08DF"/>
    <w:rsid w:val="00BF09F3"/>
    <w:rsid w:val="00BF0C50"/>
    <w:rsid w:val="00BF0F95"/>
    <w:rsid w:val="00BF109A"/>
    <w:rsid w:val="00BF12FB"/>
    <w:rsid w:val="00BF17BF"/>
    <w:rsid w:val="00BF1A98"/>
    <w:rsid w:val="00BF2433"/>
    <w:rsid w:val="00BF284B"/>
    <w:rsid w:val="00BF2D20"/>
    <w:rsid w:val="00BF36C1"/>
    <w:rsid w:val="00BF40C5"/>
    <w:rsid w:val="00BF4FF2"/>
    <w:rsid w:val="00BF5466"/>
    <w:rsid w:val="00BF55EA"/>
    <w:rsid w:val="00BF5CCF"/>
    <w:rsid w:val="00BF61C9"/>
    <w:rsid w:val="00BF6535"/>
    <w:rsid w:val="00BF6B7C"/>
    <w:rsid w:val="00BF6C94"/>
    <w:rsid w:val="00BF6CFE"/>
    <w:rsid w:val="00BF7090"/>
    <w:rsid w:val="00BF7C53"/>
    <w:rsid w:val="00C00424"/>
    <w:rsid w:val="00C00957"/>
    <w:rsid w:val="00C01292"/>
    <w:rsid w:val="00C01386"/>
    <w:rsid w:val="00C01506"/>
    <w:rsid w:val="00C01722"/>
    <w:rsid w:val="00C02AB9"/>
    <w:rsid w:val="00C043EC"/>
    <w:rsid w:val="00C05394"/>
    <w:rsid w:val="00C0570C"/>
    <w:rsid w:val="00C05C10"/>
    <w:rsid w:val="00C05C71"/>
    <w:rsid w:val="00C06A23"/>
    <w:rsid w:val="00C06D42"/>
    <w:rsid w:val="00C10069"/>
    <w:rsid w:val="00C10A58"/>
    <w:rsid w:val="00C10E25"/>
    <w:rsid w:val="00C1179F"/>
    <w:rsid w:val="00C11FF3"/>
    <w:rsid w:val="00C12994"/>
    <w:rsid w:val="00C12C14"/>
    <w:rsid w:val="00C13F72"/>
    <w:rsid w:val="00C141BD"/>
    <w:rsid w:val="00C149A7"/>
    <w:rsid w:val="00C149C1"/>
    <w:rsid w:val="00C14E62"/>
    <w:rsid w:val="00C15F04"/>
    <w:rsid w:val="00C15F95"/>
    <w:rsid w:val="00C179B3"/>
    <w:rsid w:val="00C17A39"/>
    <w:rsid w:val="00C17E3F"/>
    <w:rsid w:val="00C200AA"/>
    <w:rsid w:val="00C20617"/>
    <w:rsid w:val="00C21ED4"/>
    <w:rsid w:val="00C21F13"/>
    <w:rsid w:val="00C2280D"/>
    <w:rsid w:val="00C22F16"/>
    <w:rsid w:val="00C237ED"/>
    <w:rsid w:val="00C243F5"/>
    <w:rsid w:val="00C24632"/>
    <w:rsid w:val="00C24748"/>
    <w:rsid w:val="00C24AB7"/>
    <w:rsid w:val="00C24B1F"/>
    <w:rsid w:val="00C25418"/>
    <w:rsid w:val="00C25641"/>
    <w:rsid w:val="00C25928"/>
    <w:rsid w:val="00C25D77"/>
    <w:rsid w:val="00C25D9C"/>
    <w:rsid w:val="00C2778B"/>
    <w:rsid w:val="00C278F3"/>
    <w:rsid w:val="00C30171"/>
    <w:rsid w:val="00C31649"/>
    <w:rsid w:val="00C31B35"/>
    <w:rsid w:val="00C32148"/>
    <w:rsid w:val="00C3278E"/>
    <w:rsid w:val="00C3323F"/>
    <w:rsid w:val="00C33706"/>
    <w:rsid w:val="00C33B8F"/>
    <w:rsid w:val="00C33D44"/>
    <w:rsid w:val="00C3434C"/>
    <w:rsid w:val="00C369E4"/>
    <w:rsid w:val="00C374D2"/>
    <w:rsid w:val="00C37AE5"/>
    <w:rsid w:val="00C37B66"/>
    <w:rsid w:val="00C37F9B"/>
    <w:rsid w:val="00C401B2"/>
    <w:rsid w:val="00C40385"/>
    <w:rsid w:val="00C412B6"/>
    <w:rsid w:val="00C4151E"/>
    <w:rsid w:val="00C41768"/>
    <w:rsid w:val="00C41DF9"/>
    <w:rsid w:val="00C42236"/>
    <w:rsid w:val="00C427DC"/>
    <w:rsid w:val="00C42AAE"/>
    <w:rsid w:val="00C42EA5"/>
    <w:rsid w:val="00C43743"/>
    <w:rsid w:val="00C438C8"/>
    <w:rsid w:val="00C43FAA"/>
    <w:rsid w:val="00C4461C"/>
    <w:rsid w:val="00C46477"/>
    <w:rsid w:val="00C4666A"/>
    <w:rsid w:val="00C475AA"/>
    <w:rsid w:val="00C47882"/>
    <w:rsid w:val="00C50113"/>
    <w:rsid w:val="00C5026A"/>
    <w:rsid w:val="00C51B65"/>
    <w:rsid w:val="00C51DF2"/>
    <w:rsid w:val="00C522E0"/>
    <w:rsid w:val="00C526B5"/>
    <w:rsid w:val="00C5292E"/>
    <w:rsid w:val="00C52963"/>
    <w:rsid w:val="00C5311B"/>
    <w:rsid w:val="00C533DA"/>
    <w:rsid w:val="00C53C98"/>
    <w:rsid w:val="00C5400D"/>
    <w:rsid w:val="00C54549"/>
    <w:rsid w:val="00C556AC"/>
    <w:rsid w:val="00C55BFC"/>
    <w:rsid w:val="00C56691"/>
    <w:rsid w:val="00C569BD"/>
    <w:rsid w:val="00C56FCF"/>
    <w:rsid w:val="00C573A2"/>
    <w:rsid w:val="00C576D3"/>
    <w:rsid w:val="00C57B6C"/>
    <w:rsid w:val="00C60435"/>
    <w:rsid w:val="00C61925"/>
    <w:rsid w:val="00C6218D"/>
    <w:rsid w:val="00C628A6"/>
    <w:rsid w:val="00C62ABC"/>
    <w:rsid w:val="00C63117"/>
    <w:rsid w:val="00C64344"/>
    <w:rsid w:val="00C6436B"/>
    <w:rsid w:val="00C65108"/>
    <w:rsid w:val="00C651A1"/>
    <w:rsid w:val="00C65576"/>
    <w:rsid w:val="00C65BAC"/>
    <w:rsid w:val="00C65EC0"/>
    <w:rsid w:val="00C660F5"/>
    <w:rsid w:val="00C66165"/>
    <w:rsid w:val="00C66BCD"/>
    <w:rsid w:val="00C670C3"/>
    <w:rsid w:val="00C6777E"/>
    <w:rsid w:val="00C678DC"/>
    <w:rsid w:val="00C679E8"/>
    <w:rsid w:val="00C7060A"/>
    <w:rsid w:val="00C7073C"/>
    <w:rsid w:val="00C70D6A"/>
    <w:rsid w:val="00C71470"/>
    <w:rsid w:val="00C7151A"/>
    <w:rsid w:val="00C717E3"/>
    <w:rsid w:val="00C71F60"/>
    <w:rsid w:val="00C72241"/>
    <w:rsid w:val="00C7279E"/>
    <w:rsid w:val="00C72A4D"/>
    <w:rsid w:val="00C72D4C"/>
    <w:rsid w:val="00C72FD0"/>
    <w:rsid w:val="00C73C83"/>
    <w:rsid w:val="00C74F18"/>
    <w:rsid w:val="00C750C8"/>
    <w:rsid w:val="00C7560F"/>
    <w:rsid w:val="00C7599C"/>
    <w:rsid w:val="00C769B5"/>
    <w:rsid w:val="00C77034"/>
    <w:rsid w:val="00C804E1"/>
    <w:rsid w:val="00C80A0E"/>
    <w:rsid w:val="00C8107F"/>
    <w:rsid w:val="00C8213F"/>
    <w:rsid w:val="00C835D4"/>
    <w:rsid w:val="00C8368D"/>
    <w:rsid w:val="00C84579"/>
    <w:rsid w:val="00C84A2B"/>
    <w:rsid w:val="00C85154"/>
    <w:rsid w:val="00C859CA"/>
    <w:rsid w:val="00C8797A"/>
    <w:rsid w:val="00C900B8"/>
    <w:rsid w:val="00C90930"/>
    <w:rsid w:val="00C90C71"/>
    <w:rsid w:val="00C9154C"/>
    <w:rsid w:val="00C91FD1"/>
    <w:rsid w:val="00C92322"/>
    <w:rsid w:val="00C929D8"/>
    <w:rsid w:val="00C92A33"/>
    <w:rsid w:val="00C931CF"/>
    <w:rsid w:val="00C938CF"/>
    <w:rsid w:val="00C94053"/>
    <w:rsid w:val="00C94586"/>
    <w:rsid w:val="00C948F2"/>
    <w:rsid w:val="00C94BFC"/>
    <w:rsid w:val="00C961A2"/>
    <w:rsid w:val="00C9624D"/>
    <w:rsid w:val="00C964AF"/>
    <w:rsid w:val="00C967AF"/>
    <w:rsid w:val="00C967B2"/>
    <w:rsid w:val="00C969DA"/>
    <w:rsid w:val="00C977B5"/>
    <w:rsid w:val="00C979D4"/>
    <w:rsid w:val="00CA035D"/>
    <w:rsid w:val="00CA0725"/>
    <w:rsid w:val="00CA081D"/>
    <w:rsid w:val="00CA2C77"/>
    <w:rsid w:val="00CA308A"/>
    <w:rsid w:val="00CA38E1"/>
    <w:rsid w:val="00CA444F"/>
    <w:rsid w:val="00CA4674"/>
    <w:rsid w:val="00CA5245"/>
    <w:rsid w:val="00CA572A"/>
    <w:rsid w:val="00CA5A0F"/>
    <w:rsid w:val="00CA71F4"/>
    <w:rsid w:val="00CA722E"/>
    <w:rsid w:val="00CA7B09"/>
    <w:rsid w:val="00CA7DBE"/>
    <w:rsid w:val="00CB0F5F"/>
    <w:rsid w:val="00CB12A5"/>
    <w:rsid w:val="00CB1CAC"/>
    <w:rsid w:val="00CB2F2A"/>
    <w:rsid w:val="00CB3164"/>
    <w:rsid w:val="00CB38EE"/>
    <w:rsid w:val="00CB5B1A"/>
    <w:rsid w:val="00CB5BCA"/>
    <w:rsid w:val="00CB6B22"/>
    <w:rsid w:val="00CB6B68"/>
    <w:rsid w:val="00CB6FC9"/>
    <w:rsid w:val="00CB7F5F"/>
    <w:rsid w:val="00CC0421"/>
    <w:rsid w:val="00CC05FD"/>
    <w:rsid w:val="00CC0776"/>
    <w:rsid w:val="00CC0824"/>
    <w:rsid w:val="00CC1A51"/>
    <w:rsid w:val="00CC1B39"/>
    <w:rsid w:val="00CC1C3A"/>
    <w:rsid w:val="00CC2C66"/>
    <w:rsid w:val="00CC35EA"/>
    <w:rsid w:val="00CC3848"/>
    <w:rsid w:val="00CC3969"/>
    <w:rsid w:val="00CC408A"/>
    <w:rsid w:val="00CC4231"/>
    <w:rsid w:val="00CC675A"/>
    <w:rsid w:val="00CC74F1"/>
    <w:rsid w:val="00CC7C8D"/>
    <w:rsid w:val="00CD0226"/>
    <w:rsid w:val="00CD024A"/>
    <w:rsid w:val="00CD123C"/>
    <w:rsid w:val="00CD2706"/>
    <w:rsid w:val="00CD2863"/>
    <w:rsid w:val="00CD3115"/>
    <w:rsid w:val="00CD39B3"/>
    <w:rsid w:val="00CD3F77"/>
    <w:rsid w:val="00CD6ADC"/>
    <w:rsid w:val="00CD7042"/>
    <w:rsid w:val="00CD7193"/>
    <w:rsid w:val="00CD72E1"/>
    <w:rsid w:val="00CD73C8"/>
    <w:rsid w:val="00CE0001"/>
    <w:rsid w:val="00CE0210"/>
    <w:rsid w:val="00CE0211"/>
    <w:rsid w:val="00CE099D"/>
    <w:rsid w:val="00CE09D5"/>
    <w:rsid w:val="00CE0E02"/>
    <w:rsid w:val="00CE1825"/>
    <w:rsid w:val="00CE24F4"/>
    <w:rsid w:val="00CE2FB3"/>
    <w:rsid w:val="00CE34F6"/>
    <w:rsid w:val="00CE372B"/>
    <w:rsid w:val="00CE38C8"/>
    <w:rsid w:val="00CE495A"/>
    <w:rsid w:val="00CE4A81"/>
    <w:rsid w:val="00CE4DA1"/>
    <w:rsid w:val="00CE530D"/>
    <w:rsid w:val="00CE5366"/>
    <w:rsid w:val="00CE5FB8"/>
    <w:rsid w:val="00CE6106"/>
    <w:rsid w:val="00CE615F"/>
    <w:rsid w:val="00CE6274"/>
    <w:rsid w:val="00CE689D"/>
    <w:rsid w:val="00CE77B6"/>
    <w:rsid w:val="00CF032C"/>
    <w:rsid w:val="00CF0987"/>
    <w:rsid w:val="00CF15FD"/>
    <w:rsid w:val="00CF1B89"/>
    <w:rsid w:val="00CF1C04"/>
    <w:rsid w:val="00CF2610"/>
    <w:rsid w:val="00CF2A06"/>
    <w:rsid w:val="00CF2B8D"/>
    <w:rsid w:val="00CF2DF7"/>
    <w:rsid w:val="00CF2F6A"/>
    <w:rsid w:val="00CF3657"/>
    <w:rsid w:val="00CF3658"/>
    <w:rsid w:val="00CF3859"/>
    <w:rsid w:val="00CF3D27"/>
    <w:rsid w:val="00CF4250"/>
    <w:rsid w:val="00CF456B"/>
    <w:rsid w:val="00CF59DA"/>
    <w:rsid w:val="00CF5A22"/>
    <w:rsid w:val="00CF631F"/>
    <w:rsid w:val="00CF677B"/>
    <w:rsid w:val="00CF6B16"/>
    <w:rsid w:val="00CF6CDB"/>
    <w:rsid w:val="00CF703C"/>
    <w:rsid w:val="00CF75F9"/>
    <w:rsid w:val="00D007E2"/>
    <w:rsid w:val="00D01E97"/>
    <w:rsid w:val="00D021A3"/>
    <w:rsid w:val="00D0262E"/>
    <w:rsid w:val="00D037D5"/>
    <w:rsid w:val="00D03F98"/>
    <w:rsid w:val="00D044CC"/>
    <w:rsid w:val="00D05947"/>
    <w:rsid w:val="00D05E3D"/>
    <w:rsid w:val="00D06139"/>
    <w:rsid w:val="00D06D09"/>
    <w:rsid w:val="00D07014"/>
    <w:rsid w:val="00D0721C"/>
    <w:rsid w:val="00D07F47"/>
    <w:rsid w:val="00D10056"/>
    <w:rsid w:val="00D1063B"/>
    <w:rsid w:val="00D10DB5"/>
    <w:rsid w:val="00D110BD"/>
    <w:rsid w:val="00D13675"/>
    <w:rsid w:val="00D13A27"/>
    <w:rsid w:val="00D13DC8"/>
    <w:rsid w:val="00D141E1"/>
    <w:rsid w:val="00D14607"/>
    <w:rsid w:val="00D15314"/>
    <w:rsid w:val="00D15B2E"/>
    <w:rsid w:val="00D17232"/>
    <w:rsid w:val="00D17D6C"/>
    <w:rsid w:val="00D20BF9"/>
    <w:rsid w:val="00D2155B"/>
    <w:rsid w:val="00D2157E"/>
    <w:rsid w:val="00D2165E"/>
    <w:rsid w:val="00D22225"/>
    <w:rsid w:val="00D2244D"/>
    <w:rsid w:val="00D2341F"/>
    <w:rsid w:val="00D23D11"/>
    <w:rsid w:val="00D244B6"/>
    <w:rsid w:val="00D24F07"/>
    <w:rsid w:val="00D254F0"/>
    <w:rsid w:val="00D262B2"/>
    <w:rsid w:val="00D2683D"/>
    <w:rsid w:val="00D26ED6"/>
    <w:rsid w:val="00D27280"/>
    <w:rsid w:val="00D2754D"/>
    <w:rsid w:val="00D27B27"/>
    <w:rsid w:val="00D27F82"/>
    <w:rsid w:val="00D27FD6"/>
    <w:rsid w:val="00D30D2E"/>
    <w:rsid w:val="00D30DF7"/>
    <w:rsid w:val="00D31A01"/>
    <w:rsid w:val="00D31D56"/>
    <w:rsid w:val="00D323BD"/>
    <w:rsid w:val="00D33195"/>
    <w:rsid w:val="00D335D7"/>
    <w:rsid w:val="00D33BE9"/>
    <w:rsid w:val="00D33F93"/>
    <w:rsid w:val="00D34873"/>
    <w:rsid w:val="00D357FF"/>
    <w:rsid w:val="00D35A97"/>
    <w:rsid w:val="00D35CB7"/>
    <w:rsid w:val="00D36338"/>
    <w:rsid w:val="00D3637E"/>
    <w:rsid w:val="00D36776"/>
    <w:rsid w:val="00D36D9E"/>
    <w:rsid w:val="00D3782F"/>
    <w:rsid w:val="00D37C64"/>
    <w:rsid w:val="00D4002F"/>
    <w:rsid w:val="00D40628"/>
    <w:rsid w:val="00D41195"/>
    <w:rsid w:val="00D412C0"/>
    <w:rsid w:val="00D417DC"/>
    <w:rsid w:val="00D424C7"/>
    <w:rsid w:val="00D42A79"/>
    <w:rsid w:val="00D42C08"/>
    <w:rsid w:val="00D42EC2"/>
    <w:rsid w:val="00D43B2A"/>
    <w:rsid w:val="00D43D83"/>
    <w:rsid w:val="00D4553D"/>
    <w:rsid w:val="00D46073"/>
    <w:rsid w:val="00D47240"/>
    <w:rsid w:val="00D47575"/>
    <w:rsid w:val="00D47D60"/>
    <w:rsid w:val="00D51302"/>
    <w:rsid w:val="00D51B0B"/>
    <w:rsid w:val="00D51B71"/>
    <w:rsid w:val="00D5243B"/>
    <w:rsid w:val="00D52A01"/>
    <w:rsid w:val="00D52D68"/>
    <w:rsid w:val="00D530ED"/>
    <w:rsid w:val="00D531CE"/>
    <w:rsid w:val="00D533EC"/>
    <w:rsid w:val="00D539CA"/>
    <w:rsid w:val="00D54E22"/>
    <w:rsid w:val="00D554A7"/>
    <w:rsid w:val="00D55738"/>
    <w:rsid w:val="00D55AAD"/>
    <w:rsid w:val="00D55E6B"/>
    <w:rsid w:val="00D56462"/>
    <w:rsid w:val="00D564A8"/>
    <w:rsid w:val="00D56A95"/>
    <w:rsid w:val="00D56AFB"/>
    <w:rsid w:val="00D571BD"/>
    <w:rsid w:val="00D57937"/>
    <w:rsid w:val="00D60A25"/>
    <w:rsid w:val="00D60F5D"/>
    <w:rsid w:val="00D622DD"/>
    <w:rsid w:val="00D62868"/>
    <w:rsid w:val="00D63295"/>
    <w:rsid w:val="00D638C1"/>
    <w:rsid w:val="00D63BB1"/>
    <w:rsid w:val="00D644D6"/>
    <w:rsid w:val="00D646BA"/>
    <w:rsid w:val="00D6579C"/>
    <w:rsid w:val="00D660BA"/>
    <w:rsid w:val="00D66DBF"/>
    <w:rsid w:val="00D66F06"/>
    <w:rsid w:val="00D67FF7"/>
    <w:rsid w:val="00D70F16"/>
    <w:rsid w:val="00D723DD"/>
    <w:rsid w:val="00D72F57"/>
    <w:rsid w:val="00D72F97"/>
    <w:rsid w:val="00D73A0E"/>
    <w:rsid w:val="00D747A5"/>
    <w:rsid w:val="00D76A44"/>
    <w:rsid w:val="00D77B28"/>
    <w:rsid w:val="00D77B57"/>
    <w:rsid w:val="00D8024D"/>
    <w:rsid w:val="00D815EF"/>
    <w:rsid w:val="00D816F5"/>
    <w:rsid w:val="00D81F26"/>
    <w:rsid w:val="00D81FDF"/>
    <w:rsid w:val="00D82A12"/>
    <w:rsid w:val="00D82BD4"/>
    <w:rsid w:val="00D84AAA"/>
    <w:rsid w:val="00D85671"/>
    <w:rsid w:val="00D85B12"/>
    <w:rsid w:val="00D86231"/>
    <w:rsid w:val="00D86E09"/>
    <w:rsid w:val="00D91923"/>
    <w:rsid w:val="00D9281C"/>
    <w:rsid w:val="00D93753"/>
    <w:rsid w:val="00D937A5"/>
    <w:rsid w:val="00D93837"/>
    <w:rsid w:val="00D93935"/>
    <w:rsid w:val="00D93CF4"/>
    <w:rsid w:val="00D94144"/>
    <w:rsid w:val="00D941CE"/>
    <w:rsid w:val="00D944E2"/>
    <w:rsid w:val="00D94559"/>
    <w:rsid w:val="00D94761"/>
    <w:rsid w:val="00D94862"/>
    <w:rsid w:val="00D94EBA"/>
    <w:rsid w:val="00D96514"/>
    <w:rsid w:val="00D967CC"/>
    <w:rsid w:val="00D97181"/>
    <w:rsid w:val="00D97EEB"/>
    <w:rsid w:val="00DA0430"/>
    <w:rsid w:val="00DA1186"/>
    <w:rsid w:val="00DA1A76"/>
    <w:rsid w:val="00DA23D3"/>
    <w:rsid w:val="00DA273C"/>
    <w:rsid w:val="00DA28BB"/>
    <w:rsid w:val="00DA3167"/>
    <w:rsid w:val="00DA3AE3"/>
    <w:rsid w:val="00DA3EDB"/>
    <w:rsid w:val="00DA44FC"/>
    <w:rsid w:val="00DA4D34"/>
    <w:rsid w:val="00DA4DC3"/>
    <w:rsid w:val="00DA5E84"/>
    <w:rsid w:val="00DA6157"/>
    <w:rsid w:val="00DA629F"/>
    <w:rsid w:val="00DA6CDE"/>
    <w:rsid w:val="00DA77A5"/>
    <w:rsid w:val="00DB043F"/>
    <w:rsid w:val="00DB1664"/>
    <w:rsid w:val="00DB1915"/>
    <w:rsid w:val="00DB3DBF"/>
    <w:rsid w:val="00DB442A"/>
    <w:rsid w:val="00DB4806"/>
    <w:rsid w:val="00DB484F"/>
    <w:rsid w:val="00DB4CD1"/>
    <w:rsid w:val="00DB4CE1"/>
    <w:rsid w:val="00DB4ED8"/>
    <w:rsid w:val="00DB590A"/>
    <w:rsid w:val="00DB61BA"/>
    <w:rsid w:val="00DB6CF9"/>
    <w:rsid w:val="00DB7225"/>
    <w:rsid w:val="00DB74A3"/>
    <w:rsid w:val="00DB7AC7"/>
    <w:rsid w:val="00DB7D05"/>
    <w:rsid w:val="00DB7E47"/>
    <w:rsid w:val="00DC0067"/>
    <w:rsid w:val="00DC04F6"/>
    <w:rsid w:val="00DC0690"/>
    <w:rsid w:val="00DC07D1"/>
    <w:rsid w:val="00DC0C5A"/>
    <w:rsid w:val="00DC11D6"/>
    <w:rsid w:val="00DC1D65"/>
    <w:rsid w:val="00DC2FFA"/>
    <w:rsid w:val="00DC3072"/>
    <w:rsid w:val="00DC30DB"/>
    <w:rsid w:val="00DC393F"/>
    <w:rsid w:val="00DC3C57"/>
    <w:rsid w:val="00DC44E2"/>
    <w:rsid w:val="00DC4AB4"/>
    <w:rsid w:val="00DC5501"/>
    <w:rsid w:val="00DC5551"/>
    <w:rsid w:val="00DC577D"/>
    <w:rsid w:val="00DC6F78"/>
    <w:rsid w:val="00DC6FCA"/>
    <w:rsid w:val="00DC7052"/>
    <w:rsid w:val="00DC7154"/>
    <w:rsid w:val="00DC7401"/>
    <w:rsid w:val="00DC7610"/>
    <w:rsid w:val="00DC7E8A"/>
    <w:rsid w:val="00DD0F78"/>
    <w:rsid w:val="00DD14B5"/>
    <w:rsid w:val="00DD273C"/>
    <w:rsid w:val="00DD2B35"/>
    <w:rsid w:val="00DD38F5"/>
    <w:rsid w:val="00DD392D"/>
    <w:rsid w:val="00DD3F28"/>
    <w:rsid w:val="00DD4443"/>
    <w:rsid w:val="00DD4537"/>
    <w:rsid w:val="00DD4A09"/>
    <w:rsid w:val="00DD4E15"/>
    <w:rsid w:val="00DD6076"/>
    <w:rsid w:val="00DD6A57"/>
    <w:rsid w:val="00DD7259"/>
    <w:rsid w:val="00DD7E2D"/>
    <w:rsid w:val="00DE02F1"/>
    <w:rsid w:val="00DE16E5"/>
    <w:rsid w:val="00DE2304"/>
    <w:rsid w:val="00DE2332"/>
    <w:rsid w:val="00DE2FCA"/>
    <w:rsid w:val="00DE3138"/>
    <w:rsid w:val="00DE377C"/>
    <w:rsid w:val="00DE37F8"/>
    <w:rsid w:val="00DE389E"/>
    <w:rsid w:val="00DE40AF"/>
    <w:rsid w:val="00DE4339"/>
    <w:rsid w:val="00DE4FCB"/>
    <w:rsid w:val="00DE5274"/>
    <w:rsid w:val="00DE595B"/>
    <w:rsid w:val="00DE5D07"/>
    <w:rsid w:val="00DE64AA"/>
    <w:rsid w:val="00DE6630"/>
    <w:rsid w:val="00DE72A7"/>
    <w:rsid w:val="00DE7832"/>
    <w:rsid w:val="00DE7886"/>
    <w:rsid w:val="00DF0AA4"/>
    <w:rsid w:val="00DF0C94"/>
    <w:rsid w:val="00DF156E"/>
    <w:rsid w:val="00DF18FC"/>
    <w:rsid w:val="00DF1A18"/>
    <w:rsid w:val="00DF2AE8"/>
    <w:rsid w:val="00DF3138"/>
    <w:rsid w:val="00DF3A47"/>
    <w:rsid w:val="00DF3E8D"/>
    <w:rsid w:val="00DF40ED"/>
    <w:rsid w:val="00DF4267"/>
    <w:rsid w:val="00DF43E8"/>
    <w:rsid w:val="00DF5088"/>
    <w:rsid w:val="00DF5B2E"/>
    <w:rsid w:val="00DF5D2B"/>
    <w:rsid w:val="00DF6357"/>
    <w:rsid w:val="00DF68C1"/>
    <w:rsid w:val="00DF6B86"/>
    <w:rsid w:val="00DF704A"/>
    <w:rsid w:val="00DF7F5E"/>
    <w:rsid w:val="00E008C7"/>
    <w:rsid w:val="00E00E8E"/>
    <w:rsid w:val="00E01D81"/>
    <w:rsid w:val="00E01DB9"/>
    <w:rsid w:val="00E04330"/>
    <w:rsid w:val="00E04359"/>
    <w:rsid w:val="00E04960"/>
    <w:rsid w:val="00E04F81"/>
    <w:rsid w:val="00E05630"/>
    <w:rsid w:val="00E06DBB"/>
    <w:rsid w:val="00E10086"/>
    <w:rsid w:val="00E10149"/>
    <w:rsid w:val="00E102F0"/>
    <w:rsid w:val="00E10722"/>
    <w:rsid w:val="00E11340"/>
    <w:rsid w:val="00E1145B"/>
    <w:rsid w:val="00E11AD9"/>
    <w:rsid w:val="00E11FC2"/>
    <w:rsid w:val="00E122A1"/>
    <w:rsid w:val="00E13174"/>
    <w:rsid w:val="00E13438"/>
    <w:rsid w:val="00E13CD9"/>
    <w:rsid w:val="00E13E6C"/>
    <w:rsid w:val="00E14815"/>
    <w:rsid w:val="00E1486E"/>
    <w:rsid w:val="00E14972"/>
    <w:rsid w:val="00E15572"/>
    <w:rsid w:val="00E16307"/>
    <w:rsid w:val="00E16372"/>
    <w:rsid w:val="00E17145"/>
    <w:rsid w:val="00E17205"/>
    <w:rsid w:val="00E17272"/>
    <w:rsid w:val="00E20E4D"/>
    <w:rsid w:val="00E20ED6"/>
    <w:rsid w:val="00E21215"/>
    <w:rsid w:val="00E21358"/>
    <w:rsid w:val="00E21935"/>
    <w:rsid w:val="00E2249B"/>
    <w:rsid w:val="00E224BD"/>
    <w:rsid w:val="00E225B7"/>
    <w:rsid w:val="00E22868"/>
    <w:rsid w:val="00E228C6"/>
    <w:rsid w:val="00E22A0D"/>
    <w:rsid w:val="00E2360A"/>
    <w:rsid w:val="00E244F6"/>
    <w:rsid w:val="00E246A1"/>
    <w:rsid w:val="00E25333"/>
    <w:rsid w:val="00E25AA4"/>
    <w:rsid w:val="00E25B60"/>
    <w:rsid w:val="00E25F47"/>
    <w:rsid w:val="00E264EE"/>
    <w:rsid w:val="00E265B8"/>
    <w:rsid w:val="00E26816"/>
    <w:rsid w:val="00E2746F"/>
    <w:rsid w:val="00E27527"/>
    <w:rsid w:val="00E2771E"/>
    <w:rsid w:val="00E27BBF"/>
    <w:rsid w:val="00E3012E"/>
    <w:rsid w:val="00E305F4"/>
    <w:rsid w:val="00E311EF"/>
    <w:rsid w:val="00E31C7A"/>
    <w:rsid w:val="00E32180"/>
    <w:rsid w:val="00E3284E"/>
    <w:rsid w:val="00E333CE"/>
    <w:rsid w:val="00E3382E"/>
    <w:rsid w:val="00E3489E"/>
    <w:rsid w:val="00E34948"/>
    <w:rsid w:val="00E358E5"/>
    <w:rsid w:val="00E35AE2"/>
    <w:rsid w:val="00E35D67"/>
    <w:rsid w:val="00E36207"/>
    <w:rsid w:val="00E36512"/>
    <w:rsid w:val="00E36854"/>
    <w:rsid w:val="00E373D1"/>
    <w:rsid w:val="00E37569"/>
    <w:rsid w:val="00E401B2"/>
    <w:rsid w:val="00E41770"/>
    <w:rsid w:val="00E41E30"/>
    <w:rsid w:val="00E42F73"/>
    <w:rsid w:val="00E43D70"/>
    <w:rsid w:val="00E4429F"/>
    <w:rsid w:val="00E445A4"/>
    <w:rsid w:val="00E4482D"/>
    <w:rsid w:val="00E452B1"/>
    <w:rsid w:val="00E45720"/>
    <w:rsid w:val="00E458D9"/>
    <w:rsid w:val="00E46603"/>
    <w:rsid w:val="00E466F3"/>
    <w:rsid w:val="00E46A0F"/>
    <w:rsid w:val="00E46B00"/>
    <w:rsid w:val="00E47B2C"/>
    <w:rsid w:val="00E51498"/>
    <w:rsid w:val="00E51560"/>
    <w:rsid w:val="00E522C1"/>
    <w:rsid w:val="00E52404"/>
    <w:rsid w:val="00E5249E"/>
    <w:rsid w:val="00E5315D"/>
    <w:rsid w:val="00E53FC8"/>
    <w:rsid w:val="00E54347"/>
    <w:rsid w:val="00E54A73"/>
    <w:rsid w:val="00E55424"/>
    <w:rsid w:val="00E55915"/>
    <w:rsid w:val="00E55BB5"/>
    <w:rsid w:val="00E5690E"/>
    <w:rsid w:val="00E56F79"/>
    <w:rsid w:val="00E57C21"/>
    <w:rsid w:val="00E60DFE"/>
    <w:rsid w:val="00E60F41"/>
    <w:rsid w:val="00E62055"/>
    <w:rsid w:val="00E62F6C"/>
    <w:rsid w:val="00E638CC"/>
    <w:rsid w:val="00E65398"/>
    <w:rsid w:val="00E65E79"/>
    <w:rsid w:val="00E6653C"/>
    <w:rsid w:val="00E66BA2"/>
    <w:rsid w:val="00E66EC5"/>
    <w:rsid w:val="00E67416"/>
    <w:rsid w:val="00E679E3"/>
    <w:rsid w:val="00E67EDA"/>
    <w:rsid w:val="00E718B6"/>
    <w:rsid w:val="00E72312"/>
    <w:rsid w:val="00E723BA"/>
    <w:rsid w:val="00E724E3"/>
    <w:rsid w:val="00E72D8F"/>
    <w:rsid w:val="00E73581"/>
    <w:rsid w:val="00E73C54"/>
    <w:rsid w:val="00E73D82"/>
    <w:rsid w:val="00E75452"/>
    <w:rsid w:val="00E75BBB"/>
    <w:rsid w:val="00E7683B"/>
    <w:rsid w:val="00E7699E"/>
    <w:rsid w:val="00E8046D"/>
    <w:rsid w:val="00E809EB"/>
    <w:rsid w:val="00E814B6"/>
    <w:rsid w:val="00E82ABF"/>
    <w:rsid w:val="00E833F7"/>
    <w:rsid w:val="00E835C1"/>
    <w:rsid w:val="00E83BDF"/>
    <w:rsid w:val="00E84B02"/>
    <w:rsid w:val="00E85113"/>
    <w:rsid w:val="00E85776"/>
    <w:rsid w:val="00E86B55"/>
    <w:rsid w:val="00E86C25"/>
    <w:rsid w:val="00E87A1D"/>
    <w:rsid w:val="00E90527"/>
    <w:rsid w:val="00E9094A"/>
    <w:rsid w:val="00E90C30"/>
    <w:rsid w:val="00E91769"/>
    <w:rsid w:val="00E91D35"/>
    <w:rsid w:val="00E91EAC"/>
    <w:rsid w:val="00E926A5"/>
    <w:rsid w:val="00E9367F"/>
    <w:rsid w:val="00E93C48"/>
    <w:rsid w:val="00E9421A"/>
    <w:rsid w:val="00E943DB"/>
    <w:rsid w:val="00E946A5"/>
    <w:rsid w:val="00E94918"/>
    <w:rsid w:val="00E961FE"/>
    <w:rsid w:val="00E966E0"/>
    <w:rsid w:val="00E96755"/>
    <w:rsid w:val="00E979B7"/>
    <w:rsid w:val="00EA0430"/>
    <w:rsid w:val="00EA05E6"/>
    <w:rsid w:val="00EA0B23"/>
    <w:rsid w:val="00EA0D16"/>
    <w:rsid w:val="00EA12B9"/>
    <w:rsid w:val="00EA14A9"/>
    <w:rsid w:val="00EA17C3"/>
    <w:rsid w:val="00EA2B88"/>
    <w:rsid w:val="00EA2CAA"/>
    <w:rsid w:val="00EA3146"/>
    <w:rsid w:val="00EA32B2"/>
    <w:rsid w:val="00EA3864"/>
    <w:rsid w:val="00EA423C"/>
    <w:rsid w:val="00EA4BA8"/>
    <w:rsid w:val="00EA5E35"/>
    <w:rsid w:val="00EA6EDB"/>
    <w:rsid w:val="00EA7F1C"/>
    <w:rsid w:val="00EB04BB"/>
    <w:rsid w:val="00EB07BD"/>
    <w:rsid w:val="00EB0C48"/>
    <w:rsid w:val="00EB15B6"/>
    <w:rsid w:val="00EB17CC"/>
    <w:rsid w:val="00EB2DF9"/>
    <w:rsid w:val="00EB37C7"/>
    <w:rsid w:val="00EB3D06"/>
    <w:rsid w:val="00EB442A"/>
    <w:rsid w:val="00EB4916"/>
    <w:rsid w:val="00EB4A42"/>
    <w:rsid w:val="00EB4C8E"/>
    <w:rsid w:val="00EB51DC"/>
    <w:rsid w:val="00EB5864"/>
    <w:rsid w:val="00EB5BC8"/>
    <w:rsid w:val="00EB6584"/>
    <w:rsid w:val="00EB733A"/>
    <w:rsid w:val="00EB7EBF"/>
    <w:rsid w:val="00EB7F5A"/>
    <w:rsid w:val="00EC00C9"/>
    <w:rsid w:val="00EC0731"/>
    <w:rsid w:val="00EC0DD9"/>
    <w:rsid w:val="00EC1000"/>
    <w:rsid w:val="00EC130F"/>
    <w:rsid w:val="00EC2649"/>
    <w:rsid w:val="00EC2670"/>
    <w:rsid w:val="00EC2ADB"/>
    <w:rsid w:val="00EC31ED"/>
    <w:rsid w:val="00EC417F"/>
    <w:rsid w:val="00EC4759"/>
    <w:rsid w:val="00EC4B8D"/>
    <w:rsid w:val="00EC5836"/>
    <w:rsid w:val="00EC5B3D"/>
    <w:rsid w:val="00EC6741"/>
    <w:rsid w:val="00EC6806"/>
    <w:rsid w:val="00EC688C"/>
    <w:rsid w:val="00EC68BF"/>
    <w:rsid w:val="00EC7258"/>
    <w:rsid w:val="00EC7624"/>
    <w:rsid w:val="00EC765C"/>
    <w:rsid w:val="00EC78E4"/>
    <w:rsid w:val="00ED0A3F"/>
    <w:rsid w:val="00ED27F2"/>
    <w:rsid w:val="00ED28D0"/>
    <w:rsid w:val="00ED344E"/>
    <w:rsid w:val="00ED3BF4"/>
    <w:rsid w:val="00ED3DB5"/>
    <w:rsid w:val="00ED44FC"/>
    <w:rsid w:val="00ED57EA"/>
    <w:rsid w:val="00ED5BD4"/>
    <w:rsid w:val="00ED6548"/>
    <w:rsid w:val="00ED72D4"/>
    <w:rsid w:val="00ED75B8"/>
    <w:rsid w:val="00ED7F57"/>
    <w:rsid w:val="00EE07D3"/>
    <w:rsid w:val="00EE192F"/>
    <w:rsid w:val="00EE1996"/>
    <w:rsid w:val="00EE1C01"/>
    <w:rsid w:val="00EE20D1"/>
    <w:rsid w:val="00EE22AF"/>
    <w:rsid w:val="00EE2AA6"/>
    <w:rsid w:val="00EE343E"/>
    <w:rsid w:val="00EE363B"/>
    <w:rsid w:val="00EE4930"/>
    <w:rsid w:val="00EE61DC"/>
    <w:rsid w:val="00EE647B"/>
    <w:rsid w:val="00EF0075"/>
    <w:rsid w:val="00EF0171"/>
    <w:rsid w:val="00EF0258"/>
    <w:rsid w:val="00EF0AE0"/>
    <w:rsid w:val="00EF1B25"/>
    <w:rsid w:val="00EF1DA0"/>
    <w:rsid w:val="00EF268E"/>
    <w:rsid w:val="00EF2D07"/>
    <w:rsid w:val="00EF3B5F"/>
    <w:rsid w:val="00EF4747"/>
    <w:rsid w:val="00EF4BF8"/>
    <w:rsid w:val="00EF55B2"/>
    <w:rsid w:val="00EF59DF"/>
    <w:rsid w:val="00EF5A16"/>
    <w:rsid w:val="00EF6785"/>
    <w:rsid w:val="00EF6903"/>
    <w:rsid w:val="00EF7C65"/>
    <w:rsid w:val="00F01479"/>
    <w:rsid w:val="00F015DC"/>
    <w:rsid w:val="00F02253"/>
    <w:rsid w:val="00F022E0"/>
    <w:rsid w:val="00F032CD"/>
    <w:rsid w:val="00F038F8"/>
    <w:rsid w:val="00F039F0"/>
    <w:rsid w:val="00F03C2E"/>
    <w:rsid w:val="00F04422"/>
    <w:rsid w:val="00F0469A"/>
    <w:rsid w:val="00F04A66"/>
    <w:rsid w:val="00F04B1A"/>
    <w:rsid w:val="00F04B4B"/>
    <w:rsid w:val="00F0501A"/>
    <w:rsid w:val="00F0516C"/>
    <w:rsid w:val="00F05384"/>
    <w:rsid w:val="00F055B2"/>
    <w:rsid w:val="00F05911"/>
    <w:rsid w:val="00F05D45"/>
    <w:rsid w:val="00F0622C"/>
    <w:rsid w:val="00F06714"/>
    <w:rsid w:val="00F067A2"/>
    <w:rsid w:val="00F07009"/>
    <w:rsid w:val="00F0796A"/>
    <w:rsid w:val="00F07B9E"/>
    <w:rsid w:val="00F07BEA"/>
    <w:rsid w:val="00F10050"/>
    <w:rsid w:val="00F10862"/>
    <w:rsid w:val="00F10E9E"/>
    <w:rsid w:val="00F1116F"/>
    <w:rsid w:val="00F1263A"/>
    <w:rsid w:val="00F12696"/>
    <w:rsid w:val="00F13374"/>
    <w:rsid w:val="00F13E17"/>
    <w:rsid w:val="00F15580"/>
    <w:rsid w:val="00F15B77"/>
    <w:rsid w:val="00F15FE8"/>
    <w:rsid w:val="00F166F9"/>
    <w:rsid w:val="00F167FA"/>
    <w:rsid w:val="00F17B67"/>
    <w:rsid w:val="00F17F84"/>
    <w:rsid w:val="00F20D6D"/>
    <w:rsid w:val="00F21278"/>
    <w:rsid w:val="00F21872"/>
    <w:rsid w:val="00F21E98"/>
    <w:rsid w:val="00F22834"/>
    <w:rsid w:val="00F229AF"/>
    <w:rsid w:val="00F232C9"/>
    <w:rsid w:val="00F2363B"/>
    <w:rsid w:val="00F23AF9"/>
    <w:rsid w:val="00F247BD"/>
    <w:rsid w:val="00F24837"/>
    <w:rsid w:val="00F25045"/>
    <w:rsid w:val="00F2575F"/>
    <w:rsid w:val="00F2577F"/>
    <w:rsid w:val="00F259CA"/>
    <w:rsid w:val="00F263AC"/>
    <w:rsid w:val="00F27565"/>
    <w:rsid w:val="00F310D4"/>
    <w:rsid w:val="00F312E2"/>
    <w:rsid w:val="00F314BD"/>
    <w:rsid w:val="00F31D5A"/>
    <w:rsid w:val="00F33144"/>
    <w:rsid w:val="00F3327C"/>
    <w:rsid w:val="00F335DE"/>
    <w:rsid w:val="00F33975"/>
    <w:rsid w:val="00F33DE9"/>
    <w:rsid w:val="00F352B5"/>
    <w:rsid w:val="00F35E6D"/>
    <w:rsid w:val="00F3619A"/>
    <w:rsid w:val="00F3701B"/>
    <w:rsid w:val="00F37BA1"/>
    <w:rsid w:val="00F40AAA"/>
    <w:rsid w:val="00F40BA7"/>
    <w:rsid w:val="00F40CCB"/>
    <w:rsid w:val="00F40F9D"/>
    <w:rsid w:val="00F4101D"/>
    <w:rsid w:val="00F41ACD"/>
    <w:rsid w:val="00F42BE9"/>
    <w:rsid w:val="00F4400F"/>
    <w:rsid w:val="00F4446F"/>
    <w:rsid w:val="00F453A0"/>
    <w:rsid w:val="00F45D3D"/>
    <w:rsid w:val="00F46CB6"/>
    <w:rsid w:val="00F4756D"/>
    <w:rsid w:val="00F47DE8"/>
    <w:rsid w:val="00F50185"/>
    <w:rsid w:val="00F506A3"/>
    <w:rsid w:val="00F50D46"/>
    <w:rsid w:val="00F51D5A"/>
    <w:rsid w:val="00F52FB5"/>
    <w:rsid w:val="00F53285"/>
    <w:rsid w:val="00F5354B"/>
    <w:rsid w:val="00F53A25"/>
    <w:rsid w:val="00F53D03"/>
    <w:rsid w:val="00F542C1"/>
    <w:rsid w:val="00F552EB"/>
    <w:rsid w:val="00F55E73"/>
    <w:rsid w:val="00F55EDA"/>
    <w:rsid w:val="00F56071"/>
    <w:rsid w:val="00F5687E"/>
    <w:rsid w:val="00F56C80"/>
    <w:rsid w:val="00F56CDF"/>
    <w:rsid w:val="00F57C34"/>
    <w:rsid w:val="00F60092"/>
    <w:rsid w:val="00F606A0"/>
    <w:rsid w:val="00F61C18"/>
    <w:rsid w:val="00F63ACE"/>
    <w:rsid w:val="00F652A8"/>
    <w:rsid w:val="00F65F4B"/>
    <w:rsid w:val="00F6678C"/>
    <w:rsid w:val="00F669B1"/>
    <w:rsid w:val="00F67A69"/>
    <w:rsid w:val="00F70BFF"/>
    <w:rsid w:val="00F70C9D"/>
    <w:rsid w:val="00F70F4D"/>
    <w:rsid w:val="00F71377"/>
    <w:rsid w:val="00F721AE"/>
    <w:rsid w:val="00F74717"/>
    <w:rsid w:val="00F74CD9"/>
    <w:rsid w:val="00F75801"/>
    <w:rsid w:val="00F7586C"/>
    <w:rsid w:val="00F7592B"/>
    <w:rsid w:val="00F77A85"/>
    <w:rsid w:val="00F77D33"/>
    <w:rsid w:val="00F800BE"/>
    <w:rsid w:val="00F80356"/>
    <w:rsid w:val="00F8055A"/>
    <w:rsid w:val="00F80A7B"/>
    <w:rsid w:val="00F80E5D"/>
    <w:rsid w:val="00F80F94"/>
    <w:rsid w:val="00F8140D"/>
    <w:rsid w:val="00F81E78"/>
    <w:rsid w:val="00F8264B"/>
    <w:rsid w:val="00F83757"/>
    <w:rsid w:val="00F83D33"/>
    <w:rsid w:val="00F84ECC"/>
    <w:rsid w:val="00F851CE"/>
    <w:rsid w:val="00F85AB0"/>
    <w:rsid w:val="00F85EF6"/>
    <w:rsid w:val="00F8648A"/>
    <w:rsid w:val="00F867ED"/>
    <w:rsid w:val="00F86D8D"/>
    <w:rsid w:val="00F87A8C"/>
    <w:rsid w:val="00F87AFB"/>
    <w:rsid w:val="00F90745"/>
    <w:rsid w:val="00F90CD9"/>
    <w:rsid w:val="00F91219"/>
    <w:rsid w:val="00F917AB"/>
    <w:rsid w:val="00F91FB8"/>
    <w:rsid w:val="00F92444"/>
    <w:rsid w:val="00F92D56"/>
    <w:rsid w:val="00F93571"/>
    <w:rsid w:val="00F938AD"/>
    <w:rsid w:val="00F9393E"/>
    <w:rsid w:val="00F95577"/>
    <w:rsid w:val="00F95F85"/>
    <w:rsid w:val="00F9604C"/>
    <w:rsid w:val="00F96208"/>
    <w:rsid w:val="00F96FD0"/>
    <w:rsid w:val="00F97A78"/>
    <w:rsid w:val="00F97D89"/>
    <w:rsid w:val="00FA0470"/>
    <w:rsid w:val="00FA0B20"/>
    <w:rsid w:val="00FA0EF5"/>
    <w:rsid w:val="00FA10A0"/>
    <w:rsid w:val="00FA18D3"/>
    <w:rsid w:val="00FA244B"/>
    <w:rsid w:val="00FA24E7"/>
    <w:rsid w:val="00FA2635"/>
    <w:rsid w:val="00FA27FA"/>
    <w:rsid w:val="00FA29A1"/>
    <w:rsid w:val="00FA2FC1"/>
    <w:rsid w:val="00FA3377"/>
    <w:rsid w:val="00FA4675"/>
    <w:rsid w:val="00FA47B3"/>
    <w:rsid w:val="00FA4E9D"/>
    <w:rsid w:val="00FA505C"/>
    <w:rsid w:val="00FA5EE6"/>
    <w:rsid w:val="00FA6226"/>
    <w:rsid w:val="00FA6543"/>
    <w:rsid w:val="00FA6A22"/>
    <w:rsid w:val="00FA7956"/>
    <w:rsid w:val="00FA7BD2"/>
    <w:rsid w:val="00FB01F9"/>
    <w:rsid w:val="00FB07A4"/>
    <w:rsid w:val="00FB087D"/>
    <w:rsid w:val="00FB0A9F"/>
    <w:rsid w:val="00FB0D29"/>
    <w:rsid w:val="00FB10F7"/>
    <w:rsid w:val="00FB18FD"/>
    <w:rsid w:val="00FB1C4D"/>
    <w:rsid w:val="00FB1EA7"/>
    <w:rsid w:val="00FB2110"/>
    <w:rsid w:val="00FB23FE"/>
    <w:rsid w:val="00FB24A5"/>
    <w:rsid w:val="00FB2CA0"/>
    <w:rsid w:val="00FB2F50"/>
    <w:rsid w:val="00FB2FCB"/>
    <w:rsid w:val="00FB3F13"/>
    <w:rsid w:val="00FB42F4"/>
    <w:rsid w:val="00FB46AC"/>
    <w:rsid w:val="00FB51E2"/>
    <w:rsid w:val="00FB5469"/>
    <w:rsid w:val="00FB5ED0"/>
    <w:rsid w:val="00FB63F3"/>
    <w:rsid w:val="00FB683F"/>
    <w:rsid w:val="00FB6BB0"/>
    <w:rsid w:val="00FB6BE3"/>
    <w:rsid w:val="00FB7808"/>
    <w:rsid w:val="00FB7C55"/>
    <w:rsid w:val="00FC1074"/>
    <w:rsid w:val="00FC17CA"/>
    <w:rsid w:val="00FC1884"/>
    <w:rsid w:val="00FC1899"/>
    <w:rsid w:val="00FC23D9"/>
    <w:rsid w:val="00FC2E6E"/>
    <w:rsid w:val="00FC3000"/>
    <w:rsid w:val="00FC371D"/>
    <w:rsid w:val="00FC3ACC"/>
    <w:rsid w:val="00FC4983"/>
    <w:rsid w:val="00FC4DAD"/>
    <w:rsid w:val="00FC56C5"/>
    <w:rsid w:val="00FC5F0B"/>
    <w:rsid w:val="00FC639E"/>
    <w:rsid w:val="00FC6830"/>
    <w:rsid w:val="00FC6DBF"/>
    <w:rsid w:val="00FC7478"/>
    <w:rsid w:val="00FC7D0E"/>
    <w:rsid w:val="00FD0146"/>
    <w:rsid w:val="00FD017E"/>
    <w:rsid w:val="00FD0636"/>
    <w:rsid w:val="00FD0B64"/>
    <w:rsid w:val="00FD0B78"/>
    <w:rsid w:val="00FD1AEC"/>
    <w:rsid w:val="00FD2100"/>
    <w:rsid w:val="00FD21FF"/>
    <w:rsid w:val="00FD27A1"/>
    <w:rsid w:val="00FD3DD1"/>
    <w:rsid w:val="00FD436C"/>
    <w:rsid w:val="00FD446D"/>
    <w:rsid w:val="00FD457E"/>
    <w:rsid w:val="00FD4F02"/>
    <w:rsid w:val="00FD4F2C"/>
    <w:rsid w:val="00FD5830"/>
    <w:rsid w:val="00FD5995"/>
    <w:rsid w:val="00FD5CA9"/>
    <w:rsid w:val="00FD6394"/>
    <w:rsid w:val="00FD69CB"/>
    <w:rsid w:val="00FD6BE2"/>
    <w:rsid w:val="00FD7414"/>
    <w:rsid w:val="00FD74D4"/>
    <w:rsid w:val="00FD7781"/>
    <w:rsid w:val="00FD7C04"/>
    <w:rsid w:val="00FD7D30"/>
    <w:rsid w:val="00FE0285"/>
    <w:rsid w:val="00FE0E6C"/>
    <w:rsid w:val="00FE1CDC"/>
    <w:rsid w:val="00FE2459"/>
    <w:rsid w:val="00FE392A"/>
    <w:rsid w:val="00FE4C1D"/>
    <w:rsid w:val="00FE5B5A"/>
    <w:rsid w:val="00FE70C3"/>
    <w:rsid w:val="00FE7394"/>
    <w:rsid w:val="00FE7818"/>
    <w:rsid w:val="00FF0725"/>
    <w:rsid w:val="00FF0921"/>
    <w:rsid w:val="00FF1481"/>
    <w:rsid w:val="00FF1B0B"/>
    <w:rsid w:val="00FF2AD9"/>
    <w:rsid w:val="00FF359F"/>
    <w:rsid w:val="00FF3D64"/>
    <w:rsid w:val="00FF3DCF"/>
    <w:rsid w:val="00FF3E5C"/>
    <w:rsid w:val="00FF43F7"/>
    <w:rsid w:val="00FF4402"/>
    <w:rsid w:val="00FF48BE"/>
    <w:rsid w:val="00FF492C"/>
    <w:rsid w:val="00FF4A21"/>
    <w:rsid w:val="00FF58A8"/>
    <w:rsid w:val="00FF5AA3"/>
    <w:rsid w:val="00FF5AD8"/>
    <w:rsid w:val="00FF6185"/>
    <w:rsid w:val="00FF7718"/>
    <w:rsid w:val="00FF794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0CF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E0A"/>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310E88"/>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styleId="Header">
    <w:name w:val="header"/>
    <w:aliases w:val="Page Header,Header title,he=header,cntr/bld"/>
    <w:basedOn w:val="Normal"/>
    <w:link w:val="HeaderChar"/>
    <w:uiPriority w:val="99"/>
    <w:unhideWhenUsed/>
    <w:qFormat/>
    <w:rsid w:val="002336A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2336AD"/>
    <w:rPr>
      <w:rFonts w:ascii="Calibri" w:hAnsi="Calibri" w:cs="Arial"/>
      <w:sz w:val="24"/>
      <w:szCs w:val="24"/>
    </w:rPr>
  </w:style>
  <w:style w:type="paragraph" w:styleId="Footer">
    <w:name w:val="footer"/>
    <w:basedOn w:val="Normal"/>
    <w:link w:val="FooterChar"/>
    <w:uiPriority w:val="99"/>
    <w:unhideWhenUsed/>
    <w:rsid w:val="002336AD"/>
    <w:pPr>
      <w:tabs>
        <w:tab w:val="center" w:pos="4513"/>
        <w:tab w:val="right" w:pos="9026"/>
      </w:tabs>
    </w:pPr>
  </w:style>
  <w:style w:type="character" w:customStyle="1" w:styleId="FooterChar">
    <w:name w:val="Footer Char"/>
    <w:basedOn w:val="DefaultParagraphFont"/>
    <w:link w:val="Footer"/>
    <w:uiPriority w:val="99"/>
    <w:rsid w:val="002336AD"/>
    <w:rPr>
      <w:rFonts w:ascii="Calibri" w:hAnsi="Calibri" w:cs="Arial"/>
      <w:sz w:val="24"/>
      <w:szCs w:val="24"/>
    </w:rPr>
  </w:style>
  <w:style w:type="character" w:styleId="CommentReference">
    <w:name w:val="annotation reference"/>
    <w:aliases w:val="Table Title"/>
    <w:basedOn w:val="DefaultParagraphFont"/>
    <w:uiPriority w:val="99"/>
    <w:unhideWhenUsed/>
    <w:qFormat/>
    <w:rsid w:val="00386EA5"/>
    <w:rPr>
      <w:sz w:val="16"/>
      <w:szCs w:val="16"/>
    </w:rPr>
  </w:style>
  <w:style w:type="paragraph" w:styleId="CommentText">
    <w:name w:val="annotation text"/>
    <w:aliases w:val="- H19,Comment Text Char1 Char,Comment Text Char Char Char"/>
    <w:basedOn w:val="Normal"/>
    <w:link w:val="CommentTextChar"/>
    <w:uiPriority w:val="99"/>
    <w:unhideWhenUsed/>
    <w:qFormat/>
    <w:rsid w:val="00386EA5"/>
    <w:rPr>
      <w:sz w:val="20"/>
      <w:szCs w:val="20"/>
    </w:rPr>
  </w:style>
  <w:style w:type="character" w:customStyle="1" w:styleId="CommentTextChar">
    <w:name w:val="Comment Text Char"/>
    <w:aliases w:val="- H19 Char,Comment Text Char1 Char Char,Comment Text Char Char Char Char"/>
    <w:basedOn w:val="DefaultParagraphFont"/>
    <w:link w:val="CommentText"/>
    <w:uiPriority w:val="99"/>
    <w:rsid w:val="00386EA5"/>
    <w:rPr>
      <w:rFonts w:ascii="Calibri" w:hAnsi="Calibri" w:cs="Arial"/>
    </w:rPr>
  </w:style>
  <w:style w:type="paragraph" w:styleId="CommentSubject">
    <w:name w:val="annotation subject"/>
    <w:basedOn w:val="CommentText"/>
    <w:next w:val="CommentText"/>
    <w:link w:val="CommentSubjectChar"/>
    <w:semiHidden/>
    <w:unhideWhenUsed/>
    <w:rsid w:val="00386EA5"/>
    <w:rPr>
      <w:b/>
      <w:bCs/>
    </w:rPr>
  </w:style>
  <w:style w:type="character" w:customStyle="1" w:styleId="CommentSubjectChar">
    <w:name w:val="Comment Subject Char"/>
    <w:basedOn w:val="CommentTextChar"/>
    <w:link w:val="CommentSubject"/>
    <w:semiHidden/>
    <w:rsid w:val="00386EA5"/>
    <w:rPr>
      <w:rFonts w:ascii="Calibri" w:hAnsi="Calibri" w:cs="Arial"/>
      <w:b/>
      <w:bCs/>
    </w:rPr>
  </w:style>
  <w:style w:type="paragraph" w:styleId="ListParagraph">
    <w:name w:val="List Paragraph"/>
    <w:aliases w:val="Body Text Bullet Points,Numbered para,BulletPoints,List Paragraph1,Bullet point,List Paragraph11,Recommendation,Section heading,Footnote,Styl moj,Akapit z listą11,Table Legend,ES Paragraph,PBAC ES Paragraph,PBAC normal points,Bullet List"/>
    <w:next w:val="ListBullet"/>
    <w:link w:val="ListParagraphChar"/>
    <w:uiPriority w:val="34"/>
    <w:qFormat/>
    <w:rsid w:val="007541C8"/>
    <w:pPr>
      <w:spacing w:after="120"/>
      <w:ind w:left="720" w:hanging="36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1 Char"/>
    <w:basedOn w:val="DefaultParagraphFont"/>
    <w:link w:val="ListParagraph"/>
    <w:uiPriority w:val="34"/>
    <w:qFormat/>
    <w:locked/>
    <w:rsid w:val="007541C8"/>
    <w:rPr>
      <w:rFonts w:asciiTheme="minorHAnsi" w:hAnsiTheme="minorHAnsi" w:cs="Arial"/>
      <w:snapToGrid w:val="0"/>
      <w:sz w:val="24"/>
      <w:szCs w:val="24"/>
    </w:rPr>
  </w:style>
  <w:style w:type="paragraph" w:customStyle="1" w:styleId="TableFigureHeading">
    <w:name w:val="Table/Figure Heading"/>
    <w:next w:val="Normal"/>
    <w:link w:val="TableFigureHeadingChar"/>
    <w:qFormat/>
    <w:rsid w:val="00E8511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E85113"/>
    <w:rPr>
      <w:rFonts w:ascii="Arial Narrow" w:eastAsiaTheme="majorEastAsia" w:hAnsi="Arial Narrow" w:cstheme="majorBidi"/>
      <w:b/>
      <w:bCs/>
      <w:szCs w:val="24"/>
    </w:rPr>
  </w:style>
  <w:style w:type="paragraph" w:customStyle="1" w:styleId="TableFooter">
    <w:name w:val="Table Footer"/>
    <w:basedOn w:val="Normal"/>
    <w:link w:val="TableFooterChar"/>
    <w:qFormat/>
    <w:rsid w:val="00C979D4"/>
    <w:pPr>
      <w:widowControl w:val="0"/>
      <w:contextualSpacing/>
    </w:pPr>
    <w:rPr>
      <w:rFonts w:ascii="Arial Narrow" w:hAnsi="Arial Narrow"/>
      <w:snapToGrid w:val="0"/>
      <w:sz w:val="18"/>
      <w:szCs w:val="20"/>
      <w:lang w:eastAsia="en-US"/>
    </w:rPr>
  </w:style>
  <w:style w:type="character" w:customStyle="1" w:styleId="TableFooterChar">
    <w:name w:val="Table Footer Char"/>
    <w:link w:val="TableFooter"/>
    <w:rsid w:val="00C979D4"/>
    <w:rPr>
      <w:rFonts w:ascii="Arial Narrow" w:hAnsi="Arial Narrow" w:cs="Arial"/>
      <w:snapToGrid w:val="0"/>
      <w:sz w:val="18"/>
      <w:lang w:eastAsia="en-US"/>
    </w:rPr>
  </w:style>
  <w:style w:type="paragraph" w:customStyle="1" w:styleId="Tabletext0">
    <w:name w:val="Table text"/>
    <w:basedOn w:val="Normal"/>
    <w:link w:val="TabletextChar0"/>
    <w:uiPriority w:val="2"/>
    <w:qFormat/>
    <w:rsid w:val="00C979D4"/>
    <w:pPr>
      <w:jc w:val="left"/>
    </w:pPr>
    <w:rPr>
      <w:rFonts w:ascii="Arial Narrow" w:hAnsi="Arial Narrow" w:cs="Times New Roman"/>
      <w:sz w:val="20"/>
      <w:szCs w:val="20"/>
      <w:lang w:eastAsia="en-US"/>
    </w:rPr>
  </w:style>
  <w:style w:type="character" w:customStyle="1" w:styleId="TabletextChar0">
    <w:name w:val="Table text Char"/>
    <w:link w:val="Tabletext0"/>
    <w:uiPriority w:val="2"/>
    <w:rsid w:val="00C979D4"/>
    <w:rPr>
      <w:rFonts w:ascii="Arial Narrow" w:hAnsi="Arial Narrow"/>
      <w:lang w:eastAsia="en-US"/>
    </w:rPr>
  </w:style>
  <w:style w:type="paragraph" w:styleId="BodyText">
    <w:name w:val="Body Text"/>
    <w:basedOn w:val="Normal"/>
    <w:link w:val="BodyTextChar"/>
    <w:qFormat/>
    <w:rsid w:val="00C05C71"/>
    <w:pPr>
      <w:widowControl w:val="0"/>
    </w:pPr>
    <w:rPr>
      <w:rFonts w:asciiTheme="minorHAnsi" w:hAnsiTheme="minorHAnsi"/>
      <w:snapToGrid w:val="0"/>
      <w:szCs w:val="20"/>
      <w:lang w:eastAsia="en-US"/>
    </w:rPr>
  </w:style>
  <w:style w:type="character" w:customStyle="1" w:styleId="BodyTextChar">
    <w:name w:val="Body Text Char"/>
    <w:basedOn w:val="DefaultParagraphFont"/>
    <w:link w:val="BodyText"/>
    <w:rsid w:val="00C05C71"/>
    <w:rPr>
      <w:rFonts w:asciiTheme="minorHAnsi" w:hAnsiTheme="minorHAnsi" w:cs="Arial"/>
      <w:snapToGrid w:val="0"/>
      <w:sz w:val="24"/>
      <w:lang w:eastAsia="en-US"/>
    </w:rPr>
  </w:style>
  <w:style w:type="paragraph" w:customStyle="1" w:styleId="TableHeading">
    <w:name w:val="Table Heading"/>
    <w:basedOn w:val="TableText"/>
    <w:link w:val="TableHeadingChar"/>
    <w:qFormat/>
    <w:rsid w:val="007767F1"/>
    <w:pPr>
      <w:keepLines/>
    </w:pPr>
    <w:rPr>
      <w:rFonts w:cs="Arial"/>
      <w:b/>
      <w:bCs w:val="0"/>
      <w:szCs w:val="20"/>
      <w:lang w:bidi="en-US"/>
    </w:rPr>
  </w:style>
  <w:style w:type="character" w:customStyle="1" w:styleId="TableHeadingChar">
    <w:name w:val="Table Heading Char"/>
    <w:link w:val="TableHeading"/>
    <w:rsid w:val="007767F1"/>
    <w:rPr>
      <w:rFonts w:ascii="Arial Narrow" w:eastAsiaTheme="majorEastAsia" w:hAnsi="Arial Narrow" w:cs="Arial"/>
      <w:b/>
      <w:lang w:bidi="en-US"/>
    </w:rPr>
  </w:style>
  <w:style w:type="paragraph" w:customStyle="1" w:styleId="Corpsdetextemarge">
    <w:name w:val="Corps de texte marge"/>
    <w:basedOn w:val="BodyText"/>
    <w:uiPriority w:val="99"/>
    <w:rsid w:val="00AE5523"/>
    <w:pPr>
      <w:widowControl/>
    </w:pPr>
    <w:rPr>
      <w:rFonts w:ascii="Times" w:hAnsi="Times" w:cs="Times New Roman"/>
      <w:snapToGrid/>
      <w:szCs w:val="22"/>
      <w:lang w:val="en-US"/>
    </w:r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12 Char"/>
    <w:basedOn w:val="DefaultParagraphFont"/>
    <w:link w:val="Caption"/>
    <w:uiPriority w:val="99"/>
    <w:locked/>
    <w:rsid w:val="002C2D19"/>
    <w:rPr>
      <w:rFonts w:ascii="Arial" w:hAnsi="Arial" w:cs="Arial"/>
      <w:b/>
      <w:bCs/>
      <w:color w:val="000000"/>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12,legend"/>
    <w:basedOn w:val="Normal"/>
    <w:link w:val="CaptionChar"/>
    <w:uiPriority w:val="99"/>
    <w:unhideWhenUsed/>
    <w:qFormat/>
    <w:rsid w:val="002C2D19"/>
    <w:pPr>
      <w:keepNext/>
      <w:spacing w:after="200"/>
      <w:jc w:val="left"/>
    </w:pPr>
    <w:rPr>
      <w:rFonts w:ascii="Arial" w:hAnsi="Arial"/>
      <w:b/>
      <w:bCs/>
      <w:color w:val="000000"/>
      <w:sz w:val="20"/>
      <w:szCs w:val="20"/>
    </w:rPr>
  </w:style>
  <w:style w:type="character" w:customStyle="1" w:styleId="SourcesChar">
    <w:name w:val="Sources Char"/>
    <w:basedOn w:val="DefaultParagraphFont"/>
    <w:link w:val="Sources"/>
    <w:locked/>
    <w:rsid w:val="002C2D19"/>
    <w:rPr>
      <w:rFonts w:ascii="Arial" w:hAnsi="Arial" w:cs="Arial"/>
    </w:rPr>
  </w:style>
  <w:style w:type="paragraph" w:customStyle="1" w:styleId="Sources">
    <w:name w:val="Sources"/>
    <w:basedOn w:val="Normal"/>
    <w:link w:val="SourcesChar"/>
    <w:rsid w:val="002C2D19"/>
    <w:pPr>
      <w:spacing w:before="120" w:after="120"/>
      <w:jc w:val="left"/>
    </w:pPr>
    <w:rPr>
      <w:rFonts w:ascii="Arial" w:hAnsi="Arial"/>
      <w:sz w:val="20"/>
      <w:szCs w:val="20"/>
    </w:rPr>
  </w:style>
  <w:style w:type="paragraph" w:customStyle="1" w:styleId="PBACHeading1">
    <w:name w:val="PBAC Heading 1"/>
    <w:qFormat/>
    <w:rsid w:val="0023715E"/>
    <w:pPr>
      <w:ind w:left="720" w:hanging="720"/>
    </w:pPr>
    <w:rPr>
      <w:rFonts w:ascii="Calibri" w:hAnsi="Calibri" w:cs="Arial"/>
      <w:b/>
      <w:snapToGrid w:val="0"/>
      <w:sz w:val="32"/>
      <w:szCs w:val="22"/>
      <w:lang w:eastAsia="en-US"/>
    </w:rPr>
  </w:style>
  <w:style w:type="paragraph" w:customStyle="1" w:styleId="In-tableHeading">
    <w:name w:val="In-table Heading"/>
    <w:qFormat/>
    <w:rsid w:val="00446FEF"/>
    <w:pPr>
      <w:keepNext/>
    </w:pPr>
    <w:rPr>
      <w:rFonts w:ascii="Arial Narrow" w:eastAsiaTheme="majorEastAsia" w:hAnsi="Arial Narrow"/>
      <w:b/>
      <w:szCs w:val="24"/>
      <w:lang w:val="en-US" w:eastAsia="en-US"/>
    </w:rPr>
  </w:style>
  <w:style w:type="paragraph" w:styleId="TOCHeading">
    <w:name w:val="TOC Heading"/>
    <w:basedOn w:val="Heading1"/>
    <w:next w:val="Normal"/>
    <w:uiPriority w:val="39"/>
    <w:unhideWhenUsed/>
    <w:qFormat/>
    <w:rsid w:val="004D6448"/>
    <w:pPr>
      <w:keepNext/>
      <w:keepLines/>
      <w:spacing w:before="240" w:line="259" w:lineRule="auto"/>
      <w:ind w:left="0" w:firstLine="0"/>
      <w:jc w:val="left"/>
      <w:outlineLvl w:val="9"/>
    </w:pPr>
    <w:rPr>
      <w:rFonts w:asciiTheme="majorHAnsi" w:eastAsiaTheme="majorEastAsia" w:hAnsiTheme="majorHAnsi" w:cstheme="majorBidi"/>
      <w:b w:val="0"/>
      <w:caps w:val="0"/>
      <w:color w:val="365F91" w:themeColor="accent1" w:themeShade="BF"/>
      <w:szCs w:val="32"/>
      <w:lang w:val="en-US" w:eastAsia="en-US"/>
    </w:rPr>
  </w:style>
  <w:style w:type="paragraph" w:styleId="TOC4">
    <w:name w:val="toc 4"/>
    <w:basedOn w:val="Normal"/>
    <w:next w:val="Normal"/>
    <w:autoRedefine/>
    <w:uiPriority w:val="39"/>
    <w:unhideWhenUsed/>
    <w:rsid w:val="004D6448"/>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D6448"/>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D6448"/>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D6448"/>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D6448"/>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D6448"/>
    <w:pPr>
      <w:spacing w:after="100" w:line="259" w:lineRule="auto"/>
      <w:ind w:left="1760"/>
      <w:jc w:val="left"/>
    </w:pPr>
    <w:rPr>
      <w:rFonts w:asciiTheme="minorHAnsi" w:eastAsiaTheme="minorEastAsia" w:hAnsiTheme="minorHAnsi" w:cstheme="minorBidi"/>
      <w:sz w:val="22"/>
      <w:szCs w:val="22"/>
    </w:rPr>
  </w:style>
  <w:style w:type="paragraph" w:styleId="Subtitle">
    <w:name w:val="Subtitle"/>
    <w:basedOn w:val="Normal"/>
    <w:link w:val="SubtitleChar"/>
    <w:qFormat/>
    <w:rsid w:val="00D30D2E"/>
    <w:rPr>
      <w:rFonts w:ascii="Times New Roman" w:hAnsi="Times New Roman" w:cs="Times New Roman"/>
      <w:b/>
      <w:szCs w:val="20"/>
    </w:rPr>
  </w:style>
  <w:style w:type="character" w:customStyle="1" w:styleId="SubtitleChar">
    <w:name w:val="Subtitle Char"/>
    <w:basedOn w:val="DefaultParagraphFont"/>
    <w:link w:val="Subtitle"/>
    <w:rsid w:val="00D30D2E"/>
    <w:rPr>
      <w:b/>
      <w:sz w:val="24"/>
    </w:rPr>
  </w:style>
  <w:style w:type="paragraph" w:customStyle="1" w:styleId="null">
    <w:name w:val="null"/>
    <w:basedOn w:val="Normal"/>
    <w:rsid w:val="00D644D6"/>
    <w:pPr>
      <w:spacing w:before="100" w:beforeAutospacing="1" w:after="100" w:afterAutospacing="1"/>
      <w:jc w:val="left"/>
    </w:pPr>
    <w:rPr>
      <w:rFonts w:cs="Calibri"/>
      <w:sz w:val="22"/>
      <w:szCs w:val="22"/>
    </w:rPr>
  </w:style>
  <w:style w:type="character" w:customStyle="1" w:styleId="UnresolvedMention1">
    <w:name w:val="Unresolved Mention1"/>
    <w:basedOn w:val="DefaultParagraphFont"/>
    <w:uiPriority w:val="99"/>
    <w:semiHidden/>
    <w:unhideWhenUsed/>
    <w:rsid w:val="00ED6548"/>
    <w:rPr>
      <w:color w:val="605E5C"/>
      <w:shd w:val="clear" w:color="auto" w:fill="E1DFDD"/>
    </w:rPr>
  </w:style>
  <w:style w:type="paragraph" w:styleId="FootnoteText">
    <w:name w:val="footnote text"/>
    <w:basedOn w:val="Normal"/>
    <w:link w:val="FootnoteTextChar"/>
    <w:semiHidden/>
    <w:unhideWhenUsed/>
    <w:rsid w:val="00DF0C94"/>
    <w:rPr>
      <w:sz w:val="20"/>
      <w:szCs w:val="20"/>
    </w:rPr>
  </w:style>
  <w:style w:type="character" w:customStyle="1" w:styleId="FootnoteTextChar">
    <w:name w:val="Footnote Text Char"/>
    <w:basedOn w:val="DefaultParagraphFont"/>
    <w:link w:val="FootnoteText"/>
    <w:semiHidden/>
    <w:rsid w:val="00DF0C94"/>
    <w:rPr>
      <w:rFonts w:ascii="Calibri" w:hAnsi="Calibri" w:cs="Arial"/>
    </w:rPr>
  </w:style>
  <w:style w:type="character" w:styleId="FootnoteReference">
    <w:name w:val="footnote reference"/>
    <w:basedOn w:val="DefaultParagraphFont"/>
    <w:semiHidden/>
    <w:unhideWhenUsed/>
    <w:rsid w:val="00DF0C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6997">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02030944">
      <w:bodyDiv w:val="1"/>
      <w:marLeft w:val="0"/>
      <w:marRight w:val="0"/>
      <w:marTop w:val="0"/>
      <w:marBottom w:val="0"/>
      <w:divBdr>
        <w:top w:val="none" w:sz="0" w:space="0" w:color="auto"/>
        <w:left w:val="none" w:sz="0" w:space="0" w:color="auto"/>
        <w:bottom w:val="none" w:sz="0" w:space="0" w:color="auto"/>
        <w:right w:val="none" w:sz="0" w:space="0" w:color="auto"/>
      </w:divBdr>
    </w:div>
    <w:div w:id="654265423">
      <w:bodyDiv w:val="1"/>
      <w:marLeft w:val="0"/>
      <w:marRight w:val="0"/>
      <w:marTop w:val="0"/>
      <w:marBottom w:val="0"/>
      <w:divBdr>
        <w:top w:val="none" w:sz="0" w:space="0" w:color="auto"/>
        <w:left w:val="none" w:sz="0" w:space="0" w:color="auto"/>
        <w:bottom w:val="none" w:sz="0" w:space="0" w:color="auto"/>
        <w:right w:val="none" w:sz="0" w:space="0" w:color="auto"/>
      </w:divBdr>
    </w:div>
    <w:div w:id="658770226">
      <w:bodyDiv w:val="1"/>
      <w:marLeft w:val="0"/>
      <w:marRight w:val="0"/>
      <w:marTop w:val="0"/>
      <w:marBottom w:val="0"/>
      <w:divBdr>
        <w:top w:val="none" w:sz="0" w:space="0" w:color="auto"/>
        <w:left w:val="none" w:sz="0" w:space="0" w:color="auto"/>
        <w:bottom w:val="none" w:sz="0" w:space="0" w:color="auto"/>
        <w:right w:val="none" w:sz="0" w:space="0" w:color="auto"/>
      </w:divBdr>
    </w:div>
    <w:div w:id="83041359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7378">
      <w:bodyDiv w:val="1"/>
      <w:marLeft w:val="0"/>
      <w:marRight w:val="0"/>
      <w:marTop w:val="0"/>
      <w:marBottom w:val="0"/>
      <w:divBdr>
        <w:top w:val="none" w:sz="0" w:space="0" w:color="auto"/>
        <w:left w:val="none" w:sz="0" w:space="0" w:color="auto"/>
        <w:bottom w:val="none" w:sz="0" w:space="0" w:color="auto"/>
        <w:right w:val="none" w:sz="0" w:space="0" w:color="auto"/>
      </w:divBdr>
      <w:divsChild>
        <w:div w:id="118229413">
          <w:marLeft w:val="0"/>
          <w:marRight w:val="0"/>
          <w:marTop w:val="120"/>
          <w:marBottom w:val="120"/>
          <w:divBdr>
            <w:top w:val="none" w:sz="0" w:space="0" w:color="auto"/>
            <w:left w:val="none" w:sz="0" w:space="0" w:color="auto"/>
            <w:bottom w:val="none" w:sz="0" w:space="0" w:color="auto"/>
            <w:right w:val="none" w:sz="0" w:space="0" w:color="auto"/>
          </w:divBdr>
        </w:div>
        <w:div w:id="296569495">
          <w:marLeft w:val="0"/>
          <w:marRight w:val="0"/>
          <w:marTop w:val="120"/>
          <w:marBottom w:val="120"/>
          <w:divBdr>
            <w:top w:val="none" w:sz="0" w:space="0" w:color="auto"/>
            <w:left w:val="none" w:sz="0" w:space="0" w:color="auto"/>
            <w:bottom w:val="none" w:sz="0" w:space="0" w:color="auto"/>
            <w:right w:val="none" w:sz="0" w:space="0" w:color="auto"/>
          </w:divBdr>
        </w:div>
        <w:div w:id="470830997">
          <w:marLeft w:val="0"/>
          <w:marRight w:val="0"/>
          <w:marTop w:val="120"/>
          <w:marBottom w:val="120"/>
          <w:divBdr>
            <w:top w:val="none" w:sz="0" w:space="0" w:color="auto"/>
            <w:left w:val="none" w:sz="0" w:space="0" w:color="auto"/>
            <w:bottom w:val="none" w:sz="0" w:space="0" w:color="auto"/>
            <w:right w:val="none" w:sz="0" w:space="0" w:color="auto"/>
          </w:divBdr>
        </w:div>
        <w:div w:id="540290690">
          <w:marLeft w:val="0"/>
          <w:marRight w:val="0"/>
          <w:marTop w:val="120"/>
          <w:marBottom w:val="120"/>
          <w:divBdr>
            <w:top w:val="none" w:sz="0" w:space="0" w:color="auto"/>
            <w:left w:val="none" w:sz="0" w:space="0" w:color="auto"/>
            <w:bottom w:val="none" w:sz="0" w:space="0" w:color="auto"/>
            <w:right w:val="none" w:sz="0" w:space="0" w:color="auto"/>
          </w:divBdr>
        </w:div>
        <w:div w:id="548953099">
          <w:marLeft w:val="0"/>
          <w:marRight w:val="0"/>
          <w:marTop w:val="120"/>
          <w:marBottom w:val="120"/>
          <w:divBdr>
            <w:top w:val="none" w:sz="0" w:space="0" w:color="auto"/>
            <w:left w:val="none" w:sz="0" w:space="0" w:color="auto"/>
            <w:bottom w:val="none" w:sz="0" w:space="0" w:color="auto"/>
            <w:right w:val="none" w:sz="0" w:space="0" w:color="auto"/>
          </w:divBdr>
        </w:div>
        <w:div w:id="675615938">
          <w:marLeft w:val="0"/>
          <w:marRight w:val="0"/>
          <w:marTop w:val="120"/>
          <w:marBottom w:val="120"/>
          <w:divBdr>
            <w:top w:val="none" w:sz="0" w:space="0" w:color="auto"/>
            <w:left w:val="none" w:sz="0" w:space="0" w:color="auto"/>
            <w:bottom w:val="none" w:sz="0" w:space="0" w:color="auto"/>
            <w:right w:val="none" w:sz="0" w:space="0" w:color="auto"/>
          </w:divBdr>
        </w:div>
        <w:div w:id="752966823">
          <w:marLeft w:val="0"/>
          <w:marRight w:val="0"/>
          <w:marTop w:val="120"/>
          <w:marBottom w:val="120"/>
          <w:divBdr>
            <w:top w:val="none" w:sz="0" w:space="0" w:color="auto"/>
            <w:left w:val="none" w:sz="0" w:space="0" w:color="auto"/>
            <w:bottom w:val="none" w:sz="0" w:space="0" w:color="auto"/>
            <w:right w:val="none" w:sz="0" w:space="0" w:color="auto"/>
          </w:divBdr>
        </w:div>
        <w:div w:id="801383812">
          <w:marLeft w:val="0"/>
          <w:marRight w:val="0"/>
          <w:marTop w:val="120"/>
          <w:marBottom w:val="120"/>
          <w:divBdr>
            <w:top w:val="none" w:sz="0" w:space="0" w:color="auto"/>
            <w:left w:val="none" w:sz="0" w:space="0" w:color="auto"/>
            <w:bottom w:val="none" w:sz="0" w:space="0" w:color="auto"/>
            <w:right w:val="none" w:sz="0" w:space="0" w:color="auto"/>
          </w:divBdr>
        </w:div>
        <w:div w:id="937056683">
          <w:marLeft w:val="0"/>
          <w:marRight w:val="0"/>
          <w:marTop w:val="120"/>
          <w:marBottom w:val="120"/>
          <w:divBdr>
            <w:top w:val="none" w:sz="0" w:space="0" w:color="auto"/>
            <w:left w:val="none" w:sz="0" w:space="0" w:color="auto"/>
            <w:bottom w:val="none" w:sz="0" w:space="0" w:color="auto"/>
            <w:right w:val="none" w:sz="0" w:space="0" w:color="auto"/>
          </w:divBdr>
        </w:div>
        <w:div w:id="987825935">
          <w:marLeft w:val="0"/>
          <w:marRight w:val="0"/>
          <w:marTop w:val="120"/>
          <w:marBottom w:val="120"/>
          <w:divBdr>
            <w:top w:val="none" w:sz="0" w:space="0" w:color="auto"/>
            <w:left w:val="none" w:sz="0" w:space="0" w:color="auto"/>
            <w:bottom w:val="none" w:sz="0" w:space="0" w:color="auto"/>
            <w:right w:val="none" w:sz="0" w:space="0" w:color="auto"/>
          </w:divBdr>
        </w:div>
        <w:div w:id="1021973665">
          <w:marLeft w:val="0"/>
          <w:marRight w:val="0"/>
          <w:marTop w:val="120"/>
          <w:marBottom w:val="120"/>
          <w:divBdr>
            <w:top w:val="none" w:sz="0" w:space="0" w:color="auto"/>
            <w:left w:val="none" w:sz="0" w:space="0" w:color="auto"/>
            <w:bottom w:val="none" w:sz="0" w:space="0" w:color="auto"/>
            <w:right w:val="none" w:sz="0" w:space="0" w:color="auto"/>
          </w:divBdr>
        </w:div>
        <w:div w:id="1057708216">
          <w:marLeft w:val="0"/>
          <w:marRight w:val="0"/>
          <w:marTop w:val="120"/>
          <w:marBottom w:val="120"/>
          <w:divBdr>
            <w:top w:val="none" w:sz="0" w:space="0" w:color="auto"/>
            <w:left w:val="none" w:sz="0" w:space="0" w:color="auto"/>
            <w:bottom w:val="none" w:sz="0" w:space="0" w:color="auto"/>
            <w:right w:val="none" w:sz="0" w:space="0" w:color="auto"/>
          </w:divBdr>
        </w:div>
        <w:div w:id="1689718721">
          <w:marLeft w:val="0"/>
          <w:marRight w:val="0"/>
          <w:marTop w:val="120"/>
          <w:marBottom w:val="120"/>
          <w:divBdr>
            <w:top w:val="none" w:sz="0" w:space="0" w:color="auto"/>
            <w:left w:val="none" w:sz="0" w:space="0" w:color="auto"/>
            <w:bottom w:val="none" w:sz="0" w:space="0" w:color="auto"/>
            <w:right w:val="none" w:sz="0" w:space="0" w:color="auto"/>
          </w:divBdr>
        </w:div>
        <w:div w:id="1807161510">
          <w:marLeft w:val="0"/>
          <w:marRight w:val="0"/>
          <w:marTop w:val="120"/>
          <w:marBottom w:val="120"/>
          <w:divBdr>
            <w:top w:val="none" w:sz="0" w:space="0" w:color="auto"/>
            <w:left w:val="none" w:sz="0" w:space="0" w:color="auto"/>
            <w:bottom w:val="none" w:sz="0" w:space="0" w:color="auto"/>
            <w:right w:val="none" w:sz="0" w:space="0" w:color="auto"/>
          </w:divBdr>
        </w:div>
        <w:div w:id="1826630876">
          <w:marLeft w:val="0"/>
          <w:marRight w:val="0"/>
          <w:marTop w:val="120"/>
          <w:marBottom w:val="120"/>
          <w:divBdr>
            <w:top w:val="none" w:sz="0" w:space="0" w:color="auto"/>
            <w:left w:val="none" w:sz="0" w:space="0" w:color="auto"/>
            <w:bottom w:val="none" w:sz="0" w:space="0" w:color="auto"/>
            <w:right w:val="none" w:sz="0" w:space="0" w:color="auto"/>
          </w:divBdr>
        </w:div>
        <w:div w:id="1851482327">
          <w:marLeft w:val="0"/>
          <w:marRight w:val="0"/>
          <w:marTop w:val="120"/>
          <w:marBottom w:val="120"/>
          <w:divBdr>
            <w:top w:val="none" w:sz="0" w:space="0" w:color="auto"/>
            <w:left w:val="none" w:sz="0" w:space="0" w:color="auto"/>
            <w:bottom w:val="none" w:sz="0" w:space="0" w:color="auto"/>
            <w:right w:val="none" w:sz="0" w:space="0" w:color="auto"/>
          </w:divBdr>
        </w:div>
        <w:div w:id="2102605400">
          <w:marLeft w:val="0"/>
          <w:marRight w:val="0"/>
          <w:marTop w:val="120"/>
          <w:marBottom w:val="120"/>
          <w:divBdr>
            <w:top w:val="none" w:sz="0" w:space="0" w:color="auto"/>
            <w:left w:val="none" w:sz="0" w:space="0" w:color="auto"/>
            <w:bottom w:val="none" w:sz="0" w:space="0" w:color="auto"/>
            <w:right w:val="none" w:sz="0" w:space="0" w:color="auto"/>
          </w:divBdr>
        </w:div>
      </w:divsChild>
    </w:div>
    <w:div w:id="1451707787">
      <w:bodyDiv w:val="1"/>
      <w:marLeft w:val="0"/>
      <w:marRight w:val="0"/>
      <w:marTop w:val="0"/>
      <w:marBottom w:val="0"/>
      <w:divBdr>
        <w:top w:val="none" w:sz="0" w:space="0" w:color="auto"/>
        <w:left w:val="none" w:sz="0" w:space="0" w:color="auto"/>
        <w:bottom w:val="none" w:sz="0" w:space="0" w:color="auto"/>
        <w:right w:val="none" w:sz="0" w:space="0" w:color="auto"/>
      </w:divBdr>
    </w:div>
    <w:div w:id="1455059304">
      <w:bodyDiv w:val="1"/>
      <w:marLeft w:val="0"/>
      <w:marRight w:val="0"/>
      <w:marTop w:val="0"/>
      <w:marBottom w:val="0"/>
      <w:divBdr>
        <w:top w:val="none" w:sz="0" w:space="0" w:color="auto"/>
        <w:left w:val="none" w:sz="0" w:space="0" w:color="auto"/>
        <w:bottom w:val="none" w:sz="0" w:space="0" w:color="auto"/>
        <w:right w:val="none" w:sz="0" w:space="0" w:color="auto"/>
      </w:divBdr>
      <w:divsChild>
        <w:div w:id="1581600523">
          <w:marLeft w:val="360"/>
          <w:marRight w:val="0"/>
          <w:marTop w:val="200"/>
          <w:marBottom w:val="0"/>
          <w:divBdr>
            <w:top w:val="none" w:sz="0" w:space="0" w:color="auto"/>
            <w:left w:val="none" w:sz="0" w:space="0" w:color="auto"/>
            <w:bottom w:val="none" w:sz="0" w:space="0" w:color="auto"/>
            <w:right w:val="none" w:sz="0" w:space="0" w:color="auto"/>
          </w:divBdr>
        </w:div>
        <w:div w:id="190072840">
          <w:marLeft w:val="360"/>
          <w:marRight w:val="0"/>
          <w:marTop w:val="200"/>
          <w:marBottom w:val="0"/>
          <w:divBdr>
            <w:top w:val="none" w:sz="0" w:space="0" w:color="auto"/>
            <w:left w:val="none" w:sz="0" w:space="0" w:color="auto"/>
            <w:bottom w:val="none" w:sz="0" w:space="0" w:color="auto"/>
            <w:right w:val="none" w:sz="0" w:space="0" w:color="auto"/>
          </w:divBdr>
        </w:div>
        <w:div w:id="1804499322">
          <w:marLeft w:val="1080"/>
          <w:marRight w:val="0"/>
          <w:marTop w:val="100"/>
          <w:marBottom w:val="0"/>
          <w:divBdr>
            <w:top w:val="none" w:sz="0" w:space="0" w:color="auto"/>
            <w:left w:val="none" w:sz="0" w:space="0" w:color="auto"/>
            <w:bottom w:val="none" w:sz="0" w:space="0" w:color="auto"/>
            <w:right w:val="none" w:sz="0" w:space="0" w:color="auto"/>
          </w:divBdr>
        </w:div>
        <w:div w:id="1746877455">
          <w:marLeft w:val="1080"/>
          <w:marRight w:val="0"/>
          <w:marTop w:val="100"/>
          <w:marBottom w:val="0"/>
          <w:divBdr>
            <w:top w:val="none" w:sz="0" w:space="0" w:color="auto"/>
            <w:left w:val="none" w:sz="0" w:space="0" w:color="auto"/>
            <w:bottom w:val="none" w:sz="0" w:space="0" w:color="auto"/>
            <w:right w:val="none" w:sz="0" w:space="0" w:color="auto"/>
          </w:divBdr>
        </w:div>
        <w:div w:id="615134732">
          <w:marLeft w:val="360"/>
          <w:marRight w:val="0"/>
          <w:marTop w:val="200"/>
          <w:marBottom w:val="0"/>
          <w:divBdr>
            <w:top w:val="none" w:sz="0" w:space="0" w:color="auto"/>
            <w:left w:val="none" w:sz="0" w:space="0" w:color="auto"/>
            <w:bottom w:val="none" w:sz="0" w:space="0" w:color="auto"/>
            <w:right w:val="none" w:sz="0" w:space="0" w:color="auto"/>
          </w:divBdr>
        </w:div>
        <w:div w:id="1295402725">
          <w:marLeft w:val="360"/>
          <w:marRight w:val="0"/>
          <w:marTop w:val="200"/>
          <w:marBottom w:val="0"/>
          <w:divBdr>
            <w:top w:val="none" w:sz="0" w:space="0" w:color="auto"/>
            <w:left w:val="none" w:sz="0" w:space="0" w:color="auto"/>
            <w:bottom w:val="none" w:sz="0" w:space="0" w:color="auto"/>
            <w:right w:val="none" w:sz="0" w:space="0" w:color="auto"/>
          </w:divBdr>
        </w:div>
        <w:div w:id="474955316">
          <w:marLeft w:val="360"/>
          <w:marRight w:val="0"/>
          <w:marTop w:val="200"/>
          <w:marBottom w:val="0"/>
          <w:divBdr>
            <w:top w:val="none" w:sz="0" w:space="0" w:color="auto"/>
            <w:left w:val="none" w:sz="0" w:space="0" w:color="auto"/>
            <w:bottom w:val="none" w:sz="0" w:space="0" w:color="auto"/>
            <w:right w:val="none" w:sz="0" w:space="0" w:color="auto"/>
          </w:divBdr>
        </w:div>
        <w:div w:id="1473138731">
          <w:marLeft w:val="360"/>
          <w:marRight w:val="0"/>
          <w:marTop w:val="200"/>
          <w:marBottom w:val="0"/>
          <w:divBdr>
            <w:top w:val="none" w:sz="0" w:space="0" w:color="auto"/>
            <w:left w:val="none" w:sz="0" w:space="0" w:color="auto"/>
            <w:bottom w:val="none" w:sz="0" w:space="0" w:color="auto"/>
            <w:right w:val="none" w:sz="0" w:space="0" w:color="auto"/>
          </w:divBdr>
        </w:div>
        <w:div w:id="1526095889">
          <w:marLeft w:val="1080"/>
          <w:marRight w:val="0"/>
          <w:marTop w:val="100"/>
          <w:marBottom w:val="0"/>
          <w:divBdr>
            <w:top w:val="none" w:sz="0" w:space="0" w:color="auto"/>
            <w:left w:val="none" w:sz="0" w:space="0" w:color="auto"/>
            <w:bottom w:val="none" w:sz="0" w:space="0" w:color="auto"/>
            <w:right w:val="none" w:sz="0" w:space="0" w:color="auto"/>
          </w:divBdr>
        </w:div>
        <w:div w:id="341205822">
          <w:marLeft w:val="1080"/>
          <w:marRight w:val="0"/>
          <w:marTop w:val="100"/>
          <w:marBottom w:val="0"/>
          <w:divBdr>
            <w:top w:val="none" w:sz="0" w:space="0" w:color="auto"/>
            <w:left w:val="none" w:sz="0" w:space="0" w:color="auto"/>
            <w:bottom w:val="none" w:sz="0" w:space="0" w:color="auto"/>
            <w:right w:val="none" w:sz="0" w:space="0" w:color="auto"/>
          </w:divBdr>
        </w:div>
      </w:divsChild>
    </w:div>
    <w:div w:id="1641493143">
      <w:bodyDiv w:val="1"/>
      <w:marLeft w:val="0"/>
      <w:marRight w:val="0"/>
      <w:marTop w:val="0"/>
      <w:marBottom w:val="0"/>
      <w:divBdr>
        <w:top w:val="none" w:sz="0" w:space="0" w:color="auto"/>
        <w:left w:val="none" w:sz="0" w:space="0" w:color="auto"/>
        <w:bottom w:val="none" w:sz="0" w:space="0" w:color="auto"/>
        <w:right w:val="none" w:sz="0" w:space="0" w:color="auto"/>
      </w:divBdr>
    </w:div>
    <w:div w:id="165683391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2925461">
      <w:bodyDiv w:val="1"/>
      <w:marLeft w:val="0"/>
      <w:marRight w:val="0"/>
      <w:marTop w:val="0"/>
      <w:marBottom w:val="0"/>
      <w:divBdr>
        <w:top w:val="none" w:sz="0" w:space="0" w:color="auto"/>
        <w:left w:val="none" w:sz="0" w:space="0" w:color="auto"/>
        <w:bottom w:val="none" w:sz="0" w:space="0" w:color="auto"/>
        <w:right w:val="none" w:sz="0" w:space="0" w:color="auto"/>
      </w:divBdr>
    </w:div>
    <w:div w:id="1985815118">
      <w:bodyDiv w:val="1"/>
      <w:marLeft w:val="0"/>
      <w:marRight w:val="0"/>
      <w:marTop w:val="0"/>
      <w:marBottom w:val="0"/>
      <w:divBdr>
        <w:top w:val="none" w:sz="0" w:space="0" w:color="auto"/>
        <w:left w:val="none" w:sz="0" w:space="0" w:color="auto"/>
        <w:bottom w:val="none" w:sz="0" w:space="0" w:color="auto"/>
        <w:right w:val="none" w:sz="0" w:space="0" w:color="auto"/>
      </w:divBdr>
    </w:div>
    <w:div w:id="2021467634">
      <w:bodyDiv w:val="1"/>
      <w:marLeft w:val="0"/>
      <w:marRight w:val="0"/>
      <w:marTop w:val="0"/>
      <w:marBottom w:val="0"/>
      <w:divBdr>
        <w:top w:val="none" w:sz="0" w:space="0" w:color="auto"/>
        <w:left w:val="none" w:sz="0" w:space="0" w:color="auto"/>
        <w:bottom w:val="none" w:sz="0" w:space="0" w:color="auto"/>
        <w:right w:val="none" w:sz="0" w:space="0" w:color="auto"/>
      </w:divBdr>
    </w:div>
    <w:div w:id="2076009492">
      <w:bodyDiv w:val="1"/>
      <w:marLeft w:val="0"/>
      <w:marRight w:val="0"/>
      <w:marTop w:val="0"/>
      <w:marBottom w:val="0"/>
      <w:divBdr>
        <w:top w:val="none" w:sz="0" w:space="0" w:color="auto"/>
        <w:left w:val="none" w:sz="0" w:space="0" w:color="auto"/>
        <w:bottom w:val="none" w:sz="0" w:space="0" w:color="auto"/>
        <w:right w:val="none" w:sz="0" w:space="0" w:color="auto"/>
      </w:divBdr>
    </w:div>
    <w:div w:id="212966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02FFA-11F9-4166-93D9-608170C30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13067</Words>
  <Characters>74486</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2021-10-27T00:16:00Z</dcterms:created>
  <dcterms:modified xsi:type="dcterms:W3CDTF">2021-11-11T03:03:00Z</dcterms:modified>
</cp:coreProperties>
</file>