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ED" w:rsidRPr="00C81D26" w:rsidRDefault="005E6E92" w:rsidP="006137E0">
      <w:pPr>
        <w:pStyle w:val="1-MainHeading"/>
        <w:ind w:left="1134" w:hanging="1134"/>
      </w:pPr>
      <w:bookmarkStart w:id="0" w:name="_Toc72233544"/>
      <w:bookmarkStart w:id="1" w:name="_GoBack"/>
      <w:bookmarkEnd w:id="1"/>
      <w:r>
        <w:t>5.01</w:t>
      </w:r>
      <w:r w:rsidR="00163F66">
        <w:tab/>
      </w:r>
      <w:r w:rsidR="005D768E" w:rsidRPr="005D768E">
        <w:t>BUDESONIDE with GLYCOPYRRONIUM and FORMOTEROL</w:t>
      </w:r>
      <w:r w:rsidR="00163F66">
        <w:t>,</w:t>
      </w:r>
      <w:r w:rsidR="00163F66">
        <w:br/>
      </w:r>
      <w:r w:rsidR="005D768E" w:rsidRPr="005D768E">
        <w:t xml:space="preserve">pressurised inhalation containing budesonide </w:t>
      </w:r>
      <w:r w:rsidR="00A1491A">
        <w:br/>
      </w:r>
      <w:r w:rsidR="005D768E" w:rsidRPr="005D768E">
        <w:t xml:space="preserve">160 micrograms with glycopyrronium 7.2 micrograms (as bromide) and formoterol fumarate dihydrate </w:t>
      </w:r>
      <w:r w:rsidR="00A1491A">
        <w:br/>
      </w:r>
      <w:r w:rsidR="005D768E" w:rsidRPr="005D768E">
        <w:t>5 micrograms per dose, 120 doses</w:t>
      </w:r>
      <w:r w:rsidR="00163F66">
        <w:t>,</w:t>
      </w:r>
      <w:r w:rsidR="00163F66">
        <w:br/>
      </w:r>
      <w:r w:rsidR="005D768E" w:rsidRPr="005D768E">
        <w:t>Breztri Aerosphere®</w:t>
      </w:r>
      <w:r w:rsidR="004A6040" w:rsidRPr="004A6040">
        <w:t>,</w:t>
      </w:r>
      <w:r w:rsidR="004A6040" w:rsidRPr="004A6040">
        <w:br/>
      </w:r>
      <w:r w:rsidR="005D768E" w:rsidRPr="005D768E">
        <w:t>AstraZen</w:t>
      </w:r>
      <w:r w:rsidR="00A1491A">
        <w:t>e</w:t>
      </w:r>
      <w:r w:rsidR="005D768E" w:rsidRPr="005D768E">
        <w:t>ca</w:t>
      </w:r>
      <w:r w:rsidR="00026B1F">
        <w:t xml:space="preserve"> Pty Ltd</w:t>
      </w:r>
      <w:bookmarkStart w:id="2" w:name="_Toc22897637"/>
      <w:bookmarkEnd w:id="0"/>
    </w:p>
    <w:p w:rsidR="00B50DB8" w:rsidRPr="00407F2D" w:rsidRDefault="00B50DB8" w:rsidP="004A6040">
      <w:pPr>
        <w:pStyle w:val="2-SectionHeading"/>
      </w:pPr>
      <w:bookmarkStart w:id="3" w:name="_Toc72233546"/>
      <w:bookmarkEnd w:id="2"/>
      <w:r w:rsidRPr="00407F2D">
        <w:t xml:space="preserve">Purpose of </w:t>
      </w:r>
      <w:bookmarkEnd w:id="3"/>
      <w:r w:rsidR="00C8707A">
        <w:t>Application</w:t>
      </w:r>
    </w:p>
    <w:p w:rsidR="00E25638" w:rsidRDefault="007170DA" w:rsidP="003C2AD7">
      <w:pPr>
        <w:pStyle w:val="3-BodyText"/>
      </w:pPr>
      <w:r>
        <w:t xml:space="preserve">The </w:t>
      </w:r>
      <w:r w:rsidR="00886306">
        <w:t xml:space="preserve">Category 2 </w:t>
      </w:r>
      <w:r>
        <w:t xml:space="preserve">submission </w:t>
      </w:r>
      <w:r w:rsidRPr="004E18E9">
        <w:t xml:space="preserve">requested </w:t>
      </w:r>
      <w:r w:rsidR="00E25638" w:rsidRPr="00E25638">
        <w:t xml:space="preserve">Authority Required (Streamlined) PBS listing of </w:t>
      </w:r>
      <w:r w:rsidR="00E25638">
        <w:t>Breztri Aerosphere®</w:t>
      </w:r>
      <w:r w:rsidR="003C2AD7">
        <w:t>,</w:t>
      </w:r>
      <w:r w:rsidR="00E25638">
        <w:t xml:space="preserve"> pressurised metered dose inhaler (pMDI)</w:t>
      </w:r>
      <w:r w:rsidR="003C2AD7">
        <w:t>,</w:t>
      </w:r>
      <w:r w:rsidR="00E25638">
        <w:t xml:space="preserve"> for the treatment of patients with chronic obstructive pulmonary disease (COPD). Breztri Aerosphere is a triple therapy fixed dose combination (FDC) inhaler comprising </w:t>
      </w:r>
      <w:r w:rsidR="003C2AD7">
        <w:t xml:space="preserve">an inhaled corticosteroid (ICS), a long acting muscarinic antagonist (LAMA) and a long acting beta-2 agonist (LABA): </w:t>
      </w:r>
      <w:r w:rsidR="00E25638">
        <w:t>budesonide (BUD)</w:t>
      </w:r>
      <w:r w:rsidR="006F6EED">
        <w:t xml:space="preserve"> 160 </w:t>
      </w:r>
      <w:r w:rsidR="00E61288">
        <w:rPr>
          <w:rFonts w:cstheme="minorHAnsi"/>
        </w:rPr>
        <w:t>mcg</w:t>
      </w:r>
      <w:r w:rsidR="00E25638">
        <w:t>, glycopyrronium (GLY) (as bromide)</w:t>
      </w:r>
      <w:r w:rsidR="006F6EED">
        <w:t xml:space="preserve"> 7.2 </w:t>
      </w:r>
      <w:r w:rsidR="00E61288">
        <w:rPr>
          <w:rFonts w:cstheme="minorHAnsi"/>
        </w:rPr>
        <w:t>mcg</w:t>
      </w:r>
      <w:r w:rsidR="00E25638">
        <w:t>, and</w:t>
      </w:r>
      <w:r w:rsidR="009411C5">
        <w:t xml:space="preserve"> </w:t>
      </w:r>
      <w:r w:rsidR="00E25638">
        <w:t>formoterol fumarate dihydrate (FOR)</w:t>
      </w:r>
      <w:r w:rsidR="006F6EED">
        <w:t xml:space="preserve"> 5 </w:t>
      </w:r>
      <w:r w:rsidR="00E61288">
        <w:rPr>
          <w:rFonts w:cstheme="minorHAnsi"/>
        </w:rPr>
        <w:t>mcg</w:t>
      </w:r>
      <w:r w:rsidR="00E25638">
        <w:t xml:space="preserve">, </w:t>
      </w:r>
      <w:r w:rsidR="003C2AD7">
        <w:t>respectively.</w:t>
      </w:r>
    </w:p>
    <w:p w:rsidR="008C2B4D" w:rsidRPr="003458ED" w:rsidRDefault="009411C5" w:rsidP="00335094">
      <w:pPr>
        <w:pStyle w:val="3-BodyText"/>
      </w:pPr>
      <w:r>
        <w:t xml:space="preserve">The basis for the requested listing was a cost-minimisation analysis to </w:t>
      </w:r>
      <w:r w:rsidR="00751280" w:rsidRPr="009411C5">
        <w:t>Trelegy Ellipta® dry powder inhaler (DPI)</w:t>
      </w:r>
      <w:r w:rsidR="00751280">
        <w:t xml:space="preserve">, </w:t>
      </w:r>
      <w:r w:rsidR="008C2B4D">
        <w:t>which is also a</w:t>
      </w:r>
      <w:r w:rsidR="00751280">
        <w:t xml:space="preserve"> triple therapy FDC</w:t>
      </w:r>
      <w:r w:rsidR="00751280" w:rsidRPr="009411C5">
        <w:t xml:space="preserve"> </w:t>
      </w:r>
      <w:r w:rsidR="008C2B4D">
        <w:t xml:space="preserve">inhaler </w:t>
      </w:r>
      <w:r w:rsidR="00751280" w:rsidRPr="009411C5">
        <w:t xml:space="preserve">comprising </w:t>
      </w:r>
      <w:r w:rsidR="008C2B4D">
        <w:t xml:space="preserve">of an ICS/LAMA/LABA: </w:t>
      </w:r>
      <w:r w:rsidR="00751280" w:rsidRPr="009411C5">
        <w:t xml:space="preserve">fluticasone furoate (FF) </w:t>
      </w:r>
      <w:r w:rsidR="008C2B4D">
        <w:t xml:space="preserve">100 </w:t>
      </w:r>
      <w:r w:rsidR="00E61288">
        <w:rPr>
          <w:rFonts w:cstheme="minorHAnsi"/>
        </w:rPr>
        <w:t>mcg</w:t>
      </w:r>
      <w:r w:rsidR="008C2B4D">
        <w:t xml:space="preserve"> </w:t>
      </w:r>
      <w:r w:rsidR="00751280" w:rsidRPr="009411C5">
        <w:t xml:space="preserve">with umeclidinium (UMEC) </w:t>
      </w:r>
      <w:r w:rsidR="008C2B4D">
        <w:t xml:space="preserve">62.5 </w:t>
      </w:r>
      <w:r w:rsidR="00E61288">
        <w:rPr>
          <w:rFonts w:cstheme="minorHAnsi"/>
        </w:rPr>
        <w:t>mcg</w:t>
      </w:r>
      <w:r w:rsidR="008C2B4D" w:rsidRPr="009411C5">
        <w:t xml:space="preserve"> </w:t>
      </w:r>
      <w:r w:rsidR="00751280" w:rsidRPr="009411C5">
        <w:t>and vilanterol trifenat</w:t>
      </w:r>
      <w:r w:rsidR="0098265F">
        <w:t>at</w:t>
      </w:r>
      <w:r w:rsidR="00751280" w:rsidRPr="009411C5">
        <w:t>e (VI)</w:t>
      </w:r>
      <w:r w:rsidR="008C2B4D">
        <w:t xml:space="preserve"> 25 </w:t>
      </w:r>
      <w:r w:rsidR="00E61288">
        <w:rPr>
          <w:rFonts w:cstheme="minorHAnsi"/>
        </w:rPr>
        <w:t>mcg</w:t>
      </w:r>
      <w:r w:rsidR="008C2B4D">
        <w:t>, respectively</w:t>
      </w:r>
      <w:r w:rsidR="00751280">
        <w:t>.</w:t>
      </w:r>
      <w:r w:rsidR="008C2B4D">
        <w:t xml:space="preserve"> </w:t>
      </w:r>
      <w:r w:rsidR="00E21B40">
        <w:t>FF/UMEC/VI</w:t>
      </w:r>
      <w:r w:rsidR="008C2B4D">
        <w:t xml:space="preserve"> is the only triple therapy FDC inhaler currently listed on the PBS for COPD. In November 2020, the PBAC recommended PBS listing of </w:t>
      </w:r>
      <w:r w:rsidR="00335094">
        <w:t xml:space="preserve">another triple therapy FDC for COPD, </w:t>
      </w:r>
      <w:r w:rsidR="008C2B4D">
        <w:t xml:space="preserve">Trimbow® pMDI comprising of </w:t>
      </w:r>
      <w:r w:rsidR="008C2B4D" w:rsidRPr="008C2B4D">
        <w:rPr>
          <w:iCs/>
        </w:rPr>
        <w:t xml:space="preserve">beclometasone (BEC) </w:t>
      </w:r>
      <w:r w:rsidR="008C2B4D">
        <w:rPr>
          <w:iCs/>
        </w:rPr>
        <w:t xml:space="preserve">100 </w:t>
      </w:r>
      <w:r w:rsidR="00E61288">
        <w:rPr>
          <w:rFonts w:cstheme="minorHAnsi"/>
        </w:rPr>
        <w:t>mcg</w:t>
      </w:r>
      <w:r w:rsidR="008C2B4D">
        <w:t xml:space="preserve">, </w:t>
      </w:r>
      <w:r w:rsidR="008C2B4D" w:rsidRPr="008C2B4D">
        <w:rPr>
          <w:iCs/>
        </w:rPr>
        <w:t>GLY</w:t>
      </w:r>
      <w:r w:rsidR="008C2B4D">
        <w:rPr>
          <w:iCs/>
        </w:rPr>
        <w:t xml:space="preserve"> (as bromide) 10</w:t>
      </w:r>
      <w:r w:rsidR="008C2B4D" w:rsidRPr="008C2B4D">
        <w:rPr>
          <w:rFonts w:cstheme="minorHAnsi"/>
        </w:rPr>
        <w:t xml:space="preserve"> </w:t>
      </w:r>
      <w:r w:rsidR="00E61288">
        <w:rPr>
          <w:rFonts w:cstheme="minorHAnsi"/>
        </w:rPr>
        <w:t>mcg</w:t>
      </w:r>
      <w:r w:rsidR="008C2B4D">
        <w:rPr>
          <w:iCs/>
        </w:rPr>
        <w:t xml:space="preserve"> </w:t>
      </w:r>
      <w:r w:rsidR="008C2B4D" w:rsidRPr="008C2B4D">
        <w:rPr>
          <w:iCs/>
        </w:rPr>
        <w:t>and FOR</w:t>
      </w:r>
      <w:r w:rsidR="008C2B4D">
        <w:rPr>
          <w:iCs/>
        </w:rPr>
        <w:t xml:space="preserve"> 6 </w:t>
      </w:r>
      <w:r w:rsidR="00E61288">
        <w:rPr>
          <w:rFonts w:cstheme="minorHAnsi"/>
        </w:rPr>
        <w:t>mcg</w:t>
      </w:r>
      <w:r w:rsidR="008C2B4D">
        <w:t>.</w:t>
      </w:r>
      <w:r w:rsidR="001442F5">
        <w:t xml:space="preserve"> At the time of the submission, </w:t>
      </w:r>
      <w:r w:rsidR="00DA3358">
        <w:t>BEC/GLY/FOR</w:t>
      </w:r>
      <w:r w:rsidR="001442F5">
        <w:t xml:space="preserve"> was not available on the PBS</w:t>
      </w:r>
      <w:r w:rsidR="001442F5" w:rsidRPr="003458ED">
        <w:t>.</w:t>
      </w:r>
      <w:r w:rsidR="002D4EB6" w:rsidRPr="003458ED">
        <w:t xml:space="preserve"> The submission nominated BEC/GLY/FOR as a near-market comparator.</w:t>
      </w:r>
      <w:r w:rsidR="001E59B8">
        <w:t xml:space="preserve"> </w:t>
      </w:r>
    </w:p>
    <w:p w:rsidR="00950BD8" w:rsidRPr="00C81D26" w:rsidRDefault="00434AD7" w:rsidP="00335094">
      <w:pPr>
        <w:pStyle w:val="3-BodyText"/>
      </w:pPr>
      <w:r w:rsidRPr="003458ED">
        <w:rPr>
          <w:iCs/>
        </w:rPr>
        <w:t>Hence, i</w:t>
      </w:r>
      <w:r w:rsidRPr="003458ED">
        <w:t xml:space="preserve">f listed, BUD/GLY/FOR would become the second triple therapy </w:t>
      </w:r>
      <w:r w:rsidR="00335094" w:rsidRPr="003458ED">
        <w:t xml:space="preserve">FDC </w:t>
      </w:r>
      <w:r w:rsidRPr="003458ED">
        <w:t>inhaler available on the PBS for COPD after FF/UMEC/VI, or potentially one of three alternatives including BEC/GLY/FOR.</w:t>
      </w:r>
      <w:r w:rsidR="001E59B8">
        <w:t xml:space="preserve"> </w:t>
      </w:r>
      <w:r w:rsidR="001E59B8" w:rsidRPr="00C81D26">
        <w:t>The ESC noted that BEC/GLY/FOR was PBS listed for COPD on 1 June 2021.</w:t>
      </w:r>
    </w:p>
    <w:p w:rsidR="006F6EED" w:rsidRPr="00E55915" w:rsidRDefault="006F6EED" w:rsidP="006F6EED">
      <w:pPr>
        <w:pStyle w:val="TableFigureHeading"/>
      </w:pPr>
      <w:r w:rsidRPr="00E55915">
        <w:rPr>
          <w:rStyle w:val="CommentReference"/>
          <w:b/>
          <w:szCs w:val="24"/>
        </w:rPr>
        <w:lastRenderedPageBreak/>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027"/>
      </w:tblGrid>
      <w:tr w:rsidR="006F6EED" w:rsidRPr="00A518F3" w:rsidTr="004B4242">
        <w:tc>
          <w:tcPr>
            <w:tcW w:w="1129" w:type="dxa"/>
            <w:vAlign w:val="center"/>
          </w:tcPr>
          <w:p w:rsidR="006F6EED" w:rsidRPr="00A518F3" w:rsidRDefault="006F6EED" w:rsidP="004B4242">
            <w:pPr>
              <w:pStyle w:val="In-tableHeading"/>
            </w:pPr>
            <w:r w:rsidRPr="00A518F3">
              <w:t>Component</w:t>
            </w:r>
          </w:p>
        </w:tc>
        <w:tc>
          <w:tcPr>
            <w:tcW w:w="8027" w:type="dxa"/>
            <w:vAlign w:val="center"/>
          </w:tcPr>
          <w:p w:rsidR="006F6EED" w:rsidRPr="00A518F3" w:rsidRDefault="006F6EED" w:rsidP="004B4242">
            <w:pPr>
              <w:pStyle w:val="In-tableHeading"/>
            </w:pPr>
            <w:r w:rsidRPr="00A518F3">
              <w:t>Description</w:t>
            </w:r>
          </w:p>
        </w:tc>
      </w:tr>
      <w:tr w:rsidR="006F6EED" w:rsidTr="004B4242">
        <w:tc>
          <w:tcPr>
            <w:tcW w:w="1129" w:type="dxa"/>
            <w:vAlign w:val="center"/>
          </w:tcPr>
          <w:p w:rsidR="006F6EED" w:rsidRDefault="006F6EED" w:rsidP="004B4242">
            <w:pPr>
              <w:pStyle w:val="TableText0"/>
            </w:pPr>
            <w:r>
              <w:t>Population</w:t>
            </w:r>
          </w:p>
        </w:tc>
        <w:tc>
          <w:tcPr>
            <w:tcW w:w="8027" w:type="dxa"/>
            <w:vAlign w:val="center"/>
          </w:tcPr>
          <w:p w:rsidR="006F6EED" w:rsidRDefault="006F6EED" w:rsidP="004B4242">
            <w:pPr>
              <w:pStyle w:val="TableText0"/>
            </w:pPr>
            <w:r w:rsidRPr="00E623B0">
              <w:t>Patients with moderate to severe COPD and frequent exacerbations despite maintenance therapy.</w:t>
            </w:r>
          </w:p>
        </w:tc>
      </w:tr>
      <w:tr w:rsidR="006F6EED" w:rsidTr="004B4242">
        <w:tc>
          <w:tcPr>
            <w:tcW w:w="1129" w:type="dxa"/>
            <w:vAlign w:val="center"/>
          </w:tcPr>
          <w:p w:rsidR="006F6EED" w:rsidRDefault="006F6EED" w:rsidP="004B4242">
            <w:pPr>
              <w:pStyle w:val="TableText0"/>
            </w:pPr>
            <w:r>
              <w:t>Intervention</w:t>
            </w:r>
          </w:p>
        </w:tc>
        <w:tc>
          <w:tcPr>
            <w:tcW w:w="8027" w:type="dxa"/>
            <w:vAlign w:val="center"/>
          </w:tcPr>
          <w:p w:rsidR="006F6EED" w:rsidRDefault="006F6EED" w:rsidP="002D4EB6">
            <w:pPr>
              <w:pStyle w:val="TableText0"/>
            </w:pPr>
            <w:r>
              <w:t xml:space="preserve">Breztri Aerosphere pMDI, a </w:t>
            </w:r>
            <w:r w:rsidRPr="00E623B0">
              <w:t>triple therapy ICS/LAMA/LABA</w:t>
            </w:r>
            <w:r>
              <w:t xml:space="preserve"> FDC inhaler</w:t>
            </w:r>
            <w:r w:rsidRPr="00E623B0">
              <w:t xml:space="preserve"> comprising of </w:t>
            </w:r>
            <w:r>
              <w:t>BUD</w:t>
            </w:r>
            <w:r w:rsidR="00434AD7">
              <w:t xml:space="preserve"> 160 </w:t>
            </w:r>
            <w:r w:rsidR="00E61288">
              <w:t>mcg</w:t>
            </w:r>
            <w:r w:rsidR="00434AD7">
              <w:t xml:space="preserve"> </w:t>
            </w:r>
            <w:r>
              <w:t>/</w:t>
            </w:r>
            <w:r w:rsidR="00434AD7">
              <w:t xml:space="preserve"> </w:t>
            </w:r>
            <w:r>
              <w:t>GLY</w:t>
            </w:r>
            <w:r w:rsidR="00434AD7">
              <w:t xml:space="preserve"> 7.2 </w:t>
            </w:r>
            <w:r w:rsidR="00E61288">
              <w:t>mcg</w:t>
            </w:r>
            <w:r w:rsidR="00434AD7">
              <w:t xml:space="preserve"> </w:t>
            </w:r>
            <w:r>
              <w:t>/</w:t>
            </w:r>
            <w:r w:rsidR="00434AD7">
              <w:t xml:space="preserve"> </w:t>
            </w:r>
            <w:r>
              <w:t xml:space="preserve">FOR </w:t>
            </w:r>
            <w:r w:rsidR="00434AD7">
              <w:t xml:space="preserve">5 </w:t>
            </w:r>
            <w:r w:rsidR="00E61288">
              <w:t>mcg</w:t>
            </w:r>
            <w:r w:rsidRPr="00E623B0">
              <w:t xml:space="preserve"> </w:t>
            </w:r>
            <w:r>
              <w:t xml:space="preserve">per actuation; two </w:t>
            </w:r>
            <w:r w:rsidRPr="00E623B0">
              <w:t>inhal</w:t>
            </w:r>
            <w:r>
              <w:t>ations</w:t>
            </w:r>
            <w:r w:rsidRPr="00E623B0">
              <w:t xml:space="preserve"> twice daily</w:t>
            </w:r>
            <w:r>
              <w:t>.</w:t>
            </w:r>
          </w:p>
        </w:tc>
      </w:tr>
      <w:tr w:rsidR="006F6EED" w:rsidTr="004B4242">
        <w:tc>
          <w:tcPr>
            <w:tcW w:w="1129" w:type="dxa"/>
            <w:vAlign w:val="center"/>
          </w:tcPr>
          <w:p w:rsidR="006F6EED" w:rsidRDefault="006F6EED" w:rsidP="004B4242">
            <w:pPr>
              <w:pStyle w:val="TableText0"/>
            </w:pPr>
            <w:r>
              <w:t>Comparator</w:t>
            </w:r>
          </w:p>
        </w:tc>
        <w:tc>
          <w:tcPr>
            <w:tcW w:w="8027" w:type="dxa"/>
            <w:vAlign w:val="center"/>
          </w:tcPr>
          <w:p w:rsidR="006F6EED" w:rsidRDefault="006F6EED" w:rsidP="00214C33">
            <w:pPr>
              <w:pStyle w:val="TableText0"/>
            </w:pPr>
            <w:r w:rsidRPr="009E483E">
              <w:rPr>
                <w:u w:val="single"/>
              </w:rPr>
              <w:t>Main comparator:</w:t>
            </w:r>
            <w:r>
              <w:t xml:space="preserve"> </w:t>
            </w:r>
            <w:r w:rsidRPr="00E623B0">
              <w:t>Trelegy</w:t>
            </w:r>
            <w:r>
              <w:t xml:space="preserve"> Ellipta DPI,</w:t>
            </w:r>
            <w:r w:rsidRPr="00E623B0">
              <w:t xml:space="preserve"> a triple therapy ICS/LAMA/LABA FDC</w:t>
            </w:r>
            <w:r>
              <w:t xml:space="preserve"> inhaler</w:t>
            </w:r>
            <w:r w:rsidRPr="00E623B0">
              <w:t xml:space="preserve"> comprising of </w:t>
            </w:r>
            <w:r>
              <w:t>FF</w:t>
            </w:r>
            <w:r w:rsidR="00214C33">
              <w:t xml:space="preserve"> 100 </w:t>
            </w:r>
            <w:r w:rsidR="00E61288">
              <w:t>mcg</w:t>
            </w:r>
            <w:r w:rsidR="00214C33">
              <w:t xml:space="preserve"> </w:t>
            </w:r>
            <w:r>
              <w:t>/</w:t>
            </w:r>
            <w:r w:rsidR="00214C33">
              <w:t xml:space="preserve"> </w:t>
            </w:r>
            <w:r>
              <w:t>UMEC</w:t>
            </w:r>
            <w:r w:rsidR="00214C33">
              <w:t xml:space="preserve"> 62.5 </w:t>
            </w:r>
            <w:r w:rsidR="00E61288">
              <w:t>mcg</w:t>
            </w:r>
            <w:r w:rsidR="00214C33">
              <w:t xml:space="preserve"> </w:t>
            </w:r>
            <w:r>
              <w:t>/</w:t>
            </w:r>
            <w:r w:rsidR="00214C33">
              <w:t xml:space="preserve"> </w:t>
            </w:r>
            <w:r>
              <w:t>VI</w:t>
            </w:r>
            <w:r w:rsidR="00214C33">
              <w:t xml:space="preserve"> 25 </w:t>
            </w:r>
            <w:r w:rsidR="00E61288">
              <w:t>mcg</w:t>
            </w:r>
            <w:r w:rsidR="00214C33">
              <w:t xml:space="preserve"> per actuation</w:t>
            </w:r>
            <w:r>
              <w:t>; one inhalation</w:t>
            </w:r>
            <w:r w:rsidRPr="00E623B0">
              <w:t xml:space="preserve"> once daily</w:t>
            </w:r>
            <w:r>
              <w:t>.</w:t>
            </w:r>
          </w:p>
          <w:p w:rsidR="006F6EED" w:rsidRPr="00D2102A" w:rsidRDefault="006F6EED" w:rsidP="00214C33">
            <w:pPr>
              <w:pStyle w:val="TableText0"/>
            </w:pPr>
            <w:r w:rsidRPr="00D2102A">
              <w:rPr>
                <w:u w:val="single"/>
              </w:rPr>
              <w:t>Near market comparator:</w:t>
            </w:r>
            <w:r w:rsidRPr="00D2102A">
              <w:t xml:space="preserve"> Trimbow pMDI, a triple therapy ICS/LAMA/LABA FDC</w:t>
            </w:r>
            <w:r>
              <w:t xml:space="preserve"> inhaler</w:t>
            </w:r>
            <w:r w:rsidRPr="00D2102A">
              <w:t xml:space="preserve"> comprising of </w:t>
            </w:r>
            <w:r>
              <w:t>BEC</w:t>
            </w:r>
            <w:r w:rsidR="00214C33">
              <w:t xml:space="preserve"> 100 </w:t>
            </w:r>
            <w:r w:rsidR="00E61288">
              <w:t>mcg</w:t>
            </w:r>
            <w:r w:rsidR="00214C33">
              <w:t xml:space="preserve"> </w:t>
            </w:r>
            <w:r>
              <w:t>/</w:t>
            </w:r>
            <w:r w:rsidR="00214C33">
              <w:t xml:space="preserve"> </w:t>
            </w:r>
            <w:r>
              <w:t>GLY</w:t>
            </w:r>
            <w:r w:rsidR="00214C33">
              <w:t xml:space="preserve"> 10 </w:t>
            </w:r>
            <w:r w:rsidR="00E61288">
              <w:t>mcg</w:t>
            </w:r>
            <w:r w:rsidR="00214C33">
              <w:t xml:space="preserve"> </w:t>
            </w:r>
            <w:r>
              <w:t>/</w:t>
            </w:r>
            <w:r w:rsidR="00214C33">
              <w:t xml:space="preserve"> </w:t>
            </w:r>
            <w:r>
              <w:t xml:space="preserve">FOR </w:t>
            </w:r>
            <w:r w:rsidR="00214C33">
              <w:t xml:space="preserve">6 </w:t>
            </w:r>
            <w:r w:rsidR="00E61288">
              <w:t>mcg</w:t>
            </w:r>
            <w:r w:rsidR="002D4EB6">
              <w:t xml:space="preserve"> per actuation</w:t>
            </w:r>
            <w:r w:rsidRPr="00D2102A">
              <w:t>; two inhalations twice daily.</w:t>
            </w:r>
          </w:p>
        </w:tc>
      </w:tr>
      <w:tr w:rsidR="006F6EED" w:rsidTr="004B4242">
        <w:tc>
          <w:tcPr>
            <w:tcW w:w="1129" w:type="dxa"/>
            <w:vAlign w:val="center"/>
          </w:tcPr>
          <w:p w:rsidR="006F6EED" w:rsidRDefault="006F6EED" w:rsidP="004B4242">
            <w:pPr>
              <w:pStyle w:val="TableText0"/>
            </w:pPr>
            <w:r>
              <w:t>Outcomes</w:t>
            </w:r>
          </w:p>
        </w:tc>
        <w:tc>
          <w:tcPr>
            <w:tcW w:w="8027" w:type="dxa"/>
            <w:vAlign w:val="center"/>
          </w:tcPr>
          <w:p w:rsidR="006F6EED" w:rsidRDefault="00434AD7" w:rsidP="00953FE8">
            <w:pPr>
              <w:pStyle w:val="TableText0"/>
              <w:numPr>
                <w:ilvl w:val="0"/>
                <w:numId w:val="9"/>
              </w:numPr>
              <w:ind w:left="264" w:hanging="173"/>
            </w:pPr>
            <w:r>
              <w:t>F</w:t>
            </w:r>
            <w:r w:rsidR="006F6EED" w:rsidRPr="00E623B0">
              <w:t>requency of moderate or severe exacerbations</w:t>
            </w:r>
          </w:p>
          <w:p w:rsidR="006F6EED" w:rsidRDefault="00434AD7" w:rsidP="00953FE8">
            <w:pPr>
              <w:pStyle w:val="TableText0"/>
              <w:numPr>
                <w:ilvl w:val="0"/>
                <w:numId w:val="9"/>
              </w:numPr>
              <w:ind w:left="264" w:hanging="173"/>
            </w:pPr>
            <w:r>
              <w:t>Change in</w:t>
            </w:r>
            <w:r w:rsidRPr="00E623B0">
              <w:t xml:space="preserve"> </w:t>
            </w:r>
            <w:r w:rsidR="006F6EED" w:rsidRPr="00E623B0">
              <w:t>lung function (FEV1)</w:t>
            </w:r>
          </w:p>
          <w:p w:rsidR="006F6EED" w:rsidRDefault="00434AD7" w:rsidP="00953FE8">
            <w:pPr>
              <w:pStyle w:val="TableText0"/>
              <w:numPr>
                <w:ilvl w:val="0"/>
                <w:numId w:val="9"/>
              </w:numPr>
              <w:ind w:left="264" w:hanging="173"/>
            </w:pPr>
            <w:r>
              <w:t>Change in</w:t>
            </w:r>
            <w:r w:rsidRPr="00E623B0">
              <w:t xml:space="preserve"> </w:t>
            </w:r>
            <w:r w:rsidR="006F6EED" w:rsidRPr="00E623B0">
              <w:t>quality of life (SGRQ)</w:t>
            </w:r>
          </w:p>
          <w:p w:rsidR="006F6EED" w:rsidRDefault="00434AD7" w:rsidP="00953FE8">
            <w:pPr>
              <w:pStyle w:val="TableText0"/>
              <w:numPr>
                <w:ilvl w:val="0"/>
                <w:numId w:val="9"/>
              </w:numPr>
              <w:ind w:left="264" w:hanging="173"/>
            </w:pPr>
            <w:r>
              <w:t>Change in</w:t>
            </w:r>
            <w:r w:rsidRPr="00E623B0">
              <w:t xml:space="preserve"> </w:t>
            </w:r>
            <w:r w:rsidR="006F6EED" w:rsidRPr="00E623B0">
              <w:t>use of rescue medications</w:t>
            </w:r>
          </w:p>
          <w:p w:rsidR="006F6EED" w:rsidRDefault="006F6EED" w:rsidP="00953FE8">
            <w:pPr>
              <w:pStyle w:val="TableText0"/>
              <w:numPr>
                <w:ilvl w:val="0"/>
                <w:numId w:val="9"/>
              </w:numPr>
              <w:ind w:left="264" w:hanging="173"/>
            </w:pPr>
            <w:r>
              <w:t>A</w:t>
            </w:r>
            <w:r w:rsidRPr="00E623B0">
              <w:t>ll-cause mortality and safety</w:t>
            </w:r>
          </w:p>
        </w:tc>
      </w:tr>
      <w:tr w:rsidR="006F6EED" w:rsidTr="004B4242">
        <w:tc>
          <w:tcPr>
            <w:tcW w:w="1129" w:type="dxa"/>
            <w:vAlign w:val="center"/>
          </w:tcPr>
          <w:p w:rsidR="006F6EED" w:rsidRDefault="006F6EED" w:rsidP="004B4242">
            <w:pPr>
              <w:pStyle w:val="TableText0"/>
            </w:pPr>
            <w:r>
              <w:t>Clinical claim</w:t>
            </w:r>
          </w:p>
        </w:tc>
        <w:tc>
          <w:tcPr>
            <w:tcW w:w="8027" w:type="dxa"/>
            <w:vAlign w:val="center"/>
          </w:tcPr>
          <w:p w:rsidR="006F6EED" w:rsidRDefault="006F6EED" w:rsidP="004B4242">
            <w:pPr>
              <w:pStyle w:val="TableText0"/>
            </w:pPr>
            <w:r>
              <w:t>BUD/GLY/FOR (160/7.2/5) one inhalation</w:t>
            </w:r>
            <w:r w:rsidRPr="00E623B0">
              <w:t xml:space="preserve"> once daily</w:t>
            </w:r>
            <w:r w:rsidRPr="00E623B0" w:rsidDel="00702D31">
              <w:t xml:space="preserve"> </w:t>
            </w:r>
            <w:r w:rsidRPr="00E623B0">
              <w:t xml:space="preserve">is non-inferior (as effective) compared to </w:t>
            </w:r>
            <w:r>
              <w:t xml:space="preserve">FF/UMEC/VI (100/62.5/25) one inhalation once daily </w:t>
            </w:r>
            <w:r w:rsidRPr="00E623B0">
              <w:t xml:space="preserve">and </w:t>
            </w:r>
            <w:r>
              <w:t xml:space="preserve">BEC/GLY/FOR (100/10/6) </w:t>
            </w:r>
            <w:r w:rsidRPr="00D2102A">
              <w:t>two inhalations twice daily</w:t>
            </w:r>
            <w:r>
              <w:t>,</w:t>
            </w:r>
            <w:r w:rsidRPr="00E623B0" w:rsidDel="00702D31">
              <w:t xml:space="preserve"> </w:t>
            </w:r>
            <w:r w:rsidRPr="00E623B0">
              <w:t>at reducing the risk of moderate to severe exacerbations, improving lung function and comparable in terms of safety.</w:t>
            </w:r>
          </w:p>
        </w:tc>
      </w:tr>
    </w:tbl>
    <w:p w:rsidR="006F6EED" w:rsidRDefault="006F6EED" w:rsidP="00263AC1">
      <w:pPr>
        <w:pStyle w:val="TableFigureFooter"/>
      </w:pPr>
      <w:r>
        <w:t xml:space="preserve">Abbreviations: </w:t>
      </w:r>
      <w:r w:rsidRPr="00B81D7E">
        <w:t xml:space="preserve">BUD=budesonide; </w:t>
      </w:r>
      <w:r w:rsidRPr="00E623B0">
        <w:t xml:space="preserve">COPD=chronic obstructive pulmonary disease; DPI=dry powder inhaler; FDC=fixed dose combination; </w:t>
      </w:r>
      <w:r w:rsidRPr="00E766BB">
        <w:t xml:space="preserve">FEV1=forced expiratory volume in one second; </w:t>
      </w:r>
      <w:r w:rsidRPr="00B81D7E">
        <w:t>FF=fluticasone fumarate; FOR=formoterol fumarate</w:t>
      </w:r>
      <w:r w:rsidRPr="00FD6F25">
        <w:t xml:space="preserve"> dihydrate</w:t>
      </w:r>
      <w:r w:rsidRPr="00B81D7E">
        <w:t xml:space="preserve">; </w:t>
      </w:r>
      <w:r>
        <w:t xml:space="preserve">GLY=glycopyrronium; </w:t>
      </w:r>
      <w:r w:rsidRPr="00E623B0">
        <w:t>ICS=inhaled corticosteroid; LABA=long acting beta-2 agonist; LAMA=long acting muscarinic antagonist; pMD</w:t>
      </w:r>
      <w:r>
        <w:t>I</w:t>
      </w:r>
      <w:r w:rsidRPr="00E623B0">
        <w:t xml:space="preserve">=pressurised metered dose inhaler; </w:t>
      </w:r>
      <w:r w:rsidRPr="00E766BB">
        <w:t xml:space="preserve">SGRQ=St George’s Respiratory Questionnaire; </w:t>
      </w:r>
      <w:r w:rsidR="00E61288">
        <w:t>mcg</w:t>
      </w:r>
      <w:r w:rsidRPr="00E623B0">
        <w:t>=microgram;</w:t>
      </w:r>
      <w:r>
        <w:t xml:space="preserve"> </w:t>
      </w:r>
      <w:r w:rsidRPr="00B81D7E">
        <w:t>UMEC=umeclidinium; VI=vilanterol trifen</w:t>
      </w:r>
      <w:r w:rsidR="0098265F">
        <w:t>at</w:t>
      </w:r>
      <w:r w:rsidRPr="00B81D7E">
        <w:t>ate;</w:t>
      </w:r>
    </w:p>
    <w:p w:rsidR="006F6EED" w:rsidRDefault="006F6EED" w:rsidP="006F6EED">
      <w:pPr>
        <w:pStyle w:val="TableFigureFooter"/>
      </w:pPr>
      <w:r>
        <w:t>Source: Table 1.1.1, p14 of the submission.</w:t>
      </w:r>
    </w:p>
    <w:p w:rsidR="005C25FF" w:rsidRPr="00407F2D" w:rsidRDefault="005C25FF" w:rsidP="004A6040">
      <w:pPr>
        <w:pStyle w:val="2-SectionHeading"/>
      </w:pPr>
      <w:bookmarkStart w:id="4" w:name="_Toc72233547"/>
      <w:r w:rsidRPr="00407F2D">
        <w:t>Background</w:t>
      </w:r>
      <w:bookmarkEnd w:id="4"/>
    </w:p>
    <w:p w:rsidR="005C25FF" w:rsidRPr="004151CF" w:rsidRDefault="005C25FF" w:rsidP="004A6040">
      <w:pPr>
        <w:pStyle w:val="4-SubsectionHeading"/>
      </w:pPr>
      <w:bookmarkStart w:id="5" w:name="_Toc22897638"/>
      <w:bookmarkStart w:id="6" w:name="_Toc72233548"/>
      <w:r w:rsidRPr="004151CF">
        <w:t>Registration status</w:t>
      </w:r>
      <w:bookmarkEnd w:id="5"/>
      <w:bookmarkEnd w:id="6"/>
    </w:p>
    <w:p w:rsidR="006F6EED" w:rsidRPr="00C81D26" w:rsidRDefault="00247F84" w:rsidP="00B25846">
      <w:pPr>
        <w:pStyle w:val="3-BodyText"/>
      </w:pPr>
      <w:r w:rsidRPr="00247F84">
        <w:rPr>
          <w:rFonts w:ascii="Calibri" w:eastAsia="Calibri" w:hAnsi="Calibri"/>
          <w:b/>
          <w:szCs w:val="22"/>
        </w:rPr>
        <w:t>TGA status at time of PBAC</w:t>
      </w:r>
      <w:r w:rsidR="006A1BC4" w:rsidRPr="00247F84">
        <w:rPr>
          <w:rFonts w:ascii="Calibri" w:eastAsia="Calibri" w:hAnsi="Calibri"/>
          <w:b/>
          <w:szCs w:val="22"/>
        </w:rPr>
        <w:t xml:space="preserve"> advice</w:t>
      </w:r>
      <w:r w:rsidR="006A1BC4" w:rsidRPr="00D31B69">
        <w:rPr>
          <w:rFonts w:ascii="Calibri" w:eastAsia="Calibri" w:hAnsi="Calibri"/>
          <w:szCs w:val="22"/>
        </w:rPr>
        <w:t xml:space="preserve">: </w:t>
      </w:r>
      <w:r w:rsidR="006F6EED" w:rsidRPr="006F6EED">
        <w:t xml:space="preserve">The submission was made under the TGA/PBAC Parallel Process. </w:t>
      </w:r>
      <w:r w:rsidR="006F6EED">
        <w:t xml:space="preserve">At the time of the evaluation, </w:t>
      </w:r>
      <w:r w:rsidR="006F6EED" w:rsidRPr="006F6EED">
        <w:t>TGA documents were not available</w:t>
      </w:r>
      <w:r w:rsidR="006F6EED">
        <w:t>.</w:t>
      </w:r>
      <w:r w:rsidR="00263AC1">
        <w:t xml:space="preserve"> </w:t>
      </w:r>
      <w:r w:rsidR="00D31B69" w:rsidRPr="00C81D26">
        <w:t>While a Pre-Sub-Committee Response was not submitted the sponsor did provide t</w:t>
      </w:r>
      <w:r w:rsidR="00263AC1" w:rsidRPr="00C81D26">
        <w:rPr>
          <w:iCs/>
        </w:rPr>
        <w:t xml:space="preserve">he TGA clinical evaluation report </w:t>
      </w:r>
      <w:r w:rsidR="00D31B69" w:rsidRPr="00C81D26">
        <w:rPr>
          <w:iCs/>
        </w:rPr>
        <w:t xml:space="preserve">(dated </w:t>
      </w:r>
      <w:r w:rsidR="00263AC1" w:rsidRPr="00C81D26">
        <w:rPr>
          <w:iCs/>
        </w:rPr>
        <w:t>31 March 2021</w:t>
      </w:r>
      <w:r w:rsidR="00D31B69" w:rsidRPr="00C81D26">
        <w:rPr>
          <w:iCs/>
        </w:rPr>
        <w:t>)</w:t>
      </w:r>
      <w:r w:rsidR="00263AC1" w:rsidRPr="00C81D26">
        <w:rPr>
          <w:iCs/>
        </w:rPr>
        <w:t xml:space="preserve"> and the TGA Delegate’s overview </w:t>
      </w:r>
      <w:r w:rsidR="00D31B69" w:rsidRPr="00C81D26">
        <w:rPr>
          <w:iCs/>
        </w:rPr>
        <w:t>(dated 6</w:t>
      </w:r>
      <w:r w:rsidR="00263AC1" w:rsidRPr="00C81D26">
        <w:rPr>
          <w:iCs/>
        </w:rPr>
        <w:t xml:space="preserve"> May 2021</w:t>
      </w:r>
      <w:r w:rsidR="00D31B69" w:rsidRPr="00C81D26">
        <w:rPr>
          <w:iCs/>
        </w:rPr>
        <w:t>)</w:t>
      </w:r>
      <w:r w:rsidR="00263AC1" w:rsidRPr="00C81D26">
        <w:rPr>
          <w:iCs/>
        </w:rPr>
        <w:t>.</w:t>
      </w:r>
      <w:r w:rsidR="00D31B69" w:rsidRPr="00C81D26">
        <w:rPr>
          <w:iCs/>
        </w:rPr>
        <w:t xml:space="preserve"> </w:t>
      </w:r>
    </w:p>
    <w:p w:rsidR="006F6EED" w:rsidRPr="00C81D26" w:rsidRDefault="006F6EED" w:rsidP="00263AC1">
      <w:pPr>
        <w:pStyle w:val="3-BodyText"/>
      </w:pPr>
      <w:r w:rsidRPr="00C81D26">
        <w:t xml:space="preserve">The proposed TGA indication </w:t>
      </w:r>
      <w:r w:rsidR="002C1FAB">
        <w:t>wa</w:t>
      </w:r>
      <w:r w:rsidRPr="00C81D26">
        <w:t>s:</w:t>
      </w:r>
    </w:p>
    <w:p w:rsidR="006F6EED" w:rsidRPr="00C81D26" w:rsidRDefault="006F6EED" w:rsidP="006F6EED">
      <w:pPr>
        <w:pStyle w:val="3-BodyText"/>
        <w:numPr>
          <w:ilvl w:val="0"/>
          <w:numId w:val="0"/>
        </w:numPr>
        <w:ind w:left="720"/>
      </w:pPr>
      <w:r w:rsidRPr="00C81D26">
        <w:t>“Maintenance treatment to prevent exacerbations and relieve symptoms in adults with COPD who require treatment with LAMA+LABA+ICS.”</w:t>
      </w:r>
    </w:p>
    <w:p w:rsidR="00B4704C" w:rsidRPr="00C81D26" w:rsidRDefault="00B4704C" w:rsidP="006F6EED">
      <w:pPr>
        <w:pStyle w:val="3-BodyText"/>
        <w:numPr>
          <w:ilvl w:val="0"/>
          <w:numId w:val="0"/>
        </w:numPr>
        <w:ind w:left="720"/>
      </w:pPr>
      <w:r w:rsidRPr="00C81D26">
        <w:t>The ESC noted that the TGA Delegate’s overview indicated the Delegate was inclined to approve registration for a more restrictive indication:</w:t>
      </w:r>
    </w:p>
    <w:p w:rsidR="00B4704C" w:rsidRPr="00C81D26" w:rsidRDefault="00B4704C" w:rsidP="006F6EED">
      <w:pPr>
        <w:pStyle w:val="3-BodyText"/>
        <w:numPr>
          <w:ilvl w:val="0"/>
          <w:numId w:val="0"/>
        </w:numPr>
        <w:ind w:left="720"/>
      </w:pPr>
      <w:r w:rsidRPr="00C81D26">
        <w:t>“Maintenance treatment to prevent exacerbations and relieve symptoms in adults with moderate, severe or very severe COPD who require treatment with a combination of an ICS, a LABA, and a LAMA.”</w:t>
      </w:r>
    </w:p>
    <w:p w:rsidR="00B4704C" w:rsidRPr="00C81D26" w:rsidRDefault="00B4704C" w:rsidP="006F6EED">
      <w:pPr>
        <w:pStyle w:val="3-BodyText"/>
        <w:numPr>
          <w:ilvl w:val="0"/>
          <w:numId w:val="0"/>
        </w:numPr>
        <w:ind w:left="720"/>
      </w:pPr>
      <w:r w:rsidRPr="00C81D26">
        <w:t xml:space="preserve">The ESC noted the </w:t>
      </w:r>
      <w:r w:rsidR="001D6E4A" w:rsidRPr="00C81D26">
        <w:t>indication proposed by the D</w:t>
      </w:r>
      <w:r w:rsidRPr="00C81D26">
        <w:t>elegate was similar to the FF/UMEC/VI registered indication</w:t>
      </w:r>
      <w:r w:rsidR="001D6E4A" w:rsidRPr="00C81D26">
        <w:t xml:space="preserve"> which allows use for maintenance treatment in adults with moderate to severe COPD who require treatment with LAMA+LABA+ICS.</w:t>
      </w:r>
      <w:r w:rsidR="002C1FAB">
        <w:t xml:space="preserve"> </w:t>
      </w:r>
    </w:p>
    <w:p w:rsidR="006F6EED" w:rsidRDefault="00263AC1" w:rsidP="0060446E">
      <w:pPr>
        <w:pStyle w:val="3-BodyText"/>
      </w:pPr>
      <w:r>
        <w:rPr>
          <w:iCs/>
        </w:rPr>
        <w:t xml:space="preserve">The clinical evidence presented in the submission included two </w:t>
      </w:r>
      <w:r w:rsidR="00051114">
        <w:rPr>
          <w:iCs/>
        </w:rPr>
        <w:t>formulations of BUD/GLY/FOR, containing different doses of ICS:</w:t>
      </w:r>
      <w:r w:rsidR="00051114" w:rsidRPr="00051114">
        <w:rPr>
          <w:iCs/>
        </w:rPr>
        <w:t xml:space="preserve"> BUD/GLY/FOR (160/7.2/5) two inhalations twice</w:t>
      </w:r>
      <w:r w:rsidR="00051114">
        <w:rPr>
          <w:iCs/>
        </w:rPr>
        <w:t xml:space="preserve"> daily and </w:t>
      </w:r>
      <w:r w:rsidR="00051114" w:rsidRPr="00051114">
        <w:rPr>
          <w:iCs/>
        </w:rPr>
        <w:t>BUD/GLY/FOR (</w:t>
      </w:r>
      <w:r w:rsidR="00051114">
        <w:rPr>
          <w:iCs/>
        </w:rPr>
        <w:t>8</w:t>
      </w:r>
      <w:r w:rsidR="00051114" w:rsidRPr="00051114">
        <w:rPr>
          <w:iCs/>
        </w:rPr>
        <w:t xml:space="preserve">0/7.2/5) </w:t>
      </w:r>
      <w:r w:rsidR="00051114">
        <w:rPr>
          <w:iCs/>
        </w:rPr>
        <w:t>two inhalations twice daily.</w:t>
      </w:r>
      <w:r w:rsidR="00051114" w:rsidRPr="006F6EED">
        <w:rPr>
          <w:i/>
        </w:rPr>
        <w:t xml:space="preserve"> </w:t>
      </w:r>
      <w:r w:rsidR="00051114">
        <w:rPr>
          <w:iCs/>
        </w:rPr>
        <w:t xml:space="preserve">The submission stated that </w:t>
      </w:r>
      <w:r>
        <w:rPr>
          <w:iCs/>
        </w:rPr>
        <w:t>TGA registration and PBS listing was only sought for</w:t>
      </w:r>
      <w:r w:rsidR="00051114">
        <w:rPr>
          <w:iCs/>
        </w:rPr>
        <w:t xml:space="preserve"> the higher dose ICS formulation: </w:t>
      </w:r>
      <w:r w:rsidR="00051114" w:rsidRPr="00051114">
        <w:rPr>
          <w:iCs/>
        </w:rPr>
        <w:t>BUD/GLY/FOR (160/7.2/5)</w:t>
      </w:r>
      <w:r w:rsidR="00051114">
        <w:rPr>
          <w:iCs/>
        </w:rPr>
        <w:t xml:space="preserve">. </w:t>
      </w:r>
      <w:r w:rsidR="006F6EED" w:rsidRPr="003458ED">
        <w:t>The clinical evidence demonstrated similar efficacy and safety between the two doses but trends favoured the higher dose.</w:t>
      </w:r>
    </w:p>
    <w:p w:rsidR="00C81D26" w:rsidRPr="00C81D26" w:rsidRDefault="00C81D26" w:rsidP="00C81D26">
      <w:pPr>
        <w:pStyle w:val="3-BodyText"/>
        <w:numPr>
          <w:ilvl w:val="0"/>
          <w:numId w:val="0"/>
        </w:numPr>
        <w:ind w:left="720"/>
        <w:rPr>
          <w:i/>
        </w:rPr>
      </w:pPr>
      <w:bookmarkStart w:id="7" w:name="_Hlk76375324"/>
      <w:r w:rsidRPr="00C81D26">
        <w:rPr>
          <w:i/>
        </w:rPr>
        <w:lastRenderedPageBreak/>
        <w:t>For more detail on PBAC’s view, see section 7 PBAC outcome.</w:t>
      </w:r>
      <w:bookmarkEnd w:id="7"/>
    </w:p>
    <w:p w:rsidR="00B60939" w:rsidRDefault="00B50DB8" w:rsidP="004E18E9">
      <w:pPr>
        <w:pStyle w:val="2-SectionHeading"/>
      </w:pPr>
      <w:bookmarkStart w:id="8" w:name="_Toc72233549"/>
      <w:r w:rsidRPr="00407F2D">
        <w:t>Requested listing</w:t>
      </w:r>
      <w:bookmarkEnd w:id="8"/>
    </w:p>
    <w:p w:rsidR="002C1FAB" w:rsidRPr="00D519AC" w:rsidRDefault="00B56FF6" w:rsidP="00D519AC">
      <w:pPr>
        <w:pStyle w:val="3-BodyText"/>
        <w:rPr>
          <w:iCs/>
        </w:rPr>
      </w:pPr>
      <w:r>
        <w:rPr>
          <w:iCs/>
        </w:rPr>
        <w:t xml:space="preserve">The requested listing is shown below.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850"/>
        <w:gridCol w:w="851"/>
        <w:gridCol w:w="992"/>
        <w:gridCol w:w="850"/>
        <w:gridCol w:w="1134"/>
        <w:gridCol w:w="1134"/>
      </w:tblGrid>
      <w:tr w:rsidR="00D519AC" w:rsidRPr="00C8707A" w:rsidTr="00D519AC">
        <w:trPr>
          <w:cantSplit/>
          <w:trHeight w:val="471"/>
        </w:trPr>
        <w:tc>
          <w:tcPr>
            <w:tcW w:w="3256" w:type="dxa"/>
          </w:tcPr>
          <w:p w:rsidR="00D519AC" w:rsidRPr="00C8707A" w:rsidRDefault="00D519AC" w:rsidP="00E21B40">
            <w:pPr>
              <w:keepNext/>
              <w:ind w:left="-57"/>
              <w:rPr>
                <w:rFonts w:ascii="Arial Narrow" w:hAnsi="Arial Narrow"/>
                <w:b/>
                <w:bCs/>
                <w:sz w:val="20"/>
                <w:szCs w:val="20"/>
              </w:rPr>
            </w:pPr>
            <w:r w:rsidRPr="00C8707A">
              <w:rPr>
                <w:rFonts w:ascii="Arial Narrow" w:hAnsi="Arial Narrow"/>
                <w:b/>
                <w:bCs/>
                <w:sz w:val="20"/>
                <w:szCs w:val="20"/>
              </w:rPr>
              <w:t>MEDICINAL PRODUCT</w:t>
            </w:r>
          </w:p>
          <w:p w:rsidR="00D519AC" w:rsidRPr="00C8707A" w:rsidRDefault="00D519AC" w:rsidP="00E21B40">
            <w:pPr>
              <w:keepNext/>
              <w:ind w:left="-57"/>
              <w:rPr>
                <w:rFonts w:ascii="Arial Narrow" w:hAnsi="Arial Narrow"/>
                <w:b/>
                <w:sz w:val="20"/>
                <w:szCs w:val="20"/>
              </w:rPr>
            </w:pPr>
            <w:r w:rsidRPr="00C8707A">
              <w:rPr>
                <w:rFonts w:ascii="Arial Narrow" w:hAnsi="Arial Narrow"/>
                <w:b/>
                <w:bCs/>
                <w:sz w:val="20"/>
                <w:szCs w:val="20"/>
              </w:rPr>
              <w:t>medicinal product pack</w:t>
            </w:r>
          </w:p>
        </w:tc>
        <w:tc>
          <w:tcPr>
            <w:tcW w:w="850" w:type="dxa"/>
          </w:tcPr>
          <w:p w:rsidR="00D519AC" w:rsidRPr="00C8707A" w:rsidRDefault="00D519AC" w:rsidP="00E21B40">
            <w:pPr>
              <w:keepNext/>
              <w:ind w:left="-108"/>
              <w:jc w:val="center"/>
              <w:rPr>
                <w:rFonts w:ascii="Arial Narrow" w:hAnsi="Arial Narrow"/>
                <w:b/>
                <w:sz w:val="20"/>
                <w:szCs w:val="20"/>
              </w:rPr>
            </w:pPr>
            <w:r w:rsidRPr="00C8707A">
              <w:rPr>
                <w:rFonts w:ascii="Arial Narrow" w:hAnsi="Arial Narrow"/>
                <w:b/>
                <w:sz w:val="20"/>
                <w:szCs w:val="20"/>
              </w:rPr>
              <w:t>PBS item code</w:t>
            </w:r>
          </w:p>
        </w:tc>
        <w:tc>
          <w:tcPr>
            <w:tcW w:w="851" w:type="dxa"/>
          </w:tcPr>
          <w:p w:rsidR="00D519AC" w:rsidRPr="00C8707A" w:rsidRDefault="00D519AC" w:rsidP="00E21B40">
            <w:pPr>
              <w:keepNext/>
              <w:ind w:left="-108"/>
              <w:jc w:val="center"/>
              <w:rPr>
                <w:rFonts w:ascii="Arial Narrow" w:hAnsi="Arial Narrow"/>
                <w:b/>
                <w:sz w:val="20"/>
                <w:szCs w:val="20"/>
              </w:rPr>
            </w:pPr>
            <w:r w:rsidRPr="00C8707A">
              <w:rPr>
                <w:rFonts w:ascii="Arial Narrow" w:hAnsi="Arial Narrow"/>
                <w:b/>
                <w:sz w:val="20"/>
                <w:szCs w:val="20"/>
              </w:rPr>
              <w:t>Max. qty packs</w:t>
            </w:r>
          </w:p>
        </w:tc>
        <w:tc>
          <w:tcPr>
            <w:tcW w:w="992" w:type="dxa"/>
          </w:tcPr>
          <w:p w:rsidR="00D519AC" w:rsidRPr="00C8707A" w:rsidRDefault="00D519AC" w:rsidP="00E21B40">
            <w:pPr>
              <w:keepNext/>
              <w:ind w:left="-108"/>
              <w:jc w:val="center"/>
              <w:rPr>
                <w:rFonts w:ascii="Arial Narrow" w:hAnsi="Arial Narrow"/>
                <w:b/>
                <w:sz w:val="20"/>
                <w:szCs w:val="20"/>
              </w:rPr>
            </w:pPr>
            <w:r w:rsidRPr="00C8707A">
              <w:rPr>
                <w:rFonts w:ascii="Arial Narrow" w:hAnsi="Arial Narrow"/>
                <w:b/>
                <w:sz w:val="20"/>
                <w:szCs w:val="20"/>
              </w:rPr>
              <w:t>Max. qty units</w:t>
            </w:r>
          </w:p>
        </w:tc>
        <w:tc>
          <w:tcPr>
            <w:tcW w:w="850" w:type="dxa"/>
          </w:tcPr>
          <w:p w:rsidR="00D519AC" w:rsidRPr="00C8707A" w:rsidRDefault="00D519AC" w:rsidP="00E21B40">
            <w:pPr>
              <w:keepNext/>
              <w:ind w:left="-108"/>
              <w:jc w:val="center"/>
              <w:rPr>
                <w:rFonts w:ascii="Arial Narrow" w:hAnsi="Arial Narrow"/>
                <w:b/>
                <w:sz w:val="20"/>
                <w:szCs w:val="20"/>
              </w:rPr>
            </w:pPr>
            <w:r w:rsidRPr="00C8707A">
              <w:rPr>
                <w:rFonts w:ascii="Arial Narrow" w:hAnsi="Arial Narrow"/>
                <w:b/>
                <w:sz w:val="20"/>
                <w:szCs w:val="20"/>
              </w:rPr>
              <w:t>№.of Rpts</w:t>
            </w:r>
          </w:p>
        </w:tc>
        <w:tc>
          <w:tcPr>
            <w:tcW w:w="1134" w:type="dxa"/>
          </w:tcPr>
          <w:p w:rsidR="00D519AC" w:rsidRPr="00C8707A" w:rsidRDefault="00D519AC" w:rsidP="00E21B40">
            <w:pPr>
              <w:keepNext/>
              <w:ind w:left="-108"/>
              <w:jc w:val="center"/>
              <w:rPr>
                <w:rFonts w:ascii="Arial Narrow" w:hAnsi="Arial Narrow"/>
                <w:b/>
                <w:sz w:val="20"/>
                <w:szCs w:val="20"/>
              </w:rPr>
            </w:pPr>
            <w:r w:rsidRPr="00C7151A">
              <w:rPr>
                <w:rFonts w:ascii="Arial Narrow" w:hAnsi="Arial Narrow"/>
                <w:b/>
                <w:sz w:val="20"/>
              </w:rPr>
              <w:t>Dispensed Price for Max. Qty</w:t>
            </w:r>
          </w:p>
        </w:tc>
        <w:tc>
          <w:tcPr>
            <w:tcW w:w="1134" w:type="dxa"/>
          </w:tcPr>
          <w:p w:rsidR="00D519AC" w:rsidRPr="00C8707A" w:rsidRDefault="00D519AC" w:rsidP="00E21B40">
            <w:pPr>
              <w:keepNext/>
              <w:rPr>
                <w:rFonts w:ascii="Arial Narrow" w:hAnsi="Arial Narrow"/>
                <w:b/>
                <w:sz w:val="20"/>
                <w:szCs w:val="20"/>
                <w:lang w:val="fr-FR"/>
              </w:rPr>
            </w:pPr>
            <w:r w:rsidRPr="00C8707A">
              <w:rPr>
                <w:rFonts w:ascii="Arial Narrow" w:hAnsi="Arial Narrow"/>
                <w:b/>
                <w:sz w:val="20"/>
                <w:szCs w:val="20"/>
              </w:rPr>
              <w:t>Available brands</w:t>
            </w:r>
          </w:p>
        </w:tc>
      </w:tr>
      <w:tr w:rsidR="002C1FAB" w:rsidRPr="00C8707A" w:rsidTr="00E21B40">
        <w:trPr>
          <w:cantSplit/>
          <w:trHeight w:val="224"/>
        </w:trPr>
        <w:tc>
          <w:tcPr>
            <w:tcW w:w="9067" w:type="dxa"/>
            <w:gridSpan w:val="7"/>
          </w:tcPr>
          <w:p w:rsidR="002C1FAB" w:rsidRPr="00C8707A" w:rsidRDefault="002C1FAB" w:rsidP="00E21B40">
            <w:pPr>
              <w:keepNext/>
              <w:ind w:left="-57"/>
              <w:rPr>
                <w:rFonts w:ascii="Arial Narrow" w:hAnsi="Arial Narrow"/>
                <w:sz w:val="20"/>
                <w:szCs w:val="20"/>
              </w:rPr>
            </w:pPr>
            <w:r w:rsidRPr="00C8707A">
              <w:rPr>
                <w:rFonts w:ascii="Arial Narrow" w:hAnsi="Arial Narrow"/>
                <w:sz w:val="20"/>
                <w:szCs w:val="20"/>
              </w:rPr>
              <w:t xml:space="preserve">BUDESONIDE + FORMOTEROL (EFORMOTEROL) + GLYCOPYRRONIUM </w:t>
            </w:r>
          </w:p>
        </w:tc>
      </w:tr>
      <w:tr w:rsidR="00D519AC" w:rsidRPr="00C8707A" w:rsidTr="00D519AC">
        <w:trPr>
          <w:cantSplit/>
          <w:trHeight w:val="553"/>
        </w:trPr>
        <w:tc>
          <w:tcPr>
            <w:tcW w:w="3256" w:type="dxa"/>
          </w:tcPr>
          <w:p w:rsidR="00D519AC" w:rsidRPr="00C8707A" w:rsidRDefault="00D519AC" w:rsidP="00E21B40">
            <w:pPr>
              <w:keepNext/>
              <w:ind w:left="-57"/>
              <w:rPr>
                <w:rFonts w:ascii="Arial Narrow" w:hAnsi="Arial Narrow"/>
                <w:sz w:val="20"/>
                <w:szCs w:val="20"/>
              </w:rPr>
            </w:pPr>
            <w:r w:rsidRPr="00C8707A">
              <w:rPr>
                <w:rFonts w:ascii="Arial Narrow" w:hAnsi="Arial Narrow"/>
                <w:sz w:val="20"/>
                <w:szCs w:val="20"/>
              </w:rPr>
              <w:t>budesonide 160 microgram/actuation + glycopyrronium 7.2 microgram/actuation + formoterol (eformoterol) fumarate dehydrate 5 microgram/actuation inhalation, 120 actuations</w:t>
            </w:r>
          </w:p>
        </w:tc>
        <w:tc>
          <w:tcPr>
            <w:tcW w:w="850" w:type="dxa"/>
          </w:tcPr>
          <w:p w:rsidR="00D519AC" w:rsidRPr="00C8707A" w:rsidRDefault="00D519AC" w:rsidP="00E21B40">
            <w:pPr>
              <w:keepNext/>
              <w:jc w:val="center"/>
              <w:rPr>
                <w:rFonts w:ascii="Arial Narrow" w:hAnsi="Arial Narrow"/>
                <w:sz w:val="20"/>
                <w:szCs w:val="20"/>
              </w:rPr>
            </w:pPr>
            <w:r w:rsidRPr="00C8707A">
              <w:rPr>
                <w:rFonts w:ascii="Arial Narrow" w:hAnsi="Arial Narrow"/>
                <w:sz w:val="20"/>
                <w:szCs w:val="20"/>
              </w:rPr>
              <w:t>NEW</w:t>
            </w:r>
          </w:p>
        </w:tc>
        <w:tc>
          <w:tcPr>
            <w:tcW w:w="851" w:type="dxa"/>
          </w:tcPr>
          <w:p w:rsidR="00D519AC" w:rsidRPr="00C8707A" w:rsidRDefault="00D519AC" w:rsidP="00E21B40">
            <w:pPr>
              <w:keepNext/>
              <w:jc w:val="center"/>
              <w:rPr>
                <w:rFonts w:ascii="Arial Narrow" w:hAnsi="Arial Narrow"/>
                <w:sz w:val="20"/>
                <w:szCs w:val="20"/>
              </w:rPr>
            </w:pPr>
            <w:r w:rsidRPr="00C8707A">
              <w:rPr>
                <w:rFonts w:ascii="Arial Narrow" w:hAnsi="Arial Narrow"/>
                <w:sz w:val="20"/>
                <w:szCs w:val="20"/>
              </w:rPr>
              <w:t>1</w:t>
            </w:r>
          </w:p>
        </w:tc>
        <w:tc>
          <w:tcPr>
            <w:tcW w:w="992" w:type="dxa"/>
          </w:tcPr>
          <w:p w:rsidR="00D519AC" w:rsidRPr="00C8707A" w:rsidRDefault="00D519AC" w:rsidP="00E21B40">
            <w:pPr>
              <w:keepNext/>
              <w:jc w:val="center"/>
              <w:rPr>
                <w:rFonts w:ascii="Arial Narrow" w:hAnsi="Arial Narrow"/>
                <w:sz w:val="20"/>
                <w:szCs w:val="20"/>
              </w:rPr>
            </w:pPr>
            <w:r w:rsidRPr="00C8707A">
              <w:rPr>
                <w:rFonts w:ascii="Arial Narrow" w:hAnsi="Arial Narrow"/>
                <w:sz w:val="20"/>
                <w:szCs w:val="20"/>
              </w:rPr>
              <w:t>1</w:t>
            </w:r>
          </w:p>
        </w:tc>
        <w:tc>
          <w:tcPr>
            <w:tcW w:w="850" w:type="dxa"/>
          </w:tcPr>
          <w:p w:rsidR="00D519AC" w:rsidRPr="00C8707A" w:rsidRDefault="00D519AC" w:rsidP="00E21B40">
            <w:pPr>
              <w:keepNext/>
              <w:jc w:val="center"/>
              <w:rPr>
                <w:rFonts w:ascii="Arial Narrow" w:hAnsi="Arial Narrow"/>
                <w:sz w:val="20"/>
                <w:szCs w:val="20"/>
              </w:rPr>
            </w:pPr>
            <w:r w:rsidRPr="00C8707A">
              <w:rPr>
                <w:rFonts w:ascii="Arial Narrow" w:hAnsi="Arial Narrow"/>
                <w:sz w:val="20"/>
                <w:szCs w:val="20"/>
              </w:rPr>
              <w:t>5</w:t>
            </w:r>
          </w:p>
        </w:tc>
        <w:tc>
          <w:tcPr>
            <w:tcW w:w="1134" w:type="dxa"/>
          </w:tcPr>
          <w:p w:rsidR="00D519AC" w:rsidRPr="00C8707A" w:rsidRDefault="00D519AC" w:rsidP="00E21B40">
            <w:pPr>
              <w:keepNext/>
              <w:jc w:val="center"/>
              <w:rPr>
                <w:rFonts w:ascii="Arial Narrow" w:hAnsi="Arial Narrow"/>
                <w:sz w:val="20"/>
                <w:szCs w:val="20"/>
              </w:rPr>
            </w:pPr>
            <w:r w:rsidRPr="008F3C42">
              <w:rPr>
                <w:rFonts w:ascii="Arial Narrow" w:hAnsi="Arial Narrow"/>
                <w:sz w:val="20"/>
              </w:rPr>
              <w:t>$</w:t>
            </w:r>
            <w:r w:rsidR="00C764F0">
              <w:rPr>
                <w:rFonts w:ascii="Arial Narrow" w:hAnsi="Arial Narrow"/>
                <w:noProof/>
                <w:color w:val="000000"/>
                <w:sz w:val="20"/>
                <w:highlight w:val="black"/>
              </w:rPr>
              <w:t>''''''''''''</w:t>
            </w:r>
          </w:p>
        </w:tc>
        <w:tc>
          <w:tcPr>
            <w:tcW w:w="1134" w:type="dxa"/>
          </w:tcPr>
          <w:p w:rsidR="00D519AC" w:rsidRPr="00C8707A" w:rsidRDefault="00D519AC" w:rsidP="00E21B40">
            <w:pPr>
              <w:keepNext/>
              <w:rPr>
                <w:rFonts w:ascii="Arial Narrow" w:hAnsi="Arial Narrow"/>
                <w:sz w:val="20"/>
                <w:szCs w:val="20"/>
              </w:rPr>
            </w:pPr>
            <w:r w:rsidRPr="00C8707A">
              <w:rPr>
                <w:rFonts w:ascii="Arial Narrow" w:hAnsi="Arial Narrow"/>
                <w:sz w:val="20"/>
                <w:szCs w:val="20"/>
              </w:rPr>
              <w:t>Breztri Aerosphere</w:t>
            </w:r>
            <w:r w:rsidRPr="00C8707A">
              <w:rPr>
                <w:rFonts w:ascii="Arial Narrow" w:hAnsi="Arial Narrow"/>
                <w:sz w:val="20"/>
                <w:szCs w:val="20"/>
                <w:vertAlign w:val="superscript"/>
              </w:rPr>
              <w:t xml:space="preserve"> </w:t>
            </w:r>
            <w:r w:rsidRPr="00C8707A">
              <w:rPr>
                <w:rFonts w:ascii="Arial Narrow" w:hAnsi="Arial Narrow"/>
                <w:sz w:val="20"/>
                <w:szCs w:val="20"/>
              </w:rPr>
              <w:t>160/7.2/5</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rPr>
          <w:trHeight w:val="148"/>
        </w:trPr>
        <w:tc>
          <w:tcPr>
            <w:tcW w:w="9067" w:type="dxa"/>
            <w:gridSpan w:val="7"/>
            <w:tcBorders>
              <w:top w:val="single" w:sz="4" w:space="0" w:color="auto"/>
              <w:left w:val="single" w:sz="4" w:space="0" w:color="auto"/>
              <w:bottom w:val="single" w:sz="4" w:space="0" w:color="auto"/>
              <w:right w:val="single" w:sz="4" w:space="0" w:color="auto"/>
            </w:tcBorders>
          </w:tcPr>
          <w:p w:rsidR="00D519AC" w:rsidRPr="00C8707A" w:rsidRDefault="00D519AC" w:rsidP="00E21B40">
            <w:pPr>
              <w:keepNext/>
              <w:rPr>
                <w:rFonts w:ascii="Arial Narrow" w:hAnsi="Arial Narrow"/>
                <w:sz w:val="20"/>
                <w:szCs w:val="20"/>
              </w:rPr>
            </w:pPr>
            <w:r w:rsidRPr="00C8707A">
              <w:rPr>
                <w:rFonts w:ascii="Arial Narrow" w:hAnsi="Arial Narrow"/>
                <w:b/>
                <w:sz w:val="20"/>
                <w:szCs w:val="20"/>
              </w:rPr>
              <w:t xml:space="preserve">Category / Program:   </w:t>
            </w:r>
            <w:r w:rsidRPr="00C8707A">
              <w:rPr>
                <w:rFonts w:ascii="Arial Narrow" w:hAnsi="Arial Narrow"/>
                <w:sz w:val="20"/>
                <w:szCs w:val="20"/>
              </w:rPr>
              <w:t>GENERAL – General Schedule (Code GE)</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top w:val="single" w:sz="4" w:space="0" w:color="auto"/>
              <w:left w:val="single" w:sz="4" w:space="0" w:color="auto"/>
              <w:bottom w:val="single" w:sz="4" w:space="0" w:color="auto"/>
              <w:right w:val="single" w:sz="4" w:space="0" w:color="auto"/>
            </w:tcBorders>
          </w:tcPr>
          <w:p w:rsidR="00D519AC" w:rsidRPr="00C8707A" w:rsidRDefault="00D519AC" w:rsidP="00E21B40">
            <w:pPr>
              <w:keepNext/>
              <w:rPr>
                <w:rFonts w:ascii="Arial Narrow" w:hAnsi="Arial Narrow"/>
                <w:b/>
                <w:sz w:val="20"/>
                <w:szCs w:val="20"/>
              </w:rPr>
            </w:pPr>
            <w:r w:rsidRPr="00C8707A">
              <w:rPr>
                <w:rFonts w:ascii="Arial Narrow" w:hAnsi="Arial Narrow"/>
                <w:b/>
                <w:sz w:val="20"/>
                <w:szCs w:val="20"/>
              </w:rPr>
              <w:t xml:space="preserve">Prescriber type:   </w:t>
            </w:r>
            <w:r w:rsidRPr="00C8707A">
              <w:rPr>
                <w:rFonts w:ascii="Arial Narrow" w:hAnsi="Arial Narrow"/>
                <w:sz w:val="20"/>
                <w:szCs w:val="20"/>
              </w:rPr>
              <w:fldChar w:fldCharType="begin">
                <w:ffData>
                  <w:name w:val=""/>
                  <w:enabled/>
                  <w:calcOnExit w:val="0"/>
                  <w:checkBox>
                    <w:sizeAuto/>
                    <w:default w:val="1"/>
                  </w:checkBox>
                </w:ffData>
              </w:fldChar>
            </w:r>
            <w:r w:rsidRPr="00C8707A">
              <w:rPr>
                <w:rFonts w:ascii="Arial Narrow" w:hAnsi="Arial Narrow"/>
                <w:sz w:val="20"/>
                <w:szCs w:val="20"/>
              </w:rPr>
              <w:instrText xml:space="preserve"> FORMCHECKBOX </w:instrText>
            </w:r>
            <w:r w:rsidR="0032234C">
              <w:rPr>
                <w:rFonts w:ascii="Arial Narrow" w:hAnsi="Arial Narrow"/>
                <w:sz w:val="20"/>
                <w:szCs w:val="20"/>
              </w:rPr>
            </w:r>
            <w:r w:rsidR="0032234C">
              <w:rPr>
                <w:rFonts w:ascii="Arial Narrow" w:hAnsi="Arial Narrow"/>
                <w:sz w:val="20"/>
                <w:szCs w:val="20"/>
              </w:rPr>
              <w:fldChar w:fldCharType="separate"/>
            </w:r>
            <w:r w:rsidRPr="00C8707A">
              <w:rPr>
                <w:rFonts w:ascii="Arial Narrow" w:hAnsi="Arial Narrow"/>
                <w:sz w:val="20"/>
                <w:szCs w:val="20"/>
              </w:rPr>
              <w:fldChar w:fldCharType="end"/>
            </w:r>
            <w:r w:rsidRPr="00C8707A">
              <w:rPr>
                <w:rFonts w:ascii="Arial Narrow" w:hAnsi="Arial Narrow"/>
                <w:sz w:val="20"/>
                <w:szCs w:val="20"/>
              </w:rPr>
              <w:t xml:space="preserve"> Medical Practitioners    </w:t>
            </w:r>
            <w:r w:rsidRPr="00C8707A">
              <w:rPr>
                <w:rFonts w:ascii="Arial Narrow" w:hAnsi="Arial Narrow"/>
                <w:sz w:val="20"/>
                <w:szCs w:val="20"/>
              </w:rPr>
              <w:fldChar w:fldCharType="begin">
                <w:ffData>
                  <w:name w:val="Check3"/>
                  <w:enabled/>
                  <w:calcOnExit w:val="0"/>
                  <w:checkBox>
                    <w:sizeAuto/>
                    <w:default w:val="1"/>
                  </w:checkBox>
                </w:ffData>
              </w:fldChar>
            </w:r>
            <w:r w:rsidRPr="00C8707A">
              <w:rPr>
                <w:rFonts w:ascii="Arial Narrow" w:hAnsi="Arial Narrow"/>
                <w:sz w:val="20"/>
                <w:szCs w:val="20"/>
              </w:rPr>
              <w:instrText xml:space="preserve"> FORMCHECKBOX </w:instrText>
            </w:r>
            <w:r w:rsidR="0032234C">
              <w:rPr>
                <w:rFonts w:ascii="Arial Narrow" w:hAnsi="Arial Narrow"/>
                <w:sz w:val="20"/>
                <w:szCs w:val="20"/>
              </w:rPr>
            </w:r>
            <w:r w:rsidR="0032234C">
              <w:rPr>
                <w:rFonts w:ascii="Arial Narrow" w:hAnsi="Arial Narrow"/>
                <w:sz w:val="20"/>
                <w:szCs w:val="20"/>
              </w:rPr>
              <w:fldChar w:fldCharType="separate"/>
            </w:r>
            <w:r w:rsidRPr="00C8707A">
              <w:rPr>
                <w:rFonts w:ascii="Arial Narrow" w:hAnsi="Arial Narrow"/>
                <w:sz w:val="20"/>
                <w:szCs w:val="20"/>
              </w:rPr>
              <w:fldChar w:fldCharType="end"/>
            </w:r>
            <w:r w:rsidRPr="00C8707A">
              <w:rPr>
                <w:rFonts w:ascii="Arial Narrow" w:hAnsi="Arial Narrow"/>
                <w:sz w:val="20"/>
                <w:szCs w:val="20"/>
              </w:rPr>
              <w:t xml:space="preserve"> Nurse practitioners - CTO  </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rPr>
          <w:trHeight w:val="216"/>
        </w:trPr>
        <w:tc>
          <w:tcPr>
            <w:tcW w:w="9067" w:type="dxa"/>
            <w:gridSpan w:val="7"/>
            <w:tcBorders>
              <w:top w:val="single" w:sz="4" w:space="0" w:color="auto"/>
              <w:left w:val="single" w:sz="4" w:space="0" w:color="auto"/>
              <w:bottom w:val="single" w:sz="4" w:space="0" w:color="auto"/>
              <w:right w:val="single" w:sz="4" w:space="0" w:color="auto"/>
            </w:tcBorders>
          </w:tcPr>
          <w:p w:rsidR="00D519AC" w:rsidRPr="00C8707A" w:rsidRDefault="00D519AC" w:rsidP="00E21B40">
            <w:pPr>
              <w:rPr>
                <w:rFonts w:ascii="Arial Narrow" w:hAnsi="Arial Narrow"/>
                <w:b/>
                <w:sz w:val="20"/>
                <w:szCs w:val="20"/>
              </w:rPr>
            </w:pPr>
            <w:r w:rsidRPr="00C8707A">
              <w:rPr>
                <w:rFonts w:ascii="Arial Narrow" w:hAnsi="Arial Narrow"/>
                <w:b/>
                <w:sz w:val="20"/>
                <w:szCs w:val="20"/>
              </w:rPr>
              <w:t xml:space="preserve">Restriction type: </w:t>
            </w:r>
            <w:r w:rsidRPr="00C8707A">
              <w:rPr>
                <w:rFonts w:ascii="Arial Narrow" w:eastAsia="Calibri" w:hAnsi="Arial Narrow"/>
                <w:sz w:val="20"/>
                <w:szCs w:val="20"/>
              </w:rPr>
              <w:fldChar w:fldCharType="begin">
                <w:ffData>
                  <w:name w:val=""/>
                  <w:enabled/>
                  <w:calcOnExit w:val="0"/>
                  <w:checkBox>
                    <w:sizeAuto/>
                    <w:default w:val="1"/>
                  </w:checkBox>
                </w:ffData>
              </w:fldChar>
            </w:r>
            <w:r w:rsidRPr="00C8707A">
              <w:rPr>
                <w:rFonts w:ascii="Arial Narrow" w:eastAsia="Calibri" w:hAnsi="Arial Narrow"/>
                <w:sz w:val="20"/>
                <w:szCs w:val="20"/>
              </w:rPr>
              <w:instrText xml:space="preserve"> FORMCHECKBOX </w:instrText>
            </w:r>
            <w:r w:rsidR="0032234C">
              <w:rPr>
                <w:rFonts w:ascii="Arial Narrow" w:eastAsia="Calibri" w:hAnsi="Arial Narrow"/>
                <w:sz w:val="20"/>
                <w:szCs w:val="20"/>
              </w:rPr>
            </w:r>
            <w:r w:rsidR="0032234C">
              <w:rPr>
                <w:rFonts w:ascii="Arial Narrow" w:eastAsia="Calibri" w:hAnsi="Arial Narrow"/>
                <w:sz w:val="20"/>
                <w:szCs w:val="20"/>
              </w:rPr>
              <w:fldChar w:fldCharType="separate"/>
            </w:r>
            <w:r w:rsidRPr="00C8707A">
              <w:rPr>
                <w:rFonts w:ascii="Arial Narrow" w:eastAsia="Calibri" w:hAnsi="Arial Narrow"/>
                <w:sz w:val="20"/>
                <w:szCs w:val="20"/>
              </w:rPr>
              <w:fldChar w:fldCharType="end"/>
            </w:r>
            <w:r w:rsidRPr="00C8707A">
              <w:rPr>
                <w:rFonts w:ascii="Arial Narrow" w:eastAsia="Calibri" w:hAnsi="Arial Narrow"/>
                <w:sz w:val="20"/>
                <w:szCs w:val="20"/>
              </w:rPr>
              <w:t xml:space="preserve"> Authority Required (STREAMLINED) [10167]</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rPr>
          <w:trHeight w:val="216"/>
        </w:trPr>
        <w:tc>
          <w:tcPr>
            <w:tcW w:w="9067" w:type="dxa"/>
            <w:gridSpan w:val="7"/>
            <w:tcBorders>
              <w:top w:val="single" w:sz="4" w:space="0" w:color="auto"/>
              <w:left w:val="single" w:sz="4" w:space="0" w:color="auto"/>
              <w:bottom w:val="single" w:sz="4" w:space="0" w:color="auto"/>
              <w:right w:val="single" w:sz="4" w:space="0" w:color="auto"/>
            </w:tcBorders>
          </w:tcPr>
          <w:p w:rsidR="00D519AC" w:rsidRPr="00C8707A" w:rsidRDefault="00D519AC" w:rsidP="00E21B40">
            <w:pPr>
              <w:rPr>
                <w:rFonts w:ascii="Arial Narrow" w:hAnsi="Arial Narrow"/>
                <w:b/>
                <w:sz w:val="20"/>
                <w:szCs w:val="20"/>
              </w:rPr>
            </w:pPr>
            <w:r w:rsidRPr="00C8707A">
              <w:rPr>
                <w:rFonts w:ascii="Arial Narrow" w:hAnsi="Arial Narrow"/>
                <w:b/>
                <w:bCs/>
                <w:sz w:val="20"/>
                <w:szCs w:val="20"/>
              </w:rPr>
              <w:t>Administrative Advice:</w:t>
            </w:r>
          </w:p>
          <w:p w:rsidR="00D519AC" w:rsidRPr="00C8707A" w:rsidRDefault="00D519AC" w:rsidP="00E21B40">
            <w:pPr>
              <w:rPr>
                <w:rFonts w:ascii="Arial Narrow" w:hAnsi="Arial Narrow"/>
                <w:b/>
                <w:sz w:val="20"/>
                <w:szCs w:val="20"/>
              </w:rPr>
            </w:pPr>
            <w:r w:rsidRPr="00C8707A">
              <w:rPr>
                <w:rFonts w:ascii="Arial Narrow" w:hAnsi="Arial Narrow"/>
                <w:b/>
                <w:bCs/>
                <w:sz w:val="20"/>
                <w:szCs w:val="20"/>
              </w:rPr>
              <w:t>Continuing Therapy Only:</w:t>
            </w:r>
            <w:r w:rsidRPr="00C8707A">
              <w:rPr>
                <w:rFonts w:ascii="Arial Narrow" w:hAnsi="Arial Narrow"/>
                <w:b/>
                <w:sz w:val="20"/>
                <w:szCs w:val="20"/>
              </w:rPr>
              <w:t xml:space="preserve"> </w:t>
            </w:r>
          </w:p>
          <w:p w:rsidR="00D519AC" w:rsidRPr="00C8707A" w:rsidRDefault="00D519AC" w:rsidP="00E21B40">
            <w:pPr>
              <w:rPr>
                <w:rFonts w:ascii="Arial Narrow" w:hAnsi="Arial Narrow"/>
                <w:sz w:val="20"/>
                <w:szCs w:val="20"/>
              </w:rPr>
            </w:pPr>
            <w:r w:rsidRPr="00C8707A">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olor w:val="333333"/>
                <w:sz w:val="20"/>
                <w:szCs w:val="20"/>
              </w:rPr>
            </w:pPr>
            <w:r w:rsidRPr="00C8707A">
              <w:rPr>
                <w:rFonts w:ascii="Arial Narrow" w:hAnsi="Arial Narrow"/>
                <w:b/>
                <w:bCs/>
                <w:color w:val="333333"/>
                <w:sz w:val="20"/>
                <w:szCs w:val="20"/>
              </w:rPr>
              <w:t>Indication:</w:t>
            </w:r>
            <w:r w:rsidRPr="00C8707A">
              <w:rPr>
                <w:rFonts w:ascii="Arial Narrow" w:hAnsi="Arial Narrow"/>
                <w:color w:val="333333"/>
                <w:sz w:val="20"/>
                <w:szCs w:val="20"/>
              </w:rPr>
              <w:t xml:space="preserve"> Chronic obstructive pulmonary disease (COPD)</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sz w:val="20"/>
                <w:szCs w:val="20"/>
              </w:rPr>
            </w:pPr>
            <w:r w:rsidRPr="00C8707A">
              <w:rPr>
                <w:rFonts w:ascii="Arial Narrow" w:hAnsi="Arial Narrow"/>
                <w:b/>
                <w:bCs/>
                <w:sz w:val="20"/>
                <w:szCs w:val="20"/>
              </w:rPr>
              <w:t xml:space="preserve">Treatment Phase: </w:t>
            </w:r>
            <w:r w:rsidRPr="00C8707A">
              <w:rPr>
                <w:rFonts w:ascii="Arial Narrow" w:hAnsi="Arial Narrow"/>
                <w:bCs/>
                <w:sz w:val="20"/>
                <w:szCs w:val="20"/>
              </w:rPr>
              <w:t>[blank]</w:t>
            </w:r>
            <w:r w:rsidRPr="00C8707A">
              <w:rPr>
                <w:rFonts w:ascii="Arial Narrow" w:hAnsi="Arial Narrow"/>
                <w:sz w:val="20"/>
                <w:szCs w:val="20"/>
              </w:rPr>
              <w:t xml:space="preserve"> </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b/>
                <w:bCs/>
                <w:color w:val="333333"/>
                <w:sz w:val="20"/>
                <w:szCs w:val="20"/>
              </w:rPr>
              <w:t>Clinical criteria:</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color w:val="333333"/>
                <w:sz w:val="20"/>
                <w:szCs w:val="20"/>
              </w:rPr>
              <w:t>Patient must have experienced at least one severe COPD exacerbation, which required hospitalisation, or two or more moderate exacerbations in the previous 12 months, with significant symptoms despite regular bronchodilator therapy with a long acting muscarinic antagonist (LAMA) and a long acting beta-2 agonist (LABA) or an inhaled corticosteroid (ICS) and a LABA; or</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color w:val="333333"/>
                <w:sz w:val="20"/>
                <w:szCs w:val="20"/>
              </w:rPr>
              <w:t>Patient must have been stabilised on a combination of a LAMA, LABA and an ICS for this condition</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b/>
                <w:bCs/>
                <w:color w:val="333333"/>
                <w:sz w:val="20"/>
                <w:szCs w:val="20"/>
              </w:rPr>
              <w:t>Administrative Advice:</w:t>
            </w:r>
          </w:p>
          <w:p w:rsidR="00D519AC" w:rsidRPr="00C8707A" w:rsidRDefault="00D519AC" w:rsidP="00E21B40">
            <w:pPr>
              <w:rPr>
                <w:rFonts w:ascii="Arial Narrow" w:hAnsi="Arial Narrow" w:cs="Open Sans"/>
                <w:color w:val="333333"/>
                <w:sz w:val="20"/>
                <w:szCs w:val="20"/>
              </w:rPr>
            </w:pPr>
            <w:r w:rsidRPr="00C8707A">
              <w:rPr>
                <w:rFonts w:ascii="Arial Narrow" w:hAnsi="Arial Narrow" w:cs="Open Sans"/>
                <w:color w:val="333333"/>
                <w:sz w:val="20"/>
                <w:szCs w:val="20"/>
              </w:rPr>
              <w:t>Formal assessment and correction of inhaler technique should be performed in accordance with the COPD-X Plan (available at http://copdx.org.au/); the assessment and adherence to correct technique should be documented in the patient's medical records.</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b/>
                <w:bCs/>
                <w:color w:val="333333"/>
                <w:sz w:val="20"/>
                <w:szCs w:val="20"/>
              </w:rPr>
              <w:t>Administrative Advice:</w:t>
            </w:r>
          </w:p>
          <w:p w:rsidR="00D519AC" w:rsidRPr="00C8707A" w:rsidRDefault="00D519AC" w:rsidP="00E21B40">
            <w:pPr>
              <w:rPr>
                <w:rFonts w:ascii="Arial Narrow" w:hAnsi="Arial Narrow" w:cs="Open Sans"/>
                <w:color w:val="333333"/>
                <w:sz w:val="20"/>
                <w:szCs w:val="20"/>
              </w:rPr>
            </w:pPr>
            <w:r w:rsidRPr="00C8707A">
              <w:rPr>
                <w:rFonts w:ascii="Arial Narrow" w:hAnsi="Arial Narrow" w:cs="Open Sans"/>
                <w:color w:val="333333"/>
                <w:sz w:val="20"/>
                <w:szCs w:val="20"/>
              </w:rPr>
              <w:t>Diagnosis of COPD should include measurement of airflow obstruction using spirometry, with confirmation of post-bronchodilator airflow obstruction.</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b/>
                <w:bCs/>
                <w:color w:val="333333"/>
                <w:sz w:val="20"/>
                <w:szCs w:val="20"/>
              </w:rPr>
              <w:t>Administrative Advice:</w:t>
            </w:r>
          </w:p>
          <w:p w:rsidR="00D519AC" w:rsidRPr="00C8707A" w:rsidRDefault="00D519AC" w:rsidP="00E21B40">
            <w:pPr>
              <w:rPr>
                <w:rFonts w:ascii="Arial Narrow" w:hAnsi="Arial Narrow" w:cs="Open Sans"/>
                <w:color w:val="333333"/>
                <w:sz w:val="20"/>
                <w:szCs w:val="20"/>
              </w:rPr>
            </w:pPr>
            <w:r w:rsidRPr="00C8707A">
              <w:rPr>
                <w:rFonts w:ascii="Arial Narrow" w:hAnsi="Arial Narrow" w:cs="Open Sans"/>
                <w:color w:val="333333"/>
                <w:sz w:val="20"/>
                <w:szCs w:val="20"/>
              </w:rPr>
              <w:t>This product is not PBS-subsidised for the treatment of asthma or the initiation of bronchodilator therapy in COPD.</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b/>
                <w:bCs/>
                <w:color w:val="333333"/>
                <w:sz w:val="20"/>
                <w:szCs w:val="20"/>
              </w:rPr>
              <w:t>Administrative Advice:</w:t>
            </w:r>
          </w:p>
          <w:p w:rsidR="00D519AC" w:rsidRPr="00C8707A" w:rsidRDefault="00D519AC" w:rsidP="00E21B40">
            <w:pPr>
              <w:rPr>
                <w:rFonts w:ascii="Arial Narrow" w:hAnsi="Arial Narrow" w:cs="Open Sans"/>
                <w:color w:val="333333"/>
                <w:sz w:val="20"/>
                <w:szCs w:val="20"/>
              </w:rPr>
            </w:pPr>
            <w:r w:rsidRPr="00C8707A">
              <w:rPr>
                <w:rFonts w:ascii="Arial Narrow" w:hAnsi="Arial Narrow" w:cs="Open Sans"/>
                <w:color w:val="333333"/>
                <w:sz w:val="20"/>
                <w:szCs w:val="20"/>
              </w:rPr>
              <w:t>The treatment must not be used in combination with an ICS/LABA, LABA/LAMA or LAMA, LABA or ICS monotherapy.</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b/>
                <w:bCs/>
                <w:color w:val="333333"/>
                <w:sz w:val="20"/>
                <w:szCs w:val="20"/>
              </w:rPr>
              <w:t>Administrative Advice:</w:t>
            </w:r>
            <w:r w:rsidRPr="00C8707A">
              <w:rPr>
                <w:rFonts w:ascii="Arial Narrow" w:hAnsi="Arial Narrow" w:cs="Open Sans"/>
                <w:color w:val="333333"/>
                <w:sz w:val="20"/>
                <w:szCs w:val="20"/>
              </w:rPr>
              <w:t xml:space="preserve"> A LAMA includes tiotropium, glycopyrronium, aclidinium or umeclidinium.</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b/>
                <w:bCs/>
                <w:color w:val="333333"/>
                <w:sz w:val="20"/>
                <w:szCs w:val="20"/>
              </w:rPr>
              <w:t>Administrative Advice:</w:t>
            </w:r>
            <w:r w:rsidRPr="00C8707A">
              <w:rPr>
                <w:rFonts w:ascii="Arial Narrow" w:hAnsi="Arial Narrow" w:cs="Open Sans"/>
                <w:color w:val="333333"/>
                <w:sz w:val="20"/>
                <w:szCs w:val="20"/>
              </w:rPr>
              <w:t xml:space="preserve"> A LABA includes olodaterol, indacaterol, salmeterol, formoterol or vilanterol.</w:t>
            </w:r>
          </w:p>
        </w:tc>
      </w:tr>
      <w:tr w:rsidR="00D519AC" w:rsidRPr="00C8707A" w:rsidTr="00D519AC">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rsidR="00D519AC" w:rsidRPr="00C8707A" w:rsidRDefault="00D519AC" w:rsidP="00E21B40">
            <w:pPr>
              <w:rPr>
                <w:rFonts w:ascii="Arial Narrow" w:hAnsi="Arial Narrow" w:cs="Open Sans"/>
                <w:color w:val="333333"/>
                <w:sz w:val="20"/>
                <w:szCs w:val="20"/>
              </w:rPr>
            </w:pPr>
            <w:r w:rsidRPr="00C8707A">
              <w:rPr>
                <w:rFonts w:ascii="Arial Narrow" w:hAnsi="Arial Narrow" w:cs="Open Sans"/>
                <w:b/>
                <w:bCs/>
                <w:color w:val="333333"/>
                <w:sz w:val="20"/>
                <w:szCs w:val="20"/>
              </w:rPr>
              <w:t>Administrative Advice:</w:t>
            </w:r>
          </w:p>
          <w:p w:rsidR="00D519AC" w:rsidRPr="00C8707A" w:rsidRDefault="00D519AC" w:rsidP="00E21B40">
            <w:pPr>
              <w:rPr>
                <w:rFonts w:ascii="Arial Narrow" w:hAnsi="Arial Narrow" w:cs="Open Sans"/>
                <w:color w:val="333333"/>
                <w:sz w:val="20"/>
                <w:szCs w:val="20"/>
              </w:rPr>
            </w:pPr>
            <w:r w:rsidRPr="00C8707A">
              <w:rPr>
                <w:rFonts w:ascii="Arial Narrow" w:hAnsi="Arial Narrow" w:cs="Open Sans"/>
                <w:color w:val="333333"/>
                <w:sz w:val="20"/>
                <w:szCs w:val="20"/>
              </w:rPr>
              <w:t>An ICS includes fluticasone propionate, fluticasone furoate, budesonide, beclometasone or ciclesonide.</w:t>
            </w:r>
          </w:p>
        </w:tc>
      </w:tr>
    </w:tbl>
    <w:p w:rsidR="00B60939" w:rsidRPr="00882085" w:rsidRDefault="00B60939" w:rsidP="004B1CB4"/>
    <w:p w:rsidR="00F238BF" w:rsidRPr="00F238BF" w:rsidRDefault="00305188" w:rsidP="0060446E">
      <w:pPr>
        <w:pStyle w:val="3-BodyText"/>
      </w:pPr>
      <w:r w:rsidRPr="00305188">
        <w:t xml:space="preserve">The sponsor requested </w:t>
      </w:r>
      <w:r w:rsidR="00C94F4E">
        <w:t xml:space="preserve">an </w:t>
      </w:r>
      <w:r w:rsidRPr="00305188">
        <w:t xml:space="preserve">Authority Required (Streamlined) PBS listing of BUD/GLY/FOR for </w:t>
      </w:r>
      <w:r w:rsidR="0060446E">
        <w:t xml:space="preserve">the </w:t>
      </w:r>
      <w:r w:rsidRPr="00305188">
        <w:t xml:space="preserve">treatment of COPD. </w:t>
      </w:r>
      <w:bookmarkStart w:id="9" w:name="_Hlk69714534"/>
      <w:r w:rsidRPr="00305188">
        <w:t xml:space="preserve">The </w:t>
      </w:r>
      <w:r w:rsidR="00C03A87">
        <w:t xml:space="preserve">requested </w:t>
      </w:r>
      <w:r w:rsidR="0060446E">
        <w:t>listing</w:t>
      </w:r>
      <w:r w:rsidR="00C03A87">
        <w:t xml:space="preserve">, including the restriction and </w:t>
      </w:r>
      <w:r w:rsidRPr="00305188">
        <w:t>maximum quantity</w:t>
      </w:r>
      <w:r w:rsidR="009641AE">
        <w:t>/repeats</w:t>
      </w:r>
      <w:r w:rsidR="00C03A87">
        <w:t xml:space="preserve">, was consistent with the current PBS restriction of </w:t>
      </w:r>
      <w:r w:rsidRPr="00C03A87">
        <w:t>FF/UMEC/VI.</w:t>
      </w:r>
      <w:bookmarkEnd w:id="9"/>
    </w:p>
    <w:p w:rsidR="00C03A87" w:rsidRPr="003458ED" w:rsidRDefault="00305188" w:rsidP="0060446E">
      <w:pPr>
        <w:pStyle w:val="3-BodyText"/>
      </w:pPr>
      <w:r>
        <w:t xml:space="preserve">The requested </w:t>
      </w:r>
      <w:r w:rsidR="00C03A87">
        <w:t xml:space="preserve">price </w:t>
      </w:r>
      <w:r w:rsidR="0060446E">
        <w:t xml:space="preserve">of BUD/GLY/FOR </w:t>
      </w:r>
      <w:r w:rsidR="00C03A87">
        <w:t>(</w:t>
      </w:r>
      <w:r>
        <w:t>AEMP</w:t>
      </w:r>
      <w:r w:rsidR="00C03A87">
        <w:t>:</w:t>
      </w:r>
      <w:r>
        <w:t xml:space="preserve"> $</w:t>
      </w:r>
      <w:r w:rsidR="00C764F0">
        <w:rPr>
          <w:noProof/>
          <w:color w:val="000000"/>
          <w:highlight w:val="black"/>
        </w:rPr>
        <w:t>''''''''''</w:t>
      </w:r>
      <w:r>
        <w:t>, DPMQ</w:t>
      </w:r>
      <w:r w:rsidR="00C03A87">
        <w:t>:</w:t>
      </w:r>
      <w:r>
        <w:t xml:space="preserve"> $</w:t>
      </w:r>
      <w:r w:rsidR="00C764F0">
        <w:rPr>
          <w:noProof/>
          <w:color w:val="000000"/>
          <w:highlight w:val="black"/>
        </w:rPr>
        <w:t>''''''''''''</w:t>
      </w:r>
      <w:r>
        <w:t>) was based on a cost-minimisation versus FF/UMEC/</w:t>
      </w:r>
      <w:r w:rsidRPr="0060446E">
        <w:t>VI.</w:t>
      </w:r>
      <w:r w:rsidR="00C03A87" w:rsidRPr="0060446E">
        <w:t xml:space="preserve"> </w:t>
      </w:r>
      <w:r w:rsidR="008C74F1" w:rsidRPr="00FB7A6E">
        <w:t>No special pricing arrangement was proposed.</w:t>
      </w:r>
      <w:r w:rsidR="008C74F1">
        <w:t xml:space="preserve"> </w:t>
      </w:r>
    </w:p>
    <w:p w:rsidR="00F45A9D" w:rsidRDefault="00767735" w:rsidP="004564F8">
      <w:pPr>
        <w:pStyle w:val="3-BodyText"/>
      </w:pPr>
      <w:r w:rsidRPr="00C81D26">
        <w:lastRenderedPageBreak/>
        <w:t xml:space="preserve">The ESC </w:t>
      </w:r>
      <w:r w:rsidR="009641AE">
        <w:t xml:space="preserve">noted </w:t>
      </w:r>
      <w:r w:rsidRPr="00C81D26">
        <w:t>the</w:t>
      </w:r>
      <w:r w:rsidR="009641AE">
        <w:t xml:space="preserve"> high</w:t>
      </w:r>
      <w:r w:rsidRPr="00C81D26">
        <w:t xml:space="preserve"> number of </w:t>
      </w:r>
      <w:r w:rsidR="009641AE">
        <w:t xml:space="preserve">products (as single agents and as combination products) </w:t>
      </w:r>
      <w:r w:rsidRPr="00C81D26">
        <w:t xml:space="preserve">used in the management of </w:t>
      </w:r>
      <w:r w:rsidR="0022666F">
        <w:t>airway/breathing conditions (</w:t>
      </w:r>
      <w:r w:rsidR="009641AE">
        <w:t xml:space="preserve">both </w:t>
      </w:r>
      <w:r w:rsidRPr="00C81D26">
        <w:t>COPD</w:t>
      </w:r>
      <w:r w:rsidR="009641AE">
        <w:t xml:space="preserve"> and asthma)</w:t>
      </w:r>
      <w:r w:rsidRPr="00C81D26">
        <w:t xml:space="preserve"> and </w:t>
      </w:r>
      <w:r w:rsidR="00612172">
        <w:t xml:space="preserve">that </w:t>
      </w:r>
      <w:r w:rsidRPr="00C81D26">
        <w:t xml:space="preserve">this </w:t>
      </w:r>
      <w:r w:rsidR="0022666F">
        <w:t>can make</w:t>
      </w:r>
      <w:r w:rsidR="00612172">
        <w:t xml:space="preserve"> it </w:t>
      </w:r>
      <w:r w:rsidRPr="00C81D26">
        <w:t>difficult for prescribers</w:t>
      </w:r>
      <w:r w:rsidR="00612172">
        <w:t xml:space="preserve"> to match the desired product with the patient’s condition</w:t>
      </w:r>
      <w:r w:rsidRPr="00C81D26">
        <w:t xml:space="preserve">. </w:t>
      </w:r>
      <w:r w:rsidR="007E4E05" w:rsidRPr="00C81D26">
        <w:t xml:space="preserve">The ESC noted the Administrative Advice stating that this product is not PBS-subsidised for the treatment of asthma. </w:t>
      </w:r>
      <w:r w:rsidR="001E2A33" w:rsidRPr="00C81D26">
        <w:t xml:space="preserve">The ESC also noted that </w:t>
      </w:r>
      <w:r w:rsidR="007E4E05" w:rsidRPr="00C81D26">
        <w:t>BUD/GLY/FOR contains FOR, a LABA with a</w:t>
      </w:r>
      <w:r w:rsidR="009967CD">
        <w:t xml:space="preserve"> </w:t>
      </w:r>
      <w:r w:rsidR="00F450B5">
        <w:t>rapid</w:t>
      </w:r>
      <w:r w:rsidR="007E4E05" w:rsidRPr="00C81D26">
        <w:t xml:space="preserve"> onset of action that </w:t>
      </w:r>
      <w:r w:rsidR="001E2A33" w:rsidRPr="00C81D26">
        <w:t>in the asthma context can be used</w:t>
      </w:r>
      <w:r w:rsidR="005261C8" w:rsidRPr="00C81D26">
        <w:t xml:space="preserve"> when required</w:t>
      </w:r>
      <w:r w:rsidR="001E2A33" w:rsidRPr="00C81D26">
        <w:t xml:space="preserve"> in the relief of symptoms when combined with an ICS. </w:t>
      </w:r>
      <w:r w:rsidR="004564F8">
        <w:t xml:space="preserve">Currently, FOR is the only LABA used in this context. </w:t>
      </w:r>
      <w:r w:rsidR="001E2A33" w:rsidRPr="00C81D26">
        <w:t xml:space="preserve">As some patients may have asthma-COPD overlap, the </w:t>
      </w:r>
      <w:r w:rsidR="00257814">
        <w:t xml:space="preserve">PBAC agreed with the </w:t>
      </w:r>
      <w:r w:rsidR="001E2A33" w:rsidRPr="00C81D26">
        <w:t xml:space="preserve">ESC </w:t>
      </w:r>
      <w:r w:rsidR="00257814">
        <w:t>that</w:t>
      </w:r>
      <w:r w:rsidR="001E2A33" w:rsidRPr="00C81D26">
        <w:t xml:space="preserve"> it </w:t>
      </w:r>
      <w:r w:rsidR="00612172">
        <w:t xml:space="preserve">would </w:t>
      </w:r>
      <w:r w:rsidR="001E2A33" w:rsidRPr="00C81D26">
        <w:t xml:space="preserve">be appropriate to </w:t>
      </w:r>
      <w:r w:rsidR="00612172">
        <w:t xml:space="preserve">convey in the listing that </w:t>
      </w:r>
      <w:r w:rsidR="001E2A33" w:rsidRPr="00C81D26">
        <w:t xml:space="preserve">this product is not indicated as reliever therapy and </w:t>
      </w:r>
      <w:r w:rsidR="00612172">
        <w:t xml:space="preserve">that the listing is intended to facilitate regular, </w:t>
      </w:r>
      <w:r w:rsidR="001E2A33" w:rsidRPr="00C81D26">
        <w:t xml:space="preserve">twice daily </w:t>
      </w:r>
      <w:r w:rsidR="00612172">
        <w:t xml:space="preserve">dosing </w:t>
      </w:r>
      <w:r w:rsidR="001E2A33" w:rsidRPr="00C81D26">
        <w:t>as per the</w:t>
      </w:r>
      <w:r w:rsidR="009967CD">
        <w:t xml:space="preserve"> </w:t>
      </w:r>
      <w:r w:rsidR="00612172">
        <w:t>approved Product Information</w:t>
      </w:r>
      <w:r w:rsidR="001E2A33" w:rsidRPr="00C81D26">
        <w:t xml:space="preserve">. </w:t>
      </w:r>
      <w:r w:rsidR="004564F8">
        <w:t>The PBAC noted that PBS restrictions aim to set out t</w:t>
      </w:r>
      <w:r w:rsidR="005039DB">
        <w:t>he circumstances under which an</w:t>
      </w:r>
      <w:r w:rsidR="004564F8">
        <w:t xml:space="preserve"> item is made a PBS benefit and do not intend to provide clinical advice. In addition, the PBAC considered the circumstances of PBS eligibility applicable to all</w:t>
      </w:r>
      <w:r w:rsidR="005039DB">
        <w:t xml:space="preserve"> three</w:t>
      </w:r>
      <w:r w:rsidR="004564F8">
        <w:t xml:space="preserve"> </w:t>
      </w:r>
      <w:r w:rsidR="005039DB">
        <w:t>triple therapy FDCs for COPD</w:t>
      </w:r>
      <w:r w:rsidR="004564F8">
        <w:t xml:space="preserve"> should be no different. </w:t>
      </w:r>
    </w:p>
    <w:p w:rsidR="00C81D26" w:rsidRPr="00C81D26" w:rsidRDefault="00C81D26" w:rsidP="00C81D26">
      <w:pPr>
        <w:pStyle w:val="3-BodyText"/>
        <w:numPr>
          <w:ilvl w:val="0"/>
          <w:numId w:val="0"/>
        </w:numPr>
        <w:ind w:left="720"/>
        <w:rPr>
          <w:i/>
        </w:rPr>
      </w:pPr>
      <w:r w:rsidRPr="00C81D26">
        <w:rPr>
          <w:i/>
        </w:rPr>
        <w:t>For more detail on PBAC’s view, see section 7 PBAC outcome.</w:t>
      </w:r>
    </w:p>
    <w:p w:rsidR="00B50DB8" w:rsidRPr="00407F2D" w:rsidRDefault="00203181" w:rsidP="004E18E9">
      <w:pPr>
        <w:pStyle w:val="2-SectionHeading"/>
      </w:pPr>
      <w:bookmarkStart w:id="10" w:name="_Toc72233550"/>
      <w:r>
        <w:t xml:space="preserve">Population and </w:t>
      </w:r>
      <w:r w:rsidR="008E0D3C">
        <w:t>d</w:t>
      </w:r>
      <w:r>
        <w:t>isease</w:t>
      </w:r>
      <w:bookmarkEnd w:id="10"/>
    </w:p>
    <w:p w:rsidR="00B0785D" w:rsidRPr="00B0785D" w:rsidRDefault="00B0785D" w:rsidP="00EE02AE">
      <w:pPr>
        <w:pStyle w:val="3-BodyText"/>
        <w:rPr>
          <w:i/>
        </w:rPr>
      </w:pPr>
      <w:r>
        <w:t xml:space="preserve">COPD is a progressive and chronic inflammatory lung disease that is characterised by airflow limitation and chronic respiratory symptoms such as dyspnoea (breathlessness), cough and sputum production. The most important risk factors for developing COPD </w:t>
      </w:r>
      <w:r w:rsidR="00655361">
        <w:t>are</w:t>
      </w:r>
      <w:r>
        <w:t xml:space="preserve"> cigarette smoking and passive exposure to smoking.</w:t>
      </w:r>
      <w:r w:rsidRPr="00B0785D">
        <w:t xml:space="preserve"> COPD mostly affects middle aged and older people, and is commonly associated with multiple co-morbidities</w:t>
      </w:r>
      <w:r>
        <w:t>.</w:t>
      </w:r>
    </w:p>
    <w:p w:rsidR="00B0785D" w:rsidRPr="003458ED" w:rsidRDefault="00B0785D" w:rsidP="00EE02AE">
      <w:pPr>
        <w:pStyle w:val="3-BodyText"/>
      </w:pPr>
      <w:r>
        <w:t xml:space="preserve">The clinical course of COPD is defined by periods of </w:t>
      </w:r>
      <w:r w:rsidR="00EE02AE">
        <w:t xml:space="preserve">stable disease </w:t>
      </w:r>
      <w:r>
        <w:t xml:space="preserve">and acute exacerbations, characterised by worsening symptoms and hospitalisations. A history of exacerbation is associated with an increased risk of future exacerbations. </w:t>
      </w:r>
      <w:r w:rsidRPr="003458ED">
        <w:t>The Global Initiative for COPD (GOLD 2021)</w:t>
      </w:r>
      <w:r w:rsidRPr="003458ED">
        <w:rPr>
          <w:rStyle w:val="FootnoteReference"/>
        </w:rPr>
        <w:footnoteReference w:id="1"/>
      </w:r>
      <w:r w:rsidRPr="003458ED">
        <w:t xml:space="preserve"> guidelines classify exacerbations as mild (treated with short acting bronchodilators only), moderate (treated with short-acting bronchodilators plus antibiotics and/or oral corticosteroids) or severe (requiring hospitalisation or emergency room visit). Severe exacerbations may also be associated with acute respiratory failure or result in death.</w:t>
      </w:r>
    </w:p>
    <w:p w:rsidR="00C16706" w:rsidRPr="00C81D26" w:rsidRDefault="00C16706" w:rsidP="00755C09">
      <w:pPr>
        <w:pStyle w:val="3-BodyText"/>
      </w:pPr>
      <w:r>
        <w:t xml:space="preserve">The submission proposed that </w:t>
      </w:r>
      <w:r w:rsidRPr="00F050F7">
        <w:t>BUD/GLY/FOR</w:t>
      </w:r>
      <w:r w:rsidR="00E25D16">
        <w:t xml:space="preserve"> </w:t>
      </w:r>
      <w:r>
        <w:t xml:space="preserve">would be an alternative triple therapy ICS/LAMA/LABA FDC inhaler to </w:t>
      </w:r>
      <w:r w:rsidRPr="00F050F7">
        <w:t>FF/UMEC/VI</w:t>
      </w:r>
      <w:r w:rsidR="00E25D16">
        <w:t xml:space="preserve"> </w:t>
      </w:r>
      <w:r>
        <w:t>in</w:t>
      </w:r>
      <w:r w:rsidRPr="00F050F7">
        <w:t xml:space="preserve"> patients </w:t>
      </w:r>
      <w:r>
        <w:t>who have</w:t>
      </w:r>
      <w:r w:rsidRPr="00F050F7">
        <w:t xml:space="preserve"> repeated exacerbations and significant symptoms despite LAMA/LABA or ICS/LABA dual therapy or who have </w:t>
      </w:r>
      <w:r w:rsidR="00E25D16">
        <w:t xml:space="preserve">been </w:t>
      </w:r>
      <w:r w:rsidRPr="00F050F7">
        <w:t>stabilised on an open triple therapy combination of ICS, LAMA and LABA.</w:t>
      </w:r>
      <w:r w:rsidR="00755C09">
        <w:t xml:space="preserve"> </w:t>
      </w:r>
      <w:r w:rsidR="00755C09" w:rsidRPr="003458ED">
        <w:rPr>
          <w:iCs/>
        </w:rPr>
        <w:t>The proposed population and place in therapy was consistent with the current PBS listing for FF/UMEC/VI and clinical guidelines.</w:t>
      </w:r>
    </w:p>
    <w:p w:rsidR="00C81D26" w:rsidRPr="00C81D26" w:rsidRDefault="00C81D26" w:rsidP="00C81D26">
      <w:pPr>
        <w:pStyle w:val="3-BodyText"/>
        <w:numPr>
          <w:ilvl w:val="0"/>
          <w:numId w:val="0"/>
        </w:numPr>
        <w:ind w:left="720"/>
        <w:rPr>
          <w:i/>
        </w:rPr>
      </w:pPr>
      <w:r w:rsidRPr="00C81D26">
        <w:rPr>
          <w:i/>
        </w:rPr>
        <w:t>For more detail on PBAC’s view, see section 7 PBAC outcome.</w:t>
      </w:r>
    </w:p>
    <w:p w:rsidR="00B50DB8" w:rsidRPr="00407F2D" w:rsidRDefault="00B50DB8" w:rsidP="004E18E9">
      <w:pPr>
        <w:pStyle w:val="2-SectionHeading"/>
      </w:pPr>
      <w:bookmarkStart w:id="11" w:name="_Toc72233551"/>
      <w:r w:rsidRPr="00407F2D">
        <w:lastRenderedPageBreak/>
        <w:t>Comparator</w:t>
      </w:r>
      <w:bookmarkEnd w:id="11"/>
    </w:p>
    <w:p w:rsidR="001966EA" w:rsidRPr="001966EA" w:rsidRDefault="001966EA" w:rsidP="009437BA">
      <w:pPr>
        <w:pStyle w:val="3-BodyText"/>
        <w:rPr>
          <w:snapToGrid/>
          <w:lang w:val="en-US"/>
        </w:rPr>
      </w:pPr>
      <w:r w:rsidRPr="001966EA">
        <w:rPr>
          <w:snapToGrid/>
          <w:lang w:val="en-US"/>
        </w:rPr>
        <w:t>The submission nominated FF/UMEC/VI</w:t>
      </w:r>
      <w:r w:rsidR="009437BA">
        <w:rPr>
          <w:snapToGrid/>
          <w:lang w:val="en-US"/>
        </w:rPr>
        <w:t xml:space="preserve">, one inhalation once daily, </w:t>
      </w:r>
      <w:r w:rsidRPr="001966EA">
        <w:rPr>
          <w:snapToGrid/>
          <w:lang w:val="en-US"/>
        </w:rPr>
        <w:t>as the main comparator</w:t>
      </w:r>
      <w:r w:rsidR="009437BA">
        <w:rPr>
          <w:snapToGrid/>
          <w:lang w:val="en-US"/>
        </w:rPr>
        <w:t xml:space="preserve"> because </w:t>
      </w:r>
      <w:r w:rsidRPr="001966EA">
        <w:rPr>
          <w:snapToGrid/>
          <w:lang w:val="en-US"/>
        </w:rPr>
        <w:t xml:space="preserve">it is the only triple therapy ICS/LAMA/LABA FDC inhaler currently PBS listed for COPD and </w:t>
      </w:r>
      <w:r w:rsidR="009437BA">
        <w:rPr>
          <w:snapToGrid/>
          <w:lang w:val="en-US"/>
        </w:rPr>
        <w:t xml:space="preserve">is </w:t>
      </w:r>
      <w:r w:rsidRPr="001966EA">
        <w:rPr>
          <w:snapToGrid/>
          <w:lang w:val="en-US"/>
        </w:rPr>
        <w:t>the medicine most likely to be replaced</w:t>
      </w:r>
      <w:r w:rsidR="009437BA">
        <w:rPr>
          <w:snapToGrid/>
          <w:lang w:val="en-US"/>
        </w:rPr>
        <w:t xml:space="preserve"> by BUD/GLY/FOR</w:t>
      </w:r>
      <w:r w:rsidRPr="001966EA">
        <w:rPr>
          <w:snapToGrid/>
          <w:lang w:val="en-US"/>
        </w:rPr>
        <w:t>.</w:t>
      </w:r>
      <w:r w:rsidR="009437BA">
        <w:rPr>
          <w:snapToGrid/>
          <w:lang w:val="en-US"/>
        </w:rPr>
        <w:t xml:space="preserve"> T</w:t>
      </w:r>
      <w:r w:rsidRPr="001966EA">
        <w:rPr>
          <w:snapToGrid/>
          <w:lang w:val="en-US"/>
        </w:rPr>
        <w:t>he submission also nominated BEC/GLY/FOR</w:t>
      </w:r>
      <w:r w:rsidR="009437BA">
        <w:rPr>
          <w:snapToGrid/>
          <w:lang w:val="en-US"/>
        </w:rPr>
        <w:t>, two inhalations twice daily,</w:t>
      </w:r>
      <w:r w:rsidRPr="001966EA">
        <w:rPr>
          <w:snapToGrid/>
          <w:lang w:val="en-US"/>
        </w:rPr>
        <w:t xml:space="preserve"> as a near market comparator</w:t>
      </w:r>
      <w:r w:rsidR="004967D8">
        <w:rPr>
          <w:snapToGrid/>
          <w:lang w:val="en-US"/>
        </w:rPr>
        <w:t xml:space="preserve">. </w:t>
      </w:r>
      <w:r w:rsidR="002242BC">
        <w:rPr>
          <w:snapToGrid/>
          <w:lang w:val="en-US"/>
        </w:rPr>
        <w:t>In November 2020, t</w:t>
      </w:r>
      <w:r w:rsidRPr="001966EA">
        <w:rPr>
          <w:snapToGrid/>
          <w:lang w:val="en-US"/>
        </w:rPr>
        <w:t xml:space="preserve">he PBAC </w:t>
      </w:r>
      <w:r w:rsidR="009437BA">
        <w:rPr>
          <w:snapToGrid/>
          <w:lang w:val="en-US"/>
        </w:rPr>
        <w:t xml:space="preserve">recommended listing </w:t>
      </w:r>
      <w:r w:rsidR="00662E81">
        <w:rPr>
          <w:snapToGrid/>
          <w:lang w:val="en-US"/>
        </w:rPr>
        <w:t xml:space="preserve">of </w:t>
      </w:r>
      <w:r w:rsidR="004967D8" w:rsidRPr="001966EA">
        <w:rPr>
          <w:snapToGrid/>
          <w:lang w:val="en-US"/>
        </w:rPr>
        <w:t>BEC/GLY/FOR</w:t>
      </w:r>
      <w:r w:rsidR="004967D8">
        <w:rPr>
          <w:snapToGrid/>
          <w:lang w:val="en-US"/>
        </w:rPr>
        <w:t xml:space="preserve"> </w:t>
      </w:r>
      <w:r w:rsidR="002242BC">
        <w:rPr>
          <w:snapToGrid/>
          <w:lang w:val="en-US"/>
        </w:rPr>
        <w:t xml:space="preserve">for COPD </w:t>
      </w:r>
      <w:r w:rsidRPr="001966EA">
        <w:rPr>
          <w:snapToGrid/>
          <w:lang w:val="en-US"/>
        </w:rPr>
        <w:t xml:space="preserve">but </w:t>
      </w:r>
      <w:r w:rsidR="00662E81">
        <w:rPr>
          <w:snapToGrid/>
          <w:lang w:val="en-US"/>
        </w:rPr>
        <w:t xml:space="preserve">it </w:t>
      </w:r>
      <w:r w:rsidRPr="001966EA">
        <w:rPr>
          <w:snapToGrid/>
          <w:lang w:val="en-US"/>
        </w:rPr>
        <w:t xml:space="preserve">was not </w:t>
      </w:r>
      <w:r w:rsidR="004967D8">
        <w:rPr>
          <w:snapToGrid/>
          <w:lang w:val="en-US"/>
        </w:rPr>
        <w:t xml:space="preserve">available </w:t>
      </w:r>
      <w:r w:rsidRPr="001966EA">
        <w:rPr>
          <w:snapToGrid/>
          <w:lang w:val="en-US"/>
        </w:rPr>
        <w:t>on the PBS at the time of the submission.</w:t>
      </w:r>
    </w:p>
    <w:p w:rsidR="006A4701" w:rsidRPr="003458ED" w:rsidRDefault="001966EA" w:rsidP="00492FCD">
      <w:pPr>
        <w:pStyle w:val="3-BodyText"/>
        <w:rPr>
          <w:snapToGrid/>
          <w:lang w:val="en-US"/>
        </w:rPr>
      </w:pPr>
      <w:r w:rsidRPr="003458ED">
        <w:rPr>
          <w:snapToGrid/>
          <w:lang w:val="en-US"/>
        </w:rPr>
        <w:t xml:space="preserve">The </w:t>
      </w:r>
      <w:r w:rsidR="002242BC">
        <w:rPr>
          <w:snapToGrid/>
          <w:lang w:val="en-US"/>
        </w:rPr>
        <w:t xml:space="preserve">evaluation considered the </w:t>
      </w:r>
      <w:r w:rsidRPr="003458ED">
        <w:rPr>
          <w:snapToGrid/>
          <w:lang w:val="en-US"/>
        </w:rPr>
        <w:t>nominated comparators were appropriate</w:t>
      </w:r>
      <w:r w:rsidR="00A716C9" w:rsidRPr="003458ED">
        <w:rPr>
          <w:snapToGrid/>
          <w:lang w:val="en-US"/>
        </w:rPr>
        <w:t>, however in practice, BUD/GLY/FOR would</w:t>
      </w:r>
      <w:r w:rsidR="004967D8" w:rsidRPr="003458ED">
        <w:rPr>
          <w:snapToGrid/>
          <w:lang w:val="en-US"/>
        </w:rPr>
        <w:t xml:space="preserve"> also</w:t>
      </w:r>
      <w:r w:rsidR="00A716C9" w:rsidRPr="003458ED">
        <w:rPr>
          <w:snapToGrid/>
          <w:lang w:val="en-US"/>
        </w:rPr>
        <w:t xml:space="preserve"> substitute for other combinations of ICS, LAMA and LA</w:t>
      </w:r>
      <w:r w:rsidR="009645CE" w:rsidRPr="003458ED">
        <w:rPr>
          <w:snapToGrid/>
          <w:lang w:val="en-US"/>
        </w:rPr>
        <w:t xml:space="preserve">BA </w:t>
      </w:r>
      <w:r w:rsidR="00A716C9" w:rsidRPr="003458ED">
        <w:rPr>
          <w:snapToGrid/>
          <w:lang w:val="en-US"/>
        </w:rPr>
        <w:t xml:space="preserve">inhalers. </w:t>
      </w:r>
      <w:r w:rsidR="006A4701" w:rsidRPr="003458ED">
        <w:rPr>
          <w:snapToGrid/>
          <w:lang w:val="en-US"/>
        </w:rPr>
        <w:t xml:space="preserve">In addition to the individual components </w:t>
      </w:r>
      <w:r w:rsidR="00C52F3C" w:rsidRPr="003458ED">
        <w:rPr>
          <w:snapToGrid/>
          <w:lang w:val="en-US"/>
        </w:rPr>
        <w:t xml:space="preserve">of the inhaler </w:t>
      </w:r>
      <w:r w:rsidR="006A4701" w:rsidRPr="003458ED">
        <w:rPr>
          <w:snapToGrid/>
          <w:lang w:val="en-US"/>
        </w:rPr>
        <w:t xml:space="preserve">(i.e. BUD, GLY and FOR), the </w:t>
      </w:r>
      <w:r w:rsidRPr="003458ED">
        <w:rPr>
          <w:snapToGrid/>
          <w:lang w:val="en-US"/>
        </w:rPr>
        <w:t xml:space="preserve">PBAC has </w:t>
      </w:r>
      <w:r w:rsidR="002242BC">
        <w:rPr>
          <w:snapToGrid/>
          <w:lang w:val="en-US"/>
        </w:rPr>
        <w:t xml:space="preserve">previously </w:t>
      </w:r>
      <w:r w:rsidRPr="003458ED">
        <w:rPr>
          <w:snapToGrid/>
          <w:lang w:val="en-US"/>
        </w:rPr>
        <w:t>considered that any combination of ICS, LAMA and LABA given concomitantly were relevant comparators for triple therapy FDC inhalers (paragraph 7.4, Trimbow (BEC/GLY/FOR)</w:t>
      </w:r>
      <w:r w:rsidR="00492FCD" w:rsidRPr="00492FCD">
        <w:t xml:space="preserve"> </w:t>
      </w:r>
      <w:r w:rsidR="00492FCD" w:rsidRPr="00492FCD">
        <w:rPr>
          <w:snapToGrid/>
          <w:lang w:val="en-US"/>
        </w:rPr>
        <w:t>Public Summary Document</w:t>
      </w:r>
      <w:r w:rsidRPr="003458ED">
        <w:rPr>
          <w:snapToGrid/>
          <w:lang w:val="en-US"/>
        </w:rPr>
        <w:t xml:space="preserve"> </w:t>
      </w:r>
      <w:r w:rsidR="00492FCD">
        <w:rPr>
          <w:snapToGrid/>
          <w:lang w:val="en-US"/>
        </w:rPr>
        <w:t>(</w:t>
      </w:r>
      <w:r w:rsidRPr="003458ED">
        <w:rPr>
          <w:snapToGrid/>
          <w:lang w:val="en-US"/>
        </w:rPr>
        <w:t>PSD</w:t>
      </w:r>
      <w:r w:rsidR="00492FCD">
        <w:rPr>
          <w:snapToGrid/>
          <w:lang w:val="en-US"/>
        </w:rPr>
        <w:t>)</w:t>
      </w:r>
      <w:r w:rsidRPr="003458ED">
        <w:rPr>
          <w:snapToGrid/>
          <w:lang w:val="en-US"/>
        </w:rPr>
        <w:t xml:space="preserve"> November 2020 PBAC meeting).</w:t>
      </w:r>
    </w:p>
    <w:p w:rsidR="001966EA" w:rsidRPr="003458ED" w:rsidRDefault="006A4701" w:rsidP="00FC3000">
      <w:pPr>
        <w:pStyle w:val="3-BodyText"/>
        <w:rPr>
          <w:snapToGrid/>
          <w:lang w:val="en-US"/>
        </w:rPr>
      </w:pPr>
      <w:r w:rsidRPr="003458ED">
        <w:t>Based on this principle</w:t>
      </w:r>
      <w:r w:rsidRPr="003458ED">
        <w:rPr>
          <w:rFonts w:cstheme="minorHAnsi"/>
          <w:iCs/>
        </w:rPr>
        <w:t xml:space="preserve">, there are many potential comparators for BUD/GLY/FOR </w:t>
      </w:r>
      <w:r w:rsidRPr="003458ED">
        <w:t xml:space="preserve">because there are numerous ICS, LAMA and LABA agents </w:t>
      </w:r>
      <w:r w:rsidR="00FC3000" w:rsidRPr="003458ED">
        <w:t xml:space="preserve">available on the PBS for COPD, either </w:t>
      </w:r>
      <w:r w:rsidRPr="003458ED">
        <w:rPr>
          <w:rFonts w:cstheme="minorHAnsi"/>
          <w:iCs/>
        </w:rPr>
        <w:t xml:space="preserve">alone or in </w:t>
      </w:r>
      <w:r w:rsidR="006A1BC4">
        <w:rPr>
          <w:rFonts w:cstheme="minorHAnsi"/>
          <w:iCs/>
        </w:rPr>
        <w:t>combination</w:t>
      </w:r>
      <w:r w:rsidRPr="003458ED">
        <w:rPr>
          <w:rFonts w:cstheme="minorHAnsi"/>
          <w:iCs/>
        </w:rPr>
        <w:t xml:space="preserve">. </w:t>
      </w:r>
      <w:r w:rsidR="001966EA" w:rsidRPr="003458ED">
        <w:rPr>
          <w:snapToGrid/>
          <w:lang w:val="en-US"/>
        </w:rPr>
        <w:t xml:space="preserve">The individual components of BUD/GLY/FOR are </w:t>
      </w:r>
      <w:r w:rsidR="00FC3000" w:rsidRPr="003458ED">
        <w:rPr>
          <w:snapToGrid/>
          <w:lang w:val="en-US"/>
        </w:rPr>
        <w:t xml:space="preserve">PBS listed for COPD </w:t>
      </w:r>
      <w:r w:rsidR="001966EA" w:rsidRPr="003458ED">
        <w:rPr>
          <w:snapToGrid/>
          <w:lang w:val="en-US"/>
        </w:rPr>
        <w:t>using a combination of inhaler devices: GLY is available as dry powder capsules for inhalation (Seebri Breezhaler®), and BUD/FOR are available as a dual therapy FDC pMDI or DPI (Symbicort Rapihaler® and Symbicort Turbuhaler®, respectively).</w:t>
      </w:r>
    </w:p>
    <w:p w:rsidR="00B50DB8" w:rsidRDefault="009F3728" w:rsidP="00C52F3C">
      <w:pPr>
        <w:pStyle w:val="3-BodyText"/>
        <w:rPr>
          <w:snapToGrid/>
          <w:lang w:val="en-US"/>
        </w:rPr>
      </w:pPr>
      <w:r>
        <w:rPr>
          <w:iCs/>
          <w:snapToGrid/>
          <w:lang w:val="en-US"/>
        </w:rPr>
        <w:t xml:space="preserve">The submission noted that BUD/GLY/FOR (160/7.2/5) is labelled according to the ‘delivered dose’ per actuation, whereas </w:t>
      </w:r>
      <w:r w:rsidR="001966EA" w:rsidRPr="009F3728">
        <w:rPr>
          <w:iCs/>
          <w:snapToGrid/>
          <w:lang w:val="en-US"/>
        </w:rPr>
        <w:t>FF/UMEC/VI (100/62.5/25) and BEC/GLY/FOR (100/10/6)</w:t>
      </w:r>
      <w:r>
        <w:rPr>
          <w:iCs/>
          <w:snapToGrid/>
          <w:lang w:val="en-US"/>
        </w:rPr>
        <w:t xml:space="preserve"> are labelled according to the ‘metered dose’ per actuation</w:t>
      </w:r>
      <w:r w:rsidR="001966EA" w:rsidRPr="009F3728">
        <w:rPr>
          <w:iCs/>
          <w:snapToGrid/>
          <w:lang w:val="en-US"/>
        </w:rPr>
        <w:t>.</w:t>
      </w:r>
      <w:r>
        <w:rPr>
          <w:iCs/>
          <w:snapToGrid/>
          <w:lang w:val="en-US"/>
        </w:rPr>
        <w:t xml:space="preserve"> </w:t>
      </w:r>
      <w:r w:rsidR="001966EA" w:rsidRPr="003458ED">
        <w:rPr>
          <w:snapToGrid/>
          <w:lang w:val="en-US"/>
        </w:rPr>
        <w:t>This difference is due to new TGA labelling requirements, introduced 31 August 2016 and effective from 1 September 2020</w:t>
      </w:r>
      <w:r w:rsidR="00C52F3C" w:rsidRPr="003458ED">
        <w:rPr>
          <w:snapToGrid/>
          <w:lang w:val="en-US"/>
        </w:rPr>
        <w:t xml:space="preserve">, which </w:t>
      </w:r>
      <w:r w:rsidR="001966EA" w:rsidRPr="003458ED">
        <w:rPr>
          <w:snapToGrid/>
          <w:lang w:val="en-US"/>
        </w:rPr>
        <w:t>requires the delivered dose to be included on labelling unless the therapeutic dose was clinically established using the metered dose. According to the Australian Commission on Safety and Quality in Health Care</w:t>
      </w:r>
      <w:r w:rsidR="00662E81" w:rsidRPr="003458ED">
        <w:rPr>
          <w:rStyle w:val="FootnoteReference"/>
          <w:snapToGrid/>
          <w:lang w:val="en-US"/>
        </w:rPr>
        <w:footnoteReference w:id="2"/>
      </w:r>
      <w:r w:rsidR="00E76488" w:rsidRPr="003458ED">
        <w:rPr>
          <w:snapToGrid/>
          <w:lang w:val="en-US"/>
        </w:rPr>
        <w:t>,</w:t>
      </w:r>
      <w:r w:rsidR="001966EA" w:rsidRPr="003458ED">
        <w:rPr>
          <w:snapToGrid/>
          <w:lang w:val="en-US"/>
        </w:rPr>
        <w:t xml:space="preserve"> the delivered dose is the more accurate measure of the amount of active ingredient reaching the patient and is used to describe the dose of new medicines or new presentations of medicines. However, the regulation allows flexibility for established medicines to continue to be described by the metered dose.</w:t>
      </w:r>
    </w:p>
    <w:p w:rsidR="00C81D26" w:rsidRPr="002242BC" w:rsidRDefault="00C81D26" w:rsidP="002242BC">
      <w:pPr>
        <w:pStyle w:val="3-BodyText"/>
        <w:numPr>
          <w:ilvl w:val="0"/>
          <w:numId w:val="0"/>
        </w:numPr>
        <w:ind w:left="720"/>
        <w:rPr>
          <w:i/>
          <w:snapToGrid/>
          <w:lang w:val="en-US"/>
        </w:rPr>
      </w:pPr>
      <w:r w:rsidRPr="00953FE8">
        <w:rPr>
          <w:i/>
          <w:snapToGrid/>
          <w:lang w:val="en-US"/>
        </w:rPr>
        <w:t>For more detail on PBAC’s vi</w:t>
      </w:r>
      <w:r w:rsidR="002242BC">
        <w:rPr>
          <w:i/>
          <w:snapToGrid/>
          <w:lang w:val="en-US"/>
        </w:rPr>
        <w:t>ew, see section 7 PBAC outcome.</w:t>
      </w:r>
    </w:p>
    <w:p w:rsidR="00223D5A" w:rsidRDefault="00223D5A" w:rsidP="00223D5A">
      <w:pPr>
        <w:pStyle w:val="2-SectionHeading"/>
      </w:pPr>
      <w:bookmarkStart w:id="12" w:name="_Toc72233552"/>
      <w:bookmarkStart w:id="13" w:name="_Toc22897640"/>
      <w:r>
        <w:t>C</w:t>
      </w:r>
      <w:r w:rsidRPr="00407F2D">
        <w:t>onsideration of the evidence</w:t>
      </w:r>
      <w:bookmarkEnd w:id="12"/>
    </w:p>
    <w:p w:rsidR="00953FE8" w:rsidRPr="006E1229" w:rsidRDefault="00953FE8" w:rsidP="00953FE8">
      <w:pPr>
        <w:pStyle w:val="4-SubsectionHeading"/>
      </w:pPr>
      <w:r w:rsidRPr="006E1229">
        <w:t>Sponsor hearing</w:t>
      </w:r>
    </w:p>
    <w:p w:rsidR="00953FE8" w:rsidRPr="00461B5A" w:rsidRDefault="00953FE8" w:rsidP="00953FE8">
      <w:pPr>
        <w:pStyle w:val="3-BodyText"/>
        <w:rPr>
          <w:snapToGrid/>
          <w:lang w:val="en-US"/>
        </w:rPr>
      </w:pPr>
      <w:r w:rsidRPr="00461B5A">
        <w:rPr>
          <w:snapToGrid/>
          <w:lang w:val="en-US"/>
        </w:rPr>
        <w:t>There was no hearing for this item.</w:t>
      </w:r>
    </w:p>
    <w:p w:rsidR="00953FE8" w:rsidRPr="006E1229" w:rsidRDefault="00953FE8" w:rsidP="00953FE8">
      <w:pPr>
        <w:pStyle w:val="4-SubsectionHeading"/>
      </w:pPr>
      <w:r w:rsidRPr="006E1229">
        <w:lastRenderedPageBreak/>
        <w:t>Consumer comments</w:t>
      </w:r>
    </w:p>
    <w:p w:rsidR="00953FE8" w:rsidRPr="00461B5A" w:rsidRDefault="00953FE8" w:rsidP="00953FE8">
      <w:pPr>
        <w:pStyle w:val="3-BodyText"/>
        <w:rPr>
          <w:snapToGrid/>
          <w:lang w:val="en-US"/>
        </w:rPr>
      </w:pPr>
      <w:r w:rsidRPr="00461B5A">
        <w:rPr>
          <w:snapToGrid/>
          <w:lang w:val="en-US"/>
        </w:rPr>
        <w:t xml:space="preserve">The PBAC noted and welcomed the input from </w:t>
      </w:r>
      <w:r w:rsidR="00461B5A">
        <w:rPr>
          <w:snapToGrid/>
          <w:lang w:val="en-US"/>
        </w:rPr>
        <w:t xml:space="preserve">Lung Foundation Australia </w:t>
      </w:r>
      <w:r w:rsidRPr="00461B5A">
        <w:rPr>
          <w:snapToGrid/>
          <w:lang w:val="en-US"/>
        </w:rPr>
        <w:t xml:space="preserve">via the Consumer Comments facility on the PBS website.  The comments described </w:t>
      </w:r>
      <w:r w:rsidR="00461B5A">
        <w:rPr>
          <w:snapToGrid/>
          <w:lang w:val="en-US"/>
        </w:rPr>
        <w:t xml:space="preserve">having three medicines in one device (BUD/GLY/FOR) </w:t>
      </w:r>
      <w:r w:rsidR="00050819">
        <w:rPr>
          <w:snapToGrid/>
          <w:lang w:val="en-US"/>
        </w:rPr>
        <w:t xml:space="preserve">as </w:t>
      </w:r>
      <w:r w:rsidR="00461B5A">
        <w:rPr>
          <w:snapToGrid/>
          <w:lang w:val="en-US"/>
        </w:rPr>
        <w:t>cost effective for patients, environmentally sustainable</w:t>
      </w:r>
      <w:r w:rsidR="00050819">
        <w:rPr>
          <w:snapToGrid/>
          <w:lang w:val="en-US"/>
        </w:rPr>
        <w:t xml:space="preserve"> and may</w:t>
      </w:r>
      <w:r w:rsidR="00461B5A">
        <w:rPr>
          <w:snapToGrid/>
          <w:lang w:val="en-US"/>
        </w:rPr>
        <w:t xml:space="preserve"> help with taking doses regularly. </w:t>
      </w:r>
      <w:r w:rsidR="00050819">
        <w:rPr>
          <w:snapToGrid/>
          <w:lang w:val="en-US"/>
        </w:rPr>
        <w:t>The comments also indicated clinicians and patients with COPD would appreciate having additi</w:t>
      </w:r>
      <w:r w:rsidR="00716E10">
        <w:rPr>
          <w:snapToGrid/>
          <w:lang w:val="en-US"/>
        </w:rPr>
        <w:t>onal treatment choices for this</w:t>
      </w:r>
      <w:r w:rsidR="00050819">
        <w:rPr>
          <w:snapToGrid/>
          <w:lang w:val="en-US"/>
        </w:rPr>
        <w:t xml:space="preserve"> condition. </w:t>
      </w:r>
    </w:p>
    <w:p w:rsidR="00B60939" w:rsidRPr="00C9624D" w:rsidRDefault="00B60939" w:rsidP="002E4F02">
      <w:pPr>
        <w:pStyle w:val="4-SubsectionHeading"/>
      </w:pPr>
      <w:bookmarkStart w:id="14" w:name="_Toc72233553"/>
      <w:r w:rsidRPr="00C9624D">
        <w:t>Clinical trials</w:t>
      </w:r>
      <w:bookmarkEnd w:id="13"/>
      <w:bookmarkEnd w:id="14"/>
    </w:p>
    <w:p w:rsidR="009A0D12" w:rsidRPr="003458ED" w:rsidRDefault="002B1386" w:rsidP="00C52F3C">
      <w:pPr>
        <w:pStyle w:val="3-BodyText"/>
      </w:pPr>
      <w:r w:rsidRPr="002B1386">
        <w:t xml:space="preserve">The submission was based on five randomised controlled trials </w:t>
      </w:r>
      <w:r w:rsidR="0029772E">
        <w:t xml:space="preserve">(ETHOS, KRONOS, IMPACT, TRIBUTE, TRILOGY) </w:t>
      </w:r>
      <w:r w:rsidRPr="002B1386">
        <w:t xml:space="preserve">comparing triple therapy </w:t>
      </w:r>
      <w:r w:rsidR="007602E8">
        <w:t>FDCs (</w:t>
      </w:r>
      <w:r w:rsidRPr="002B1386">
        <w:t>ICS/LAMA/LABA</w:t>
      </w:r>
      <w:r w:rsidR="007602E8">
        <w:t>)</w:t>
      </w:r>
      <w:r w:rsidRPr="002B1386">
        <w:t xml:space="preserve"> to dual therapy </w:t>
      </w:r>
      <w:r w:rsidR="007602E8">
        <w:t>FDCs (</w:t>
      </w:r>
      <w:r w:rsidRPr="002B1386">
        <w:t>LAMA/LABA and/or ICS/LABA</w:t>
      </w:r>
      <w:r w:rsidR="007602E8">
        <w:t>)</w:t>
      </w:r>
      <w:r w:rsidR="00C541EC">
        <w:t>. Four of these trials were</w:t>
      </w:r>
      <w:r w:rsidR="0029772E">
        <w:t xml:space="preserve"> used to inform an indirect comparison </w:t>
      </w:r>
      <w:r w:rsidR="00C52F3C">
        <w:t>between BUD/GLY/FOR versus</w:t>
      </w:r>
      <w:r w:rsidR="004B4242">
        <w:t xml:space="preserve"> FF/UMEC/VI and BEC/GLY/FOR</w:t>
      </w:r>
      <w:r w:rsidR="0029772E">
        <w:t xml:space="preserve">. </w:t>
      </w:r>
      <w:r w:rsidR="004B4242" w:rsidRPr="003458ED">
        <w:t>The PBAC has previously considered evidence from three of the five included trials</w:t>
      </w:r>
      <w:r w:rsidR="00741433" w:rsidRPr="003458ED">
        <w:t xml:space="preserve"> (IMPACT, TRIBUTE and TRILOGY)</w:t>
      </w:r>
      <w:r w:rsidR="004B4242" w:rsidRPr="003458ED">
        <w:t>.</w:t>
      </w:r>
    </w:p>
    <w:p w:rsidR="004B4242" w:rsidRPr="0023413C" w:rsidRDefault="004B4242" w:rsidP="00CF7BB2">
      <w:pPr>
        <w:pStyle w:val="TableFigureHeading"/>
        <w:keepLines/>
      </w:pPr>
      <w:r w:rsidRPr="0023413C">
        <w:rPr>
          <w:rStyle w:val="CommentReference"/>
          <w:b/>
          <w:szCs w:val="24"/>
        </w:rPr>
        <w:t>Table 2: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386"/>
        <w:gridCol w:w="2359"/>
      </w:tblGrid>
      <w:tr w:rsidR="004B4242" w:rsidRPr="00B41614" w:rsidTr="00765A17">
        <w:trPr>
          <w:tblHeader/>
        </w:trPr>
        <w:tc>
          <w:tcPr>
            <w:tcW w:w="705" w:type="pct"/>
            <w:vAlign w:val="center"/>
          </w:tcPr>
          <w:p w:rsidR="004B4242" w:rsidRPr="00B41614" w:rsidRDefault="004B4242" w:rsidP="00CF7BB2">
            <w:pPr>
              <w:pStyle w:val="In-tableHeading"/>
              <w:keepLines/>
            </w:pPr>
            <w:r w:rsidRPr="00B41614">
              <w:t>Trial ID</w:t>
            </w:r>
          </w:p>
        </w:tc>
        <w:tc>
          <w:tcPr>
            <w:tcW w:w="2987" w:type="pct"/>
            <w:vAlign w:val="center"/>
          </w:tcPr>
          <w:p w:rsidR="004B4242" w:rsidRPr="00B41614" w:rsidRDefault="004B4242" w:rsidP="00CF7BB2">
            <w:pPr>
              <w:pStyle w:val="In-tableHeading"/>
              <w:keepLines/>
            </w:pPr>
            <w:r w:rsidRPr="00B41614">
              <w:t>Protocol title/ Publication title</w:t>
            </w:r>
          </w:p>
        </w:tc>
        <w:tc>
          <w:tcPr>
            <w:tcW w:w="1308" w:type="pct"/>
            <w:vAlign w:val="center"/>
          </w:tcPr>
          <w:p w:rsidR="004B4242" w:rsidRPr="00B41614" w:rsidRDefault="004B4242" w:rsidP="00CF7BB2">
            <w:pPr>
              <w:pStyle w:val="In-tableHeading"/>
              <w:keepLines/>
            </w:pPr>
            <w:r w:rsidRPr="00B41614">
              <w:t>Publication citation</w:t>
            </w:r>
          </w:p>
        </w:tc>
      </w:tr>
      <w:tr w:rsidR="004B4242" w:rsidRPr="00CB38A8" w:rsidTr="00765A17">
        <w:tc>
          <w:tcPr>
            <w:tcW w:w="5000" w:type="pct"/>
            <w:gridSpan w:val="3"/>
            <w:vAlign w:val="center"/>
          </w:tcPr>
          <w:p w:rsidR="004B4242" w:rsidRPr="0020340A" w:rsidRDefault="004B4242" w:rsidP="00CF7BB2">
            <w:pPr>
              <w:pStyle w:val="TableText0"/>
              <w:keepLines/>
              <w:rPr>
                <w:b/>
                <w:szCs w:val="18"/>
              </w:rPr>
            </w:pPr>
            <w:r w:rsidRPr="0020340A">
              <w:rPr>
                <w:b/>
                <w:szCs w:val="18"/>
              </w:rPr>
              <w:t>Breztri (BUD/GLY/FOR) v</w:t>
            </w:r>
            <w:r>
              <w:rPr>
                <w:b/>
                <w:szCs w:val="18"/>
              </w:rPr>
              <w:t>s</w:t>
            </w:r>
            <w:r w:rsidRPr="0020340A">
              <w:rPr>
                <w:b/>
                <w:szCs w:val="18"/>
              </w:rPr>
              <w:t xml:space="preserve"> GLY/FOR and BUD/FOR</w:t>
            </w:r>
          </w:p>
        </w:tc>
      </w:tr>
      <w:tr w:rsidR="004B4242" w:rsidRPr="00CB38A8" w:rsidTr="00765A17">
        <w:tc>
          <w:tcPr>
            <w:tcW w:w="705" w:type="pct"/>
            <w:vMerge w:val="restart"/>
            <w:vAlign w:val="center"/>
          </w:tcPr>
          <w:p w:rsidR="004B4242" w:rsidRDefault="004B4242" w:rsidP="00CF7BB2">
            <w:pPr>
              <w:pStyle w:val="TableText0"/>
              <w:keepLines/>
            </w:pPr>
            <w:r>
              <w:t>ETHOS</w:t>
            </w:r>
          </w:p>
          <w:p w:rsidR="004B4242" w:rsidRDefault="004B4242" w:rsidP="00CF7BB2">
            <w:pPr>
              <w:pStyle w:val="TableText0"/>
              <w:keepLines/>
            </w:pPr>
            <w:r>
              <w:t>NCT02465567</w:t>
            </w:r>
          </w:p>
          <w:p w:rsidR="004B4242" w:rsidRPr="00CB38A8" w:rsidRDefault="004B4242" w:rsidP="00CF7BB2">
            <w:pPr>
              <w:pStyle w:val="TableText0"/>
              <w:keepLines/>
            </w:pPr>
            <w:r>
              <w:t>JPRN-JapicCTI-184078</w:t>
            </w:r>
          </w:p>
        </w:tc>
        <w:tc>
          <w:tcPr>
            <w:tcW w:w="2987" w:type="pct"/>
            <w:tcBorders>
              <w:bottom w:val="nil"/>
            </w:tcBorders>
            <w:vAlign w:val="center"/>
          </w:tcPr>
          <w:p w:rsidR="004B4242" w:rsidRPr="00AB6248" w:rsidRDefault="004B4242" w:rsidP="00CF7BB2">
            <w:pPr>
              <w:pStyle w:val="TableText0"/>
              <w:keepLines/>
              <w:rPr>
                <w:szCs w:val="18"/>
              </w:rPr>
            </w:pPr>
            <w:r w:rsidRPr="0020340A">
              <w:rPr>
                <w:szCs w:val="18"/>
              </w:rPr>
              <w:t xml:space="preserve">A Randomized, Double-Blind, Multi-Center, Parallel-Group Study to Assess the Efficacy and Safety of PT010 Relative to PT003 and PT009 on COPD Exacerbations over a 52-Week Treatment Period in Subjects with Moderate to Very Severe COPD. </w:t>
            </w:r>
          </w:p>
        </w:tc>
        <w:tc>
          <w:tcPr>
            <w:tcW w:w="1308" w:type="pct"/>
            <w:tcBorders>
              <w:bottom w:val="nil"/>
            </w:tcBorders>
            <w:vAlign w:val="center"/>
          </w:tcPr>
          <w:p w:rsidR="004B4242" w:rsidRPr="00CB38A8" w:rsidRDefault="004B4242" w:rsidP="00CF7BB2">
            <w:pPr>
              <w:pStyle w:val="TableText0"/>
              <w:keepLines/>
            </w:pPr>
            <w:r w:rsidRPr="0020340A">
              <w:rPr>
                <w:szCs w:val="18"/>
              </w:rPr>
              <w:t>8 November 2019</w:t>
            </w:r>
          </w:p>
        </w:tc>
      </w:tr>
      <w:tr w:rsidR="004B4242" w:rsidRPr="00CB38A8" w:rsidTr="00765A17">
        <w:trPr>
          <w:trHeight w:val="469"/>
        </w:trPr>
        <w:tc>
          <w:tcPr>
            <w:tcW w:w="705" w:type="pct"/>
            <w:vMerge/>
            <w:vAlign w:val="center"/>
          </w:tcPr>
          <w:p w:rsidR="004B4242" w:rsidRPr="00CB38A8" w:rsidRDefault="004B4242" w:rsidP="00CF7BB2">
            <w:pPr>
              <w:pStyle w:val="TableText0"/>
              <w:keepLines/>
            </w:pPr>
          </w:p>
        </w:tc>
        <w:tc>
          <w:tcPr>
            <w:tcW w:w="2987" w:type="pct"/>
            <w:tcBorders>
              <w:top w:val="nil"/>
            </w:tcBorders>
            <w:vAlign w:val="center"/>
          </w:tcPr>
          <w:p w:rsidR="004B4242" w:rsidRPr="00E34A35" w:rsidRDefault="004B4242" w:rsidP="00CF7BB2">
            <w:pPr>
              <w:pStyle w:val="TableText0"/>
              <w:keepLines/>
              <w:rPr>
                <w:szCs w:val="18"/>
              </w:rPr>
            </w:pPr>
            <w:r w:rsidRPr="0020340A">
              <w:rPr>
                <w:szCs w:val="18"/>
              </w:rPr>
              <w:t xml:space="preserve">Rabe KF, et al. Triple inhaled therapy at two glucocorticoid doses in moderate-to-very-severe COPD. </w:t>
            </w:r>
          </w:p>
        </w:tc>
        <w:tc>
          <w:tcPr>
            <w:tcW w:w="1308" w:type="pct"/>
            <w:tcBorders>
              <w:top w:val="nil"/>
            </w:tcBorders>
            <w:vAlign w:val="center"/>
          </w:tcPr>
          <w:p w:rsidR="004B4242" w:rsidRPr="00E34A35" w:rsidRDefault="004B4242" w:rsidP="00CF7BB2">
            <w:pPr>
              <w:pStyle w:val="TableText0"/>
              <w:keepLines/>
              <w:rPr>
                <w:szCs w:val="18"/>
              </w:rPr>
            </w:pPr>
            <w:r w:rsidRPr="0020340A">
              <w:rPr>
                <w:szCs w:val="18"/>
              </w:rPr>
              <w:t>New England Journal of Medicine 2020; 383(1):35-48</w:t>
            </w:r>
          </w:p>
        </w:tc>
      </w:tr>
      <w:tr w:rsidR="004B4242" w:rsidRPr="00CB38A8" w:rsidTr="00765A17">
        <w:tc>
          <w:tcPr>
            <w:tcW w:w="705" w:type="pct"/>
            <w:vMerge w:val="restart"/>
            <w:vAlign w:val="center"/>
          </w:tcPr>
          <w:p w:rsidR="004B4242" w:rsidRDefault="004B4242" w:rsidP="00CF7BB2">
            <w:pPr>
              <w:pStyle w:val="TableText0"/>
              <w:keepLines/>
            </w:pPr>
            <w:r>
              <w:t>KRONOS</w:t>
            </w:r>
          </w:p>
          <w:p w:rsidR="004B4242" w:rsidRDefault="004B4242" w:rsidP="00CF7BB2">
            <w:pPr>
              <w:pStyle w:val="TableText0"/>
              <w:keepLines/>
            </w:pPr>
            <w:r>
              <w:t>NCT02497001</w:t>
            </w:r>
          </w:p>
          <w:p w:rsidR="004B4242" w:rsidRDefault="004B4242" w:rsidP="00CF7BB2">
            <w:pPr>
              <w:pStyle w:val="TableText0"/>
              <w:keepLines/>
            </w:pPr>
            <w:r>
              <w:t>JPRN-JapicCTI-184079</w:t>
            </w:r>
          </w:p>
          <w:p w:rsidR="004B4242" w:rsidRDefault="004B4242" w:rsidP="00CF7BB2">
            <w:pPr>
              <w:pStyle w:val="TableText0"/>
              <w:keepLines/>
            </w:pPr>
            <w:r>
              <w:t>(Extension</w:t>
            </w:r>
          </w:p>
          <w:p w:rsidR="004B4242" w:rsidRDefault="004B4242" w:rsidP="00CF7BB2">
            <w:pPr>
              <w:pStyle w:val="TableText0"/>
              <w:keepLines/>
            </w:pPr>
            <w:r>
              <w:t>NCT03262012</w:t>
            </w:r>
          </w:p>
          <w:p w:rsidR="004B4242" w:rsidRPr="00CB38A8" w:rsidRDefault="004B4242" w:rsidP="00CF7BB2">
            <w:pPr>
              <w:pStyle w:val="TableText0"/>
              <w:keepLines/>
            </w:pPr>
            <w:r>
              <w:t>JPRN-JapicCTI-184080)</w:t>
            </w:r>
          </w:p>
        </w:tc>
        <w:tc>
          <w:tcPr>
            <w:tcW w:w="2987" w:type="pct"/>
            <w:tcBorders>
              <w:bottom w:val="nil"/>
            </w:tcBorders>
            <w:vAlign w:val="center"/>
          </w:tcPr>
          <w:p w:rsidR="004B4242" w:rsidRPr="00CB38A8" w:rsidRDefault="004B4242" w:rsidP="00CF7BB2">
            <w:pPr>
              <w:pStyle w:val="TableText0"/>
              <w:keepLines/>
            </w:pPr>
            <w:r w:rsidRPr="0020340A">
              <w:t>A Randomized, Double-Blind, Parallel-Group, 24-Week, Chronic-Dosing, Multi-Center Study to Assess the Efficacy and Safety of PT010, PT003, and PT009 Compared with Symbicort</w:t>
            </w:r>
            <w:r w:rsidRPr="0099543E">
              <w:rPr>
                <w:vertAlign w:val="superscript"/>
              </w:rPr>
              <w:t>®</w:t>
            </w:r>
            <w:r w:rsidRPr="0020340A">
              <w:t xml:space="preserve"> Turbuhaler</w:t>
            </w:r>
            <w:r w:rsidRPr="0099543E">
              <w:rPr>
                <w:vertAlign w:val="superscript"/>
              </w:rPr>
              <w:t>®</w:t>
            </w:r>
            <w:r w:rsidRPr="0020340A">
              <w:t xml:space="preserve"> as an Active Control in Subjects with Moderate to Very Severe Chronic Obstructive Pulmonary Disease. </w:t>
            </w:r>
          </w:p>
        </w:tc>
        <w:tc>
          <w:tcPr>
            <w:tcW w:w="1308" w:type="pct"/>
            <w:tcBorders>
              <w:bottom w:val="nil"/>
            </w:tcBorders>
            <w:vAlign w:val="center"/>
          </w:tcPr>
          <w:p w:rsidR="004B4242" w:rsidRPr="004A2558" w:rsidRDefault="004B4242" w:rsidP="00CF7BB2">
            <w:pPr>
              <w:pStyle w:val="TableText0"/>
              <w:keepLines/>
            </w:pPr>
            <w:r w:rsidRPr="0020340A">
              <w:t>6 June 2018.</w:t>
            </w:r>
          </w:p>
        </w:tc>
      </w:tr>
      <w:tr w:rsidR="004B4242" w:rsidRPr="00CB38A8" w:rsidTr="00765A17">
        <w:trPr>
          <w:trHeight w:val="471"/>
        </w:trPr>
        <w:tc>
          <w:tcPr>
            <w:tcW w:w="705" w:type="pct"/>
            <w:vMerge/>
            <w:vAlign w:val="center"/>
          </w:tcPr>
          <w:p w:rsidR="004B4242" w:rsidRPr="00CB38A8" w:rsidRDefault="004B4242" w:rsidP="00CF7BB2">
            <w:pPr>
              <w:pStyle w:val="TableText0"/>
              <w:keepLines/>
            </w:pPr>
          </w:p>
        </w:tc>
        <w:tc>
          <w:tcPr>
            <w:tcW w:w="2987" w:type="pct"/>
            <w:tcBorders>
              <w:top w:val="nil"/>
            </w:tcBorders>
            <w:vAlign w:val="center"/>
          </w:tcPr>
          <w:p w:rsidR="004B4242" w:rsidRPr="00E34A35" w:rsidRDefault="004B4242" w:rsidP="00CF7BB2">
            <w:pPr>
              <w:pStyle w:val="TableText0"/>
              <w:keepLines/>
              <w:rPr>
                <w:szCs w:val="18"/>
              </w:rPr>
            </w:pPr>
            <w:r w:rsidRPr="0020340A">
              <w:rPr>
                <w:szCs w:val="18"/>
              </w:rPr>
              <w:t>Ferguson GT, et al. Triple therapy with budesonide/</w:t>
            </w:r>
            <w:r>
              <w:rPr>
                <w:szCs w:val="18"/>
              </w:rPr>
              <w:t xml:space="preserve"> </w:t>
            </w:r>
            <w:r w:rsidRPr="0020340A">
              <w:rPr>
                <w:szCs w:val="18"/>
              </w:rPr>
              <w:t>glycopyrrolate/</w:t>
            </w:r>
            <w:r>
              <w:rPr>
                <w:szCs w:val="18"/>
              </w:rPr>
              <w:t xml:space="preserve"> </w:t>
            </w:r>
            <w:r w:rsidRPr="0020340A">
              <w:rPr>
                <w:szCs w:val="18"/>
              </w:rPr>
              <w:t xml:space="preserve">formoterol fumarate with co-suspension delivery technology versus dual therapies in chronic obstructive pulmonary disease (KRONOS): a double-blind, parallel-group, multicentre, phase 3 randomised controlled trial. </w:t>
            </w:r>
          </w:p>
        </w:tc>
        <w:tc>
          <w:tcPr>
            <w:tcW w:w="1308" w:type="pct"/>
            <w:tcBorders>
              <w:top w:val="nil"/>
            </w:tcBorders>
            <w:vAlign w:val="center"/>
          </w:tcPr>
          <w:p w:rsidR="004B4242" w:rsidRPr="00CB38A8" w:rsidRDefault="004B4242" w:rsidP="00CF7BB2">
            <w:pPr>
              <w:pStyle w:val="TableText0"/>
              <w:keepLines/>
              <w:rPr>
                <w:i/>
              </w:rPr>
            </w:pPr>
            <w:r w:rsidRPr="0020340A">
              <w:rPr>
                <w:szCs w:val="18"/>
              </w:rPr>
              <w:t>The Lancet Respiratory Medicine 2018; 6(10):747-758</w:t>
            </w:r>
          </w:p>
        </w:tc>
      </w:tr>
      <w:tr w:rsidR="004B4242" w:rsidRPr="00CB38A8" w:rsidTr="00765A17">
        <w:trPr>
          <w:trHeight w:val="46"/>
        </w:trPr>
        <w:tc>
          <w:tcPr>
            <w:tcW w:w="5000" w:type="pct"/>
            <w:gridSpan w:val="3"/>
            <w:vAlign w:val="center"/>
          </w:tcPr>
          <w:p w:rsidR="004B4242" w:rsidRPr="0020340A" w:rsidRDefault="004B4242" w:rsidP="00CF7BB2">
            <w:pPr>
              <w:pStyle w:val="TableText0"/>
              <w:keepLines/>
              <w:rPr>
                <w:b/>
                <w:szCs w:val="18"/>
              </w:rPr>
            </w:pPr>
            <w:r w:rsidRPr="0020340A">
              <w:rPr>
                <w:b/>
                <w:szCs w:val="18"/>
              </w:rPr>
              <w:t>Trelegy (FF/UMEC/VI) vs UMEC/VI and FF/VI</w:t>
            </w:r>
          </w:p>
        </w:tc>
      </w:tr>
      <w:tr w:rsidR="004B4242" w:rsidRPr="00CB38A8" w:rsidTr="00765A17">
        <w:trPr>
          <w:trHeight w:val="335"/>
        </w:trPr>
        <w:tc>
          <w:tcPr>
            <w:tcW w:w="705" w:type="pct"/>
            <w:vAlign w:val="center"/>
          </w:tcPr>
          <w:p w:rsidR="004B4242" w:rsidRPr="00CB38A8" w:rsidRDefault="004B4242" w:rsidP="00CF7BB2">
            <w:pPr>
              <w:pStyle w:val="TableText0"/>
              <w:keepLines/>
            </w:pPr>
            <w:r>
              <w:t>IMPACT</w:t>
            </w:r>
          </w:p>
        </w:tc>
        <w:tc>
          <w:tcPr>
            <w:tcW w:w="2987" w:type="pct"/>
            <w:vAlign w:val="center"/>
          </w:tcPr>
          <w:p w:rsidR="004B4242" w:rsidRPr="00CB38A8" w:rsidRDefault="004B4242" w:rsidP="00CF7BB2">
            <w:pPr>
              <w:pStyle w:val="TableText0"/>
              <w:keepLines/>
            </w:pPr>
            <w:r w:rsidRPr="00B247BF">
              <w:t>Lipson DA, et al. Once-daily single-inhaler triple versus dual therapy in patients with COPD.</w:t>
            </w:r>
          </w:p>
        </w:tc>
        <w:tc>
          <w:tcPr>
            <w:tcW w:w="1308" w:type="pct"/>
            <w:vAlign w:val="center"/>
          </w:tcPr>
          <w:p w:rsidR="004B4242" w:rsidRPr="00CB38A8" w:rsidRDefault="004B4242" w:rsidP="00CF7BB2">
            <w:pPr>
              <w:pStyle w:val="TableText0"/>
              <w:keepLines/>
            </w:pPr>
            <w:r w:rsidRPr="00B247BF">
              <w:t>New England Journal of Medicine</w:t>
            </w:r>
            <w:r w:rsidR="007E2BBC">
              <w:t xml:space="preserve"> 2018</w:t>
            </w:r>
            <w:r w:rsidRPr="00B247BF">
              <w:t>; 378(18): 1671-1680</w:t>
            </w:r>
          </w:p>
        </w:tc>
      </w:tr>
      <w:tr w:rsidR="004B4242" w:rsidRPr="00CB38A8" w:rsidTr="00765A17">
        <w:tc>
          <w:tcPr>
            <w:tcW w:w="5000" w:type="pct"/>
            <w:gridSpan w:val="3"/>
            <w:tcBorders>
              <w:bottom w:val="single" w:sz="4" w:space="0" w:color="auto"/>
            </w:tcBorders>
            <w:vAlign w:val="center"/>
          </w:tcPr>
          <w:p w:rsidR="004B4242" w:rsidRPr="0020340A" w:rsidRDefault="004B4242" w:rsidP="00CF7BB2">
            <w:pPr>
              <w:pStyle w:val="TableText0"/>
              <w:keepLines/>
              <w:rPr>
                <w:b/>
                <w:szCs w:val="18"/>
              </w:rPr>
            </w:pPr>
            <w:r>
              <w:rPr>
                <w:b/>
                <w:szCs w:val="18"/>
              </w:rPr>
              <w:t>Trimbow (BEC/GLY/FOR) vs GLY/IND</w:t>
            </w:r>
          </w:p>
        </w:tc>
      </w:tr>
      <w:tr w:rsidR="004B4242" w:rsidRPr="00CB38A8" w:rsidTr="00765A17">
        <w:trPr>
          <w:trHeight w:val="698"/>
        </w:trPr>
        <w:tc>
          <w:tcPr>
            <w:tcW w:w="705" w:type="pct"/>
            <w:vAlign w:val="center"/>
          </w:tcPr>
          <w:p w:rsidR="004B4242" w:rsidRPr="00CB38A8" w:rsidRDefault="004B4242" w:rsidP="00CF7BB2">
            <w:pPr>
              <w:pStyle w:val="TableText0"/>
              <w:keepLines/>
            </w:pPr>
            <w:r>
              <w:t>TRIBUTE</w:t>
            </w:r>
          </w:p>
        </w:tc>
        <w:tc>
          <w:tcPr>
            <w:tcW w:w="2987" w:type="pct"/>
            <w:vAlign w:val="center"/>
          </w:tcPr>
          <w:p w:rsidR="004B4242" w:rsidRPr="00CB38A8" w:rsidRDefault="004B4242" w:rsidP="00CF7BB2">
            <w:pPr>
              <w:pStyle w:val="TableText0"/>
              <w:keepLines/>
            </w:pPr>
            <w:r w:rsidRPr="00B247BF">
              <w:t>Papi A, et al. Extrafine inhaled triple therapy versus dual bronchodilator therapy in chronic obstructive pulmonary disease (TRIBUTE): a double-blind, parallel group, randomised controlled trial.</w:t>
            </w:r>
          </w:p>
        </w:tc>
        <w:tc>
          <w:tcPr>
            <w:tcW w:w="1308" w:type="pct"/>
            <w:vAlign w:val="center"/>
          </w:tcPr>
          <w:p w:rsidR="004B4242" w:rsidRPr="00CB38A8" w:rsidRDefault="004B4242" w:rsidP="00CF7BB2">
            <w:pPr>
              <w:pStyle w:val="TableText0"/>
              <w:keepLines/>
            </w:pPr>
            <w:r w:rsidRPr="00B247BF">
              <w:t>The Lancet 2018; 391(10125):1076-1084.</w:t>
            </w:r>
          </w:p>
        </w:tc>
      </w:tr>
      <w:tr w:rsidR="004B4242" w:rsidRPr="00CB38A8" w:rsidTr="00765A17">
        <w:tc>
          <w:tcPr>
            <w:tcW w:w="5000" w:type="pct"/>
            <w:gridSpan w:val="3"/>
            <w:tcBorders>
              <w:top w:val="nil"/>
              <w:bottom w:val="single" w:sz="4" w:space="0" w:color="auto"/>
            </w:tcBorders>
            <w:vAlign w:val="center"/>
          </w:tcPr>
          <w:p w:rsidR="004B4242" w:rsidRPr="004D082A" w:rsidRDefault="004B4242" w:rsidP="00CF7BB2">
            <w:pPr>
              <w:pStyle w:val="TableText0"/>
              <w:keepLines/>
              <w:rPr>
                <w:b/>
                <w:szCs w:val="18"/>
              </w:rPr>
            </w:pPr>
            <w:r>
              <w:rPr>
                <w:b/>
                <w:szCs w:val="18"/>
              </w:rPr>
              <w:t>Trimbow (BEC/GLY/FOR) vs BEC/FOR</w:t>
            </w:r>
          </w:p>
        </w:tc>
      </w:tr>
      <w:tr w:rsidR="004B4242" w:rsidRPr="00CB38A8" w:rsidTr="00765A17">
        <w:trPr>
          <w:trHeight w:val="918"/>
        </w:trPr>
        <w:tc>
          <w:tcPr>
            <w:tcW w:w="705" w:type="pct"/>
            <w:vAlign w:val="center"/>
          </w:tcPr>
          <w:p w:rsidR="004B4242" w:rsidRPr="00CB38A8" w:rsidRDefault="004B4242" w:rsidP="00CF7BB2">
            <w:pPr>
              <w:pStyle w:val="TableText0"/>
              <w:keepLines/>
            </w:pPr>
            <w:r>
              <w:t>TRILOGY</w:t>
            </w:r>
          </w:p>
        </w:tc>
        <w:tc>
          <w:tcPr>
            <w:tcW w:w="2987" w:type="pct"/>
            <w:vAlign w:val="center"/>
          </w:tcPr>
          <w:p w:rsidR="004B4242" w:rsidRPr="00CB38A8" w:rsidRDefault="004B4242" w:rsidP="00CF7BB2">
            <w:pPr>
              <w:pStyle w:val="TableText0"/>
              <w:keepLines/>
            </w:pPr>
            <w:r w:rsidRPr="00B247BF">
              <w:t>Singh D, et al. Single inhaler triple therapy versus inhaled corticosteroid plus long-acting β2-agonist therapy for chronic obstructive pulmonary disease (TRILOGY): a double-blind, parallel group, randomised controlled trial.</w:t>
            </w:r>
          </w:p>
        </w:tc>
        <w:tc>
          <w:tcPr>
            <w:tcW w:w="1308" w:type="pct"/>
            <w:vAlign w:val="center"/>
          </w:tcPr>
          <w:p w:rsidR="004B4242" w:rsidRPr="00CB38A8" w:rsidRDefault="004B4242" w:rsidP="00CF7BB2">
            <w:pPr>
              <w:pStyle w:val="TableText0"/>
              <w:keepLines/>
            </w:pPr>
            <w:r w:rsidRPr="00B247BF">
              <w:t>The Lancet 2016; 388:963-973</w:t>
            </w:r>
          </w:p>
        </w:tc>
      </w:tr>
    </w:tbl>
    <w:p w:rsidR="004B4242" w:rsidRDefault="004B4242" w:rsidP="00CF7BB2">
      <w:pPr>
        <w:pStyle w:val="TableFigureFooter"/>
        <w:keepNext/>
        <w:keepLines/>
      </w:pPr>
      <w:r>
        <w:t>Abbreviations:</w:t>
      </w:r>
      <w:r w:rsidRPr="000F1F73">
        <w:t xml:space="preserve"> BEC=beclometasone dipropionate; BUD=budesonide; COPD=chronic obstructive pulmonary disease; FF=fluticasone furoate; FOR=formoterol fumarate dihydrate; GLY=glycopyrronium;</w:t>
      </w:r>
      <w:r>
        <w:t xml:space="preserve"> IND=indacaterol;</w:t>
      </w:r>
      <w:r w:rsidRPr="000F1F73">
        <w:t xml:space="preserve"> UMEC=umeclidinium; VI=vilanterol trifena</w:t>
      </w:r>
      <w:r w:rsidR="0099543E">
        <w:t>ta</w:t>
      </w:r>
      <w:r w:rsidRPr="000F1F73">
        <w:t>te;</w:t>
      </w:r>
    </w:p>
    <w:p w:rsidR="004B4242" w:rsidRPr="00B1011F" w:rsidRDefault="004B4242" w:rsidP="004B4242">
      <w:pPr>
        <w:pStyle w:val="TableFigureFooter"/>
        <w:rPr>
          <w:sz w:val="20"/>
        </w:rPr>
      </w:pPr>
      <w:r>
        <w:t>Source: Table 2.2.1 to 2.2.3, pp36-37 of the submission.</w:t>
      </w:r>
    </w:p>
    <w:p w:rsidR="00873A35" w:rsidRPr="003458ED" w:rsidRDefault="004B4242" w:rsidP="00C81135">
      <w:pPr>
        <w:pStyle w:val="3-BodyText"/>
      </w:pPr>
      <w:r w:rsidRPr="004B4242">
        <w:t xml:space="preserve">The submission described KRONOS as supportive evidence and did not include results in the indirect treatment comparison, </w:t>
      </w:r>
      <w:r w:rsidR="00FD75A1">
        <w:t>owing to</w:t>
      </w:r>
      <w:r w:rsidRPr="004B4242">
        <w:t xml:space="preserve"> </w:t>
      </w:r>
      <w:r w:rsidR="00FD75A1" w:rsidRPr="00FD75A1">
        <w:t>differences in the trial durations/outcomes (24 vs 52 weeks) a</w:t>
      </w:r>
      <w:r w:rsidR="00C541EC">
        <w:t>nd</w:t>
      </w:r>
      <w:r w:rsidR="00FD75A1" w:rsidRPr="00FD75A1">
        <w:t xml:space="preserve"> population (no enrolment criteria on exacerbations history versus prior history of ≥1 moderate/severe exacerbations)</w:t>
      </w:r>
      <w:r w:rsidRPr="004B4242">
        <w:t xml:space="preserve">. </w:t>
      </w:r>
      <w:r w:rsidR="00274C38" w:rsidRPr="003458ED">
        <w:t xml:space="preserve">This </w:t>
      </w:r>
      <w:r w:rsidR="00274C38" w:rsidRPr="003458ED">
        <w:lastRenderedPageBreak/>
        <w:t xml:space="preserve">was generally reasonable given the majority of patients in KRONOS had not experienced an exacerbation in the past 12 months at baseline, but </w:t>
      </w:r>
      <w:r w:rsidR="008C1525" w:rsidRPr="003458ED">
        <w:t xml:space="preserve">this was also </w:t>
      </w:r>
      <w:r w:rsidR="00274C38" w:rsidRPr="003458ED">
        <w:t>unlikely to influence results.</w:t>
      </w:r>
      <w:r w:rsidR="007E2BBC" w:rsidRPr="003458ED">
        <w:t xml:space="preserve"> The submission also </w:t>
      </w:r>
      <w:r w:rsidR="00C81135" w:rsidRPr="003458ED">
        <w:t xml:space="preserve">reasonably </w:t>
      </w:r>
      <w:r w:rsidR="007E2BBC" w:rsidRPr="003458ED">
        <w:t>excluded the FULFIL trial comparing FF/UMEC/VI to BUD/FOR as the trial only reported exacerbation rates at 52 weeks for a subgroup with unclear randomisation and baseline characteristics</w:t>
      </w:r>
      <w:r w:rsidR="00990AE6" w:rsidRPr="003458ED">
        <w:t xml:space="preserve">. </w:t>
      </w:r>
      <w:r w:rsidR="00C81135" w:rsidRPr="003458ED">
        <w:t xml:space="preserve">Data from this subgroup (n=430 patients) was included in the PBAC submission of </w:t>
      </w:r>
      <w:r w:rsidR="007E2BBC" w:rsidRPr="003458ED">
        <w:t>BEC/GLY/FOR</w:t>
      </w:r>
      <w:r w:rsidR="00C81135" w:rsidRPr="003458ED">
        <w:t xml:space="preserve"> despite the same concern</w:t>
      </w:r>
      <w:r w:rsidR="007E2BBC" w:rsidRPr="003458ED">
        <w:t xml:space="preserve"> (paragraph 6.10, Trimbow (BEC/GLY/FOR) PSD November 2020 PBAC meeting).</w:t>
      </w:r>
    </w:p>
    <w:p w:rsidR="00274C38" w:rsidRPr="003458ED" w:rsidRDefault="00274C38" w:rsidP="008C1525">
      <w:pPr>
        <w:pStyle w:val="3-BodyText"/>
      </w:pPr>
      <w:r w:rsidRPr="003458ED">
        <w:t>Data from KRONOS was included in a network meta-analysis by Bourdin et al 2020 (draft manuscript only). The network meta-analysis included data from 15 double-blind RCTs (including ETHOS, KRONOS, IMPACT, TRIBUTE and TRILOGY) and compared BUD/GLY/FOR to FF/UMEC/VI, BEC/GLY/FOR and open combinations of triple therapy for several key outcomes at</w:t>
      </w:r>
      <w:r>
        <w:rPr>
          <w:i/>
        </w:rPr>
        <w:t xml:space="preserve"> </w:t>
      </w:r>
      <w:r w:rsidRPr="003458ED">
        <w:t>Week 24 and Week 52. The results from this study demonstrated results at Week 24 (including KRONOS) were comparable to results at Week 52 (excluding KRONOS).</w:t>
      </w:r>
    </w:p>
    <w:p w:rsidR="008479BA" w:rsidRPr="003458ED" w:rsidRDefault="004B4242" w:rsidP="00C52F3C">
      <w:pPr>
        <w:pStyle w:val="3-BodyText"/>
      </w:pPr>
      <w:r w:rsidRPr="003458ED">
        <w:t>Table 3 presents the key features of the included trials.</w:t>
      </w:r>
      <w:r w:rsidR="00304042" w:rsidRPr="003458ED">
        <w:t xml:space="preserve"> </w:t>
      </w:r>
      <w:r w:rsidR="00304042" w:rsidRPr="003458ED">
        <w:rPr>
          <w:iCs/>
        </w:rPr>
        <w:t>ETHOS randomised patient</w:t>
      </w:r>
      <w:r w:rsidR="00176E65" w:rsidRPr="003458ED">
        <w:rPr>
          <w:iCs/>
        </w:rPr>
        <w:t>s</w:t>
      </w:r>
      <w:r w:rsidR="00304042" w:rsidRPr="003458ED">
        <w:rPr>
          <w:iCs/>
        </w:rPr>
        <w:t xml:space="preserve"> to </w:t>
      </w:r>
      <w:r w:rsidR="00B532EF" w:rsidRPr="003458ED">
        <w:rPr>
          <w:iCs/>
        </w:rPr>
        <w:t xml:space="preserve">BUD/GLY/FOR FDCs with </w:t>
      </w:r>
      <w:r w:rsidR="00304042" w:rsidRPr="003458ED">
        <w:rPr>
          <w:iCs/>
        </w:rPr>
        <w:t xml:space="preserve">different </w:t>
      </w:r>
      <w:r w:rsidR="00B532EF" w:rsidRPr="003458ED">
        <w:rPr>
          <w:iCs/>
        </w:rPr>
        <w:t xml:space="preserve">doses of BUD (i.e. </w:t>
      </w:r>
      <w:r w:rsidR="00304042" w:rsidRPr="003458ED">
        <w:rPr>
          <w:iCs/>
        </w:rPr>
        <w:t>160</w:t>
      </w:r>
      <w:r w:rsidR="00B532EF" w:rsidRPr="003458ED">
        <w:rPr>
          <w:iCs/>
        </w:rPr>
        <w:t xml:space="preserve"> or 80 </w:t>
      </w:r>
      <w:r w:rsidR="00E61288" w:rsidRPr="003458ED">
        <w:rPr>
          <w:iCs/>
        </w:rPr>
        <w:t>mcg</w:t>
      </w:r>
      <w:r w:rsidR="00304042" w:rsidRPr="003458ED">
        <w:rPr>
          <w:iCs/>
        </w:rPr>
        <w:t>)</w:t>
      </w:r>
      <w:r w:rsidR="00176E65" w:rsidRPr="003458ED">
        <w:rPr>
          <w:iCs/>
        </w:rPr>
        <w:t>.</w:t>
      </w:r>
      <w:r w:rsidR="00B532EF" w:rsidRPr="003458ED">
        <w:rPr>
          <w:iCs/>
        </w:rPr>
        <w:t xml:space="preserve"> </w:t>
      </w:r>
      <w:r w:rsidR="00176E65" w:rsidRPr="003458ED">
        <w:rPr>
          <w:iCs/>
        </w:rPr>
        <w:t>A</w:t>
      </w:r>
      <w:r w:rsidR="00B532EF" w:rsidRPr="003458ED">
        <w:rPr>
          <w:iCs/>
        </w:rPr>
        <w:t>s</w:t>
      </w:r>
      <w:r w:rsidR="00304042" w:rsidRPr="003458ED">
        <w:rPr>
          <w:iCs/>
        </w:rPr>
        <w:t xml:space="preserve"> the submission only requested TGA registration and PBS listing for </w:t>
      </w:r>
      <w:r w:rsidR="00B532EF" w:rsidRPr="003458ED">
        <w:rPr>
          <w:iCs/>
        </w:rPr>
        <w:t xml:space="preserve">the higher dose formulation, </w:t>
      </w:r>
      <w:r w:rsidR="00304042" w:rsidRPr="003458ED">
        <w:rPr>
          <w:iCs/>
        </w:rPr>
        <w:t>BUD/GLY/FOR (160/7</w:t>
      </w:r>
      <w:r w:rsidR="006A1BC4">
        <w:rPr>
          <w:iCs/>
        </w:rPr>
        <w:t>.2/5), the evaluation</w:t>
      </w:r>
      <w:r w:rsidR="00304042" w:rsidRPr="003458ED">
        <w:rPr>
          <w:iCs/>
        </w:rPr>
        <w:t xml:space="preserve"> focuses </w:t>
      </w:r>
      <w:r w:rsidR="00C52F3C" w:rsidRPr="003458ED">
        <w:rPr>
          <w:iCs/>
        </w:rPr>
        <w:t xml:space="preserve">only </w:t>
      </w:r>
      <w:r w:rsidR="00304042" w:rsidRPr="003458ED">
        <w:rPr>
          <w:iCs/>
        </w:rPr>
        <w:t>on results from th</w:t>
      </w:r>
      <w:r w:rsidR="00B532EF" w:rsidRPr="003458ED">
        <w:rPr>
          <w:iCs/>
        </w:rPr>
        <w:t>at</w:t>
      </w:r>
      <w:r w:rsidR="00304042" w:rsidRPr="003458ED">
        <w:rPr>
          <w:iCs/>
        </w:rPr>
        <w:t xml:space="preserve"> treatment arm.</w:t>
      </w:r>
    </w:p>
    <w:p w:rsidR="003E3CB0" w:rsidRDefault="003E3CB0">
      <w:pPr>
        <w:jc w:val="left"/>
        <w:rPr>
          <w:rStyle w:val="CommentReference"/>
          <w:rFonts w:eastAsiaTheme="majorEastAsia" w:cstheme="majorBidi"/>
          <w:bCs/>
          <w:szCs w:val="24"/>
        </w:rPr>
      </w:pPr>
      <w:r>
        <w:rPr>
          <w:rStyle w:val="CommentReference"/>
          <w:b w:val="0"/>
          <w:szCs w:val="24"/>
        </w:rPr>
        <w:br w:type="page"/>
      </w:r>
    </w:p>
    <w:p w:rsidR="004B4242" w:rsidRPr="003458ED" w:rsidRDefault="004B4242" w:rsidP="004B4242">
      <w:pPr>
        <w:pStyle w:val="TableFigureHeading"/>
        <w:keepNext w:val="0"/>
        <w:rPr>
          <w:rStyle w:val="CommentReference"/>
          <w:b/>
          <w:szCs w:val="24"/>
        </w:rPr>
      </w:pPr>
      <w:r w:rsidRPr="003458ED">
        <w:rPr>
          <w:rStyle w:val="CommentReference"/>
          <w:b/>
          <w:szCs w:val="24"/>
        </w:rPr>
        <w:lastRenderedPageBreak/>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7"/>
        <w:gridCol w:w="513"/>
        <w:gridCol w:w="1112"/>
        <w:gridCol w:w="566"/>
        <w:gridCol w:w="2698"/>
        <w:gridCol w:w="1700"/>
        <w:gridCol w:w="1650"/>
      </w:tblGrid>
      <w:tr w:rsidR="004B4242" w:rsidRPr="003458ED" w:rsidTr="00D92024">
        <w:trPr>
          <w:cantSplit/>
          <w:tblHeader/>
        </w:trPr>
        <w:tc>
          <w:tcPr>
            <w:tcW w:w="431" w:type="pct"/>
            <w:shd w:val="clear" w:color="auto" w:fill="auto"/>
            <w:vAlign w:val="center"/>
          </w:tcPr>
          <w:p w:rsidR="004B4242" w:rsidRPr="003458ED" w:rsidRDefault="004B4242" w:rsidP="004B4242">
            <w:pPr>
              <w:pStyle w:val="In-tableHeading"/>
              <w:keepNext w:val="0"/>
              <w:jc w:val="center"/>
            </w:pPr>
            <w:r w:rsidRPr="003458ED">
              <w:t>Trial</w:t>
            </w:r>
          </w:p>
        </w:tc>
        <w:tc>
          <w:tcPr>
            <w:tcW w:w="284" w:type="pct"/>
            <w:shd w:val="clear" w:color="auto" w:fill="auto"/>
            <w:vAlign w:val="center"/>
          </w:tcPr>
          <w:p w:rsidR="004B4242" w:rsidRPr="003458ED" w:rsidRDefault="004B4242" w:rsidP="004B4242">
            <w:pPr>
              <w:pStyle w:val="In-tableHeading"/>
              <w:keepNext w:val="0"/>
              <w:jc w:val="center"/>
            </w:pPr>
            <w:r w:rsidRPr="003458ED">
              <w:t>N</w:t>
            </w:r>
          </w:p>
        </w:tc>
        <w:tc>
          <w:tcPr>
            <w:tcW w:w="617" w:type="pct"/>
            <w:shd w:val="clear" w:color="auto" w:fill="auto"/>
            <w:vAlign w:val="center"/>
          </w:tcPr>
          <w:p w:rsidR="004B4242" w:rsidRPr="003458ED" w:rsidRDefault="004B4242" w:rsidP="004B4242">
            <w:pPr>
              <w:pStyle w:val="In-tableHeading"/>
              <w:keepNext w:val="0"/>
              <w:jc w:val="center"/>
            </w:pPr>
            <w:r w:rsidRPr="003458ED">
              <w:t>Design/ duration</w:t>
            </w:r>
          </w:p>
        </w:tc>
        <w:tc>
          <w:tcPr>
            <w:tcW w:w="314" w:type="pct"/>
            <w:shd w:val="clear" w:color="auto" w:fill="auto"/>
            <w:vAlign w:val="center"/>
          </w:tcPr>
          <w:p w:rsidR="004B4242" w:rsidRPr="003458ED" w:rsidRDefault="004B4242" w:rsidP="004B4242">
            <w:pPr>
              <w:pStyle w:val="In-tableHeading"/>
              <w:keepNext w:val="0"/>
              <w:jc w:val="center"/>
            </w:pPr>
            <w:r w:rsidRPr="003458ED">
              <w:t>Bias</w:t>
            </w:r>
          </w:p>
        </w:tc>
        <w:tc>
          <w:tcPr>
            <w:tcW w:w="1496" w:type="pct"/>
            <w:vAlign w:val="center"/>
          </w:tcPr>
          <w:p w:rsidR="004B4242" w:rsidRPr="003458ED" w:rsidRDefault="004B4242" w:rsidP="004B4242">
            <w:pPr>
              <w:pStyle w:val="In-tableHeading"/>
              <w:keepNext w:val="0"/>
              <w:jc w:val="center"/>
            </w:pPr>
            <w:r w:rsidRPr="003458ED">
              <w:t>Treatment arms</w:t>
            </w:r>
          </w:p>
        </w:tc>
        <w:tc>
          <w:tcPr>
            <w:tcW w:w="943" w:type="pct"/>
            <w:shd w:val="clear" w:color="auto" w:fill="auto"/>
            <w:vAlign w:val="center"/>
          </w:tcPr>
          <w:p w:rsidR="004B4242" w:rsidRPr="003458ED" w:rsidRDefault="004B4242" w:rsidP="004B4242">
            <w:pPr>
              <w:pStyle w:val="In-tableHeading"/>
              <w:keepNext w:val="0"/>
              <w:jc w:val="center"/>
            </w:pPr>
            <w:r w:rsidRPr="003458ED">
              <w:t>Population</w:t>
            </w:r>
          </w:p>
        </w:tc>
        <w:tc>
          <w:tcPr>
            <w:tcW w:w="915" w:type="pct"/>
            <w:shd w:val="clear" w:color="auto" w:fill="auto"/>
            <w:vAlign w:val="center"/>
          </w:tcPr>
          <w:p w:rsidR="004B4242" w:rsidRPr="003458ED" w:rsidRDefault="004B4242" w:rsidP="004B4242">
            <w:pPr>
              <w:pStyle w:val="In-tableHeading"/>
              <w:keepNext w:val="0"/>
              <w:jc w:val="center"/>
            </w:pPr>
            <w:r w:rsidRPr="003458ED">
              <w:t>Key efficacy outcomes</w:t>
            </w:r>
          </w:p>
        </w:tc>
      </w:tr>
      <w:tr w:rsidR="004B4242" w:rsidRPr="003458ED" w:rsidTr="00D92024">
        <w:trPr>
          <w:cantSplit/>
        </w:trPr>
        <w:tc>
          <w:tcPr>
            <w:tcW w:w="5000" w:type="pct"/>
            <w:gridSpan w:val="7"/>
            <w:vAlign w:val="center"/>
          </w:tcPr>
          <w:p w:rsidR="004B4242" w:rsidRPr="003458ED" w:rsidRDefault="004B4242" w:rsidP="004B4242">
            <w:pPr>
              <w:pStyle w:val="In-tableHeading"/>
              <w:keepNext w:val="0"/>
            </w:pPr>
            <w:r w:rsidRPr="003458ED">
              <w:t>Breztri (BUD/GLY/FOR) v GLY/FOR and BUD/FOR</w:t>
            </w:r>
          </w:p>
        </w:tc>
      </w:tr>
      <w:tr w:rsidR="004B4242" w:rsidRPr="003458ED" w:rsidTr="00D92024">
        <w:trPr>
          <w:cantSplit/>
        </w:trPr>
        <w:tc>
          <w:tcPr>
            <w:tcW w:w="431" w:type="pct"/>
            <w:shd w:val="clear" w:color="auto" w:fill="auto"/>
            <w:vAlign w:val="center"/>
          </w:tcPr>
          <w:p w:rsidR="004B4242" w:rsidRPr="003458ED" w:rsidRDefault="004B4242" w:rsidP="004B4242">
            <w:pPr>
              <w:pStyle w:val="TableText0"/>
              <w:keepNext w:val="0"/>
              <w:rPr>
                <w:lang w:val="en-US"/>
              </w:rPr>
            </w:pPr>
            <w:r w:rsidRPr="003458ED">
              <w:rPr>
                <w:lang w:val="en-US"/>
              </w:rPr>
              <w:t>ETHOS</w:t>
            </w:r>
          </w:p>
        </w:tc>
        <w:tc>
          <w:tcPr>
            <w:tcW w:w="28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8509</w:t>
            </w:r>
          </w:p>
        </w:tc>
        <w:tc>
          <w:tcPr>
            <w:tcW w:w="617" w:type="pct"/>
            <w:shd w:val="clear" w:color="auto" w:fill="auto"/>
            <w:vAlign w:val="center"/>
          </w:tcPr>
          <w:p w:rsidR="004B4242" w:rsidRPr="003458ED" w:rsidRDefault="004B4242" w:rsidP="004B4242">
            <w:pPr>
              <w:pStyle w:val="TableText0"/>
              <w:keepNext w:val="0"/>
              <w:jc w:val="center"/>
              <w:rPr>
                <w:lang w:val="en-US"/>
              </w:rPr>
            </w:pPr>
            <w:r w:rsidRPr="003458ED">
              <w:rPr>
                <w:lang w:val="en-US"/>
              </w:rPr>
              <w:t>R, MC, DB, parallel, 4w run-in</w:t>
            </w:r>
            <w:r w:rsidRPr="003458ED">
              <w:rPr>
                <w:vertAlign w:val="superscript"/>
                <w:lang w:val="en-US"/>
              </w:rPr>
              <w:t>a</w:t>
            </w:r>
            <w:r w:rsidRPr="003458ED">
              <w:rPr>
                <w:lang w:val="en-US"/>
              </w:rPr>
              <w:t xml:space="preserve"> + 52w</w:t>
            </w:r>
          </w:p>
        </w:tc>
        <w:tc>
          <w:tcPr>
            <w:tcW w:w="31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Low</w:t>
            </w:r>
          </w:p>
        </w:tc>
        <w:tc>
          <w:tcPr>
            <w:tcW w:w="1496" w:type="pct"/>
            <w:vAlign w:val="center"/>
          </w:tcPr>
          <w:p w:rsidR="004B4242" w:rsidRPr="003458ED" w:rsidRDefault="004B4242" w:rsidP="004B4242">
            <w:pPr>
              <w:pStyle w:val="TableText0"/>
              <w:keepNext w:val="0"/>
              <w:rPr>
                <w:lang w:val="en-US"/>
              </w:rPr>
            </w:pPr>
            <w:r w:rsidRPr="003458ED">
              <w:rPr>
                <w:lang w:val="en-US"/>
              </w:rPr>
              <w:t>BUD/GLY/FOR 160/7.2/5 pMDI*</w:t>
            </w:r>
          </w:p>
          <w:p w:rsidR="004B4242" w:rsidRPr="003458ED" w:rsidRDefault="004B4242" w:rsidP="004B4242">
            <w:pPr>
              <w:pStyle w:val="TableText0"/>
              <w:keepNext w:val="0"/>
              <w:rPr>
                <w:lang w:val="en-US"/>
              </w:rPr>
            </w:pPr>
            <w:r w:rsidRPr="003458ED">
              <w:rPr>
                <w:lang w:val="en-US"/>
              </w:rPr>
              <w:t>BUD/GLY/FOR 80/7.2/5 pMDI*</w:t>
            </w:r>
          </w:p>
          <w:p w:rsidR="004B4242" w:rsidRPr="003458ED" w:rsidRDefault="004B4242" w:rsidP="004B4242">
            <w:pPr>
              <w:pStyle w:val="TableText0"/>
              <w:keepNext w:val="0"/>
              <w:rPr>
                <w:lang w:val="en-US"/>
              </w:rPr>
            </w:pPr>
            <w:r w:rsidRPr="003458ED">
              <w:rPr>
                <w:lang w:val="en-US"/>
              </w:rPr>
              <w:t>GLY/FOR 7.2/5 pMDI*</w:t>
            </w:r>
          </w:p>
          <w:p w:rsidR="004B4242" w:rsidRPr="003458ED" w:rsidRDefault="004B4242" w:rsidP="004B4242">
            <w:pPr>
              <w:pStyle w:val="TableText0"/>
              <w:keepNext w:val="0"/>
              <w:rPr>
                <w:lang w:val="en-US"/>
              </w:rPr>
            </w:pPr>
            <w:r w:rsidRPr="003458ED">
              <w:rPr>
                <w:lang w:val="en-US"/>
              </w:rPr>
              <w:t>BUD/FOR 160/5 pMDI*</w:t>
            </w:r>
          </w:p>
        </w:tc>
        <w:tc>
          <w:tcPr>
            <w:tcW w:w="943" w:type="pct"/>
            <w:shd w:val="clear" w:color="auto" w:fill="auto"/>
            <w:vAlign w:val="center"/>
          </w:tcPr>
          <w:p w:rsidR="004B4242" w:rsidRPr="003458ED" w:rsidRDefault="004B4242" w:rsidP="004B4242">
            <w:pPr>
              <w:pStyle w:val="TableText0"/>
              <w:keepNext w:val="0"/>
              <w:jc w:val="center"/>
              <w:rPr>
                <w:lang w:val="en-US"/>
              </w:rPr>
            </w:pPr>
            <w:r w:rsidRPr="003458ED">
              <w:rPr>
                <w:lang w:val="en-US"/>
              </w:rPr>
              <w:t>Moderate to very severe COPD + history of moderate to severe exacerbations</w:t>
            </w:r>
          </w:p>
        </w:tc>
        <w:tc>
          <w:tcPr>
            <w:tcW w:w="915" w:type="pct"/>
            <w:shd w:val="clear" w:color="auto" w:fill="auto"/>
            <w:vAlign w:val="center"/>
          </w:tcPr>
          <w:p w:rsidR="004B4242" w:rsidRPr="003458ED" w:rsidRDefault="004B4242" w:rsidP="004B4242">
            <w:pPr>
              <w:pStyle w:val="TableText0"/>
              <w:keepNext w:val="0"/>
              <w:rPr>
                <w:lang w:val="en-US"/>
              </w:rPr>
            </w:pPr>
            <w:r w:rsidRPr="003458ED">
              <w:rPr>
                <w:lang w:val="en-US"/>
              </w:rPr>
              <w:t>1°: exacerbation rate</w:t>
            </w:r>
          </w:p>
          <w:p w:rsidR="004B4242" w:rsidRPr="003458ED" w:rsidRDefault="004B4242" w:rsidP="004B4242">
            <w:pPr>
              <w:pStyle w:val="TableText0"/>
              <w:keepNext w:val="0"/>
              <w:rPr>
                <w:lang w:val="en-US"/>
              </w:rPr>
            </w:pPr>
            <w:r w:rsidRPr="003458ED">
              <w:rPr>
                <w:lang w:val="en-US"/>
              </w:rPr>
              <w:t>other: trough FEV1, SGRQ, rescue drugs</w:t>
            </w:r>
          </w:p>
        </w:tc>
      </w:tr>
      <w:tr w:rsidR="004B4242" w:rsidRPr="003458ED" w:rsidTr="00D92024">
        <w:trPr>
          <w:cantSplit/>
        </w:trPr>
        <w:tc>
          <w:tcPr>
            <w:tcW w:w="431" w:type="pct"/>
            <w:shd w:val="clear" w:color="auto" w:fill="auto"/>
            <w:vAlign w:val="center"/>
          </w:tcPr>
          <w:p w:rsidR="004B4242" w:rsidRPr="003458ED" w:rsidRDefault="004B4242" w:rsidP="004B4242">
            <w:pPr>
              <w:pStyle w:val="TableText0"/>
              <w:keepNext w:val="0"/>
              <w:rPr>
                <w:lang w:val="en-US"/>
              </w:rPr>
            </w:pPr>
            <w:r w:rsidRPr="003458ED">
              <w:rPr>
                <w:lang w:val="en-US"/>
              </w:rPr>
              <w:t>KRONOS</w:t>
            </w:r>
          </w:p>
        </w:tc>
        <w:tc>
          <w:tcPr>
            <w:tcW w:w="28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1902</w:t>
            </w:r>
          </w:p>
        </w:tc>
        <w:tc>
          <w:tcPr>
            <w:tcW w:w="617" w:type="pct"/>
            <w:shd w:val="clear" w:color="auto" w:fill="auto"/>
            <w:vAlign w:val="center"/>
          </w:tcPr>
          <w:p w:rsidR="004B4242" w:rsidRPr="003458ED" w:rsidRDefault="004B4242" w:rsidP="004B4242">
            <w:pPr>
              <w:pStyle w:val="TableText0"/>
              <w:keepNext w:val="0"/>
              <w:jc w:val="center"/>
              <w:rPr>
                <w:lang w:val="en-US"/>
              </w:rPr>
            </w:pPr>
            <w:r w:rsidRPr="003458ED">
              <w:rPr>
                <w:lang w:val="en-US"/>
              </w:rPr>
              <w:t>R, MC, DB, parallel, 4w run-in</w:t>
            </w:r>
            <w:r w:rsidRPr="003458ED">
              <w:rPr>
                <w:vertAlign w:val="superscript"/>
                <w:lang w:val="en-US"/>
              </w:rPr>
              <w:t>b</w:t>
            </w:r>
            <w:r w:rsidRPr="003458ED">
              <w:rPr>
                <w:lang w:val="en-US"/>
              </w:rPr>
              <w:t xml:space="preserve"> + 24w</w:t>
            </w:r>
          </w:p>
        </w:tc>
        <w:tc>
          <w:tcPr>
            <w:tcW w:w="31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Low</w:t>
            </w:r>
          </w:p>
        </w:tc>
        <w:tc>
          <w:tcPr>
            <w:tcW w:w="1496" w:type="pct"/>
            <w:vAlign w:val="center"/>
          </w:tcPr>
          <w:p w:rsidR="004B4242" w:rsidRPr="003458ED" w:rsidRDefault="004B4242" w:rsidP="004B4242">
            <w:pPr>
              <w:pStyle w:val="TableText0"/>
              <w:keepNext w:val="0"/>
              <w:rPr>
                <w:lang w:val="en-US"/>
              </w:rPr>
            </w:pPr>
            <w:r w:rsidRPr="003458ED">
              <w:rPr>
                <w:lang w:val="en-US"/>
              </w:rPr>
              <w:t>BUD/GLY/FOR 160/7.2/5 pMDI*</w:t>
            </w:r>
          </w:p>
          <w:p w:rsidR="004B4242" w:rsidRPr="003458ED" w:rsidRDefault="004B4242" w:rsidP="004B4242">
            <w:pPr>
              <w:pStyle w:val="TableText0"/>
              <w:keepNext w:val="0"/>
              <w:rPr>
                <w:lang w:val="en-US"/>
              </w:rPr>
            </w:pPr>
            <w:r w:rsidRPr="003458ED">
              <w:rPr>
                <w:lang w:val="en-US"/>
              </w:rPr>
              <w:t>GLY/FOR 7.2/5 pMDI*</w:t>
            </w:r>
          </w:p>
          <w:p w:rsidR="004B4242" w:rsidRPr="003458ED" w:rsidRDefault="004B4242" w:rsidP="004B4242">
            <w:pPr>
              <w:pStyle w:val="TableText0"/>
              <w:keepNext w:val="0"/>
              <w:rPr>
                <w:lang w:val="en-US"/>
              </w:rPr>
            </w:pPr>
            <w:r w:rsidRPr="003458ED">
              <w:rPr>
                <w:lang w:val="en-US"/>
              </w:rPr>
              <w:t>BUD/FOR 160/5 pMDI*</w:t>
            </w:r>
          </w:p>
          <w:p w:rsidR="004B4242" w:rsidRPr="003458ED" w:rsidRDefault="004B4242" w:rsidP="004B4242">
            <w:pPr>
              <w:pStyle w:val="TableText0"/>
              <w:keepNext w:val="0"/>
              <w:rPr>
                <w:lang w:val="en-US"/>
              </w:rPr>
            </w:pPr>
            <w:r w:rsidRPr="003458ED">
              <w:rPr>
                <w:lang w:val="en-US"/>
              </w:rPr>
              <w:t>BUD/FOR 200/6 DPI*#</w:t>
            </w:r>
          </w:p>
        </w:tc>
        <w:tc>
          <w:tcPr>
            <w:tcW w:w="943" w:type="pct"/>
            <w:shd w:val="clear" w:color="auto" w:fill="auto"/>
            <w:vAlign w:val="center"/>
          </w:tcPr>
          <w:p w:rsidR="004B4242" w:rsidRPr="003458ED" w:rsidRDefault="004B4242" w:rsidP="004B4242">
            <w:pPr>
              <w:pStyle w:val="TableText0"/>
              <w:keepNext w:val="0"/>
              <w:jc w:val="center"/>
              <w:rPr>
                <w:lang w:val="en-US"/>
              </w:rPr>
            </w:pPr>
            <w:r w:rsidRPr="003458ED">
              <w:rPr>
                <w:lang w:val="en-US"/>
              </w:rPr>
              <w:t>Moderate to very severe COPD</w:t>
            </w:r>
          </w:p>
        </w:tc>
        <w:tc>
          <w:tcPr>
            <w:tcW w:w="915" w:type="pct"/>
            <w:shd w:val="clear" w:color="auto" w:fill="auto"/>
            <w:vAlign w:val="center"/>
          </w:tcPr>
          <w:p w:rsidR="004B4242" w:rsidRPr="003458ED" w:rsidRDefault="004B4242" w:rsidP="004B4242">
            <w:pPr>
              <w:pStyle w:val="TableText0"/>
              <w:keepNext w:val="0"/>
              <w:rPr>
                <w:lang w:val="en-US"/>
              </w:rPr>
            </w:pPr>
            <w:r w:rsidRPr="003458ED">
              <w:rPr>
                <w:lang w:val="en-US"/>
              </w:rPr>
              <w:t>1°: trough FEV1</w:t>
            </w:r>
          </w:p>
          <w:p w:rsidR="004B4242" w:rsidRPr="003458ED" w:rsidRDefault="004B4242" w:rsidP="004B4242">
            <w:pPr>
              <w:pStyle w:val="TableText0"/>
              <w:keepNext w:val="0"/>
              <w:rPr>
                <w:lang w:val="en-US"/>
              </w:rPr>
            </w:pPr>
            <w:r w:rsidRPr="003458ED">
              <w:rPr>
                <w:lang w:val="en-US"/>
              </w:rPr>
              <w:t>2°: exacerbation rate, SGRQ, rescue drugs</w:t>
            </w:r>
          </w:p>
        </w:tc>
      </w:tr>
      <w:tr w:rsidR="004B4242" w:rsidRPr="003458ED" w:rsidTr="00D92024">
        <w:trPr>
          <w:cantSplit/>
        </w:trPr>
        <w:tc>
          <w:tcPr>
            <w:tcW w:w="5000" w:type="pct"/>
            <w:gridSpan w:val="7"/>
            <w:vAlign w:val="center"/>
          </w:tcPr>
          <w:p w:rsidR="004B4242" w:rsidRPr="003458ED" w:rsidRDefault="004B4242" w:rsidP="004B4242">
            <w:pPr>
              <w:pStyle w:val="TableText0"/>
              <w:keepNext w:val="0"/>
              <w:rPr>
                <w:b/>
                <w:lang w:val="en-US"/>
              </w:rPr>
            </w:pPr>
            <w:r w:rsidRPr="003458ED">
              <w:rPr>
                <w:b/>
              </w:rPr>
              <w:t>Trelegy (FF/UMEC/VI) v UMEC/VI and FF/VI</w:t>
            </w:r>
          </w:p>
        </w:tc>
      </w:tr>
      <w:tr w:rsidR="004B4242" w:rsidRPr="003458ED" w:rsidTr="00D92024">
        <w:trPr>
          <w:cantSplit/>
        </w:trPr>
        <w:tc>
          <w:tcPr>
            <w:tcW w:w="431" w:type="pct"/>
            <w:shd w:val="clear" w:color="auto" w:fill="auto"/>
            <w:vAlign w:val="center"/>
          </w:tcPr>
          <w:p w:rsidR="004B4242" w:rsidRPr="003458ED" w:rsidRDefault="004B4242" w:rsidP="004B4242">
            <w:pPr>
              <w:pStyle w:val="TableText0"/>
              <w:keepNext w:val="0"/>
              <w:rPr>
                <w:lang w:val="en-US"/>
              </w:rPr>
            </w:pPr>
            <w:r w:rsidRPr="003458ED">
              <w:rPr>
                <w:lang w:val="en-US"/>
              </w:rPr>
              <w:t>IMPACT</w:t>
            </w:r>
          </w:p>
        </w:tc>
        <w:tc>
          <w:tcPr>
            <w:tcW w:w="28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10355</w:t>
            </w:r>
          </w:p>
        </w:tc>
        <w:tc>
          <w:tcPr>
            <w:tcW w:w="617" w:type="pct"/>
            <w:shd w:val="clear" w:color="auto" w:fill="auto"/>
            <w:vAlign w:val="center"/>
          </w:tcPr>
          <w:p w:rsidR="004B4242" w:rsidRPr="003458ED" w:rsidRDefault="004B4242" w:rsidP="004B4242">
            <w:pPr>
              <w:pStyle w:val="TableText0"/>
              <w:keepNext w:val="0"/>
              <w:jc w:val="center"/>
              <w:rPr>
                <w:lang w:val="en-US"/>
              </w:rPr>
            </w:pPr>
            <w:r w:rsidRPr="003458ED">
              <w:rPr>
                <w:lang w:val="en-US"/>
              </w:rPr>
              <w:t>R, MC, DB, parallel, 2w run-in</w:t>
            </w:r>
            <w:r w:rsidRPr="003458ED">
              <w:rPr>
                <w:vertAlign w:val="superscript"/>
                <w:lang w:val="en-US"/>
              </w:rPr>
              <w:t>c</w:t>
            </w:r>
            <w:r w:rsidRPr="003458ED">
              <w:rPr>
                <w:lang w:val="en-US"/>
              </w:rPr>
              <w:t xml:space="preserve"> + 52w</w:t>
            </w:r>
          </w:p>
        </w:tc>
        <w:tc>
          <w:tcPr>
            <w:tcW w:w="31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Low</w:t>
            </w:r>
          </w:p>
        </w:tc>
        <w:tc>
          <w:tcPr>
            <w:tcW w:w="1496" w:type="pct"/>
            <w:vAlign w:val="center"/>
          </w:tcPr>
          <w:p w:rsidR="004B4242" w:rsidRPr="003458ED" w:rsidRDefault="004B4242" w:rsidP="004B4242">
            <w:pPr>
              <w:pStyle w:val="TableText0"/>
              <w:keepNext w:val="0"/>
              <w:rPr>
                <w:lang w:val="en-US"/>
              </w:rPr>
            </w:pPr>
            <w:r w:rsidRPr="003458ED">
              <w:rPr>
                <w:lang w:val="en-US"/>
              </w:rPr>
              <w:t>FF/UMEC/VI 100/62.5/25 DPI^</w:t>
            </w:r>
          </w:p>
          <w:p w:rsidR="004B4242" w:rsidRPr="003458ED" w:rsidRDefault="004B4242" w:rsidP="004B4242">
            <w:pPr>
              <w:pStyle w:val="TableText0"/>
              <w:keepNext w:val="0"/>
              <w:rPr>
                <w:lang w:val="en-US"/>
              </w:rPr>
            </w:pPr>
            <w:r w:rsidRPr="003458ED">
              <w:rPr>
                <w:lang w:val="en-US"/>
              </w:rPr>
              <w:t>UMEC/VI 62.5/25 DPI^</w:t>
            </w:r>
          </w:p>
          <w:p w:rsidR="004B4242" w:rsidRPr="003458ED" w:rsidRDefault="004B4242" w:rsidP="004B4242">
            <w:pPr>
              <w:pStyle w:val="TableText0"/>
              <w:keepNext w:val="0"/>
              <w:rPr>
                <w:lang w:val="en-US"/>
              </w:rPr>
            </w:pPr>
            <w:r w:rsidRPr="003458ED">
              <w:rPr>
                <w:lang w:val="en-US"/>
              </w:rPr>
              <w:t>FF/VI 100/25 DPI^</w:t>
            </w:r>
          </w:p>
        </w:tc>
        <w:tc>
          <w:tcPr>
            <w:tcW w:w="943" w:type="pct"/>
            <w:shd w:val="clear" w:color="auto" w:fill="auto"/>
            <w:vAlign w:val="center"/>
          </w:tcPr>
          <w:p w:rsidR="004B4242" w:rsidRPr="003458ED" w:rsidRDefault="004B4242" w:rsidP="004B4242">
            <w:pPr>
              <w:pStyle w:val="TableText0"/>
              <w:keepNext w:val="0"/>
              <w:jc w:val="center"/>
              <w:rPr>
                <w:lang w:val="en-US"/>
              </w:rPr>
            </w:pPr>
            <w:r w:rsidRPr="003458ED">
              <w:rPr>
                <w:lang w:val="en-US"/>
              </w:rPr>
              <w:t>Moderate to very severe COPD + history of moderate to severe exacerbations</w:t>
            </w:r>
          </w:p>
        </w:tc>
        <w:tc>
          <w:tcPr>
            <w:tcW w:w="915" w:type="pct"/>
            <w:shd w:val="clear" w:color="auto" w:fill="auto"/>
            <w:vAlign w:val="center"/>
          </w:tcPr>
          <w:p w:rsidR="004B4242" w:rsidRPr="003458ED" w:rsidRDefault="004B4242" w:rsidP="004B4242">
            <w:pPr>
              <w:pStyle w:val="TableText0"/>
              <w:keepNext w:val="0"/>
              <w:rPr>
                <w:lang w:val="en-US"/>
              </w:rPr>
            </w:pPr>
            <w:r w:rsidRPr="003458ED">
              <w:rPr>
                <w:lang w:val="en-US"/>
              </w:rPr>
              <w:t>1°: exacerbation rate</w:t>
            </w:r>
          </w:p>
          <w:p w:rsidR="004B4242" w:rsidRPr="003458ED" w:rsidRDefault="004B4242" w:rsidP="004B4242">
            <w:pPr>
              <w:pStyle w:val="TableText0"/>
              <w:keepNext w:val="0"/>
              <w:rPr>
                <w:lang w:val="en-US"/>
              </w:rPr>
            </w:pPr>
            <w:r w:rsidRPr="003458ED">
              <w:rPr>
                <w:lang w:val="en-US"/>
              </w:rPr>
              <w:t>2</w:t>
            </w:r>
            <w:r w:rsidR="00BF75FE" w:rsidRPr="003458ED">
              <w:rPr>
                <w:lang w:val="en-US"/>
              </w:rPr>
              <w:t>°</w:t>
            </w:r>
            <w:r w:rsidRPr="003458ED">
              <w:rPr>
                <w:lang w:val="en-US"/>
              </w:rPr>
              <w:t>: trough FEV1, SGRQ</w:t>
            </w:r>
          </w:p>
        </w:tc>
      </w:tr>
      <w:tr w:rsidR="004B4242" w:rsidRPr="003458ED" w:rsidTr="00D92024">
        <w:trPr>
          <w:cantSplit/>
        </w:trPr>
        <w:tc>
          <w:tcPr>
            <w:tcW w:w="5000" w:type="pct"/>
            <w:gridSpan w:val="7"/>
            <w:vAlign w:val="center"/>
          </w:tcPr>
          <w:p w:rsidR="004B4242" w:rsidRPr="003458ED" w:rsidRDefault="004B4242" w:rsidP="004B4242">
            <w:pPr>
              <w:pStyle w:val="TableText0"/>
              <w:keepNext w:val="0"/>
              <w:rPr>
                <w:b/>
                <w:lang w:val="en-US"/>
              </w:rPr>
            </w:pPr>
            <w:r w:rsidRPr="003458ED">
              <w:rPr>
                <w:b/>
                <w:lang w:val="en-US"/>
              </w:rPr>
              <w:t>Trimbow (BEC/GLY/FOR) v GLY/IND</w:t>
            </w:r>
          </w:p>
        </w:tc>
      </w:tr>
      <w:tr w:rsidR="004B4242" w:rsidRPr="003458ED" w:rsidTr="00D92024">
        <w:trPr>
          <w:cantSplit/>
        </w:trPr>
        <w:tc>
          <w:tcPr>
            <w:tcW w:w="431" w:type="pct"/>
            <w:shd w:val="clear" w:color="auto" w:fill="auto"/>
            <w:vAlign w:val="center"/>
          </w:tcPr>
          <w:p w:rsidR="004B4242" w:rsidRPr="003458ED" w:rsidRDefault="004B4242" w:rsidP="004B4242">
            <w:pPr>
              <w:pStyle w:val="TableText0"/>
              <w:keepNext w:val="0"/>
              <w:rPr>
                <w:lang w:val="en-US"/>
              </w:rPr>
            </w:pPr>
            <w:r w:rsidRPr="003458ED">
              <w:rPr>
                <w:lang w:val="en-US"/>
              </w:rPr>
              <w:t>TRIBUTE</w:t>
            </w:r>
          </w:p>
        </w:tc>
        <w:tc>
          <w:tcPr>
            <w:tcW w:w="28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1532</w:t>
            </w:r>
          </w:p>
        </w:tc>
        <w:tc>
          <w:tcPr>
            <w:tcW w:w="617" w:type="pct"/>
            <w:shd w:val="clear" w:color="auto" w:fill="auto"/>
            <w:vAlign w:val="center"/>
          </w:tcPr>
          <w:p w:rsidR="004B4242" w:rsidRPr="003458ED" w:rsidRDefault="004B4242" w:rsidP="004B4242">
            <w:pPr>
              <w:pStyle w:val="TableText0"/>
              <w:keepNext w:val="0"/>
              <w:jc w:val="center"/>
              <w:rPr>
                <w:lang w:val="en-US"/>
              </w:rPr>
            </w:pPr>
            <w:r w:rsidRPr="003458ED">
              <w:rPr>
                <w:lang w:val="en-US"/>
              </w:rPr>
              <w:t>R, MC, DB, DD</w:t>
            </w:r>
            <w:r w:rsidRPr="003458ED">
              <w:rPr>
                <w:rFonts w:ascii="Calibri" w:hAnsi="Calibri" w:cs="Calibri"/>
                <w:vertAlign w:val="superscript"/>
                <w:lang w:val="en-US"/>
              </w:rPr>
              <w:t>‡</w:t>
            </w:r>
            <w:r w:rsidRPr="003458ED">
              <w:rPr>
                <w:lang w:val="en-US"/>
              </w:rPr>
              <w:t>, parallel, 2w run-in</w:t>
            </w:r>
            <w:r w:rsidRPr="003458ED">
              <w:rPr>
                <w:vertAlign w:val="superscript"/>
                <w:lang w:val="en-US"/>
              </w:rPr>
              <w:t>d</w:t>
            </w:r>
            <w:r w:rsidRPr="003458ED">
              <w:rPr>
                <w:lang w:val="en-US"/>
              </w:rPr>
              <w:t xml:space="preserve"> + 52w</w:t>
            </w:r>
          </w:p>
        </w:tc>
        <w:tc>
          <w:tcPr>
            <w:tcW w:w="31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Low</w:t>
            </w:r>
          </w:p>
        </w:tc>
        <w:tc>
          <w:tcPr>
            <w:tcW w:w="1496" w:type="pct"/>
            <w:vAlign w:val="center"/>
          </w:tcPr>
          <w:p w:rsidR="004B4242" w:rsidRPr="003458ED" w:rsidRDefault="004B4242" w:rsidP="004B4242">
            <w:pPr>
              <w:pStyle w:val="TableText0"/>
              <w:keepNext w:val="0"/>
              <w:rPr>
                <w:lang w:val="en-US"/>
              </w:rPr>
            </w:pPr>
            <w:r w:rsidRPr="003458ED">
              <w:rPr>
                <w:lang w:val="en-US"/>
              </w:rPr>
              <w:t>BEC/GLY/FOR 100/12.5/6 pMDI*</w:t>
            </w:r>
          </w:p>
          <w:p w:rsidR="004B4242" w:rsidRPr="003458ED" w:rsidRDefault="004B4242" w:rsidP="004B4242">
            <w:pPr>
              <w:pStyle w:val="TableText0"/>
              <w:keepNext w:val="0"/>
              <w:rPr>
                <w:lang w:val="en-US"/>
              </w:rPr>
            </w:pPr>
            <w:r w:rsidRPr="003458ED">
              <w:rPr>
                <w:lang w:val="en-US"/>
              </w:rPr>
              <w:t>GLY/IND 50/110 DPI^</w:t>
            </w:r>
          </w:p>
        </w:tc>
        <w:tc>
          <w:tcPr>
            <w:tcW w:w="943" w:type="pct"/>
            <w:shd w:val="clear" w:color="auto" w:fill="auto"/>
            <w:vAlign w:val="center"/>
          </w:tcPr>
          <w:p w:rsidR="004B4242" w:rsidRPr="003458ED" w:rsidRDefault="004B4242" w:rsidP="004B4242">
            <w:pPr>
              <w:pStyle w:val="TableText0"/>
              <w:keepNext w:val="0"/>
              <w:jc w:val="center"/>
              <w:rPr>
                <w:lang w:val="en-US"/>
              </w:rPr>
            </w:pPr>
            <w:r w:rsidRPr="003458ED">
              <w:rPr>
                <w:lang w:val="en-US"/>
              </w:rPr>
              <w:t>Severe to very severe COPD + history of moderate to severe exacerbations</w:t>
            </w:r>
          </w:p>
        </w:tc>
        <w:tc>
          <w:tcPr>
            <w:tcW w:w="915" w:type="pct"/>
            <w:shd w:val="clear" w:color="auto" w:fill="auto"/>
            <w:vAlign w:val="center"/>
          </w:tcPr>
          <w:p w:rsidR="004B4242" w:rsidRPr="003458ED" w:rsidRDefault="004B4242" w:rsidP="004B4242">
            <w:pPr>
              <w:pStyle w:val="TableText0"/>
              <w:keepNext w:val="0"/>
              <w:rPr>
                <w:lang w:val="en-US"/>
              </w:rPr>
            </w:pPr>
            <w:r w:rsidRPr="003458ED">
              <w:rPr>
                <w:lang w:val="en-US"/>
              </w:rPr>
              <w:t xml:space="preserve">1°: exacerbation rate </w:t>
            </w:r>
          </w:p>
          <w:p w:rsidR="004B4242" w:rsidRPr="003458ED" w:rsidRDefault="004B4242" w:rsidP="004B4242">
            <w:pPr>
              <w:pStyle w:val="TableText0"/>
              <w:keepNext w:val="0"/>
              <w:rPr>
                <w:lang w:val="en-US"/>
              </w:rPr>
            </w:pPr>
            <w:r w:rsidRPr="003458ED">
              <w:rPr>
                <w:lang w:val="en-US"/>
              </w:rPr>
              <w:t>2°: trough FEV1, SGRQ, rescue drugs</w:t>
            </w:r>
          </w:p>
        </w:tc>
      </w:tr>
      <w:tr w:rsidR="004B4242" w:rsidRPr="003458ED" w:rsidTr="00D92024">
        <w:trPr>
          <w:cantSplit/>
        </w:trPr>
        <w:tc>
          <w:tcPr>
            <w:tcW w:w="5000" w:type="pct"/>
            <w:gridSpan w:val="7"/>
            <w:vAlign w:val="center"/>
          </w:tcPr>
          <w:p w:rsidR="004B4242" w:rsidRPr="003458ED" w:rsidRDefault="004B4242" w:rsidP="004B4242">
            <w:pPr>
              <w:pStyle w:val="TableText0"/>
              <w:keepNext w:val="0"/>
              <w:rPr>
                <w:b/>
                <w:lang w:val="en-US"/>
              </w:rPr>
            </w:pPr>
            <w:r w:rsidRPr="003458ED">
              <w:rPr>
                <w:b/>
                <w:lang w:val="en-US"/>
              </w:rPr>
              <w:t>Trimbow (BEC/GLY/FOR) v BEC/GLY</w:t>
            </w:r>
          </w:p>
        </w:tc>
      </w:tr>
      <w:tr w:rsidR="004B4242" w:rsidRPr="003458ED" w:rsidTr="00D92024">
        <w:trPr>
          <w:cantSplit/>
        </w:trPr>
        <w:tc>
          <w:tcPr>
            <w:tcW w:w="431" w:type="pct"/>
            <w:shd w:val="clear" w:color="auto" w:fill="auto"/>
            <w:vAlign w:val="center"/>
          </w:tcPr>
          <w:p w:rsidR="004B4242" w:rsidRPr="003458ED" w:rsidRDefault="004B4242" w:rsidP="004B4242">
            <w:pPr>
              <w:pStyle w:val="TableText0"/>
              <w:keepNext w:val="0"/>
              <w:rPr>
                <w:lang w:val="en-US"/>
              </w:rPr>
            </w:pPr>
            <w:r w:rsidRPr="003458ED">
              <w:rPr>
                <w:lang w:val="en-US"/>
              </w:rPr>
              <w:t>TRILOGY</w:t>
            </w:r>
          </w:p>
        </w:tc>
        <w:tc>
          <w:tcPr>
            <w:tcW w:w="28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1368</w:t>
            </w:r>
          </w:p>
        </w:tc>
        <w:tc>
          <w:tcPr>
            <w:tcW w:w="617" w:type="pct"/>
            <w:shd w:val="clear" w:color="auto" w:fill="auto"/>
            <w:vAlign w:val="center"/>
          </w:tcPr>
          <w:p w:rsidR="004B4242" w:rsidRPr="003458ED" w:rsidRDefault="004B4242" w:rsidP="004B4242">
            <w:pPr>
              <w:pStyle w:val="TableText0"/>
              <w:keepNext w:val="0"/>
              <w:jc w:val="center"/>
              <w:rPr>
                <w:lang w:val="en-US"/>
              </w:rPr>
            </w:pPr>
            <w:r w:rsidRPr="003458ED">
              <w:rPr>
                <w:lang w:val="en-US"/>
              </w:rPr>
              <w:t>R, MC, DB, parallel, 2w run-in</w:t>
            </w:r>
            <w:r w:rsidRPr="003458ED">
              <w:rPr>
                <w:vertAlign w:val="superscript"/>
                <w:lang w:val="en-US"/>
              </w:rPr>
              <w:t xml:space="preserve">e </w:t>
            </w:r>
            <w:r w:rsidRPr="003458ED">
              <w:rPr>
                <w:lang w:val="en-US"/>
              </w:rPr>
              <w:t>+ 52w</w:t>
            </w:r>
          </w:p>
        </w:tc>
        <w:tc>
          <w:tcPr>
            <w:tcW w:w="314" w:type="pct"/>
            <w:shd w:val="clear" w:color="auto" w:fill="auto"/>
            <w:vAlign w:val="center"/>
          </w:tcPr>
          <w:p w:rsidR="004B4242" w:rsidRPr="003458ED" w:rsidRDefault="004B4242" w:rsidP="004B4242">
            <w:pPr>
              <w:pStyle w:val="TableText0"/>
              <w:keepNext w:val="0"/>
              <w:jc w:val="center"/>
              <w:rPr>
                <w:lang w:val="en-US"/>
              </w:rPr>
            </w:pPr>
            <w:r w:rsidRPr="003458ED">
              <w:rPr>
                <w:lang w:val="en-US"/>
              </w:rPr>
              <w:t>Low</w:t>
            </w:r>
          </w:p>
        </w:tc>
        <w:tc>
          <w:tcPr>
            <w:tcW w:w="1496" w:type="pct"/>
            <w:vAlign w:val="center"/>
          </w:tcPr>
          <w:p w:rsidR="004B4242" w:rsidRPr="003458ED" w:rsidRDefault="004B4242" w:rsidP="004B4242">
            <w:pPr>
              <w:pStyle w:val="TableText0"/>
              <w:keepNext w:val="0"/>
              <w:rPr>
                <w:lang w:val="en-US"/>
              </w:rPr>
            </w:pPr>
            <w:r w:rsidRPr="003458ED">
              <w:rPr>
                <w:lang w:val="en-US"/>
              </w:rPr>
              <w:t>BEC/GLY/FOR 100/12.5/6 pMDI*</w:t>
            </w:r>
          </w:p>
          <w:p w:rsidR="004B4242" w:rsidRPr="003458ED" w:rsidRDefault="004B4242" w:rsidP="004B4242">
            <w:pPr>
              <w:pStyle w:val="TableText0"/>
              <w:keepNext w:val="0"/>
              <w:rPr>
                <w:lang w:val="en-US"/>
              </w:rPr>
            </w:pPr>
            <w:r w:rsidRPr="003458ED">
              <w:rPr>
                <w:lang w:val="en-US"/>
              </w:rPr>
              <w:t>BEC/FOR 100/6 pMDI*</w:t>
            </w:r>
          </w:p>
        </w:tc>
        <w:tc>
          <w:tcPr>
            <w:tcW w:w="943" w:type="pct"/>
            <w:shd w:val="clear" w:color="auto" w:fill="auto"/>
            <w:vAlign w:val="center"/>
          </w:tcPr>
          <w:p w:rsidR="004B4242" w:rsidRPr="003458ED" w:rsidRDefault="004B4242" w:rsidP="004B4242">
            <w:pPr>
              <w:pStyle w:val="TableText0"/>
              <w:keepNext w:val="0"/>
              <w:jc w:val="center"/>
              <w:rPr>
                <w:lang w:val="en-US"/>
              </w:rPr>
            </w:pPr>
            <w:r w:rsidRPr="003458ED">
              <w:rPr>
                <w:lang w:val="en-US"/>
              </w:rPr>
              <w:t>Severe to very severe COPD + history of moderate to severe exacerbations</w:t>
            </w:r>
          </w:p>
        </w:tc>
        <w:tc>
          <w:tcPr>
            <w:tcW w:w="915" w:type="pct"/>
            <w:shd w:val="clear" w:color="auto" w:fill="auto"/>
            <w:vAlign w:val="center"/>
          </w:tcPr>
          <w:p w:rsidR="004B4242" w:rsidRPr="003458ED" w:rsidRDefault="004B4242" w:rsidP="004B4242">
            <w:pPr>
              <w:pStyle w:val="TableText0"/>
              <w:keepNext w:val="0"/>
              <w:rPr>
                <w:lang w:val="en-US"/>
              </w:rPr>
            </w:pPr>
            <w:r w:rsidRPr="003458ED">
              <w:rPr>
                <w:lang w:val="en-US"/>
              </w:rPr>
              <w:t>1°: trough FEV1</w:t>
            </w:r>
          </w:p>
          <w:p w:rsidR="004B4242" w:rsidRPr="003458ED" w:rsidRDefault="004B4242" w:rsidP="004B4242">
            <w:pPr>
              <w:pStyle w:val="TableText0"/>
              <w:keepNext w:val="0"/>
              <w:rPr>
                <w:lang w:val="en-US"/>
              </w:rPr>
            </w:pPr>
            <w:r w:rsidRPr="003458ED">
              <w:rPr>
                <w:lang w:val="en-US"/>
              </w:rPr>
              <w:t>2°: exacerbation rate, SGRQ, rescue drugs</w:t>
            </w:r>
          </w:p>
        </w:tc>
      </w:tr>
    </w:tbl>
    <w:p w:rsidR="004B4242" w:rsidRPr="003458ED" w:rsidRDefault="004B4242" w:rsidP="004B4242">
      <w:pPr>
        <w:pStyle w:val="TableFigureFooter"/>
      </w:pPr>
      <w:r w:rsidRPr="003458ED">
        <w:t>Abbreviations: BEC=beclometasone dipropionate; BUD=budesonide; COPD=chronic obstructive pulmonary disease; DB=double-blind; DD=double dummy; DPI=dry powder inhaler; FEV1=forced expiratory volume in one second; FF=fluticasone furoate; FOR=formoterol fumarate dihydrate; GLY=glycopyrronium; IND=indacaterol; MC=multi-centre; pMDI=pressurised metered dose inhaler; R=randomised; SGRQ=St George’s Respiratory Questionnaire; UMEC=umeclidinium; VI=vilanterol trifena</w:t>
      </w:r>
      <w:r w:rsidR="0099543E">
        <w:t>ta</w:t>
      </w:r>
      <w:r w:rsidRPr="003458ED">
        <w:t>te; w=week;</w:t>
      </w:r>
    </w:p>
    <w:p w:rsidR="004B4242" w:rsidRPr="003458ED" w:rsidRDefault="004B4242" w:rsidP="004B4242">
      <w:pPr>
        <w:pStyle w:val="TableFigureFooter"/>
        <w:tabs>
          <w:tab w:val="left" w:pos="142"/>
        </w:tabs>
      </w:pPr>
      <w:r w:rsidRPr="003458ED">
        <w:t>*</w:t>
      </w:r>
      <w:r w:rsidRPr="003458ED">
        <w:tab/>
        <w:t>Administered as 2 inhalations twice daily</w:t>
      </w:r>
    </w:p>
    <w:p w:rsidR="004B4242" w:rsidRPr="003458ED" w:rsidRDefault="004B4242" w:rsidP="004B4242">
      <w:pPr>
        <w:pStyle w:val="TableFigureFooter"/>
        <w:tabs>
          <w:tab w:val="left" w:pos="142"/>
        </w:tabs>
      </w:pPr>
      <w:r w:rsidRPr="003458ED">
        <w:t>^</w:t>
      </w:r>
      <w:r w:rsidRPr="003458ED">
        <w:tab/>
        <w:t>Administered 1 inhalation once daily</w:t>
      </w:r>
    </w:p>
    <w:p w:rsidR="004B4242" w:rsidRPr="003458ED" w:rsidRDefault="004B4242" w:rsidP="004B4242">
      <w:pPr>
        <w:pStyle w:val="TableFigureFooter"/>
        <w:tabs>
          <w:tab w:val="left" w:pos="142"/>
        </w:tabs>
      </w:pPr>
      <w:r w:rsidRPr="003458ED">
        <w:t>#</w:t>
      </w:r>
      <w:r w:rsidRPr="003458ED">
        <w:tab/>
        <w:t>supplied as open label</w:t>
      </w:r>
    </w:p>
    <w:p w:rsidR="004B4242" w:rsidRPr="003458ED" w:rsidRDefault="004B4242" w:rsidP="004B4242">
      <w:pPr>
        <w:pStyle w:val="TableFigureFooter"/>
        <w:tabs>
          <w:tab w:val="left" w:pos="142"/>
        </w:tabs>
      </w:pPr>
      <w:r w:rsidRPr="003458ED">
        <w:rPr>
          <w:rFonts w:ascii="Calibri" w:hAnsi="Calibri" w:cs="Calibri"/>
        </w:rPr>
        <w:t>‡</w:t>
      </w:r>
      <w:r w:rsidRPr="003458ED">
        <w:tab/>
        <w:t>double-dummy with each patient using both a pMDI (containing BEC/GLY/FF or placebo) and a single-dose DPI (placebo or GLY/IND).</w:t>
      </w:r>
    </w:p>
    <w:p w:rsidR="004B4242" w:rsidRPr="003458ED" w:rsidRDefault="004B4242" w:rsidP="004B4242">
      <w:pPr>
        <w:pStyle w:val="TableFigureFooter"/>
        <w:tabs>
          <w:tab w:val="left" w:pos="142"/>
        </w:tabs>
        <w:ind w:left="140" w:hanging="140"/>
      </w:pPr>
      <w:r w:rsidRPr="003458ED">
        <w:t>a</w:t>
      </w:r>
      <w:r w:rsidRPr="003458ED">
        <w:tab/>
        <w:t>During screening (4 weeks), all eligible patients discontinued COPD medications (except for ICS if used before screening) or changed COPD medications (i.e. ipratropium bromide during screening and albuterol for rescue use throughout the study).  Ipratropium and ICS were discontinued at the time of randomization.</w:t>
      </w:r>
    </w:p>
    <w:p w:rsidR="004B4242" w:rsidRPr="003458ED" w:rsidRDefault="004B4242" w:rsidP="004B4242">
      <w:pPr>
        <w:pStyle w:val="TableFigureFooter"/>
        <w:tabs>
          <w:tab w:val="left" w:pos="142"/>
        </w:tabs>
        <w:ind w:left="140" w:hanging="140"/>
      </w:pPr>
      <w:r w:rsidRPr="003458ED">
        <w:t>b</w:t>
      </w:r>
      <w:r w:rsidRPr="003458ED">
        <w:tab/>
        <w:t>During screening (4 weeks), all eligible patients discontinued prohibited COPD medications and under</w:t>
      </w:r>
      <w:r w:rsidR="00BF75FE" w:rsidRPr="003458ED">
        <w:t>went</w:t>
      </w:r>
      <w:r w:rsidRPr="003458ED">
        <w:t xml:space="preserve"> a washout period. Patients received open-label ipratropium bromide administered four times daily for COPD maintenance. Patients were permitted to use ICS during the screening </w:t>
      </w:r>
      <w:r w:rsidR="00BF75FE" w:rsidRPr="003458ED">
        <w:t xml:space="preserve">period </w:t>
      </w:r>
      <w:r w:rsidRPr="003458ED">
        <w:t>providing they had been maintained on a stable dose for 4 weeks prior to screening. Those receiving maintenance dose of ICS as part of FDC with a LABA, discontinued the FDC and switched to the corresponding ICS dose administered as monotherapy.</w:t>
      </w:r>
    </w:p>
    <w:p w:rsidR="004B4242" w:rsidRPr="003458ED" w:rsidRDefault="004B4242" w:rsidP="004B4242">
      <w:pPr>
        <w:pStyle w:val="TableFigureFooter"/>
        <w:tabs>
          <w:tab w:val="left" w:pos="142"/>
        </w:tabs>
        <w:ind w:left="140" w:hanging="140"/>
      </w:pPr>
      <w:r w:rsidRPr="003458ED">
        <w:t>c</w:t>
      </w:r>
      <w:r w:rsidRPr="003458ED">
        <w:tab/>
        <w:t>During run-in phase (2 weeks), patients continued to take their own medication (including a LAMA, LABA, or an ICS alone or in combination) before randomization.</w:t>
      </w:r>
    </w:p>
    <w:p w:rsidR="004B4242" w:rsidRPr="003458ED" w:rsidRDefault="004B4242" w:rsidP="004B4242">
      <w:pPr>
        <w:pStyle w:val="TableFigureFooter"/>
        <w:tabs>
          <w:tab w:val="left" w:pos="142"/>
        </w:tabs>
        <w:ind w:left="140" w:hanging="140"/>
      </w:pPr>
      <w:r w:rsidRPr="003458ED">
        <w:t>d</w:t>
      </w:r>
      <w:r w:rsidRPr="003458ED">
        <w:tab/>
        <w:t>During run-in phase (2 weeks), all patients had their COPD maintenance therapy switched to open-label GLY/IND 50/110 DPI one actuation per day.</w:t>
      </w:r>
    </w:p>
    <w:p w:rsidR="004B4242" w:rsidRPr="003458ED" w:rsidRDefault="004B4242" w:rsidP="004B4242">
      <w:pPr>
        <w:pStyle w:val="TableFigureFooter"/>
        <w:tabs>
          <w:tab w:val="left" w:pos="142"/>
        </w:tabs>
      </w:pPr>
      <w:r w:rsidRPr="003458ED">
        <w:t>e</w:t>
      </w:r>
      <w:r w:rsidRPr="003458ED">
        <w:tab/>
        <w:t>During run-in phase (2 weeks), all patients received open label BEC/FOR 100/6 pMDI two actuations twice daily.</w:t>
      </w:r>
    </w:p>
    <w:p w:rsidR="004B4242" w:rsidRPr="00886976" w:rsidRDefault="004B4242" w:rsidP="004B4242">
      <w:pPr>
        <w:pStyle w:val="TableFigureFooter"/>
        <w:rPr>
          <w:i/>
        </w:rPr>
      </w:pPr>
      <w:r w:rsidRPr="003458ED">
        <w:t>Source: compiled from Section 2.3, pp41-48 of the submission, Rabe et al 2020, Ferguson et al 2018, Lipson et al 2018, Papi et al 2018 and Singh et al 2016.</w:t>
      </w:r>
    </w:p>
    <w:p w:rsidR="00D92024" w:rsidRPr="003458ED" w:rsidRDefault="00D92024" w:rsidP="00C96736">
      <w:pPr>
        <w:pStyle w:val="3-BodyText"/>
      </w:pPr>
      <w:r w:rsidRPr="004B4242">
        <w:t xml:space="preserve">All were multicentre, double blind, randomised, parallel group trials investigating the efficacy and safety of </w:t>
      </w:r>
      <w:r w:rsidR="00C96736">
        <w:t xml:space="preserve">triple therapy </w:t>
      </w:r>
      <w:r w:rsidRPr="004B4242">
        <w:t>FDC</w:t>
      </w:r>
      <w:r w:rsidR="00C96736">
        <w:t xml:space="preserve">s </w:t>
      </w:r>
      <w:r w:rsidRPr="004B4242">
        <w:t>versus dual therapy</w:t>
      </w:r>
      <w:r w:rsidR="00C96736">
        <w:t xml:space="preserve"> FDCs (</w:t>
      </w:r>
      <w:r w:rsidRPr="004B4242">
        <w:t>ICS/LABA and/or LAMA/LABA</w:t>
      </w:r>
      <w:r w:rsidR="00C96736">
        <w:t>)</w:t>
      </w:r>
      <w:r w:rsidRPr="004B4242">
        <w:t>. The duration of the double-blind phases were 52 weeks except for KRONOS (24 weeks), and all trials reported moderate to severe exacerbations rates and FEV1 as primary or secondary outcomes</w:t>
      </w:r>
      <w:r>
        <w:t>.</w:t>
      </w:r>
      <w:r w:rsidR="005274E6">
        <w:t xml:space="preserve"> </w:t>
      </w:r>
      <w:r w:rsidR="005274E6" w:rsidRPr="003458ED">
        <w:rPr>
          <w:iCs/>
        </w:rPr>
        <w:t xml:space="preserve">Overall, the risk of bias </w:t>
      </w:r>
      <w:r w:rsidR="00866E90" w:rsidRPr="003458ED">
        <w:rPr>
          <w:iCs/>
        </w:rPr>
        <w:t>within the trials was low.</w:t>
      </w:r>
    </w:p>
    <w:p w:rsidR="004E0B7B" w:rsidRPr="003458ED" w:rsidRDefault="004E0B7B" w:rsidP="00C52F3C">
      <w:pPr>
        <w:pStyle w:val="3-BodyText"/>
        <w:rPr>
          <w:iCs/>
        </w:rPr>
      </w:pPr>
      <w:bookmarkStart w:id="15" w:name="_Toc22897641"/>
      <w:r w:rsidRPr="003458ED">
        <w:rPr>
          <w:iCs/>
        </w:rPr>
        <w:t xml:space="preserve">There were, however, a number of differences across the trials in terms of study design and selection criteria. For example, </w:t>
      </w:r>
      <w:r w:rsidRPr="003458ED">
        <w:rPr>
          <w:rFonts w:ascii="Calibri" w:hAnsi="Calibri"/>
          <w:iCs/>
          <w:snapToGrid/>
        </w:rPr>
        <w:t>each</w:t>
      </w:r>
      <w:r w:rsidRPr="003458ED">
        <w:rPr>
          <w:iCs/>
        </w:rPr>
        <w:t xml:space="preserve"> trial had a run-in/screening period, ranging from two to four weeks, during which maintenance COPD medications (i.e. </w:t>
      </w:r>
      <w:r w:rsidRPr="003458ED">
        <w:rPr>
          <w:iCs/>
        </w:rPr>
        <w:lastRenderedPageBreak/>
        <w:t>LAMA, LABA and ICS) were either i) discontinued, ii) continued or iii) changed to the same treatments. The trials used slightly different diagnostic/classification criteria for severity of disease, and had different requirements in terms of the number of exacerbations in the past 12 months and prior COPD main</w:t>
      </w:r>
      <w:r w:rsidR="006A1BC4">
        <w:rPr>
          <w:iCs/>
        </w:rPr>
        <w:t>tenance treatments</w:t>
      </w:r>
      <w:r w:rsidRPr="003458ED">
        <w:rPr>
          <w:iCs/>
        </w:rPr>
        <w:t>.</w:t>
      </w:r>
    </w:p>
    <w:p w:rsidR="004E0B7B" w:rsidRPr="003458ED" w:rsidRDefault="004E0B7B" w:rsidP="004E0B7B">
      <w:pPr>
        <w:pStyle w:val="3-BodyText"/>
      </w:pPr>
      <w:r w:rsidRPr="003458ED">
        <w:t xml:space="preserve">Patient characteristics were generally similar between treatment arms, however, there were differences across the trials owing in part to differences in the selection criteria, </w:t>
      </w:r>
      <w:r w:rsidR="00C52F3C" w:rsidRPr="003458ED">
        <w:t xml:space="preserve">particularly </w:t>
      </w:r>
      <w:r w:rsidRPr="003458ED">
        <w:t>in terms of:</w:t>
      </w:r>
    </w:p>
    <w:p w:rsidR="004E0B7B" w:rsidRPr="003458ED" w:rsidRDefault="004E0B7B" w:rsidP="00953FE8">
      <w:pPr>
        <w:pStyle w:val="3-BodyText"/>
        <w:numPr>
          <w:ilvl w:val="0"/>
          <w:numId w:val="10"/>
        </w:numPr>
        <w:ind w:left="1134"/>
      </w:pPr>
      <w:r w:rsidRPr="003458ED">
        <w:t>The number of moderate/severe exacerbations in past 12 months (fewer in KRONOS, TRIBUTE and TRILOGY compared to the other trials),</w:t>
      </w:r>
    </w:p>
    <w:p w:rsidR="004E0B7B" w:rsidRPr="003458ED" w:rsidRDefault="004E0B7B" w:rsidP="00953FE8">
      <w:pPr>
        <w:pStyle w:val="3-BodyText"/>
        <w:numPr>
          <w:ilvl w:val="0"/>
          <w:numId w:val="10"/>
        </w:numPr>
        <w:ind w:left="1134"/>
      </w:pPr>
      <w:r w:rsidRPr="003458ED">
        <w:t>COPD maintenance therapy at screening (mostly dual therapy in TRIBUTE and TRILOGY, compared to mostly dual or triple therapy in the other trials),</w:t>
      </w:r>
    </w:p>
    <w:p w:rsidR="004E0B7B" w:rsidRPr="003458ED" w:rsidRDefault="004E0B7B" w:rsidP="00953FE8">
      <w:pPr>
        <w:pStyle w:val="3-BodyText"/>
        <w:numPr>
          <w:ilvl w:val="0"/>
          <w:numId w:val="10"/>
        </w:numPr>
        <w:ind w:left="1134"/>
      </w:pPr>
      <w:r w:rsidRPr="003458ED">
        <w:t>Post-bronchodilator FEV1% (% of predicted FEV1) at baseline (lower in TRIBUTE and TRILOGY compared to the other trials).</w:t>
      </w:r>
    </w:p>
    <w:p w:rsidR="004E0B7B" w:rsidRPr="003458ED" w:rsidRDefault="004E0B7B" w:rsidP="004E0B7B">
      <w:pPr>
        <w:pStyle w:val="3-BodyText"/>
      </w:pPr>
      <w:r w:rsidRPr="0052578C">
        <w:t xml:space="preserve">The submission </w:t>
      </w:r>
      <w:r>
        <w:t>argued</w:t>
      </w:r>
      <w:r w:rsidRPr="0052578C">
        <w:t xml:space="preserve"> that </w:t>
      </w:r>
      <w:r>
        <w:t xml:space="preserve">any </w:t>
      </w:r>
      <w:r w:rsidRPr="0052578C">
        <w:t>differences in patient characteristics across the trials were unlikely to bias the results of the indirect comparison</w:t>
      </w:r>
      <w:r>
        <w:t xml:space="preserve"> (i.e. impact the transitivity assumption)</w:t>
      </w:r>
      <w:r w:rsidRPr="0052578C">
        <w:t xml:space="preserve">, given the treatments effects within trials were generally comparable. </w:t>
      </w:r>
      <w:r w:rsidRPr="009E1B10">
        <w:t xml:space="preserve">Overall, </w:t>
      </w:r>
      <w:r w:rsidR="009E1B10">
        <w:t xml:space="preserve">the evaluation considered </w:t>
      </w:r>
      <w:r w:rsidRPr="009E1B10">
        <w:t>this was probably reasonable.</w:t>
      </w:r>
      <w:r>
        <w:rPr>
          <w:i/>
        </w:rPr>
        <w:t xml:space="preserve"> </w:t>
      </w:r>
      <w:bookmarkStart w:id="16" w:name="_Hlk69720380"/>
      <w:r w:rsidRPr="003458ED">
        <w:t>Despite differences across a number of important characteristics, the trial results demonstrated similar treatment effects over key subgroups (including prior exacerbations, prior COPD medications, and lung function at baseline). In addition, Bourdin et al 2020 found consistent results in terms of the rate of exacerbation after adjusting for differences in important treatment effect modifiers using meta-regression.</w:t>
      </w:r>
      <w:bookmarkEnd w:id="16"/>
    </w:p>
    <w:p w:rsidR="004E0B7B" w:rsidRPr="003458ED" w:rsidRDefault="004E0B7B" w:rsidP="004E0B7B">
      <w:pPr>
        <w:pStyle w:val="3-BodyText"/>
      </w:pPr>
      <w:r w:rsidRPr="003458ED">
        <w:rPr>
          <w:iCs/>
        </w:rPr>
        <w:t xml:space="preserve">The PBAC has </w:t>
      </w:r>
      <w:r w:rsidR="002242BC">
        <w:rPr>
          <w:iCs/>
        </w:rPr>
        <w:t xml:space="preserve">previously </w:t>
      </w:r>
      <w:r w:rsidRPr="003458ED">
        <w:rPr>
          <w:iCs/>
        </w:rPr>
        <w:t xml:space="preserve">considered </w:t>
      </w:r>
      <w:r w:rsidRPr="003458ED">
        <w:rPr>
          <w:iCs/>
          <w:szCs w:val="22"/>
          <w:lang w:eastAsia="en-US"/>
        </w:rPr>
        <w:t>lung function (i.e. FEV1), frequency of exacerbations and hospitalisations as being patient relevant outcomes in COPD (paragraph 6.8, flu</w:t>
      </w:r>
      <w:r w:rsidR="00823776" w:rsidRPr="003458ED">
        <w:rPr>
          <w:iCs/>
          <w:szCs w:val="22"/>
          <w:lang w:eastAsia="en-US"/>
        </w:rPr>
        <w:t>ti</w:t>
      </w:r>
      <w:r w:rsidRPr="003458ED">
        <w:rPr>
          <w:iCs/>
          <w:szCs w:val="22"/>
          <w:lang w:eastAsia="en-US"/>
        </w:rPr>
        <w:t xml:space="preserve">casone vilanterol PSD March 2014 PBAC meeting). In determining non-inferiority between triple therapy </w:t>
      </w:r>
      <w:r w:rsidR="00C52F3C" w:rsidRPr="003458ED">
        <w:rPr>
          <w:iCs/>
          <w:szCs w:val="22"/>
          <w:lang w:eastAsia="en-US"/>
        </w:rPr>
        <w:t xml:space="preserve">FDC </w:t>
      </w:r>
      <w:r w:rsidRPr="003458ED">
        <w:rPr>
          <w:iCs/>
          <w:szCs w:val="22"/>
          <w:lang w:eastAsia="en-US"/>
        </w:rPr>
        <w:t xml:space="preserve">inhalers, the PBAC has also considered evidence across other outcomes including </w:t>
      </w:r>
      <w:r w:rsidRPr="003458ED">
        <w:t>quality of life (the St George’s Respiratory Questionnaire, SGRQ) and the use of rescue medication (paragraph 6.8, Trelegy (FF/UMEC/VI) PSD December 2017 PBAC meeting).</w:t>
      </w:r>
    </w:p>
    <w:p w:rsidR="004E0B7B" w:rsidRPr="003458ED" w:rsidRDefault="004E0B7B" w:rsidP="004E0B7B">
      <w:pPr>
        <w:pStyle w:val="3-BodyText"/>
      </w:pPr>
      <w:r>
        <w:t xml:space="preserve">The submission presented a series of pairwise indirect treatment comparisons comparing BUD/GLY/FOR to FF/UMEC/VI and BEC/GLY/FOR across these outcomes, reported at Week 52 in the trials (rate of </w:t>
      </w:r>
      <w:r w:rsidRPr="00AB652A">
        <w:t xml:space="preserve">moderate or severe exacerbations, </w:t>
      </w:r>
      <w:r>
        <w:t xml:space="preserve">change in </w:t>
      </w:r>
      <w:r w:rsidRPr="00AB652A">
        <w:t xml:space="preserve">morning pre-dose trough FEV1, </w:t>
      </w:r>
      <w:r>
        <w:t xml:space="preserve">change in </w:t>
      </w:r>
      <w:r w:rsidRPr="00AB652A">
        <w:t xml:space="preserve">SGRQ, </w:t>
      </w:r>
      <w:r>
        <w:t xml:space="preserve">and change in use of </w:t>
      </w:r>
      <w:r w:rsidRPr="00AB652A">
        <w:t>daily rescue medication</w:t>
      </w:r>
      <w:r>
        <w:t xml:space="preserve">). The indirect treatment comparisons used either </w:t>
      </w:r>
      <w:r w:rsidRPr="00AB652A">
        <w:t xml:space="preserve">ICS/LABA or LAMA/LABA </w:t>
      </w:r>
      <w:r>
        <w:t xml:space="preserve">FDC </w:t>
      </w:r>
      <w:r w:rsidRPr="00AB652A">
        <w:t>inhalers as the common reference</w:t>
      </w:r>
      <w:r>
        <w:t xml:space="preserve">, based on the assumption that </w:t>
      </w:r>
      <w:r w:rsidRPr="004C1546">
        <w:t xml:space="preserve">different agents from the same class </w:t>
      </w:r>
      <w:r>
        <w:t>have comparable efficacy and safety</w:t>
      </w:r>
      <w:r w:rsidRPr="004C1546">
        <w:t>.</w:t>
      </w:r>
      <w:r>
        <w:t xml:space="preserve"> </w:t>
      </w:r>
      <w:r w:rsidRPr="003458ED">
        <w:rPr>
          <w:iCs/>
        </w:rPr>
        <w:t>This assumption was reasonable and consistent with past decisions, where the PBAC has considered “medicines in the LAMA, LABA, ICS/LABA and LAMA/LABA classes to be of comparable efficacy and similar safety to oth</w:t>
      </w:r>
      <w:r w:rsidR="002242BC">
        <w:rPr>
          <w:iCs/>
        </w:rPr>
        <w:t>er medicines within their class</w:t>
      </w:r>
      <w:r w:rsidRPr="003458ED">
        <w:rPr>
          <w:iCs/>
        </w:rPr>
        <w:t>” (Attachment 1A, Post-market Review of COPD Medicines July 2017).</w:t>
      </w:r>
    </w:p>
    <w:p w:rsidR="004E0B7B" w:rsidRPr="003458ED" w:rsidRDefault="004E0B7B" w:rsidP="004E0B7B">
      <w:pPr>
        <w:pStyle w:val="3-BodyText"/>
      </w:pPr>
      <w:r>
        <w:t xml:space="preserve">The submission stated there is no widely accepted minimal clinically important difference (MCID) for the rate of exacerbations. For other outcomes, </w:t>
      </w:r>
      <w:r w:rsidRPr="00224F0C">
        <w:t>an increase in trough FEV1 of 100 mL and a decrease in SGRQ of 4-points</w:t>
      </w:r>
      <w:r>
        <w:t xml:space="preserve"> are considered to be clinically relevant. </w:t>
      </w:r>
      <w:r w:rsidR="00CD590E" w:rsidRPr="003458ED">
        <w:t xml:space="preserve">A </w:t>
      </w:r>
      <w:r w:rsidR="00795A8C" w:rsidRPr="003458ED">
        <w:t xml:space="preserve">literature </w:t>
      </w:r>
      <w:r w:rsidR="00CD590E" w:rsidRPr="003458ED">
        <w:t>review</w:t>
      </w:r>
      <w:r w:rsidR="00795A8C" w:rsidRPr="003458ED">
        <w:t xml:space="preserve"> of the MCID for exacerbations </w:t>
      </w:r>
      <w:r w:rsidR="00CD590E" w:rsidRPr="003458ED">
        <w:t xml:space="preserve">by </w:t>
      </w:r>
      <w:r w:rsidRPr="003458ED">
        <w:rPr>
          <w:iCs/>
        </w:rPr>
        <w:t xml:space="preserve">Chapman et al </w:t>
      </w:r>
      <w:r w:rsidRPr="003458ED">
        <w:rPr>
          <w:iCs/>
        </w:rPr>
        <w:lastRenderedPageBreak/>
        <w:t>2013</w:t>
      </w:r>
      <w:r w:rsidRPr="003458ED">
        <w:rPr>
          <w:iCs/>
          <w:vertAlign w:val="superscript"/>
        </w:rPr>
        <w:footnoteReference w:id="3"/>
      </w:r>
      <w:r w:rsidRPr="003458ED">
        <w:rPr>
          <w:iCs/>
        </w:rPr>
        <w:t xml:space="preserve"> suggests that reduction in the annual rate of exacerbations of 11% may be clinically important, but interpretation requires consideration of the baseline rate and exacerbation severity (as well as the duration of the trial).</w:t>
      </w:r>
      <w:r w:rsidR="00CD590E" w:rsidRPr="003458ED">
        <w:rPr>
          <w:iCs/>
        </w:rPr>
        <w:t xml:space="preserve"> This review </w:t>
      </w:r>
      <w:r w:rsidR="00F671AF" w:rsidRPr="003458ED">
        <w:rPr>
          <w:iCs/>
        </w:rPr>
        <w:t>noted</w:t>
      </w:r>
      <w:r w:rsidR="00CD590E" w:rsidRPr="003458ED">
        <w:rPr>
          <w:iCs/>
        </w:rPr>
        <w:t xml:space="preserve"> that the estimate of 11% was less than the previously ‘established’ MCID of 20% in Calverley et al 2005</w:t>
      </w:r>
      <w:r w:rsidR="00795A8C" w:rsidRPr="003458ED">
        <w:rPr>
          <w:iCs/>
        </w:rPr>
        <w:t>.</w:t>
      </w:r>
    </w:p>
    <w:p w:rsidR="004E0B7B" w:rsidRPr="003458ED" w:rsidRDefault="004E0B7B" w:rsidP="005E58E8">
      <w:pPr>
        <w:pStyle w:val="3-BodyText"/>
      </w:pPr>
      <w:r w:rsidRPr="00224F0C">
        <w:t xml:space="preserve">The submission did not nominate </w:t>
      </w:r>
      <w:r>
        <w:t>a</w:t>
      </w:r>
      <w:r w:rsidRPr="00224F0C">
        <w:t xml:space="preserve"> non-inferiority margin </w:t>
      </w:r>
      <w:r>
        <w:t xml:space="preserve">for any of the outcomes, and assessed </w:t>
      </w:r>
      <w:r w:rsidRPr="001E567E">
        <w:t xml:space="preserve">non-inferiority </w:t>
      </w:r>
      <w:r>
        <w:t xml:space="preserve">between the triple therapy FDC inhalers based on a lack of statistical significance </w:t>
      </w:r>
      <w:r w:rsidRPr="001E567E">
        <w:t xml:space="preserve">in the </w:t>
      </w:r>
      <w:r>
        <w:t xml:space="preserve">rate of moderate or severe </w:t>
      </w:r>
      <w:r w:rsidRPr="001E567E">
        <w:t>exacerbation</w:t>
      </w:r>
      <w:r>
        <w:t>s</w:t>
      </w:r>
      <w:r w:rsidRPr="001E567E">
        <w:t>.</w:t>
      </w:r>
      <w:r>
        <w:t xml:space="preserve"> </w:t>
      </w:r>
      <w:r w:rsidR="00B07379" w:rsidRPr="003458ED">
        <w:rPr>
          <w:iCs/>
        </w:rPr>
        <w:t xml:space="preserve">In the November 2020 submission of BEC/GLY/FOR the ESC noted that the lack of a statistically significant difference between treatments is not a robust method for determining non-inferiority and may not adequately justify </w:t>
      </w:r>
      <w:r w:rsidR="00795A8C" w:rsidRPr="003458ED">
        <w:rPr>
          <w:iCs/>
        </w:rPr>
        <w:t>a</w:t>
      </w:r>
      <w:r w:rsidR="00B07379" w:rsidRPr="003458ED">
        <w:rPr>
          <w:iCs/>
        </w:rPr>
        <w:t xml:space="preserve"> claim of similar efficacy (paragraph 6.29, Trimbow (BEC/GLY/FOR) PSD November 2020 PBAC meeting).</w:t>
      </w:r>
    </w:p>
    <w:p w:rsidR="00B60939" w:rsidRPr="00C9624D" w:rsidRDefault="00B60939" w:rsidP="00EC5836">
      <w:pPr>
        <w:pStyle w:val="4-SubsectionHeading"/>
      </w:pPr>
      <w:bookmarkStart w:id="17" w:name="_Toc72233554"/>
      <w:r w:rsidRPr="00C9624D">
        <w:t>Comparative effectiveness</w:t>
      </w:r>
      <w:bookmarkEnd w:id="15"/>
      <w:bookmarkEnd w:id="17"/>
    </w:p>
    <w:p w:rsidR="00A56F05" w:rsidRPr="00A56F05" w:rsidRDefault="001E567E" w:rsidP="005B2BEA">
      <w:pPr>
        <w:pStyle w:val="3-BodyText"/>
      </w:pPr>
      <w:r w:rsidRPr="001E567E">
        <w:t xml:space="preserve">Table </w:t>
      </w:r>
      <w:r>
        <w:t>4</w:t>
      </w:r>
      <w:r w:rsidRPr="001E567E">
        <w:t xml:space="preserve"> presents the </w:t>
      </w:r>
      <w:r w:rsidR="005B2BEA">
        <w:t xml:space="preserve">results from the included trials </w:t>
      </w:r>
      <w:r w:rsidR="0052578C" w:rsidRPr="0052578C">
        <w:t>at Week 52</w:t>
      </w:r>
      <w:r w:rsidRPr="001E567E">
        <w:t xml:space="preserve">, </w:t>
      </w:r>
      <w:r w:rsidR="0052578C" w:rsidRPr="0052578C">
        <w:t>a</w:t>
      </w:r>
      <w:r w:rsidR="005B2BEA">
        <w:t xml:space="preserve">s well as the results of the </w:t>
      </w:r>
      <w:r w:rsidRPr="001E567E">
        <w:t xml:space="preserve">indirect comparisons between BUD/GLY/FOR </w:t>
      </w:r>
      <w:r w:rsidR="005B2BEA">
        <w:t xml:space="preserve">versus </w:t>
      </w:r>
      <w:r w:rsidRPr="001E567E">
        <w:t>FF/UMEC/VI and BEC/GLY/FOR.</w:t>
      </w:r>
    </w:p>
    <w:p w:rsidR="003E3CB0" w:rsidRDefault="003E3CB0">
      <w:pPr>
        <w:jc w:val="left"/>
        <w:rPr>
          <w:rFonts w:ascii="Arial Narrow" w:hAnsi="Arial Narrow"/>
          <w:b/>
          <w:bCs/>
          <w:sz w:val="20"/>
          <w:szCs w:val="20"/>
        </w:rPr>
      </w:pPr>
      <w:r>
        <w:rPr>
          <w:rFonts w:ascii="Arial Narrow" w:hAnsi="Arial Narrow"/>
          <w:b/>
          <w:bCs/>
          <w:sz w:val="20"/>
          <w:szCs w:val="20"/>
        </w:rPr>
        <w:br w:type="page"/>
      </w:r>
    </w:p>
    <w:p w:rsidR="001E567E" w:rsidRPr="003406EC" w:rsidRDefault="001E567E" w:rsidP="00B6399C">
      <w:pPr>
        <w:keepNext/>
        <w:rPr>
          <w:rFonts w:ascii="Arial Narrow" w:hAnsi="Arial Narrow"/>
          <w:b/>
          <w:bCs/>
          <w:sz w:val="20"/>
          <w:szCs w:val="20"/>
        </w:rPr>
      </w:pPr>
      <w:r w:rsidRPr="003406EC">
        <w:rPr>
          <w:rFonts w:ascii="Arial Narrow" w:hAnsi="Arial Narrow"/>
          <w:b/>
          <w:bCs/>
          <w:sz w:val="20"/>
          <w:szCs w:val="20"/>
        </w:rPr>
        <w:lastRenderedPageBreak/>
        <w:t>Table</w:t>
      </w:r>
      <w:r>
        <w:rPr>
          <w:rFonts w:ascii="Arial Narrow" w:hAnsi="Arial Narrow"/>
          <w:b/>
          <w:bCs/>
          <w:sz w:val="20"/>
          <w:szCs w:val="20"/>
        </w:rPr>
        <w:t xml:space="preserve"> 4</w:t>
      </w:r>
      <w:r w:rsidRPr="003406EC">
        <w:rPr>
          <w:rFonts w:ascii="Arial Narrow" w:hAnsi="Arial Narrow"/>
          <w:b/>
          <w:bCs/>
          <w:sz w:val="20"/>
          <w:szCs w:val="20"/>
        </w:rPr>
        <w:t>:</w:t>
      </w:r>
      <w:r>
        <w:rPr>
          <w:rFonts w:ascii="Arial Narrow" w:hAnsi="Arial Narrow"/>
          <w:b/>
          <w:bCs/>
          <w:sz w:val="20"/>
          <w:szCs w:val="20"/>
        </w:rPr>
        <w:t xml:space="preserve"> Key efficacy outcomes reported in the ITT at 52 weeks</w:t>
      </w:r>
    </w:p>
    <w:tbl>
      <w:tblPr>
        <w:tblStyle w:val="TableGrid"/>
        <w:tblW w:w="0" w:type="auto"/>
        <w:tblCellMar>
          <w:left w:w="28" w:type="dxa"/>
          <w:right w:w="28" w:type="dxa"/>
        </w:tblCellMar>
        <w:tblLook w:val="04A0" w:firstRow="1" w:lastRow="0" w:firstColumn="1" w:lastColumn="0" w:noHBand="0" w:noVBand="1"/>
        <w:tblCaption w:val="Table 4: Key efficacy outcomes reported in the ITT at 52 weeks"/>
      </w:tblPr>
      <w:tblGrid>
        <w:gridCol w:w="1276"/>
        <w:gridCol w:w="1559"/>
        <w:gridCol w:w="1560"/>
        <w:gridCol w:w="1559"/>
        <w:gridCol w:w="1485"/>
        <w:gridCol w:w="1577"/>
      </w:tblGrid>
      <w:tr w:rsidR="001E567E" w:rsidRPr="00B33C66" w:rsidTr="00D47A6A">
        <w:trPr>
          <w:tblHeader/>
        </w:trPr>
        <w:tc>
          <w:tcPr>
            <w:tcW w:w="1276" w:type="dxa"/>
            <w:vMerge w:val="restart"/>
            <w:tcBorders>
              <w:left w:val="nil"/>
              <w:right w:val="nil"/>
            </w:tcBorders>
            <w:vAlign w:val="center"/>
          </w:tcPr>
          <w:p w:rsidR="001E567E" w:rsidRPr="0081181D" w:rsidRDefault="001E567E" w:rsidP="00B6399C">
            <w:pPr>
              <w:keepNext/>
              <w:rPr>
                <w:rFonts w:ascii="Arial Narrow" w:hAnsi="Arial Narrow"/>
                <w:b/>
                <w:bCs/>
                <w:sz w:val="20"/>
                <w:szCs w:val="20"/>
              </w:rPr>
            </w:pPr>
            <w:r w:rsidRPr="0081181D">
              <w:rPr>
                <w:rFonts w:ascii="Arial Narrow" w:hAnsi="Arial Narrow"/>
                <w:b/>
                <w:bCs/>
                <w:sz w:val="20"/>
                <w:szCs w:val="20"/>
              </w:rPr>
              <w:t>Trial</w:t>
            </w:r>
          </w:p>
        </w:tc>
        <w:tc>
          <w:tcPr>
            <w:tcW w:w="1559" w:type="dxa"/>
            <w:vMerge w:val="restart"/>
            <w:tcBorders>
              <w:left w:val="nil"/>
              <w:right w:val="nil"/>
            </w:tcBorders>
            <w:vAlign w:val="center"/>
          </w:tcPr>
          <w:p w:rsidR="001E567E" w:rsidRPr="002D3A70" w:rsidRDefault="001E567E" w:rsidP="00B6399C">
            <w:pPr>
              <w:keepNext/>
              <w:jc w:val="center"/>
              <w:rPr>
                <w:rFonts w:ascii="Arial Narrow" w:hAnsi="Arial Narrow"/>
                <w:b/>
                <w:bCs/>
                <w:sz w:val="20"/>
                <w:szCs w:val="20"/>
              </w:rPr>
            </w:pPr>
            <w:r w:rsidRPr="002D3A70">
              <w:rPr>
                <w:rFonts w:ascii="Arial Narrow" w:hAnsi="Arial Narrow"/>
                <w:b/>
                <w:bCs/>
                <w:sz w:val="20"/>
                <w:szCs w:val="20"/>
              </w:rPr>
              <w:t>ICS/LAMA/LABA</w:t>
            </w:r>
          </w:p>
        </w:tc>
        <w:tc>
          <w:tcPr>
            <w:tcW w:w="1560" w:type="dxa"/>
            <w:vMerge w:val="restart"/>
            <w:tcBorders>
              <w:left w:val="nil"/>
              <w:right w:val="nil"/>
            </w:tcBorders>
            <w:vAlign w:val="center"/>
          </w:tcPr>
          <w:p w:rsidR="001E567E" w:rsidRPr="002D3A70" w:rsidRDefault="001E567E" w:rsidP="00B6399C">
            <w:pPr>
              <w:keepNext/>
              <w:jc w:val="center"/>
              <w:rPr>
                <w:rFonts w:ascii="Arial Narrow" w:hAnsi="Arial Narrow"/>
                <w:b/>
                <w:bCs/>
                <w:sz w:val="20"/>
                <w:szCs w:val="20"/>
              </w:rPr>
            </w:pPr>
            <w:r w:rsidRPr="002D3A70">
              <w:rPr>
                <w:rFonts w:ascii="Arial Narrow" w:hAnsi="Arial Narrow"/>
                <w:b/>
                <w:bCs/>
                <w:sz w:val="20"/>
                <w:szCs w:val="20"/>
              </w:rPr>
              <w:t>ICS/LABA</w:t>
            </w:r>
          </w:p>
        </w:tc>
        <w:tc>
          <w:tcPr>
            <w:tcW w:w="1559" w:type="dxa"/>
            <w:vMerge w:val="restart"/>
            <w:tcBorders>
              <w:left w:val="nil"/>
              <w:right w:val="nil"/>
            </w:tcBorders>
            <w:vAlign w:val="center"/>
          </w:tcPr>
          <w:p w:rsidR="001E567E" w:rsidRPr="002D3A70" w:rsidRDefault="001E567E" w:rsidP="00B6399C">
            <w:pPr>
              <w:keepNext/>
              <w:jc w:val="center"/>
              <w:rPr>
                <w:rFonts w:ascii="Arial Narrow" w:hAnsi="Arial Narrow"/>
                <w:b/>
                <w:bCs/>
                <w:sz w:val="20"/>
                <w:szCs w:val="20"/>
              </w:rPr>
            </w:pPr>
            <w:r w:rsidRPr="002D3A70">
              <w:rPr>
                <w:rFonts w:ascii="Arial Narrow" w:hAnsi="Arial Narrow"/>
                <w:b/>
                <w:bCs/>
                <w:sz w:val="20"/>
                <w:szCs w:val="20"/>
              </w:rPr>
              <w:t>LAMA/LABA</w:t>
            </w:r>
          </w:p>
        </w:tc>
        <w:tc>
          <w:tcPr>
            <w:tcW w:w="3062" w:type="dxa"/>
            <w:gridSpan w:val="2"/>
            <w:tcBorders>
              <w:left w:val="nil"/>
              <w:right w:val="nil"/>
            </w:tcBorders>
            <w:vAlign w:val="center"/>
          </w:tcPr>
          <w:p w:rsidR="001E567E" w:rsidRPr="002D3A70" w:rsidRDefault="001E567E" w:rsidP="00B6399C">
            <w:pPr>
              <w:keepNext/>
              <w:jc w:val="center"/>
              <w:rPr>
                <w:rFonts w:ascii="Arial Narrow" w:hAnsi="Arial Narrow"/>
                <w:b/>
                <w:bCs/>
                <w:sz w:val="20"/>
                <w:szCs w:val="20"/>
              </w:rPr>
            </w:pPr>
            <w:r w:rsidRPr="002D3A70">
              <w:rPr>
                <w:rFonts w:ascii="Arial Narrow" w:hAnsi="Arial Narrow"/>
                <w:b/>
                <w:bCs/>
                <w:sz w:val="20"/>
                <w:szCs w:val="20"/>
              </w:rPr>
              <w:t>Treatment difference (95%CI)</w:t>
            </w:r>
          </w:p>
        </w:tc>
      </w:tr>
      <w:tr w:rsidR="001E567E" w:rsidRPr="00B33C66" w:rsidTr="00D47A6A">
        <w:trPr>
          <w:tblHeader/>
        </w:trPr>
        <w:tc>
          <w:tcPr>
            <w:tcW w:w="1276" w:type="dxa"/>
            <w:vMerge/>
            <w:tcBorders>
              <w:left w:val="nil"/>
              <w:bottom w:val="single" w:sz="4" w:space="0" w:color="auto"/>
              <w:right w:val="nil"/>
            </w:tcBorders>
          </w:tcPr>
          <w:p w:rsidR="001E567E" w:rsidRPr="00B33C66" w:rsidRDefault="001E567E" w:rsidP="00B6399C">
            <w:pPr>
              <w:keepNext/>
              <w:rPr>
                <w:rFonts w:ascii="Arial Narrow" w:hAnsi="Arial Narrow"/>
                <w:sz w:val="20"/>
                <w:szCs w:val="20"/>
              </w:rPr>
            </w:pPr>
          </w:p>
        </w:tc>
        <w:tc>
          <w:tcPr>
            <w:tcW w:w="1559" w:type="dxa"/>
            <w:vMerge/>
            <w:tcBorders>
              <w:left w:val="nil"/>
              <w:bottom w:val="single" w:sz="4" w:space="0" w:color="auto"/>
              <w:right w:val="nil"/>
            </w:tcBorders>
            <w:vAlign w:val="center"/>
          </w:tcPr>
          <w:p w:rsidR="001E567E" w:rsidRPr="002D3A70" w:rsidRDefault="001E567E" w:rsidP="00B6399C">
            <w:pPr>
              <w:keepNext/>
              <w:jc w:val="center"/>
              <w:rPr>
                <w:rFonts w:ascii="Arial Narrow" w:hAnsi="Arial Narrow"/>
                <w:b/>
                <w:bCs/>
                <w:sz w:val="20"/>
                <w:szCs w:val="20"/>
              </w:rPr>
            </w:pPr>
          </w:p>
        </w:tc>
        <w:tc>
          <w:tcPr>
            <w:tcW w:w="1560" w:type="dxa"/>
            <w:vMerge/>
            <w:tcBorders>
              <w:left w:val="nil"/>
              <w:bottom w:val="single" w:sz="4" w:space="0" w:color="auto"/>
              <w:right w:val="nil"/>
            </w:tcBorders>
            <w:vAlign w:val="center"/>
          </w:tcPr>
          <w:p w:rsidR="001E567E" w:rsidRPr="002D3A70" w:rsidRDefault="001E567E" w:rsidP="00B6399C">
            <w:pPr>
              <w:keepNext/>
              <w:jc w:val="center"/>
              <w:rPr>
                <w:rFonts w:ascii="Arial Narrow" w:hAnsi="Arial Narrow"/>
                <w:b/>
                <w:bCs/>
                <w:sz w:val="20"/>
                <w:szCs w:val="20"/>
              </w:rPr>
            </w:pPr>
          </w:p>
        </w:tc>
        <w:tc>
          <w:tcPr>
            <w:tcW w:w="1559" w:type="dxa"/>
            <w:vMerge/>
            <w:tcBorders>
              <w:left w:val="nil"/>
              <w:bottom w:val="single" w:sz="4" w:space="0" w:color="auto"/>
              <w:right w:val="nil"/>
            </w:tcBorders>
            <w:vAlign w:val="center"/>
          </w:tcPr>
          <w:p w:rsidR="001E567E" w:rsidRPr="002D3A70" w:rsidRDefault="001E567E" w:rsidP="00B6399C">
            <w:pPr>
              <w:keepNext/>
              <w:jc w:val="center"/>
              <w:rPr>
                <w:rFonts w:ascii="Arial Narrow" w:hAnsi="Arial Narrow"/>
                <w:b/>
                <w:bCs/>
                <w:sz w:val="20"/>
                <w:szCs w:val="20"/>
              </w:rPr>
            </w:pPr>
          </w:p>
        </w:tc>
        <w:tc>
          <w:tcPr>
            <w:tcW w:w="1485" w:type="dxa"/>
            <w:tcBorders>
              <w:left w:val="nil"/>
              <w:bottom w:val="single" w:sz="4" w:space="0" w:color="auto"/>
              <w:right w:val="nil"/>
            </w:tcBorders>
            <w:vAlign w:val="center"/>
          </w:tcPr>
          <w:p w:rsidR="001E567E" w:rsidRPr="002D3A70" w:rsidRDefault="001E567E" w:rsidP="00B6399C">
            <w:pPr>
              <w:keepNext/>
              <w:jc w:val="center"/>
              <w:rPr>
                <w:rFonts w:ascii="Arial Narrow" w:hAnsi="Arial Narrow"/>
                <w:b/>
                <w:bCs/>
                <w:sz w:val="20"/>
                <w:szCs w:val="20"/>
              </w:rPr>
            </w:pPr>
            <w:r w:rsidRPr="002D3A70">
              <w:rPr>
                <w:rFonts w:ascii="Arial Narrow" w:hAnsi="Arial Narrow"/>
                <w:b/>
                <w:bCs/>
                <w:sz w:val="20"/>
                <w:szCs w:val="20"/>
              </w:rPr>
              <w:t>ICS/LABA/LAMA vs ICS/LABA</w:t>
            </w:r>
          </w:p>
        </w:tc>
        <w:tc>
          <w:tcPr>
            <w:tcW w:w="1577" w:type="dxa"/>
            <w:tcBorders>
              <w:left w:val="nil"/>
              <w:bottom w:val="single" w:sz="4" w:space="0" w:color="auto"/>
              <w:right w:val="nil"/>
            </w:tcBorders>
            <w:vAlign w:val="center"/>
          </w:tcPr>
          <w:p w:rsidR="001E567E" w:rsidRPr="002D3A70" w:rsidRDefault="001E567E" w:rsidP="00B6399C">
            <w:pPr>
              <w:keepNext/>
              <w:jc w:val="center"/>
              <w:rPr>
                <w:rFonts w:ascii="Arial Narrow" w:hAnsi="Arial Narrow"/>
                <w:b/>
                <w:bCs/>
                <w:sz w:val="20"/>
                <w:szCs w:val="20"/>
              </w:rPr>
            </w:pPr>
            <w:r w:rsidRPr="002D3A70">
              <w:rPr>
                <w:rFonts w:ascii="Arial Narrow" w:hAnsi="Arial Narrow"/>
                <w:b/>
                <w:bCs/>
                <w:sz w:val="20"/>
                <w:szCs w:val="20"/>
              </w:rPr>
              <w:t>ICS/LABA/LAMA vs LAMA/LABA</w:t>
            </w:r>
          </w:p>
        </w:tc>
      </w:tr>
      <w:tr w:rsidR="001E567E" w:rsidRPr="00B33C66" w:rsidTr="00647067">
        <w:tc>
          <w:tcPr>
            <w:tcW w:w="5954" w:type="dxa"/>
            <w:gridSpan w:val="4"/>
            <w:tcBorders>
              <w:top w:val="single" w:sz="4" w:space="0" w:color="auto"/>
              <w:left w:val="nil"/>
              <w:bottom w:val="nil"/>
              <w:right w:val="nil"/>
            </w:tcBorders>
            <w:vAlign w:val="center"/>
          </w:tcPr>
          <w:p w:rsidR="001E567E" w:rsidRDefault="001E567E" w:rsidP="00B6399C">
            <w:pPr>
              <w:keepNext/>
              <w:rPr>
                <w:rFonts w:ascii="Arial Narrow" w:hAnsi="Arial Narrow"/>
                <w:sz w:val="20"/>
                <w:szCs w:val="20"/>
              </w:rPr>
            </w:pPr>
            <w:r>
              <w:rPr>
                <w:rFonts w:ascii="Arial Narrow" w:hAnsi="Arial Narrow"/>
                <w:b/>
                <w:bCs/>
                <w:sz w:val="20"/>
                <w:szCs w:val="20"/>
              </w:rPr>
              <w:t>M</w:t>
            </w:r>
            <w:r w:rsidRPr="0081181D">
              <w:rPr>
                <w:rFonts w:ascii="Arial Narrow" w:hAnsi="Arial Narrow"/>
                <w:b/>
                <w:bCs/>
                <w:sz w:val="20"/>
                <w:szCs w:val="20"/>
              </w:rPr>
              <w:t>oderate</w:t>
            </w:r>
            <w:r>
              <w:rPr>
                <w:rFonts w:ascii="Arial Narrow" w:hAnsi="Arial Narrow"/>
                <w:b/>
                <w:bCs/>
                <w:sz w:val="20"/>
                <w:szCs w:val="20"/>
              </w:rPr>
              <w:t xml:space="preserve"> or </w:t>
            </w:r>
            <w:r w:rsidRPr="0081181D">
              <w:rPr>
                <w:rFonts w:ascii="Arial Narrow" w:hAnsi="Arial Narrow"/>
                <w:b/>
                <w:bCs/>
                <w:sz w:val="20"/>
                <w:szCs w:val="20"/>
              </w:rPr>
              <w:t>severe exacerbations</w:t>
            </w:r>
            <w:r>
              <w:rPr>
                <w:rFonts w:ascii="Arial Narrow" w:hAnsi="Arial Narrow"/>
                <w:b/>
                <w:bCs/>
                <w:sz w:val="20"/>
                <w:szCs w:val="20"/>
              </w:rPr>
              <w:t>, annual rate</w:t>
            </w:r>
          </w:p>
        </w:tc>
        <w:tc>
          <w:tcPr>
            <w:tcW w:w="1485" w:type="dxa"/>
            <w:tcBorders>
              <w:top w:val="single" w:sz="4" w:space="0" w:color="auto"/>
              <w:left w:val="nil"/>
              <w:bottom w:val="nil"/>
              <w:right w:val="nil"/>
            </w:tcBorders>
            <w:vAlign w:val="center"/>
          </w:tcPr>
          <w:p w:rsidR="001E567E" w:rsidRPr="00285A26" w:rsidRDefault="001E567E" w:rsidP="00B6399C">
            <w:pPr>
              <w:keepNext/>
              <w:jc w:val="center"/>
              <w:rPr>
                <w:rFonts w:ascii="Arial Narrow" w:hAnsi="Arial Narrow"/>
                <w:b/>
                <w:bCs/>
                <w:sz w:val="20"/>
                <w:szCs w:val="20"/>
              </w:rPr>
            </w:pPr>
            <w:r w:rsidRPr="00285A26">
              <w:rPr>
                <w:rFonts w:ascii="Arial Narrow" w:hAnsi="Arial Narrow"/>
                <w:b/>
                <w:bCs/>
                <w:sz w:val="20"/>
                <w:szCs w:val="20"/>
              </w:rPr>
              <w:t>RR</w:t>
            </w:r>
          </w:p>
        </w:tc>
        <w:tc>
          <w:tcPr>
            <w:tcW w:w="1577" w:type="dxa"/>
            <w:tcBorders>
              <w:top w:val="single" w:sz="4" w:space="0" w:color="auto"/>
              <w:left w:val="nil"/>
              <w:bottom w:val="nil"/>
              <w:right w:val="nil"/>
            </w:tcBorders>
            <w:vAlign w:val="center"/>
          </w:tcPr>
          <w:p w:rsidR="001E567E" w:rsidRPr="00285A26" w:rsidRDefault="001E567E" w:rsidP="00B6399C">
            <w:pPr>
              <w:keepNext/>
              <w:jc w:val="center"/>
              <w:rPr>
                <w:rFonts w:ascii="Arial Narrow" w:hAnsi="Arial Narrow"/>
                <w:b/>
                <w:bCs/>
                <w:sz w:val="20"/>
                <w:szCs w:val="20"/>
              </w:rPr>
            </w:pPr>
            <w:r w:rsidRPr="00285A26">
              <w:rPr>
                <w:rFonts w:ascii="Arial Narrow" w:hAnsi="Arial Narrow"/>
                <w:b/>
                <w:bCs/>
                <w:sz w:val="20"/>
                <w:szCs w:val="20"/>
              </w:rPr>
              <w:t>RR</w:t>
            </w:r>
          </w:p>
        </w:tc>
      </w:tr>
      <w:tr w:rsidR="001E567E" w:rsidRPr="00B33C66" w:rsidTr="00647067">
        <w:tc>
          <w:tcPr>
            <w:tcW w:w="1276" w:type="dxa"/>
            <w:tcBorders>
              <w:top w:val="single" w:sz="4" w:space="0" w:color="auto"/>
              <w:left w:val="nil"/>
              <w:bottom w:val="nil"/>
              <w:right w:val="nil"/>
            </w:tcBorders>
          </w:tcPr>
          <w:p w:rsidR="001E567E" w:rsidRDefault="001E567E" w:rsidP="00B6399C">
            <w:pPr>
              <w:keepNext/>
              <w:rPr>
                <w:rFonts w:ascii="Arial Narrow" w:hAnsi="Arial Narrow"/>
                <w:sz w:val="20"/>
                <w:szCs w:val="20"/>
              </w:rPr>
            </w:pPr>
          </w:p>
        </w:tc>
        <w:tc>
          <w:tcPr>
            <w:tcW w:w="1559" w:type="dxa"/>
            <w:tcBorders>
              <w:top w:val="single" w:sz="4" w:space="0" w:color="auto"/>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BUD/GLY/FOR</w:t>
            </w:r>
          </w:p>
        </w:tc>
        <w:tc>
          <w:tcPr>
            <w:tcW w:w="1560" w:type="dxa"/>
            <w:tcBorders>
              <w:top w:val="single" w:sz="4" w:space="0" w:color="auto"/>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BUD/FOR</w:t>
            </w:r>
          </w:p>
        </w:tc>
        <w:tc>
          <w:tcPr>
            <w:tcW w:w="1559" w:type="dxa"/>
            <w:tcBorders>
              <w:top w:val="single" w:sz="4" w:space="0" w:color="auto"/>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GLY/FOR</w:t>
            </w:r>
          </w:p>
        </w:tc>
        <w:tc>
          <w:tcPr>
            <w:tcW w:w="1485" w:type="dxa"/>
            <w:tcBorders>
              <w:top w:val="single" w:sz="4" w:space="0" w:color="auto"/>
              <w:left w:val="nil"/>
              <w:bottom w:val="nil"/>
              <w:right w:val="nil"/>
            </w:tcBorders>
            <w:vAlign w:val="center"/>
          </w:tcPr>
          <w:p w:rsidR="001E567E" w:rsidRPr="00B33C66" w:rsidRDefault="001E567E" w:rsidP="00B6399C">
            <w:pPr>
              <w:keepNext/>
              <w:jc w:val="center"/>
              <w:rPr>
                <w:rFonts w:ascii="Arial Narrow" w:hAnsi="Arial Narrow"/>
                <w:sz w:val="20"/>
                <w:szCs w:val="20"/>
              </w:rPr>
            </w:pPr>
          </w:p>
        </w:tc>
        <w:tc>
          <w:tcPr>
            <w:tcW w:w="1577" w:type="dxa"/>
            <w:tcBorders>
              <w:top w:val="single" w:sz="4" w:space="0" w:color="auto"/>
              <w:left w:val="nil"/>
              <w:bottom w:val="nil"/>
              <w:right w:val="nil"/>
            </w:tcBorders>
            <w:vAlign w:val="center"/>
          </w:tcPr>
          <w:p w:rsidR="001E567E" w:rsidRPr="00B33C66" w:rsidRDefault="001E567E" w:rsidP="00B6399C">
            <w:pPr>
              <w:keepNext/>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B6399C">
            <w:pPr>
              <w:keepNext/>
              <w:rPr>
                <w:rFonts w:ascii="Arial Narrow" w:hAnsi="Arial Narrow"/>
                <w:sz w:val="20"/>
                <w:szCs w:val="20"/>
              </w:rPr>
            </w:pPr>
            <w:r>
              <w:rPr>
                <w:rFonts w:ascii="Arial Narrow" w:hAnsi="Arial Narrow"/>
                <w:sz w:val="20"/>
                <w:szCs w:val="20"/>
              </w:rPr>
              <w:t>ETHOS</w:t>
            </w:r>
            <w:r w:rsidRPr="00B26F89">
              <w:rPr>
                <w:rFonts w:ascii="Arial Narrow" w:hAnsi="Arial Narrow"/>
                <w:sz w:val="20"/>
                <w:szCs w:val="20"/>
                <w:vertAlign w:val="superscript"/>
              </w:rPr>
              <w:t>a</w:t>
            </w:r>
          </w:p>
        </w:tc>
        <w:tc>
          <w:tcPr>
            <w:tcW w:w="1559" w:type="dxa"/>
            <w:tcBorders>
              <w:top w:val="nil"/>
              <w:left w:val="nil"/>
              <w:bottom w:val="nil"/>
              <w:right w:val="nil"/>
            </w:tcBorders>
            <w:vAlign w:val="center"/>
          </w:tcPr>
          <w:p w:rsidR="001E567E" w:rsidRPr="00D60220" w:rsidRDefault="001E567E" w:rsidP="00B6399C">
            <w:pPr>
              <w:keepNext/>
              <w:jc w:val="center"/>
              <w:rPr>
                <w:rFonts w:ascii="Arial Narrow" w:hAnsi="Arial Narrow"/>
                <w:sz w:val="20"/>
                <w:szCs w:val="20"/>
              </w:rPr>
            </w:pPr>
            <w:r w:rsidRPr="00D60220">
              <w:rPr>
                <w:rFonts w:ascii="Arial Narrow" w:hAnsi="Arial Narrow"/>
                <w:sz w:val="20"/>
                <w:szCs w:val="20"/>
              </w:rPr>
              <w:t xml:space="preserve">1.08 </w:t>
            </w:r>
            <w:r w:rsidRPr="00D60220">
              <w:rPr>
                <w:rFonts w:ascii="Arial Narrow" w:hAnsi="Arial Narrow"/>
                <w:i/>
                <w:sz w:val="20"/>
                <w:szCs w:val="20"/>
              </w:rPr>
              <w:t>(1.00, 1.16)</w:t>
            </w:r>
          </w:p>
        </w:tc>
        <w:tc>
          <w:tcPr>
            <w:tcW w:w="1560" w:type="dxa"/>
            <w:tcBorders>
              <w:top w:val="nil"/>
              <w:left w:val="nil"/>
              <w:bottom w:val="nil"/>
              <w:right w:val="nil"/>
            </w:tcBorders>
            <w:vAlign w:val="center"/>
          </w:tcPr>
          <w:p w:rsidR="001E567E" w:rsidRPr="00D60220" w:rsidRDefault="001E567E" w:rsidP="00B6399C">
            <w:pPr>
              <w:keepNext/>
              <w:jc w:val="center"/>
              <w:rPr>
                <w:rFonts w:ascii="Arial Narrow" w:hAnsi="Arial Narrow"/>
                <w:sz w:val="20"/>
                <w:szCs w:val="20"/>
              </w:rPr>
            </w:pPr>
            <w:r w:rsidRPr="00D60220">
              <w:rPr>
                <w:rFonts w:ascii="Arial Narrow" w:hAnsi="Arial Narrow"/>
                <w:sz w:val="20"/>
                <w:szCs w:val="20"/>
              </w:rPr>
              <w:t xml:space="preserve">1.24 </w:t>
            </w:r>
            <w:r w:rsidRPr="00D60220">
              <w:rPr>
                <w:rFonts w:ascii="Arial Narrow" w:hAnsi="Arial Narrow"/>
                <w:i/>
                <w:sz w:val="20"/>
                <w:szCs w:val="20"/>
              </w:rPr>
              <w:t>(1.16, 1.32)</w:t>
            </w:r>
          </w:p>
        </w:tc>
        <w:tc>
          <w:tcPr>
            <w:tcW w:w="1559" w:type="dxa"/>
            <w:tcBorders>
              <w:top w:val="nil"/>
              <w:left w:val="nil"/>
              <w:bottom w:val="nil"/>
              <w:right w:val="nil"/>
            </w:tcBorders>
            <w:vAlign w:val="center"/>
          </w:tcPr>
          <w:p w:rsidR="001E567E" w:rsidRPr="00D60220" w:rsidRDefault="001E567E" w:rsidP="00B6399C">
            <w:pPr>
              <w:keepNext/>
              <w:jc w:val="center"/>
              <w:rPr>
                <w:rFonts w:ascii="Arial Narrow" w:hAnsi="Arial Narrow"/>
                <w:sz w:val="20"/>
                <w:szCs w:val="20"/>
              </w:rPr>
            </w:pPr>
            <w:r w:rsidRPr="00D60220">
              <w:rPr>
                <w:rFonts w:ascii="Arial Narrow" w:hAnsi="Arial Narrow"/>
                <w:sz w:val="20"/>
                <w:szCs w:val="20"/>
              </w:rPr>
              <w:t xml:space="preserve">1.42 </w:t>
            </w:r>
            <w:r w:rsidRPr="00D60220">
              <w:rPr>
                <w:rFonts w:ascii="Arial Narrow" w:hAnsi="Arial Narrow"/>
                <w:i/>
                <w:sz w:val="20"/>
                <w:szCs w:val="20"/>
              </w:rPr>
              <w:t>(1.32, 1.52)</w:t>
            </w:r>
          </w:p>
        </w:tc>
        <w:tc>
          <w:tcPr>
            <w:tcW w:w="1485" w:type="dxa"/>
            <w:tcBorders>
              <w:top w:val="nil"/>
              <w:left w:val="nil"/>
              <w:bottom w:val="nil"/>
              <w:right w:val="nil"/>
            </w:tcBorders>
            <w:vAlign w:val="center"/>
          </w:tcPr>
          <w:p w:rsidR="001E567E" w:rsidRPr="006B5873" w:rsidRDefault="001E567E" w:rsidP="00B6399C">
            <w:pPr>
              <w:keepNext/>
              <w:jc w:val="center"/>
              <w:rPr>
                <w:rFonts w:ascii="Arial Narrow" w:hAnsi="Arial Narrow"/>
                <w:b/>
                <w:sz w:val="20"/>
                <w:szCs w:val="20"/>
              </w:rPr>
            </w:pPr>
            <w:r w:rsidRPr="006B5873">
              <w:rPr>
                <w:rFonts w:ascii="Arial Narrow" w:hAnsi="Arial Narrow"/>
                <w:b/>
                <w:sz w:val="20"/>
                <w:szCs w:val="20"/>
              </w:rPr>
              <w:t>0.87 (0.79, 0.9</w:t>
            </w:r>
            <w:r>
              <w:rPr>
                <w:rFonts w:ascii="Arial Narrow" w:hAnsi="Arial Narrow"/>
                <w:b/>
                <w:sz w:val="20"/>
                <w:szCs w:val="20"/>
              </w:rPr>
              <w:t>5</w:t>
            </w:r>
            <w:r w:rsidRPr="006B5873">
              <w:rPr>
                <w:rFonts w:ascii="Arial Narrow" w:hAnsi="Arial Narrow"/>
                <w:b/>
                <w:sz w:val="20"/>
                <w:szCs w:val="20"/>
              </w:rPr>
              <w:t>)</w:t>
            </w:r>
          </w:p>
        </w:tc>
        <w:tc>
          <w:tcPr>
            <w:tcW w:w="1577" w:type="dxa"/>
            <w:tcBorders>
              <w:top w:val="nil"/>
              <w:left w:val="nil"/>
              <w:bottom w:val="nil"/>
              <w:right w:val="nil"/>
            </w:tcBorders>
            <w:vAlign w:val="center"/>
          </w:tcPr>
          <w:p w:rsidR="001E567E" w:rsidRPr="006B5873" w:rsidRDefault="001E567E" w:rsidP="00B6399C">
            <w:pPr>
              <w:keepNext/>
              <w:jc w:val="center"/>
              <w:rPr>
                <w:rFonts w:ascii="Arial Narrow" w:hAnsi="Arial Narrow"/>
                <w:b/>
                <w:sz w:val="20"/>
                <w:szCs w:val="20"/>
              </w:rPr>
            </w:pPr>
            <w:r w:rsidRPr="006B5873">
              <w:rPr>
                <w:rFonts w:ascii="Arial Narrow" w:hAnsi="Arial Narrow"/>
                <w:b/>
                <w:sz w:val="20"/>
                <w:szCs w:val="20"/>
              </w:rPr>
              <w:t>0.76 (0.69, 0.8</w:t>
            </w:r>
            <w:r>
              <w:rPr>
                <w:rFonts w:ascii="Arial Narrow" w:hAnsi="Arial Narrow"/>
                <w:b/>
                <w:sz w:val="20"/>
                <w:szCs w:val="20"/>
              </w:rPr>
              <w:t>3</w:t>
            </w:r>
            <w:r w:rsidRPr="006B5873">
              <w:rPr>
                <w:rFonts w:ascii="Arial Narrow" w:hAnsi="Arial Narrow"/>
                <w:b/>
                <w:sz w:val="20"/>
                <w:szCs w:val="20"/>
              </w:rPr>
              <w:t>)</w:t>
            </w:r>
          </w:p>
        </w:tc>
      </w:tr>
      <w:tr w:rsidR="001E567E" w:rsidRPr="00B33C66" w:rsidTr="00647067">
        <w:tc>
          <w:tcPr>
            <w:tcW w:w="1276" w:type="dxa"/>
            <w:tcBorders>
              <w:top w:val="nil"/>
              <w:left w:val="nil"/>
              <w:bottom w:val="nil"/>
              <w:right w:val="nil"/>
            </w:tcBorders>
          </w:tcPr>
          <w:p w:rsidR="001E567E" w:rsidRDefault="001E567E" w:rsidP="00B6399C">
            <w:pPr>
              <w:keepNext/>
              <w:rPr>
                <w:rFonts w:ascii="Arial Narrow" w:hAnsi="Arial Narrow"/>
                <w:sz w:val="20"/>
                <w:szCs w:val="20"/>
              </w:rPr>
            </w:pP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FF/UMEC/VI</w:t>
            </w:r>
          </w:p>
        </w:tc>
        <w:tc>
          <w:tcPr>
            <w:tcW w:w="1560"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FF/VI</w:t>
            </w: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UMEC/VI</w:t>
            </w:r>
          </w:p>
        </w:tc>
        <w:tc>
          <w:tcPr>
            <w:tcW w:w="1485"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p>
        </w:tc>
        <w:tc>
          <w:tcPr>
            <w:tcW w:w="1577"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p>
        </w:tc>
      </w:tr>
      <w:tr w:rsidR="001E567E" w:rsidRPr="00B27770" w:rsidTr="00647067">
        <w:tc>
          <w:tcPr>
            <w:tcW w:w="1276" w:type="dxa"/>
            <w:tcBorders>
              <w:top w:val="nil"/>
              <w:left w:val="nil"/>
              <w:bottom w:val="nil"/>
              <w:right w:val="nil"/>
            </w:tcBorders>
          </w:tcPr>
          <w:p w:rsidR="001E567E" w:rsidRPr="00B33C66" w:rsidRDefault="001E567E" w:rsidP="00B6399C">
            <w:pPr>
              <w:keepNext/>
              <w:rPr>
                <w:rFonts w:ascii="Arial Narrow" w:hAnsi="Arial Narrow"/>
                <w:sz w:val="20"/>
                <w:szCs w:val="20"/>
              </w:rPr>
            </w:pPr>
            <w:r>
              <w:rPr>
                <w:rFonts w:ascii="Arial Narrow" w:hAnsi="Arial Narrow"/>
                <w:sz w:val="20"/>
                <w:szCs w:val="20"/>
              </w:rPr>
              <w:t>IMPACT</w:t>
            </w:r>
            <w:r w:rsidRPr="00B26F89">
              <w:rPr>
                <w:rFonts w:ascii="Arial Narrow" w:hAnsi="Arial Narrow"/>
                <w:sz w:val="20"/>
                <w:szCs w:val="20"/>
                <w:vertAlign w:val="superscript"/>
              </w:rPr>
              <w:t>b</w:t>
            </w: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sidRPr="006B5873">
              <w:rPr>
                <w:rFonts w:ascii="Arial Narrow" w:hAnsi="Arial Narrow"/>
                <w:sz w:val="20"/>
                <w:szCs w:val="20"/>
              </w:rPr>
              <w:t>0.91 (0.87, 0.95)</w:t>
            </w:r>
          </w:p>
        </w:tc>
        <w:tc>
          <w:tcPr>
            <w:tcW w:w="1560"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sidRPr="00B27770">
              <w:rPr>
                <w:rFonts w:ascii="Arial Narrow" w:hAnsi="Arial Narrow"/>
                <w:sz w:val="20"/>
                <w:szCs w:val="20"/>
              </w:rPr>
              <w:t>1.07 (1.02, 1.12)</w:t>
            </w: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sidRPr="00B27770">
              <w:rPr>
                <w:rFonts w:ascii="Arial Narrow" w:hAnsi="Arial Narrow"/>
                <w:sz w:val="20"/>
                <w:szCs w:val="20"/>
              </w:rPr>
              <w:t>1.21 (1.14, 1.29)</w:t>
            </w:r>
          </w:p>
        </w:tc>
        <w:tc>
          <w:tcPr>
            <w:tcW w:w="1485" w:type="dxa"/>
            <w:tcBorders>
              <w:top w:val="nil"/>
              <w:left w:val="nil"/>
              <w:bottom w:val="nil"/>
              <w:right w:val="nil"/>
            </w:tcBorders>
            <w:vAlign w:val="center"/>
          </w:tcPr>
          <w:p w:rsidR="001E567E" w:rsidRPr="00B27770" w:rsidRDefault="001E567E" w:rsidP="00B6399C">
            <w:pPr>
              <w:keepNext/>
              <w:jc w:val="center"/>
              <w:rPr>
                <w:rFonts w:ascii="Arial Narrow" w:hAnsi="Arial Narrow"/>
                <w:b/>
                <w:sz w:val="20"/>
                <w:szCs w:val="20"/>
              </w:rPr>
            </w:pPr>
            <w:r w:rsidRPr="00B27770">
              <w:rPr>
                <w:rFonts w:ascii="Arial Narrow" w:hAnsi="Arial Narrow"/>
                <w:b/>
                <w:sz w:val="20"/>
                <w:szCs w:val="20"/>
              </w:rPr>
              <w:t>0.85 (0.80, 0.90)</w:t>
            </w:r>
          </w:p>
        </w:tc>
        <w:tc>
          <w:tcPr>
            <w:tcW w:w="1577" w:type="dxa"/>
            <w:tcBorders>
              <w:top w:val="nil"/>
              <w:left w:val="nil"/>
              <w:bottom w:val="nil"/>
              <w:right w:val="nil"/>
            </w:tcBorders>
            <w:vAlign w:val="center"/>
          </w:tcPr>
          <w:p w:rsidR="001E567E" w:rsidRPr="00B27770" w:rsidRDefault="001E567E" w:rsidP="00B6399C">
            <w:pPr>
              <w:keepNext/>
              <w:jc w:val="center"/>
              <w:rPr>
                <w:rFonts w:ascii="Arial Narrow" w:hAnsi="Arial Narrow"/>
                <w:b/>
                <w:sz w:val="20"/>
                <w:szCs w:val="20"/>
              </w:rPr>
            </w:pPr>
            <w:r w:rsidRPr="00B27770">
              <w:rPr>
                <w:rFonts w:ascii="Arial Narrow" w:hAnsi="Arial Narrow"/>
                <w:b/>
                <w:sz w:val="20"/>
                <w:szCs w:val="20"/>
              </w:rPr>
              <w:t>0.75 (0.70, 0.81)</w:t>
            </w:r>
          </w:p>
        </w:tc>
      </w:tr>
      <w:tr w:rsidR="001E567E" w:rsidRPr="00B33C66" w:rsidTr="00647067">
        <w:tc>
          <w:tcPr>
            <w:tcW w:w="1276" w:type="dxa"/>
            <w:tcBorders>
              <w:top w:val="nil"/>
              <w:left w:val="nil"/>
              <w:bottom w:val="nil"/>
              <w:right w:val="nil"/>
            </w:tcBorders>
          </w:tcPr>
          <w:p w:rsidR="001E567E" w:rsidRPr="00B33C66" w:rsidRDefault="001E567E" w:rsidP="00B6399C">
            <w:pPr>
              <w:keepNext/>
              <w:rPr>
                <w:rFonts w:ascii="Arial Narrow" w:hAnsi="Arial Narrow"/>
                <w:sz w:val="20"/>
                <w:szCs w:val="20"/>
              </w:rPr>
            </w:pP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BEC/GLY/FOR</w:t>
            </w:r>
          </w:p>
        </w:tc>
        <w:tc>
          <w:tcPr>
            <w:tcW w:w="1560"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BEC/FOR</w:t>
            </w: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GLY/IND</w:t>
            </w:r>
          </w:p>
        </w:tc>
        <w:tc>
          <w:tcPr>
            <w:tcW w:w="1485"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p>
        </w:tc>
        <w:tc>
          <w:tcPr>
            <w:tcW w:w="1577"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B6399C">
            <w:pPr>
              <w:keepNext/>
              <w:rPr>
                <w:rFonts w:ascii="Arial Narrow" w:hAnsi="Arial Narrow"/>
                <w:sz w:val="20"/>
                <w:szCs w:val="20"/>
              </w:rPr>
            </w:pPr>
            <w:r>
              <w:rPr>
                <w:rFonts w:ascii="Arial Narrow" w:hAnsi="Arial Narrow"/>
                <w:sz w:val="20"/>
                <w:szCs w:val="20"/>
              </w:rPr>
              <w:t>TRILOGY</w:t>
            </w:r>
            <w:r w:rsidRPr="00B26F89">
              <w:rPr>
                <w:rFonts w:ascii="Arial Narrow" w:hAnsi="Arial Narrow"/>
                <w:sz w:val="20"/>
                <w:szCs w:val="20"/>
                <w:vertAlign w:val="superscript"/>
              </w:rPr>
              <w:t>c</w:t>
            </w: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sidRPr="004A3E00">
              <w:rPr>
                <w:rFonts w:ascii="Arial Narrow" w:hAnsi="Arial Narrow"/>
                <w:sz w:val="20"/>
                <w:szCs w:val="20"/>
              </w:rPr>
              <w:t>0.41 (0.3</w:t>
            </w:r>
            <w:r>
              <w:rPr>
                <w:rFonts w:ascii="Arial Narrow" w:hAnsi="Arial Narrow"/>
                <w:sz w:val="20"/>
                <w:szCs w:val="20"/>
              </w:rPr>
              <w:t xml:space="preserve">6, </w:t>
            </w:r>
            <w:r w:rsidRPr="004A3E00">
              <w:rPr>
                <w:rFonts w:ascii="Arial Narrow" w:hAnsi="Arial Narrow"/>
                <w:sz w:val="20"/>
                <w:szCs w:val="20"/>
              </w:rPr>
              <w:t>0.4</w:t>
            </w:r>
            <w:r>
              <w:rPr>
                <w:rFonts w:ascii="Arial Narrow" w:hAnsi="Arial Narrow"/>
                <w:sz w:val="20"/>
                <w:szCs w:val="20"/>
              </w:rPr>
              <w:t>7</w:t>
            </w:r>
            <w:r w:rsidRPr="004A3E00">
              <w:rPr>
                <w:rFonts w:ascii="Arial Narrow" w:hAnsi="Arial Narrow"/>
                <w:sz w:val="20"/>
                <w:szCs w:val="20"/>
              </w:rPr>
              <w:t>)</w:t>
            </w:r>
          </w:p>
        </w:tc>
        <w:tc>
          <w:tcPr>
            <w:tcW w:w="1560"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0.53 (0.47, 0.60)</w:t>
            </w: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w:t>
            </w:r>
          </w:p>
        </w:tc>
        <w:tc>
          <w:tcPr>
            <w:tcW w:w="1485" w:type="dxa"/>
            <w:tcBorders>
              <w:top w:val="nil"/>
              <w:left w:val="nil"/>
              <w:bottom w:val="nil"/>
              <w:right w:val="nil"/>
            </w:tcBorders>
            <w:vAlign w:val="center"/>
          </w:tcPr>
          <w:p w:rsidR="001E567E" w:rsidRPr="00EC0A89" w:rsidRDefault="001E567E" w:rsidP="00B6399C">
            <w:pPr>
              <w:keepNext/>
              <w:jc w:val="center"/>
              <w:rPr>
                <w:rFonts w:ascii="Arial Narrow" w:hAnsi="Arial Narrow"/>
                <w:b/>
                <w:sz w:val="20"/>
                <w:szCs w:val="20"/>
              </w:rPr>
            </w:pPr>
            <w:r w:rsidRPr="00EC0A89">
              <w:rPr>
                <w:rFonts w:ascii="Arial Narrow" w:hAnsi="Arial Narrow"/>
                <w:b/>
                <w:sz w:val="20"/>
                <w:szCs w:val="20"/>
              </w:rPr>
              <w:t>0.77 (0.65, 0.92)</w:t>
            </w:r>
          </w:p>
        </w:tc>
        <w:tc>
          <w:tcPr>
            <w:tcW w:w="1577"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w:t>
            </w:r>
          </w:p>
        </w:tc>
      </w:tr>
      <w:tr w:rsidR="001E567E" w:rsidRPr="00B33C66" w:rsidTr="00647067">
        <w:tc>
          <w:tcPr>
            <w:tcW w:w="1276" w:type="dxa"/>
            <w:tcBorders>
              <w:top w:val="nil"/>
              <w:left w:val="nil"/>
              <w:right w:val="nil"/>
            </w:tcBorders>
            <w:vAlign w:val="center"/>
          </w:tcPr>
          <w:p w:rsidR="001E567E" w:rsidRPr="00B33C66" w:rsidRDefault="001E567E" w:rsidP="00B6399C">
            <w:pPr>
              <w:keepNext/>
              <w:rPr>
                <w:rFonts w:ascii="Arial Narrow" w:hAnsi="Arial Narrow"/>
                <w:sz w:val="20"/>
                <w:szCs w:val="20"/>
              </w:rPr>
            </w:pPr>
            <w:r>
              <w:rPr>
                <w:rFonts w:ascii="Arial Narrow" w:hAnsi="Arial Narrow"/>
                <w:sz w:val="20"/>
                <w:szCs w:val="20"/>
              </w:rPr>
              <w:t>TRIBUTE</w:t>
            </w:r>
            <w:r w:rsidRPr="00B26F89">
              <w:rPr>
                <w:rFonts w:ascii="Arial Narrow" w:hAnsi="Arial Narrow"/>
                <w:sz w:val="20"/>
                <w:szCs w:val="20"/>
                <w:vertAlign w:val="superscript"/>
              </w:rPr>
              <w:t>d</w:t>
            </w:r>
          </w:p>
        </w:tc>
        <w:tc>
          <w:tcPr>
            <w:tcW w:w="1559" w:type="dxa"/>
            <w:tcBorders>
              <w:top w:val="nil"/>
              <w:left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0.50 (0.45, 0.57)</w:t>
            </w:r>
          </w:p>
        </w:tc>
        <w:tc>
          <w:tcPr>
            <w:tcW w:w="1560" w:type="dxa"/>
            <w:tcBorders>
              <w:top w:val="nil"/>
              <w:left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w:t>
            </w:r>
          </w:p>
        </w:tc>
        <w:tc>
          <w:tcPr>
            <w:tcW w:w="1559" w:type="dxa"/>
            <w:tcBorders>
              <w:top w:val="nil"/>
              <w:left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0.59 (0.53, 0.67)</w:t>
            </w:r>
          </w:p>
        </w:tc>
        <w:tc>
          <w:tcPr>
            <w:tcW w:w="1485" w:type="dxa"/>
            <w:tcBorders>
              <w:top w:val="nil"/>
              <w:left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w:t>
            </w:r>
          </w:p>
        </w:tc>
        <w:tc>
          <w:tcPr>
            <w:tcW w:w="1577" w:type="dxa"/>
            <w:tcBorders>
              <w:top w:val="nil"/>
              <w:left w:val="nil"/>
              <w:right w:val="nil"/>
            </w:tcBorders>
            <w:vAlign w:val="center"/>
          </w:tcPr>
          <w:p w:rsidR="001E567E" w:rsidRPr="004A3E00" w:rsidRDefault="001E567E" w:rsidP="00B6399C">
            <w:pPr>
              <w:keepNext/>
              <w:jc w:val="center"/>
              <w:rPr>
                <w:rFonts w:ascii="Arial Narrow" w:hAnsi="Arial Narrow"/>
                <w:b/>
                <w:sz w:val="20"/>
                <w:szCs w:val="20"/>
              </w:rPr>
            </w:pPr>
            <w:r w:rsidRPr="004A3E00">
              <w:rPr>
                <w:rFonts w:ascii="Arial Narrow" w:hAnsi="Arial Narrow"/>
                <w:b/>
                <w:sz w:val="20"/>
                <w:szCs w:val="20"/>
              </w:rPr>
              <w:t>0.85 (0.72, 0.995)</w:t>
            </w:r>
          </w:p>
        </w:tc>
      </w:tr>
      <w:tr w:rsidR="001E567E" w:rsidRPr="00B33C66" w:rsidTr="00647067">
        <w:tc>
          <w:tcPr>
            <w:tcW w:w="5954" w:type="dxa"/>
            <w:gridSpan w:val="4"/>
            <w:tcBorders>
              <w:top w:val="nil"/>
              <w:left w:val="nil"/>
              <w:right w:val="nil"/>
            </w:tcBorders>
            <w:vAlign w:val="center"/>
          </w:tcPr>
          <w:p w:rsidR="001E567E" w:rsidRPr="00B33C66" w:rsidRDefault="001E567E" w:rsidP="00B6399C">
            <w:pPr>
              <w:keepNext/>
              <w:rPr>
                <w:rFonts w:ascii="Arial Narrow" w:hAnsi="Arial Narrow"/>
                <w:sz w:val="20"/>
                <w:szCs w:val="20"/>
              </w:rPr>
            </w:pPr>
            <w:r w:rsidRPr="00723693">
              <w:rPr>
                <w:rFonts w:ascii="Arial Narrow" w:hAnsi="Arial Narrow"/>
                <w:b/>
                <w:bCs/>
                <w:sz w:val="20"/>
                <w:szCs w:val="20"/>
              </w:rPr>
              <w:t>Morning pre-dose trough FEV</w:t>
            </w:r>
            <w:r w:rsidRPr="00723693">
              <w:rPr>
                <w:rFonts w:ascii="Arial Narrow" w:hAnsi="Arial Narrow"/>
                <w:b/>
                <w:bCs/>
                <w:sz w:val="20"/>
                <w:szCs w:val="20"/>
                <w:vertAlign w:val="subscript"/>
              </w:rPr>
              <w:t>1</w:t>
            </w:r>
            <w:r w:rsidRPr="00723693">
              <w:rPr>
                <w:rFonts w:ascii="Arial Narrow" w:hAnsi="Arial Narrow"/>
                <w:b/>
                <w:bCs/>
                <w:sz w:val="20"/>
                <w:szCs w:val="20"/>
              </w:rPr>
              <w:t xml:space="preserve"> (mL)</w:t>
            </w:r>
            <w:r>
              <w:rPr>
                <w:rFonts w:ascii="Arial Narrow" w:hAnsi="Arial Narrow"/>
                <w:b/>
                <w:bCs/>
                <w:sz w:val="20"/>
                <w:szCs w:val="20"/>
              </w:rPr>
              <w:t>, LS mean change from baseline</w:t>
            </w:r>
          </w:p>
        </w:tc>
        <w:tc>
          <w:tcPr>
            <w:tcW w:w="1485" w:type="dxa"/>
            <w:tcBorders>
              <w:top w:val="nil"/>
              <w:left w:val="nil"/>
              <w:right w:val="nil"/>
            </w:tcBorders>
            <w:vAlign w:val="center"/>
          </w:tcPr>
          <w:p w:rsidR="001E567E" w:rsidRPr="00285A26" w:rsidRDefault="001E567E" w:rsidP="00B6399C">
            <w:pPr>
              <w:keepNext/>
              <w:jc w:val="center"/>
              <w:rPr>
                <w:rFonts w:ascii="Arial Narrow" w:hAnsi="Arial Narrow"/>
                <w:b/>
                <w:bCs/>
                <w:sz w:val="20"/>
                <w:szCs w:val="20"/>
              </w:rPr>
            </w:pPr>
            <w:r w:rsidRPr="00285A26">
              <w:rPr>
                <w:rFonts w:ascii="Arial Narrow" w:hAnsi="Arial Narrow"/>
                <w:b/>
                <w:bCs/>
                <w:sz w:val="20"/>
                <w:szCs w:val="20"/>
              </w:rPr>
              <w:t>M</w:t>
            </w:r>
            <w:r>
              <w:rPr>
                <w:rFonts w:ascii="Arial Narrow" w:hAnsi="Arial Narrow"/>
                <w:b/>
                <w:bCs/>
                <w:sz w:val="20"/>
                <w:szCs w:val="20"/>
              </w:rPr>
              <w:t>D</w:t>
            </w:r>
          </w:p>
        </w:tc>
        <w:tc>
          <w:tcPr>
            <w:tcW w:w="1577" w:type="dxa"/>
            <w:tcBorders>
              <w:top w:val="nil"/>
              <w:left w:val="nil"/>
              <w:right w:val="nil"/>
            </w:tcBorders>
            <w:vAlign w:val="center"/>
          </w:tcPr>
          <w:p w:rsidR="001E567E" w:rsidRPr="00285A26" w:rsidRDefault="001E567E" w:rsidP="00B6399C">
            <w:pPr>
              <w:keepNext/>
              <w:jc w:val="center"/>
              <w:rPr>
                <w:rFonts w:ascii="Arial Narrow" w:hAnsi="Arial Narrow"/>
                <w:b/>
                <w:bCs/>
                <w:sz w:val="20"/>
                <w:szCs w:val="20"/>
              </w:rPr>
            </w:pPr>
            <w:r>
              <w:rPr>
                <w:rFonts w:ascii="Arial Narrow" w:hAnsi="Arial Narrow"/>
                <w:b/>
                <w:bCs/>
                <w:sz w:val="20"/>
                <w:szCs w:val="20"/>
              </w:rPr>
              <w:t>MD</w:t>
            </w:r>
          </w:p>
        </w:tc>
      </w:tr>
      <w:tr w:rsidR="001E567E" w:rsidRPr="00B33C66" w:rsidTr="00647067">
        <w:tc>
          <w:tcPr>
            <w:tcW w:w="1276" w:type="dxa"/>
            <w:tcBorders>
              <w:left w:val="nil"/>
              <w:bottom w:val="nil"/>
              <w:right w:val="nil"/>
            </w:tcBorders>
          </w:tcPr>
          <w:p w:rsidR="001E567E" w:rsidRDefault="001E567E" w:rsidP="00B6399C">
            <w:pPr>
              <w:keepNext/>
              <w:rPr>
                <w:rFonts w:ascii="Arial Narrow" w:hAnsi="Arial Narrow"/>
                <w:sz w:val="20"/>
                <w:szCs w:val="20"/>
              </w:rPr>
            </w:pPr>
          </w:p>
        </w:tc>
        <w:tc>
          <w:tcPr>
            <w:tcW w:w="1559" w:type="dxa"/>
            <w:tcBorders>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BUD/GLY/FOR</w:t>
            </w:r>
          </w:p>
        </w:tc>
        <w:tc>
          <w:tcPr>
            <w:tcW w:w="1560" w:type="dxa"/>
            <w:tcBorders>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BUD/FOR</w:t>
            </w:r>
          </w:p>
        </w:tc>
        <w:tc>
          <w:tcPr>
            <w:tcW w:w="1559" w:type="dxa"/>
            <w:tcBorders>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GLY/FOR</w:t>
            </w:r>
          </w:p>
        </w:tc>
        <w:tc>
          <w:tcPr>
            <w:tcW w:w="1485" w:type="dxa"/>
            <w:tcBorders>
              <w:left w:val="nil"/>
              <w:bottom w:val="nil"/>
              <w:right w:val="nil"/>
            </w:tcBorders>
            <w:vAlign w:val="center"/>
          </w:tcPr>
          <w:p w:rsidR="001E567E" w:rsidRPr="00B33C66" w:rsidRDefault="001E567E" w:rsidP="00B6399C">
            <w:pPr>
              <w:keepNext/>
              <w:jc w:val="center"/>
              <w:rPr>
                <w:rFonts w:ascii="Arial Narrow" w:hAnsi="Arial Narrow"/>
                <w:sz w:val="20"/>
                <w:szCs w:val="20"/>
              </w:rPr>
            </w:pPr>
          </w:p>
        </w:tc>
        <w:tc>
          <w:tcPr>
            <w:tcW w:w="1577" w:type="dxa"/>
            <w:tcBorders>
              <w:left w:val="nil"/>
              <w:bottom w:val="nil"/>
              <w:right w:val="nil"/>
            </w:tcBorders>
            <w:vAlign w:val="center"/>
          </w:tcPr>
          <w:p w:rsidR="001E567E" w:rsidRPr="00B33C66" w:rsidRDefault="001E567E" w:rsidP="00B6399C">
            <w:pPr>
              <w:keepNext/>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B6399C">
            <w:pPr>
              <w:keepNext/>
              <w:rPr>
                <w:rFonts w:ascii="Arial Narrow" w:hAnsi="Arial Narrow"/>
                <w:sz w:val="20"/>
                <w:szCs w:val="20"/>
              </w:rPr>
            </w:pPr>
            <w:r>
              <w:rPr>
                <w:rFonts w:ascii="Arial Narrow" w:hAnsi="Arial Narrow"/>
                <w:sz w:val="20"/>
                <w:szCs w:val="20"/>
              </w:rPr>
              <w:t>ETHOS</w:t>
            </w: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Pr>
                <w:rFonts w:ascii="Arial Narrow" w:hAnsi="Arial Narrow"/>
                <w:sz w:val="20"/>
                <w:szCs w:val="20"/>
              </w:rPr>
              <w:t>119 (107, 132)</w:t>
            </w:r>
          </w:p>
        </w:tc>
        <w:tc>
          <w:tcPr>
            <w:tcW w:w="1560"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sidRPr="00911E62">
              <w:rPr>
                <w:rFonts w:ascii="Arial Narrow" w:hAnsi="Arial Narrow"/>
                <w:sz w:val="20"/>
                <w:szCs w:val="20"/>
              </w:rPr>
              <w:t xml:space="preserve">47 (34, </w:t>
            </w:r>
            <w:r>
              <w:rPr>
                <w:rFonts w:ascii="Arial Narrow" w:hAnsi="Arial Narrow"/>
                <w:i/>
                <w:sz w:val="20"/>
                <w:szCs w:val="20"/>
              </w:rPr>
              <w:t>60</w:t>
            </w:r>
            <w:r w:rsidRPr="00911E62">
              <w:rPr>
                <w:rFonts w:ascii="Arial Narrow" w:hAnsi="Arial Narrow"/>
                <w:sz w:val="20"/>
                <w:szCs w:val="20"/>
              </w:rPr>
              <w:t>)</w:t>
            </w:r>
          </w:p>
        </w:tc>
        <w:tc>
          <w:tcPr>
            <w:tcW w:w="1559" w:type="dxa"/>
            <w:tcBorders>
              <w:top w:val="nil"/>
              <w:left w:val="nil"/>
              <w:bottom w:val="nil"/>
              <w:right w:val="nil"/>
            </w:tcBorders>
            <w:vAlign w:val="center"/>
          </w:tcPr>
          <w:p w:rsidR="001E567E" w:rsidRPr="00B33C66" w:rsidRDefault="001E567E" w:rsidP="00B6399C">
            <w:pPr>
              <w:keepNext/>
              <w:jc w:val="center"/>
              <w:rPr>
                <w:rFonts w:ascii="Arial Narrow" w:hAnsi="Arial Narrow"/>
                <w:sz w:val="20"/>
                <w:szCs w:val="20"/>
              </w:rPr>
            </w:pPr>
            <w:r w:rsidRPr="00911E62">
              <w:rPr>
                <w:rFonts w:ascii="Arial Narrow" w:hAnsi="Arial Narrow"/>
                <w:sz w:val="20"/>
                <w:szCs w:val="20"/>
              </w:rPr>
              <w:t>74 (61, 87)</w:t>
            </w:r>
          </w:p>
        </w:tc>
        <w:tc>
          <w:tcPr>
            <w:tcW w:w="1485" w:type="dxa"/>
            <w:tcBorders>
              <w:top w:val="nil"/>
              <w:left w:val="nil"/>
              <w:bottom w:val="nil"/>
              <w:right w:val="nil"/>
            </w:tcBorders>
            <w:vAlign w:val="center"/>
          </w:tcPr>
          <w:p w:rsidR="001E567E" w:rsidRPr="00911E62" w:rsidRDefault="001E567E" w:rsidP="00B6399C">
            <w:pPr>
              <w:keepNext/>
              <w:jc w:val="center"/>
              <w:rPr>
                <w:rFonts w:ascii="Arial Narrow" w:hAnsi="Arial Narrow"/>
                <w:b/>
                <w:sz w:val="20"/>
                <w:szCs w:val="20"/>
              </w:rPr>
            </w:pPr>
            <w:r w:rsidRPr="00911E62">
              <w:rPr>
                <w:rFonts w:ascii="Arial Narrow" w:hAnsi="Arial Narrow"/>
                <w:b/>
                <w:sz w:val="20"/>
                <w:szCs w:val="20"/>
              </w:rPr>
              <w:t>72 (54, 90)</w:t>
            </w:r>
          </w:p>
        </w:tc>
        <w:tc>
          <w:tcPr>
            <w:tcW w:w="1577" w:type="dxa"/>
            <w:tcBorders>
              <w:top w:val="nil"/>
              <w:left w:val="nil"/>
              <w:bottom w:val="nil"/>
              <w:right w:val="nil"/>
            </w:tcBorders>
            <w:vAlign w:val="center"/>
          </w:tcPr>
          <w:p w:rsidR="001E567E" w:rsidRPr="00911E62" w:rsidRDefault="001E567E" w:rsidP="00B6399C">
            <w:pPr>
              <w:keepNext/>
              <w:jc w:val="center"/>
              <w:rPr>
                <w:rFonts w:ascii="Arial Narrow" w:hAnsi="Arial Narrow"/>
                <w:b/>
                <w:sz w:val="20"/>
                <w:szCs w:val="20"/>
              </w:rPr>
            </w:pPr>
            <w:r w:rsidRPr="00911E62">
              <w:rPr>
                <w:rFonts w:ascii="Arial Narrow" w:hAnsi="Arial Narrow"/>
                <w:b/>
                <w:sz w:val="20"/>
                <w:szCs w:val="20"/>
              </w:rPr>
              <w:t>46 (27, 64)</w:t>
            </w:r>
          </w:p>
        </w:tc>
      </w:tr>
      <w:tr w:rsidR="001E567E" w:rsidRPr="00B33C66" w:rsidTr="00647067">
        <w:tc>
          <w:tcPr>
            <w:tcW w:w="1276" w:type="dxa"/>
            <w:tcBorders>
              <w:top w:val="nil"/>
              <w:left w:val="nil"/>
              <w:bottom w:val="nil"/>
              <w:right w:val="nil"/>
            </w:tcBorders>
            <w:vAlign w:val="center"/>
          </w:tcPr>
          <w:p w:rsidR="001E567E" w:rsidRDefault="001E567E" w:rsidP="00B6399C">
            <w:pPr>
              <w:keepNext/>
              <w:rPr>
                <w:rFonts w:ascii="Arial Narrow" w:hAnsi="Arial Narrow"/>
                <w:sz w:val="20"/>
                <w:szCs w:val="20"/>
              </w:rPr>
            </w:pPr>
            <w:r>
              <w:rPr>
                <w:rFonts w:ascii="Arial Narrow" w:hAnsi="Arial Narrow"/>
                <w:sz w:val="20"/>
                <w:szCs w:val="20"/>
              </w:rPr>
              <w:t>ETHOS</w:t>
            </w:r>
            <w:r w:rsidRPr="00B26F89">
              <w:rPr>
                <w:rFonts w:cs="Calibri"/>
                <w:sz w:val="20"/>
                <w:szCs w:val="20"/>
                <w:vertAlign w:val="superscript"/>
              </w:rPr>
              <w:t>‡</w:t>
            </w:r>
          </w:p>
        </w:tc>
        <w:tc>
          <w:tcPr>
            <w:tcW w:w="1559"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99 (82, 116)</w:t>
            </w:r>
          </w:p>
        </w:tc>
        <w:tc>
          <w:tcPr>
            <w:tcW w:w="1560"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34 (17, 52)</w:t>
            </w:r>
          </w:p>
        </w:tc>
        <w:tc>
          <w:tcPr>
            <w:tcW w:w="1559"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44 (27, 62)</w:t>
            </w:r>
          </w:p>
        </w:tc>
        <w:tc>
          <w:tcPr>
            <w:tcW w:w="1485" w:type="dxa"/>
            <w:tcBorders>
              <w:top w:val="nil"/>
              <w:left w:val="nil"/>
              <w:bottom w:val="nil"/>
              <w:right w:val="nil"/>
            </w:tcBorders>
            <w:vAlign w:val="center"/>
          </w:tcPr>
          <w:p w:rsidR="001E567E" w:rsidRPr="003458ED" w:rsidRDefault="001E567E" w:rsidP="00B6399C">
            <w:pPr>
              <w:keepNext/>
              <w:jc w:val="center"/>
              <w:rPr>
                <w:rFonts w:ascii="Arial Narrow" w:hAnsi="Arial Narrow"/>
                <w:b/>
                <w:sz w:val="20"/>
                <w:szCs w:val="20"/>
              </w:rPr>
            </w:pPr>
            <w:r w:rsidRPr="003458ED">
              <w:rPr>
                <w:rFonts w:ascii="Arial Narrow" w:hAnsi="Arial Narrow"/>
                <w:b/>
                <w:sz w:val="20"/>
                <w:szCs w:val="20"/>
              </w:rPr>
              <w:t>65 (40, 89)</w:t>
            </w:r>
          </w:p>
        </w:tc>
        <w:tc>
          <w:tcPr>
            <w:tcW w:w="1577" w:type="dxa"/>
            <w:tcBorders>
              <w:top w:val="nil"/>
              <w:left w:val="nil"/>
              <w:bottom w:val="nil"/>
              <w:right w:val="nil"/>
            </w:tcBorders>
            <w:vAlign w:val="center"/>
          </w:tcPr>
          <w:p w:rsidR="001E567E" w:rsidRPr="003458ED" w:rsidRDefault="001E567E" w:rsidP="00B6399C">
            <w:pPr>
              <w:keepNext/>
              <w:jc w:val="center"/>
              <w:rPr>
                <w:rFonts w:ascii="Arial Narrow" w:hAnsi="Arial Narrow"/>
                <w:b/>
                <w:sz w:val="20"/>
                <w:szCs w:val="20"/>
              </w:rPr>
            </w:pPr>
            <w:r w:rsidRPr="003458ED">
              <w:rPr>
                <w:rFonts w:ascii="Arial Narrow" w:hAnsi="Arial Narrow"/>
                <w:b/>
                <w:sz w:val="20"/>
                <w:szCs w:val="20"/>
              </w:rPr>
              <w:t>55 (30, 79)</w:t>
            </w:r>
          </w:p>
        </w:tc>
      </w:tr>
      <w:tr w:rsidR="001E567E" w:rsidRPr="00B33C66" w:rsidTr="00647067">
        <w:tc>
          <w:tcPr>
            <w:tcW w:w="1276" w:type="dxa"/>
            <w:tcBorders>
              <w:top w:val="nil"/>
              <w:left w:val="nil"/>
              <w:bottom w:val="nil"/>
              <w:right w:val="nil"/>
            </w:tcBorders>
          </w:tcPr>
          <w:p w:rsidR="001E567E" w:rsidRDefault="001E567E" w:rsidP="00B6399C">
            <w:pPr>
              <w:keepNext/>
              <w:rPr>
                <w:rFonts w:ascii="Arial Narrow" w:hAnsi="Arial Narrow"/>
                <w:sz w:val="20"/>
                <w:szCs w:val="20"/>
              </w:rPr>
            </w:pPr>
          </w:p>
        </w:tc>
        <w:tc>
          <w:tcPr>
            <w:tcW w:w="1559"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FF/UMEC/VI</w:t>
            </w:r>
          </w:p>
        </w:tc>
        <w:tc>
          <w:tcPr>
            <w:tcW w:w="1560"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FF/VI</w:t>
            </w:r>
          </w:p>
        </w:tc>
        <w:tc>
          <w:tcPr>
            <w:tcW w:w="1559"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UMEC/VI</w:t>
            </w:r>
          </w:p>
        </w:tc>
        <w:tc>
          <w:tcPr>
            <w:tcW w:w="1485"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p>
        </w:tc>
        <w:tc>
          <w:tcPr>
            <w:tcW w:w="1577"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B6399C">
            <w:pPr>
              <w:keepNext/>
              <w:rPr>
                <w:rFonts w:ascii="Arial Narrow" w:hAnsi="Arial Narrow"/>
                <w:sz w:val="20"/>
                <w:szCs w:val="20"/>
              </w:rPr>
            </w:pPr>
            <w:r>
              <w:rPr>
                <w:rFonts w:ascii="Arial Narrow" w:hAnsi="Arial Narrow"/>
                <w:sz w:val="20"/>
                <w:szCs w:val="20"/>
              </w:rPr>
              <w:t>IMPACT</w:t>
            </w:r>
          </w:p>
        </w:tc>
        <w:tc>
          <w:tcPr>
            <w:tcW w:w="1559"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94 (86, 102)</w:t>
            </w:r>
          </w:p>
        </w:tc>
        <w:tc>
          <w:tcPr>
            <w:tcW w:w="1560"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-3 (-12, 6)</w:t>
            </w:r>
          </w:p>
        </w:tc>
        <w:tc>
          <w:tcPr>
            <w:tcW w:w="1559" w:type="dxa"/>
            <w:tcBorders>
              <w:top w:val="nil"/>
              <w:left w:val="nil"/>
              <w:bottom w:val="nil"/>
              <w:right w:val="nil"/>
            </w:tcBorders>
            <w:vAlign w:val="center"/>
          </w:tcPr>
          <w:p w:rsidR="001E567E" w:rsidRPr="003458ED" w:rsidRDefault="001E567E" w:rsidP="00B6399C">
            <w:pPr>
              <w:keepNext/>
              <w:jc w:val="center"/>
              <w:rPr>
                <w:rFonts w:ascii="Arial Narrow" w:hAnsi="Arial Narrow"/>
                <w:sz w:val="20"/>
                <w:szCs w:val="20"/>
              </w:rPr>
            </w:pPr>
            <w:r w:rsidRPr="003458ED">
              <w:rPr>
                <w:rFonts w:ascii="Arial Narrow" w:hAnsi="Arial Narrow"/>
                <w:sz w:val="20"/>
                <w:szCs w:val="20"/>
              </w:rPr>
              <w:t>40 (28, 52)</w:t>
            </w:r>
          </w:p>
        </w:tc>
        <w:tc>
          <w:tcPr>
            <w:tcW w:w="1485" w:type="dxa"/>
            <w:tcBorders>
              <w:top w:val="nil"/>
              <w:left w:val="nil"/>
              <w:bottom w:val="nil"/>
              <w:right w:val="nil"/>
            </w:tcBorders>
            <w:vAlign w:val="center"/>
          </w:tcPr>
          <w:p w:rsidR="001E567E" w:rsidRPr="003458ED" w:rsidRDefault="001E567E" w:rsidP="00B6399C">
            <w:pPr>
              <w:keepNext/>
              <w:jc w:val="center"/>
              <w:rPr>
                <w:rFonts w:ascii="Arial Narrow" w:hAnsi="Arial Narrow"/>
                <w:b/>
                <w:sz w:val="20"/>
                <w:szCs w:val="20"/>
              </w:rPr>
            </w:pPr>
            <w:r w:rsidRPr="003458ED">
              <w:rPr>
                <w:rFonts w:ascii="Arial Narrow" w:hAnsi="Arial Narrow"/>
                <w:b/>
                <w:sz w:val="20"/>
                <w:szCs w:val="20"/>
              </w:rPr>
              <w:t>97 (85, 109)</w:t>
            </w:r>
          </w:p>
        </w:tc>
        <w:tc>
          <w:tcPr>
            <w:tcW w:w="1577" w:type="dxa"/>
            <w:tcBorders>
              <w:top w:val="nil"/>
              <w:left w:val="nil"/>
              <w:bottom w:val="nil"/>
              <w:right w:val="nil"/>
            </w:tcBorders>
            <w:vAlign w:val="center"/>
          </w:tcPr>
          <w:p w:rsidR="001E567E" w:rsidRPr="003458ED" w:rsidRDefault="001E567E" w:rsidP="00B6399C">
            <w:pPr>
              <w:keepNext/>
              <w:jc w:val="center"/>
              <w:rPr>
                <w:rFonts w:ascii="Arial Narrow" w:hAnsi="Arial Narrow"/>
                <w:b/>
                <w:sz w:val="20"/>
                <w:szCs w:val="20"/>
              </w:rPr>
            </w:pPr>
            <w:r w:rsidRPr="003458ED">
              <w:rPr>
                <w:rFonts w:ascii="Arial Narrow" w:hAnsi="Arial Narrow"/>
                <w:b/>
                <w:sz w:val="20"/>
                <w:szCs w:val="20"/>
              </w:rPr>
              <w:t>54 (39, 69)</w:t>
            </w:r>
          </w:p>
        </w:tc>
      </w:tr>
      <w:tr w:rsidR="001E567E" w:rsidRPr="00B33C66" w:rsidTr="00647067">
        <w:tc>
          <w:tcPr>
            <w:tcW w:w="1276" w:type="dxa"/>
            <w:tcBorders>
              <w:top w:val="nil"/>
              <w:left w:val="nil"/>
              <w:bottom w:val="nil"/>
              <w:right w:val="nil"/>
            </w:tcBorders>
          </w:tcPr>
          <w:p w:rsidR="001E567E" w:rsidRPr="00B33C66" w:rsidRDefault="001E567E" w:rsidP="00647067">
            <w:pPr>
              <w:rPr>
                <w:rFonts w:ascii="Arial Narrow" w:hAnsi="Arial Narrow"/>
                <w:sz w:val="20"/>
                <w:szCs w:val="20"/>
              </w:rPr>
            </w:pP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BEC/GLY/FOR</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BEC/FOR</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GLY/IND</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TRILOGY</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71 (50, 93)</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8 (-14, 30)</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63 (32, 94)</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r>
      <w:tr w:rsidR="001E567E" w:rsidRPr="00B33C66" w:rsidTr="00647067">
        <w:tc>
          <w:tcPr>
            <w:tcW w:w="1276" w:type="dxa"/>
            <w:tcBorders>
              <w:top w:val="nil"/>
              <w:left w:val="nil"/>
              <w:bottom w:val="single" w:sz="4" w:space="0" w:color="auto"/>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TRIBUTE</w:t>
            </w:r>
          </w:p>
        </w:tc>
        <w:tc>
          <w:tcPr>
            <w:tcW w:w="1559"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-29 (-46, 12)</w:t>
            </w:r>
          </w:p>
        </w:tc>
        <w:tc>
          <w:tcPr>
            <w:tcW w:w="1560"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559"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-49 (-66, -31)</w:t>
            </w:r>
          </w:p>
        </w:tc>
        <w:tc>
          <w:tcPr>
            <w:tcW w:w="1485"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577" w:type="dxa"/>
            <w:tcBorders>
              <w:top w:val="nil"/>
              <w:left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19 (-5, 43)</w:t>
            </w:r>
          </w:p>
        </w:tc>
      </w:tr>
      <w:tr w:rsidR="001E567E" w:rsidRPr="00B33C66" w:rsidTr="00647067">
        <w:tc>
          <w:tcPr>
            <w:tcW w:w="5954" w:type="dxa"/>
            <w:gridSpan w:val="4"/>
            <w:tcBorders>
              <w:left w:val="nil"/>
              <w:bottom w:val="single" w:sz="4" w:space="0" w:color="auto"/>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b/>
                <w:bCs/>
                <w:sz w:val="20"/>
                <w:szCs w:val="20"/>
              </w:rPr>
              <w:t>SGRQ score, LS mean change from baseline</w:t>
            </w:r>
          </w:p>
        </w:tc>
        <w:tc>
          <w:tcPr>
            <w:tcW w:w="1485" w:type="dxa"/>
            <w:tcBorders>
              <w:left w:val="nil"/>
              <w:bottom w:val="single" w:sz="4" w:space="0" w:color="auto"/>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c>
          <w:tcPr>
            <w:tcW w:w="1577" w:type="dxa"/>
            <w:tcBorders>
              <w:left w:val="nil"/>
              <w:bottom w:val="single" w:sz="4" w:space="0" w:color="auto"/>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r>
      <w:tr w:rsidR="001E567E" w:rsidRPr="00B33C66" w:rsidTr="00647067">
        <w:tc>
          <w:tcPr>
            <w:tcW w:w="1276" w:type="dxa"/>
            <w:tcBorders>
              <w:left w:val="nil"/>
              <w:bottom w:val="nil"/>
              <w:right w:val="nil"/>
            </w:tcBorders>
          </w:tcPr>
          <w:p w:rsidR="001E567E" w:rsidRDefault="001E567E" w:rsidP="00647067">
            <w:pPr>
              <w:rPr>
                <w:rFonts w:ascii="Arial Narrow" w:hAnsi="Arial Narrow"/>
                <w:sz w:val="20"/>
                <w:szCs w:val="20"/>
              </w:rPr>
            </w:pPr>
          </w:p>
        </w:tc>
        <w:tc>
          <w:tcPr>
            <w:tcW w:w="1559" w:type="dxa"/>
            <w:tcBorders>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BUD/GLY/FOR</w:t>
            </w:r>
          </w:p>
        </w:tc>
        <w:tc>
          <w:tcPr>
            <w:tcW w:w="1560" w:type="dxa"/>
            <w:tcBorders>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BUD/FOR</w:t>
            </w:r>
          </w:p>
        </w:tc>
        <w:tc>
          <w:tcPr>
            <w:tcW w:w="1559" w:type="dxa"/>
            <w:tcBorders>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GLY/FOR</w:t>
            </w:r>
          </w:p>
        </w:tc>
        <w:tc>
          <w:tcPr>
            <w:tcW w:w="1485" w:type="dxa"/>
            <w:tcBorders>
              <w:left w:val="nil"/>
              <w:bottom w:val="nil"/>
              <w:right w:val="nil"/>
            </w:tcBorders>
            <w:vAlign w:val="center"/>
          </w:tcPr>
          <w:p w:rsidR="001E567E" w:rsidRPr="003458ED" w:rsidRDefault="001E567E" w:rsidP="00647067">
            <w:pPr>
              <w:jc w:val="center"/>
              <w:rPr>
                <w:rFonts w:ascii="Arial Narrow" w:hAnsi="Arial Narrow"/>
                <w:sz w:val="20"/>
                <w:szCs w:val="20"/>
              </w:rPr>
            </w:pPr>
          </w:p>
        </w:tc>
        <w:tc>
          <w:tcPr>
            <w:tcW w:w="1577" w:type="dxa"/>
            <w:tcBorders>
              <w:left w:val="nil"/>
              <w:bottom w:val="nil"/>
              <w:right w:val="nil"/>
            </w:tcBorders>
            <w:vAlign w:val="center"/>
          </w:tcPr>
          <w:p w:rsidR="001E567E" w:rsidRPr="003458ED" w:rsidRDefault="001E567E" w:rsidP="00647067">
            <w:pPr>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ETHOS</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-6.4 (-6.9, -5.9)</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-5.1 (-5.6, -4.6)</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-4.8 (-5.3, -4.3)</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-1.3 (-2.0, -0.6)</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-1.6 (-2.3, -0.9)</w:t>
            </w:r>
          </w:p>
        </w:tc>
      </w:tr>
      <w:tr w:rsidR="001E567E" w:rsidRPr="00B33C66" w:rsidTr="00647067">
        <w:tc>
          <w:tcPr>
            <w:tcW w:w="1276" w:type="dxa"/>
            <w:tcBorders>
              <w:top w:val="nil"/>
              <w:left w:val="nil"/>
              <w:bottom w:val="nil"/>
              <w:right w:val="nil"/>
            </w:tcBorders>
            <w:vAlign w:val="center"/>
          </w:tcPr>
          <w:p w:rsidR="001E567E" w:rsidRDefault="001E567E" w:rsidP="00647067">
            <w:pPr>
              <w:rPr>
                <w:rFonts w:ascii="Arial Narrow" w:hAnsi="Arial Narrow"/>
                <w:sz w:val="20"/>
                <w:szCs w:val="20"/>
              </w:rPr>
            </w:pPr>
            <w:r>
              <w:rPr>
                <w:rFonts w:ascii="Arial Narrow" w:hAnsi="Arial Narrow"/>
                <w:sz w:val="20"/>
                <w:szCs w:val="20"/>
              </w:rPr>
              <w:t>ETHOS</w:t>
            </w:r>
            <w:r w:rsidRPr="00B26F89">
              <w:rPr>
                <w:rFonts w:cs="Calibri"/>
                <w:sz w:val="20"/>
                <w:szCs w:val="20"/>
                <w:vertAlign w:val="superscript"/>
              </w:rPr>
              <w:t>‡</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-6.4 (-7.0, -5.7)</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-4.9 (-5.6, -4.2)</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-4.5 (-5.2, -3.8)</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-1.5 (-2.4, -0.5)</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-1.9 (-2.8, -0.9)</w:t>
            </w:r>
          </w:p>
        </w:tc>
      </w:tr>
      <w:tr w:rsidR="001E567E" w:rsidRPr="00B33C66" w:rsidTr="00647067">
        <w:tc>
          <w:tcPr>
            <w:tcW w:w="1276" w:type="dxa"/>
            <w:tcBorders>
              <w:top w:val="nil"/>
              <w:left w:val="nil"/>
              <w:bottom w:val="nil"/>
              <w:right w:val="nil"/>
            </w:tcBorders>
          </w:tcPr>
          <w:p w:rsidR="001E567E" w:rsidRDefault="001E567E" w:rsidP="00647067">
            <w:pPr>
              <w:rPr>
                <w:rFonts w:ascii="Arial Narrow" w:hAnsi="Arial Narrow"/>
                <w:sz w:val="20"/>
                <w:szCs w:val="20"/>
              </w:rPr>
            </w:pP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FF/UMEC/VI</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FF/VI</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UMEC/VI</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p>
        </w:tc>
      </w:tr>
      <w:tr w:rsidR="001E567E" w:rsidRPr="00467A08" w:rsidTr="00647067">
        <w:tc>
          <w:tcPr>
            <w:tcW w:w="1276" w:type="dxa"/>
            <w:tcBorders>
              <w:top w:val="nil"/>
              <w:left w:val="nil"/>
              <w:bottom w:val="nil"/>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IMPACT</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-5.5 (-5.9, 5.0)</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-3.7 (-4.2, -3.2)</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-3.7 (-4.4, 3.0)</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-1.8 (-2.4, -1.1)</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-1.8 (-2.6, -1.0)</w:t>
            </w:r>
          </w:p>
        </w:tc>
      </w:tr>
      <w:tr w:rsidR="001E567E" w:rsidRPr="00B33C66" w:rsidTr="00647067">
        <w:tc>
          <w:tcPr>
            <w:tcW w:w="1276" w:type="dxa"/>
            <w:tcBorders>
              <w:top w:val="nil"/>
              <w:left w:val="nil"/>
              <w:bottom w:val="nil"/>
              <w:right w:val="nil"/>
            </w:tcBorders>
          </w:tcPr>
          <w:p w:rsidR="001E567E" w:rsidRPr="00B33C66" w:rsidRDefault="001E567E" w:rsidP="00647067">
            <w:pPr>
              <w:rPr>
                <w:rFonts w:ascii="Arial Narrow" w:hAnsi="Arial Narrow"/>
                <w:sz w:val="20"/>
                <w:szCs w:val="20"/>
              </w:rPr>
            </w:pP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BEC/GLY/FOR</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BEC/FOR</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GLY/IND</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TRILOGY</w:t>
            </w:r>
            <w:r w:rsidRPr="00B26F89">
              <w:rPr>
                <w:rFonts w:ascii="Arial Narrow" w:hAnsi="Arial Narrow"/>
                <w:sz w:val="20"/>
                <w:szCs w:val="20"/>
                <w:vertAlign w:val="superscript"/>
              </w:rPr>
              <w:t>#</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-5.1 (-6.2, -4.1)</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-3.4 (-4.5, -2.4)</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-1.7 (-3.2, -0.17)</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r>
      <w:tr w:rsidR="001E567E" w:rsidRPr="00B33C66" w:rsidTr="00647067">
        <w:tc>
          <w:tcPr>
            <w:tcW w:w="1276" w:type="dxa"/>
            <w:tcBorders>
              <w:top w:val="nil"/>
              <w:left w:val="nil"/>
              <w:bottom w:val="single" w:sz="4" w:space="0" w:color="auto"/>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TRIBUTE</w:t>
            </w:r>
          </w:p>
        </w:tc>
        <w:tc>
          <w:tcPr>
            <w:tcW w:w="1559"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-3.5 (-4.4, -2.6)</w:t>
            </w:r>
          </w:p>
        </w:tc>
        <w:tc>
          <w:tcPr>
            <w:tcW w:w="1560"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559"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-1.8 (-2.7, -1.0)</w:t>
            </w:r>
          </w:p>
        </w:tc>
        <w:tc>
          <w:tcPr>
            <w:tcW w:w="1485"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577"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-1.6 (-2.9, -0.4)</w:t>
            </w:r>
          </w:p>
        </w:tc>
      </w:tr>
      <w:tr w:rsidR="001E567E" w:rsidRPr="00B33C66" w:rsidTr="00647067">
        <w:tc>
          <w:tcPr>
            <w:tcW w:w="5954" w:type="dxa"/>
            <w:gridSpan w:val="4"/>
            <w:tcBorders>
              <w:top w:val="single" w:sz="4" w:space="0" w:color="auto"/>
              <w:left w:val="nil"/>
              <w:bottom w:val="single" w:sz="4" w:space="0" w:color="auto"/>
              <w:right w:val="nil"/>
            </w:tcBorders>
            <w:vAlign w:val="center"/>
          </w:tcPr>
          <w:p w:rsidR="001E567E" w:rsidRPr="003458ED" w:rsidRDefault="001E567E" w:rsidP="00647067">
            <w:pPr>
              <w:rPr>
                <w:rFonts w:ascii="Arial Narrow" w:hAnsi="Arial Narrow"/>
                <w:b/>
                <w:bCs/>
                <w:sz w:val="20"/>
                <w:szCs w:val="20"/>
              </w:rPr>
            </w:pPr>
            <w:r w:rsidRPr="003458ED">
              <w:rPr>
                <w:rFonts w:ascii="Arial Narrow" w:hAnsi="Arial Narrow"/>
                <w:b/>
                <w:bCs/>
                <w:sz w:val="20"/>
                <w:szCs w:val="20"/>
              </w:rPr>
              <w:t>Daily puffs of rescue medication, LS mean change from baseline</w:t>
            </w:r>
          </w:p>
        </w:tc>
        <w:tc>
          <w:tcPr>
            <w:tcW w:w="1485" w:type="dxa"/>
            <w:tcBorders>
              <w:top w:val="single" w:sz="4" w:space="0" w:color="auto"/>
              <w:left w:val="nil"/>
              <w:bottom w:val="single" w:sz="4" w:space="0" w:color="auto"/>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c>
          <w:tcPr>
            <w:tcW w:w="1577" w:type="dxa"/>
            <w:tcBorders>
              <w:top w:val="single" w:sz="4" w:space="0" w:color="auto"/>
              <w:left w:val="nil"/>
              <w:bottom w:val="single" w:sz="4" w:space="0" w:color="auto"/>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r>
      <w:tr w:rsidR="001E567E" w:rsidRPr="00B33C66" w:rsidTr="00647067">
        <w:tc>
          <w:tcPr>
            <w:tcW w:w="1276" w:type="dxa"/>
            <w:tcBorders>
              <w:top w:val="single" w:sz="4" w:space="0" w:color="auto"/>
              <w:left w:val="nil"/>
              <w:bottom w:val="nil"/>
              <w:right w:val="nil"/>
            </w:tcBorders>
          </w:tcPr>
          <w:p w:rsidR="001E567E" w:rsidRDefault="001E567E" w:rsidP="00647067">
            <w:pPr>
              <w:rPr>
                <w:rFonts w:ascii="Arial Narrow" w:hAnsi="Arial Narrow"/>
                <w:sz w:val="20"/>
                <w:szCs w:val="20"/>
              </w:rPr>
            </w:pPr>
          </w:p>
        </w:tc>
        <w:tc>
          <w:tcPr>
            <w:tcW w:w="1559" w:type="dxa"/>
            <w:tcBorders>
              <w:top w:val="single" w:sz="4" w:space="0" w:color="auto"/>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BUD/GLY/FOR</w:t>
            </w:r>
          </w:p>
        </w:tc>
        <w:tc>
          <w:tcPr>
            <w:tcW w:w="1560" w:type="dxa"/>
            <w:tcBorders>
              <w:top w:val="single" w:sz="4" w:space="0" w:color="auto"/>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BUD/FOR</w:t>
            </w:r>
          </w:p>
        </w:tc>
        <w:tc>
          <w:tcPr>
            <w:tcW w:w="1559" w:type="dxa"/>
            <w:tcBorders>
              <w:top w:val="single" w:sz="4" w:space="0" w:color="auto"/>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GLY/FOR</w:t>
            </w:r>
          </w:p>
        </w:tc>
        <w:tc>
          <w:tcPr>
            <w:tcW w:w="1485" w:type="dxa"/>
            <w:tcBorders>
              <w:top w:val="single" w:sz="4" w:space="0" w:color="auto"/>
              <w:left w:val="nil"/>
              <w:bottom w:val="nil"/>
              <w:right w:val="nil"/>
            </w:tcBorders>
            <w:vAlign w:val="center"/>
          </w:tcPr>
          <w:p w:rsidR="001E567E" w:rsidRPr="003458ED" w:rsidRDefault="001E567E" w:rsidP="00647067">
            <w:pPr>
              <w:jc w:val="center"/>
              <w:rPr>
                <w:rFonts w:ascii="Arial Narrow" w:hAnsi="Arial Narrow"/>
                <w:sz w:val="20"/>
                <w:szCs w:val="20"/>
              </w:rPr>
            </w:pPr>
          </w:p>
        </w:tc>
        <w:tc>
          <w:tcPr>
            <w:tcW w:w="1577" w:type="dxa"/>
            <w:tcBorders>
              <w:top w:val="single" w:sz="4" w:space="0" w:color="auto"/>
              <w:left w:val="nil"/>
              <w:bottom w:val="nil"/>
              <w:right w:val="nil"/>
            </w:tcBorders>
            <w:vAlign w:val="center"/>
          </w:tcPr>
          <w:p w:rsidR="001E567E" w:rsidRPr="003458ED" w:rsidRDefault="001E567E" w:rsidP="00647067">
            <w:pPr>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ETHOS</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-0.6 (-0.7, -0.5)</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-0.3 (-0.4, -0.2)</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-0.2 (-0.3, -0.1)</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-0.30 (-0.43, -0.17)</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-0.41 (-0.54, -0.28)</w:t>
            </w:r>
          </w:p>
        </w:tc>
      </w:tr>
      <w:tr w:rsidR="001E567E" w:rsidRPr="00B33C66" w:rsidTr="00647067">
        <w:tc>
          <w:tcPr>
            <w:tcW w:w="1276" w:type="dxa"/>
            <w:tcBorders>
              <w:top w:val="nil"/>
              <w:left w:val="nil"/>
              <w:bottom w:val="nil"/>
              <w:right w:val="nil"/>
            </w:tcBorders>
            <w:vAlign w:val="center"/>
          </w:tcPr>
          <w:p w:rsidR="001E567E" w:rsidRDefault="001E567E" w:rsidP="00647067">
            <w:pPr>
              <w:rPr>
                <w:rFonts w:ascii="Arial Narrow" w:hAnsi="Arial Narrow"/>
                <w:sz w:val="20"/>
                <w:szCs w:val="20"/>
              </w:rPr>
            </w:pPr>
            <w:r>
              <w:rPr>
                <w:rFonts w:ascii="Arial Narrow" w:hAnsi="Arial Narrow"/>
                <w:sz w:val="20"/>
                <w:szCs w:val="20"/>
              </w:rPr>
              <w:t>ETHOS</w:t>
            </w:r>
            <w:r w:rsidRPr="00B26F89">
              <w:rPr>
                <w:rFonts w:cs="Calibri"/>
                <w:sz w:val="20"/>
                <w:szCs w:val="20"/>
                <w:vertAlign w:val="superscript"/>
              </w:rPr>
              <w:t>‡</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-0.6 (-0.7, -0.5)</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-0.3 (-0.5, -0.2)</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-0.1 (-0.2, 0)</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-0.25 (-0.41, -0.09)</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-0.49 (-0.65, -0.32)</w:t>
            </w:r>
          </w:p>
        </w:tc>
      </w:tr>
      <w:tr w:rsidR="001E567E" w:rsidRPr="00B33C66" w:rsidTr="00647067">
        <w:tc>
          <w:tcPr>
            <w:tcW w:w="1276" w:type="dxa"/>
            <w:tcBorders>
              <w:top w:val="nil"/>
              <w:left w:val="nil"/>
              <w:bottom w:val="nil"/>
              <w:right w:val="nil"/>
            </w:tcBorders>
          </w:tcPr>
          <w:p w:rsidR="001E567E" w:rsidRPr="00B33C66" w:rsidRDefault="001E567E" w:rsidP="00647067">
            <w:pPr>
              <w:rPr>
                <w:rFonts w:ascii="Arial Narrow" w:hAnsi="Arial Narrow"/>
                <w:sz w:val="20"/>
                <w:szCs w:val="20"/>
              </w:rPr>
            </w:pP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BEC/GLY/FOR</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BEC/FOR</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GLY/IND</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p>
        </w:tc>
      </w:tr>
      <w:tr w:rsidR="001E567E" w:rsidRPr="00B33C66" w:rsidTr="00647067">
        <w:tc>
          <w:tcPr>
            <w:tcW w:w="1276" w:type="dxa"/>
            <w:tcBorders>
              <w:top w:val="nil"/>
              <w:left w:val="nil"/>
              <w:bottom w:val="nil"/>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TRILOGY</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-0.04 (-0.17, 0.09)</w:t>
            </w:r>
          </w:p>
        </w:tc>
        <w:tc>
          <w:tcPr>
            <w:tcW w:w="1560"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0.07 (-0.07, 0.21)</w:t>
            </w:r>
          </w:p>
        </w:tc>
        <w:tc>
          <w:tcPr>
            <w:tcW w:w="1559"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-0.11 (-0.30, 0.08)</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r>
      <w:tr w:rsidR="001E567E" w:rsidRPr="00531C35" w:rsidTr="00647067">
        <w:tc>
          <w:tcPr>
            <w:tcW w:w="1276" w:type="dxa"/>
            <w:tcBorders>
              <w:top w:val="nil"/>
              <w:left w:val="nil"/>
              <w:bottom w:val="single" w:sz="4" w:space="0" w:color="auto"/>
              <w:right w:val="nil"/>
            </w:tcBorders>
            <w:vAlign w:val="center"/>
          </w:tcPr>
          <w:p w:rsidR="001E567E" w:rsidRPr="00B33C66" w:rsidRDefault="001E567E" w:rsidP="00647067">
            <w:pPr>
              <w:rPr>
                <w:rFonts w:ascii="Arial Narrow" w:hAnsi="Arial Narrow"/>
                <w:sz w:val="20"/>
                <w:szCs w:val="20"/>
              </w:rPr>
            </w:pPr>
            <w:r>
              <w:rPr>
                <w:rFonts w:ascii="Arial Narrow" w:hAnsi="Arial Narrow"/>
                <w:sz w:val="20"/>
                <w:szCs w:val="20"/>
              </w:rPr>
              <w:t>TRIBUTE</w:t>
            </w:r>
            <w:r w:rsidRPr="00362A18">
              <w:rPr>
                <w:rFonts w:ascii="Arial Narrow" w:hAnsi="Arial Narrow"/>
                <w:sz w:val="20"/>
                <w:szCs w:val="20"/>
              </w:rPr>
              <w:t>^</w:t>
            </w:r>
          </w:p>
        </w:tc>
        <w:tc>
          <w:tcPr>
            <w:tcW w:w="1559"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-0.29 (-0.41, -0.16)</w:t>
            </w:r>
          </w:p>
        </w:tc>
        <w:tc>
          <w:tcPr>
            <w:tcW w:w="1560"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559"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-0·25 (-0.37, -0.12)</w:t>
            </w:r>
          </w:p>
        </w:tc>
        <w:tc>
          <w:tcPr>
            <w:tcW w:w="1485"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p>
        </w:tc>
        <w:tc>
          <w:tcPr>
            <w:tcW w:w="1577"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-0.04 (-0.22, 0.14)</w:t>
            </w:r>
          </w:p>
        </w:tc>
      </w:tr>
      <w:tr w:rsidR="001E567E" w:rsidRPr="00B33C66" w:rsidTr="00647067">
        <w:tc>
          <w:tcPr>
            <w:tcW w:w="5954" w:type="dxa"/>
            <w:gridSpan w:val="4"/>
            <w:vMerge w:val="restart"/>
            <w:tcBorders>
              <w:left w:val="nil"/>
              <w:right w:val="nil"/>
            </w:tcBorders>
            <w:vAlign w:val="center"/>
          </w:tcPr>
          <w:p w:rsidR="001E567E" w:rsidRPr="003458ED" w:rsidRDefault="001E567E" w:rsidP="00647067">
            <w:pPr>
              <w:rPr>
                <w:rFonts w:ascii="Arial Narrow" w:hAnsi="Arial Narrow"/>
                <w:b/>
                <w:bCs/>
                <w:sz w:val="20"/>
                <w:szCs w:val="20"/>
              </w:rPr>
            </w:pPr>
            <w:r w:rsidRPr="003458ED">
              <w:rPr>
                <w:rFonts w:ascii="Arial Narrow" w:hAnsi="Arial Narrow"/>
                <w:b/>
                <w:bCs/>
                <w:sz w:val="20"/>
                <w:szCs w:val="20"/>
              </w:rPr>
              <w:t>Indirect comparisons</w:t>
            </w:r>
          </w:p>
        </w:tc>
        <w:tc>
          <w:tcPr>
            <w:tcW w:w="3062" w:type="dxa"/>
            <w:gridSpan w:val="2"/>
            <w:tcBorders>
              <w:left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Common comparator</w:t>
            </w:r>
          </w:p>
        </w:tc>
      </w:tr>
      <w:tr w:rsidR="001E567E" w:rsidRPr="00B33C66" w:rsidTr="00647067">
        <w:tc>
          <w:tcPr>
            <w:tcW w:w="5954" w:type="dxa"/>
            <w:gridSpan w:val="4"/>
            <w:vMerge/>
            <w:tcBorders>
              <w:left w:val="nil"/>
              <w:bottom w:val="single" w:sz="4" w:space="0" w:color="auto"/>
              <w:right w:val="nil"/>
            </w:tcBorders>
            <w:vAlign w:val="center"/>
          </w:tcPr>
          <w:p w:rsidR="001E567E" w:rsidRPr="003458ED" w:rsidRDefault="001E567E" w:rsidP="00647067">
            <w:pPr>
              <w:rPr>
                <w:rFonts w:ascii="Arial Narrow" w:hAnsi="Arial Narrow"/>
                <w:b/>
                <w:bCs/>
                <w:sz w:val="20"/>
                <w:szCs w:val="20"/>
              </w:rPr>
            </w:pPr>
          </w:p>
        </w:tc>
        <w:tc>
          <w:tcPr>
            <w:tcW w:w="1485" w:type="dxa"/>
            <w:tcBorders>
              <w:left w:val="nil"/>
              <w:bottom w:val="single" w:sz="4" w:space="0" w:color="auto"/>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ICS/LABA</w:t>
            </w:r>
          </w:p>
        </w:tc>
        <w:tc>
          <w:tcPr>
            <w:tcW w:w="1577" w:type="dxa"/>
            <w:tcBorders>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b/>
                <w:bCs/>
                <w:sz w:val="20"/>
                <w:szCs w:val="20"/>
              </w:rPr>
              <w:t>LAMA/LABA</w:t>
            </w:r>
          </w:p>
        </w:tc>
      </w:tr>
      <w:tr w:rsidR="001E567E" w:rsidRPr="00B33C66" w:rsidTr="00647067">
        <w:tc>
          <w:tcPr>
            <w:tcW w:w="5954" w:type="dxa"/>
            <w:gridSpan w:val="4"/>
            <w:tcBorders>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b/>
                <w:bCs/>
                <w:sz w:val="20"/>
                <w:szCs w:val="20"/>
              </w:rPr>
              <w:t>Outcome: Moderate or severe exacerbations rate</w:t>
            </w:r>
          </w:p>
        </w:tc>
        <w:tc>
          <w:tcPr>
            <w:tcW w:w="1485" w:type="dxa"/>
            <w:tcBorders>
              <w:left w:val="nil"/>
              <w:bottom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RR</w:t>
            </w:r>
          </w:p>
        </w:tc>
        <w:tc>
          <w:tcPr>
            <w:tcW w:w="1577" w:type="dxa"/>
            <w:tcBorders>
              <w:left w:val="nil"/>
              <w:bottom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RR</w:t>
            </w:r>
          </w:p>
        </w:tc>
      </w:tr>
      <w:tr w:rsidR="001E567E" w:rsidRPr="00B33C66" w:rsidTr="00647067">
        <w:tc>
          <w:tcPr>
            <w:tcW w:w="5954" w:type="dxa"/>
            <w:gridSpan w:val="4"/>
            <w:tcBorders>
              <w:top w:val="nil"/>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 vs FF/UMEC/VI</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1.02 (0.91, 1.15)</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1.01 (0.90, 1.14)</w:t>
            </w:r>
          </w:p>
        </w:tc>
      </w:tr>
      <w:tr w:rsidR="001E567E" w:rsidRPr="00B33C66" w:rsidTr="00647067">
        <w:tc>
          <w:tcPr>
            <w:tcW w:w="5954" w:type="dxa"/>
            <w:gridSpan w:val="4"/>
            <w:tcBorders>
              <w:top w:val="nil"/>
              <w:left w:val="nil"/>
              <w:bottom w:val="single" w:sz="4" w:space="0" w:color="auto"/>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 vs BEC/GLY/FOR</w:t>
            </w:r>
          </w:p>
        </w:tc>
        <w:tc>
          <w:tcPr>
            <w:tcW w:w="1485"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1.13 (0.93, 1.37)</w:t>
            </w:r>
          </w:p>
        </w:tc>
        <w:tc>
          <w:tcPr>
            <w:tcW w:w="1577"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 xml:space="preserve"> 0.90 (0.74, 1.08)</w:t>
            </w:r>
          </w:p>
        </w:tc>
      </w:tr>
      <w:tr w:rsidR="001E567E" w:rsidRPr="00B33C66" w:rsidTr="00647067">
        <w:tc>
          <w:tcPr>
            <w:tcW w:w="5954" w:type="dxa"/>
            <w:gridSpan w:val="4"/>
            <w:tcBorders>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b/>
                <w:bCs/>
                <w:sz w:val="20"/>
                <w:szCs w:val="20"/>
              </w:rPr>
              <w:t>Outcome: Morning pre-dose trough FEV</w:t>
            </w:r>
            <w:r w:rsidRPr="003458ED">
              <w:rPr>
                <w:rFonts w:ascii="Arial Narrow" w:hAnsi="Arial Narrow"/>
                <w:b/>
                <w:bCs/>
                <w:sz w:val="20"/>
                <w:szCs w:val="20"/>
                <w:vertAlign w:val="subscript"/>
              </w:rPr>
              <w:t>1</w:t>
            </w:r>
            <w:r w:rsidRPr="003458ED">
              <w:rPr>
                <w:rFonts w:ascii="Arial Narrow" w:hAnsi="Arial Narrow"/>
                <w:b/>
                <w:bCs/>
                <w:sz w:val="20"/>
                <w:szCs w:val="20"/>
              </w:rPr>
              <w:t xml:space="preserve"> (mL)</w:t>
            </w:r>
          </w:p>
        </w:tc>
        <w:tc>
          <w:tcPr>
            <w:tcW w:w="1485" w:type="dxa"/>
            <w:tcBorders>
              <w:left w:val="nil"/>
              <w:bottom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c>
          <w:tcPr>
            <w:tcW w:w="1577" w:type="dxa"/>
            <w:tcBorders>
              <w:left w:val="nil"/>
              <w:bottom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r>
      <w:tr w:rsidR="001E567E" w:rsidRPr="00B33C66" w:rsidTr="00647067">
        <w:tc>
          <w:tcPr>
            <w:tcW w:w="5954" w:type="dxa"/>
            <w:gridSpan w:val="4"/>
            <w:tcBorders>
              <w:top w:val="nil"/>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 vs FF/UMEC/VI</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-25 (-47, -3)</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-8 (-31, 15)</w:t>
            </w:r>
          </w:p>
        </w:tc>
      </w:tr>
      <w:tr w:rsidR="001E567E" w:rsidTr="00647067">
        <w:tc>
          <w:tcPr>
            <w:tcW w:w="5954" w:type="dxa"/>
            <w:gridSpan w:val="4"/>
            <w:tcBorders>
              <w:top w:val="nil"/>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 vs BEC/GLY/FOR</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9 (-27, 45)</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27 (-3, 57)</w:t>
            </w:r>
          </w:p>
        </w:tc>
      </w:tr>
      <w:tr w:rsidR="001E567E" w:rsidRPr="00B33C66" w:rsidTr="00647067">
        <w:tc>
          <w:tcPr>
            <w:tcW w:w="5954" w:type="dxa"/>
            <w:gridSpan w:val="4"/>
            <w:tcBorders>
              <w:top w:val="nil"/>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w:t>
            </w:r>
            <w:r w:rsidRPr="003458ED">
              <w:rPr>
                <w:rFonts w:cs="Calibri"/>
                <w:sz w:val="20"/>
                <w:szCs w:val="20"/>
                <w:vertAlign w:val="superscript"/>
              </w:rPr>
              <w:t>‡</w:t>
            </w:r>
            <w:r w:rsidRPr="003458ED">
              <w:rPr>
                <w:rFonts w:ascii="Arial Narrow" w:hAnsi="Arial Narrow"/>
                <w:sz w:val="20"/>
                <w:szCs w:val="20"/>
              </w:rPr>
              <w:t xml:space="preserve"> vs FF/UMEC/VI</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-32 (-59, -5)</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1 (-28, 30)</w:t>
            </w:r>
          </w:p>
        </w:tc>
      </w:tr>
      <w:tr w:rsidR="001E567E" w:rsidRPr="00B33C66" w:rsidTr="00647067">
        <w:tc>
          <w:tcPr>
            <w:tcW w:w="5954" w:type="dxa"/>
            <w:gridSpan w:val="4"/>
            <w:tcBorders>
              <w:top w:val="nil"/>
              <w:left w:val="nil"/>
              <w:bottom w:val="single" w:sz="4" w:space="0" w:color="auto"/>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w:t>
            </w:r>
            <w:r w:rsidRPr="003458ED">
              <w:rPr>
                <w:rFonts w:cs="Calibri"/>
                <w:sz w:val="20"/>
                <w:szCs w:val="20"/>
                <w:vertAlign w:val="superscript"/>
              </w:rPr>
              <w:t>‡</w:t>
            </w:r>
            <w:r w:rsidRPr="003458ED">
              <w:rPr>
                <w:rFonts w:ascii="Arial Narrow" w:hAnsi="Arial Narrow"/>
                <w:sz w:val="20"/>
                <w:szCs w:val="20"/>
              </w:rPr>
              <w:t xml:space="preserve"> vs BEC/GLY/FOR</w:t>
            </w:r>
          </w:p>
        </w:tc>
        <w:tc>
          <w:tcPr>
            <w:tcW w:w="1485"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2 (-38, 42)</w:t>
            </w:r>
          </w:p>
        </w:tc>
        <w:tc>
          <w:tcPr>
            <w:tcW w:w="1577"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36 (2, 70)</w:t>
            </w:r>
          </w:p>
        </w:tc>
      </w:tr>
      <w:tr w:rsidR="001E567E" w:rsidRPr="00B33C66" w:rsidTr="00647067">
        <w:tc>
          <w:tcPr>
            <w:tcW w:w="5954" w:type="dxa"/>
            <w:gridSpan w:val="4"/>
            <w:tcBorders>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b/>
                <w:bCs/>
                <w:sz w:val="20"/>
                <w:szCs w:val="20"/>
              </w:rPr>
              <w:t>Outcome: SGRQ score</w:t>
            </w:r>
          </w:p>
        </w:tc>
        <w:tc>
          <w:tcPr>
            <w:tcW w:w="1485" w:type="dxa"/>
            <w:tcBorders>
              <w:left w:val="nil"/>
              <w:bottom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c>
          <w:tcPr>
            <w:tcW w:w="1577" w:type="dxa"/>
            <w:tcBorders>
              <w:left w:val="nil"/>
              <w:bottom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r>
      <w:tr w:rsidR="001E567E" w:rsidRPr="00B33C66" w:rsidTr="00647067">
        <w:tc>
          <w:tcPr>
            <w:tcW w:w="5954" w:type="dxa"/>
            <w:gridSpan w:val="4"/>
            <w:tcBorders>
              <w:top w:val="nil"/>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 vs FF/UMEC/VI</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0.49, (-0.41, 1.39)</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0.21 (-0.84, 1.26)</w:t>
            </w:r>
          </w:p>
        </w:tc>
      </w:tr>
      <w:tr w:rsidR="001E567E" w:rsidRPr="00B33C66" w:rsidTr="00647067">
        <w:tc>
          <w:tcPr>
            <w:tcW w:w="5954" w:type="dxa"/>
            <w:gridSpan w:val="4"/>
            <w:tcBorders>
              <w:top w:val="nil"/>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 vs BEC/GLY/FOR</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0.38, (-1.27, 2.03)</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0.05 (-1.36, 1.46)</w:t>
            </w:r>
          </w:p>
        </w:tc>
      </w:tr>
      <w:tr w:rsidR="001E567E" w:rsidRPr="00B33C66" w:rsidTr="00647067">
        <w:tc>
          <w:tcPr>
            <w:tcW w:w="5954" w:type="dxa"/>
            <w:gridSpan w:val="4"/>
            <w:tcBorders>
              <w:top w:val="nil"/>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w:t>
            </w:r>
            <w:r w:rsidRPr="003458ED">
              <w:rPr>
                <w:rFonts w:cs="Calibri"/>
                <w:sz w:val="20"/>
                <w:szCs w:val="20"/>
                <w:vertAlign w:val="superscript"/>
              </w:rPr>
              <w:t>‡</w:t>
            </w:r>
            <w:r w:rsidRPr="003458ED">
              <w:rPr>
                <w:rFonts w:ascii="Arial Narrow" w:hAnsi="Arial Narrow"/>
                <w:sz w:val="20"/>
                <w:szCs w:val="20"/>
              </w:rPr>
              <w:t xml:space="preserve"> vs FF/UMEC/VI</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0.33 (-0.83, 1.49)</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-0.08 (-1.33, 1.17)</w:t>
            </w:r>
          </w:p>
        </w:tc>
      </w:tr>
      <w:tr w:rsidR="001E567E" w:rsidRPr="00B33C66" w:rsidTr="00647067">
        <w:tc>
          <w:tcPr>
            <w:tcW w:w="5954" w:type="dxa"/>
            <w:gridSpan w:val="4"/>
            <w:tcBorders>
              <w:top w:val="nil"/>
              <w:left w:val="nil"/>
              <w:bottom w:val="single" w:sz="4" w:space="0" w:color="auto"/>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w:t>
            </w:r>
            <w:r w:rsidRPr="003458ED">
              <w:rPr>
                <w:rFonts w:cs="Calibri"/>
                <w:sz w:val="20"/>
                <w:szCs w:val="20"/>
                <w:vertAlign w:val="superscript"/>
              </w:rPr>
              <w:t>‡</w:t>
            </w:r>
            <w:r w:rsidRPr="003458ED">
              <w:rPr>
                <w:rFonts w:ascii="Arial Narrow" w:hAnsi="Arial Narrow"/>
                <w:sz w:val="20"/>
                <w:szCs w:val="20"/>
              </w:rPr>
              <w:t xml:space="preserve"> vs BEC/GLY/FOR</w:t>
            </w:r>
          </w:p>
        </w:tc>
        <w:tc>
          <w:tcPr>
            <w:tcW w:w="1485"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0.22 (-1.57, 2.01)</w:t>
            </w:r>
          </w:p>
        </w:tc>
        <w:tc>
          <w:tcPr>
            <w:tcW w:w="1577"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-0.24 (-1.81, 1.33)</w:t>
            </w:r>
          </w:p>
        </w:tc>
      </w:tr>
      <w:tr w:rsidR="001E567E" w:rsidRPr="00B33C66" w:rsidTr="00647067">
        <w:tc>
          <w:tcPr>
            <w:tcW w:w="5954" w:type="dxa"/>
            <w:gridSpan w:val="4"/>
            <w:tcBorders>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b/>
                <w:bCs/>
                <w:sz w:val="20"/>
                <w:szCs w:val="20"/>
              </w:rPr>
              <w:t>Outcome: Daily puffs of rescue medication</w:t>
            </w:r>
          </w:p>
        </w:tc>
        <w:tc>
          <w:tcPr>
            <w:tcW w:w="1485" w:type="dxa"/>
            <w:tcBorders>
              <w:left w:val="nil"/>
              <w:bottom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c>
          <w:tcPr>
            <w:tcW w:w="1577" w:type="dxa"/>
            <w:tcBorders>
              <w:left w:val="nil"/>
              <w:bottom w:val="nil"/>
              <w:right w:val="nil"/>
            </w:tcBorders>
            <w:vAlign w:val="center"/>
          </w:tcPr>
          <w:p w:rsidR="001E567E" w:rsidRPr="003458ED" w:rsidRDefault="001E567E" w:rsidP="00647067">
            <w:pPr>
              <w:jc w:val="center"/>
              <w:rPr>
                <w:rFonts w:ascii="Arial Narrow" w:hAnsi="Arial Narrow"/>
                <w:b/>
                <w:bCs/>
                <w:sz w:val="20"/>
                <w:szCs w:val="20"/>
              </w:rPr>
            </w:pPr>
            <w:r w:rsidRPr="003458ED">
              <w:rPr>
                <w:rFonts w:ascii="Arial Narrow" w:hAnsi="Arial Narrow"/>
                <w:b/>
                <w:bCs/>
                <w:sz w:val="20"/>
                <w:szCs w:val="20"/>
              </w:rPr>
              <w:t>MD</w:t>
            </w:r>
          </w:p>
        </w:tc>
      </w:tr>
      <w:tr w:rsidR="001E567E" w:rsidRPr="00B33C66" w:rsidTr="00647067">
        <w:tc>
          <w:tcPr>
            <w:tcW w:w="5954" w:type="dxa"/>
            <w:gridSpan w:val="4"/>
            <w:tcBorders>
              <w:top w:val="nil"/>
              <w:left w:val="nil"/>
              <w:bottom w:val="nil"/>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 vs BEC/GLY/FOR</w:t>
            </w:r>
          </w:p>
        </w:tc>
        <w:tc>
          <w:tcPr>
            <w:tcW w:w="1485"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-0.19, (-0.42, 0.04)</w:t>
            </w:r>
          </w:p>
        </w:tc>
        <w:tc>
          <w:tcPr>
            <w:tcW w:w="1577" w:type="dxa"/>
            <w:tcBorders>
              <w:top w:val="nil"/>
              <w:left w:val="nil"/>
              <w:bottom w:val="nil"/>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w:t>
            </w:r>
            <w:r w:rsidRPr="003458ED">
              <w:rPr>
                <w:rFonts w:ascii="Arial Narrow" w:hAnsi="Arial Narrow"/>
                <w:b/>
                <w:sz w:val="20"/>
                <w:szCs w:val="20"/>
              </w:rPr>
              <w:t>0.37, (-0.59, -0.15)</w:t>
            </w:r>
          </w:p>
        </w:tc>
      </w:tr>
      <w:tr w:rsidR="001E567E" w:rsidRPr="00052434" w:rsidTr="00647067">
        <w:tc>
          <w:tcPr>
            <w:tcW w:w="5954" w:type="dxa"/>
            <w:gridSpan w:val="4"/>
            <w:tcBorders>
              <w:top w:val="nil"/>
              <w:left w:val="nil"/>
              <w:bottom w:val="single" w:sz="4" w:space="0" w:color="auto"/>
              <w:right w:val="nil"/>
            </w:tcBorders>
            <w:vAlign w:val="center"/>
          </w:tcPr>
          <w:p w:rsidR="001E567E" w:rsidRPr="003458ED" w:rsidRDefault="001E567E" w:rsidP="00647067">
            <w:pPr>
              <w:rPr>
                <w:rFonts w:ascii="Arial Narrow" w:hAnsi="Arial Narrow"/>
                <w:sz w:val="20"/>
                <w:szCs w:val="20"/>
              </w:rPr>
            </w:pPr>
            <w:r w:rsidRPr="003458ED">
              <w:rPr>
                <w:rFonts w:ascii="Arial Narrow" w:hAnsi="Arial Narrow"/>
                <w:sz w:val="20"/>
                <w:szCs w:val="20"/>
              </w:rPr>
              <w:t>BUD/GLY/FOR</w:t>
            </w:r>
            <w:r w:rsidRPr="003458ED">
              <w:rPr>
                <w:rFonts w:ascii="Arial Narrow" w:hAnsi="Arial Narrow"/>
                <w:sz w:val="20"/>
                <w:szCs w:val="20"/>
                <w:vertAlign w:val="superscript"/>
              </w:rPr>
              <w:t>‡</w:t>
            </w:r>
            <w:r w:rsidRPr="003458ED">
              <w:rPr>
                <w:rFonts w:ascii="Arial Narrow" w:hAnsi="Arial Narrow"/>
                <w:sz w:val="20"/>
                <w:szCs w:val="20"/>
              </w:rPr>
              <w:t xml:space="preserve"> vs BEC/GLY/FOR</w:t>
            </w:r>
          </w:p>
        </w:tc>
        <w:tc>
          <w:tcPr>
            <w:tcW w:w="1485"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sz w:val="20"/>
                <w:szCs w:val="20"/>
              </w:rPr>
            </w:pPr>
            <w:r w:rsidRPr="003458ED">
              <w:rPr>
                <w:rFonts w:ascii="Arial Narrow" w:hAnsi="Arial Narrow"/>
                <w:sz w:val="20"/>
                <w:szCs w:val="20"/>
              </w:rPr>
              <w:t>-0.14 (-0.39, 0.11)</w:t>
            </w:r>
          </w:p>
        </w:tc>
        <w:tc>
          <w:tcPr>
            <w:tcW w:w="1577" w:type="dxa"/>
            <w:tcBorders>
              <w:top w:val="nil"/>
              <w:left w:val="nil"/>
              <w:bottom w:val="single" w:sz="4" w:space="0" w:color="auto"/>
              <w:right w:val="nil"/>
            </w:tcBorders>
            <w:vAlign w:val="center"/>
          </w:tcPr>
          <w:p w:rsidR="001E567E" w:rsidRPr="003458ED" w:rsidRDefault="001E567E" w:rsidP="00647067">
            <w:pPr>
              <w:jc w:val="center"/>
              <w:rPr>
                <w:rFonts w:ascii="Arial Narrow" w:hAnsi="Arial Narrow"/>
                <w:b/>
                <w:sz w:val="20"/>
                <w:szCs w:val="20"/>
              </w:rPr>
            </w:pPr>
            <w:r w:rsidRPr="003458ED">
              <w:rPr>
                <w:rFonts w:ascii="Arial Narrow" w:hAnsi="Arial Narrow"/>
                <w:b/>
                <w:sz w:val="20"/>
                <w:szCs w:val="20"/>
              </w:rPr>
              <w:t>-0.45 (-0.69, -0.21)</w:t>
            </w:r>
          </w:p>
        </w:tc>
      </w:tr>
    </w:tbl>
    <w:p w:rsidR="001E567E" w:rsidRPr="00B27770" w:rsidRDefault="001E567E" w:rsidP="001E567E">
      <w:pPr>
        <w:rPr>
          <w:rFonts w:ascii="Arial Narrow" w:hAnsi="Arial Narrow"/>
          <w:sz w:val="18"/>
          <w:szCs w:val="18"/>
        </w:rPr>
      </w:pPr>
      <w:r w:rsidRPr="00B27770">
        <w:rPr>
          <w:rFonts w:ascii="Arial Narrow" w:hAnsi="Arial Narrow"/>
          <w:sz w:val="18"/>
          <w:szCs w:val="18"/>
        </w:rPr>
        <w:t>Abbreviations:</w:t>
      </w:r>
      <w:r>
        <w:rPr>
          <w:rFonts w:ascii="Arial Narrow" w:hAnsi="Arial Narrow"/>
          <w:sz w:val="18"/>
          <w:szCs w:val="18"/>
        </w:rPr>
        <w:t xml:space="preserve"> BEC=</w:t>
      </w:r>
      <w:r w:rsidRPr="006D2C65">
        <w:rPr>
          <w:rFonts w:ascii="Arial Narrow" w:hAnsi="Arial Narrow"/>
          <w:sz w:val="18"/>
          <w:szCs w:val="18"/>
        </w:rPr>
        <w:t>beclometasone dipropionate</w:t>
      </w:r>
      <w:r>
        <w:rPr>
          <w:rFonts w:ascii="Arial Narrow" w:hAnsi="Arial Narrow"/>
          <w:sz w:val="18"/>
          <w:szCs w:val="18"/>
        </w:rPr>
        <w:t>;</w:t>
      </w:r>
      <w:r w:rsidRPr="006D2C65">
        <w:rPr>
          <w:rFonts w:ascii="Arial Narrow" w:hAnsi="Arial Narrow"/>
          <w:sz w:val="18"/>
          <w:szCs w:val="18"/>
        </w:rPr>
        <w:t xml:space="preserve"> </w:t>
      </w:r>
      <w:r>
        <w:rPr>
          <w:rFonts w:ascii="Arial Narrow" w:hAnsi="Arial Narrow"/>
          <w:sz w:val="18"/>
          <w:szCs w:val="18"/>
        </w:rPr>
        <w:t xml:space="preserve">BUD=budesonide; </w:t>
      </w:r>
      <w:r w:rsidRPr="006D2C65">
        <w:rPr>
          <w:rFonts w:ascii="Arial Narrow" w:hAnsi="Arial Narrow"/>
          <w:sz w:val="18"/>
          <w:szCs w:val="18"/>
        </w:rPr>
        <w:t>FF=fluticasone fumarate;</w:t>
      </w:r>
      <w:r>
        <w:rPr>
          <w:rFonts w:ascii="Arial Narrow" w:hAnsi="Arial Narrow"/>
          <w:sz w:val="18"/>
          <w:szCs w:val="18"/>
        </w:rPr>
        <w:t xml:space="preserve"> FOR=</w:t>
      </w:r>
      <w:r w:rsidRPr="006D2C65">
        <w:rPr>
          <w:rFonts w:ascii="Arial Narrow" w:hAnsi="Arial Narrow"/>
          <w:sz w:val="18"/>
          <w:szCs w:val="18"/>
        </w:rPr>
        <w:t>formoterol fumarate</w:t>
      </w:r>
      <w:r>
        <w:rPr>
          <w:rFonts w:ascii="Arial Narrow" w:hAnsi="Arial Narrow"/>
          <w:sz w:val="18"/>
          <w:szCs w:val="18"/>
        </w:rPr>
        <w:t xml:space="preserve"> dihydrate; </w:t>
      </w:r>
      <w:r w:rsidRPr="006D2C65">
        <w:rPr>
          <w:rFonts w:ascii="Arial Narrow" w:hAnsi="Arial Narrow"/>
          <w:sz w:val="18"/>
          <w:szCs w:val="18"/>
        </w:rPr>
        <w:t>CI=confidence interval;</w:t>
      </w:r>
      <w:r>
        <w:rPr>
          <w:rFonts w:ascii="Arial Narrow" w:hAnsi="Arial Narrow"/>
          <w:sz w:val="18"/>
          <w:szCs w:val="18"/>
        </w:rPr>
        <w:t xml:space="preserve"> </w:t>
      </w:r>
      <w:r w:rsidRPr="00871FCA">
        <w:rPr>
          <w:rFonts w:ascii="Arial Narrow" w:hAnsi="Arial Narrow"/>
          <w:sz w:val="18"/>
          <w:szCs w:val="18"/>
        </w:rPr>
        <w:t xml:space="preserve">FEV1=forced </w:t>
      </w:r>
      <w:r>
        <w:rPr>
          <w:rFonts w:ascii="Arial Narrow" w:hAnsi="Arial Narrow"/>
          <w:sz w:val="18"/>
          <w:szCs w:val="18"/>
        </w:rPr>
        <w:t>expiratory</w:t>
      </w:r>
      <w:r w:rsidRPr="00871FCA">
        <w:rPr>
          <w:rFonts w:ascii="Arial Narrow" w:hAnsi="Arial Narrow"/>
          <w:sz w:val="18"/>
          <w:szCs w:val="18"/>
        </w:rPr>
        <w:t xml:space="preserve"> volume in 1 sec</w:t>
      </w:r>
      <w:r>
        <w:rPr>
          <w:rFonts w:ascii="Arial Narrow" w:hAnsi="Arial Narrow"/>
          <w:sz w:val="18"/>
          <w:szCs w:val="18"/>
        </w:rPr>
        <w:t>ond</w:t>
      </w:r>
      <w:r w:rsidRPr="00871FCA">
        <w:rPr>
          <w:rFonts w:ascii="Arial Narrow" w:hAnsi="Arial Narrow"/>
          <w:sz w:val="18"/>
          <w:szCs w:val="18"/>
        </w:rPr>
        <w:t xml:space="preserve">; </w:t>
      </w:r>
      <w:r>
        <w:rPr>
          <w:rFonts w:ascii="Arial Narrow" w:hAnsi="Arial Narrow"/>
          <w:sz w:val="18"/>
          <w:szCs w:val="18"/>
        </w:rPr>
        <w:t>GLY=</w:t>
      </w:r>
      <w:r w:rsidRPr="006D2C65">
        <w:rPr>
          <w:rFonts w:ascii="Arial Narrow" w:hAnsi="Arial Narrow"/>
          <w:sz w:val="18"/>
          <w:szCs w:val="18"/>
        </w:rPr>
        <w:t>glycopyrronium</w:t>
      </w:r>
      <w:r>
        <w:rPr>
          <w:rFonts w:ascii="Arial Narrow" w:hAnsi="Arial Narrow"/>
          <w:sz w:val="18"/>
          <w:szCs w:val="18"/>
        </w:rPr>
        <w:t>;</w:t>
      </w:r>
      <w:r w:rsidRPr="00B27770">
        <w:rPr>
          <w:rFonts w:ascii="Arial Narrow" w:hAnsi="Arial Narrow"/>
          <w:sz w:val="18"/>
          <w:szCs w:val="18"/>
        </w:rPr>
        <w:t xml:space="preserve"> </w:t>
      </w:r>
      <w:r w:rsidRPr="00871FCA">
        <w:rPr>
          <w:rFonts w:ascii="Arial Narrow" w:hAnsi="Arial Narrow"/>
          <w:sz w:val="18"/>
          <w:szCs w:val="18"/>
        </w:rPr>
        <w:t xml:space="preserve">ICS=inhaled corticosteroids; </w:t>
      </w:r>
      <w:r>
        <w:rPr>
          <w:rFonts w:ascii="Arial Narrow" w:hAnsi="Arial Narrow"/>
          <w:sz w:val="18"/>
          <w:szCs w:val="18"/>
        </w:rPr>
        <w:t xml:space="preserve">IND=indacaterol; </w:t>
      </w:r>
      <w:r w:rsidRPr="006D2C65">
        <w:rPr>
          <w:rFonts w:ascii="Arial Narrow" w:hAnsi="Arial Narrow"/>
          <w:sz w:val="18"/>
          <w:szCs w:val="18"/>
        </w:rPr>
        <w:t>ITT=intention to treat;</w:t>
      </w:r>
      <w:r>
        <w:rPr>
          <w:rFonts w:ascii="Arial Narrow" w:hAnsi="Arial Narrow"/>
          <w:sz w:val="18"/>
          <w:szCs w:val="18"/>
        </w:rPr>
        <w:t xml:space="preserve"> </w:t>
      </w:r>
      <w:r w:rsidRPr="00871FCA">
        <w:rPr>
          <w:rFonts w:ascii="Arial Narrow" w:hAnsi="Arial Narrow"/>
          <w:sz w:val="18"/>
          <w:szCs w:val="18"/>
        </w:rPr>
        <w:t>LABA=long acting beta-2 agonist;</w:t>
      </w:r>
      <w:r>
        <w:rPr>
          <w:rFonts w:ascii="Arial Narrow" w:hAnsi="Arial Narrow"/>
          <w:sz w:val="18"/>
          <w:szCs w:val="18"/>
        </w:rPr>
        <w:t xml:space="preserve"> </w:t>
      </w:r>
      <w:r w:rsidRPr="006D2C65">
        <w:rPr>
          <w:rFonts w:ascii="Arial Narrow" w:hAnsi="Arial Narrow"/>
          <w:sz w:val="18"/>
          <w:szCs w:val="18"/>
        </w:rPr>
        <w:t>LAMA=long acting muscarinic antagonist;</w:t>
      </w:r>
      <w:r>
        <w:rPr>
          <w:rFonts w:ascii="Arial Narrow" w:hAnsi="Arial Narrow"/>
          <w:sz w:val="18"/>
          <w:szCs w:val="18"/>
        </w:rPr>
        <w:t xml:space="preserve"> </w:t>
      </w:r>
      <w:r w:rsidRPr="006D2C65">
        <w:rPr>
          <w:rFonts w:ascii="Arial Narrow" w:hAnsi="Arial Narrow"/>
          <w:sz w:val="18"/>
          <w:szCs w:val="18"/>
        </w:rPr>
        <w:t>LS=least square</w:t>
      </w:r>
      <w:r>
        <w:rPr>
          <w:rFonts w:ascii="Arial Narrow" w:hAnsi="Arial Narrow"/>
          <w:sz w:val="18"/>
          <w:szCs w:val="18"/>
        </w:rPr>
        <w:t xml:space="preserve">; MD=mean difference; </w:t>
      </w:r>
      <w:r w:rsidRPr="006D2C65">
        <w:rPr>
          <w:rFonts w:ascii="Arial Narrow" w:hAnsi="Arial Narrow"/>
          <w:sz w:val="18"/>
          <w:szCs w:val="18"/>
        </w:rPr>
        <w:t>RR=rate ratio; SQRQ-C=St. George’s Respiratory Questionnaire COPD; UMEC=umeclidinium; VI=vilanterol</w:t>
      </w:r>
      <w:r>
        <w:rPr>
          <w:rFonts w:ascii="Arial Narrow" w:hAnsi="Arial Narrow"/>
          <w:sz w:val="18"/>
          <w:szCs w:val="18"/>
        </w:rPr>
        <w:t xml:space="preserve"> </w:t>
      </w:r>
      <w:r w:rsidRPr="00A81DAF">
        <w:rPr>
          <w:rFonts w:ascii="Arial Narrow" w:hAnsi="Arial Narrow"/>
          <w:sz w:val="18"/>
          <w:szCs w:val="18"/>
        </w:rPr>
        <w:t>trifen</w:t>
      </w:r>
      <w:r w:rsidR="0099543E">
        <w:rPr>
          <w:rFonts w:ascii="Arial Narrow" w:hAnsi="Arial Narrow"/>
          <w:sz w:val="18"/>
          <w:szCs w:val="18"/>
        </w:rPr>
        <w:t>at</w:t>
      </w:r>
      <w:r w:rsidRPr="00A81DAF">
        <w:rPr>
          <w:rFonts w:ascii="Arial Narrow" w:hAnsi="Arial Narrow"/>
          <w:sz w:val="18"/>
          <w:szCs w:val="18"/>
        </w:rPr>
        <w:t>ate</w:t>
      </w:r>
      <w:r w:rsidRPr="006D2C65">
        <w:rPr>
          <w:rFonts w:ascii="Arial Narrow" w:hAnsi="Arial Narrow"/>
          <w:sz w:val="18"/>
          <w:szCs w:val="18"/>
        </w:rPr>
        <w:t xml:space="preserve">; </w:t>
      </w:r>
    </w:p>
    <w:p w:rsidR="001E567E" w:rsidRDefault="001E567E" w:rsidP="001E567E">
      <w:pPr>
        <w:tabs>
          <w:tab w:val="left" w:pos="142"/>
        </w:tabs>
        <w:ind w:left="140" w:hanging="140"/>
        <w:rPr>
          <w:rFonts w:ascii="Arial Narrow" w:hAnsi="Arial Narrow"/>
          <w:sz w:val="18"/>
          <w:szCs w:val="18"/>
        </w:rPr>
      </w:pPr>
      <w:r w:rsidRPr="00B27770">
        <w:rPr>
          <w:rFonts w:ascii="Arial Narrow" w:hAnsi="Arial Narrow"/>
          <w:sz w:val="18"/>
          <w:szCs w:val="18"/>
        </w:rPr>
        <w:lastRenderedPageBreak/>
        <w:t>a</w:t>
      </w:r>
      <w:r w:rsidRPr="00B27770">
        <w:rPr>
          <w:rFonts w:ascii="Arial Narrow" w:hAnsi="Arial Narrow"/>
          <w:sz w:val="18"/>
          <w:szCs w:val="18"/>
        </w:rPr>
        <w:tab/>
        <w:t>Treatments were compared adjusting for baseline post-bronchodilator percent predicted FEV1, baseline</w:t>
      </w:r>
      <w:r>
        <w:rPr>
          <w:rFonts w:ascii="Arial Narrow" w:hAnsi="Arial Narrow"/>
          <w:sz w:val="18"/>
          <w:szCs w:val="18"/>
        </w:rPr>
        <w:t xml:space="preserve"> </w:t>
      </w:r>
      <w:r w:rsidRPr="00B27770">
        <w:rPr>
          <w:rFonts w:ascii="Arial Narrow" w:hAnsi="Arial Narrow" w:hint="eastAsia"/>
          <w:sz w:val="18"/>
          <w:szCs w:val="18"/>
        </w:rPr>
        <w:t>COPD exacerbation history (1/</w:t>
      </w:r>
      <w:r>
        <w:rPr>
          <w:rFonts w:ascii="Arial Narrow" w:hAnsi="Arial Narrow"/>
          <w:sz w:val="18"/>
          <w:szCs w:val="18"/>
        </w:rPr>
        <w:t>≥</w:t>
      </w:r>
      <w:r w:rsidRPr="00B27770">
        <w:rPr>
          <w:rFonts w:ascii="Arial Narrow" w:hAnsi="Arial Narrow" w:hint="eastAsia"/>
          <w:sz w:val="18"/>
          <w:szCs w:val="18"/>
        </w:rPr>
        <w:t>2), log baseline blood eosinophil count, region, and ICS use at screening</w:t>
      </w:r>
      <w:r>
        <w:rPr>
          <w:rFonts w:ascii="Arial Narrow" w:hAnsi="Arial Narrow"/>
          <w:sz w:val="18"/>
          <w:szCs w:val="18"/>
        </w:rPr>
        <w:t xml:space="preserve"> </w:t>
      </w:r>
      <w:r w:rsidRPr="00B27770">
        <w:rPr>
          <w:rFonts w:ascii="Arial Narrow" w:hAnsi="Arial Narrow"/>
          <w:sz w:val="18"/>
          <w:szCs w:val="18"/>
        </w:rPr>
        <w:t>(yes/no) using negative binomial regression. The logarithm of the time at risk of experiencing an</w:t>
      </w:r>
      <w:r>
        <w:rPr>
          <w:rFonts w:ascii="Arial Narrow" w:hAnsi="Arial Narrow"/>
          <w:sz w:val="18"/>
          <w:szCs w:val="18"/>
        </w:rPr>
        <w:t xml:space="preserve"> </w:t>
      </w:r>
      <w:r w:rsidRPr="00B27770">
        <w:rPr>
          <w:rFonts w:ascii="Arial Narrow" w:hAnsi="Arial Narrow"/>
          <w:sz w:val="18"/>
          <w:szCs w:val="18"/>
        </w:rPr>
        <w:t>exacerbation was used as an offset variable in the model</w:t>
      </w:r>
      <w:r>
        <w:rPr>
          <w:rFonts w:ascii="Arial Narrow" w:hAnsi="Arial Narrow"/>
          <w:sz w:val="18"/>
          <w:szCs w:val="18"/>
        </w:rPr>
        <w:t>.</w:t>
      </w:r>
    </w:p>
    <w:p w:rsidR="001E567E" w:rsidRDefault="001E567E" w:rsidP="001E567E">
      <w:pPr>
        <w:tabs>
          <w:tab w:val="left" w:pos="142"/>
        </w:tabs>
        <w:ind w:left="140" w:hanging="140"/>
        <w:rPr>
          <w:rFonts w:ascii="Arial Narrow" w:hAnsi="Arial Narrow"/>
          <w:sz w:val="18"/>
          <w:szCs w:val="18"/>
        </w:rPr>
      </w:pPr>
      <w:r>
        <w:rPr>
          <w:rFonts w:ascii="Arial Narrow" w:hAnsi="Arial Narrow"/>
          <w:sz w:val="18"/>
          <w:szCs w:val="18"/>
        </w:rPr>
        <w:t>b</w:t>
      </w:r>
      <w:r>
        <w:rPr>
          <w:rFonts w:ascii="Arial Narrow" w:hAnsi="Arial Narrow"/>
          <w:sz w:val="18"/>
          <w:szCs w:val="18"/>
        </w:rPr>
        <w:tab/>
      </w:r>
      <w:r w:rsidRPr="00B27770">
        <w:rPr>
          <w:rFonts w:ascii="Arial Narrow" w:hAnsi="Arial Narrow" w:hint="eastAsia"/>
          <w:sz w:val="18"/>
          <w:szCs w:val="18"/>
        </w:rPr>
        <w:t>Generalised linear model assuming a negative binomial distribution and covariates of treatment group, gender, exacerbation history (</w:t>
      </w:r>
      <w:r>
        <w:rPr>
          <w:rFonts w:ascii="Arial Narrow" w:hAnsi="Arial Narrow"/>
          <w:sz w:val="18"/>
          <w:szCs w:val="18"/>
        </w:rPr>
        <w:t>≤</w:t>
      </w:r>
      <w:r>
        <w:rPr>
          <w:rFonts w:ascii="Arial Narrow" w:hAnsi="Arial Narrow" w:hint="eastAsia"/>
          <w:sz w:val="18"/>
          <w:szCs w:val="18"/>
        </w:rPr>
        <w:t>1</w:t>
      </w:r>
      <w:r w:rsidRPr="00B27770">
        <w:rPr>
          <w:rFonts w:ascii="Arial Narrow" w:hAnsi="Arial Narrow" w:hint="eastAsia"/>
          <w:sz w:val="18"/>
          <w:szCs w:val="18"/>
        </w:rPr>
        <w:t xml:space="preserve">, </w:t>
      </w:r>
      <w:r>
        <w:rPr>
          <w:rFonts w:ascii="Arial Narrow" w:hAnsi="Arial Narrow"/>
          <w:sz w:val="18"/>
          <w:szCs w:val="18"/>
        </w:rPr>
        <w:t>≥</w:t>
      </w:r>
      <w:r w:rsidRPr="00B27770">
        <w:rPr>
          <w:rFonts w:ascii="Arial Narrow" w:hAnsi="Arial Narrow" w:hint="eastAsia"/>
          <w:sz w:val="18"/>
          <w:szCs w:val="18"/>
        </w:rPr>
        <w:t>2 moderate/severe), smoking status (Screening), geographic region, post-bronchodilator percent predicted FEV1 (Screenin</w:t>
      </w:r>
      <w:r w:rsidRPr="00B27770">
        <w:rPr>
          <w:rFonts w:ascii="Arial Narrow" w:hAnsi="Arial Narrow"/>
          <w:sz w:val="18"/>
          <w:szCs w:val="18"/>
        </w:rPr>
        <w:t>g).</w:t>
      </w:r>
    </w:p>
    <w:p w:rsidR="001E567E" w:rsidRDefault="001E567E" w:rsidP="001E567E">
      <w:pPr>
        <w:tabs>
          <w:tab w:val="left" w:pos="142"/>
        </w:tabs>
        <w:ind w:left="140" w:hanging="140"/>
        <w:rPr>
          <w:rFonts w:ascii="Arial Narrow" w:hAnsi="Arial Narrow"/>
          <w:sz w:val="18"/>
          <w:szCs w:val="18"/>
        </w:rPr>
      </w:pPr>
      <w:r>
        <w:rPr>
          <w:rFonts w:ascii="Arial Narrow" w:hAnsi="Arial Narrow"/>
          <w:sz w:val="18"/>
          <w:szCs w:val="18"/>
        </w:rPr>
        <w:t>c</w:t>
      </w:r>
      <w:r>
        <w:rPr>
          <w:rFonts w:ascii="Arial Narrow" w:hAnsi="Arial Narrow"/>
          <w:sz w:val="18"/>
          <w:szCs w:val="18"/>
        </w:rPr>
        <w:tab/>
        <w:t xml:space="preserve">Analysis used negative binomial model that included </w:t>
      </w:r>
      <w:r w:rsidRPr="00EC0A89">
        <w:rPr>
          <w:rFonts w:ascii="Arial Narrow" w:hAnsi="Arial Narrow"/>
          <w:sz w:val="18"/>
          <w:szCs w:val="18"/>
        </w:rPr>
        <w:t>treatment, country,</w:t>
      </w:r>
      <w:r>
        <w:rPr>
          <w:rFonts w:ascii="Arial Narrow" w:hAnsi="Arial Narrow"/>
          <w:sz w:val="18"/>
          <w:szCs w:val="18"/>
        </w:rPr>
        <w:t xml:space="preserve"> </w:t>
      </w:r>
      <w:r w:rsidRPr="00EC0A89">
        <w:rPr>
          <w:rFonts w:ascii="Arial Narrow" w:hAnsi="Arial Narrow"/>
          <w:sz w:val="18"/>
          <w:szCs w:val="18"/>
        </w:rPr>
        <w:t>number of COPD exacerbations in the previous year,</w:t>
      </w:r>
      <w:r>
        <w:rPr>
          <w:rFonts w:ascii="Arial Narrow" w:hAnsi="Arial Narrow"/>
          <w:sz w:val="18"/>
          <w:szCs w:val="18"/>
        </w:rPr>
        <w:tab/>
      </w:r>
      <w:r w:rsidRPr="00EC0A89">
        <w:rPr>
          <w:rFonts w:ascii="Arial Narrow" w:hAnsi="Arial Narrow"/>
          <w:sz w:val="18"/>
          <w:szCs w:val="18"/>
        </w:rPr>
        <w:t>severity of airflow limitation, smoking status at screening,</w:t>
      </w:r>
      <w:r>
        <w:rPr>
          <w:rFonts w:ascii="Arial Narrow" w:hAnsi="Arial Narrow"/>
          <w:sz w:val="18"/>
          <w:szCs w:val="18"/>
        </w:rPr>
        <w:t xml:space="preserve"> </w:t>
      </w:r>
      <w:r w:rsidRPr="00EC0A89">
        <w:rPr>
          <w:rFonts w:ascii="Arial Narrow" w:hAnsi="Arial Narrow"/>
          <w:sz w:val="18"/>
          <w:szCs w:val="18"/>
        </w:rPr>
        <w:t>and the baseline value (where available) were included as</w:t>
      </w:r>
      <w:r>
        <w:rPr>
          <w:rFonts w:ascii="Arial Narrow" w:hAnsi="Arial Narrow"/>
          <w:sz w:val="18"/>
          <w:szCs w:val="18"/>
        </w:rPr>
        <w:t xml:space="preserve"> </w:t>
      </w:r>
      <w:r w:rsidRPr="00EC0A89">
        <w:rPr>
          <w:rFonts w:ascii="Arial Narrow" w:hAnsi="Arial Narrow"/>
          <w:sz w:val="18"/>
          <w:szCs w:val="18"/>
        </w:rPr>
        <w:t>fixed effects</w:t>
      </w:r>
      <w:r>
        <w:rPr>
          <w:rFonts w:ascii="Arial Narrow" w:hAnsi="Arial Narrow"/>
          <w:sz w:val="18"/>
          <w:szCs w:val="18"/>
        </w:rPr>
        <w:t>, and log-time in the study as an offset</w:t>
      </w:r>
      <w:r w:rsidRPr="00EC0A89">
        <w:rPr>
          <w:rFonts w:ascii="Arial Narrow" w:hAnsi="Arial Narrow"/>
          <w:sz w:val="18"/>
          <w:szCs w:val="18"/>
        </w:rPr>
        <w:t>.</w:t>
      </w:r>
    </w:p>
    <w:p w:rsidR="001E567E" w:rsidRDefault="001E567E" w:rsidP="001E567E">
      <w:pPr>
        <w:tabs>
          <w:tab w:val="left" w:pos="142"/>
        </w:tabs>
        <w:ind w:left="140" w:hanging="140"/>
        <w:rPr>
          <w:rFonts w:ascii="Arial Narrow" w:hAnsi="Arial Narrow"/>
          <w:sz w:val="18"/>
          <w:szCs w:val="18"/>
        </w:rPr>
      </w:pPr>
      <w:r>
        <w:rPr>
          <w:rFonts w:ascii="Arial Narrow" w:hAnsi="Arial Narrow"/>
          <w:sz w:val="18"/>
          <w:szCs w:val="18"/>
        </w:rPr>
        <w:t>d</w:t>
      </w:r>
      <w:r>
        <w:rPr>
          <w:rFonts w:ascii="Arial Narrow" w:hAnsi="Arial Narrow"/>
          <w:sz w:val="18"/>
          <w:szCs w:val="18"/>
        </w:rPr>
        <w:tab/>
        <w:t xml:space="preserve">Analysis used </w:t>
      </w:r>
      <w:r w:rsidRPr="004A3E00">
        <w:rPr>
          <w:rFonts w:ascii="Arial Narrow" w:hAnsi="Arial Narrow"/>
          <w:sz w:val="18"/>
          <w:szCs w:val="18"/>
        </w:rPr>
        <w:t>negative binomial model that included treatment,</w:t>
      </w:r>
      <w:r>
        <w:rPr>
          <w:rFonts w:ascii="Arial Narrow" w:hAnsi="Arial Narrow"/>
          <w:sz w:val="18"/>
          <w:szCs w:val="18"/>
        </w:rPr>
        <w:t xml:space="preserve"> </w:t>
      </w:r>
      <w:r w:rsidRPr="004A3E00">
        <w:rPr>
          <w:rFonts w:ascii="Arial Narrow" w:hAnsi="Arial Narrow"/>
          <w:sz w:val="18"/>
          <w:szCs w:val="18"/>
        </w:rPr>
        <w:t>country, number of COPD exacerbations in the previous</w:t>
      </w:r>
      <w:r>
        <w:rPr>
          <w:rFonts w:ascii="Arial Narrow" w:hAnsi="Arial Narrow"/>
          <w:sz w:val="18"/>
          <w:szCs w:val="18"/>
        </w:rPr>
        <w:t xml:space="preserve"> </w:t>
      </w:r>
      <w:r w:rsidRPr="004A3E00">
        <w:rPr>
          <w:rFonts w:ascii="Arial Narrow" w:hAnsi="Arial Narrow"/>
          <w:sz w:val="18"/>
          <w:szCs w:val="18"/>
        </w:rPr>
        <w:t>year, severity of airflow limitation, and smoking status</w:t>
      </w:r>
      <w:r>
        <w:rPr>
          <w:rFonts w:ascii="Arial Narrow" w:hAnsi="Arial Narrow"/>
          <w:sz w:val="18"/>
          <w:szCs w:val="18"/>
        </w:rPr>
        <w:t xml:space="preserve"> </w:t>
      </w:r>
      <w:r w:rsidRPr="004A3E00">
        <w:rPr>
          <w:rFonts w:ascii="Arial Narrow" w:hAnsi="Arial Narrow"/>
          <w:sz w:val="18"/>
          <w:szCs w:val="18"/>
        </w:rPr>
        <w:t>as fixed effects, and log-time in the study as an</w:t>
      </w:r>
      <w:r>
        <w:rPr>
          <w:rFonts w:ascii="Arial Narrow" w:hAnsi="Arial Narrow"/>
          <w:sz w:val="18"/>
          <w:szCs w:val="18"/>
        </w:rPr>
        <w:t xml:space="preserve"> </w:t>
      </w:r>
      <w:r w:rsidRPr="004A3E00">
        <w:rPr>
          <w:rFonts w:ascii="Arial Narrow" w:hAnsi="Arial Narrow"/>
          <w:sz w:val="18"/>
          <w:szCs w:val="18"/>
        </w:rPr>
        <w:t>offset.</w:t>
      </w:r>
    </w:p>
    <w:p w:rsidR="001E567E" w:rsidRDefault="001E567E" w:rsidP="001E567E">
      <w:pPr>
        <w:tabs>
          <w:tab w:val="left" w:pos="142"/>
        </w:tabs>
        <w:ind w:left="140" w:hanging="140"/>
        <w:rPr>
          <w:rFonts w:ascii="Arial Narrow" w:hAnsi="Arial Narrow"/>
          <w:sz w:val="18"/>
          <w:szCs w:val="18"/>
        </w:rPr>
      </w:pPr>
      <w:r>
        <w:rPr>
          <w:rFonts w:cs="Calibri"/>
          <w:sz w:val="18"/>
          <w:szCs w:val="18"/>
        </w:rPr>
        <w:t>‡</w:t>
      </w:r>
      <w:r w:rsidR="006A1BC4">
        <w:rPr>
          <w:rFonts w:ascii="Arial Narrow" w:hAnsi="Arial Narrow"/>
          <w:sz w:val="18"/>
          <w:szCs w:val="18"/>
        </w:rPr>
        <w:tab/>
        <w:t>The evaluation</w:t>
      </w:r>
      <w:r>
        <w:rPr>
          <w:rFonts w:ascii="Arial Narrow" w:hAnsi="Arial Narrow"/>
          <w:sz w:val="18"/>
          <w:szCs w:val="18"/>
        </w:rPr>
        <w:t xml:space="preserve"> presented results of the mean change from baseline at Week 52, consistent with results presented for other trials.  The submission presented results of the mean change from baseline over 52 weeks.</w:t>
      </w:r>
    </w:p>
    <w:p w:rsidR="001E567E" w:rsidRDefault="001E567E" w:rsidP="001E567E">
      <w:pPr>
        <w:tabs>
          <w:tab w:val="left" w:pos="142"/>
        </w:tabs>
        <w:rPr>
          <w:rFonts w:ascii="Arial Narrow" w:hAnsi="Arial Narrow"/>
          <w:sz w:val="18"/>
          <w:szCs w:val="18"/>
        </w:rPr>
      </w:pPr>
      <w:r>
        <w:rPr>
          <w:rFonts w:ascii="Arial Narrow" w:hAnsi="Arial Narrow"/>
          <w:sz w:val="18"/>
          <w:szCs w:val="18"/>
        </w:rPr>
        <w:t>#</w:t>
      </w:r>
      <w:r>
        <w:rPr>
          <w:rFonts w:ascii="Arial Narrow" w:hAnsi="Arial Narrow"/>
          <w:sz w:val="18"/>
          <w:szCs w:val="18"/>
        </w:rPr>
        <w:tab/>
        <w:t>Derived from Sin</w:t>
      </w:r>
      <w:r w:rsidR="00892EEC">
        <w:rPr>
          <w:rFonts w:ascii="Arial Narrow" w:hAnsi="Arial Narrow"/>
          <w:sz w:val="18"/>
          <w:szCs w:val="18"/>
        </w:rPr>
        <w:t>gh et al 2020 and Table 7, Trim</w:t>
      </w:r>
      <w:r>
        <w:rPr>
          <w:rFonts w:ascii="Arial Narrow" w:hAnsi="Arial Narrow"/>
          <w:sz w:val="18"/>
          <w:szCs w:val="18"/>
        </w:rPr>
        <w:t>bow (BEC/GLY/FOR) PSD November 2020 PBAC meeting.</w:t>
      </w:r>
    </w:p>
    <w:p w:rsidR="001E567E" w:rsidRDefault="001E567E" w:rsidP="001E567E">
      <w:pPr>
        <w:tabs>
          <w:tab w:val="left" w:pos="142"/>
        </w:tabs>
        <w:ind w:left="140" w:hanging="140"/>
        <w:rPr>
          <w:rFonts w:ascii="Arial Narrow" w:hAnsi="Arial Narrow"/>
          <w:sz w:val="18"/>
          <w:szCs w:val="18"/>
        </w:rPr>
      </w:pPr>
      <w:r>
        <w:rPr>
          <w:rFonts w:ascii="Arial Narrow" w:hAnsi="Arial Narrow"/>
          <w:sz w:val="18"/>
          <w:szCs w:val="18"/>
        </w:rPr>
        <w:t>^</w:t>
      </w:r>
      <w:r>
        <w:rPr>
          <w:rFonts w:ascii="Arial Narrow" w:hAnsi="Arial Narrow"/>
          <w:sz w:val="18"/>
          <w:szCs w:val="18"/>
        </w:rPr>
        <w:tab/>
        <w:t>revised during the evaluation to adjusted mean change from baseline at Weeks 41-52 (supplementary Table 1, Papi et al 2018).  The submission presented the results by treatment arms over 52 weeks but the mean difference was based on results at Weeks 41-52.</w:t>
      </w:r>
    </w:p>
    <w:p w:rsidR="001E567E" w:rsidRDefault="001E567E" w:rsidP="00A11EE9">
      <w:pPr>
        <w:tabs>
          <w:tab w:val="left" w:pos="142"/>
        </w:tabs>
        <w:spacing w:after="120"/>
        <w:ind w:left="142" w:hanging="142"/>
        <w:rPr>
          <w:rFonts w:ascii="Arial Narrow" w:hAnsi="Arial Narrow"/>
          <w:sz w:val="18"/>
          <w:szCs w:val="18"/>
        </w:rPr>
      </w:pPr>
      <w:r>
        <w:rPr>
          <w:rFonts w:ascii="Arial Narrow" w:hAnsi="Arial Narrow"/>
          <w:sz w:val="18"/>
          <w:szCs w:val="18"/>
        </w:rPr>
        <w:t>Source: Table 2.5.1, pp66-67, Tables 2.5.3 to 2.5.5, pp69-72, Table 2.6.1, p82 and Table 2.6.3, p85 of the submission.</w:t>
      </w:r>
    </w:p>
    <w:p w:rsidR="0052578C" w:rsidRPr="003458ED" w:rsidRDefault="005B2BEA" w:rsidP="005B2BEA">
      <w:pPr>
        <w:pStyle w:val="3-BodyText"/>
      </w:pPr>
      <w:r>
        <w:t>The trial results demonstrated that</w:t>
      </w:r>
      <w:r w:rsidR="0052578C" w:rsidRPr="0052578C">
        <w:t xml:space="preserve"> </w:t>
      </w:r>
      <w:r>
        <w:t xml:space="preserve">each of the </w:t>
      </w:r>
      <w:r w:rsidR="0052578C" w:rsidRPr="0052578C">
        <w:t xml:space="preserve">triple therapy ICS/LAMA/LABA </w:t>
      </w:r>
      <w:r>
        <w:t xml:space="preserve">FDCs </w:t>
      </w:r>
      <w:r w:rsidR="0052578C" w:rsidRPr="0052578C">
        <w:t xml:space="preserve">was more effective than dual therapy ICS/LABA and LAMA/LABA </w:t>
      </w:r>
      <w:r>
        <w:t xml:space="preserve">FDCs </w:t>
      </w:r>
      <w:r w:rsidR="0052578C" w:rsidRPr="0052578C">
        <w:t xml:space="preserve">in reducing the annual rate of moderate or severe exacerbations, pre-dose trough FEV1, reduction in daily rescue medication and SGRQ score at Week 52. </w:t>
      </w:r>
      <w:r w:rsidR="0052578C" w:rsidRPr="003458ED">
        <w:t>The findings were consistent with numerical trends reported in KRONOS</w:t>
      </w:r>
      <w:r w:rsidRPr="003458ED">
        <w:t xml:space="preserve"> at Week 24</w:t>
      </w:r>
      <w:r w:rsidR="0052578C" w:rsidRPr="003458ED">
        <w:t xml:space="preserve">, however, only the treatment difference in pre-dose trough FEV1 </w:t>
      </w:r>
      <w:r w:rsidRPr="003458ED">
        <w:t>was</w:t>
      </w:r>
      <w:r w:rsidR="0052578C" w:rsidRPr="003458ED">
        <w:t xml:space="preserve"> statistical</w:t>
      </w:r>
      <w:r w:rsidRPr="003458ED">
        <w:t>ly</w:t>
      </w:r>
      <w:r w:rsidR="0052578C" w:rsidRPr="003458ED">
        <w:t xml:space="preserve"> significan</w:t>
      </w:r>
      <w:r w:rsidRPr="003458ED">
        <w:t>t</w:t>
      </w:r>
      <w:r w:rsidR="0052578C" w:rsidRPr="003458ED">
        <w:t>.</w:t>
      </w:r>
    </w:p>
    <w:p w:rsidR="004E0B7B" w:rsidRPr="00E72513" w:rsidRDefault="00E14410" w:rsidP="005A6E4B">
      <w:pPr>
        <w:pStyle w:val="3-BodyText"/>
        <w:rPr>
          <w:i/>
        </w:rPr>
      </w:pPr>
      <w:r>
        <w:t>B</w:t>
      </w:r>
      <w:r w:rsidR="0052578C" w:rsidRPr="0052578C">
        <w:t xml:space="preserve">ased on the indirect </w:t>
      </w:r>
      <w:r>
        <w:t xml:space="preserve">treatment </w:t>
      </w:r>
      <w:r w:rsidR="0052578C" w:rsidRPr="0052578C">
        <w:t xml:space="preserve">comparisons, </w:t>
      </w:r>
      <w:r w:rsidR="00E72513">
        <w:t>BUD/GLY/FOR, FF/UMEC/VI and BEC/GLY/FOR had similar efficacy across all of the outcomes considered.</w:t>
      </w:r>
      <w:r w:rsidR="0052578C" w:rsidRPr="0052578C">
        <w:t xml:space="preserve"> </w:t>
      </w:r>
      <w:r w:rsidR="0052578C" w:rsidRPr="006A55CC">
        <w:t>Using the ICS/LABA as the common reference, there was a statistically larger improvement in trough FEV1 with FF/UMEC/VI versus BUD/GLY/FOR, but the difference was not clinically important (the difference was less than the MCID of ≥100 mL). Using the LAMA/LABA as the common reference, there was a statistically larger reduction in daily rescue medication use for BUD/GLY/FOR compared to FF/UMEC/VI and BEC/GLY/FOR, but this finding was not supported using a</w:t>
      </w:r>
      <w:r w:rsidR="00E73B4C">
        <w:t>n</w:t>
      </w:r>
      <w:r w:rsidR="0052578C" w:rsidRPr="006A55CC">
        <w:t xml:space="preserve"> </w:t>
      </w:r>
      <w:r w:rsidR="00362A18">
        <w:t>ICS</w:t>
      </w:r>
      <w:r w:rsidR="0052578C" w:rsidRPr="006A55CC">
        <w:t>/LABA as the common reference.</w:t>
      </w:r>
      <w:r w:rsidR="00E72513">
        <w:t xml:space="preserve"> Non-inferiority between the triple therapy FDCs was concluded because there were no statistically significant differences in terms of the rate of exacerbations.</w:t>
      </w:r>
    </w:p>
    <w:p w:rsidR="0052578C" w:rsidRPr="003458ED" w:rsidRDefault="005A6E4B" w:rsidP="005A6E4B">
      <w:pPr>
        <w:pStyle w:val="3-BodyText"/>
      </w:pPr>
      <w:r w:rsidRPr="003458ED">
        <w:rPr>
          <w:iCs/>
        </w:rPr>
        <w:t>Overall, t</w:t>
      </w:r>
      <w:r w:rsidR="0052578C" w:rsidRPr="003458ED">
        <w:rPr>
          <w:iCs/>
        </w:rPr>
        <w:t>hese findings were consistent with the results from the network meta-analysis by Bourdin et al 2020</w:t>
      </w:r>
      <w:r w:rsidR="0052578C" w:rsidRPr="003458ED">
        <w:t xml:space="preserve"> (draft manuscript), which found that the efficacy of BUD/GLY/FOR was comparable to FF/UMEC/VI and BEC/GLY/FOR and open triple therapy combinations (i.e. ICS/LABA + LAMA) at 24 and 52 weeks.</w:t>
      </w:r>
    </w:p>
    <w:p w:rsidR="00B60939" w:rsidRPr="00C9624D" w:rsidRDefault="00B60939" w:rsidP="00D86231">
      <w:pPr>
        <w:pStyle w:val="4-SubsectionHeading"/>
      </w:pPr>
      <w:bookmarkStart w:id="18" w:name="_Toc22897642"/>
      <w:bookmarkStart w:id="19" w:name="_Toc72233555"/>
      <w:r w:rsidRPr="00C9624D">
        <w:t>Comparative harms</w:t>
      </w:r>
      <w:bookmarkEnd w:id="18"/>
      <w:bookmarkEnd w:id="19"/>
    </w:p>
    <w:p w:rsidR="00231BF8" w:rsidRPr="00231BF8" w:rsidRDefault="00D254CE" w:rsidP="00D754E8">
      <w:pPr>
        <w:pStyle w:val="3-BodyText"/>
      </w:pPr>
      <w:r>
        <w:t>T</w:t>
      </w:r>
      <w:r w:rsidR="00231BF8" w:rsidRPr="00231BF8">
        <w:t xml:space="preserve">he incidence of AEs </w:t>
      </w:r>
      <w:r>
        <w:t>for</w:t>
      </w:r>
      <w:r w:rsidR="00231BF8" w:rsidRPr="00231BF8">
        <w:t xml:space="preserve"> BUD/GLY/FOR was comparable to GLY/FOR and BUD/FOR</w:t>
      </w:r>
      <w:r>
        <w:t>, at Week 24 in KRONOS and Week 52 in ETHOS</w:t>
      </w:r>
      <w:r w:rsidRPr="00231BF8">
        <w:t xml:space="preserve">. </w:t>
      </w:r>
      <w:r w:rsidR="00231BF8" w:rsidRPr="00231BF8">
        <w:t xml:space="preserve">Across the trials, the incidence of any AEs, serious AEs and AEs leading to discontinuations were also comparable between all the triple therapy </w:t>
      </w:r>
      <w:r>
        <w:t xml:space="preserve">FDC inhalers </w:t>
      </w:r>
      <w:r w:rsidR="00231BF8" w:rsidRPr="00231BF8">
        <w:t xml:space="preserve">and dual therapy </w:t>
      </w:r>
      <w:r>
        <w:t>FDC inhalers</w:t>
      </w:r>
      <w:r w:rsidR="00231BF8" w:rsidRPr="00231BF8">
        <w:t>. Commonly reported AEs included nasopharyngitis, COPD, pneumonia and respiratory tract infection. AEs of special interest included pneumonia and major adverse cardiovascular events (MACE)</w:t>
      </w:r>
      <w:r w:rsidR="0012551E">
        <w:t>.</w:t>
      </w:r>
    </w:p>
    <w:p w:rsidR="00231BF8" w:rsidRPr="00231BF8" w:rsidRDefault="00D254CE" w:rsidP="00D86231">
      <w:pPr>
        <w:pStyle w:val="3-BodyText"/>
      </w:pPr>
      <w:r>
        <w:t>Table</w:t>
      </w:r>
      <w:r w:rsidRPr="00231BF8">
        <w:t xml:space="preserve"> </w:t>
      </w:r>
      <w:r w:rsidR="00231BF8">
        <w:t>5</w:t>
      </w:r>
      <w:r w:rsidR="00231BF8" w:rsidRPr="00231BF8">
        <w:t xml:space="preserve"> presents </w:t>
      </w:r>
      <w:r>
        <w:t xml:space="preserve">key safety outcomes in the trials at Week 52, and results of </w:t>
      </w:r>
      <w:r w:rsidRPr="001E567E">
        <w:t xml:space="preserve">indirect comparisons between BUD/GLY/FOR </w:t>
      </w:r>
      <w:r>
        <w:t xml:space="preserve">versus </w:t>
      </w:r>
      <w:r w:rsidRPr="001E567E">
        <w:t>FF/UMEC/VI and BEC/GLY/FOR</w:t>
      </w:r>
      <w:r>
        <w:t xml:space="preserve"> (</w:t>
      </w:r>
      <w:r w:rsidR="00231BF8" w:rsidRPr="00231BF8">
        <w:t>using ICS/LABA and LAMA/LABA as the common reference</w:t>
      </w:r>
      <w:r>
        <w:t>)</w:t>
      </w:r>
      <w:r w:rsidR="00231BF8" w:rsidRPr="00231BF8">
        <w:t xml:space="preserve">. There </w:t>
      </w:r>
      <w:r>
        <w:t xml:space="preserve">were no statistically significant differences in safety outcomes for </w:t>
      </w:r>
      <w:r w:rsidR="00231BF8" w:rsidRPr="00231BF8">
        <w:t>BUD/GLY/FOR</w:t>
      </w:r>
      <w:r>
        <w:t>,</w:t>
      </w:r>
      <w:r w:rsidR="00231BF8" w:rsidRPr="00231BF8">
        <w:t xml:space="preserve"> FF/UMEC/VI and BEC/GLY/FOR.</w:t>
      </w:r>
    </w:p>
    <w:p w:rsidR="00231BF8" w:rsidRPr="003406EC" w:rsidRDefault="00231BF8" w:rsidP="00E91949">
      <w:pPr>
        <w:keepNext/>
        <w:keepLines/>
        <w:rPr>
          <w:rFonts w:ascii="Arial Narrow" w:hAnsi="Arial Narrow"/>
          <w:b/>
          <w:bCs/>
          <w:sz w:val="20"/>
          <w:szCs w:val="20"/>
        </w:rPr>
      </w:pPr>
      <w:r w:rsidRPr="003406EC">
        <w:rPr>
          <w:rFonts w:ascii="Arial Narrow" w:hAnsi="Arial Narrow"/>
          <w:b/>
          <w:bCs/>
          <w:sz w:val="20"/>
          <w:szCs w:val="20"/>
        </w:rPr>
        <w:lastRenderedPageBreak/>
        <w:t>Table</w:t>
      </w:r>
      <w:r>
        <w:rPr>
          <w:rFonts w:ascii="Arial Narrow" w:hAnsi="Arial Narrow"/>
          <w:b/>
          <w:bCs/>
          <w:sz w:val="20"/>
          <w:szCs w:val="20"/>
        </w:rPr>
        <w:t xml:space="preserve"> 5</w:t>
      </w:r>
      <w:r w:rsidRPr="003406EC">
        <w:rPr>
          <w:rFonts w:ascii="Arial Narrow" w:hAnsi="Arial Narrow"/>
          <w:b/>
          <w:bCs/>
          <w:sz w:val="20"/>
          <w:szCs w:val="20"/>
        </w:rPr>
        <w:t>:</w:t>
      </w:r>
      <w:r>
        <w:rPr>
          <w:rFonts w:ascii="Arial Narrow" w:hAnsi="Arial Narrow"/>
          <w:b/>
          <w:bCs/>
          <w:sz w:val="20"/>
          <w:szCs w:val="20"/>
        </w:rPr>
        <w:t xml:space="preserve"> Key safety outcomes reported in the ITT at 52 weeks</w:t>
      </w:r>
    </w:p>
    <w:tbl>
      <w:tblPr>
        <w:tblStyle w:val="TableGrid"/>
        <w:tblW w:w="0" w:type="auto"/>
        <w:tblCellMar>
          <w:left w:w="28" w:type="dxa"/>
          <w:right w:w="28" w:type="dxa"/>
        </w:tblCellMar>
        <w:tblLook w:val="04A0" w:firstRow="1" w:lastRow="0" w:firstColumn="1" w:lastColumn="0" w:noHBand="0" w:noVBand="1"/>
        <w:tblCaption w:val="Table 5: Key safety outcomes reported in the ITT at 52 weeks"/>
      </w:tblPr>
      <w:tblGrid>
        <w:gridCol w:w="1276"/>
        <w:gridCol w:w="1559"/>
        <w:gridCol w:w="1560"/>
        <w:gridCol w:w="1559"/>
        <w:gridCol w:w="1485"/>
        <w:gridCol w:w="1577"/>
      </w:tblGrid>
      <w:tr w:rsidR="00231BF8" w:rsidRPr="00B33C66" w:rsidTr="00D47A6A">
        <w:trPr>
          <w:tblHeader/>
        </w:trPr>
        <w:tc>
          <w:tcPr>
            <w:tcW w:w="1276" w:type="dxa"/>
            <w:vMerge w:val="restart"/>
            <w:tcBorders>
              <w:left w:val="nil"/>
              <w:right w:val="nil"/>
            </w:tcBorders>
            <w:vAlign w:val="center"/>
          </w:tcPr>
          <w:p w:rsidR="00231BF8" w:rsidRPr="0081181D" w:rsidRDefault="00231BF8" w:rsidP="00E91949">
            <w:pPr>
              <w:keepNext/>
              <w:keepLines/>
              <w:rPr>
                <w:rFonts w:ascii="Arial Narrow" w:hAnsi="Arial Narrow"/>
                <w:b/>
                <w:bCs/>
                <w:sz w:val="20"/>
                <w:szCs w:val="20"/>
              </w:rPr>
            </w:pPr>
            <w:r w:rsidRPr="0081181D">
              <w:rPr>
                <w:rFonts w:ascii="Arial Narrow" w:hAnsi="Arial Narrow"/>
                <w:b/>
                <w:bCs/>
                <w:sz w:val="20"/>
                <w:szCs w:val="20"/>
              </w:rPr>
              <w:t>Trial</w:t>
            </w:r>
          </w:p>
        </w:tc>
        <w:tc>
          <w:tcPr>
            <w:tcW w:w="1559" w:type="dxa"/>
            <w:vMerge w:val="restart"/>
            <w:tcBorders>
              <w:left w:val="nil"/>
              <w:right w:val="nil"/>
            </w:tcBorders>
            <w:vAlign w:val="center"/>
          </w:tcPr>
          <w:p w:rsidR="00231BF8" w:rsidRPr="002D3A70" w:rsidRDefault="00231BF8" w:rsidP="00E91949">
            <w:pPr>
              <w:keepNext/>
              <w:keepLines/>
              <w:jc w:val="center"/>
              <w:rPr>
                <w:rFonts w:ascii="Arial Narrow" w:hAnsi="Arial Narrow"/>
                <w:b/>
                <w:bCs/>
                <w:sz w:val="20"/>
                <w:szCs w:val="20"/>
              </w:rPr>
            </w:pPr>
            <w:r w:rsidRPr="002D3A70">
              <w:rPr>
                <w:rFonts w:ascii="Arial Narrow" w:hAnsi="Arial Narrow"/>
                <w:b/>
                <w:bCs/>
                <w:sz w:val="20"/>
                <w:szCs w:val="20"/>
              </w:rPr>
              <w:t>ICS/LAMA/LABA</w:t>
            </w:r>
          </w:p>
        </w:tc>
        <w:tc>
          <w:tcPr>
            <w:tcW w:w="1560" w:type="dxa"/>
            <w:vMerge w:val="restart"/>
            <w:tcBorders>
              <w:left w:val="nil"/>
              <w:right w:val="nil"/>
            </w:tcBorders>
            <w:vAlign w:val="center"/>
          </w:tcPr>
          <w:p w:rsidR="00231BF8" w:rsidRPr="002D3A70" w:rsidRDefault="00231BF8" w:rsidP="00E91949">
            <w:pPr>
              <w:keepNext/>
              <w:keepLines/>
              <w:jc w:val="center"/>
              <w:rPr>
                <w:rFonts w:ascii="Arial Narrow" w:hAnsi="Arial Narrow"/>
                <w:b/>
                <w:bCs/>
                <w:sz w:val="20"/>
                <w:szCs w:val="20"/>
              </w:rPr>
            </w:pPr>
            <w:r w:rsidRPr="002D3A70">
              <w:rPr>
                <w:rFonts w:ascii="Arial Narrow" w:hAnsi="Arial Narrow"/>
                <w:b/>
                <w:bCs/>
                <w:sz w:val="20"/>
                <w:szCs w:val="20"/>
              </w:rPr>
              <w:t>ICS/LABA</w:t>
            </w:r>
          </w:p>
        </w:tc>
        <w:tc>
          <w:tcPr>
            <w:tcW w:w="1559" w:type="dxa"/>
            <w:vMerge w:val="restart"/>
            <w:tcBorders>
              <w:left w:val="nil"/>
              <w:right w:val="nil"/>
            </w:tcBorders>
            <w:vAlign w:val="center"/>
          </w:tcPr>
          <w:p w:rsidR="00231BF8" w:rsidRPr="002D3A70" w:rsidRDefault="00231BF8" w:rsidP="00E91949">
            <w:pPr>
              <w:keepNext/>
              <w:keepLines/>
              <w:jc w:val="center"/>
              <w:rPr>
                <w:rFonts w:ascii="Arial Narrow" w:hAnsi="Arial Narrow"/>
                <w:b/>
                <w:bCs/>
                <w:sz w:val="20"/>
                <w:szCs w:val="20"/>
              </w:rPr>
            </w:pPr>
            <w:r w:rsidRPr="002D3A70">
              <w:rPr>
                <w:rFonts w:ascii="Arial Narrow" w:hAnsi="Arial Narrow"/>
                <w:b/>
                <w:bCs/>
                <w:sz w:val="20"/>
                <w:szCs w:val="20"/>
              </w:rPr>
              <w:t>LAMA/LABA</w:t>
            </w:r>
          </w:p>
        </w:tc>
        <w:tc>
          <w:tcPr>
            <w:tcW w:w="3062" w:type="dxa"/>
            <w:gridSpan w:val="2"/>
            <w:tcBorders>
              <w:left w:val="nil"/>
              <w:right w:val="nil"/>
            </w:tcBorders>
            <w:vAlign w:val="center"/>
          </w:tcPr>
          <w:p w:rsidR="00231BF8" w:rsidRPr="002D3A70" w:rsidRDefault="00231BF8" w:rsidP="00E91949">
            <w:pPr>
              <w:keepNext/>
              <w:keepLines/>
              <w:jc w:val="center"/>
              <w:rPr>
                <w:rFonts w:ascii="Arial Narrow" w:hAnsi="Arial Narrow"/>
                <w:b/>
                <w:bCs/>
                <w:sz w:val="20"/>
                <w:szCs w:val="20"/>
              </w:rPr>
            </w:pPr>
            <w:r w:rsidRPr="002D3A70">
              <w:rPr>
                <w:rFonts w:ascii="Arial Narrow" w:hAnsi="Arial Narrow"/>
                <w:b/>
                <w:bCs/>
                <w:sz w:val="20"/>
                <w:szCs w:val="20"/>
              </w:rPr>
              <w:t>Treatment difference (95%CI)</w:t>
            </w:r>
          </w:p>
        </w:tc>
      </w:tr>
      <w:tr w:rsidR="00231BF8" w:rsidRPr="00B33C66" w:rsidTr="00D47A6A">
        <w:trPr>
          <w:tblHeader/>
        </w:trPr>
        <w:tc>
          <w:tcPr>
            <w:tcW w:w="1276" w:type="dxa"/>
            <w:vMerge/>
            <w:tcBorders>
              <w:left w:val="nil"/>
              <w:bottom w:val="single" w:sz="4" w:space="0" w:color="auto"/>
              <w:right w:val="nil"/>
            </w:tcBorders>
          </w:tcPr>
          <w:p w:rsidR="00231BF8" w:rsidRPr="00B33C66" w:rsidRDefault="00231BF8" w:rsidP="00E91949">
            <w:pPr>
              <w:keepNext/>
              <w:keepLines/>
              <w:rPr>
                <w:rFonts w:ascii="Arial Narrow" w:hAnsi="Arial Narrow"/>
                <w:sz w:val="20"/>
                <w:szCs w:val="20"/>
              </w:rPr>
            </w:pPr>
          </w:p>
        </w:tc>
        <w:tc>
          <w:tcPr>
            <w:tcW w:w="1559" w:type="dxa"/>
            <w:vMerge/>
            <w:tcBorders>
              <w:left w:val="nil"/>
              <w:bottom w:val="single" w:sz="4" w:space="0" w:color="auto"/>
              <w:right w:val="nil"/>
            </w:tcBorders>
            <w:vAlign w:val="center"/>
          </w:tcPr>
          <w:p w:rsidR="00231BF8" w:rsidRPr="002D3A70" w:rsidRDefault="00231BF8" w:rsidP="00E91949">
            <w:pPr>
              <w:keepNext/>
              <w:keepLines/>
              <w:jc w:val="center"/>
              <w:rPr>
                <w:rFonts w:ascii="Arial Narrow" w:hAnsi="Arial Narrow"/>
                <w:b/>
                <w:bCs/>
                <w:sz w:val="20"/>
                <w:szCs w:val="20"/>
              </w:rPr>
            </w:pPr>
          </w:p>
        </w:tc>
        <w:tc>
          <w:tcPr>
            <w:tcW w:w="1560" w:type="dxa"/>
            <w:vMerge/>
            <w:tcBorders>
              <w:left w:val="nil"/>
              <w:bottom w:val="single" w:sz="4" w:space="0" w:color="auto"/>
              <w:right w:val="nil"/>
            </w:tcBorders>
            <w:vAlign w:val="center"/>
          </w:tcPr>
          <w:p w:rsidR="00231BF8" w:rsidRPr="002D3A70" w:rsidRDefault="00231BF8" w:rsidP="00E91949">
            <w:pPr>
              <w:keepNext/>
              <w:keepLines/>
              <w:jc w:val="center"/>
              <w:rPr>
                <w:rFonts w:ascii="Arial Narrow" w:hAnsi="Arial Narrow"/>
                <w:b/>
                <w:bCs/>
                <w:sz w:val="20"/>
                <w:szCs w:val="20"/>
              </w:rPr>
            </w:pPr>
          </w:p>
        </w:tc>
        <w:tc>
          <w:tcPr>
            <w:tcW w:w="1559" w:type="dxa"/>
            <w:vMerge/>
            <w:tcBorders>
              <w:left w:val="nil"/>
              <w:bottom w:val="single" w:sz="4" w:space="0" w:color="auto"/>
              <w:right w:val="nil"/>
            </w:tcBorders>
            <w:vAlign w:val="center"/>
          </w:tcPr>
          <w:p w:rsidR="00231BF8" w:rsidRPr="002D3A70" w:rsidRDefault="00231BF8" w:rsidP="00E91949">
            <w:pPr>
              <w:keepNext/>
              <w:keepLines/>
              <w:jc w:val="center"/>
              <w:rPr>
                <w:rFonts w:ascii="Arial Narrow" w:hAnsi="Arial Narrow"/>
                <w:b/>
                <w:bCs/>
                <w:sz w:val="20"/>
                <w:szCs w:val="20"/>
              </w:rPr>
            </w:pPr>
          </w:p>
        </w:tc>
        <w:tc>
          <w:tcPr>
            <w:tcW w:w="1485" w:type="dxa"/>
            <w:tcBorders>
              <w:left w:val="nil"/>
              <w:bottom w:val="single" w:sz="4" w:space="0" w:color="auto"/>
              <w:right w:val="nil"/>
            </w:tcBorders>
            <w:vAlign w:val="center"/>
          </w:tcPr>
          <w:p w:rsidR="00231BF8" w:rsidRPr="002D3A70" w:rsidRDefault="00231BF8" w:rsidP="00E91949">
            <w:pPr>
              <w:keepNext/>
              <w:keepLines/>
              <w:jc w:val="center"/>
              <w:rPr>
                <w:rFonts w:ascii="Arial Narrow" w:hAnsi="Arial Narrow"/>
                <w:b/>
                <w:bCs/>
                <w:sz w:val="20"/>
                <w:szCs w:val="20"/>
              </w:rPr>
            </w:pPr>
            <w:r w:rsidRPr="002D3A70">
              <w:rPr>
                <w:rFonts w:ascii="Arial Narrow" w:hAnsi="Arial Narrow"/>
                <w:b/>
                <w:bCs/>
                <w:sz w:val="20"/>
                <w:szCs w:val="20"/>
              </w:rPr>
              <w:t>ICS/LABA/LAMA vs ICS/LABA</w:t>
            </w:r>
          </w:p>
        </w:tc>
        <w:tc>
          <w:tcPr>
            <w:tcW w:w="1577" w:type="dxa"/>
            <w:tcBorders>
              <w:left w:val="nil"/>
              <w:bottom w:val="single" w:sz="4" w:space="0" w:color="auto"/>
              <w:right w:val="nil"/>
            </w:tcBorders>
            <w:vAlign w:val="center"/>
          </w:tcPr>
          <w:p w:rsidR="00231BF8" w:rsidRPr="002D3A70" w:rsidRDefault="00231BF8" w:rsidP="00E91949">
            <w:pPr>
              <w:keepNext/>
              <w:keepLines/>
              <w:jc w:val="center"/>
              <w:rPr>
                <w:rFonts w:ascii="Arial Narrow" w:hAnsi="Arial Narrow"/>
                <w:b/>
                <w:bCs/>
                <w:sz w:val="20"/>
                <w:szCs w:val="20"/>
              </w:rPr>
            </w:pPr>
            <w:r w:rsidRPr="002D3A70">
              <w:rPr>
                <w:rFonts w:ascii="Arial Narrow" w:hAnsi="Arial Narrow"/>
                <w:b/>
                <w:bCs/>
                <w:sz w:val="20"/>
                <w:szCs w:val="20"/>
              </w:rPr>
              <w:t>ICS/LABA/LAMA vs LAMA/LABA</w:t>
            </w:r>
          </w:p>
        </w:tc>
      </w:tr>
      <w:tr w:rsidR="00231BF8" w:rsidRPr="00B33C66" w:rsidTr="00647067">
        <w:tc>
          <w:tcPr>
            <w:tcW w:w="5954" w:type="dxa"/>
            <w:gridSpan w:val="4"/>
            <w:tcBorders>
              <w:top w:val="single" w:sz="4" w:space="0" w:color="auto"/>
              <w:left w:val="nil"/>
              <w:bottom w:val="nil"/>
              <w:right w:val="nil"/>
            </w:tcBorders>
            <w:vAlign w:val="center"/>
          </w:tcPr>
          <w:p w:rsidR="00231BF8" w:rsidRDefault="00231BF8" w:rsidP="00E91949">
            <w:pPr>
              <w:keepNext/>
              <w:keepLines/>
              <w:rPr>
                <w:rFonts w:ascii="Arial Narrow" w:hAnsi="Arial Narrow"/>
                <w:sz w:val="20"/>
                <w:szCs w:val="20"/>
              </w:rPr>
            </w:pPr>
            <w:r>
              <w:rPr>
                <w:rFonts w:ascii="Arial Narrow" w:hAnsi="Arial Narrow"/>
                <w:b/>
                <w:bCs/>
                <w:sz w:val="20"/>
                <w:szCs w:val="20"/>
              </w:rPr>
              <w:t>All-cause mortality (including off-treatment follow-up), n/N (%)</w:t>
            </w:r>
          </w:p>
        </w:tc>
        <w:tc>
          <w:tcPr>
            <w:tcW w:w="1485" w:type="dxa"/>
            <w:tcBorders>
              <w:top w:val="single" w:sz="4" w:space="0" w:color="auto"/>
              <w:left w:val="nil"/>
              <w:bottom w:val="nil"/>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HR</w:t>
            </w:r>
          </w:p>
        </w:tc>
        <w:tc>
          <w:tcPr>
            <w:tcW w:w="1577" w:type="dxa"/>
            <w:tcBorders>
              <w:top w:val="single" w:sz="4" w:space="0" w:color="auto"/>
              <w:left w:val="nil"/>
              <w:bottom w:val="nil"/>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HR</w:t>
            </w:r>
          </w:p>
        </w:tc>
      </w:tr>
      <w:tr w:rsidR="00231BF8" w:rsidRPr="00B33C66" w:rsidTr="00647067">
        <w:tc>
          <w:tcPr>
            <w:tcW w:w="1276" w:type="dxa"/>
            <w:tcBorders>
              <w:top w:val="single" w:sz="4" w:space="0" w:color="auto"/>
              <w:left w:val="nil"/>
              <w:bottom w:val="nil"/>
              <w:right w:val="nil"/>
            </w:tcBorders>
          </w:tcPr>
          <w:p w:rsidR="00231BF8" w:rsidRDefault="00231BF8" w:rsidP="00E91949">
            <w:pPr>
              <w:keepNext/>
              <w:keepLines/>
              <w:rPr>
                <w:rFonts w:ascii="Arial Narrow" w:hAnsi="Arial Narrow"/>
                <w:sz w:val="20"/>
                <w:szCs w:val="20"/>
              </w:rPr>
            </w:pPr>
          </w:p>
        </w:tc>
        <w:tc>
          <w:tcPr>
            <w:tcW w:w="1559"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BUD/GLY/FOR</w:t>
            </w:r>
          </w:p>
        </w:tc>
        <w:tc>
          <w:tcPr>
            <w:tcW w:w="1560"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BUD/FOR</w:t>
            </w:r>
          </w:p>
        </w:tc>
        <w:tc>
          <w:tcPr>
            <w:tcW w:w="1559"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GLY/FOR</w:t>
            </w:r>
          </w:p>
        </w:tc>
        <w:tc>
          <w:tcPr>
            <w:tcW w:w="1485"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c>
          <w:tcPr>
            <w:tcW w:w="1577"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ETHOS</w:t>
            </w:r>
          </w:p>
        </w:tc>
        <w:tc>
          <w:tcPr>
            <w:tcW w:w="1559" w:type="dxa"/>
            <w:tcBorders>
              <w:top w:val="nil"/>
              <w:left w:val="nil"/>
              <w:bottom w:val="nil"/>
              <w:right w:val="nil"/>
            </w:tcBorders>
            <w:vAlign w:val="center"/>
          </w:tcPr>
          <w:p w:rsidR="00231BF8" w:rsidRPr="00D60220" w:rsidRDefault="00231BF8" w:rsidP="00E91949">
            <w:pPr>
              <w:keepNext/>
              <w:keepLines/>
              <w:jc w:val="center"/>
              <w:rPr>
                <w:rFonts w:ascii="Arial Narrow" w:hAnsi="Arial Narrow"/>
                <w:sz w:val="20"/>
                <w:szCs w:val="20"/>
              </w:rPr>
            </w:pPr>
            <w:r>
              <w:rPr>
                <w:rFonts w:ascii="Arial Narrow" w:hAnsi="Arial Narrow"/>
                <w:sz w:val="20"/>
                <w:szCs w:val="20"/>
              </w:rPr>
              <w:t>28/2137 (1.3)</w:t>
            </w:r>
          </w:p>
        </w:tc>
        <w:tc>
          <w:tcPr>
            <w:tcW w:w="1560" w:type="dxa"/>
            <w:tcBorders>
              <w:top w:val="nil"/>
              <w:left w:val="nil"/>
              <w:bottom w:val="nil"/>
              <w:right w:val="nil"/>
            </w:tcBorders>
            <w:vAlign w:val="center"/>
          </w:tcPr>
          <w:p w:rsidR="00231BF8" w:rsidRPr="00D60220" w:rsidRDefault="00231BF8" w:rsidP="00E91949">
            <w:pPr>
              <w:keepNext/>
              <w:keepLines/>
              <w:jc w:val="center"/>
              <w:rPr>
                <w:rFonts w:ascii="Arial Narrow" w:hAnsi="Arial Narrow"/>
                <w:sz w:val="20"/>
                <w:szCs w:val="20"/>
              </w:rPr>
            </w:pPr>
            <w:r>
              <w:rPr>
                <w:rFonts w:ascii="Arial Narrow" w:hAnsi="Arial Narrow"/>
                <w:sz w:val="20"/>
                <w:szCs w:val="20"/>
              </w:rPr>
              <w:t>34/2131 (1.6)</w:t>
            </w:r>
          </w:p>
        </w:tc>
        <w:tc>
          <w:tcPr>
            <w:tcW w:w="1559" w:type="dxa"/>
            <w:tcBorders>
              <w:top w:val="nil"/>
              <w:left w:val="nil"/>
              <w:bottom w:val="nil"/>
              <w:right w:val="nil"/>
            </w:tcBorders>
            <w:vAlign w:val="center"/>
          </w:tcPr>
          <w:p w:rsidR="00231BF8" w:rsidRPr="00D60220" w:rsidRDefault="00231BF8" w:rsidP="00E91949">
            <w:pPr>
              <w:keepNext/>
              <w:keepLines/>
              <w:jc w:val="center"/>
              <w:rPr>
                <w:rFonts w:ascii="Arial Narrow" w:hAnsi="Arial Narrow"/>
                <w:sz w:val="20"/>
                <w:szCs w:val="20"/>
              </w:rPr>
            </w:pPr>
            <w:r>
              <w:rPr>
                <w:rFonts w:ascii="Arial Narrow" w:hAnsi="Arial Narrow"/>
                <w:sz w:val="20"/>
                <w:szCs w:val="20"/>
              </w:rPr>
              <w:t>49/2120 (2.3)</w:t>
            </w:r>
          </w:p>
        </w:tc>
        <w:tc>
          <w:tcPr>
            <w:tcW w:w="1485" w:type="dxa"/>
            <w:tcBorders>
              <w:top w:val="nil"/>
              <w:left w:val="nil"/>
              <w:bottom w:val="nil"/>
              <w:right w:val="nil"/>
            </w:tcBorders>
            <w:vAlign w:val="center"/>
          </w:tcPr>
          <w:p w:rsidR="00231BF8" w:rsidRPr="00E67667" w:rsidRDefault="00231BF8" w:rsidP="00E91949">
            <w:pPr>
              <w:keepNext/>
              <w:keepLines/>
              <w:jc w:val="center"/>
              <w:rPr>
                <w:rFonts w:ascii="Arial Narrow" w:hAnsi="Arial Narrow"/>
                <w:sz w:val="20"/>
                <w:szCs w:val="20"/>
              </w:rPr>
            </w:pPr>
            <w:r w:rsidRPr="00E67667">
              <w:rPr>
                <w:rFonts w:ascii="Arial Narrow" w:hAnsi="Arial Narrow"/>
                <w:sz w:val="20"/>
                <w:szCs w:val="20"/>
              </w:rPr>
              <w:t>0.78 (0.47, 1.30)</w:t>
            </w:r>
            <w:r>
              <w:rPr>
                <w:rFonts w:ascii="Arial Narrow" w:hAnsi="Arial Narrow"/>
                <w:sz w:val="20"/>
                <w:szCs w:val="20"/>
              </w:rPr>
              <w:t>^</w:t>
            </w:r>
          </w:p>
        </w:tc>
        <w:tc>
          <w:tcPr>
            <w:tcW w:w="1577" w:type="dxa"/>
            <w:tcBorders>
              <w:top w:val="nil"/>
              <w:left w:val="nil"/>
              <w:bottom w:val="nil"/>
              <w:right w:val="nil"/>
            </w:tcBorders>
            <w:vAlign w:val="center"/>
          </w:tcPr>
          <w:p w:rsidR="00231BF8" w:rsidRPr="00E67667" w:rsidRDefault="00231BF8" w:rsidP="00E91949">
            <w:pPr>
              <w:keepNext/>
              <w:keepLines/>
              <w:jc w:val="center"/>
              <w:rPr>
                <w:rFonts w:ascii="Arial Narrow" w:hAnsi="Arial Narrow"/>
                <w:sz w:val="20"/>
                <w:szCs w:val="20"/>
              </w:rPr>
            </w:pPr>
            <w:r w:rsidRPr="00362A18">
              <w:rPr>
                <w:rFonts w:ascii="Arial Narrow" w:hAnsi="Arial Narrow"/>
                <w:b/>
                <w:sz w:val="20"/>
                <w:szCs w:val="20"/>
              </w:rPr>
              <w:t>0.54 (0.34, 0.87</w:t>
            </w:r>
            <w:r w:rsidR="00362A18">
              <w:rPr>
                <w:rFonts w:ascii="Arial Narrow" w:hAnsi="Arial Narrow"/>
                <w:b/>
                <w:sz w:val="20"/>
                <w:szCs w:val="20"/>
              </w:rPr>
              <w:t>)</w:t>
            </w:r>
            <w:r>
              <w:rPr>
                <w:rFonts w:ascii="Arial Narrow" w:hAnsi="Arial Narrow"/>
                <w:sz w:val="20"/>
                <w:szCs w:val="20"/>
              </w:rPr>
              <w:t>^</w:t>
            </w:r>
          </w:p>
        </w:tc>
      </w:tr>
      <w:tr w:rsidR="00231BF8" w:rsidRPr="00B33C66" w:rsidTr="00647067">
        <w:tc>
          <w:tcPr>
            <w:tcW w:w="1276" w:type="dxa"/>
            <w:tcBorders>
              <w:top w:val="nil"/>
              <w:left w:val="nil"/>
              <w:bottom w:val="nil"/>
              <w:right w:val="nil"/>
            </w:tcBorders>
          </w:tcPr>
          <w:p w:rsidR="00231BF8" w:rsidRDefault="00231BF8" w:rsidP="00E91949">
            <w:pPr>
              <w:keepNext/>
              <w:keepLines/>
              <w:rPr>
                <w:rFonts w:ascii="Arial Narrow" w:hAnsi="Arial Narrow"/>
                <w:sz w:val="20"/>
                <w:szCs w:val="20"/>
              </w:rPr>
            </w:pP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FF/UMEC/VI</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FF/VI</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UMEC/VI</w:t>
            </w:r>
          </w:p>
        </w:tc>
        <w:tc>
          <w:tcPr>
            <w:tcW w:w="1485"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c>
          <w:tcPr>
            <w:tcW w:w="1577"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r>
      <w:tr w:rsidR="00231BF8" w:rsidRPr="00B27770" w:rsidTr="00647067">
        <w:tc>
          <w:tcPr>
            <w:tcW w:w="1276" w:type="dxa"/>
            <w:tcBorders>
              <w:top w:val="nil"/>
              <w:left w:val="nil"/>
              <w:bottom w:val="single" w:sz="4" w:space="0" w:color="auto"/>
              <w:right w:val="nil"/>
            </w:tcBorders>
          </w:tcPr>
          <w:p w:rsidR="00231BF8" w:rsidRPr="00B33C66" w:rsidRDefault="00231BF8" w:rsidP="00E91949">
            <w:pPr>
              <w:keepNext/>
              <w:keepLines/>
              <w:rPr>
                <w:rFonts w:ascii="Arial Narrow" w:hAnsi="Arial Narrow"/>
                <w:sz w:val="20"/>
                <w:szCs w:val="20"/>
              </w:rPr>
            </w:pPr>
            <w:r>
              <w:rPr>
                <w:rFonts w:ascii="Arial Narrow" w:hAnsi="Arial Narrow"/>
                <w:sz w:val="20"/>
                <w:szCs w:val="20"/>
              </w:rPr>
              <w:t>IMPACT</w:t>
            </w:r>
          </w:p>
        </w:tc>
        <w:tc>
          <w:tcPr>
            <w:tcW w:w="1559" w:type="dxa"/>
            <w:tcBorders>
              <w:top w:val="nil"/>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89/4151 (2.1)</w:t>
            </w:r>
          </w:p>
        </w:tc>
        <w:tc>
          <w:tcPr>
            <w:tcW w:w="1560" w:type="dxa"/>
            <w:tcBorders>
              <w:top w:val="nil"/>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97/4134 (2.3)</w:t>
            </w:r>
          </w:p>
        </w:tc>
        <w:tc>
          <w:tcPr>
            <w:tcW w:w="1559" w:type="dxa"/>
            <w:tcBorders>
              <w:top w:val="nil"/>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60/2090 (2.9)</w:t>
            </w:r>
          </w:p>
        </w:tc>
        <w:tc>
          <w:tcPr>
            <w:tcW w:w="1485" w:type="dxa"/>
            <w:tcBorders>
              <w:top w:val="nil"/>
              <w:left w:val="nil"/>
              <w:bottom w:val="single" w:sz="4" w:space="0" w:color="auto"/>
              <w:right w:val="nil"/>
            </w:tcBorders>
            <w:vAlign w:val="center"/>
          </w:tcPr>
          <w:p w:rsidR="00231BF8" w:rsidRPr="00C44215" w:rsidRDefault="00231BF8" w:rsidP="00E91949">
            <w:pPr>
              <w:keepNext/>
              <w:keepLines/>
              <w:jc w:val="center"/>
              <w:rPr>
                <w:rFonts w:ascii="Arial Narrow" w:hAnsi="Arial Narrow"/>
                <w:sz w:val="20"/>
                <w:szCs w:val="20"/>
              </w:rPr>
            </w:pPr>
            <w:r w:rsidRPr="00C44215">
              <w:rPr>
                <w:rFonts w:ascii="Arial Narrow" w:hAnsi="Arial Narrow"/>
                <w:sz w:val="20"/>
                <w:szCs w:val="20"/>
              </w:rPr>
              <w:t>0.90 (0.67, 1.20)</w:t>
            </w:r>
          </w:p>
        </w:tc>
        <w:tc>
          <w:tcPr>
            <w:tcW w:w="1577" w:type="dxa"/>
            <w:tcBorders>
              <w:top w:val="nil"/>
              <w:left w:val="nil"/>
              <w:bottom w:val="single" w:sz="4" w:space="0" w:color="auto"/>
              <w:right w:val="nil"/>
            </w:tcBorders>
            <w:vAlign w:val="center"/>
          </w:tcPr>
          <w:p w:rsidR="00231BF8" w:rsidRPr="00C44215" w:rsidRDefault="00231BF8" w:rsidP="00E91949">
            <w:pPr>
              <w:keepNext/>
              <w:keepLines/>
              <w:jc w:val="center"/>
              <w:rPr>
                <w:rFonts w:ascii="Arial Narrow" w:hAnsi="Arial Narrow"/>
                <w:b/>
                <w:sz w:val="20"/>
                <w:szCs w:val="20"/>
              </w:rPr>
            </w:pPr>
            <w:r w:rsidRPr="00C44215">
              <w:rPr>
                <w:rFonts w:ascii="Arial Narrow" w:hAnsi="Arial Narrow"/>
                <w:b/>
                <w:sz w:val="20"/>
                <w:szCs w:val="20"/>
              </w:rPr>
              <w:t>0.71 (0.51, 0.99)</w:t>
            </w:r>
          </w:p>
        </w:tc>
      </w:tr>
      <w:tr w:rsidR="00231BF8" w:rsidRPr="00B33C66" w:rsidTr="00647067">
        <w:tc>
          <w:tcPr>
            <w:tcW w:w="5954" w:type="dxa"/>
            <w:gridSpan w:val="4"/>
            <w:tcBorders>
              <w:top w:val="single" w:sz="4" w:space="0" w:color="auto"/>
              <w:left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b/>
                <w:bCs/>
                <w:sz w:val="20"/>
                <w:szCs w:val="20"/>
              </w:rPr>
              <w:t>Any AEs, n/N (%)</w:t>
            </w:r>
          </w:p>
        </w:tc>
        <w:tc>
          <w:tcPr>
            <w:tcW w:w="1485" w:type="dxa"/>
            <w:tcBorders>
              <w:top w:val="single" w:sz="4" w:space="0" w:color="auto"/>
              <w:left w:val="nil"/>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RR</w:t>
            </w:r>
          </w:p>
        </w:tc>
        <w:tc>
          <w:tcPr>
            <w:tcW w:w="1577" w:type="dxa"/>
            <w:tcBorders>
              <w:top w:val="single" w:sz="4" w:space="0" w:color="auto"/>
              <w:left w:val="nil"/>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RR</w:t>
            </w:r>
          </w:p>
        </w:tc>
      </w:tr>
      <w:tr w:rsidR="00231BF8" w:rsidRPr="00B33C66" w:rsidTr="00647067">
        <w:tc>
          <w:tcPr>
            <w:tcW w:w="1276" w:type="dxa"/>
            <w:tcBorders>
              <w:left w:val="nil"/>
              <w:bottom w:val="nil"/>
              <w:right w:val="nil"/>
            </w:tcBorders>
          </w:tcPr>
          <w:p w:rsidR="00231BF8" w:rsidRDefault="00231BF8" w:rsidP="00E91949">
            <w:pPr>
              <w:keepNext/>
              <w:keepLines/>
              <w:rPr>
                <w:rFonts w:ascii="Arial Narrow" w:hAnsi="Arial Narrow"/>
                <w:sz w:val="20"/>
                <w:szCs w:val="20"/>
              </w:rPr>
            </w:pPr>
          </w:p>
        </w:tc>
        <w:tc>
          <w:tcPr>
            <w:tcW w:w="1559"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BUD/GLY/FOR</w:t>
            </w:r>
          </w:p>
        </w:tc>
        <w:tc>
          <w:tcPr>
            <w:tcW w:w="1560"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BUD/FOR</w:t>
            </w:r>
          </w:p>
        </w:tc>
        <w:tc>
          <w:tcPr>
            <w:tcW w:w="1559"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GLY/FOR</w:t>
            </w:r>
          </w:p>
        </w:tc>
        <w:tc>
          <w:tcPr>
            <w:tcW w:w="1485"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c>
          <w:tcPr>
            <w:tcW w:w="1577"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ETHOS</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1368/2144 (64)</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1377/2136 (65)</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1312/2125 (62)</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0.99 (0.95, 1.04)</w:t>
            </w: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1.03 (0.99, 1.08)</w:t>
            </w:r>
          </w:p>
        </w:tc>
      </w:tr>
      <w:tr w:rsidR="00231BF8" w:rsidRPr="00B33C66" w:rsidTr="00647067">
        <w:tc>
          <w:tcPr>
            <w:tcW w:w="1276" w:type="dxa"/>
            <w:tcBorders>
              <w:top w:val="nil"/>
              <w:left w:val="nil"/>
              <w:bottom w:val="nil"/>
              <w:right w:val="nil"/>
            </w:tcBorders>
          </w:tcPr>
          <w:p w:rsidR="00231BF8" w:rsidRDefault="00231BF8" w:rsidP="00E91949">
            <w:pPr>
              <w:keepNext/>
              <w:keepLines/>
              <w:rPr>
                <w:rFonts w:ascii="Arial Narrow" w:hAnsi="Arial Narrow"/>
                <w:sz w:val="20"/>
                <w:szCs w:val="20"/>
              </w:rPr>
            </w:pP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FF/UMEC/VI</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FF/VI</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UMEC/VI</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IMPACT</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C44215">
              <w:rPr>
                <w:rFonts w:ascii="Arial Narrow" w:hAnsi="Arial Narrow"/>
                <w:sz w:val="20"/>
                <w:szCs w:val="20"/>
              </w:rPr>
              <w:t>2897/4151 (70)</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C44215">
              <w:rPr>
                <w:rFonts w:ascii="Arial Narrow" w:hAnsi="Arial Narrow"/>
                <w:sz w:val="20"/>
                <w:szCs w:val="20"/>
              </w:rPr>
              <w:t>2800/4134 (68)</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C44215">
              <w:rPr>
                <w:rFonts w:ascii="Arial Narrow" w:hAnsi="Arial Narrow"/>
                <w:sz w:val="20"/>
                <w:szCs w:val="20"/>
              </w:rPr>
              <w:t>1429/2070 (69)</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1.03 (1.00, 1.06)</w:t>
            </w: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1.01 (0.98, 1.05)</w:t>
            </w:r>
          </w:p>
        </w:tc>
      </w:tr>
      <w:tr w:rsidR="00231BF8" w:rsidRPr="00B33C66" w:rsidTr="00647067">
        <w:tc>
          <w:tcPr>
            <w:tcW w:w="1276" w:type="dxa"/>
            <w:tcBorders>
              <w:top w:val="nil"/>
              <w:left w:val="nil"/>
              <w:bottom w:val="nil"/>
              <w:right w:val="nil"/>
            </w:tcBorders>
          </w:tcPr>
          <w:p w:rsidR="00231BF8" w:rsidRPr="00B33C66" w:rsidRDefault="00231BF8" w:rsidP="00E91949">
            <w:pPr>
              <w:keepNext/>
              <w:keepLines/>
              <w:rPr>
                <w:rFonts w:ascii="Arial Narrow" w:hAnsi="Arial Narrow"/>
                <w:sz w:val="20"/>
                <w:szCs w:val="20"/>
              </w:rPr>
            </w:pP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BEC/GLY/FOR</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BEC/FOR</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GLY/IND</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TRILOGY</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C44215">
              <w:rPr>
                <w:rFonts w:ascii="Arial Narrow" w:hAnsi="Arial Narrow"/>
                <w:sz w:val="20"/>
                <w:szCs w:val="20"/>
              </w:rPr>
              <w:t>368 / 687 (54)</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C44215">
              <w:rPr>
                <w:rFonts w:ascii="Arial Narrow" w:hAnsi="Arial Narrow"/>
                <w:sz w:val="20"/>
                <w:szCs w:val="20"/>
              </w:rPr>
              <w:t>379/680 (56)</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0.96 (0.87, 1.06)</w:t>
            </w: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single" w:sz="4" w:space="0" w:color="auto"/>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TRIBUTE</w:t>
            </w:r>
          </w:p>
        </w:tc>
        <w:tc>
          <w:tcPr>
            <w:tcW w:w="1559" w:type="dxa"/>
            <w:tcBorders>
              <w:top w:val="nil"/>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r w:rsidRPr="00C44215">
              <w:rPr>
                <w:rFonts w:ascii="Arial Narrow" w:hAnsi="Arial Narrow"/>
                <w:sz w:val="20"/>
                <w:szCs w:val="20"/>
              </w:rPr>
              <w:t>490/764 (64</w:t>
            </w:r>
            <w:r>
              <w:rPr>
                <w:rFonts w:ascii="Arial Narrow" w:hAnsi="Arial Narrow"/>
                <w:sz w:val="20"/>
                <w:szCs w:val="20"/>
              </w:rPr>
              <w:t>)</w:t>
            </w:r>
          </w:p>
        </w:tc>
        <w:tc>
          <w:tcPr>
            <w:tcW w:w="1560" w:type="dxa"/>
            <w:tcBorders>
              <w:top w:val="nil"/>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w:t>
            </w:r>
          </w:p>
        </w:tc>
        <w:tc>
          <w:tcPr>
            <w:tcW w:w="1559" w:type="dxa"/>
            <w:tcBorders>
              <w:top w:val="nil"/>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r w:rsidRPr="00C44215">
              <w:rPr>
                <w:rFonts w:ascii="Arial Narrow" w:hAnsi="Arial Narrow"/>
                <w:sz w:val="20"/>
                <w:szCs w:val="20"/>
              </w:rPr>
              <w:t>516 / 768 (67)</w:t>
            </w:r>
          </w:p>
        </w:tc>
        <w:tc>
          <w:tcPr>
            <w:tcW w:w="1485" w:type="dxa"/>
            <w:tcBorders>
              <w:top w:val="nil"/>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p>
        </w:tc>
        <w:tc>
          <w:tcPr>
            <w:tcW w:w="1577" w:type="dxa"/>
            <w:tcBorders>
              <w:top w:val="nil"/>
              <w:left w:val="nil"/>
              <w:right w:val="nil"/>
            </w:tcBorders>
            <w:vAlign w:val="center"/>
          </w:tcPr>
          <w:p w:rsidR="00231BF8" w:rsidRPr="00B33C66" w:rsidRDefault="00231BF8" w:rsidP="00E91949">
            <w:pPr>
              <w:keepNext/>
              <w:keepLines/>
              <w:jc w:val="center"/>
              <w:rPr>
                <w:rFonts w:ascii="Arial Narrow" w:hAnsi="Arial Narrow"/>
                <w:sz w:val="20"/>
                <w:szCs w:val="20"/>
              </w:rPr>
            </w:pPr>
            <w:r w:rsidRPr="001F73F4">
              <w:rPr>
                <w:rFonts w:ascii="Arial Narrow" w:hAnsi="Arial Narrow"/>
                <w:sz w:val="20"/>
                <w:szCs w:val="20"/>
              </w:rPr>
              <w:t>0.95 (0.89, 1.03)</w:t>
            </w:r>
          </w:p>
        </w:tc>
      </w:tr>
      <w:tr w:rsidR="00231BF8" w:rsidRPr="00B33C66" w:rsidTr="00647067">
        <w:tc>
          <w:tcPr>
            <w:tcW w:w="5954" w:type="dxa"/>
            <w:gridSpan w:val="4"/>
            <w:tcBorders>
              <w:left w:val="nil"/>
              <w:bottom w:val="single" w:sz="4" w:space="0" w:color="auto"/>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b/>
                <w:bCs/>
                <w:sz w:val="20"/>
                <w:szCs w:val="20"/>
              </w:rPr>
              <w:t>Serious AEs, n/N (%)</w:t>
            </w:r>
          </w:p>
        </w:tc>
        <w:tc>
          <w:tcPr>
            <w:tcW w:w="1485" w:type="dxa"/>
            <w:tcBorders>
              <w:left w:val="nil"/>
              <w:bottom w:val="single" w:sz="4" w:space="0" w:color="auto"/>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RR</w:t>
            </w:r>
          </w:p>
        </w:tc>
        <w:tc>
          <w:tcPr>
            <w:tcW w:w="1577" w:type="dxa"/>
            <w:tcBorders>
              <w:left w:val="nil"/>
              <w:bottom w:val="single" w:sz="4" w:space="0" w:color="auto"/>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RR</w:t>
            </w:r>
          </w:p>
        </w:tc>
      </w:tr>
      <w:tr w:rsidR="00231BF8" w:rsidRPr="00B33C66" w:rsidTr="00647067">
        <w:tc>
          <w:tcPr>
            <w:tcW w:w="1276" w:type="dxa"/>
            <w:tcBorders>
              <w:left w:val="nil"/>
              <w:bottom w:val="nil"/>
              <w:right w:val="nil"/>
            </w:tcBorders>
          </w:tcPr>
          <w:p w:rsidR="00231BF8" w:rsidRDefault="00231BF8" w:rsidP="00E91949">
            <w:pPr>
              <w:keepNext/>
              <w:keepLines/>
              <w:rPr>
                <w:rFonts w:ascii="Arial Narrow" w:hAnsi="Arial Narrow"/>
                <w:sz w:val="20"/>
                <w:szCs w:val="20"/>
              </w:rPr>
            </w:pPr>
          </w:p>
        </w:tc>
        <w:tc>
          <w:tcPr>
            <w:tcW w:w="1559"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BUD/GLY/FOR</w:t>
            </w:r>
          </w:p>
        </w:tc>
        <w:tc>
          <w:tcPr>
            <w:tcW w:w="1560"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BUD/FOR</w:t>
            </w:r>
          </w:p>
        </w:tc>
        <w:tc>
          <w:tcPr>
            <w:tcW w:w="1559"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GLY/FOR</w:t>
            </w:r>
          </w:p>
        </w:tc>
        <w:tc>
          <w:tcPr>
            <w:tcW w:w="1485"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c>
          <w:tcPr>
            <w:tcW w:w="1577"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ETHOS</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442BAA">
              <w:rPr>
                <w:rFonts w:ascii="Arial Narrow" w:hAnsi="Arial Narrow"/>
                <w:sz w:val="20"/>
                <w:szCs w:val="20"/>
              </w:rPr>
              <w:t>426/2144 (20)</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442BAA">
              <w:rPr>
                <w:rFonts w:ascii="Arial Narrow" w:hAnsi="Arial Narrow"/>
                <w:sz w:val="20"/>
                <w:szCs w:val="20"/>
              </w:rPr>
              <w:t>440/2136 (21)</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442BAA">
              <w:rPr>
                <w:rFonts w:ascii="Arial Narrow" w:hAnsi="Arial Narrow"/>
                <w:sz w:val="20"/>
                <w:szCs w:val="20"/>
              </w:rPr>
              <w:t>433/2125 (20)</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0.96 (0.86, 1.09)</w:t>
            </w: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0.98 (0.87, 1.10)</w:t>
            </w:r>
          </w:p>
        </w:tc>
      </w:tr>
      <w:tr w:rsidR="00231BF8" w:rsidRPr="00B33C66" w:rsidTr="00647067">
        <w:tc>
          <w:tcPr>
            <w:tcW w:w="1276" w:type="dxa"/>
            <w:tcBorders>
              <w:top w:val="nil"/>
              <w:left w:val="nil"/>
              <w:bottom w:val="nil"/>
              <w:right w:val="nil"/>
            </w:tcBorders>
          </w:tcPr>
          <w:p w:rsidR="00231BF8" w:rsidRDefault="00231BF8" w:rsidP="00E91949">
            <w:pPr>
              <w:keepNext/>
              <w:keepLines/>
              <w:rPr>
                <w:rFonts w:ascii="Arial Narrow" w:hAnsi="Arial Narrow"/>
                <w:sz w:val="20"/>
                <w:szCs w:val="20"/>
              </w:rPr>
            </w:pP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FF/UMEC/VI</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FF/VI</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UMEC/VI</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r>
      <w:tr w:rsidR="00231BF8" w:rsidRPr="00467A08"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IMPACT</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442BAA">
              <w:rPr>
                <w:rFonts w:ascii="Arial Narrow" w:hAnsi="Arial Narrow"/>
                <w:sz w:val="20"/>
                <w:szCs w:val="20"/>
              </w:rPr>
              <w:t>895/4151 (22)</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442BAA">
              <w:rPr>
                <w:rFonts w:ascii="Arial Narrow" w:hAnsi="Arial Narrow"/>
                <w:sz w:val="20"/>
                <w:szCs w:val="20"/>
              </w:rPr>
              <w:t>850/4134 (21)</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442BAA">
              <w:rPr>
                <w:rFonts w:ascii="Arial Narrow" w:hAnsi="Arial Narrow"/>
                <w:sz w:val="20"/>
                <w:szCs w:val="20"/>
              </w:rPr>
              <w:t>470/2070 (23)</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1.05 (0.96, 1.14)</w:t>
            </w: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0.95 (0.86, 1.05)</w:t>
            </w:r>
          </w:p>
        </w:tc>
      </w:tr>
      <w:tr w:rsidR="00231BF8" w:rsidRPr="00B33C66" w:rsidTr="00647067">
        <w:tc>
          <w:tcPr>
            <w:tcW w:w="1276" w:type="dxa"/>
            <w:tcBorders>
              <w:top w:val="nil"/>
              <w:left w:val="nil"/>
              <w:bottom w:val="nil"/>
              <w:right w:val="nil"/>
            </w:tcBorders>
          </w:tcPr>
          <w:p w:rsidR="00231BF8" w:rsidRPr="00B33C66" w:rsidRDefault="00231BF8" w:rsidP="00E91949">
            <w:pPr>
              <w:keepNext/>
              <w:keepLines/>
              <w:rPr>
                <w:rFonts w:ascii="Arial Narrow" w:hAnsi="Arial Narrow"/>
                <w:sz w:val="20"/>
                <w:szCs w:val="20"/>
              </w:rPr>
            </w:pP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BEC/GLY/FOR</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BEC/FOR</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GLY/IND</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TRILOGY</w:t>
            </w:r>
          </w:p>
        </w:tc>
        <w:tc>
          <w:tcPr>
            <w:tcW w:w="1559" w:type="dxa"/>
            <w:tcBorders>
              <w:top w:val="nil"/>
              <w:left w:val="nil"/>
              <w:bottom w:val="nil"/>
              <w:right w:val="nil"/>
            </w:tcBorders>
            <w:vAlign w:val="center"/>
          </w:tcPr>
          <w:p w:rsidR="00231BF8" w:rsidRPr="008E090E" w:rsidRDefault="00231BF8" w:rsidP="00E91949">
            <w:pPr>
              <w:keepNext/>
              <w:keepLines/>
              <w:jc w:val="center"/>
              <w:rPr>
                <w:rFonts w:ascii="Arial Narrow" w:hAnsi="Arial Narrow"/>
                <w:sz w:val="20"/>
                <w:szCs w:val="20"/>
              </w:rPr>
            </w:pPr>
            <w:r w:rsidRPr="00E04838">
              <w:rPr>
                <w:rFonts w:ascii="Arial Narrow" w:hAnsi="Arial Narrow"/>
                <w:sz w:val="20"/>
                <w:szCs w:val="20"/>
              </w:rPr>
              <w:t>106/687 (15)</w:t>
            </w:r>
          </w:p>
        </w:tc>
        <w:tc>
          <w:tcPr>
            <w:tcW w:w="1560" w:type="dxa"/>
            <w:tcBorders>
              <w:top w:val="nil"/>
              <w:left w:val="nil"/>
              <w:bottom w:val="nil"/>
              <w:right w:val="nil"/>
            </w:tcBorders>
            <w:vAlign w:val="center"/>
          </w:tcPr>
          <w:p w:rsidR="00231BF8" w:rsidRPr="008E090E" w:rsidRDefault="00231BF8" w:rsidP="00E91949">
            <w:pPr>
              <w:keepNext/>
              <w:keepLines/>
              <w:jc w:val="center"/>
              <w:rPr>
                <w:rFonts w:ascii="Arial Narrow" w:hAnsi="Arial Narrow"/>
                <w:sz w:val="20"/>
                <w:szCs w:val="20"/>
              </w:rPr>
            </w:pPr>
            <w:r w:rsidRPr="008E090E">
              <w:rPr>
                <w:rFonts w:ascii="Arial Narrow" w:hAnsi="Arial Narrow"/>
                <w:sz w:val="20"/>
                <w:szCs w:val="20"/>
              </w:rPr>
              <w:t>123/680 (18)</w:t>
            </w:r>
          </w:p>
        </w:tc>
        <w:tc>
          <w:tcPr>
            <w:tcW w:w="1559" w:type="dxa"/>
            <w:tcBorders>
              <w:top w:val="nil"/>
              <w:left w:val="nil"/>
              <w:bottom w:val="nil"/>
              <w:right w:val="nil"/>
            </w:tcBorders>
            <w:vAlign w:val="center"/>
          </w:tcPr>
          <w:p w:rsidR="00231BF8" w:rsidRPr="008E090E" w:rsidRDefault="00231BF8" w:rsidP="00E91949">
            <w:pPr>
              <w:keepNext/>
              <w:keepLines/>
              <w:jc w:val="center"/>
              <w:rPr>
                <w:rFonts w:ascii="Arial Narrow" w:hAnsi="Arial Narrow"/>
                <w:sz w:val="20"/>
                <w:szCs w:val="20"/>
              </w:rPr>
            </w:pPr>
            <w:r w:rsidRPr="008E090E">
              <w:rPr>
                <w:rFonts w:ascii="Arial Narrow" w:hAnsi="Arial Narrow"/>
                <w:sz w:val="20"/>
                <w:szCs w:val="20"/>
              </w:rPr>
              <w:t>-</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0.85 (0.67, 1.08)</w:t>
            </w: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single" w:sz="4" w:space="0" w:color="auto"/>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TRIBUTE</w:t>
            </w:r>
          </w:p>
        </w:tc>
        <w:tc>
          <w:tcPr>
            <w:tcW w:w="1559" w:type="dxa"/>
            <w:tcBorders>
              <w:top w:val="nil"/>
              <w:left w:val="nil"/>
              <w:bottom w:val="single" w:sz="4" w:space="0" w:color="auto"/>
              <w:right w:val="nil"/>
            </w:tcBorders>
            <w:vAlign w:val="center"/>
          </w:tcPr>
          <w:p w:rsidR="00231BF8" w:rsidRPr="008E090E" w:rsidRDefault="00231BF8" w:rsidP="00E91949">
            <w:pPr>
              <w:keepNext/>
              <w:keepLines/>
              <w:jc w:val="center"/>
              <w:rPr>
                <w:rFonts w:ascii="Arial Narrow" w:hAnsi="Arial Narrow"/>
                <w:sz w:val="20"/>
                <w:szCs w:val="20"/>
              </w:rPr>
            </w:pPr>
            <w:r w:rsidRPr="008E090E">
              <w:rPr>
                <w:rFonts w:ascii="Arial Narrow" w:hAnsi="Arial Narrow"/>
                <w:sz w:val="20"/>
                <w:szCs w:val="20"/>
              </w:rPr>
              <w:t>117/764 (15)</w:t>
            </w:r>
          </w:p>
        </w:tc>
        <w:tc>
          <w:tcPr>
            <w:tcW w:w="1560" w:type="dxa"/>
            <w:tcBorders>
              <w:top w:val="nil"/>
              <w:left w:val="nil"/>
              <w:bottom w:val="single" w:sz="4" w:space="0" w:color="auto"/>
              <w:right w:val="nil"/>
            </w:tcBorders>
            <w:vAlign w:val="center"/>
          </w:tcPr>
          <w:p w:rsidR="00231BF8" w:rsidRPr="008E090E" w:rsidRDefault="00231BF8" w:rsidP="00E91949">
            <w:pPr>
              <w:keepNext/>
              <w:keepLines/>
              <w:jc w:val="center"/>
              <w:rPr>
                <w:rFonts w:ascii="Arial Narrow" w:hAnsi="Arial Narrow"/>
                <w:sz w:val="20"/>
                <w:szCs w:val="20"/>
              </w:rPr>
            </w:pPr>
            <w:r w:rsidRPr="008E090E">
              <w:rPr>
                <w:rFonts w:ascii="Arial Narrow" w:hAnsi="Arial Narrow"/>
                <w:sz w:val="20"/>
                <w:szCs w:val="20"/>
              </w:rPr>
              <w:t>-</w:t>
            </w:r>
          </w:p>
        </w:tc>
        <w:tc>
          <w:tcPr>
            <w:tcW w:w="1559" w:type="dxa"/>
            <w:tcBorders>
              <w:top w:val="nil"/>
              <w:left w:val="nil"/>
              <w:bottom w:val="single" w:sz="4" w:space="0" w:color="auto"/>
              <w:right w:val="nil"/>
            </w:tcBorders>
            <w:vAlign w:val="center"/>
          </w:tcPr>
          <w:p w:rsidR="00231BF8" w:rsidRPr="008E090E" w:rsidRDefault="00231BF8" w:rsidP="00E91949">
            <w:pPr>
              <w:keepNext/>
              <w:keepLines/>
              <w:jc w:val="center"/>
              <w:rPr>
                <w:rFonts w:ascii="Arial Narrow" w:hAnsi="Arial Narrow"/>
                <w:sz w:val="20"/>
                <w:szCs w:val="20"/>
              </w:rPr>
            </w:pPr>
            <w:r w:rsidRPr="008E090E">
              <w:rPr>
                <w:rFonts w:ascii="Arial Narrow" w:hAnsi="Arial Narrow"/>
                <w:sz w:val="20"/>
                <w:szCs w:val="20"/>
              </w:rPr>
              <w:t>130/768 (17)</w:t>
            </w:r>
          </w:p>
        </w:tc>
        <w:tc>
          <w:tcPr>
            <w:tcW w:w="1485" w:type="dxa"/>
            <w:tcBorders>
              <w:top w:val="nil"/>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p>
        </w:tc>
        <w:tc>
          <w:tcPr>
            <w:tcW w:w="1577" w:type="dxa"/>
            <w:tcBorders>
              <w:top w:val="nil"/>
              <w:left w:val="nil"/>
              <w:bottom w:val="single" w:sz="4" w:space="0" w:color="auto"/>
              <w:right w:val="nil"/>
            </w:tcBorders>
            <w:vAlign w:val="center"/>
          </w:tcPr>
          <w:p w:rsidR="00231BF8" w:rsidRPr="00C9329D" w:rsidRDefault="00231BF8" w:rsidP="00E91949">
            <w:pPr>
              <w:keepNext/>
              <w:keepLines/>
              <w:jc w:val="center"/>
              <w:rPr>
                <w:rFonts w:ascii="Arial Narrow" w:hAnsi="Arial Narrow"/>
                <w:b/>
                <w:sz w:val="20"/>
                <w:szCs w:val="20"/>
              </w:rPr>
            </w:pPr>
            <w:r w:rsidRPr="001F73F4">
              <w:rPr>
                <w:rFonts w:ascii="Arial Narrow" w:hAnsi="Arial Narrow"/>
                <w:sz w:val="20"/>
                <w:szCs w:val="20"/>
              </w:rPr>
              <w:t>0.90 (0.72, 1.14)</w:t>
            </w:r>
          </w:p>
        </w:tc>
      </w:tr>
      <w:tr w:rsidR="00231BF8" w:rsidRPr="00B33C66" w:rsidTr="00647067">
        <w:tc>
          <w:tcPr>
            <w:tcW w:w="5954" w:type="dxa"/>
            <w:gridSpan w:val="4"/>
            <w:tcBorders>
              <w:top w:val="single" w:sz="4" w:space="0" w:color="auto"/>
              <w:left w:val="nil"/>
              <w:bottom w:val="single" w:sz="4" w:space="0" w:color="auto"/>
              <w:right w:val="nil"/>
            </w:tcBorders>
            <w:vAlign w:val="center"/>
          </w:tcPr>
          <w:p w:rsidR="00231BF8" w:rsidRPr="00285A26" w:rsidRDefault="00231BF8" w:rsidP="00E91949">
            <w:pPr>
              <w:keepNext/>
              <w:keepLines/>
              <w:rPr>
                <w:rFonts w:ascii="Arial Narrow" w:hAnsi="Arial Narrow"/>
                <w:b/>
                <w:bCs/>
                <w:sz w:val="20"/>
                <w:szCs w:val="20"/>
              </w:rPr>
            </w:pPr>
            <w:r>
              <w:rPr>
                <w:rFonts w:ascii="Arial Narrow" w:hAnsi="Arial Narrow"/>
                <w:b/>
                <w:bCs/>
                <w:sz w:val="20"/>
                <w:szCs w:val="20"/>
              </w:rPr>
              <w:t>Pneumonia, n/N (%)</w:t>
            </w:r>
          </w:p>
        </w:tc>
        <w:tc>
          <w:tcPr>
            <w:tcW w:w="1485" w:type="dxa"/>
            <w:tcBorders>
              <w:top w:val="single" w:sz="4" w:space="0" w:color="auto"/>
              <w:left w:val="nil"/>
              <w:bottom w:val="single" w:sz="4" w:space="0" w:color="auto"/>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RR</w:t>
            </w:r>
          </w:p>
        </w:tc>
        <w:tc>
          <w:tcPr>
            <w:tcW w:w="1577" w:type="dxa"/>
            <w:tcBorders>
              <w:top w:val="single" w:sz="4" w:space="0" w:color="auto"/>
              <w:left w:val="nil"/>
              <w:bottom w:val="single" w:sz="4" w:space="0" w:color="auto"/>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RR</w:t>
            </w:r>
          </w:p>
        </w:tc>
      </w:tr>
      <w:tr w:rsidR="00231BF8" w:rsidRPr="00B33C66" w:rsidTr="00647067">
        <w:tc>
          <w:tcPr>
            <w:tcW w:w="1276" w:type="dxa"/>
            <w:tcBorders>
              <w:top w:val="single" w:sz="4" w:space="0" w:color="auto"/>
              <w:left w:val="nil"/>
              <w:bottom w:val="nil"/>
              <w:right w:val="nil"/>
            </w:tcBorders>
          </w:tcPr>
          <w:p w:rsidR="00231BF8" w:rsidRDefault="00231BF8" w:rsidP="00E91949">
            <w:pPr>
              <w:keepNext/>
              <w:keepLines/>
              <w:rPr>
                <w:rFonts w:ascii="Arial Narrow" w:hAnsi="Arial Narrow"/>
                <w:sz w:val="20"/>
                <w:szCs w:val="20"/>
              </w:rPr>
            </w:pPr>
          </w:p>
        </w:tc>
        <w:tc>
          <w:tcPr>
            <w:tcW w:w="1559"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BUD/GLY/FOR</w:t>
            </w:r>
          </w:p>
        </w:tc>
        <w:tc>
          <w:tcPr>
            <w:tcW w:w="1560"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BUD/FOR</w:t>
            </w:r>
          </w:p>
        </w:tc>
        <w:tc>
          <w:tcPr>
            <w:tcW w:w="1559"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911E62">
              <w:rPr>
                <w:rFonts w:ascii="Arial Narrow" w:hAnsi="Arial Narrow"/>
                <w:sz w:val="20"/>
                <w:szCs w:val="20"/>
              </w:rPr>
              <w:t>GLY/FOR</w:t>
            </w:r>
          </w:p>
        </w:tc>
        <w:tc>
          <w:tcPr>
            <w:tcW w:w="1485"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c>
          <w:tcPr>
            <w:tcW w:w="1577" w:type="dxa"/>
            <w:tcBorders>
              <w:top w:val="single" w:sz="4" w:space="0" w:color="auto"/>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ETHOS</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8E090E">
              <w:rPr>
                <w:rFonts w:ascii="Arial Narrow" w:hAnsi="Arial Narrow"/>
                <w:sz w:val="20"/>
                <w:szCs w:val="20"/>
              </w:rPr>
              <w:t>98</w:t>
            </w:r>
            <w:r>
              <w:rPr>
                <w:rFonts w:ascii="Arial Narrow" w:hAnsi="Arial Narrow"/>
                <w:sz w:val="20"/>
                <w:szCs w:val="20"/>
              </w:rPr>
              <w:t>/</w:t>
            </w:r>
            <w:r w:rsidRPr="008E090E">
              <w:rPr>
                <w:rFonts w:ascii="Arial Narrow" w:hAnsi="Arial Narrow"/>
                <w:sz w:val="20"/>
                <w:szCs w:val="20"/>
              </w:rPr>
              <w:t>2144 (5)</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8E090E">
              <w:rPr>
                <w:rFonts w:ascii="Arial Narrow" w:hAnsi="Arial Narrow"/>
                <w:sz w:val="20"/>
                <w:szCs w:val="20"/>
              </w:rPr>
              <w:t>107/2136 (5)</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8E090E">
              <w:rPr>
                <w:rFonts w:ascii="Arial Narrow" w:hAnsi="Arial Narrow"/>
                <w:sz w:val="20"/>
                <w:szCs w:val="20"/>
              </w:rPr>
              <w:t>61/2125 (3)</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0.91 (0.70, 1.19)</w:t>
            </w: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1.59 (1.16, 2.18)</w:t>
            </w:r>
          </w:p>
        </w:tc>
      </w:tr>
      <w:tr w:rsidR="00231BF8" w:rsidRPr="00B33C66" w:rsidTr="00647067">
        <w:tc>
          <w:tcPr>
            <w:tcW w:w="1276" w:type="dxa"/>
            <w:tcBorders>
              <w:top w:val="nil"/>
              <w:left w:val="nil"/>
              <w:bottom w:val="nil"/>
              <w:right w:val="nil"/>
            </w:tcBorders>
          </w:tcPr>
          <w:p w:rsidR="00231BF8" w:rsidRDefault="00231BF8" w:rsidP="00E91949">
            <w:pPr>
              <w:keepNext/>
              <w:keepLines/>
              <w:rPr>
                <w:rFonts w:ascii="Arial Narrow" w:hAnsi="Arial Narrow"/>
                <w:sz w:val="20"/>
                <w:szCs w:val="20"/>
              </w:rPr>
            </w:pP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FF/UMEC/VI</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FF/VI</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UMEC/VI</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Default="00231BF8" w:rsidP="00E91949">
            <w:pPr>
              <w:keepNext/>
              <w:keepLines/>
              <w:rPr>
                <w:rFonts w:ascii="Arial Narrow" w:hAnsi="Arial Narrow"/>
                <w:sz w:val="20"/>
                <w:szCs w:val="20"/>
              </w:rPr>
            </w:pPr>
            <w:r>
              <w:rPr>
                <w:rFonts w:ascii="Arial Narrow" w:hAnsi="Arial Narrow"/>
                <w:sz w:val="20"/>
                <w:szCs w:val="20"/>
              </w:rPr>
              <w:t>IMPACT</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8E090E">
              <w:rPr>
                <w:rFonts w:ascii="Arial Narrow" w:hAnsi="Arial Narrow"/>
                <w:sz w:val="20"/>
                <w:szCs w:val="20"/>
              </w:rPr>
              <w:t>317/4151 (8)</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8E090E">
              <w:rPr>
                <w:rFonts w:ascii="Arial Narrow" w:hAnsi="Arial Narrow"/>
                <w:sz w:val="20"/>
                <w:szCs w:val="20"/>
              </w:rPr>
              <w:t>292/4134 (7)</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8E090E">
              <w:rPr>
                <w:rFonts w:ascii="Arial Narrow" w:hAnsi="Arial Narrow"/>
                <w:sz w:val="20"/>
                <w:szCs w:val="20"/>
              </w:rPr>
              <w:t>97/2070 (5)</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1.08 (0.93, 1.26)</w:t>
            </w: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1.63 (1.31, 2.03)</w:t>
            </w:r>
          </w:p>
        </w:tc>
      </w:tr>
      <w:tr w:rsidR="00231BF8" w:rsidRPr="00B33C66" w:rsidTr="00647067">
        <w:tc>
          <w:tcPr>
            <w:tcW w:w="1276" w:type="dxa"/>
            <w:tcBorders>
              <w:top w:val="nil"/>
              <w:left w:val="nil"/>
              <w:bottom w:val="nil"/>
              <w:right w:val="nil"/>
            </w:tcBorders>
          </w:tcPr>
          <w:p w:rsidR="00231BF8" w:rsidRPr="00B33C66" w:rsidRDefault="00231BF8" w:rsidP="00E91949">
            <w:pPr>
              <w:keepNext/>
              <w:keepLines/>
              <w:rPr>
                <w:rFonts w:ascii="Arial Narrow" w:hAnsi="Arial Narrow"/>
                <w:sz w:val="20"/>
                <w:szCs w:val="20"/>
              </w:rPr>
            </w:pP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BEC/GLY/FOR</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BEC/FOR</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GLY/IND</w:t>
            </w:r>
          </w:p>
        </w:tc>
        <w:tc>
          <w:tcPr>
            <w:tcW w:w="1485"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c>
          <w:tcPr>
            <w:tcW w:w="1577" w:type="dxa"/>
            <w:tcBorders>
              <w:top w:val="nil"/>
              <w:left w:val="nil"/>
              <w:bottom w:val="nil"/>
              <w:right w:val="nil"/>
            </w:tcBorders>
            <w:vAlign w:val="center"/>
          </w:tcPr>
          <w:p w:rsidR="00231BF8" w:rsidRPr="001F73F4" w:rsidRDefault="00231BF8" w:rsidP="00E91949">
            <w:pPr>
              <w:keepNext/>
              <w:keepLines/>
              <w:jc w:val="center"/>
              <w:rPr>
                <w:rFonts w:ascii="Arial Narrow" w:hAnsi="Arial Narrow"/>
                <w:sz w:val="20"/>
                <w:szCs w:val="20"/>
              </w:rPr>
            </w:pPr>
          </w:p>
        </w:tc>
      </w:tr>
      <w:tr w:rsidR="00231BF8" w:rsidRPr="00B33C66" w:rsidTr="00647067">
        <w:tc>
          <w:tcPr>
            <w:tcW w:w="1276" w:type="dxa"/>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TRILOGY</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1F73F4">
              <w:rPr>
                <w:rFonts w:ascii="Arial Narrow" w:hAnsi="Arial Narrow"/>
                <w:sz w:val="20"/>
                <w:szCs w:val="20"/>
              </w:rPr>
              <w:t>23/687 (3)</w:t>
            </w:r>
          </w:p>
        </w:tc>
        <w:tc>
          <w:tcPr>
            <w:tcW w:w="1560"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1F73F4">
              <w:rPr>
                <w:rFonts w:ascii="Arial Narrow" w:hAnsi="Arial Narrow"/>
                <w:sz w:val="20"/>
                <w:szCs w:val="20"/>
              </w:rPr>
              <w:t>18/680 (3)</w:t>
            </w:r>
          </w:p>
        </w:tc>
        <w:tc>
          <w:tcPr>
            <w:tcW w:w="1559"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w:t>
            </w:r>
          </w:p>
        </w:tc>
        <w:tc>
          <w:tcPr>
            <w:tcW w:w="1485"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1F73F4">
              <w:rPr>
                <w:rFonts w:ascii="Arial Narrow" w:hAnsi="Arial Narrow"/>
                <w:sz w:val="20"/>
                <w:szCs w:val="20"/>
              </w:rPr>
              <w:t>1.26 (0.69, 2.32)</w:t>
            </w:r>
          </w:p>
        </w:tc>
        <w:tc>
          <w:tcPr>
            <w:tcW w:w="1577"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p>
        </w:tc>
      </w:tr>
      <w:tr w:rsidR="00231BF8" w:rsidRPr="00531C35" w:rsidTr="00647067">
        <w:tc>
          <w:tcPr>
            <w:tcW w:w="1276" w:type="dxa"/>
            <w:tcBorders>
              <w:top w:val="nil"/>
              <w:left w:val="nil"/>
              <w:bottom w:val="single" w:sz="4" w:space="0" w:color="auto"/>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TRIBUTE^</w:t>
            </w:r>
          </w:p>
        </w:tc>
        <w:tc>
          <w:tcPr>
            <w:tcW w:w="1559" w:type="dxa"/>
            <w:tcBorders>
              <w:top w:val="nil"/>
              <w:left w:val="nil"/>
              <w:bottom w:val="single" w:sz="4" w:space="0" w:color="auto"/>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28/764 (4)</w:t>
            </w:r>
          </w:p>
        </w:tc>
        <w:tc>
          <w:tcPr>
            <w:tcW w:w="1560" w:type="dxa"/>
            <w:tcBorders>
              <w:top w:val="nil"/>
              <w:left w:val="nil"/>
              <w:bottom w:val="single" w:sz="4" w:space="0" w:color="auto"/>
              <w:right w:val="nil"/>
            </w:tcBorders>
            <w:vAlign w:val="center"/>
          </w:tcPr>
          <w:p w:rsidR="00231BF8" w:rsidRPr="001F73F4" w:rsidRDefault="00231BF8" w:rsidP="00E91949">
            <w:pPr>
              <w:keepNext/>
              <w:keepLines/>
              <w:jc w:val="center"/>
              <w:rPr>
                <w:rFonts w:ascii="Arial Narrow" w:hAnsi="Arial Narrow"/>
                <w:sz w:val="20"/>
                <w:szCs w:val="20"/>
              </w:rPr>
            </w:pPr>
            <w:r>
              <w:rPr>
                <w:rFonts w:ascii="Arial Narrow" w:hAnsi="Arial Narrow"/>
                <w:sz w:val="20"/>
                <w:szCs w:val="20"/>
              </w:rPr>
              <w:t>-</w:t>
            </w:r>
          </w:p>
        </w:tc>
        <w:tc>
          <w:tcPr>
            <w:tcW w:w="1559" w:type="dxa"/>
            <w:tcBorders>
              <w:top w:val="nil"/>
              <w:left w:val="nil"/>
              <w:bottom w:val="single" w:sz="4" w:space="0" w:color="auto"/>
              <w:right w:val="nil"/>
            </w:tcBorders>
            <w:vAlign w:val="center"/>
          </w:tcPr>
          <w:p w:rsidR="00231BF8" w:rsidRPr="001F73F4" w:rsidRDefault="00231BF8" w:rsidP="00E91949">
            <w:pPr>
              <w:keepNext/>
              <w:keepLines/>
              <w:jc w:val="center"/>
              <w:rPr>
                <w:rFonts w:ascii="Arial Narrow" w:hAnsi="Arial Narrow"/>
                <w:sz w:val="20"/>
                <w:szCs w:val="20"/>
              </w:rPr>
            </w:pPr>
            <w:r w:rsidRPr="001F73F4">
              <w:rPr>
                <w:rFonts w:ascii="Arial Narrow" w:hAnsi="Arial Narrow"/>
                <w:sz w:val="20"/>
                <w:szCs w:val="20"/>
              </w:rPr>
              <w:t>27/768 (4)</w:t>
            </w:r>
          </w:p>
        </w:tc>
        <w:tc>
          <w:tcPr>
            <w:tcW w:w="1485" w:type="dxa"/>
            <w:tcBorders>
              <w:top w:val="nil"/>
              <w:left w:val="nil"/>
              <w:bottom w:val="single" w:sz="4" w:space="0" w:color="auto"/>
              <w:right w:val="nil"/>
            </w:tcBorders>
            <w:vAlign w:val="center"/>
          </w:tcPr>
          <w:p w:rsidR="00231BF8" w:rsidRPr="00D567F4" w:rsidRDefault="00231BF8" w:rsidP="00E91949">
            <w:pPr>
              <w:keepNext/>
              <w:keepLines/>
              <w:jc w:val="center"/>
              <w:rPr>
                <w:rFonts w:ascii="Arial Narrow" w:hAnsi="Arial Narrow"/>
                <w:i/>
                <w:sz w:val="20"/>
                <w:szCs w:val="20"/>
              </w:rPr>
            </w:pPr>
          </w:p>
        </w:tc>
        <w:tc>
          <w:tcPr>
            <w:tcW w:w="1577" w:type="dxa"/>
            <w:tcBorders>
              <w:top w:val="nil"/>
              <w:left w:val="nil"/>
              <w:bottom w:val="single" w:sz="4" w:space="0" w:color="auto"/>
              <w:right w:val="nil"/>
            </w:tcBorders>
            <w:vAlign w:val="center"/>
          </w:tcPr>
          <w:p w:rsidR="00231BF8" w:rsidRPr="00531C35" w:rsidRDefault="00231BF8" w:rsidP="00E91949">
            <w:pPr>
              <w:keepNext/>
              <w:keepLines/>
              <w:jc w:val="center"/>
              <w:rPr>
                <w:rFonts w:ascii="Arial Narrow" w:hAnsi="Arial Narrow"/>
                <w:sz w:val="20"/>
                <w:szCs w:val="20"/>
              </w:rPr>
            </w:pPr>
            <w:r w:rsidRPr="001F73F4">
              <w:rPr>
                <w:rFonts w:ascii="Arial Narrow" w:hAnsi="Arial Narrow"/>
                <w:sz w:val="20"/>
                <w:szCs w:val="20"/>
              </w:rPr>
              <w:t>1.04 (0.62, 1.75)</w:t>
            </w:r>
          </w:p>
        </w:tc>
      </w:tr>
      <w:tr w:rsidR="00231BF8" w:rsidRPr="00B33C66" w:rsidTr="00647067">
        <w:tc>
          <w:tcPr>
            <w:tcW w:w="5954" w:type="dxa"/>
            <w:gridSpan w:val="4"/>
            <w:vMerge w:val="restart"/>
            <w:tcBorders>
              <w:left w:val="nil"/>
              <w:right w:val="nil"/>
            </w:tcBorders>
            <w:vAlign w:val="center"/>
          </w:tcPr>
          <w:p w:rsidR="00231BF8" w:rsidRPr="0015398A" w:rsidRDefault="00231BF8" w:rsidP="00E91949">
            <w:pPr>
              <w:keepNext/>
              <w:keepLines/>
              <w:rPr>
                <w:rFonts w:ascii="Arial Narrow" w:hAnsi="Arial Narrow"/>
                <w:b/>
                <w:bCs/>
                <w:sz w:val="20"/>
                <w:szCs w:val="20"/>
              </w:rPr>
            </w:pPr>
            <w:r w:rsidRPr="0015398A">
              <w:rPr>
                <w:rFonts w:ascii="Arial Narrow" w:hAnsi="Arial Narrow"/>
                <w:b/>
                <w:bCs/>
                <w:sz w:val="20"/>
                <w:szCs w:val="20"/>
              </w:rPr>
              <w:t>Indirect comparisons</w:t>
            </w:r>
          </w:p>
        </w:tc>
        <w:tc>
          <w:tcPr>
            <w:tcW w:w="3062" w:type="dxa"/>
            <w:gridSpan w:val="2"/>
            <w:tcBorders>
              <w:left w:val="nil"/>
              <w:right w:val="nil"/>
            </w:tcBorders>
            <w:vAlign w:val="center"/>
          </w:tcPr>
          <w:p w:rsidR="00231BF8" w:rsidRPr="0015398A" w:rsidRDefault="00231BF8" w:rsidP="00E91949">
            <w:pPr>
              <w:keepNext/>
              <w:keepLines/>
              <w:jc w:val="center"/>
              <w:rPr>
                <w:rFonts w:ascii="Arial Narrow" w:hAnsi="Arial Narrow"/>
                <w:b/>
                <w:bCs/>
                <w:sz w:val="20"/>
                <w:szCs w:val="20"/>
              </w:rPr>
            </w:pPr>
            <w:r>
              <w:rPr>
                <w:rFonts w:ascii="Arial Narrow" w:hAnsi="Arial Narrow"/>
                <w:b/>
                <w:bCs/>
                <w:sz w:val="20"/>
                <w:szCs w:val="20"/>
              </w:rPr>
              <w:t>C</w:t>
            </w:r>
            <w:r w:rsidRPr="0015398A">
              <w:rPr>
                <w:rFonts w:ascii="Arial Narrow" w:hAnsi="Arial Narrow"/>
                <w:b/>
                <w:bCs/>
                <w:sz w:val="20"/>
                <w:szCs w:val="20"/>
              </w:rPr>
              <w:t>ommon comparator</w:t>
            </w:r>
          </w:p>
        </w:tc>
      </w:tr>
      <w:tr w:rsidR="00231BF8" w:rsidRPr="00B33C66" w:rsidTr="00647067">
        <w:tc>
          <w:tcPr>
            <w:tcW w:w="5954" w:type="dxa"/>
            <w:gridSpan w:val="4"/>
            <w:vMerge/>
            <w:tcBorders>
              <w:left w:val="nil"/>
              <w:bottom w:val="single" w:sz="4" w:space="0" w:color="auto"/>
              <w:right w:val="nil"/>
            </w:tcBorders>
            <w:vAlign w:val="center"/>
          </w:tcPr>
          <w:p w:rsidR="00231BF8" w:rsidRPr="0015398A" w:rsidRDefault="00231BF8" w:rsidP="00E91949">
            <w:pPr>
              <w:keepNext/>
              <w:keepLines/>
              <w:rPr>
                <w:rFonts w:ascii="Arial Narrow" w:hAnsi="Arial Narrow"/>
                <w:b/>
                <w:bCs/>
                <w:sz w:val="20"/>
                <w:szCs w:val="20"/>
              </w:rPr>
            </w:pPr>
          </w:p>
        </w:tc>
        <w:tc>
          <w:tcPr>
            <w:tcW w:w="1485" w:type="dxa"/>
            <w:tcBorders>
              <w:left w:val="nil"/>
              <w:bottom w:val="single" w:sz="4" w:space="0" w:color="auto"/>
              <w:right w:val="nil"/>
            </w:tcBorders>
            <w:vAlign w:val="center"/>
          </w:tcPr>
          <w:p w:rsidR="00231BF8" w:rsidRPr="002D3A70" w:rsidRDefault="00231BF8" w:rsidP="00E91949">
            <w:pPr>
              <w:keepNext/>
              <w:keepLines/>
              <w:jc w:val="center"/>
              <w:rPr>
                <w:rFonts w:ascii="Arial Narrow" w:hAnsi="Arial Narrow"/>
                <w:b/>
                <w:bCs/>
                <w:sz w:val="20"/>
                <w:szCs w:val="20"/>
              </w:rPr>
            </w:pPr>
            <w:r w:rsidRPr="002D3A70">
              <w:rPr>
                <w:rFonts w:ascii="Arial Narrow" w:hAnsi="Arial Narrow"/>
                <w:b/>
                <w:bCs/>
                <w:sz w:val="20"/>
                <w:szCs w:val="20"/>
              </w:rPr>
              <w:t>ICS/LABA</w:t>
            </w:r>
          </w:p>
        </w:tc>
        <w:tc>
          <w:tcPr>
            <w:tcW w:w="1577" w:type="dxa"/>
            <w:tcBorders>
              <w:left w:val="nil"/>
              <w:bottom w:val="single" w:sz="4" w:space="0" w:color="auto"/>
              <w:right w:val="nil"/>
            </w:tcBorders>
            <w:vAlign w:val="center"/>
          </w:tcPr>
          <w:p w:rsidR="00231BF8" w:rsidRPr="00B33C66" w:rsidRDefault="00231BF8" w:rsidP="00E91949">
            <w:pPr>
              <w:keepNext/>
              <w:keepLines/>
              <w:jc w:val="center"/>
              <w:rPr>
                <w:rFonts w:ascii="Arial Narrow" w:hAnsi="Arial Narrow"/>
                <w:sz w:val="20"/>
                <w:szCs w:val="20"/>
              </w:rPr>
            </w:pPr>
            <w:r w:rsidRPr="002D3A70">
              <w:rPr>
                <w:rFonts w:ascii="Arial Narrow" w:hAnsi="Arial Narrow"/>
                <w:b/>
                <w:bCs/>
                <w:sz w:val="20"/>
                <w:szCs w:val="20"/>
              </w:rPr>
              <w:t>LAMA/LABA</w:t>
            </w:r>
          </w:p>
        </w:tc>
      </w:tr>
      <w:tr w:rsidR="00231BF8" w:rsidRPr="00B33C66" w:rsidTr="00647067">
        <w:tc>
          <w:tcPr>
            <w:tcW w:w="5954" w:type="dxa"/>
            <w:gridSpan w:val="4"/>
            <w:tcBorders>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b/>
                <w:bCs/>
                <w:sz w:val="20"/>
                <w:szCs w:val="20"/>
              </w:rPr>
              <w:t>All-cause mortality</w:t>
            </w:r>
          </w:p>
        </w:tc>
        <w:tc>
          <w:tcPr>
            <w:tcW w:w="1485" w:type="dxa"/>
            <w:tcBorders>
              <w:left w:val="nil"/>
              <w:bottom w:val="nil"/>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H</w:t>
            </w:r>
            <w:r w:rsidRPr="00285A26">
              <w:rPr>
                <w:rFonts w:ascii="Arial Narrow" w:hAnsi="Arial Narrow"/>
                <w:b/>
                <w:bCs/>
                <w:sz w:val="20"/>
                <w:szCs w:val="20"/>
              </w:rPr>
              <w:t>R</w:t>
            </w:r>
          </w:p>
        </w:tc>
        <w:tc>
          <w:tcPr>
            <w:tcW w:w="1577" w:type="dxa"/>
            <w:tcBorders>
              <w:left w:val="nil"/>
              <w:bottom w:val="nil"/>
              <w:right w:val="nil"/>
            </w:tcBorders>
            <w:vAlign w:val="center"/>
          </w:tcPr>
          <w:p w:rsidR="00231BF8" w:rsidRPr="00285A26" w:rsidRDefault="00231BF8" w:rsidP="00E91949">
            <w:pPr>
              <w:keepNext/>
              <w:keepLines/>
              <w:jc w:val="center"/>
              <w:rPr>
                <w:rFonts w:ascii="Arial Narrow" w:hAnsi="Arial Narrow"/>
                <w:b/>
                <w:bCs/>
                <w:sz w:val="20"/>
                <w:szCs w:val="20"/>
              </w:rPr>
            </w:pPr>
            <w:r>
              <w:rPr>
                <w:rFonts w:ascii="Arial Narrow" w:hAnsi="Arial Narrow"/>
                <w:b/>
                <w:bCs/>
                <w:sz w:val="20"/>
                <w:szCs w:val="20"/>
              </w:rPr>
              <w:t>H</w:t>
            </w:r>
            <w:r w:rsidRPr="00285A26">
              <w:rPr>
                <w:rFonts w:ascii="Arial Narrow" w:hAnsi="Arial Narrow"/>
                <w:b/>
                <w:bCs/>
                <w:sz w:val="20"/>
                <w:szCs w:val="20"/>
              </w:rPr>
              <w:t>R</w:t>
            </w:r>
          </w:p>
        </w:tc>
      </w:tr>
      <w:tr w:rsidR="00231BF8" w:rsidRPr="00B33C66" w:rsidTr="00647067">
        <w:tc>
          <w:tcPr>
            <w:tcW w:w="5954" w:type="dxa"/>
            <w:gridSpan w:val="4"/>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BUD/GLY/FOR vs FF/UMEC/VI</w:t>
            </w:r>
          </w:p>
        </w:tc>
        <w:tc>
          <w:tcPr>
            <w:tcW w:w="1485"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sidRPr="00E04838">
              <w:rPr>
                <w:rFonts w:ascii="Arial Narrow" w:hAnsi="Arial Narrow"/>
                <w:sz w:val="20"/>
                <w:szCs w:val="20"/>
              </w:rPr>
              <w:t>0.87 (0.48, 1.56)</w:t>
            </w:r>
          </w:p>
        </w:tc>
        <w:tc>
          <w:tcPr>
            <w:tcW w:w="1577"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0.76 (0.43, 1.35)</w:t>
            </w:r>
          </w:p>
        </w:tc>
      </w:tr>
      <w:tr w:rsidR="00231BF8" w:rsidRPr="00B33C66" w:rsidTr="00647067">
        <w:tc>
          <w:tcPr>
            <w:tcW w:w="5954" w:type="dxa"/>
            <w:gridSpan w:val="4"/>
            <w:tcBorders>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b/>
                <w:bCs/>
                <w:sz w:val="20"/>
                <w:szCs w:val="20"/>
              </w:rPr>
              <w:t>Any AEs</w:t>
            </w:r>
          </w:p>
        </w:tc>
        <w:tc>
          <w:tcPr>
            <w:tcW w:w="1485" w:type="dxa"/>
            <w:tcBorders>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b/>
                <w:bCs/>
                <w:sz w:val="20"/>
                <w:szCs w:val="20"/>
              </w:rPr>
              <w:t>RR</w:t>
            </w:r>
          </w:p>
        </w:tc>
        <w:tc>
          <w:tcPr>
            <w:tcW w:w="1577" w:type="dxa"/>
            <w:tcBorders>
              <w:left w:val="nil"/>
              <w:bottom w:val="nil"/>
              <w:right w:val="nil"/>
            </w:tcBorders>
            <w:vAlign w:val="center"/>
          </w:tcPr>
          <w:p w:rsidR="00231BF8" w:rsidRPr="00E04838" w:rsidRDefault="00231BF8" w:rsidP="00E91949">
            <w:pPr>
              <w:keepNext/>
              <w:keepLines/>
              <w:jc w:val="center"/>
              <w:rPr>
                <w:rFonts w:ascii="Arial Narrow" w:hAnsi="Arial Narrow"/>
                <w:b/>
                <w:sz w:val="20"/>
                <w:szCs w:val="20"/>
              </w:rPr>
            </w:pPr>
            <w:r w:rsidRPr="00E04838">
              <w:rPr>
                <w:rFonts w:ascii="Arial Narrow" w:hAnsi="Arial Narrow"/>
                <w:b/>
                <w:sz w:val="20"/>
                <w:szCs w:val="20"/>
              </w:rPr>
              <w:t>RR</w:t>
            </w:r>
          </w:p>
        </w:tc>
      </w:tr>
      <w:tr w:rsidR="00231BF8" w:rsidRPr="00B33C66" w:rsidTr="00647067">
        <w:tc>
          <w:tcPr>
            <w:tcW w:w="5954" w:type="dxa"/>
            <w:gridSpan w:val="4"/>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BUD/GLY/FOR vs FF/UMEC/VI</w:t>
            </w:r>
          </w:p>
        </w:tc>
        <w:tc>
          <w:tcPr>
            <w:tcW w:w="1485" w:type="dxa"/>
            <w:tcBorders>
              <w:top w:val="nil"/>
              <w:left w:val="nil"/>
              <w:bottom w:val="nil"/>
              <w:right w:val="nil"/>
            </w:tcBorders>
            <w:vAlign w:val="center"/>
          </w:tcPr>
          <w:p w:rsidR="00231BF8" w:rsidRPr="00E04838" w:rsidRDefault="00231BF8" w:rsidP="00E91949">
            <w:pPr>
              <w:keepNext/>
              <w:keepLines/>
              <w:jc w:val="center"/>
              <w:rPr>
                <w:rFonts w:ascii="Arial Narrow" w:hAnsi="Arial Narrow"/>
                <w:bCs/>
                <w:sz w:val="20"/>
                <w:szCs w:val="20"/>
              </w:rPr>
            </w:pPr>
            <w:r w:rsidRPr="00E04838">
              <w:rPr>
                <w:rFonts w:ascii="Arial Narrow" w:hAnsi="Arial Narrow"/>
                <w:bCs/>
                <w:sz w:val="20"/>
                <w:szCs w:val="20"/>
              </w:rPr>
              <w:t>0.96 (0.91, 1.01)</w:t>
            </w:r>
          </w:p>
        </w:tc>
        <w:tc>
          <w:tcPr>
            <w:tcW w:w="1577" w:type="dxa"/>
            <w:tcBorders>
              <w:top w:val="nil"/>
              <w:left w:val="nil"/>
              <w:bottom w:val="nil"/>
              <w:right w:val="nil"/>
            </w:tcBorders>
            <w:vAlign w:val="center"/>
          </w:tcPr>
          <w:p w:rsidR="00231BF8" w:rsidRPr="00E04838" w:rsidRDefault="00231BF8" w:rsidP="00E91949">
            <w:pPr>
              <w:keepNext/>
              <w:keepLines/>
              <w:jc w:val="center"/>
              <w:rPr>
                <w:rFonts w:ascii="Arial Narrow" w:hAnsi="Arial Narrow"/>
                <w:bCs/>
                <w:sz w:val="20"/>
                <w:szCs w:val="20"/>
              </w:rPr>
            </w:pPr>
            <w:r>
              <w:rPr>
                <w:rFonts w:ascii="Arial Narrow" w:hAnsi="Arial Narrow"/>
                <w:bCs/>
                <w:sz w:val="20"/>
                <w:szCs w:val="20"/>
              </w:rPr>
              <w:t>1.02 (0.96, 1.08)</w:t>
            </w:r>
          </w:p>
        </w:tc>
      </w:tr>
      <w:tr w:rsidR="00231BF8" w:rsidRPr="00B33C66" w:rsidTr="00647067">
        <w:tc>
          <w:tcPr>
            <w:tcW w:w="5954" w:type="dxa"/>
            <w:gridSpan w:val="4"/>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BUD/GLY/FOR vs BEC/GLY/FOR</w:t>
            </w:r>
          </w:p>
        </w:tc>
        <w:tc>
          <w:tcPr>
            <w:tcW w:w="1485" w:type="dxa"/>
            <w:tcBorders>
              <w:top w:val="nil"/>
              <w:left w:val="nil"/>
              <w:bottom w:val="nil"/>
              <w:right w:val="nil"/>
            </w:tcBorders>
            <w:vAlign w:val="center"/>
          </w:tcPr>
          <w:p w:rsidR="00231BF8" w:rsidRPr="00E04838" w:rsidRDefault="00231BF8" w:rsidP="00E91949">
            <w:pPr>
              <w:keepNext/>
              <w:keepLines/>
              <w:jc w:val="center"/>
              <w:rPr>
                <w:rFonts w:ascii="Arial Narrow" w:hAnsi="Arial Narrow"/>
                <w:sz w:val="20"/>
                <w:szCs w:val="20"/>
              </w:rPr>
            </w:pPr>
            <w:r>
              <w:rPr>
                <w:rFonts w:ascii="Arial Narrow" w:hAnsi="Arial Narrow"/>
                <w:sz w:val="20"/>
                <w:szCs w:val="20"/>
              </w:rPr>
              <w:t>1.03 (0.93, 1.15)</w:t>
            </w:r>
          </w:p>
        </w:tc>
        <w:tc>
          <w:tcPr>
            <w:tcW w:w="1577" w:type="dxa"/>
            <w:tcBorders>
              <w:top w:val="nil"/>
              <w:left w:val="nil"/>
              <w:bottom w:val="nil"/>
              <w:right w:val="nil"/>
            </w:tcBorders>
            <w:vAlign w:val="center"/>
          </w:tcPr>
          <w:p w:rsidR="00231BF8" w:rsidRPr="00E04838" w:rsidRDefault="00231BF8" w:rsidP="00E91949">
            <w:pPr>
              <w:keepNext/>
              <w:keepLines/>
              <w:jc w:val="center"/>
              <w:rPr>
                <w:rFonts w:ascii="Arial Narrow" w:hAnsi="Arial Narrow"/>
                <w:sz w:val="20"/>
                <w:szCs w:val="20"/>
              </w:rPr>
            </w:pPr>
            <w:r>
              <w:rPr>
                <w:rFonts w:ascii="Arial Narrow" w:hAnsi="Arial Narrow"/>
                <w:sz w:val="20"/>
                <w:szCs w:val="20"/>
              </w:rPr>
              <w:t>1.08 (0.99, 1.18)</w:t>
            </w:r>
          </w:p>
        </w:tc>
      </w:tr>
      <w:tr w:rsidR="00231BF8" w:rsidRPr="00B33C66" w:rsidTr="00647067">
        <w:tc>
          <w:tcPr>
            <w:tcW w:w="5954" w:type="dxa"/>
            <w:gridSpan w:val="4"/>
            <w:tcBorders>
              <w:left w:val="nil"/>
              <w:bottom w:val="nil"/>
              <w:right w:val="nil"/>
            </w:tcBorders>
            <w:vAlign w:val="center"/>
          </w:tcPr>
          <w:p w:rsidR="00231BF8" w:rsidRPr="00295510" w:rsidRDefault="00231BF8" w:rsidP="00E91949">
            <w:pPr>
              <w:keepNext/>
              <w:keepLines/>
              <w:rPr>
                <w:rFonts w:ascii="Arial Narrow" w:hAnsi="Arial Narrow"/>
                <w:i/>
                <w:sz w:val="20"/>
                <w:szCs w:val="20"/>
              </w:rPr>
            </w:pPr>
            <w:r>
              <w:rPr>
                <w:rFonts w:ascii="Arial Narrow" w:hAnsi="Arial Narrow"/>
                <w:b/>
                <w:bCs/>
                <w:sz w:val="20"/>
                <w:szCs w:val="20"/>
              </w:rPr>
              <w:t>Serious AEs</w:t>
            </w:r>
          </w:p>
        </w:tc>
        <w:tc>
          <w:tcPr>
            <w:tcW w:w="1485" w:type="dxa"/>
            <w:tcBorders>
              <w:left w:val="nil"/>
              <w:bottom w:val="nil"/>
              <w:right w:val="nil"/>
            </w:tcBorders>
            <w:vAlign w:val="center"/>
          </w:tcPr>
          <w:p w:rsidR="00231BF8" w:rsidRPr="002E2B2A" w:rsidRDefault="00231BF8" w:rsidP="00E91949">
            <w:pPr>
              <w:keepNext/>
              <w:keepLines/>
              <w:jc w:val="center"/>
              <w:rPr>
                <w:rFonts w:ascii="Arial Narrow" w:hAnsi="Arial Narrow"/>
                <w:i/>
                <w:sz w:val="20"/>
                <w:szCs w:val="20"/>
              </w:rPr>
            </w:pPr>
            <w:r>
              <w:rPr>
                <w:rFonts w:ascii="Arial Narrow" w:hAnsi="Arial Narrow"/>
                <w:b/>
                <w:bCs/>
                <w:sz w:val="20"/>
                <w:szCs w:val="20"/>
              </w:rPr>
              <w:t>RR</w:t>
            </w:r>
          </w:p>
        </w:tc>
        <w:tc>
          <w:tcPr>
            <w:tcW w:w="1577" w:type="dxa"/>
            <w:tcBorders>
              <w:left w:val="nil"/>
              <w:bottom w:val="nil"/>
              <w:right w:val="nil"/>
            </w:tcBorders>
            <w:vAlign w:val="center"/>
          </w:tcPr>
          <w:p w:rsidR="00231BF8" w:rsidRPr="002E2B2A" w:rsidRDefault="00231BF8" w:rsidP="00E91949">
            <w:pPr>
              <w:keepNext/>
              <w:keepLines/>
              <w:jc w:val="center"/>
              <w:rPr>
                <w:rFonts w:ascii="Arial Narrow" w:hAnsi="Arial Narrow"/>
                <w:i/>
                <w:sz w:val="20"/>
                <w:szCs w:val="20"/>
              </w:rPr>
            </w:pPr>
            <w:r w:rsidRPr="00E04838">
              <w:rPr>
                <w:rFonts w:ascii="Arial Narrow" w:hAnsi="Arial Narrow"/>
                <w:b/>
                <w:sz w:val="20"/>
                <w:szCs w:val="20"/>
              </w:rPr>
              <w:t>RR</w:t>
            </w:r>
          </w:p>
        </w:tc>
      </w:tr>
      <w:tr w:rsidR="00231BF8" w:rsidRPr="00B33C66" w:rsidTr="00647067">
        <w:tc>
          <w:tcPr>
            <w:tcW w:w="5954" w:type="dxa"/>
            <w:gridSpan w:val="4"/>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BUD/GLY/FOR vs FF/UMEC/VI</w:t>
            </w:r>
          </w:p>
        </w:tc>
        <w:tc>
          <w:tcPr>
            <w:tcW w:w="1485" w:type="dxa"/>
            <w:tcBorders>
              <w:top w:val="nil"/>
              <w:left w:val="nil"/>
              <w:bottom w:val="nil"/>
              <w:right w:val="nil"/>
            </w:tcBorders>
            <w:vAlign w:val="center"/>
          </w:tcPr>
          <w:p w:rsidR="00231BF8" w:rsidRPr="00E04838" w:rsidRDefault="00231BF8" w:rsidP="00E91949">
            <w:pPr>
              <w:keepNext/>
              <w:keepLines/>
              <w:jc w:val="center"/>
              <w:rPr>
                <w:rFonts w:ascii="Arial Narrow" w:hAnsi="Arial Narrow"/>
                <w:bCs/>
                <w:sz w:val="20"/>
                <w:szCs w:val="20"/>
              </w:rPr>
            </w:pPr>
            <w:r>
              <w:rPr>
                <w:rFonts w:ascii="Arial Narrow" w:hAnsi="Arial Narrow"/>
                <w:bCs/>
                <w:sz w:val="20"/>
                <w:szCs w:val="20"/>
              </w:rPr>
              <w:t>0.91 (0.79, 1.06)</w:t>
            </w:r>
          </w:p>
        </w:tc>
        <w:tc>
          <w:tcPr>
            <w:tcW w:w="1577" w:type="dxa"/>
            <w:tcBorders>
              <w:top w:val="nil"/>
              <w:left w:val="nil"/>
              <w:bottom w:val="nil"/>
              <w:right w:val="nil"/>
            </w:tcBorders>
            <w:vAlign w:val="center"/>
          </w:tcPr>
          <w:p w:rsidR="00231BF8" w:rsidRPr="00E04838" w:rsidRDefault="00231BF8" w:rsidP="00E91949">
            <w:pPr>
              <w:keepNext/>
              <w:keepLines/>
              <w:jc w:val="center"/>
              <w:rPr>
                <w:rFonts w:ascii="Arial Narrow" w:hAnsi="Arial Narrow"/>
                <w:bCs/>
                <w:sz w:val="20"/>
                <w:szCs w:val="20"/>
              </w:rPr>
            </w:pPr>
            <w:r>
              <w:rPr>
                <w:rFonts w:ascii="Arial Narrow" w:hAnsi="Arial Narrow"/>
                <w:bCs/>
                <w:sz w:val="20"/>
                <w:szCs w:val="20"/>
              </w:rPr>
              <w:t>1.03 (0.88, 1.02)</w:t>
            </w:r>
          </w:p>
        </w:tc>
      </w:tr>
      <w:tr w:rsidR="00231BF8" w:rsidRPr="00B33C66" w:rsidTr="00647067">
        <w:tc>
          <w:tcPr>
            <w:tcW w:w="5954" w:type="dxa"/>
            <w:gridSpan w:val="4"/>
            <w:tcBorders>
              <w:top w:val="nil"/>
              <w:left w:val="nil"/>
              <w:bottom w:val="nil"/>
              <w:right w:val="nil"/>
            </w:tcBorders>
            <w:vAlign w:val="center"/>
          </w:tcPr>
          <w:p w:rsidR="00231BF8" w:rsidRPr="00B33C66" w:rsidRDefault="00231BF8" w:rsidP="00E91949">
            <w:pPr>
              <w:keepNext/>
              <w:keepLines/>
              <w:rPr>
                <w:rFonts w:ascii="Arial Narrow" w:hAnsi="Arial Narrow"/>
                <w:sz w:val="20"/>
                <w:szCs w:val="20"/>
              </w:rPr>
            </w:pPr>
            <w:r>
              <w:rPr>
                <w:rFonts w:ascii="Arial Narrow" w:hAnsi="Arial Narrow"/>
                <w:sz w:val="20"/>
                <w:szCs w:val="20"/>
              </w:rPr>
              <w:t>BUD/GLY/FOR vs BEC/GLY/FOR</w:t>
            </w:r>
          </w:p>
        </w:tc>
        <w:tc>
          <w:tcPr>
            <w:tcW w:w="1485"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1.13 (0.87, 1.47)</w:t>
            </w:r>
          </w:p>
        </w:tc>
        <w:tc>
          <w:tcPr>
            <w:tcW w:w="1577" w:type="dxa"/>
            <w:tcBorders>
              <w:top w:val="nil"/>
              <w:left w:val="nil"/>
              <w:bottom w:val="nil"/>
              <w:right w:val="nil"/>
            </w:tcBorders>
            <w:vAlign w:val="center"/>
          </w:tcPr>
          <w:p w:rsidR="00231BF8" w:rsidRPr="00B33C66" w:rsidRDefault="00231BF8" w:rsidP="00E91949">
            <w:pPr>
              <w:keepNext/>
              <w:keepLines/>
              <w:jc w:val="center"/>
              <w:rPr>
                <w:rFonts w:ascii="Arial Narrow" w:hAnsi="Arial Narrow"/>
                <w:sz w:val="20"/>
                <w:szCs w:val="20"/>
              </w:rPr>
            </w:pPr>
            <w:r>
              <w:rPr>
                <w:rFonts w:ascii="Arial Narrow" w:hAnsi="Arial Narrow"/>
                <w:sz w:val="20"/>
                <w:szCs w:val="20"/>
              </w:rPr>
              <w:t>1.09 (0.84, 1.41)</w:t>
            </w:r>
          </w:p>
        </w:tc>
      </w:tr>
      <w:tr w:rsidR="00231BF8" w:rsidRPr="00B33C66" w:rsidTr="00647067">
        <w:tc>
          <w:tcPr>
            <w:tcW w:w="5954" w:type="dxa"/>
            <w:gridSpan w:val="4"/>
            <w:tcBorders>
              <w:left w:val="nil"/>
              <w:bottom w:val="nil"/>
              <w:right w:val="nil"/>
            </w:tcBorders>
            <w:vAlign w:val="center"/>
          </w:tcPr>
          <w:p w:rsidR="00231BF8" w:rsidRDefault="00231BF8" w:rsidP="00E91949">
            <w:pPr>
              <w:keepNext/>
              <w:keepLines/>
              <w:rPr>
                <w:rFonts w:ascii="Arial Narrow" w:hAnsi="Arial Narrow"/>
                <w:sz w:val="20"/>
                <w:szCs w:val="20"/>
              </w:rPr>
            </w:pPr>
            <w:r>
              <w:rPr>
                <w:rFonts w:ascii="Arial Narrow" w:hAnsi="Arial Narrow"/>
                <w:b/>
                <w:bCs/>
                <w:sz w:val="20"/>
                <w:szCs w:val="20"/>
              </w:rPr>
              <w:t>Pneumonia</w:t>
            </w:r>
          </w:p>
        </w:tc>
        <w:tc>
          <w:tcPr>
            <w:tcW w:w="1485" w:type="dxa"/>
            <w:tcBorders>
              <w:left w:val="nil"/>
              <w:bottom w:val="nil"/>
              <w:right w:val="nil"/>
            </w:tcBorders>
            <w:vAlign w:val="center"/>
          </w:tcPr>
          <w:p w:rsidR="00231BF8" w:rsidRPr="00531C35" w:rsidRDefault="00231BF8" w:rsidP="00E91949">
            <w:pPr>
              <w:keepNext/>
              <w:keepLines/>
              <w:jc w:val="center"/>
              <w:rPr>
                <w:rFonts w:ascii="Arial Narrow" w:hAnsi="Arial Narrow"/>
                <w:sz w:val="20"/>
                <w:szCs w:val="20"/>
              </w:rPr>
            </w:pPr>
            <w:r>
              <w:rPr>
                <w:rFonts w:ascii="Arial Narrow" w:hAnsi="Arial Narrow"/>
                <w:b/>
                <w:bCs/>
                <w:sz w:val="20"/>
                <w:szCs w:val="20"/>
              </w:rPr>
              <w:t>RR</w:t>
            </w:r>
          </w:p>
        </w:tc>
        <w:tc>
          <w:tcPr>
            <w:tcW w:w="1577" w:type="dxa"/>
            <w:tcBorders>
              <w:left w:val="nil"/>
              <w:bottom w:val="nil"/>
              <w:right w:val="nil"/>
            </w:tcBorders>
            <w:vAlign w:val="center"/>
          </w:tcPr>
          <w:p w:rsidR="00231BF8" w:rsidRPr="00531C35" w:rsidRDefault="00231BF8" w:rsidP="00E91949">
            <w:pPr>
              <w:keepNext/>
              <w:keepLines/>
              <w:jc w:val="center"/>
              <w:rPr>
                <w:rFonts w:ascii="Arial Narrow" w:hAnsi="Arial Narrow"/>
                <w:sz w:val="20"/>
                <w:szCs w:val="20"/>
              </w:rPr>
            </w:pPr>
            <w:r w:rsidRPr="00E04838">
              <w:rPr>
                <w:rFonts w:ascii="Arial Narrow" w:hAnsi="Arial Narrow"/>
                <w:b/>
                <w:sz w:val="20"/>
                <w:szCs w:val="20"/>
              </w:rPr>
              <w:t>RR</w:t>
            </w:r>
          </w:p>
        </w:tc>
      </w:tr>
      <w:tr w:rsidR="00231BF8" w:rsidRPr="00B33C66" w:rsidTr="00647067">
        <w:tc>
          <w:tcPr>
            <w:tcW w:w="5954" w:type="dxa"/>
            <w:gridSpan w:val="4"/>
            <w:tcBorders>
              <w:top w:val="nil"/>
              <w:left w:val="nil"/>
              <w:bottom w:val="nil"/>
              <w:right w:val="nil"/>
            </w:tcBorders>
            <w:vAlign w:val="center"/>
          </w:tcPr>
          <w:p w:rsidR="00231BF8" w:rsidRDefault="00231BF8" w:rsidP="00E91949">
            <w:pPr>
              <w:keepNext/>
              <w:keepLines/>
              <w:rPr>
                <w:rFonts w:ascii="Arial Narrow" w:hAnsi="Arial Narrow"/>
                <w:sz w:val="20"/>
                <w:szCs w:val="20"/>
              </w:rPr>
            </w:pPr>
            <w:r>
              <w:rPr>
                <w:rFonts w:ascii="Arial Narrow" w:hAnsi="Arial Narrow"/>
                <w:sz w:val="20"/>
                <w:szCs w:val="20"/>
              </w:rPr>
              <w:t>BUD/GLY/FOR vs FF/UMEC/VI</w:t>
            </w:r>
          </w:p>
        </w:tc>
        <w:tc>
          <w:tcPr>
            <w:tcW w:w="1485" w:type="dxa"/>
            <w:tcBorders>
              <w:top w:val="nil"/>
              <w:left w:val="nil"/>
              <w:bottom w:val="nil"/>
              <w:right w:val="nil"/>
            </w:tcBorders>
            <w:vAlign w:val="center"/>
          </w:tcPr>
          <w:p w:rsidR="00231BF8" w:rsidRPr="00B517A1" w:rsidRDefault="00231BF8" w:rsidP="00E91949">
            <w:pPr>
              <w:keepNext/>
              <w:keepLines/>
              <w:jc w:val="center"/>
              <w:rPr>
                <w:rFonts w:ascii="Arial Narrow" w:hAnsi="Arial Narrow"/>
                <w:sz w:val="20"/>
                <w:szCs w:val="20"/>
              </w:rPr>
            </w:pPr>
            <w:r>
              <w:rPr>
                <w:rFonts w:ascii="Arial Narrow" w:hAnsi="Arial Narrow"/>
                <w:sz w:val="20"/>
                <w:szCs w:val="20"/>
              </w:rPr>
              <w:t>0.84 (0.62, 1.14)</w:t>
            </w:r>
          </w:p>
        </w:tc>
        <w:tc>
          <w:tcPr>
            <w:tcW w:w="1577" w:type="dxa"/>
            <w:tcBorders>
              <w:top w:val="nil"/>
              <w:left w:val="nil"/>
              <w:bottom w:val="nil"/>
              <w:right w:val="nil"/>
            </w:tcBorders>
            <w:vAlign w:val="center"/>
          </w:tcPr>
          <w:p w:rsidR="00231BF8" w:rsidRPr="00B517A1" w:rsidRDefault="00231BF8" w:rsidP="00E91949">
            <w:pPr>
              <w:keepNext/>
              <w:keepLines/>
              <w:jc w:val="center"/>
              <w:rPr>
                <w:rFonts w:ascii="Arial Narrow" w:hAnsi="Arial Narrow"/>
                <w:sz w:val="20"/>
                <w:szCs w:val="20"/>
              </w:rPr>
            </w:pPr>
            <w:r>
              <w:rPr>
                <w:rFonts w:ascii="Arial Narrow" w:hAnsi="Arial Narrow"/>
                <w:sz w:val="20"/>
                <w:szCs w:val="20"/>
              </w:rPr>
              <w:t>0.98 (0.66, 1.43)</w:t>
            </w:r>
          </w:p>
        </w:tc>
      </w:tr>
      <w:tr w:rsidR="00231BF8" w:rsidRPr="00B33C66" w:rsidTr="00647067">
        <w:tc>
          <w:tcPr>
            <w:tcW w:w="5954" w:type="dxa"/>
            <w:gridSpan w:val="4"/>
            <w:tcBorders>
              <w:top w:val="nil"/>
              <w:left w:val="nil"/>
              <w:bottom w:val="single" w:sz="4" w:space="0" w:color="auto"/>
              <w:right w:val="nil"/>
            </w:tcBorders>
            <w:vAlign w:val="center"/>
          </w:tcPr>
          <w:p w:rsidR="00231BF8" w:rsidRPr="00E04838" w:rsidRDefault="00231BF8" w:rsidP="00E91949">
            <w:pPr>
              <w:keepNext/>
              <w:keepLines/>
              <w:rPr>
                <w:rFonts w:ascii="Arial Narrow" w:hAnsi="Arial Narrow"/>
                <w:sz w:val="20"/>
                <w:szCs w:val="20"/>
              </w:rPr>
            </w:pPr>
            <w:r w:rsidRPr="00E04838">
              <w:rPr>
                <w:rFonts w:ascii="Arial Narrow" w:hAnsi="Arial Narrow"/>
                <w:sz w:val="20"/>
                <w:szCs w:val="20"/>
              </w:rPr>
              <w:t>BUD/GLY/FOR vs BEC/GLY/FOR</w:t>
            </w:r>
          </w:p>
        </w:tc>
        <w:tc>
          <w:tcPr>
            <w:tcW w:w="1485" w:type="dxa"/>
            <w:tcBorders>
              <w:top w:val="nil"/>
              <w:left w:val="nil"/>
              <w:bottom w:val="single" w:sz="4" w:space="0" w:color="auto"/>
              <w:right w:val="nil"/>
            </w:tcBorders>
            <w:vAlign w:val="center"/>
          </w:tcPr>
          <w:p w:rsidR="00231BF8" w:rsidRPr="00B517A1" w:rsidRDefault="00231BF8" w:rsidP="00E91949">
            <w:pPr>
              <w:keepNext/>
              <w:keepLines/>
              <w:jc w:val="center"/>
              <w:rPr>
                <w:rFonts w:ascii="Arial Narrow" w:hAnsi="Arial Narrow"/>
                <w:sz w:val="20"/>
                <w:szCs w:val="20"/>
              </w:rPr>
            </w:pPr>
            <w:r>
              <w:rPr>
                <w:rFonts w:ascii="Arial Narrow" w:hAnsi="Arial Narrow"/>
                <w:sz w:val="20"/>
                <w:szCs w:val="20"/>
              </w:rPr>
              <w:t>0.72 (0.37, 1.40)</w:t>
            </w:r>
          </w:p>
        </w:tc>
        <w:tc>
          <w:tcPr>
            <w:tcW w:w="1577" w:type="dxa"/>
            <w:tcBorders>
              <w:top w:val="nil"/>
              <w:left w:val="nil"/>
              <w:bottom w:val="single" w:sz="4" w:space="0" w:color="auto"/>
              <w:right w:val="nil"/>
            </w:tcBorders>
            <w:vAlign w:val="center"/>
          </w:tcPr>
          <w:p w:rsidR="00231BF8" w:rsidRPr="00B517A1" w:rsidRDefault="00231BF8" w:rsidP="00E91949">
            <w:pPr>
              <w:keepNext/>
              <w:keepLines/>
              <w:jc w:val="center"/>
              <w:rPr>
                <w:rFonts w:ascii="Arial Narrow" w:hAnsi="Arial Narrow"/>
                <w:sz w:val="20"/>
                <w:szCs w:val="20"/>
              </w:rPr>
            </w:pPr>
            <w:r>
              <w:rPr>
                <w:rFonts w:ascii="Arial Narrow" w:hAnsi="Arial Narrow"/>
                <w:sz w:val="20"/>
                <w:szCs w:val="20"/>
              </w:rPr>
              <w:t>1.53 (0.83, 2.81)</w:t>
            </w:r>
          </w:p>
        </w:tc>
      </w:tr>
    </w:tbl>
    <w:p w:rsidR="00231BF8" w:rsidRDefault="00231BF8" w:rsidP="00E91949">
      <w:pPr>
        <w:keepNext/>
        <w:keepLines/>
        <w:rPr>
          <w:rFonts w:ascii="Arial Narrow" w:hAnsi="Arial Narrow"/>
          <w:sz w:val="18"/>
          <w:szCs w:val="18"/>
        </w:rPr>
      </w:pPr>
      <w:r w:rsidRPr="00B27770">
        <w:rPr>
          <w:rFonts w:ascii="Arial Narrow" w:hAnsi="Arial Narrow"/>
          <w:sz w:val="18"/>
          <w:szCs w:val="18"/>
        </w:rPr>
        <w:t>Abbreviations:</w:t>
      </w:r>
      <w:r>
        <w:rPr>
          <w:rFonts w:ascii="Arial Narrow" w:hAnsi="Arial Narrow"/>
          <w:sz w:val="18"/>
          <w:szCs w:val="18"/>
        </w:rPr>
        <w:t xml:space="preserve"> BEC=</w:t>
      </w:r>
      <w:r w:rsidRPr="006D2C65">
        <w:rPr>
          <w:rFonts w:ascii="Arial Narrow" w:hAnsi="Arial Narrow"/>
          <w:sz w:val="18"/>
          <w:szCs w:val="18"/>
        </w:rPr>
        <w:t>beclometasone dipropionate</w:t>
      </w:r>
      <w:r>
        <w:rPr>
          <w:rFonts w:ascii="Arial Narrow" w:hAnsi="Arial Narrow"/>
          <w:sz w:val="18"/>
          <w:szCs w:val="18"/>
        </w:rPr>
        <w:t>;</w:t>
      </w:r>
      <w:r w:rsidRPr="006D2C65">
        <w:rPr>
          <w:rFonts w:ascii="Arial Narrow" w:hAnsi="Arial Narrow"/>
          <w:sz w:val="18"/>
          <w:szCs w:val="18"/>
        </w:rPr>
        <w:t xml:space="preserve"> </w:t>
      </w:r>
      <w:r>
        <w:rPr>
          <w:rFonts w:ascii="Arial Narrow" w:hAnsi="Arial Narrow"/>
          <w:sz w:val="18"/>
          <w:szCs w:val="18"/>
        </w:rPr>
        <w:t xml:space="preserve">BUD=budesonide; </w:t>
      </w:r>
      <w:r w:rsidRPr="006D2C65">
        <w:rPr>
          <w:rFonts w:ascii="Arial Narrow" w:hAnsi="Arial Narrow"/>
          <w:sz w:val="18"/>
          <w:szCs w:val="18"/>
        </w:rPr>
        <w:t>FF=fluticasone fumarate;</w:t>
      </w:r>
      <w:r>
        <w:rPr>
          <w:rFonts w:ascii="Arial Narrow" w:hAnsi="Arial Narrow"/>
          <w:sz w:val="18"/>
          <w:szCs w:val="18"/>
        </w:rPr>
        <w:t xml:space="preserve"> FOR=</w:t>
      </w:r>
      <w:r w:rsidRPr="006D2C65">
        <w:rPr>
          <w:rFonts w:ascii="Arial Narrow" w:hAnsi="Arial Narrow"/>
          <w:sz w:val="18"/>
          <w:szCs w:val="18"/>
        </w:rPr>
        <w:t>formoterol fumarate</w:t>
      </w:r>
      <w:r>
        <w:rPr>
          <w:rFonts w:ascii="Arial Narrow" w:hAnsi="Arial Narrow"/>
          <w:sz w:val="18"/>
          <w:szCs w:val="18"/>
        </w:rPr>
        <w:t xml:space="preserve"> dihydrate; GLY=</w:t>
      </w:r>
      <w:r w:rsidRPr="006D2C65">
        <w:rPr>
          <w:rFonts w:ascii="Arial Narrow" w:hAnsi="Arial Narrow"/>
          <w:sz w:val="18"/>
          <w:szCs w:val="18"/>
        </w:rPr>
        <w:t>glycopyrronium</w:t>
      </w:r>
      <w:r>
        <w:rPr>
          <w:rFonts w:ascii="Arial Narrow" w:hAnsi="Arial Narrow"/>
          <w:sz w:val="18"/>
          <w:szCs w:val="18"/>
        </w:rPr>
        <w:t>;</w:t>
      </w:r>
      <w:r w:rsidRPr="00B27770">
        <w:rPr>
          <w:rFonts w:ascii="Arial Narrow" w:hAnsi="Arial Narrow"/>
          <w:sz w:val="18"/>
          <w:szCs w:val="18"/>
        </w:rPr>
        <w:t xml:space="preserve"> </w:t>
      </w:r>
      <w:r w:rsidRPr="00871FCA">
        <w:rPr>
          <w:rFonts w:ascii="Arial Narrow" w:hAnsi="Arial Narrow"/>
          <w:sz w:val="18"/>
          <w:szCs w:val="18"/>
        </w:rPr>
        <w:t xml:space="preserve">ICS=inhaled corticosteroids; </w:t>
      </w:r>
      <w:r>
        <w:rPr>
          <w:rFonts w:ascii="Arial Narrow" w:hAnsi="Arial Narrow"/>
          <w:sz w:val="18"/>
          <w:szCs w:val="18"/>
        </w:rPr>
        <w:t xml:space="preserve">IND=indacaterol; </w:t>
      </w:r>
      <w:r w:rsidRPr="006D2C65">
        <w:rPr>
          <w:rFonts w:ascii="Arial Narrow" w:hAnsi="Arial Narrow"/>
          <w:sz w:val="18"/>
          <w:szCs w:val="18"/>
        </w:rPr>
        <w:t>ITT=intention to treat;</w:t>
      </w:r>
      <w:r>
        <w:rPr>
          <w:rFonts w:ascii="Arial Narrow" w:hAnsi="Arial Narrow"/>
          <w:sz w:val="18"/>
          <w:szCs w:val="18"/>
        </w:rPr>
        <w:t xml:space="preserve"> </w:t>
      </w:r>
      <w:r w:rsidRPr="00871FCA">
        <w:rPr>
          <w:rFonts w:ascii="Arial Narrow" w:hAnsi="Arial Narrow"/>
          <w:sz w:val="18"/>
          <w:szCs w:val="18"/>
        </w:rPr>
        <w:t>LABA=long acting beta-2 agonist;</w:t>
      </w:r>
      <w:r>
        <w:rPr>
          <w:rFonts w:ascii="Arial Narrow" w:hAnsi="Arial Narrow"/>
          <w:sz w:val="18"/>
          <w:szCs w:val="18"/>
        </w:rPr>
        <w:t xml:space="preserve"> </w:t>
      </w:r>
      <w:r w:rsidRPr="006D2C65">
        <w:rPr>
          <w:rFonts w:ascii="Arial Narrow" w:hAnsi="Arial Narrow"/>
          <w:sz w:val="18"/>
          <w:szCs w:val="18"/>
        </w:rPr>
        <w:t>LAMA=long acting muscarinic antagonist;</w:t>
      </w:r>
      <w:r>
        <w:rPr>
          <w:rFonts w:ascii="Arial Narrow" w:hAnsi="Arial Narrow"/>
          <w:sz w:val="18"/>
          <w:szCs w:val="18"/>
        </w:rPr>
        <w:t xml:space="preserve"> HR=hazard ratio; </w:t>
      </w:r>
      <w:r w:rsidRPr="006D2C65">
        <w:rPr>
          <w:rFonts w:ascii="Arial Narrow" w:hAnsi="Arial Narrow"/>
          <w:sz w:val="18"/>
          <w:szCs w:val="18"/>
        </w:rPr>
        <w:t>RR=rate ratio; UMEC=umeclidinium; VI=vilanterol</w:t>
      </w:r>
      <w:r>
        <w:rPr>
          <w:rFonts w:ascii="Arial Narrow" w:hAnsi="Arial Narrow"/>
          <w:sz w:val="18"/>
          <w:szCs w:val="18"/>
        </w:rPr>
        <w:t xml:space="preserve"> </w:t>
      </w:r>
      <w:r w:rsidRPr="00A81DAF">
        <w:rPr>
          <w:rFonts w:ascii="Arial Narrow" w:hAnsi="Arial Narrow"/>
          <w:sz w:val="18"/>
          <w:szCs w:val="18"/>
        </w:rPr>
        <w:t>trifen</w:t>
      </w:r>
      <w:r w:rsidR="008A42E8">
        <w:rPr>
          <w:rFonts w:ascii="Arial Narrow" w:hAnsi="Arial Narrow"/>
          <w:sz w:val="18"/>
          <w:szCs w:val="18"/>
        </w:rPr>
        <w:t>at</w:t>
      </w:r>
      <w:r w:rsidRPr="00A81DAF">
        <w:rPr>
          <w:rFonts w:ascii="Arial Narrow" w:hAnsi="Arial Narrow"/>
          <w:sz w:val="18"/>
          <w:szCs w:val="18"/>
        </w:rPr>
        <w:t>ate</w:t>
      </w:r>
      <w:r w:rsidRPr="006D2C65">
        <w:rPr>
          <w:rFonts w:ascii="Arial Narrow" w:hAnsi="Arial Narrow"/>
          <w:sz w:val="18"/>
          <w:szCs w:val="18"/>
        </w:rPr>
        <w:t xml:space="preserve">; </w:t>
      </w:r>
    </w:p>
    <w:p w:rsidR="00231BF8" w:rsidRDefault="00231BF8" w:rsidP="00E91949">
      <w:pPr>
        <w:keepNext/>
        <w:keepLines/>
        <w:tabs>
          <w:tab w:val="left" w:pos="142"/>
        </w:tabs>
        <w:ind w:left="140" w:hanging="140"/>
        <w:rPr>
          <w:rFonts w:ascii="Arial Narrow" w:hAnsi="Arial Narrow"/>
          <w:sz w:val="18"/>
          <w:szCs w:val="18"/>
        </w:rPr>
      </w:pPr>
      <w:r>
        <w:rPr>
          <w:rFonts w:ascii="Arial Narrow" w:hAnsi="Arial Narrow"/>
          <w:sz w:val="18"/>
          <w:szCs w:val="18"/>
        </w:rPr>
        <w:t>^</w:t>
      </w:r>
      <w:r>
        <w:rPr>
          <w:rFonts w:ascii="Arial Narrow" w:hAnsi="Arial Narrow"/>
          <w:sz w:val="18"/>
          <w:szCs w:val="18"/>
        </w:rPr>
        <w:tab/>
        <w:t>Data included patients missing Week 52 vital status (n=384). The submission reported analysis provided by Martinez et al 2020, which included Week 52 vital status for 99.6% of ITT population, showed the risk of death for Breztri (BUD/GLY/FOR) was significantly lower versus GLY/FOR (HR: 0.51, 95%CI: 0.33, 0.80), but no significant difference versus BUD/FOR (HR: 7.2, 95%CI: 0.44, 1.16).</w:t>
      </w:r>
    </w:p>
    <w:p w:rsidR="00362A18" w:rsidRDefault="00231BF8" w:rsidP="00E91949">
      <w:pPr>
        <w:keepNext/>
        <w:keepLines/>
        <w:tabs>
          <w:tab w:val="left" w:pos="142"/>
        </w:tabs>
        <w:rPr>
          <w:rFonts w:ascii="Arial Narrow" w:hAnsi="Arial Narrow"/>
          <w:sz w:val="18"/>
          <w:szCs w:val="18"/>
        </w:rPr>
      </w:pPr>
      <w:r>
        <w:rPr>
          <w:rFonts w:ascii="Arial Narrow" w:hAnsi="Arial Narrow"/>
          <w:sz w:val="18"/>
          <w:szCs w:val="18"/>
        </w:rPr>
        <w:t>Source: Table 2.5.2, pp67-68, Tables 2.5.7 to 2.5.8, pp73-74, Table 2.5.12, pp76-77, Table 2.6.1, p82 and Table 2.6.4, p86 of the submission.</w:t>
      </w:r>
    </w:p>
    <w:p w:rsidR="00362A18" w:rsidRDefault="00362A18">
      <w:pPr>
        <w:jc w:val="left"/>
        <w:rPr>
          <w:rFonts w:ascii="Arial Narrow" w:hAnsi="Arial Narrow"/>
          <w:sz w:val="18"/>
          <w:szCs w:val="18"/>
        </w:rPr>
      </w:pPr>
      <w:r>
        <w:rPr>
          <w:rFonts w:ascii="Arial Narrow" w:hAnsi="Arial Narrow"/>
          <w:sz w:val="18"/>
          <w:szCs w:val="18"/>
        </w:rPr>
        <w:br w:type="page"/>
      </w:r>
    </w:p>
    <w:p w:rsidR="00B60939" w:rsidRPr="00C9624D" w:rsidRDefault="00B60939" w:rsidP="00E91949">
      <w:pPr>
        <w:pStyle w:val="4-SubsectionHeading"/>
        <w:keepLines/>
      </w:pPr>
      <w:bookmarkStart w:id="20" w:name="_Toc22897644"/>
      <w:bookmarkStart w:id="21" w:name="_Toc72233556"/>
      <w:r w:rsidRPr="00C9624D">
        <w:lastRenderedPageBreak/>
        <w:t>Clinical claim</w:t>
      </w:r>
      <w:bookmarkEnd w:id="20"/>
      <w:bookmarkEnd w:id="21"/>
    </w:p>
    <w:p w:rsidR="001B7C7E" w:rsidRPr="001B7C7E" w:rsidRDefault="001B7C7E" w:rsidP="00E91949">
      <w:pPr>
        <w:pStyle w:val="3-BodyText"/>
        <w:keepNext/>
        <w:keepLines/>
      </w:pPr>
      <w:r w:rsidRPr="001B7C7E">
        <w:t>The submission described BUD/GLY/FOR as non-inferior in terms of comparative efficacy and safety compared to FF/UMEC/VI and BEC/GLY/FOR</w:t>
      </w:r>
      <w:r w:rsidR="00C710DB">
        <w:t>,</w:t>
      </w:r>
      <w:r w:rsidRPr="001B7C7E">
        <w:t xml:space="preserve"> for patients with moderate to severe COPD.</w:t>
      </w:r>
    </w:p>
    <w:p w:rsidR="005F7588" w:rsidRPr="00953FE8" w:rsidRDefault="009E1B10" w:rsidP="00E91949">
      <w:pPr>
        <w:pStyle w:val="3-BodyText"/>
        <w:keepNext/>
        <w:keepLines/>
        <w:rPr>
          <w:rFonts w:eastAsia="Calibri"/>
        </w:rPr>
      </w:pPr>
      <w:r w:rsidRPr="00C81D26">
        <w:t>The ESC agreed with the evaluation that o</w:t>
      </w:r>
      <w:r w:rsidR="001B7C7E" w:rsidRPr="00C81D26">
        <w:t>verall</w:t>
      </w:r>
      <w:r w:rsidR="001B7C7E" w:rsidRPr="0043025E">
        <w:t xml:space="preserve"> the clinical claim was supported by the indirect evidence presented in the submission. The claim for non-inferior efficacy was based on comparable reduction in moderate or severe exacerbations and change in lung function (FEV1), SGRQ score and rescue medication use at Week 52</w:t>
      </w:r>
      <w:r w:rsidR="00D754E8" w:rsidRPr="0043025E">
        <w:t>; t</w:t>
      </w:r>
      <w:r w:rsidR="001B7C7E" w:rsidRPr="0043025E">
        <w:t>he claim of non-inferior safety was based on comparable incidence of AEs at Week 52.</w:t>
      </w:r>
    </w:p>
    <w:p w:rsidR="00953FE8" w:rsidRPr="002242BC" w:rsidRDefault="00953FE8" w:rsidP="00953FE8">
      <w:pPr>
        <w:widowControl w:val="0"/>
        <w:numPr>
          <w:ilvl w:val="1"/>
          <w:numId w:val="1"/>
        </w:numPr>
        <w:spacing w:after="120"/>
        <w:rPr>
          <w:rFonts w:asciiTheme="minorHAnsi" w:hAnsiTheme="minorHAnsi"/>
          <w:snapToGrid w:val="0"/>
          <w:szCs w:val="20"/>
        </w:rPr>
      </w:pPr>
      <w:bookmarkStart w:id="22" w:name="_Hlk76376200"/>
      <w:r w:rsidRPr="002242BC">
        <w:rPr>
          <w:rFonts w:asciiTheme="minorHAnsi" w:hAnsiTheme="minorHAnsi"/>
          <w:iCs/>
          <w:snapToGrid w:val="0"/>
        </w:rPr>
        <w:t>The</w:t>
      </w:r>
      <w:r w:rsidRPr="002242BC">
        <w:rPr>
          <w:rFonts w:asciiTheme="minorHAnsi" w:hAnsiTheme="minorHAnsi"/>
          <w:snapToGrid w:val="0"/>
          <w:szCs w:val="20"/>
        </w:rPr>
        <w:t xml:space="preserve"> PBAC consid</w:t>
      </w:r>
      <w:r w:rsidR="002242BC">
        <w:rPr>
          <w:rFonts w:asciiTheme="minorHAnsi" w:hAnsiTheme="minorHAnsi"/>
          <w:snapToGrid w:val="0"/>
          <w:szCs w:val="20"/>
        </w:rPr>
        <w:t>ered that the claim of non-inferior</w:t>
      </w:r>
      <w:r w:rsidRPr="002242BC">
        <w:rPr>
          <w:rFonts w:asciiTheme="minorHAnsi" w:hAnsiTheme="minorHAnsi"/>
          <w:snapToGrid w:val="0"/>
          <w:szCs w:val="20"/>
        </w:rPr>
        <w:t xml:space="preserve"> comparative effectiveness was reasonabl</w:t>
      </w:r>
      <w:r w:rsidR="002242BC">
        <w:rPr>
          <w:rFonts w:asciiTheme="minorHAnsi" w:hAnsiTheme="minorHAnsi"/>
          <w:snapToGrid w:val="0"/>
          <w:szCs w:val="20"/>
        </w:rPr>
        <w:t>e</w:t>
      </w:r>
      <w:r w:rsidRPr="002242BC">
        <w:rPr>
          <w:rFonts w:asciiTheme="minorHAnsi" w:hAnsiTheme="minorHAnsi"/>
          <w:snapToGrid w:val="0"/>
          <w:szCs w:val="20"/>
        </w:rPr>
        <w:t>.</w:t>
      </w:r>
    </w:p>
    <w:p w:rsidR="00953FE8" w:rsidRPr="002242BC" w:rsidRDefault="00953FE8" w:rsidP="00953FE8">
      <w:pPr>
        <w:widowControl w:val="0"/>
        <w:numPr>
          <w:ilvl w:val="1"/>
          <w:numId w:val="1"/>
        </w:numPr>
        <w:spacing w:after="120"/>
        <w:rPr>
          <w:rFonts w:asciiTheme="minorHAnsi" w:hAnsiTheme="minorHAnsi"/>
          <w:snapToGrid w:val="0"/>
          <w:szCs w:val="20"/>
        </w:rPr>
      </w:pPr>
      <w:r w:rsidRPr="002242BC">
        <w:rPr>
          <w:rFonts w:asciiTheme="minorHAnsi" w:hAnsiTheme="minorHAnsi"/>
          <w:snapToGrid w:val="0"/>
          <w:szCs w:val="20"/>
        </w:rPr>
        <w:t>The PBAC consid</w:t>
      </w:r>
      <w:r w:rsidR="002242BC">
        <w:rPr>
          <w:rFonts w:asciiTheme="minorHAnsi" w:hAnsiTheme="minorHAnsi"/>
          <w:snapToGrid w:val="0"/>
          <w:szCs w:val="20"/>
        </w:rPr>
        <w:t>ered that the claim of non-inferior</w:t>
      </w:r>
      <w:r w:rsidRPr="002242BC">
        <w:rPr>
          <w:rFonts w:asciiTheme="minorHAnsi" w:hAnsiTheme="minorHAnsi"/>
          <w:snapToGrid w:val="0"/>
          <w:szCs w:val="20"/>
        </w:rPr>
        <w:t xml:space="preserve"> comparativ</w:t>
      </w:r>
      <w:r w:rsidR="002242BC">
        <w:rPr>
          <w:rFonts w:asciiTheme="minorHAnsi" w:hAnsiTheme="minorHAnsi"/>
          <w:snapToGrid w:val="0"/>
          <w:szCs w:val="20"/>
        </w:rPr>
        <w:t>e safety was reasonable</w:t>
      </w:r>
      <w:r w:rsidRPr="002242BC">
        <w:rPr>
          <w:rFonts w:asciiTheme="minorHAnsi" w:hAnsiTheme="minorHAnsi"/>
          <w:snapToGrid w:val="0"/>
          <w:szCs w:val="20"/>
        </w:rPr>
        <w:t>.</w:t>
      </w:r>
      <w:bookmarkEnd w:id="22"/>
    </w:p>
    <w:p w:rsidR="00B60939" w:rsidRPr="00C9624D" w:rsidRDefault="00B60939" w:rsidP="00E9094A">
      <w:pPr>
        <w:pStyle w:val="4-SubsectionHeading"/>
      </w:pPr>
      <w:bookmarkStart w:id="23" w:name="_Toc22897645"/>
      <w:bookmarkStart w:id="24" w:name="_Toc72233557"/>
      <w:r w:rsidRPr="00C9624D">
        <w:t>Economic analysis</w:t>
      </w:r>
      <w:bookmarkEnd w:id="23"/>
      <w:bookmarkEnd w:id="24"/>
      <w:r w:rsidR="00491B3A" w:rsidRPr="00C9624D">
        <w:t xml:space="preserve"> </w:t>
      </w:r>
    </w:p>
    <w:p w:rsidR="00790607" w:rsidRDefault="00484245" w:rsidP="00484245">
      <w:pPr>
        <w:pStyle w:val="3-BodyText"/>
      </w:pPr>
      <w:r>
        <w:rPr>
          <w:bCs/>
          <w:lang w:val="en-US"/>
        </w:rPr>
        <w:t>The submission presented a cost-minimisation analysis</w:t>
      </w:r>
      <w:r w:rsidR="005C24BC">
        <w:rPr>
          <w:bCs/>
          <w:lang w:val="en-US"/>
        </w:rPr>
        <w:t xml:space="preserve"> between </w:t>
      </w:r>
      <w:r w:rsidR="005C24BC" w:rsidRPr="00484245">
        <w:rPr>
          <w:bCs/>
          <w:lang w:val="en-US"/>
        </w:rPr>
        <w:t xml:space="preserve">BUD/GLY/FOR </w:t>
      </w:r>
      <w:r w:rsidR="005C24BC">
        <w:rPr>
          <w:bCs/>
          <w:lang w:val="en-US"/>
        </w:rPr>
        <w:t>and</w:t>
      </w:r>
      <w:r w:rsidR="005C24BC" w:rsidRPr="00484245">
        <w:rPr>
          <w:bCs/>
          <w:lang w:val="en-US"/>
        </w:rPr>
        <w:t xml:space="preserve"> FF/UMEC/VI</w:t>
      </w:r>
      <w:r w:rsidR="005C24BC">
        <w:rPr>
          <w:bCs/>
          <w:lang w:val="en-US"/>
        </w:rPr>
        <w:t>,</w:t>
      </w:r>
      <w:r>
        <w:rPr>
          <w:bCs/>
          <w:lang w:val="en-US"/>
        </w:rPr>
        <w:t xml:space="preserve"> </w:t>
      </w:r>
      <w:r w:rsidR="005C24BC">
        <w:rPr>
          <w:bCs/>
          <w:lang w:val="en-US"/>
        </w:rPr>
        <w:t xml:space="preserve">based on </w:t>
      </w:r>
      <w:r>
        <w:rPr>
          <w:bCs/>
          <w:lang w:val="en-US"/>
        </w:rPr>
        <w:t>the following equi-effective doses</w:t>
      </w:r>
      <w:r w:rsidRPr="00484245">
        <w:rPr>
          <w:bCs/>
          <w:lang w:val="en-US"/>
        </w:rPr>
        <w:t>:</w:t>
      </w:r>
    </w:p>
    <w:p w:rsidR="00484245" w:rsidRDefault="00484245" w:rsidP="00270E68">
      <w:pPr>
        <w:pStyle w:val="3-BodyText"/>
        <w:numPr>
          <w:ilvl w:val="0"/>
          <w:numId w:val="0"/>
        </w:numPr>
        <w:ind w:left="720"/>
      </w:pPr>
      <w:r w:rsidRPr="00287FD2">
        <w:t xml:space="preserve">BUD/GLY/FOR </w:t>
      </w:r>
      <w:r>
        <w:t>(</w:t>
      </w:r>
      <w:r w:rsidRPr="00287FD2">
        <w:t xml:space="preserve">160/7.2/4.8 </w:t>
      </w:r>
      <w:r w:rsidR="00E61288">
        <w:t>mcg</w:t>
      </w:r>
      <w:r w:rsidRPr="00287FD2">
        <w:t xml:space="preserve">) </w:t>
      </w:r>
      <w:r>
        <w:t>pMDI</w:t>
      </w:r>
      <w:r w:rsidR="005C24BC">
        <w:t>,</w:t>
      </w:r>
      <w:r>
        <w:t xml:space="preserve"> </w:t>
      </w:r>
      <w:r w:rsidRPr="00287FD2">
        <w:t xml:space="preserve">two inhalations twice daily = FF/UMEC/VI </w:t>
      </w:r>
      <w:r>
        <w:t>(</w:t>
      </w:r>
      <w:r w:rsidRPr="00287FD2">
        <w:t xml:space="preserve">100/62.5/25 </w:t>
      </w:r>
      <w:r w:rsidR="00E61288">
        <w:t>mcg</w:t>
      </w:r>
      <w:r w:rsidRPr="00287FD2">
        <w:t xml:space="preserve">) </w:t>
      </w:r>
      <w:r>
        <w:t>DPI</w:t>
      </w:r>
      <w:r w:rsidR="005C24BC">
        <w:t>,</w:t>
      </w:r>
      <w:r>
        <w:t xml:space="preserve"> </w:t>
      </w:r>
      <w:r w:rsidRPr="00287FD2">
        <w:t>one inhalation once daily</w:t>
      </w:r>
      <w:r>
        <w:t>.</w:t>
      </w:r>
    </w:p>
    <w:p w:rsidR="00484245" w:rsidRPr="0043025E" w:rsidRDefault="00484245" w:rsidP="00484245">
      <w:pPr>
        <w:spacing w:after="120"/>
        <w:ind w:left="720"/>
      </w:pPr>
      <w:r w:rsidRPr="0043025E">
        <w:t>The proposed equi-effective doses are consistent with the recommended doses in the draft/approved PIs</w:t>
      </w:r>
      <w:r w:rsidR="005C24BC" w:rsidRPr="0043025E">
        <w:t>, and the clinical evidence presented in the submission</w:t>
      </w:r>
      <w:r w:rsidRPr="0043025E">
        <w:t>.</w:t>
      </w:r>
    </w:p>
    <w:p w:rsidR="001B7C7E" w:rsidRPr="00F45A9D" w:rsidRDefault="00484245" w:rsidP="00F45A9D">
      <w:pPr>
        <w:pStyle w:val="3-BodyText"/>
        <w:rPr>
          <w:bCs/>
          <w:lang w:val="en-US"/>
        </w:rPr>
      </w:pPr>
      <w:r w:rsidRPr="00484245">
        <w:rPr>
          <w:lang w:val="en-US"/>
        </w:rPr>
        <w:t xml:space="preserve">Table </w:t>
      </w:r>
      <w:r>
        <w:rPr>
          <w:lang w:val="en-US"/>
        </w:rPr>
        <w:t>6</w:t>
      </w:r>
      <w:r w:rsidRPr="00484245">
        <w:rPr>
          <w:lang w:val="en-US"/>
        </w:rPr>
        <w:t xml:space="preserve"> </w:t>
      </w:r>
      <w:r w:rsidR="005C24BC">
        <w:rPr>
          <w:lang w:val="en-US"/>
        </w:rPr>
        <w:t xml:space="preserve">presents the results of the </w:t>
      </w:r>
      <w:r w:rsidRPr="00484245">
        <w:rPr>
          <w:lang w:val="en-US"/>
        </w:rPr>
        <w:t>cost-minimisation analysis</w:t>
      </w:r>
      <w:r w:rsidR="005C24BC">
        <w:rPr>
          <w:lang w:val="en-US"/>
        </w:rPr>
        <w:t>,</w:t>
      </w:r>
      <w:r w:rsidRPr="00484245">
        <w:rPr>
          <w:lang w:val="en-US"/>
        </w:rPr>
        <w:t xml:space="preserve"> </w:t>
      </w:r>
      <w:r w:rsidR="005C24BC">
        <w:rPr>
          <w:lang w:val="en-US"/>
        </w:rPr>
        <w:t>based on drug costs only over one year (and 100% compliance for both treatments)</w:t>
      </w:r>
      <w:r w:rsidRPr="00484245">
        <w:rPr>
          <w:lang w:val="en-US"/>
        </w:rPr>
        <w:t>.</w:t>
      </w:r>
      <w:r w:rsidR="00F45A9D">
        <w:rPr>
          <w:lang w:val="en-US"/>
        </w:rPr>
        <w:t xml:space="preserve"> </w:t>
      </w:r>
      <w:r w:rsidR="00F45A9D" w:rsidRPr="003458ED">
        <w:rPr>
          <w:rFonts w:cstheme="minorHAnsi"/>
          <w:iCs/>
        </w:rPr>
        <w:t>As both BUD/GLY/FOR and FF/UMEC/VI provide for the same duration of treatment, and the cost-minimisation analysis only included drug costs, the requested price for BUD/GLY/FOR is the same as the current price for FF/UMEC/VI</w:t>
      </w:r>
      <w:r w:rsidR="00F45A9D">
        <w:rPr>
          <w:rFonts w:cstheme="minorHAnsi"/>
          <w:iCs/>
        </w:rPr>
        <w:t xml:space="preserve"> (AEMP: $</w:t>
      </w:r>
      <w:r w:rsidR="00C764F0">
        <w:rPr>
          <w:rFonts w:cstheme="minorHAnsi"/>
          <w:iCs/>
          <w:noProof/>
          <w:color w:val="000000"/>
          <w:highlight w:val="black"/>
        </w:rPr>
        <w:t>''''''''''''</w:t>
      </w:r>
      <w:r w:rsidR="00F45A9D">
        <w:rPr>
          <w:rFonts w:cstheme="minorHAnsi"/>
          <w:iCs/>
        </w:rPr>
        <w:t>)</w:t>
      </w:r>
      <w:r w:rsidR="00F45A9D" w:rsidRPr="003458ED">
        <w:rPr>
          <w:rFonts w:cstheme="minorHAnsi"/>
          <w:iCs/>
        </w:rPr>
        <w:t>.</w:t>
      </w:r>
    </w:p>
    <w:p w:rsidR="00484245" w:rsidRPr="00656188" w:rsidRDefault="00484245" w:rsidP="00270E68">
      <w:pPr>
        <w:pStyle w:val="TableFigureHeading"/>
        <w:rPr>
          <w:rStyle w:val="CommentReference"/>
          <w:b/>
          <w:szCs w:val="24"/>
        </w:rPr>
      </w:pPr>
      <w:r w:rsidRPr="00656188">
        <w:rPr>
          <w:rStyle w:val="CommentReference"/>
          <w:b/>
          <w:szCs w:val="24"/>
        </w:rPr>
        <w:t xml:space="preserve">Table </w:t>
      </w:r>
      <w:r>
        <w:rPr>
          <w:rStyle w:val="CommentReference"/>
          <w:b/>
          <w:szCs w:val="24"/>
        </w:rPr>
        <w:t>6</w:t>
      </w:r>
      <w:r w:rsidRPr="00656188">
        <w:rPr>
          <w:rStyle w:val="CommentReference"/>
          <w:b/>
          <w:szCs w:val="24"/>
        </w:rPr>
        <w:t>: Results of the 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3686"/>
        <w:gridCol w:w="3492"/>
      </w:tblGrid>
      <w:tr w:rsidR="00484245" w:rsidRPr="00383B78" w:rsidTr="00647067">
        <w:tc>
          <w:tcPr>
            <w:tcW w:w="1838" w:type="dxa"/>
          </w:tcPr>
          <w:p w:rsidR="00484245" w:rsidRPr="00383B78" w:rsidRDefault="00484245" w:rsidP="00647067">
            <w:pPr>
              <w:pStyle w:val="In-tableHeading"/>
            </w:pPr>
            <w:r>
              <w:t>Component</w:t>
            </w:r>
          </w:p>
        </w:tc>
        <w:tc>
          <w:tcPr>
            <w:tcW w:w="3686" w:type="dxa"/>
          </w:tcPr>
          <w:p w:rsidR="00484245" w:rsidRPr="00383B78" w:rsidRDefault="00484245" w:rsidP="00647067">
            <w:pPr>
              <w:pStyle w:val="In-tableHeading"/>
              <w:jc w:val="center"/>
            </w:pPr>
            <w:r>
              <w:t>BUD/GLY/FOR (160/7.2/</w:t>
            </w:r>
            <w:r w:rsidR="007D4C41">
              <w:t>5</w:t>
            </w:r>
            <w:r>
              <w:t>)</w:t>
            </w:r>
          </w:p>
        </w:tc>
        <w:tc>
          <w:tcPr>
            <w:tcW w:w="3492" w:type="dxa"/>
          </w:tcPr>
          <w:p w:rsidR="00484245" w:rsidRPr="00383B78" w:rsidRDefault="00484245" w:rsidP="00647067">
            <w:pPr>
              <w:pStyle w:val="In-tableHeading"/>
              <w:jc w:val="center"/>
            </w:pPr>
            <w:r>
              <w:t>FF/UMEC/VI (100/62.5/25)</w:t>
            </w:r>
          </w:p>
        </w:tc>
      </w:tr>
      <w:tr w:rsidR="00484245" w:rsidTr="00647067">
        <w:tc>
          <w:tcPr>
            <w:tcW w:w="1838" w:type="dxa"/>
            <w:vAlign w:val="center"/>
          </w:tcPr>
          <w:p w:rsidR="00484245" w:rsidRDefault="00484245" w:rsidP="00647067">
            <w:pPr>
              <w:pStyle w:val="TableText0"/>
            </w:pPr>
            <w:r>
              <w:rPr>
                <w:szCs w:val="20"/>
              </w:rPr>
              <w:t>AEMP / pack</w:t>
            </w:r>
          </w:p>
        </w:tc>
        <w:tc>
          <w:tcPr>
            <w:tcW w:w="3686" w:type="dxa"/>
            <w:vAlign w:val="center"/>
          </w:tcPr>
          <w:p w:rsidR="00484245" w:rsidRPr="00EE48BD" w:rsidRDefault="00484245" w:rsidP="00647067">
            <w:pPr>
              <w:pStyle w:val="TableText0"/>
              <w:jc w:val="center"/>
              <w:rPr>
                <w:highlight w:val="yellow"/>
              </w:rPr>
            </w:pPr>
            <w:r w:rsidRPr="008F3C42">
              <w:t>$</w:t>
            </w:r>
            <w:r w:rsidR="00C764F0">
              <w:rPr>
                <w:noProof/>
                <w:color w:val="000000"/>
                <w:highlight w:val="black"/>
              </w:rPr>
              <w:t>'''''''''''''</w:t>
            </w:r>
          </w:p>
        </w:tc>
        <w:tc>
          <w:tcPr>
            <w:tcW w:w="3492" w:type="dxa"/>
            <w:vAlign w:val="center"/>
          </w:tcPr>
          <w:p w:rsidR="00484245" w:rsidRPr="00EE48BD" w:rsidRDefault="00484245" w:rsidP="00647067">
            <w:pPr>
              <w:pStyle w:val="TableText0"/>
              <w:jc w:val="center"/>
              <w:rPr>
                <w:highlight w:val="yellow"/>
              </w:rPr>
            </w:pPr>
            <w:r w:rsidRPr="008F3C42">
              <w:t>$</w:t>
            </w:r>
            <w:r w:rsidR="00C764F0">
              <w:rPr>
                <w:noProof/>
                <w:color w:val="000000"/>
                <w:highlight w:val="black"/>
              </w:rPr>
              <w:t>''''''''''''''</w:t>
            </w:r>
          </w:p>
        </w:tc>
      </w:tr>
      <w:tr w:rsidR="00484245" w:rsidTr="00647067">
        <w:tc>
          <w:tcPr>
            <w:tcW w:w="1838" w:type="dxa"/>
            <w:vAlign w:val="center"/>
          </w:tcPr>
          <w:p w:rsidR="00484245" w:rsidRDefault="00484245" w:rsidP="00647067">
            <w:pPr>
              <w:pStyle w:val="TableText0"/>
            </w:pPr>
            <w:r>
              <w:rPr>
                <w:szCs w:val="20"/>
              </w:rPr>
              <w:t>Dose</w:t>
            </w:r>
          </w:p>
        </w:tc>
        <w:tc>
          <w:tcPr>
            <w:tcW w:w="3686" w:type="dxa"/>
            <w:vAlign w:val="center"/>
          </w:tcPr>
          <w:p w:rsidR="00484245" w:rsidRDefault="005C24BC" w:rsidP="00647067">
            <w:pPr>
              <w:pStyle w:val="TableText0"/>
              <w:jc w:val="center"/>
            </w:pPr>
            <w:r>
              <w:t>T</w:t>
            </w:r>
            <w:r w:rsidR="00484245">
              <w:t>wo inhalations twice daily</w:t>
            </w:r>
          </w:p>
        </w:tc>
        <w:tc>
          <w:tcPr>
            <w:tcW w:w="3492" w:type="dxa"/>
            <w:vAlign w:val="center"/>
          </w:tcPr>
          <w:p w:rsidR="00484245" w:rsidRDefault="005C24BC" w:rsidP="00647067">
            <w:pPr>
              <w:pStyle w:val="TableText0"/>
              <w:jc w:val="center"/>
            </w:pPr>
            <w:r>
              <w:t>O</w:t>
            </w:r>
            <w:r w:rsidR="00484245">
              <w:t>ne inhalation once daily</w:t>
            </w:r>
          </w:p>
        </w:tc>
      </w:tr>
      <w:tr w:rsidR="00484245" w:rsidTr="00647067">
        <w:tc>
          <w:tcPr>
            <w:tcW w:w="1838" w:type="dxa"/>
            <w:vAlign w:val="center"/>
          </w:tcPr>
          <w:p w:rsidR="00484245" w:rsidRDefault="00484245" w:rsidP="00647067">
            <w:pPr>
              <w:pStyle w:val="TableText0"/>
              <w:rPr>
                <w:szCs w:val="20"/>
              </w:rPr>
            </w:pPr>
            <w:r>
              <w:rPr>
                <w:szCs w:val="20"/>
              </w:rPr>
              <w:t>Units / day</w:t>
            </w:r>
          </w:p>
        </w:tc>
        <w:tc>
          <w:tcPr>
            <w:tcW w:w="3686" w:type="dxa"/>
            <w:vAlign w:val="center"/>
          </w:tcPr>
          <w:p w:rsidR="00484245" w:rsidRDefault="00484245" w:rsidP="00647067">
            <w:pPr>
              <w:pStyle w:val="TableText0"/>
              <w:jc w:val="center"/>
            </w:pPr>
            <w:r>
              <w:t>4 actuations</w:t>
            </w:r>
          </w:p>
        </w:tc>
        <w:tc>
          <w:tcPr>
            <w:tcW w:w="3492" w:type="dxa"/>
            <w:vAlign w:val="center"/>
          </w:tcPr>
          <w:p w:rsidR="00484245" w:rsidRDefault="00484245" w:rsidP="00647067">
            <w:pPr>
              <w:pStyle w:val="TableText0"/>
              <w:jc w:val="center"/>
            </w:pPr>
            <w:r>
              <w:t>1 actuation</w:t>
            </w:r>
          </w:p>
        </w:tc>
      </w:tr>
      <w:tr w:rsidR="00484245" w:rsidTr="00647067">
        <w:tc>
          <w:tcPr>
            <w:tcW w:w="1838" w:type="dxa"/>
            <w:vAlign w:val="center"/>
          </w:tcPr>
          <w:p w:rsidR="00484245" w:rsidRDefault="00484245" w:rsidP="00647067">
            <w:pPr>
              <w:pStyle w:val="TableText0"/>
            </w:pPr>
            <w:r>
              <w:rPr>
                <w:szCs w:val="20"/>
              </w:rPr>
              <w:t>Units / pack</w:t>
            </w:r>
          </w:p>
        </w:tc>
        <w:tc>
          <w:tcPr>
            <w:tcW w:w="3686" w:type="dxa"/>
            <w:vAlign w:val="center"/>
          </w:tcPr>
          <w:p w:rsidR="00484245" w:rsidRDefault="00484245" w:rsidP="00647067">
            <w:pPr>
              <w:pStyle w:val="TableText0"/>
              <w:jc w:val="center"/>
            </w:pPr>
            <w:r>
              <w:t>1 x 120 actuations</w:t>
            </w:r>
          </w:p>
        </w:tc>
        <w:tc>
          <w:tcPr>
            <w:tcW w:w="3492" w:type="dxa"/>
            <w:vAlign w:val="center"/>
          </w:tcPr>
          <w:p w:rsidR="00484245" w:rsidRDefault="00484245" w:rsidP="00647067">
            <w:pPr>
              <w:pStyle w:val="TableText0"/>
              <w:jc w:val="center"/>
            </w:pPr>
            <w:r>
              <w:t>1 x 30 actuations</w:t>
            </w:r>
          </w:p>
        </w:tc>
      </w:tr>
      <w:tr w:rsidR="00484245" w:rsidTr="00647067">
        <w:tc>
          <w:tcPr>
            <w:tcW w:w="1838" w:type="dxa"/>
            <w:vAlign w:val="center"/>
          </w:tcPr>
          <w:p w:rsidR="00484245" w:rsidRDefault="00484245" w:rsidP="00647067">
            <w:pPr>
              <w:pStyle w:val="TableText0"/>
              <w:rPr>
                <w:szCs w:val="20"/>
              </w:rPr>
            </w:pPr>
            <w:r>
              <w:rPr>
                <w:szCs w:val="20"/>
              </w:rPr>
              <w:t>Days / pack</w:t>
            </w:r>
          </w:p>
        </w:tc>
        <w:tc>
          <w:tcPr>
            <w:tcW w:w="3686" w:type="dxa"/>
            <w:vAlign w:val="center"/>
          </w:tcPr>
          <w:p w:rsidR="00484245" w:rsidRDefault="00484245" w:rsidP="00647067">
            <w:pPr>
              <w:pStyle w:val="TableText0"/>
              <w:jc w:val="center"/>
            </w:pPr>
            <w:r>
              <w:t>30 days</w:t>
            </w:r>
          </w:p>
        </w:tc>
        <w:tc>
          <w:tcPr>
            <w:tcW w:w="3492" w:type="dxa"/>
            <w:vAlign w:val="center"/>
          </w:tcPr>
          <w:p w:rsidR="00484245" w:rsidRDefault="00484245" w:rsidP="00647067">
            <w:pPr>
              <w:pStyle w:val="TableText0"/>
              <w:jc w:val="center"/>
            </w:pPr>
            <w:r>
              <w:t>30 days</w:t>
            </w:r>
          </w:p>
        </w:tc>
      </w:tr>
      <w:tr w:rsidR="00484245" w:rsidTr="00647067">
        <w:tc>
          <w:tcPr>
            <w:tcW w:w="1838" w:type="dxa"/>
            <w:vAlign w:val="center"/>
          </w:tcPr>
          <w:p w:rsidR="00484245" w:rsidRDefault="00484245" w:rsidP="00647067">
            <w:pPr>
              <w:pStyle w:val="TableText0"/>
            </w:pPr>
            <w:r>
              <w:t>Scripts / year (365 days)</w:t>
            </w:r>
          </w:p>
        </w:tc>
        <w:tc>
          <w:tcPr>
            <w:tcW w:w="3686" w:type="dxa"/>
            <w:vAlign w:val="center"/>
          </w:tcPr>
          <w:p w:rsidR="00484245" w:rsidRDefault="00484245" w:rsidP="00647067">
            <w:pPr>
              <w:pStyle w:val="TableText0"/>
              <w:jc w:val="center"/>
            </w:pPr>
            <w:r>
              <w:t>12.17</w:t>
            </w:r>
          </w:p>
        </w:tc>
        <w:tc>
          <w:tcPr>
            <w:tcW w:w="3492" w:type="dxa"/>
            <w:vAlign w:val="center"/>
          </w:tcPr>
          <w:p w:rsidR="00484245" w:rsidRDefault="00484245" w:rsidP="00647067">
            <w:pPr>
              <w:pStyle w:val="TableText0"/>
              <w:jc w:val="center"/>
            </w:pPr>
            <w:r>
              <w:t>12.17</w:t>
            </w:r>
          </w:p>
        </w:tc>
      </w:tr>
      <w:tr w:rsidR="00484245" w:rsidTr="00647067">
        <w:trPr>
          <w:trHeight w:val="73"/>
        </w:trPr>
        <w:tc>
          <w:tcPr>
            <w:tcW w:w="1838" w:type="dxa"/>
            <w:vAlign w:val="center"/>
          </w:tcPr>
          <w:p w:rsidR="00484245" w:rsidRDefault="00484245" w:rsidP="00647067">
            <w:pPr>
              <w:pStyle w:val="TableText0"/>
            </w:pPr>
            <w:r>
              <w:t>Total cost / year</w:t>
            </w:r>
          </w:p>
        </w:tc>
        <w:tc>
          <w:tcPr>
            <w:tcW w:w="3686" w:type="dxa"/>
            <w:vAlign w:val="center"/>
          </w:tcPr>
          <w:p w:rsidR="00484245" w:rsidRPr="00EE48BD" w:rsidRDefault="00484245" w:rsidP="00647067">
            <w:pPr>
              <w:pStyle w:val="TableText0"/>
              <w:jc w:val="center"/>
              <w:rPr>
                <w:highlight w:val="yellow"/>
              </w:rPr>
            </w:pPr>
            <w:r w:rsidRPr="008F3C42">
              <w:t>$</w:t>
            </w:r>
            <w:r w:rsidR="00C764F0">
              <w:rPr>
                <w:noProof/>
                <w:color w:val="000000"/>
                <w:highlight w:val="black"/>
              </w:rPr>
              <w:t>'''''''''''''''</w:t>
            </w:r>
          </w:p>
        </w:tc>
        <w:tc>
          <w:tcPr>
            <w:tcW w:w="3492" w:type="dxa"/>
            <w:vAlign w:val="center"/>
          </w:tcPr>
          <w:p w:rsidR="00484245" w:rsidRPr="00EE48BD" w:rsidRDefault="00484245" w:rsidP="00647067">
            <w:pPr>
              <w:pStyle w:val="TableText0"/>
              <w:jc w:val="center"/>
              <w:rPr>
                <w:highlight w:val="yellow"/>
              </w:rPr>
            </w:pPr>
            <w:r w:rsidRPr="008F3C42">
              <w:t>$</w:t>
            </w:r>
            <w:r w:rsidR="00C764F0">
              <w:rPr>
                <w:noProof/>
                <w:color w:val="000000"/>
                <w:highlight w:val="black"/>
              </w:rPr>
              <w:t>'''''''''''''''''</w:t>
            </w:r>
          </w:p>
        </w:tc>
      </w:tr>
    </w:tbl>
    <w:p w:rsidR="00484245" w:rsidRDefault="00484245" w:rsidP="00484245">
      <w:pPr>
        <w:rPr>
          <w:rFonts w:ascii="Arial Narrow" w:hAnsi="Arial Narrow"/>
          <w:sz w:val="18"/>
          <w:szCs w:val="18"/>
        </w:rPr>
      </w:pPr>
      <w:r>
        <w:rPr>
          <w:rFonts w:ascii="Arial Narrow" w:hAnsi="Arial Narrow"/>
          <w:sz w:val="18"/>
          <w:szCs w:val="18"/>
        </w:rPr>
        <w:t xml:space="preserve">Abbreviations: </w:t>
      </w:r>
      <w:r w:rsidRPr="00555E16">
        <w:rPr>
          <w:rFonts w:ascii="Arial Narrow" w:hAnsi="Arial Narrow"/>
          <w:sz w:val="18"/>
          <w:szCs w:val="18"/>
        </w:rPr>
        <w:t>AEMP=approved ex-manufacturer price; BUD=budesonide; FF=fluticasone fumarate; FOR=formoterol fumarate</w:t>
      </w:r>
      <w:r>
        <w:rPr>
          <w:rFonts w:ascii="Arial Narrow" w:hAnsi="Arial Narrow"/>
          <w:sz w:val="18"/>
          <w:szCs w:val="18"/>
        </w:rPr>
        <w:t xml:space="preserve"> dihydrate</w:t>
      </w:r>
      <w:r w:rsidRPr="00555E16">
        <w:rPr>
          <w:rFonts w:ascii="Arial Narrow" w:hAnsi="Arial Narrow"/>
          <w:sz w:val="18"/>
          <w:szCs w:val="18"/>
        </w:rPr>
        <w:t>; GLY=glycopyrronium; UMEC=umeclidinium; VI=vilanterol trifen</w:t>
      </w:r>
      <w:r w:rsidR="008A42E8">
        <w:rPr>
          <w:rFonts w:ascii="Arial Narrow" w:hAnsi="Arial Narrow"/>
          <w:sz w:val="18"/>
          <w:szCs w:val="18"/>
        </w:rPr>
        <w:t>at</w:t>
      </w:r>
      <w:r w:rsidRPr="00555E16">
        <w:rPr>
          <w:rFonts w:ascii="Arial Narrow" w:hAnsi="Arial Narrow"/>
          <w:sz w:val="18"/>
          <w:szCs w:val="18"/>
        </w:rPr>
        <w:t>ate;</w:t>
      </w:r>
    </w:p>
    <w:p w:rsidR="00484245" w:rsidRPr="00F266A3" w:rsidRDefault="00484245" w:rsidP="00A13A72">
      <w:pPr>
        <w:spacing w:after="120"/>
        <w:rPr>
          <w:rFonts w:ascii="Arial Narrow" w:hAnsi="Arial Narrow"/>
          <w:sz w:val="18"/>
          <w:szCs w:val="18"/>
        </w:rPr>
      </w:pPr>
      <w:r w:rsidRPr="00F266A3">
        <w:rPr>
          <w:rFonts w:ascii="Arial Narrow" w:hAnsi="Arial Narrow"/>
          <w:sz w:val="18"/>
          <w:szCs w:val="18"/>
        </w:rPr>
        <w:t xml:space="preserve">Source: </w:t>
      </w:r>
      <w:r>
        <w:rPr>
          <w:rFonts w:ascii="Arial Narrow" w:hAnsi="Arial Narrow"/>
          <w:sz w:val="18"/>
          <w:szCs w:val="18"/>
        </w:rPr>
        <w:t>Table 2.8.2, pp93-94 of the submission.</w:t>
      </w:r>
    </w:p>
    <w:p w:rsidR="00F45A9D" w:rsidRPr="00F45A9D" w:rsidRDefault="00F45A9D" w:rsidP="00F45A9D">
      <w:pPr>
        <w:pStyle w:val="3-BodyText"/>
      </w:pPr>
      <w:bookmarkStart w:id="25" w:name="_Hlk69721427"/>
      <w:r w:rsidRPr="003458ED">
        <w:t xml:space="preserve">Under Section 101(3B) of the National Health Act (1953), the PBAC cannot recommend listing a therapy that is substantially more costly than an alternative therapy unless it is satisfied that the therapy provides, for some patients, a significant improvement in efficacy and/or reduction in toxicity. For the purposes of satisfying Section 101(3B), the PBAC has considered that the cost for any triple therapy FDC inhalers should be no greater than the lowest price </w:t>
      </w:r>
      <w:r w:rsidRPr="003458ED">
        <w:rPr>
          <w:rFonts w:cstheme="minorHAnsi"/>
          <w:iCs/>
        </w:rPr>
        <w:t xml:space="preserve">combination of </w:t>
      </w:r>
      <w:r w:rsidRPr="003458ED">
        <w:t xml:space="preserve">ICS, LAMA and LABA products listed for COPD </w:t>
      </w:r>
      <w:r w:rsidRPr="003458ED">
        <w:rPr>
          <w:rFonts w:cstheme="minorHAnsi"/>
          <w:iCs/>
        </w:rPr>
        <w:t>(paragraph 7.8, Trelegy (FF/UMEC/VI) PSD December 2017 PBAC meeting; paragraph 7.2, Trimbow (BEC/GLY/FOR) PSD November 2020 PBAC meeting).</w:t>
      </w:r>
    </w:p>
    <w:p w:rsidR="00E56456" w:rsidRPr="0043025E" w:rsidRDefault="000D7402" w:rsidP="005F54E8">
      <w:pPr>
        <w:pStyle w:val="3-BodyText"/>
      </w:pPr>
      <w:r w:rsidRPr="0043025E">
        <w:rPr>
          <w:bCs/>
          <w:lang w:val="en-US"/>
        </w:rPr>
        <w:lastRenderedPageBreak/>
        <w:t>A</w:t>
      </w:r>
      <w:r w:rsidR="00EC66C4" w:rsidRPr="0043025E">
        <w:rPr>
          <w:bCs/>
          <w:lang w:val="en-US"/>
        </w:rPr>
        <w:t xml:space="preserve"> further</w:t>
      </w:r>
      <w:r w:rsidRPr="0043025E">
        <w:rPr>
          <w:bCs/>
          <w:lang w:val="en-US"/>
        </w:rPr>
        <w:t xml:space="preserve"> cost-minimisation analysis was conducted during the evaluation versus open combinations of ICS, LAMA and LABA inhalers available on the PBS for COPD. </w:t>
      </w:r>
      <w:bookmarkEnd w:id="25"/>
      <w:r w:rsidR="00DB1AF8" w:rsidRPr="0043025E">
        <w:t>This analysis include</w:t>
      </w:r>
      <w:r w:rsidR="00F45A9D">
        <w:t>d</w:t>
      </w:r>
      <w:r w:rsidR="00DB1AF8" w:rsidRPr="0043025E">
        <w:t xml:space="preserve"> </w:t>
      </w:r>
      <w:r w:rsidR="00E56456" w:rsidRPr="0043025E">
        <w:t>single component ICS inhalers</w:t>
      </w:r>
      <w:r w:rsidR="00DB1AF8" w:rsidRPr="0043025E">
        <w:t>,</w:t>
      </w:r>
      <w:r w:rsidR="00E56456" w:rsidRPr="0043025E">
        <w:t xml:space="preserve"> which have unrestricted </w:t>
      </w:r>
      <w:r w:rsidR="0010181A" w:rsidRPr="0043025E">
        <w:t xml:space="preserve">listing on the </w:t>
      </w:r>
      <w:r w:rsidR="00E56456" w:rsidRPr="0043025E">
        <w:t xml:space="preserve">PBS listings but are not TGA </w:t>
      </w:r>
      <w:r w:rsidR="00840DD6" w:rsidRPr="0043025E">
        <w:t>registered</w:t>
      </w:r>
      <w:r w:rsidR="00E56456" w:rsidRPr="0043025E">
        <w:t xml:space="preserve"> for COPD. </w:t>
      </w:r>
      <w:r w:rsidR="0010181A" w:rsidRPr="0043025E">
        <w:t xml:space="preserve">These inhalers </w:t>
      </w:r>
      <w:r w:rsidR="009F5A64" w:rsidRPr="0043025E">
        <w:t>are</w:t>
      </w:r>
      <w:r w:rsidR="0010181A" w:rsidRPr="0043025E">
        <w:t xml:space="preserve"> relevant comparators because i) the </w:t>
      </w:r>
      <w:r w:rsidR="009F5A64" w:rsidRPr="0043025E">
        <w:t xml:space="preserve">clinical </w:t>
      </w:r>
      <w:r w:rsidR="0010181A" w:rsidRPr="0043025E">
        <w:t xml:space="preserve">guidelines recommend </w:t>
      </w:r>
      <w:r w:rsidR="00AE2945" w:rsidRPr="0043025E">
        <w:t xml:space="preserve">‘adding ICS’ when stepping up to triple therapy and ii) </w:t>
      </w:r>
      <w:r w:rsidR="005F54E8" w:rsidRPr="0043025E">
        <w:t>‘off label’ use can</w:t>
      </w:r>
      <w:r w:rsidR="00AE2945" w:rsidRPr="0043025E">
        <w:t xml:space="preserve"> be regarded as ‘standard medical management’ </w:t>
      </w:r>
      <w:r w:rsidR="00A02296" w:rsidRPr="0043025E">
        <w:t xml:space="preserve">for this purpose </w:t>
      </w:r>
      <w:r w:rsidR="00AE2945" w:rsidRPr="0043025E">
        <w:t>under Section 1.1.3</w:t>
      </w:r>
      <w:r w:rsidR="00A02296" w:rsidRPr="0043025E">
        <w:t xml:space="preserve"> of the PBAC Guidelines. </w:t>
      </w:r>
      <w:r w:rsidR="00DB1AF8" w:rsidRPr="0043025E">
        <w:t>However, in the absence of acceptable equi-effective doses</w:t>
      </w:r>
      <w:r w:rsidR="0062425F" w:rsidRPr="0043025E">
        <w:t xml:space="preserve"> for COPD</w:t>
      </w:r>
      <w:r w:rsidR="00DB1AF8" w:rsidRPr="0043025E">
        <w:t xml:space="preserve">, only single ICS inhalers containing </w:t>
      </w:r>
      <w:r w:rsidR="0062425F" w:rsidRPr="0043025E">
        <w:t xml:space="preserve">equivalent doses of </w:t>
      </w:r>
      <w:r w:rsidR="00DB1AF8" w:rsidRPr="0043025E">
        <w:t xml:space="preserve">BUD and FF </w:t>
      </w:r>
      <w:r w:rsidR="0062425F" w:rsidRPr="0043025E">
        <w:t xml:space="preserve">as provided in </w:t>
      </w:r>
      <w:r w:rsidR="00DB1AF8" w:rsidRPr="0043025E">
        <w:t>BUD/GLY/FOR and FF/UMEC/VI</w:t>
      </w:r>
      <w:r w:rsidR="0062425F" w:rsidRPr="0043025E">
        <w:t xml:space="preserve"> respectively</w:t>
      </w:r>
      <w:r w:rsidR="00431410">
        <w:t>, were considered</w:t>
      </w:r>
      <w:r w:rsidR="00DB1AF8" w:rsidRPr="0043025E">
        <w:t xml:space="preserve">. </w:t>
      </w:r>
      <w:r w:rsidR="00206B49">
        <w:t>The pre-PBAC response (p1) argued that single component inhalers, which have an unrestricted listing on the PBS but are not TGA registered for COPD</w:t>
      </w:r>
      <w:r w:rsidR="00D56F1A">
        <w:t>,</w:t>
      </w:r>
      <w:r w:rsidR="00206B49">
        <w:t xml:space="preserve"> are not relevant comparators. The pre-PBAC </w:t>
      </w:r>
      <w:r w:rsidR="00D56F1A">
        <w:t xml:space="preserve">response (p1) </w:t>
      </w:r>
      <w:r w:rsidR="00206B49">
        <w:t xml:space="preserve">argued that there is no dosing schedule to guide appropriate dosing for COPD. </w:t>
      </w:r>
      <w:r w:rsidR="00D56F1A">
        <w:t xml:space="preserve">In addition, the pre-PBAC stated the COPD-X Plan (2020) does not recommend LAMA/LABA + ICS single inhaler as a regimen for COPD maintenance and specifically includes a note ICS monotherapy is not indicated for COPD. As such, the pre-PBAC response (p1) argued that open triple multiple inhaler regimens which contain an ICS single inhaler are not ‘standard medical management’. </w:t>
      </w:r>
      <w:r w:rsidR="001312C2" w:rsidRPr="003E1A34">
        <w:t xml:space="preserve">The PBAC recalled that in November 2020, it had recommended </w:t>
      </w:r>
      <w:r w:rsidR="001312C2" w:rsidRPr="003E1A34">
        <w:rPr>
          <w:bCs/>
        </w:rPr>
        <w:t>that the cost of BEC/GLY/FOR should be no greater than the lowest price combination of the PBS listed components of the triple therapy that are available for COPD (</w:t>
      </w:r>
      <w:r w:rsidR="001312C2" w:rsidRPr="003E1A34">
        <w:t>paragraphs 7.2, Trimbow (BEC/GLY/FOR) PSD November 2020 PBAC meeting).</w:t>
      </w:r>
    </w:p>
    <w:p w:rsidR="001B7C7E" w:rsidRPr="0043025E" w:rsidRDefault="00484245" w:rsidP="00EC66C4">
      <w:pPr>
        <w:pStyle w:val="3-BodyText"/>
        <w:rPr>
          <w:bCs/>
          <w:lang w:val="en-US"/>
        </w:rPr>
      </w:pPr>
      <w:r w:rsidRPr="0043025E">
        <w:t xml:space="preserve">Table 7 presents less costly combinations of ICS, LAMA and LABA products </w:t>
      </w:r>
      <w:r w:rsidR="00EC66C4" w:rsidRPr="0043025E">
        <w:t xml:space="preserve">compared to </w:t>
      </w:r>
      <w:r w:rsidRPr="0043025E">
        <w:t>BUD/GLY/FOR</w:t>
      </w:r>
      <w:r w:rsidR="00EC66C4" w:rsidRPr="0043025E">
        <w:t xml:space="preserve"> at the requested AEMP</w:t>
      </w:r>
      <w:r w:rsidRPr="0043025E">
        <w:t>.</w:t>
      </w:r>
      <w:r w:rsidR="0089167D" w:rsidRPr="0043025E">
        <w:rPr>
          <w:bCs/>
          <w:lang w:val="en-US"/>
        </w:rPr>
        <w:t xml:space="preserve"> The results illustrate that the individual components (BUD/FOR + GLY) as well as a number of other ICS, LAMA and LABA combinations</w:t>
      </w:r>
      <w:r w:rsidR="00EC66C4" w:rsidRPr="0043025E">
        <w:rPr>
          <w:bCs/>
          <w:lang w:val="en-US"/>
        </w:rPr>
        <w:t xml:space="preserve"> were less costly alternatives</w:t>
      </w:r>
      <w:r w:rsidR="0089167D" w:rsidRPr="0043025E">
        <w:rPr>
          <w:bCs/>
          <w:lang w:val="en-US"/>
        </w:rPr>
        <w:t>, for 30 days of treatment.</w:t>
      </w:r>
    </w:p>
    <w:p w:rsidR="00AA79AE" w:rsidRPr="0043025E" w:rsidRDefault="00AA79AE" w:rsidP="00AA79AE">
      <w:pPr>
        <w:rPr>
          <w:rFonts w:ascii="Arial Narrow" w:hAnsi="Arial Narrow"/>
          <w:b/>
          <w:bCs/>
          <w:sz w:val="20"/>
          <w:szCs w:val="20"/>
        </w:rPr>
      </w:pPr>
      <w:r w:rsidRPr="0043025E">
        <w:rPr>
          <w:rFonts w:ascii="Arial Narrow" w:hAnsi="Arial Narrow"/>
          <w:b/>
          <w:bCs/>
          <w:sz w:val="20"/>
          <w:szCs w:val="20"/>
        </w:rPr>
        <w:t>Table 7: Combinations of ICS, LAMA and LABA inhalers available on the PBS for COPD that are less costly for 30 days of treatment tha</w:t>
      </w:r>
      <w:r w:rsidR="00F0240E">
        <w:rPr>
          <w:rFonts w:ascii="Arial Narrow" w:hAnsi="Arial Narrow"/>
          <w:b/>
          <w:bCs/>
          <w:sz w:val="20"/>
          <w:szCs w:val="20"/>
        </w:rPr>
        <w:t>n the requested price of BUD</w:t>
      </w:r>
      <w:r w:rsidRPr="0043025E">
        <w:rPr>
          <w:rFonts w:ascii="Arial Narrow" w:hAnsi="Arial Narrow"/>
          <w:b/>
          <w:bCs/>
          <w:sz w:val="20"/>
          <w:szCs w:val="20"/>
        </w:rPr>
        <w:t>/GLY</w:t>
      </w:r>
      <w:r w:rsidR="00F0240E">
        <w:rPr>
          <w:rFonts w:ascii="Arial Narrow" w:hAnsi="Arial Narrow"/>
          <w:b/>
          <w:bCs/>
          <w:sz w:val="20"/>
          <w:szCs w:val="20"/>
        </w:rPr>
        <w:t>/FOR</w:t>
      </w:r>
      <w:r w:rsidRPr="0043025E">
        <w:rPr>
          <w:rFonts w:ascii="Arial Narrow" w:hAnsi="Arial Narrow"/>
          <w:b/>
          <w:bCs/>
          <w:sz w:val="20"/>
          <w:szCs w:val="20"/>
        </w:rPr>
        <w:t xml:space="preserve"> (AEMP = $</w:t>
      </w:r>
      <w:r w:rsidR="001354C8">
        <w:rPr>
          <w:rFonts w:ascii="Arial Narrow" w:hAnsi="Arial Narrow"/>
          <w:b/>
          <w:bCs/>
          <w:noProof/>
          <w:color w:val="000000"/>
          <w:sz w:val="20"/>
          <w:szCs w:val="20"/>
          <w:highlight w:val="black"/>
        </w:rPr>
        <w:t>''''''''''</w:t>
      </w:r>
      <w:r w:rsidRPr="0043025E">
        <w:rPr>
          <w:rFonts w:ascii="Arial Narrow" w:hAnsi="Arial Narrow"/>
          <w:b/>
          <w:bCs/>
          <w:sz w:val="20"/>
          <w:szCs w:val="20"/>
        </w:rPr>
        <w:t>)</w:t>
      </w:r>
    </w:p>
    <w:tbl>
      <w:tblPr>
        <w:tblStyle w:val="TableGrid"/>
        <w:tblW w:w="0" w:type="auto"/>
        <w:tblCellMar>
          <w:left w:w="28" w:type="dxa"/>
          <w:right w:w="28" w:type="dxa"/>
        </w:tblCellMar>
        <w:tblLook w:val="04A0" w:firstRow="1" w:lastRow="0" w:firstColumn="1" w:lastColumn="0" w:noHBand="0" w:noVBand="1"/>
        <w:tblCaption w:val="Table 7: Combinations of ICS, LAMA and LABA inhalers available on the PBS for COPD that are less costly for 30 days of treatment than the requested price of BUD/GLY/FOR "/>
      </w:tblPr>
      <w:tblGrid>
        <w:gridCol w:w="2114"/>
        <w:gridCol w:w="1992"/>
        <w:gridCol w:w="1181"/>
        <w:gridCol w:w="1181"/>
        <w:gridCol w:w="1182"/>
        <w:gridCol w:w="1366"/>
      </w:tblGrid>
      <w:tr w:rsidR="00AA79AE" w:rsidRPr="0043025E" w:rsidTr="00D47A6A">
        <w:trPr>
          <w:tblHeader/>
        </w:trPr>
        <w:tc>
          <w:tcPr>
            <w:tcW w:w="2114" w:type="dxa"/>
          </w:tcPr>
          <w:p w:rsidR="00AA79AE" w:rsidRPr="0043025E" w:rsidRDefault="00AA79AE" w:rsidP="00647067">
            <w:pPr>
              <w:rPr>
                <w:rFonts w:ascii="Arial Narrow" w:hAnsi="Arial Narrow"/>
                <w:iCs/>
                <w:sz w:val="20"/>
                <w:szCs w:val="20"/>
              </w:rPr>
            </w:pPr>
          </w:p>
        </w:tc>
        <w:tc>
          <w:tcPr>
            <w:tcW w:w="1992" w:type="dxa"/>
            <w:vAlign w:val="center"/>
          </w:tcPr>
          <w:p w:rsidR="00AA79AE" w:rsidRPr="0043025E" w:rsidRDefault="00AA79AE" w:rsidP="00647067">
            <w:pPr>
              <w:jc w:val="center"/>
              <w:rPr>
                <w:rFonts w:ascii="Arial Narrow" w:hAnsi="Arial Narrow"/>
                <w:b/>
                <w:iCs/>
                <w:sz w:val="20"/>
                <w:szCs w:val="20"/>
              </w:rPr>
            </w:pPr>
            <w:r w:rsidRPr="0043025E">
              <w:rPr>
                <w:rFonts w:ascii="Arial Narrow" w:hAnsi="Arial Narrow"/>
                <w:b/>
                <w:iCs/>
                <w:sz w:val="20"/>
                <w:szCs w:val="20"/>
              </w:rPr>
              <w:t>Units / day</w:t>
            </w:r>
          </w:p>
          <w:p w:rsidR="00AA79AE" w:rsidRPr="0043025E" w:rsidRDefault="00AA79AE" w:rsidP="00647067">
            <w:pPr>
              <w:jc w:val="center"/>
              <w:rPr>
                <w:rFonts w:ascii="Arial Narrow" w:hAnsi="Arial Narrow"/>
                <w:b/>
                <w:iCs/>
                <w:sz w:val="20"/>
                <w:szCs w:val="20"/>
              </w:rPr>
            </w:pPr>
            <w:r w:rsidRPr="0043025E">
              <w:rPr>
                <w:rFonts w:ascii="Arial Narrow" w:hAnsi="Arial Narrow"/>
                <w:b/>
                <w:iCs/>
                <w:sz w:val="20"/>
                <w:szCs w:val="20"/>
              </w:rPr>
              <w:t>(at equi-effective doses)</w:t>
            </w:r>
          </w:p>
        </w:tc>
        <w:tc>
          <w:tcPr>
            <w:tcW w:w="1181" w:type="dxa"/>
            <w:vAlign w:val="center"/>
          </w:tcPr>
          <w:p w:rsidR="00AA79AE" w:rsidRPr="0043025E" w:rsidRDefault="00AA79AE" w:rsidP="00647067">
            <w:pPr>
              <w:jc w:val="center"/>
              <w:rPr>
                <w:rFonts w:ascii="Arial Narrow" w:hAnsi="Arial Narrow"/>
                <w:b/>
                <w:iCs/>
                <w:sz w:val="20"/>
                <w:szCs w:val="20"/>
              </w:rPr>
            </w:pPr>
            <w:r w:rsidRPr="0043025E">
              <w:rPr>
                <w:rFonts w:ascii="Arial Narrow" w:hAnsi="Arial Narrow"/>
                <w:b/>
                <w:iCs/>
                <w:sz w:val="20"/>
                <w:szCs w:val="20"/>
              </w:rPr>
              <w:t>Units / pack</w:t>
            </w:r>
          </w:p>
        </w:tc>
        <w:tc>
          <w:tcPr>
            <w:tcW w:w="1181" w:type="dxa"/>
            <w:vAlign w:val="center"/>
          </w:tcPr>
          <w:p w:rsidR="00AA79AE" w:rsidRPr="0043025E" w:rsidRDefault="00AA79AE" w:rsidP="00647067">
            <w:pPr>
              <w:jc w:val="center"/>
              <w:rPr>
                <w:rFonts w:ascii="Arial Narrow" w:hAnsi="Arial Narrow"/>
                <w:b/>
                <w:iCs/>
                <w:sz w:val="20"/>
                <w:szCs w:val="20"/>
              </w:rPr>
            </w:pPr>
            <w:r w:rsidRPr="0043025E">
              <w:rPr>
                <w:rFonts w:ascii="Arial Narrow" w:hAnsi="Arial Narrow"/>
                <w:b/>
                <w:iCs/>
                <w:sz w:val="20"/>
                <w:szCs w:val="20"/>
              </w:rPr>
              <w:t>Days / pack</w:t>
            </w:r>
          </w:p>
        </w:tc>
        <w:tc>
          <w:tcPr>
            <w:tcW w:w="1182" w:type="dxa"/>
            <w:vAlign w:val="center"/>
          </w:tcPr>
          <w:p w:rsidR="00AA79AE" w:rsidRPr="0043025E" w:rsidRDefault="00AA79AE" w:rsidP="00647067">
            <w:pPr>
              <w:jc w:val="center"/>
              <w:rPr>
                <w:rFonts w:ascii="Arial Narrow" w:hAnsi="Arial Narrow"/>
                <w:b/>
                <w:iCs/>
                <w:sz w:val="20"/>
                <w:szCs w:val="20"/>
              </w:rPr>
            </w:pPr>
            <w:r w:rsidRPr="0043025E">
              <w:rPr>
                <w:rFonts w:ascii="Arial Narrow" w:hAnsi="Arial Narrow"/>
                <w:b/>
                <w:iCs/>
                <w:sz w:val="20"/>
                <w:szCs w:val="20"/>
              </w:rPr>
              <w:t>AEMP</w:t>
            </w:r>
          </w:p>
        </w:tc>
        <w:tc>
          <w:tcPr>
            <w:tcW w:w="1366" w:type="dxa"/>
            <w:vAlign w:val="center"/>
          </w:tcPr>
          <w:p w:rsidR="00AA79AE" w:rsidRPr="0043025E" w:rsidRDefault="00AA79AE" w:rsidP="00647067">
            <w:pPr>
              <w:jc w:val="center"/>
              <w:rPr>
                <w:rFonts w:ascii="Arial Narrow" w:hAnsi="Arial Narrow"/>
                <w:b/>
                <w:iCs/>
                <w:sz w:val="20"/>
                <w:szCs w:val="20"/>
              </w:rPr>
            </w:pPr>
            <w:r w:rsidRPr="0043025E">
              <w:rPr>
                <w:rFonts w:ascii="Arial Narrow" w:hAnsi="Arial Narrow"/>
                <w:b/>
                <w:iCs/>
                <w:sz w:val="20"/>
                <w:szCs w:val="20"/>
              </w:rPr>
              <w:t>AEMP / 30 days</w:t>
            </w:r>
          </w:p>
        </w:tc>
      </w:tr>
      <w:tr w:rsidR="00AA79AE" w:rsidRPr="0043025E" w:rsidTr="00647067">
        <w:tc>
          <w:tcPr>
            <w:tcW w:w="9016" w:type="dxa"/>
            <w:gridSpan w:val="6"/>
            <w:tcBorders>
              <w:bottom w:val="single" w:sz="4" w:space="0" w:color="auto"/>
            </w:tcBorders>
          </w:tcPr>
          <w:p w:rsidR="00AA79AE" w:rsidRPr="0043025E" w:rsidRDefault="00AA79AE" w:rsidP="00647067">
            <w:pPr>
              <w:jc w:val="left"/>
              <w:rPr>
                <w:rFonts w:ascii="Arial Narrow" w:hAnsi="Arial Narrow"/>
                <w:b/>
                <w:iCs/>
                <w:sz w:val="20"/>
                <w:szCs w:val="20"/>
              </w:rPr>
            </w:pPr>
            <w:r w:rsidRPr="0043025E">
              <w:rPr>
                <w:rFonts w:ascii="Arial Narrow" w:hAnsi="Arial Narrow"/>
                <w:b/>
                <w:iCs/>
                <w:sz w:val="20"/>
                <w:szCs w:val="20"/>
              </w:rPr>
              <w:t>Individual components of BUD/GLY/FOR (160/7.2/5)</w:t>
            </w:r>
          </w:p>
        </w:tc>
      </w:tr>
      <w:tr w:rsidR="00AA79AE" w:rsidRPr="0043025E" w:rsidTr="00647067">
        <w:tc>
          <w:tcPr>
            <w:tcW w:w="2114" w:type="dxa"/>
            <w:tcBorders>
              <w:bottom w:val="nil"/>
            </w:tcBorders>
          </w:tcPr>
          <w:p w:rsidR="00AA79AE" w:rsidRPr="0043025E" w:rsidRDefault="00AA79AE" w:rsidP="00647067">
            <w:pPr>
              <w:rPr>
                <w:rFonts w:ascii="Arial Narrow" w:hAnsi="Arial Narrow"/>
                <w:iCs/>
                <w:sz w:val="20"/>
                <w:szCs w:val="20"/>
              </w:rPr>
            </w:pPr>
            <w:r w:rsidRPr="0043025E">
              <w:rPr>
                <w:rFonts w:ascii="Arial Narrow" w:hAnsi="Arial Narrow"/>
                <w:iCs/>
                <w:sz w:val="20"/>
                <w:szCs w:val="20"/>
              </w:rPr>
              <w:t>BUD/FOR 200/6 (10018G)</w:t>
            </w:r>
          </w:p>
        </w:tc>
        <w:tc>
          <w:tcPr>
            <w:tcW w:w="1992"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4 actuations</w:t>
            </w:r>
          </w:p>
        </w:tc>
        <w:tc>
          <w:tcPr>
            <w:tcW w:w="1181"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240</w:t>
            </w:r>
          </w:p>
        </w:tc>
        <w:tc>
          <w:tcPr>
            <w:tcW w:w="1181"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60</w:t>
            </w:r>
          </w:p>
        </w:tc>
        <w:tc>
          <w:tcPr>
            <w:tcW w:w="1182"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$55.75</w:t>
            </w:r>
          </w:p>
        </w:tc>
        <w:tc>
          <w:tcPr>
            <w:tcW w:w="1366" w:type="dxa"/>
            <w:vMerge w:val="restart"/>
            <w:vAlign w:val="center"/>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$72.83</w:t>
            </w:r>
          </w:p>
        </w:tc>
      </w:tr>
      <w:tr w:rsidR="00AA79AE" w:rsidRPr="0043025E" w:rsidTr="00647067">
        <w:tc>
          <w:tcPr>
            <w:tcW w:w="2114" w:type="dxa"/>
            <w:tcBorders>
              <w:top w:val="nil"/>
              <w:bottom w:val="nil"/>
            </w:tcBorders>
          </w:tcPr>
          <w:p w:rsidR="00AA79AE" w:rsidRPr="0043025E" w:rsidRDefault="00AA79AE" w:rsidP="00647067">
            <w:pPr>
              <w:rPr>
                <w:rFonts w:ascii="Arial Narrow" w:hAnsi="Arial Narrow"/>
                <w:iCs/>
                <w:sz w:val="20"/>
                <w:szCs w:val="20"/>
              </w:rPr>
            </w:pPr>
            <w:r w:rsidRPr="0043025E">
              <w:rPr>
                <w:rFonts w:ascii="Arial Narrow" w:hAnsi="Arial Narrow"/>
                <w:iCs/>
                <w:sz w:val="20"/>
                <w:szCs w:val="20"/>
              </w:rPr>
              <w:t>GLY 50 (10059K)</w:t>
            </w:r>
          </w:p>
        </w:tc>
        <w:tc>
          <w:tcPr>
            <w:tcW w:w="1992" w:type="dxa"/>
            <w:tcBorders>
              <w:top w:val="nil"/>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1 actuation</w:t>
            </w:r>
          </w:p>
        </w:tc>
        <w:tc>
          <w:tcPr>
            <w:tcW w:w="1181" w:type="dxa"/>
            <w:tcBorders>
              <w:top w:val="nil"/>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30</w:t>
            </w:r>
          </w:p>
        </w:tc>
        <w:tc>
          <w:tcPr>
            <w:tcW w:w="1181" w:type="dxa"/>
            <w:tcBorders>
              <w:top w:val="nil"/>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bCs/>
                <w:iCs/>
                <w:sz w:val="20"/>
                <w:szCs w:val="20"/>
              </w:rPr>
              <w:t>30</w:t>
            </w:r>
          </w:p>
        </w:tc>
        <w:tc>
          <w:tcPr>
            <w:tcW w:w="1182" w:type="dxa"/>
            <w:tcBorders>
              <w:top w:val="nil"/>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$44.95</w:t>
            </w:r>
          </w:p>
        </w:tc>
        <w:tc>
          <w:tcPr>
            <w:tcW w:w="1366" w:type="dxa"/>
            <w:vMerge/>
            <w:vAlign w:val="center"/>
          </w:tcPr>
          <w:p w:rsidR="00AA79AE" w:rsidRPr="0043025E" w:rsidRDefault="00AA79AE" w:rsidP="00647067">
            <w:pPr>
              <w:jc w:val="center"/>
              <w:rPr>
                <w:rFonts w:ascii="Arial Narrow" w:hAnsi="Arial Narrow"/>
                <w:iCs/>
                <w:sz w:val="20"/>
                <w:szCs w:val="20"/>
              </w:rPr>
            </w:pPr>
          </w:p>
        </w:tc>
      </w:tr>
      <w:tr w:rsidR="00AA79AE" w:rsidRPr="0043025E" w:rsidTr="00647067">
        <w:tc>
          <w:tcPr>
            <w:tcW w:w="9016" w:type="dxa"/>
            <w:gridSpan w:val="6"/>
            <w:tcBorders>
              <w:bottom w:val="nil"/>
            </w:tcBorders>
            <w:vAlign w:val="center"/>
          </w:tcPr>
          <w:p w:rsidR="00AA79AE" w:rsidRPr="0043025E" w:rsidRDefault="00AA79AE" w:rsidP="00647067">
            <w:pPr>
              <w:jc w:val="left"/>
              <w:rPr>
                <w:rFonts w:ascii="Arial Narrow" w:hAnsi="Arial Narrow"/>
                <w:b/>
                <w:iCs/>
                <w:sz w:val="20"/>
                <w:szCs w:val="20"/>
              </w:rPr>
            </w:pPr>
            <w:r w:rsidRPr="0043025E">
              <w:rPr>
                <w:rFonts w:ascii="Arial Narrow" w:hAnsi="Arial Narrow"/>
                <w:b/>
                <w:iCs/>
                <w:sz w:val="20"/>
                <w:szCs w:val="20"/>
              </w:rPr>
              <w:t>Individual components, other combinations of ICS, LAMA and LABA inhalers</w:t>
            </w:r>
          </w:p>
        </w:tc>
      </w:tr>
      <w:tr w:rsidR="00AA79AE" w:rsidRPr="0043025E" w:rsidTr="00647067">
        <w:tc>
          <w:tcPr>
            <w:tcW w:w="2114" w:type="dxa"/>
            <w:tcBorders>
              <w:bottom w:val="nil"/>
            </w:tcBorders>
          </w:tcPr>
          <w:p w:rsidR="00AA79AE" w:rsidRPr="0043025E" w:rsidRDefault="00AA79AE" w:rsidP="00647067">
            <w:pPr>
              <w:rPr>
                <w:rFonts w:ascii="Arial Narrow" w:hAnsi="Arial Narrow"/>
                <w:iCs/>
                <w:sz w:val="20"/>
                <w:szCs w:val="20"/>
              </w:rPr>
            </w:pPr>
            <w:r w:rsidRPr="0043025E">
              <w:rPr>
                <w:rFonts w:ascii="Arial Narrow" w:hAnsi="Arial Narrow"/>
                <w:iCs/>
                <w:sz w:val="20"/>
                <w:szCs w:val="20"/>
              </w:rPr>
              <w:t>FF/VI 100/25 (11124L)</w:t>
            </w:r>
          </w:p>
        </w:tc>
        <w:tc>
          <w:tcPr>
            <w:tcW w:w="1992"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1 actuation</w:t>
            </w:r>
          </w:p>
        </w:tc>
        <w:tc>
          <w:tcPr>
            <w:tcW w:w="1181"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30</w:t>
            </w:r>
          </w:p>
        </w:tc>
        <w:tc>
          <w:tcPr>
            <w:tcW w:w="1181"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30</w:t>
            </w:r>
          </w:p>
        </w:tc>
        <w:tc>
          <w:tcPr>
            <w:tcW w:w="1182"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$41.88</w:t>
            </w:r>
          </w:p>
        </w:tc>
        <w:tc>
          <w:tcPr>
            <w:tcW w:w="1366" w:type="dxa"/>
            <w:vMerge w:val="restart"/>
            <w:vAlign w:val="center"/>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$70.70</w:t>
            </w:r>
          </w:p>
        </w:tc>
      </w:tr>
      <w:tr w:rsidR="00AA79AE" w:rsidRPr="0043025E" w:rsidTr="00647067">
        <w:tc>
          <w:tcPr>
            <w:tcW w:w="2114" w:type="dxa"/>
            <w:tcBorders>
              <w:top w:val="nil"/>
              <w:bottom w:val="nil"/>
            </w:tcBorders>
          </w:tcPr>
          <w:p w:rsidR="00AA79AE" w:rsidRPr="0043025E" w:rsidRDefault="00AA79AE" w:rsidP="00647067">
            <w:pPr>
              <w:rPr>
                <w:rFonts w:ascii="Arial Narrow" w:hAnsi="Arial Narrow"/>
                <w:iCs/>
                <w:sz w:val="20"/>
                <w:szCs w:val="20"/>
              </w:rPr>
            </w:pPr>
            <w:r w:rsidRPr="0043025E">
              <w:rPr>
                <w:rFonts w:ascii="Arial Narrow" w:hAnsi="Arial Narrow"/>
                <w:iCs/>
                <w:sz w:val="20"/>
                <w:szCs w:val="20"/>
              </w:rPr>
              <w:t>TIO 18 (8626B)</w:t>
            </w:r>
          </w:p>
        </w:tc>
        <w:tc>
          <w:tcPr>
            <w:tcW w:w="1992" w:type="dxa"/>
            <w:tcBorders>
              <w:top w:val="nil"/>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1 actuation</w:t>
            </w:r>
          </w:p>
        </w:tc>
        <w:tc>
          <w:tcPr>
            <w:tcW w:w="1181" w:type="dxa"/>
            <w:tcBorders>
              <w:top w:val="nil"/>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30</w:t>
            </w:r>
          </w:p>
        </w:tc>
        <w:tc>
          <w:tcPr>
            <w:tcW w:w="1181" w:type="dxa"/>
            <w:tcBorders>
              <w:top w:val="nil"/>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30</w:t>
            </w:r>
          </w:p>
        </w:tc>
        <w:tc>
          <w:tcPr>
            <w:tcW w:w="1182" w:type="dxa"/>
            <w:tcBorders>
              <w:top w:val="nil"/>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$28.82</w:t>
            </w:r>
          </w:p>
        </w:tc>
        <w:tc>
          <w:tcPr>
            <w:tcW w:w="1366" w:type="dxa"/>
            <w:vMerge/>
            <w:tcBorders>
              <w:bottom w:val="nil"/>
            </w:tcBorders>
            <w:vAlign w:val="center"/>
          </w:tcPr>
          <w:p w:rsidR="00AA79AE" w:rsidRPr="0043025E" w:rsidRDefault="00AA79AE" w:rsidP="00647067">
            <w:pPr>
              <w:jc w:val="center"/>
              <w:rPr>
                <w:rFonts w:ascii="Arial Narrow" w:hAnsi="Arial Narrow"/>
                <w:iCs/>
                <w:sz w:val="20"/>
                <w:szCs w:val="20"/>
              </w:rPr>
            </w:pPr>
          </w:p>
        </w:tc>
      </w:tr>
      <w:tr w:rsidR="00AA79AE" w:rsidRPr="0043025E" w:rsidTr="00647067">
        <w:tc>
          <w:tcPr>
            <w:tcW w:w="2114" w:type="dxa"/>
            <w:tcBorders>
              <w:bottom w:val="nil"/>
            </w:tcBorders>
          </w:tcPr>
          <w:p w:rsidR="00AA79AE" w:rsidRPr="0043025E" w:rsidRDefault="00AA79AE" w:rsidP="00647067">
            <w:pPr>
              <w:rPr>
                <w:rFonts w:ascii="Arial Narrow" w:hAnsi="Arial Narrow"/>
                <w:iCs/>
                <w:sz w:val="20"/>
                <w:szCs w:val="20"/>
              </w:rPr>
            </w:pPr>
            <w:r w:rsidRPr="0043025E">
              <w:rPr>
                <w:rFonts w:ascii="Arial Narrow" w:hAnsi="Arial Narrow"/>
                <w:iCs/>
                <w:sz w:val="20"/>
                <w:szCs w:val="20"/>
              </w:rPr>
              <w:t xml:space="preserve">FF 100 </w:t>
            </w:r>
            <w:r w:rsidRPr="0043025E">
              <w:rPr>
                <w:rFonts w:ascii="Arial Narrow" w:hAnsi="Arial Narrow"/>
                <w:bCs/>
                <w:iCs/>
                <w:sz w:val="20"/>
                <w:szCs w:val="20"/>
              </w:rPr>
              <w:t>(11719T)</w:t>
            </w:r>
          </w:p>
        </w:tc>
        <w:tc>
          <w:tcPr>
            <w:tcW w:w="1992"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1 actuation</w:t>
            </w:r>
          </w:p>
        </w:tc>
        <w:tc>
          <w:tcPr>
            <w:tcW w:w="1181"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30</w:t>
            </w:r>
          </w:p>
        </w:tc>
        <w:tc>
          <w:tcPr>
            <w:tcW w:w="1181" w:type="dxa"/>
            <w:tcBorders>
              <w:bottom w:val="nil"/>
            </w:tcBorders>
          </w:tcPr>
          <w:p w:rsidR="00AA79AE" w:rsidRPr="0043025E" w:rsidRDefault="00AA79AE" w:rsidP="00647067">
            <w:pPr>
              <w:jc w:val="center"/>
              <w:rPr>
                <w:rFonts w:ascii="Arial Narrow" w:hAnsi="Arial Narrow"/>
                <w:bCs/>
                <w:iCs/>
                <w:sz w:val="20"/>
                <w:szCs w:val="20"/>
              </w:rPr>
            </w:pPr>
            <w:r w:rsidRPr="0043025E">
              <w:rPr>
                <w:rFonts w:ascii="Arial Narrow" w:hAnsi="Arial Narrow"/>
                <w:bCs/>
                <w:iCs/>
                <w:sz w:val="20"/>
                <w:szCs w:val="20"/>
              </w:rPr>
              <w:t>30</w:t>
            </w:r>
          </w:p>
        </w:tc>
        <w:tc>
          <w:tcPr>
            <w:tcW w:w="1182"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bCs/>
                <w:iCs/>
                <w:sz w:val="20"/>
                <w:szCs w:val="20"/>
              </w:rPr>
              <w:t>$15.65</w:t>
            </w:r>
          </w:p>
        </w:tc>
        <w:tc>
          <w:tcPr>
            <w:tcW w:w="1366" w:type="dxa"/>
            <w:vMerge w:val="restart"/>
            <w:vAlign w:val="center"/>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$72.92</w:t>
            </w:r>
          </w:p>
        </w:tc>
      </w:tr>
      <w:tr w:rsidR="00AA79AE" w:rsidRPr="0043025E" w:rsidTr="00647067">
        <w:tc>
          <w:tcPr>
            <w:tcW w:w="2114" w:type="dxa"/>
            <w:tcBorders>
              <w:top w:val="nil"/>
            </w:tcBorders>
          </w:tcPr>
          <w:p w:rsidR="00AA79AE" w:rsidRPr="0043025E" w:rsidRDefault="00AA79AE" w:rsidP="00647067">
            <w:pPr>
              <w:rPr>
                <w:rFonts w:ascii="Arial Narrow" w:hAnsi="Arial Narrow"/>
                <w:iCs/>
                <w:sz w:val="20"/>
                <w:szCs w:val="20"/>
              </w:rPr>
            </w:pPr>
            <w:r w:rsidRPr="0043025E">
              <w:rPr>
                <w:rFonts w:ascii="Arial Narrow" w:hAnsi="Arial Narrow"/>
                <w:iCs/>
                <w:sz w:val="20"/>
                <w:szCs w:val="20"/>
              </w:rPr>
              <w:t>TIO/OLO 2.5/2.5 (10557P)</w:t>
            </w:r>
          </w:p>
        </w:tc>
        <w:tc>
          <w:tcPr>
            <w:tcW w:w="1992" w:type="dxa"/>
            <w:tcBorders>
              <w:top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2 actuations</w:t>
            </w:r>
          </w:p>
        </w:tc>
        <w:tc>
          <w:tcPr>
            <w:tcW w:w="1181" w:type="dxa"/>
            <w:tcBorders>
              <w:top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60</w:t>
            </w:r>
          </w:p>
        </w:tc>
        <w:tc>
          <w:tcPr>
            <w:tcW w:w="1181" w:type="dxa"/>
            <w:tcBorders>
              <w:top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30</w:t>
            </w:r>
          </w:p>
        </w:tc>
        <w:tc>
          <w:tcPr>
            <w:tcW w:w="1182" w:type="dxa"/>
            <w:tcBorders>
              <w:top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$57.27</w:t>
            </w:r>
          </w:p>
        </w:tc>
        <w:tc>
          <w:tcPr>
            <w:tcW w:w="1366" w:type="dxa"/>
            <w:vMerge/>
            <w:vAlign w:val="center"/>
          </w:tcPr>
          <w:p w:rsidR="00AA79AE" w:rsidRPr="0043025E" w:rsidRDefault="00AA79AE" w:rsidP="00647067">
            <w:pPr>
              <w:jc w:val="center"/>
              <w:rPr>
                <w:rFonts w:ascii="Arial Narrow" w:hAnsi="Arial Narrow"/>
                <w:iCs/>
                <w:sz w:val="20"/>
                <w:szCs w:val="20"/>
              </w:rPr>
            </w:pPr>
          </w:p>
        </w:tc>
      </w:tr>
      <w:tr w:rsidR="00AA79AE" w:rsidRPr="0043025E" w:rsidTr="00647067">
        <w:tc>
          <w:tcPr>
            <w:tcW w:w="2114" w:type="dxa"/>
            <w:tcBorders>
              <w:bottom w:val="nil"/>
            </w:tcBorders>
          </w:tcPr>
          <w:p w:rsidR="00AA79AE" w:rsidRPr="0043025E" w:rsidRDefault="00AA79AE" w:rsidP="00647067">
            <w:pPr>
              <w:rPr>
                <w:rFonts w:ascii="Arial Narrow" w:hAnsi="Arial Narrow"/>
                <w:iCs/>
                <w:sz w:val="20"/>
                <w:szCs w:val="20"/>
              </w:rPr>
            </w:pPr>
            <w:r w:rsidRPr="0043025E">
              <w:rPr>
                <w:rFonts w:ascii="Arial Narrow" w:hAnsi="Arial Narrow"/>
                <w:bCs/>
                <w:iCs/>
                <w:sz w:val="20"/>
                <w:szCs w:val="20"/>
              </w:rPr>
              <w:t>BUD 200 (2071B)</w:t>
            </w:r>
          </w:p>
        </w:tc>
        <w:tc>
          <w:tcPr>
            <w:tcW w:w="1992"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4 actuations</w:t>
            </w:r>
          </w:p>
        </w:tc>
        <w:tc>
          <w:tcPr>
            <w:tcW w:w="1181"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200</w:t>
            </w:r>
          </w:p>
        </w:tc>
        <w:tc>
          <w:tcPr>
            <w:tcW w:w="1181"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50</w:t>
            </w:r>
          </w:p>
        </w:tc>
        <w:tc>
          <w:tcPr>
            <w:tcW w:w="1182" w:type="dxa"/>
            <w:tcBorders>
              <w:bottom w:val="nil"/>
            </w:tcBorders>
          </w:tcPr>
          <w:p w:rsidR="00AA79AE" w:rsidRPr="0043025E" w:rsidRDefault="00AA79AE" w:rsidP="00647067">
            <w:pPr>
              <w:jc w:val="center"/>
              <w:rPr>
                <w:rFonts w:ascii="Arial Narrow" w:hAnsi="Arial Narrow"/>
                <w:iCs/>
                <w:sz w:val="20"/>
                <w:szCs w:val="20"/>
              </w:rPr>
            </w:pPr>
            <w:r w:rsidRPr="0043025E">
              <w:rPr>
                <w:rFonts w:ascii="Arial Narrow" w:hAnsi="Arial Narrow"/>
                <w:bCs/>
                <w:iCs/>
                <w:sz w:val="20"/>
                <w:szCs w:val="20"/>
              </w:rPr>
              <w:t>$16.19</w:t>
            </w:r>
          </w:p>
        </w:tc>
        <w:tc>
          <w:tcPr>
            <w:tcW w:w="1366" w:type="dxa"/>
            <w:vMerge w:val="restart"/>
            <w:vAlign w:val="center"/>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$66.98</w:t>
            </w:r>
          </w:p>
        </w:tc>
      </w:tr>
      <w:tr w:rsidR="00AA79AE" w:rsidRPr="0043025E" w:rsidTr="00647067">
        <w:tc>
          <w:tcPr>
            <w:tcW w:w="2114" w:type="dxa"/>
            <w:tcBorders>
              <w:top w:val="nil"/>
              <w:bottom w:val="single" w:sz="4" w:space="0" w:color="auto"/>
            </w:tcBorders>
          </w:tcPr>
          <w:p w:rsidR="00AA79AE" w:rsidRPr="0043025E" w:rsidRDefault="00AA79AE" w:rsidP="00647067">
            <w:pPr>
              <w:rPr>
                <w:rFonts w:ascii="Arial Narrow" w:hAnsi="Arial Narrow"/>
                <w:iCs/>
                <w:sz w:val="20"/>
                <w:szCs w:val="20"/>
              </w:rPr>
            </w:pPr>
            <w:r w:rsidRPr="0043025E">
              <w:rPr>
                <w:rFonts w:ascii="Arial Narrow" w:hAnsi="Arial Narrow"/>
                <w:iCs/>
                <w:sz w:val="20"/>
                <w:szCs w:val="20"/>
              </w:rPr>
              <w:t>TIO/OLO 2.5/2.5 (10557P)</w:t>
            </w:r>
          </w:p>
        </w:tc>
        <w:tc>
          <w:tcPr>
            <w:tcW w:w="1992" w:type="dxa"/>
            <w:tcBorders>
              <w:top w:val="nil"/>
              <w:bottom w:val="single" w:sz="4" w:space="0" w:color="auto"/>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2 actuations</w:t>
            </w:r>
          </w:p>
        </w:tc>
        <w:tc>
          <w:tcPr>
            <w:tcW w:w="1181" w:type="dxa"/>
            <w:tcBorders>
              <w:top w:val="nil"/>
              <w:bottom w:val="single" w:sz="4" w:space="0" w:color="auto"/>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60</w:t>
            </w:r>
          </w:p>
        </w:tc>
        <w:tc>
          <w:tcPr>
            <w:tcW w:w="1181" w:type="dxa"/>
            <w:tcBorders>
              <w:top w:val="nil"/>
              <w:bottom w:val="single" w:sz="4" w:space="0" w:color="auto"/>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30</w:t>
            </w:r>
          </w:p>
        </w:tc>
        <w:tc>
          <w:tcPr>
            <w:tcW w:w="1182" w:type="dxa"/>
            <w:tcBorders>
              <w:top w:val="nil"/>
              <w:bottom w:val="single" w:sz="4" w:space="0" w:color="auto"/>
            </w:tcBorders>
          </w:tcPr>
          <w:p w:rsidR="00AA79AE" w:rsidRPr="0043025E" w:rsidRDefault="00AA79AE" w:rsidP="00647067">
            <w:pPr>
              <w:jc w:val="center"/>
              <w:rPr>
                <w:rFonts w:ascii="Arial Narrow" w:hAnsi="Arial Narrow"/>
                <w:iCs/>
                <w:sz w:val="20"/>
                <w:szCs w:val="20"/>
              </w:rPr>
            </w:pPr>
            <w:r w:rsidRPr="0043025E">
              <w:rPr>
                <w:rFonts w:ascii="Arial Narrow" w:hAnsi="Arial Narrow"/>
                <w:iCs/>
                <w:sz w:val="20"/>
                <w:szCs w:val="20"/>
              </w:rPr>
              <w:t>$57.27</w:t>
            </w:r>
          </w:p>
        </w:tc>
        <w:tc>
          <w:tcPr>
            <w:tcW w:w="1366" w:type="dxa"/>
            <w:vMerge/>
            <w:vAlign w:val="center"/>
          </w:tcPr>
          <w:p w:rsidR="00AA79AE" w:rsidRPr="0043025E" w:rsidRDefault="00AA79AE" w:rsidP="00647067">
            <w:pPr>
              <w:jc w:val="center"/>
              <w:rPr>
                <w:rFonts w:ascii="Arial Narrow" w:hAnsi="Arial Narrow"/>
                <w:iCs/>
                <w:sz w:val="20"/>
                <w:szCs w:val="20"/>
              </w:rPr>
            </w:pPr>
          </w:p>
        </w:tc>
      </w:tr>
    </w:tbl>
    <w:p w:rsidR="00AA79AE" w:rsidRDefault="00AA79AE" w:rsidP="00DB1AF8">
      <w:pPr>
        <w:rPr>
          <w:rFonts w:ascii="Arial Narrow" w:hAnsi="Arial Narrow"/>
          <w:sz w:val="18"/>
          <w:szCs w:val="18"/>
        </w:rPr>
      </w:pPr>
      <w:r w:rsidRPr="0043025E">
        <w:rPr>
          <w:rFonts w:ascii="Arial Narrow" w:hAnsi="Arial Narrow"/>
          <w:sz w:val="18"/>
          <w:szCs w:val="18"/>
        </w:rPr>
        <w:t>Abbreviations: ACL=aclidinium; BUD=budesonide; FF=fluticasone fumarate dihydrate; FOR=formoterol fumarat</w:t>
      </w:r>
      <w:r w:rsidRPr="00FB15C7">
        <w:rPr>
          <w:rFonts w:ascii="Arial Narrow" w:hAnsi="Arial Narrow"/>
          <w:sz w:val="18"/>
          <w:szCs w:val="18"/>
        </w:rPr>
        <w:t>e</w:t>
      </w:r>
      <w:r>
        <w:rPr>
          <w:rFonts w:ascii="Arial Narrow" w:hAnsi="Arial Narrow"/>
          <w:sz w:val="18"/>
          <w:szCs w:val="18"/>
        </w:rPr>
        <w:t xml:space="preserve"> dihydrate</w:t>
      </w:r>
      <w:r w:rsidRPr="00FB15C7">
        <w:rPr>
          <w:rFonts w:ascii="Arial Narrow" w:hAnsi="Arial Narrow"/>
          <w:sz w:val="18"/>
          <w:szCs w:val="18"/>
        </w:rPr>
        <w:t>; GLY=glycopyrronium; ICS=inhaled corticosteroids; IND=indacaterol; LABA=long acting beta-2 agonist; LAMA=long acting muscarinic antagonist; OLO=olodaterol; SAL=salmeterol; TIO=tiotropium; UMEC=umeclidinium; VI=vilanterol;</w:t>
      </w:r>
    </w:p>
    <w:p w:rsidR="00AA79AE" w:rsidRDefault="00AA79AE" w:rsidP="00790607">
      <w:pPr>
        <w:spacing w:after="120"/>
        <w:rPr>
          <w:rFonts w:ascii="Arial Narrow" w:hAnsi="Arial Narrow"/>
          <w:sz w:val="18"/>
          <w:szCs w:val="18"/>
        </w:rPr>
      </w:pPr>
      <w:r>
        <w:rPr>
          <w:rFonts w:ascii="Arial Narrow" w:hAnsi="Arial Narrow"/>
          <w:sz w:val="18"/>
          <w:szCs w:val="18"/>
        </w:rPr>
        <w:t>Source: Constructed during the evaluation using PBS pricing calculator (as of 1 July 2020) 7CPA v33.xlsm.</w:t>
      </w:r>
    </w:p>
    <w:p w:rsidR="009E1B10" w:rsidRPr="00C81D26" w:rsidRDefault="009E1B10" w:rsidP="009E1B10">
      <w:pPr>
        <w:pStyle w:val="3-BodyText"/>
      </w:pPr>
      <w:r w:rsidRPr="00C81D26">
        <w:t>The ESC noted</w:t>
      </w:r>
      <w:r w:rsidR="005146A2" w:rsidRPr="00C81D26">
        <w:t xml:space="preserve"> the AEMP for</w:t>
      </w:r>
      <w:r w:rsidRPr="00C81D26">
        <w:t xml:space="preserve"> </w:t>
      </w:r>
      <w:r w:rsidR="005146A2" w:rsidRPr="00C81D26">
        <w:t xml:space="preserve">the recently PBS listed </w:t>
      </w:r>
      <w:r w:rsidRPr="00C81D26">
        <w:t>BEC/GLY/FOR (Trimbow) was</w:t>
      </w:r>
      <w:r w:rsidR="005146A2" w:rsidRPr="00C81D26">
        <w:t xml:space="preserve"> $70.70</w:t>
      </w:r>
      <w:r w:rsidRPr="00C81D26">
        <w:t>.</w:t>
      </w:r>
    </w:p>
    <w:p w:rsidR="00C25D9C" w:rsidRDefault="00C25D9C" w:rsidP="00BB732D">
      <w:pPr>
        <w:pStyle w:val="4-SubsectionHeading"/>
      </w:pPr>
      <w:bookmarkStart w:id="26" w:name="_Toc22897646"/>
      <w:bookmarkStart w:id="27" w:name="_Toc72233558"/>
      <w:r w:rsidRPr="002C2775">
        <w:lastRenderedPageBreak/>
        <w:t>Drug cost/patient/year</w:t>
      </w:r>
      <w:bookmarkEnd w:id="26"/>
      <w:r w:rsidR="005F0CE6">
        <w:t xml:space="preserve">: </w:t>
      </w:r>
      <w:r w:rsidR="005F0CE6" w:rsidRPr="005F0CE6">
        <w:t>$</w:t>
      </w:r>
      <w:bookmarkEnd w:id="27"/>
      <w:r w:rsidR="00C764F0">
        <w:rPr>
          <w:noProof/>
          <w:color w:val="000000"/>
          <w:highlight w:val="black"/>
        </w:rPr>
        <w:t>'''''''''''''</w:t>
      </w:r>
    </w:p>
    <w:p w:rsidR="005F0CE6" w:rsidRPr="005F0CE6" w:rsidRDefault="005F0CE6" w:rsidP="002B05A1">
      <w:pPr>
        <w:pStyle w:val="3-BodyText"/>
        <w:rPr>
          <w:snapToGrid/>
          <w:lang w:val="en-US"/>
        </w:rPr>
      </w:pPr>
      <w:r>
        <w:rPr>
          <w:snapToGrid/>
          <w:lang w:val="en-US"/>
        </w:rPr>
        <w:t xml:space="preserve">Assuming a DPMQ of </w:t>
      </w:r>
      <w:r w:rsidR="007F7617">
        <w:rPr>
          <w:snapToGrid/>
          <w:lang w:val="en-US"/>
        </w:rPr>
        <w:t>$</w:t>
      </w:r>
      <w:r w:rsidR="00C764F0">
        <w:rPr>
          <w:noProof/>
          <w:snapToGrid/>
          <w:color w:val="000000"/>
          <w:highlight w:val="black"/>
          <w:lang w:val="en-US"/>
        </w:rPr>
        <w:t>''''''''''</w:t>
      </w:r>
      <w:r w:rsidR="007F7617">
        <w:rPr>
          <w:snapToGrid/>
          <w:lang w:val="en-US"/>
        </w:rPr>
        <w:t xml:space="preserve"> (AEMP $</w:t>
      </w:r>
      <w:r w:rsidR="00C764F0">
        <w:rPr>
          <w:noProof/>
          <w:snapToGrid/>
          <w:color w:val="000000"/>
          <w:highlight w:val="black"/>
          <w:lang w:val="en-US"/>
        </w:rPr>
        <w:t>'''''''''''</w:t>
      </w:r>
      <w:r w:rsidR="007F7617">
        <w:rPr>
          <w:snapToGrid/>
          <w:lang w:val="en-US"/>
        </w:rPr>
        <w:t>) and 12.17 scripts required for one year of treatment with BUD/GLY/FOR 160/7.2/5 two inhalations twice daily, the cost per patient per year is $</w:t>
      </w:r>
      <w:r w:rsidR="00C764F0">
        <w:rPr>
          <w:noProof/>
          <w:snapToGrid/>
          <w:color w:val="000000"/>
          <w:highlight w:val="black"/>
          <w:lang w:val="en-US"/>
        </w:rPr>
        <w:t>'''''''''''''''</w:t>
      </w:r>
      <w:r w:rsidR="007F7617">
        <w:rPr>
          <w:snapToGrid/>
          <w:lang w:val="en-US"/>
        </w:rPr>
        <w:t>.</w:t>
      </w:r>
    </w:p>
    <w:p w:rsidR="00B60939" w:rsidRPr="00C9624D" w:rsidRDefault="00B60939" w:rsidP="002B05A1">
      <w:pPr>
        <w:pStyle w:val="4-SubsectionHeading"/>
      </w:pPr>
      <w:bookmarkStart w:id="28" w:name="_Toc22897647"/>
      <w:bookmarkStart w:id="29" w:name="_Toc72233559"/>
      <w:r w:rsidRPr="00C9624D">
        <w:t>Estimated PBS usage &amp; financial implications</w:t>
      </w:r>
      <w:bookmarkEnd w:id="28"/>
      <w:bookmarkEnd w:id="29"/>
    </w:p>
    <w:p w:rsidR="007F7617" w:rsidRDefault="00953FE8" w:rsidP="002B05A1">
      <w:pPr>
        <w:pStyle w:val="3-BodyText"/>
      </w:pPr>
      <w:r>
        <w:t>The</w:t>
      </w:r>
      <w:r w:rsidR="00C25D9C">
        <w:t xml:space="preserve"> submission </w:t>
      </w:r>
      <w:r w:rsidR="00B201A4">
        <w:t>w</w:t>
      </w:r>
      <w:r w:rsidR="006A1BC4">
        <w:t xml:space="preserve">as </w:t>
      </w:r>
      <w:r w:rsidR="00C25D9C">
        <w:t>not considered by DUSC</w:t>
      </w:r>
      <w:r w:rsidR="007F7617">
        <w:t>.</w:t>
      </w:r>
      <w:r w:rsidR="007F7617" w:rsidRPr="007F7617">
        <w:t xml:space="preserve"> The submission applied a market share approach to estimate the financial impact of the proposed listing of BUD/GLY/FOR on the PBS for moderate to severe COPD. The analysis assumed the patients eligible for BUD/GLY/FOR are the same patients currently eligible for FF/UMEC/VI.</w:t>
      </w:r>
    </w:p>
    <w:p w:rsidR="007F7617" w:rsidRPr="00C81D26" w:rsidRDefault="007F7617" w:rsidP="002B05A1">
      <w:pPr>
        <w:pStyle w:val="3-BodyText"/>
      </w:pPr>
      <w:r w:rsidRPr="007F7617">
        <w:t xml:space="preserve">The financial estimates used historical PBS utilisation data for FF/UMEC/VI in COPD to estimate the projected growth of the triple therapy FDC market, given FF/UMEC/VI is currently the only FDC triple </w:t>
      </w:r>
      <w:r w:rsidR="005146A2">
        <w:t xml:space="preserve">therapy </w:t>
      </w:r>
      <w:r w:rsidRPr="007F7617">
        <w:t xml:space="preserve">listed on the PBS. The submission assumed that the projected growth in scripts of FF/UMEC/VI captures all patients with uncontrolled COPD despite maintenance dual therapy or those who switch from open triple therapy to FDC triple therapy. The submission </w:t>
      </w:r>
      <w:r w:rsidR="0016430A">
        <w:t xml:space="preserve">also </w:t>
      </w:r>
      <w:r w:rsidRPr="007F7617">
        <w:t xml:space="preserve">assumed that the proposed listing of BUD/GLY/FOR would not grow the triple therapy ICS/LAMA/LABA market, </w:t>
      </w:r>
      <w:r w:rsidR="00BD2F1D">
        <w:t>identical compliance rates (i.e. same compliance for once daily and twice daily dosing regimens)</w:t>
      </w:r>
      <w:r w:rsidR="00BD2F1D" w:rsidRPr="007F7617">
        <w:t xml:space="preserve"> </w:t>
      </w:r>
      <w:r w:rsidRPr="007F7617">
        <w:t>and that BUD/GLY/FOR will displace FF/UMEC/VI in a 1:1 ratio.</w:t>
      </w:r>
      <w:r w:rsidR="005146A2">
        <w:t xml:space="preserve"> </w:t>
      </w:r>
      <w:r w:rsidR="005146A2" w:rsidRPr="00C81D26">
        <w:t xml:space="preserve">The ESC noted that, like BEC/GLY/FOR, BUD/GLY/FOR is delivered via a pMDI whereas FF/UMEC/VI is available in a DPI. </w:t>
      </w:r>
      <w:r w:rsidR="004F5B3C" w:rsidRPr="00C81D26">
        <w:t>The ESC considered that availability of COPD triple therapy in a pMDI may potentially grow the triple therapy ICS/LAMA/LABA market. In addition, as BUD/GLY/FOR contains FOR, the ESC considered there was also the potential for use outside of the proposed indication for patient</w:t>
      </w:r>
      <w:r w:rsidR="003276D6">
        <w:t>s with asthma (see paragraph 3.4</w:t>
      </w:r>
      <w:r w:rsidR="004F5B3C" w:rsidRPr="00C81D26">
        <w:t>).</w:t>
      </w:r>
    </w:p>
    <w:p w:rsidR="00442107" w:rsidRDefault="00442107">
      <w:pPr>
        <w:jc w:val="left"/>
        <w:rPr>
          <w:rFonts w:asciiTheme="minorHAnsi" w:hAnsiTheme="minorHAnsi"/>
          <w:snapToGrid w:val="0"/>
        </w:rPr>
      </w:pPr>
      <w:r>
        <w:br w:type="page"/>
      </w:r>
    </w:p>
    <w:p w:rsidR="007F7617" w:rsidRDefault="007F7617" w:rsidP="007F7617">
      <w:pPr>
        <w:pStyle w:val="3-BodyText"/>
      </w:pPr>
      <w:r w:rsidRPr="007F7617">
        <w:lastRenderedPageBreak/>
        <w:t>Table 8 summarises the key inputs in the financial estimates.</w:t>
      </w:r>
    </w:p>
    <w:p w:rsidR="001B3AD7" w:rsidRPr="007925DF" w:rsidRDefault="001B3AD7" w:rsidP="00CF7BB2">
      <w:pPr>
        <w:pStyle w:val="TableFigureHeading"/>
        <w:keepLines/>
        <w:rPr>
          <w:rStyle w:val="CommentReference"/>
          <w:b/>
          <w:szCs w:val="24"/>
        </w:rPr>
      </w:pPr>
      <w:r w:rsidRPr="007925DF">
        <w:rPr>
          <w:rStyle w:val="CommentReference"/>
          <w:b/>
          <w:szCs w:val="24"/>
        </w:rPr>
        <w:t xml:space="preserve">Table </w:t>
      </w:r>
      <w:r w:rsidR="00F17FD8">
        <w:rPr>
          <w:rStyle w:val="CommentReference"/>
          <w:b/>
          <w:szCs w:val="24"/>
        </w:rPr>
        <w:t>8</w:t>
      </w:r>
      <w:r w:rsidRPr="007925DF">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3"/>
        <w:gridCol w:w="3210"/>
      </w:tblGrid>
      <w:tr w:rsidR="001B3AD7" w:rsidRPr="003D1DE4" w:rsidTr="00647067">
        <w:trPr>
          <w:tblHeader/>
        </w:trPr>
        <w:tc>
          <w:tcPr>
            <w:tcW w:w="950" w:type="pct"/>
            <w:shd w:val="clear" w:color="auto" w:fill="auto"/>
            <w:vAlign w:val="center"/>
          </w:tcPr>
          <w:p w:rsidR="001B3AD7" w:rsidRPr="003D1DE4" w:rsidRDefault="001B3AD7" w:rsidP="00CF7BB2">
            <w:pPr>
              <w:pStyle w:val="In-tableHeading"/>
              <w:keepLines/>
            </w:pPr>
            <w:r>
              <w:t>Parameter</w:t>
            </w:r>
          </w:p>
        </w:tc>
        <w:tc>
          <w:tcPr>
            <w:tcW w:w="2270" w:type="pct"/>
            <w:shd w:val="clear" w:color="auto" w:fill="auto"/>
            <w:vAlign w:val="center"/>
          </w:tcPr>
          <w:p w:rsidR="001B3AD7" w:rsidRPr="003D1DE4" w:rsidRDefault="001B3AD7" w:rsidP="00CF7BB2">
            <w:pPr>
              <w:pStyle w:val="In-tableHeading"/>
              <w:keepLines/>
            </w:pPr>
            <w:r>
              <w:t>Value applied and source</w:t>
            </w:r>
          </w:p>
        </w:tc>
        <w:tc>
          <w:tcPr>
            <w:tcW w:w="1780" w:type="pct"/>
            <w:shd w:val="clear" w:color="auto" w:fill="auto"/>
            <w:vAlign w:val="center"/>
          </w:tcPr>
          <w:p w:rsidR="001B3AD7" w:rsidRPr="003D1DE4" w:rsidRDefault="001B3AD7" w:rsidP="00CF7BB2">
            <w:pPr>
              <w:pStyle w:val="In-tableHeading"/>
              <w:keepLines/>
            </w:pPr>
            <w:r>
              <w:t>Comment</w:t>
            </w:r>
          </w:p>
        </w:tc>
      </w:tr>
      <w:tr w:rsidR="001B3AD7" w:rsidRPr="00E2771E" w:rsidTr="00647067">
        <w:tc>
          <w:tcPr>
            <w:tcW w:w="950" w:type="pct"/>
            <w:shd w:val="clear" w:color="auto" w:fill="auto"/>
            <w:vAlign w:val="center"/>
          </w:tcPr>
          <w:p w:rsidR="001B3AD7" w:rsidRPr="00E2771E" w:rsidRDefault="00F17FD8" w:rsidP="00CF7BB2">
            <w:pPr>
              <w:pStyle w:val="TableText0"/>
              <w:keepLines/>
              <w:rPr>
                <w:lang w:val="en-US"/>
              </w:rPr>
            </w:pPr>
            <w:r w:rsidRPr="00F17FD8">
              <w:rPr>
                <w:lang w:val="en-US"/>
              </w:rPr>
              <w:t>Total ICS/LAMA/LABA FDC market (scripts)</w:t>
            </w:r>
          </w:p>
        </w:tc>
        <w:tc>
          <w:tcPr>
            <w:tcW w:w="2270" w:type="pct"/>
            <w:shd w:val="clear" w:color="auto" w:fill="auto"/>
            <w:vAlign w:val="center"/>
          </w:tcPr>
          <w:p w:rsidR="001B3AD7" w:rsidRDefault="00F17FD8" w:rsidP="00CF7BB2">
            <w:pPr>
              <w:pStyle w:val="TableText0"/>
              <w:keepLines/>
              <w:rPr>
                <w:lang w:val="en-US"/>
              </w:rPr>
            </w:pPr>
            <w:r w:rsidRPr="00F17FD8">
              <w:rPr>
                <w:lang w:val="en-US"/>
              </w:rPr>
              <w:t>Yr 0 (2020): 458,448</w:t>
            </w:r>
          </w:p>
          <w:p w:rsidR="00F17FD8" w:rsidRPr="00E2771E" w:rsidRDefault="00F17FD8" w:rsidP="00CF7BB2">
            <w:pPr>
              <w:pStyle w:val="TableText0"/>
              <w:keepLines/>
              <w:rPr>
                <w:lang w:val="en-US"/>
              </w:rPr>
            </w:pPr>
            <w:r>
              <w:rPr>
                <w:lang w:val="en-US"/>
              </w:rPr>
              <w:t xml:space="preserve">Source: </w:t>
            </w:r>
            <w:r w:rsidRPr="00F17FD8">
              <w:rPr>
                <w:lang w:val="en-US"/>
              </w:rPr>
              <w:t>PBS/RPBS services for FF/UMEC/VI (Trelegy Ellipta) June 2018 to December 2020</w:t>
            </w:r>
          </w:p>
        </w:tc>
        <w:tc>
          <w:tcPr>
            <w:tcW w:w="1780" w:type="pct"/>
            <w:shd w:val="clear" w:color="auto" w:fill="auto"/>
            <w:vAlign w:val="center"/>
          </w:tcPr>
          <w:p w:rsidR="001B3AD7" w:rsidRPr="0043025E" w:rsidRDefault="00F17FD8" w:rsidP="00CF7BB2">
            <w:pPr>
              <w:pStyle w:val="TableText0"/>
              <w:keepLines/>
              <w:rPr>
                <w:lang w:val="en-US"/>
              </w:rPr>
            </w:pPr>
            <w:r w:rsidRPr="0043025E">
              <w:rPr>
                <w:lang w:val="en-US"/>
              </w:rPr>
              <w:t>Reasonable, although the submission assumed Yr 1 of listing as 2021.</w:t>
            </w:r>
          </w:p>
        </w:tc>
      </w:tr>
      <w:tr w:rsidR="001B3AD7" w:rsidRPr="00E2771E" w:rsidTr="00647067">
        <w:tc>
          <w:tcPr>
            <w:tcW w:w="950" w:type="pct"/>
            <w:shd w:val="clear" w:color="auto" w:fill="auto"/>
            <w:vAlign w:val="center"/>
          </w:tcPr>
          <w:p w:rsidR="001B3AD7" w:rsidRDefault="00F17FD8" w:rsidP="00CF7BB2">
            <w:pPr>
              <w:pStyle w:val="TableText0"/>
              <w:keepLines/>
              <w:rPr>
                <w:lang w:val="en-US"/>
              </w:rPr>
            </w:pPr>
            <w:r>
              <w:t>ICS/LAMA/LABA market growth</w:t>
            </w:r>
          </w:p>
        </w:tc>
        <w:tc>
          <w:tcPr>
            <w:tcW w:w="2270" w:type="pct"/>
            <w:shd w:val="clear" w:color="auto" w:fill="auto"/>
            <w:vAlign w:val="center"/>
          </w:tcPr>
          <w:p w:rsidR="001B3AD7" w:rsidRDefault="00F17FD8" w:rsidP="00CF7BB2">
            <w:pPr>
              <w:pStyle w:val="TableText0"/>
              <w:keepLines/>
              <w:rPr>
                <w:lang w:val="en-US"/>
              </w:rPr>
            </w:pPr>
            <w:r w:rsidRPr="00F17FD8">
              <w:rPr>
                <w:lang w:val="en-US"/>
              </w:rPr>
              <w:t>Yr 1: 40%</w:t>
            </w:r>
            <w:r w:rsidR="00C43D9B">
              <w:rPr>
                <w:lang w:val="en-US"/>
              </w:rPr>
              <w:t xml:space="preserve"> to </w:t>
            </w:r>
            <w:r w:rsidRPr="00F17FD8">
              <w:rPr>
                <w:lang w:val="en-US"/>
              </w:rPr>
              <w:t>Yr 6: 7%</w:t>
            </w:r>
          </w:p>
          <w:p w:rsidR="00C43D9B" w:rsidRDefault="00C43D9B" w:rsidP="00CF7BB2">
            <w:pPr>
              <w:pStyle w:val="TableText0"/>
              <w:keepLines/>
              <w:rPr>
                <w:lang w:val="en-US"/>
              </w:rPr>
            </w:pPr>
            <w:r>
              <w:rPr>
                <w:lang w:val="en-US"/>
              </w:rPr>
              <w:t xml:space="preserve">Source: </w:t>
            </w:r>
            <w:r w:rsidRPr="00C43D9B">
              <w:rPr>
                <w:lang w:val="en-US"/>
              </w:rPr>
              <w:t xml:space="preserve">Assumption. The submission estimated the growth </w:t>
            </w:r>
            <w:r w:rsidR="00810AF6">
              <w:rPr>
                <w:lang w:val="en-US"/>
              </w:rPr>
              <w:t xml:space="preserve">of </w:t>
            </w:r>
            <w:r w:rsidRPr="00C43D9B">
              <w:rPr>
                <w:lang w:val="en-US"/>
              </w:rPr>
              <w:t>COPD inhalers between 2017 to 2020 using data from Medicare statistics and the 10% Medicare sample. The analysis indicated 311% growth in use of FF/UMEC/VI in 2019 and 57% growth in 2020.</w:t>
            </w:r>
          </w:p>
        </w:tc>
        <w:tc>
          <w:tcPr>
            <w:tcW w:w="1780" w:type="pct"/>
            <w:shd w:val="clear" w:color="auto" w:fill="auto"/>
            <w:vAlign w:val="center"/>
          </w:tcPr>
          <w:p w:rsidR="001B3AD7" w:rsidRPr="0043025E" w:rsidRDefault="00C43D9B" w:rsidP="00CF7BB2">
            <w:pPr>
              <w:pStyle w:val="TableText0"/>
              <w:keepLines/>
              <w:rPr>
                <w:lang w:val="en-US"/>
              </w:rPr>
            </w:pPr>
            <w:r w:rsidRPr="0043025E">
              <w:rPr>
                <w:lang w:val="en-US"/>
              </w:rPr>
              <w:t>Reasonable. The predicted market growth of 40% to 7% over the first 6 years of listing was consistent with the assumed growth rate in the BEC/GLY/FOR submission (Yr 1: 40% to Yr 6: 4%), considered by the PBAC in November 2020 (Table 9, Trimbow (BEC/GLY/FOR) PSD November 2020 PBAC meeting).</w:t>
            </w:r>
          </w:p>
        </w:tc>
      </w:tr>
      <w:tr w:rsidR="001B3AD7" w:rsidRPr="00E2771E" w:rsidTr="00647067">
        <w:tc>
          <w:tcPr>
            <w:tcW w:w="950" w:type="pct"/>
            <w:shd w:val="clear" w:color="auto" w:fill="auto"/>
            <w:vAlign w:val="center"/>
          </w:tcPr>
          <w:p w:rsidR="001B3AD7" w:rsidRPr="00E2771E" w:rsidRDefault="00C43D9B" w:rsidP="00CF7BB2">
            <w:pPr>
              <w:pStyle w:val="TableText0"/>
              <w:keepLines/>
              <w:rPr>
                <w:lang w:val="en-US"/>
              </w:rPr>
            </w:pPr>
            <w:r>
              <w:t>BUD/GLY/FOR market share (i.e. FF/UMEC/VI displacement rate)</w:t>
            </w:r>
          </w:p>
        </w:tc>
        <w:tc>
          <w:tcPr>
            <w:tcW w:w="2270" w:type="pct"/>
            <w:shd w:val="clear" w:color="auto" w:fill="auto"/>
            <w:vAlign w:val="center"/>
          </w:tcPr>
          <w:p w:rsidR="001B3AD7" w:rsidRDefault="00C43D9B" w:rsidP="00CF7BB2">
            <w:pPr>
              <w:pStyle w:val="TableText0"/>
              <w:keepLines/>
              <w:rPr>
                <w:lang w:val="en-US"/>
              </w:rPr>
            </w:pPr>
            <w:r w:rsidRPr="00C43D9B">
              <w:rPr>
                <w:lang w:val="en-US"/>
              </w:rPr>
              <w:t>Yr 1: 15%</w:t>
            </w:r>
            <w:r>
              <w:rPr>
                <w:lang w:val="en-US"/>
              </w:rPr>
              <w:t xml:space="preserve"> to </w:t>
            </w:r>
            <w:r w:rsidRPr="00C43D9B">
              <w:rPr>
                <w:lang w:val="en-US"/>
              </w:rPr>
              <w:t>Yr 6: 36%</w:t>
            </w:r>
          </w:p>
          <w:p w:rsidR="00C43D9B" w:rsidRPr="00E2771E" w:rsidRDefault="00C43D9B" w:rsidP="00CF7BB2">
            <w:pPr>
              <w:pStyle w:val="TableText0"/>
              <w:keepLines/>
              <w:rPr>
                <w:lang w:val="en-US"/>
              </w:rPr>
            </w:pPr>
            <w:r>
              <w:rPr>
                <w:lang w:val="en-US"/>
              </w:rPr>
              <w:t xml:space="preserve">Source: </w:t>
            </w:r>
            <w:r w:rsidRPr="00C43D9B">
              <w:rPr>
                <w:lang w:val="en-US"/>
              </w:rPr>
              <w:t>Assumption based on similar analogues</w:t>
            </w:r>
          </w:p>
        </w:tc>
        <w:tc>
          <w:tcPr>
            <w:tcW w:w="1780" w:type="pct"/>
            <w:shd w:val="clear" w:color="auto" w:fill="auto"/>
            <w:vAlign w:val="center"/>
          </w:tcPr>
          <w:p w:rsidR="001B3AD7" w:rsidRPr="0043025E" w:rsidRDefault="00C43D9B" w:rsidP="00CF7BB2">
            <w:pPr>
              <w:pStyle w:val="TableText0"/>
              <w:keepLines/>
              <w:rPr>
                <w:lang w:val="en-US"/>
              </w:rPr>
            </w:pPr>
            <w:r w:rsidRPr="0043025E">
              <w:rPr>
                <w:lang w:val="en-US"/>
              </w:rPr>
              <w:t>Generally reasonable, although the submission did not provide any data to support this assumption. The assumed market shares were similar to those assumed in the BEC/GLY/FOR submission (Yr</w:t>
            </w:r>
            <w:r w:rsidR="003F3964" w:rsidRPr="0043025E">
              <w:rPr>
                <w:lang w:val="en-US"/>
              </w:rPr>
              <w:t xml:space="preserve"> </w:t>
            </w:r>
            <w:r w:rsidRPr="0043025E">
              <w:rPr>
                <w:lang w:val="en-US"/>
              </w:rPr>
              <w:t>1: 7% to Yr</w:t>
            </w:r>
            <w:r w:rsidR="003F3964" w:rsidRPr="0043025E">
              <w:rPr>
                <w:lang w:val="en-US"/>
              </w:rPr>
              <w:t xml:space="preserve"> </w:t>
            </w:r>
            <w:r w:rsidRPr="0043025E">
              <w:rPr>
                <w:lang w:val="en-US"/>
              </w:rPr>
              <w:t>6: 31%), considered by the PBAC in November 2020 (Table 9, Trimbow (BEC/GLY/FOR) PSD November 2020 PBAC meeting).</w:t>
            </w:r>
          </w:p>
        </w:tc>
      </w:tr>
      <w:tr w:rsidR="00C43D9B" w:rsidRPr="00E2771E" w:rsidTr="00647067">
        <w:tc>
          <w:tcPr>
            <w:tcW w:w="950" w:type="pct"/>
            <w:shd w:val="clear" w:color="auto" w:fill="auto"/>
            <w:vAlign w:val="center"/>
          </w:tcPr>
          <w:p w:rsidR="00C43D9B" w:rsidRDefault="00C43D9B" w:rsidP="00CF7BB2">
            <w:pPr>
              <w:pStyle w:val="TableText0"/>
              <w:keepLines/>
              <w:rPr>
                <w:lang w:val="en-US"/>
              </w:rPr>
            </w:pPr>
            <w:r>
              <w:t>BUD/GLY/FOR cost</w:t>
            </w:r>
          </w:p>
        </w:tc>
        <w:tc>
          <w:tcPr>
            <w:tcW w:w="2270" w:type="pct"/>
            <w:shd w:val="clear" w:color="auto" w:fill="auto"/>
            <w:vAlign w:val="center"/>
          </w:tcPr>
          <w:p w:rsidR="00C43D9B" w:rsidRDefault="00C43D9B" w:rsidP="00CF7BB2">
            <w:pPr>
              <w:pStyle w:val="TableText0"/>
              <w:keepLines/>
            </w:pPr>
            <w:r>
              <w:t>$</w:t>
            </w:r>
            <w:r w:rsidR="00C764F0">
              <w:rPr>
                <w:noProof/>
                <w:color w:val="000000"/>
                <w:highlight w:val="black"/>
              </w:rPr>
              <w:t>''''''''''''</w:t>
            </w:r>
          </w:p>
          <w:p w:rsidR="00C43D9B" w:rsidRDefault="00C43D9B" w:rsidP="00CF7BB2">
            <w:pPr>
              <w:pStyle w:val="TableText0"/>
              <w:keepLines/>
              <w:rPr>
                <w:lang w:val="en-US"/>
              </w:rPr>
            </w:pPr>
            <w:r>
              <w:rPr>
                <w:lang w:val="en-US"/>
              </w:rPr>
              <w:t xml:space="preserve">Source: </w:t>
            </w:r>
            <w:r w:rsidRPr="00C43D9B">
              <w:rPr>
                <w:lang w:val="en-US"/>
              </w:rPr>
              <w:t>Requested DPMQ</w:t>
            </w:r>
          </w:p>
        </w:tc>
        <w:tc>
          <w:tcPr>
            <w:tcW w:w="1780" w:type="pct"/>
            <w:shd w:val="clear" w:color="auto" w:fill="auto"/>
            <w:vAlign w:val="center"/>
          </w:tcPr>
          <w:p w:rsidR="00C43D9B" w:rsidRPr="0043025E" w:rsidRDefault="00BD2F1D" w:rsidP="00CF7BB2">
            <w:pPr>
              <w:pStyle w:val="TableText0"/>
              <w:keepLines/>
              <w:rPr>
                <w:lang w:val="en-US"/>
              </w:rPr>
            </w:pPr>
            <w:r w:rsidRPr="0043025E">
              <w:rPr>
                <w:lang w:val="en-US"/>
              </w:rPr>
              <w:t xml:space="preserve">Consistent with the </w:t>
            </w:r>
            <w:r w:rsidR="00790607" w:rsidRPr="0043025E">
              <w:rPr>
                <w:lang w:val="en-US"/>
              </w:rPr>
              <w:t>cost-minimisation analysis presented in the submission.</w:t>
            </w:r>
          </w:p>
        </w:tc>
      </w:tr>
      <w:tr w:rsidR="00C43D9B" w:rsidRPr="00E2771E" w:rsidTr="00647067">
        <w:tc>
          <w:tcPr>
            <w:tcW w:w="950" w:type="pct"/>
            <w:shd w:val="clear" w:color="auto" w:fill="auto"/>
            <w:vAlign w:val="center"/>
          </w:tcPr>
          <w:p w:rsidR="00C43D9B" w:rsidRPr="00E2771E" w:rsidRDefault="00C43D9B" w:rsidP="00CF7BB2">
            <w:pPr>
              <w:pStyle w:val="TableText0"/>
              <w:keepLines/>
              <w:rPr>
                <w:lang w:val="en-US"/>
              </w:rPr>
            </w:pPr>
            <w:r>
              <w:t>FF/UMEC/VI cost</w:t>
            </w:r>
          </w:p>
        </w:tc>
        <w:tc>
          <w:tcPr>
            <w:tcW w:w="2270" w:type="pct"/>
            <w:shd w:val="clear" w:color="auto" w:fill="auto"/>
            <w:vAlign w:val="center"/>
          </w:tcPr>
          <w:p w:rsidR="00C43D9B" w:rsidRDefault="00C43D9B" w:rsidP="00CF7BB2">
            <w:pPr>
              <w:pStyle w:val="TableText0"/>
              <w:keepLines/>
            </w:pPr>
            <w:r>
              <w:t>$</w:t>
            </w:r>
            <w:r w:rsidR="00C764F0">
              <w:rPr>
                <w:noProof/>
                <w:color w:val="000000"/>
                <w:highlight w:val="black"/>
              </w:rPr>
              <w:t>'''''''''''''</w:t>
            </w:r>
          </w:p>
          <w:p w:rsidR="00C43D9B" w:rsidRPr="00E2771E" w:rsidRDefault="00C43D9B" w:rsidP="00CF7BB2">
            <w:pPr>
              <w:pStyle w:val="TableText0"/>
              <w:keepLines/>
              <w:rPr>
                <w:lang w:val="en-US"/>
              </w:rPr>
            </w:pPr>
            <w:r>
              <w:rPr>
                <w:lang w:val="en-US"/>
              </w:rPr>
              <w:t xml:space="preserve">Source: </w:t>
            </w:r>
            <w:r w:rsidRPr="00C43D9B">
              <w:rPr>
                <w:lang w:val="en-US"/>
              </w:rPr>
              <w:t>Current DPMQ (Item 11379X)</w:t>
            </w:r>
          </w:p>
        </w:tc>
        <w:tc>
          <w:tcPr>
            <w:tcW w:w="1780" w:type="pct"/>
            <w:shd w:val="clear" w:color="auto" w:fill="auto"/>
            <w:vAlign w:val="center"/>
          </w:tcPr>
          <w:p w:rsidR="00C43D9B" w:rsidRPr="0043025E" w:rsidRDefault="0016430A" w:rsidP="00CF7BB2">
            <w:pPr>
              <w:pStyle w:val="TableText0"/>
              <w:keepLines/>
              <w:rPr>
                <w:lang w:val="en-US"/>
              </w:rPr>
            </w:pPr>
            <w:r w:rsidRPr="0043025E">
              <w:rPr>
                <w:lang w:val="en-US"/>
              </w:rPr>
              <w:t>Reasonable</w:t>
            </w:r>
            <w:r w:rsidR="00BD2F1D" w:rsidRPr="0043025E">
              <w:rPr>
                <w:lang w:val="en-US"/>
              </w:rPr>
              <w:t>.</w:t>
            </w:r>
          </w:p>
        </w:tc>
      </w:tr>
    </w:tbl>
    <w:p w:rsidR="00C43D9B" w:rsidRDefault="00C43D9B" w:rsidP="00CF7BB2">
      <w:pPr>
        <w:pStyle w:val="TableFigureFooter"/>
        <w:keepNext/>
        <w:keepLines/>
      </w:pPr>
      <w:r>
        <w:t>Abbreviations:</w:t>
      </w:r>
      <w:r w:rsidRPr="00ED3D9E">
        <w:t xml:space="preserve"> COPD=chronic obstructive pulmonary disease; BUD=budesonide; DPMQ=dispensed price for maximum quantity; FDC=fixed dose combination; FF=fluticasone fumarate; FOR=formoterol fumarate</w:t>
      </w:r>
      <w:r>
        <w:t xml:space="preserve"> dihydrate</w:t>
      </w:r>
      <w:r w:rsidRPr="00ED3D9E">
        <w:t>; GLY=glycopyrronium; ICS=inhaled corticosteroids; LABA=long acting beta-2 agonist; LAMA=long acting muscarinic antagonist; UMEC=umeclidinium; VI=vilanterol trifen</w:t>
      </w:r>
      <w:r w:rsidR="008A42E8">
        <w:t>at</w:t>
      </w:r>
      <w:r w:rsidRPr="00ED3D9E">
        <w:t>ate</w:t>
      </w:r>
      <w:r w:rsidR="008A42E8">
        <w:t>.</w:t>
      </w:r>
    </w:p>
    <w:p w:rsidR="00C43D9B" w:rsidRPr="00B1011F" w:rsidRDefault="00C43D9B" w:rsidP="00C43D9B">
      <w:pPr>
        <w:pStyle w:val="TableFigureFooter"/>
        <w:rPr>
          <w:sz w:val="20"/>
        </w:rPr>
      </w:pPr>
      <w:r>
        <w:t>Source: Table 4.1.1, p96 of the submission.</w:t>
      </w:r>
    </w:p>
    <w:p w:rsidR="00442107" w:rsidRDefault="00442107">
      <w:pPr>
        <w:jc w:val="left"/>
        <w:rPr>
          <w:rFonts w:asciiTheme="minorHAnsi" w:hAnsiTheme="minorHAnsi"/>
          <w:snapToGrid w:val="0"/>
        </w:rPr>
      </w:pPr>
      <w:r>
        <w:br w:type="page"/>
      </w:r>
    </w:p>
    <w:p w:rsidR="007F7617" w:rsidRDefault="00C43D9B" w:rsidP="002B05A1">
      <w:pPr>
        <w:pStyle w:val="3-BodyText"/>
      </w:pPr>
      <w:r w:rsidRPr="00C43D9B">
        <w:lastRenderedPageBreak/>
        <w:t xml:space="preserve">Table </w:t>
      </w:r>
      <w:r>
        <w:t>9</w:t>
      </w:r>
      <w:r w:rsidRPr="00C43D9B">
        <w:t xml:space="preserve"> summarises the estimated net financial implications for the proposed listing of BUD/GLY/FOR on the PBS/RPBS for COPD.</w:t>
      </w:r>
    </w:p>
    <w:p w:rsidR="00C43D9B" w:rsidRPr="00606FBA" w:rsidRDefault="00C43D9B" w:rsidP="00C43D9B">
      <w:pPr>
        <w:pStyle w:val="TableFigureHeading"/>
      </w:pPr>
      <w:r w:rsidRPr="00606FBA">
        <w:rPr>
          <w:rStyle w:val="CommentReference"/>
          <w:b/>
          <w:szCs w:val="24"/>
        </w:rPr>
        <w:t xml:space="preserve">Table </w:t>
      </w:r>
      <w:r>
        <w:rPr>
          <w:rStyle w:val="CommentReference"/>
          <w:b/>
          <w:szCs w:val="24"/>
        </w:rPr>
        <w:t>9</w:t>
      </w:r>
      <w:r w:rsidRPr="00606FBA">
        <w:rPr>
          <w:rStyle w:val="CommentReference"/>
          <w:b/>
          <w:szCs w:val="24"/>
        </w:rPr>
        <w:t>: Estimated use and financial implications</w:t>
      </w:r>
      <w:r>
        <w:rPr>
          <w:rStyle w:val="CommentReference"/>
          <w:b/>
          <w:szCs w:val="24"/>
        </w:rPr>
        <w:t xml:space="preserve"> to the PBS/RPBS of BUD/GLY/FOR COPD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1079"/>
        <w:gridCol w:w="1078"/>
        <w:gridCol w:w="1078"/>
        <w:gridCol w:w="1078"/>
        <w:gridCol w:w="1078"/>
        <w:gridCol w:w="1078"/>
      </w:tblGrid>
      <w:tr w:rsidR="00C43D9B" w:rsidRPr="00D1078F" w:rsidTr="00647067">
        <w:trPr>
          <w:tblHeader/>
        </w:trPr>
        <w:tc>
          <w:tcPr>
            <w:tcW w:w="1412" w:type="pct"/>
            <w:shd w:val="clear" w:color="auto" w:fill="auto"/>
            <w:vAlign w:val="center"/>
          </w:tcPr>
          <w:p w:rsidR="00C43D9B" w:rsidRPr="003639A6" w:rsidRDefault="00C43D9B" w:rsidP="00647067">
            <w:pPr>
              <w:pStyle w:val="In-tableHeading"/>
              <w:jc w:val="center"/>
            </w:pPr>
          </w:p>
        </w:tc>
        <w:tc>
          <w:tcPr>
            <w:tcW w:w="598" w:type="pct"/>
            <w:shd w:val="clear" w:color="auto" w:fill="auto"/>
            <w:vAlign w:val="center"/>
          </w:tcPr>
          <w:p w:rsidR="00C43D9B" w:rsidRDefault="00C43D9B" w:rsidP="00647067">
            <w:pPr>
              <w:pStyle w:val="In-tableHeading"/>
              <w:jc w:val="center"/>
            </w:pPr>
            <w:r w:rsidRPr="00D1078F">
              <w:t>Year 1</w:t>
            </w:r>
          </w:p>
          <w:p w:rsidR="00C43D9B" w:rsidRPr="00D1078F" w:rsidRDefault="00C43D9B" w:rsidP="00647067">
            <w:pPr>
              <w:pStyle w:val="In-tableHeading"/>
              <w:jc w:val="center"/>
            </w:pPr>
            <w:r>
              <w:t>2021</w:t>
            </w:r>
          </w:p>
        </w:tc>
        <w:tc>
          <w:tcPr>
            <w:tcW w:w="598" w:type="pct"/>
            <w:shd w:val="clear" w:color="auto" w:fill="auto"/>
            <w:vAlign w:val="center"/>
          </w:tcPr>
          <w:p w:rsidR="00C43D9B" w:rsidRDefault="00C43D9B" w:rsidP="00647067">
            <w:pPr>
              <w:pStyle w:val="In-tableHeading"/>
              <w:jc w:val="center"/>
            </w:pPr>
            <w:r w:rsidRPr="00D1078F">
              <w:t>Year 2</w:t>
            </w:r>
          </w:p>
          <w:p w:rsidR="00C43D9B" w:rsidRPr="00D1078F" w:rsidRDefault="00C43D9B" w:rsidP="00647067">
            <w:pPr>
              <w:pStyle w:val="In-tableHeading"/>
              <w:jc w:val="center"/>
            </w:pPr>
            <w:r>
              <w:t>2022</w:t>
            </w:r>
          </w:p>
        </w:tc>
        <w:tc>
          <w:tcPr>
            <w:tcW w:w="598" w:type="pct"/>
            <w:shd w:val="clear" w:color="auto" w:fill="auto"/>
            <w:vAlign w:val="center"/>
          </w:tcPr>
          <w:p w:rsidR="00C43D9B" w:rsidRDefault="00C43D9B" w:rsidP="00647067">
            <w:pPr>
              <w:pStyle w:val="In-tableHeading"/>
              <w:jc w:val="center"/>
            </w:pPr>
            <w:r w:rsidRPr="00D1078F">
              <w:t>Year 3</w:t>
            </w:r>
          </w:p>
          <w:p w:rsidR="00C43D9B" w:rsidRPr="00D1078F" w:rsidRDefault="00C43D9B" w:rsidP="00647067">
            <w:pPr>
              <w:pStyle w:val="In-tableHeading"/>
              <w:jc w:val="center"/>
            </w:pPr>
            <w:r>
              <w:t>2023</w:t>
            </w:r>
          </w:p>
        </w:tc>
        <w:tc>
          <w:tcPr>
            <w:tcW w:w="598" w:type="pct"/>
            <w:shd w:val="clear" w:color="auto" w:fill="auto"/>
            <w:vAlign w:val="center"/>
          </w:tcPr>
          <w:p w:rsidR="00C43D9B" w:rsidRDefault="00C43D9B" w:rsidP="00647067">
            <w:pPr>
              <w:pStyle w:val="In-tableHeading"/>
              <w:jc w:val="center"/>
            </w:pPr>
            <w:r w:rsidRPr="00D1078F">
              <w:t>Year 4</w:t>
            </w:r>
          </w:p>
          <w:p w:rsidR="00C43D9B" w:rsidRPr="00D1078F" w:rsidRDefault="00C43D9B" w:rsidP="00647067">
            <w:pPr>
              <w:pStyle w:val="In-tableHeading"/>
              <w:jc w:val="center"/>
            </w:pPr>
            <w:r>
              <w:t>2024</w:t>
            </w:r>
          </w:p>
        </w:tc>
        <w:tc>
          <w:tcPr>
            <w:tcW w:w="598" w:type="pct"/>
            <w:shd w:val="clear" w:color="auto" w:fill="auto"/>
            <w:vAlign w:val="center"/>
          </w:tcPr>
          <w:p w:rsidR="00C43D9B" w:rsidRDefault="00C43D9B" w:rsidP="00647067">
            <w:pPr>
              <w:pStyle w:val="In-tableHeading"/>
              <w:jc w:val="center"/>
            </w:pPr>
            <w:r w:rsidRPr="00D1078F">
              <w:t>Year 5</w:t>
            </w:r>
          </w:p>
          <w:p w:rsidR="00C43D9B" w:rsidRPr="00D1078F" w:rsidRDefault="00C43D9B" w:rsidP="00647067">
            <w:pPr>
              <w:pStyle w:val="In-tableHeading"/>
              <w:jc w:val="center"/>
            </w:pPr>
            <w:r>
              <w:t>2025</w:t>
            </w:r>
          </w:p>
        </w:tc>
        <w:tc>
          <w:tcPr>
            <w:tcW w:w="598" w:type="pct"/>
            <w:vAlign w:val="center"/>
          </w:tcPr>
          <w:p w:rsidR="00C43D9B" w:rsidRDefault="00C43D9B" w:rsidP="00647067">
            <w:pPr>
              <w:pStyle w:val="In-tableHeading"/>
              <w:jc w:val="center"/>
            </w:pPr>
            <w:r w:rsidRPr="00D1078F">
              <w:t>Year 6</w:t>
            </w:r>
          </w:p>
          <w:p w:rsidR="00C43D9B" w:rsidRPr="00D1078F" w:rsidRDefault="00C43D9B" w:rsidP="00647067">
            <w:pPr>
              <w:pStyle w:val="In-tableHeading"/>
              <w:jc w:val="center"/>
            </w:pPr>
            <w:r>
              <w:t>2026</w:t>
            </w:r>
          </w:p>
        </w:tc>
      </w:tr>
      <w:tr w:rsidR="00C43D9B" w:rsidRPr="003639A6" w:rsidTr="00647067">
        <w:tc>
          <w:tcPr>
            <w:tcW w:w="1412" w:type="pct"/>
            <w:shd w:val="clear" w:color="auto" w:fill="auto"/>
            <w:vAlign w:val="center"/>
          </w:tcPr>
          <w:p w:rsidR="00C43D9B" w:rsidRPr="00A31C9B" w:rsidRDefault="00C43D9B" w:rsidP="00647067">
            <w:pPr>
              <w:pStyle w:val="TableText0"/>
              <w:rPr>
                <w:rFonts w:ascii="Times" w:hAnsi="Times"/>
                <w:b/>
              </w:rPr>
            </w:pPr>
            <w:r w:rsidRPr="00A31C9B">
              <w:rPr>
                <w:b/>
              </w:rPr>
              <w:t xml:space="preserve">Total </w:t>
            </w:r>
            <w:r>
              <w:rPr>
                <w:b/>
              </w:rPr>
              <w:t>ICS/LAMA/LABA market, FF/UMEC/VI</w:t>
            </w:r>
            <w:r w:rsidRPr="00A31C9B">
              <w:rPr>
                <w:b/>
              </w:rPr>
              <w:t xml:space="preserve"> scripts</w:t>
            </w:r>
          </w:p>
        </w:tc>
        <w:tc>
          <w:tcPr>
            <w:tcW w:w="598" w:type="pct"/>
            <w:shd w:val="clear" w:color="auto" w:fill="auto"/>
            <w:vAlign w:val="center"/>
          </w:tcPr>
          <w:p w:rsidR="00C43D9B" w:rsidRPr="00C764F0" w:rsidRDefault="00C764F0" w:rsidP="00647067">
            <w:pPr>
              <w:pStyle w:val="TableText0"/>
              <w:jc w:val="center"/>
              <w:rPr>
                <w:bCs w:val="0"/>
                <w:color w:val="000000"/>
                <w:highlight w:val="yellow"/>
              </w:rPr>
            </w:pPr>
            <w:r>
              <w:rPr>
                <w:bCs w:val="0"/>
                <w:noProof/>
                <w:color w:val="000000"/>
                <w:highlight w:val="black"/>
              </w:rPr>
              <w:t>'''''''''''''''''''''</w:t>
            </w:r>
            <w:r w:rsidR="003A5DF3">
              <w:rPr>
                <w:sz w:val="19"/>
                <w:szCs w:val="19"/>
                <w:vertAlign w:val="superscript"/>
              </w:rPr>
              <w:t>1</w:t>
            </w:r>
          </w:p>
        </w:tc>
        <w:tc>
          <w:tcPr>
            <w:tcW w:w="598" w:type="pct"/>
            <w:shd w:val="clear" w:color="auto" w:fill="auto"/>
            <w:vAlign w:val="center"/>
          </w:tcPr>
          <w:p w:rsidR="00C43D9B" w:rsidRPr="00C764F0" w:rsidRDefault="00C764F0" w:rsidP="00647067">
            <w:pPr>
              <w:pStyle w:val="TableText0"/>
              <w:jc w:val="center"/>
              <w:rPr>
                <w:bCs w:val="0"/>
                <w:color w:val="000000"/>
                <w:highlight w:val="yellow"/>
              </w:rPr>
            </w:pPr>
            <w:r>
              <w:rPr>
                <w:bCs w:val="0"/>
                <w:noProof/>
                <w:color w:val="000000"/>
                <w:highlight w:val="black"/>
              </w:rPr>
              <w:t>'''''''''''''''''</w:t>
            </w:r>
            <w:r w:rsidR="001B787A">
              <w:rPr>
                <w:sz w:val="19"/>
                <w:szCs w:val="19"/>
                <w:vertAlign w:val="superscript"/>
              </w:rPr>
              <w:t>2</w:t>
            </w:r>
          </w:p>
        </w:tc>
        <w:tc>
          <w:tcPr>
            <w:tcW w:w="598" w:type="pct"/>
            <w:shd w:val="clear" w:color="auto" w:fill="auto"/>
            <w:vAlign w:val="center"/>
          </w:tcPr>
          <w:p w:rsidR="00C43D9B" w:rsidRPr="00C764F0" w:rsidRDefault="00C764F0" w:rsidP="00647067">
            <w:pPr>
              <w:pStyle w:val="TableText0"/>
              <w:jc w:val="center"/>
              <w:rPr>
                <w:bCs w:val="0"/>
                <w:color w:val="000000"/>
                <w:highlight w:val="yellow"/>
              </w:rPr>
            </w:pPr>
            <w:r>
              <w:rPr>
                <w:bCs w:val="0"/>
                <w:noProof/>
                <w:color w:val="000000"/>
                <w:highlight w:val="black"/>
              </w:rPr>
              <w:t>''''''''''''''''''</w:t>
            </w:r>
            <w:r w:rsidR="001B787A">
              <w:rPr>
                <w:sz w:val="19"/>
                <w:szCs w:val="19"/>
                <w:vertAlign w:val="superscript"/>
              </w:rPr>
              <w:t>3</w:t>
            </w:r>
          </w:p>
        </w:tc>
        <w:tc>
          <w:tcPr>
            <w:tcW w:w="598" w:type="pct"/>
            <w:shd w:val="clear" w:color="auto" w:fill="auto"/>
            <w:vAlign w:val="center"/>
          </w:tcPr>
          <w:p w:rsidR="00C43D9B" w:rsidRPr="00C764F0" w:rsidRDefault="00C764F0" w:rsidP="00647067">
            <w:pPr>
              <w:pStyle w:val="TableText0"/>
              <w:jc w:val="center"/>
              <w:rPr>
                <w:bCs w:val="0"/>
                <w:color w:val="000000"/>
                <w:highlight w:val="yellow"/>
              </w:rPr>
            </w:pPr>
            <w:r>
              <w:rPr>
                <w:bCs w:val="0"/>
                <w:noProof/>
                <w:color w:val="000000"/>
                <w:highlight w:val="black"/>
              </w:rPr>
              <w:t>'''''''''''''''''''''''</w:t>
            </w:r>
            <w:r w:rsidR="001B787A">
              <w:rPr>
                <w:sz w:val="19"/>
                <w:szCs w:val="19"/>
                <w:vertAlign w:val="superscript"/>
              </w:rPr>
              <w:t>4</w:t>
            </w:r>
          </w:p>
        </w:tc>
        <w:tc>
          <w:tcPr>
            <w:tcW w:w="598" w:type="pct"/>
            <w:shd w:val="clear" w:color="auto" w:fill="auto"/>
            <w:vAlign w:val="center"/>
          </w:tcPr>
          <w:p w:rsidR="00C43D9B" w:rsidRPr="00C764F0" w:rsidRDefault="00C764F0" w:rsidP="00647067">
            <w:pPr>
              <w:pStyle w:val="TableText0"/>
              <w:jc w:val="center"/>
              <w:rPr>
                <w:bCs w:val="0"/>
                <w:color w:val="000000"/>
                <w:highlight w:val="yellow"/>
              </w:rPr>
            </w:pPr>
            <w:r>
              <w:rPr>
                <w:bCs w:val="0"/>
                <w:noProof/>
                <w:color w:val="000000"/>
                <w:highlight w:val="black"/>
              </w:rPr>
              <w:t>'''''''''''''''''''''''''</w:t>
            </w:r>
            <w:r w:rsidR="001B787A">
              <w:rPr>
                <w:sz w:val="19"/>
                <w:szCs w:val="19"/>
                <w:vertAlign w:val="superscript"/>
              </w:rPr>
              <w:t>4</w:t>
            </w:r>
          </w:p>
        </w:tc>
        <w:tc>
          <w:tcPr>
            <w:tcW w:w="598" w:type="pct"/>
            <w:vAlign w:val="center"/>
          </w:tcPr>
          <w:p w:rsidR="00C43D9B" w:rsidRPr="00C764F0" w:rsidRDefault="00C764F0" w:rsidP="00647067">
            <w:pPr>
              <w:pStyle w:val="TableText0"/>
              <w:jc w:val="center"/>
              <w:rPr>
                <w:bCs w:val="0"/>
                <w:color w:val="000000"/>
                <w:highlight w:val="yellow"/>
              </w:rPr>
            </w:pPr>
            <w:r>
              <w:rPr>
                <w:bCs w:val="0"/>
                <w:noProof/>
                <w:color w:val="000000"/>
                <w:highlight w:val="black"/>
              </w:rPr>
              <w:t>'''''''''''''''''''''</w:t>
            </w:r>
            <w:r w:rsidR="001B787A">
              <w:rPr>
                <w:sz w:val="19"/>
                <w:szCs w:val="19"/>
                <w:vertAlign w:val="superscript"/>
              </w:rPr>
              <w:t>4</w:t>
            </w:r>
          </w:p>
        </w:tc>
      </w:tr>
      <w:tr w:rsidR="00C43D9B" w:rsidRPr="00D1078F" w:rsidTr="00647067">
        <w:tc>
          <w:tcPr>
            <w:tcW w:w="5000" w:type="pct"/>
            <w:gridSpan w:val="7"/>
            <w:tcBorders>
              <w:bottom w:val="single" w:sz="4" w:space="0" w:color="auto"/>
            </w:tcBorders>
            <w:shd w:val="clear" w:color="auto" w:fill="auto"/>
            <w:vAlign w:val="center"/>
          </w:tcPr>
          <w:p w:rsidR="00C43D9B" w:rsidRPr="00D1078F" w:rsidRDefault="00C43D9B" w:rsidP="00647067">
            <w:pPr>
              <w:pStyle w:val="In-tableHeading"/>
            </w:pPr>
            <w:r w:rsidRPr="00D1078F">
              <w:t>Estimated</w:t>
            </w:r>
            <w:r>
              <w:t xml:space="preserve"> use and</w:t>
            </w:r>
            <w:r w:rsidRPr="00D1078F">
              <w:t xml:space="preserve"> </w:t>
            </w:r>
            <w:r>
              <w:t>financial implications of the proposed medicine on the PBS/RPBS</w:t>
            </w:r>
          </w:p>
        </w:tc>
      </w:tr>
      <w:tr w:rsidR="00C43D9B" w:rsidRPr="003639A6" w:rsidTr="00647067">
        <w:tc>
          <w:tcPr>
            <w:tcW w:w="1412" w:type="pct"/>
            <w:tcBorders>
              <w:bottom w:val="nil"/>
            </w:tcBorders>
            <w:shd w:val="clear" w:color="auto" w:fill="auto"/>
            <w:vAlign w:val="center"/>
          </w:tcPr>
          <w:p w:rsidR="00C43D9B" w:rsidRPr="003A5DF3" w:rsidRDefault="00C43D9B" w:rsidP="003A5DF3">
            <w:pPr>
              <w:pStyle w:val="TableText0"/>
              <w:rPr>
                <w:sz w:val="19"/>
                <w:szCs w:val="19"/>
                <w:vertAlign w:val="superscript"/>
              </w:rPr>
            </w:pPr>
            <w:r>
              <w:rPr>
                <w:sz w:val="19"/>
                <w:szCs w:val="19"/>
              </w:rPr>
              <w:t>BUD/GLY/FOR</w:t>
            </w: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tcPr>
          <w:p w:rsidR="00C43D9B" w:rsidRPr="003639A6" w:rsidRDefault="00C43D9B" w:rsidP="00647067">
            <w:pPr>
              <w:pStyle w:val="TableText0"/>
              <w:jc w:val="center"/>
            </w:pPr>
          </w:p>
        </w:tc>
      </w:tr>
      <w:tr w:rsidR="00C43D9B" w:rsidRPr="003639A6" w:rsidTr="00647067">
        <w:tc>
          <w:tcPr>
            <w:tcW w:w="1412" w:type="pct"/>
            <w:tcBorders>
              <w:top w:val="nil"/>
              <w:bottom w:val="nil"/>
            </w:tcBorders>
            <w:shd w:val="clear" w:color="auto" w:fill="auto"/>
            <w:vAlign w:val="center"/>
          </w:tcPr>
          <w:p w:rsidR="00C43D9B" w:rsidRDefault="00C43D9B" w:rsidP="00647067">
            <w:pPr>
              <w:pStyle w:val="TableText0"/>
              <w:ind w:left="112"/>
              <w:rPr>
                <w:sz w:val="19"/>
                <w:szCs w:val="19"/>
              </w:rPr>
            </w:pPr>
            <w:r>
              <w:rPr>
                <w:sz w:val="19"/>
                <w:szCs w:val="19"/>
              </w:rPr>
              <w:t>Total scripts</w:t>
            </w:r>
          </w:p>
        </w:tc>
        <w:tc>
          <w:tcPr>
            <w:tcW w:w="598" w:type="pct"/>
            <w:tcBorders>
              <w:top w:val="nil"/>
              <w:bottom w:val="nil"/>
            </w:tcBorders>
            <w:shd w:val="clear" w:color="auto" w:fill="auto"/>
            <w:vAlign w:val="center"/>
          </w:tcPr>
          <w:p w:rsidR="00C43D9B" w:rsidRPr="00C764F0" w:rsidRDefault="00C764F0" w:rsidP="00647067">
            <w:pPr>
              <w:pStyle w:val="TableText0"/>
              <w:jc w:val="center"/>
              <w:rPr>
                <w:highlight w:val="yellow"/>
              </w:rPr>
            </w:pPr>
            <w:r>
              <w:rPr>
                <w:noProof/>
                <w:color w:val="000000"/>
                <w:highlight w:val="black"/>
              </w:rPr>
              <w:t>''''''''''''''''''</w:t>
            </w:r>
            <w:r w:rsidR="001B787A">
              <w:rPr>
                <w:sz w:val="19"/>
                <w:szCs w:val="19"/>
                <w:vertAlign w:val="superscript"/>
              </w:rPr>
              <w:t>5</w:t>
            </w:r>
          </w:p>
        </w:tc>
        <w:tc>
          <w:tcPr>
            <w:tcW w:w="598" w:type="pct"/>
            <w:tcBorders>
              <w:top w:val="nil"/>
              <w:bottom w:val="nil"/>
            </w:tcBorders>
            <w:shd w:val="clear" w:color="auto" w:fill="auto"/>
            <w:vAlign w:val="center"/>
          </w:tcPr>
          <w:p w:rsidR="00C43D9B" w:rsidRPr="00C764F0" w:rsidRDefault="00C764F0" w:rsidP="00647067">
            <w:pPr>
              <w:pStyle w:val="TableText0"/>
              <w:jc w:val="center"/>
              <w:rPr>
                <w:highlight w:val="yellow"/>
              </w:rPr>
            </w:pPr>
            <w:r>
              <w:rPr>
                <w:noProof/>
                <w:color w:val="000000"/>
                <w:highlight w:val="black"/>
              </w:rPr>
              <w:t>'''''''''''''''''''''</w:t>
            </w:r>
            <w:r w:rsidR="001B787A">
              <w:rPr>
                <w:sz w:val="19"/>
                <w:szCs w:val="19"/>
                <w:vertAlign w:val="superscript"/>
              </w:rPr>
              <w:t>6</w:t>
            </w:r>
          </w:p>
        </w:tc>
        <w:tc>
          <w:tcPr>
            <w:tcW w:w="598" w:type="pct"/>
            <w:tcBorders>
              <w:top w:val="nil"/>
              <w:bottom w:val="nil"/>
            </w:tcBorders>
            <w:shd w:val="clear" w:color="auto" w:fill="auto"/>
            <w:vAlign w:val="center"/>
          </w:tcPr>
          <w:p w:rsidR="00C43D9B" w:rsidRPr="00C764F0" w:rsidRDefault="00C764F0" w:rsidP="00647067">
            <w:pPr>
              <w:pStyle w:val="TableText0"/>
              <w:jc w:val="center"/>
              <w:rPr>
                <w:highlight w:val="yellow"/>
              </w:rPr>
            </w:pPr>
            <w:r>
              <w:rPr>
                <w:noProof/>
                <w:color w:val="000000"/>
                <w:highlight w:val="black"/>
              </w:rPr>
              <w:t>'''''''''''''''''</w:t>
            </w:r>
            <w:r w:rsidR="001B787A">
              <w:rPr>
                <w:sz w:val="19"/>
                <w:szCs w:val="19"/>
                <w:vertAlign w:val="superscript"/>
              </w:rPr>
              <w:t>6</w:t>
            </w:r>
          </w:p>
        </w:tc>
        <w:tc>
          <w:tcPr>
            <w:tcW w:w="598" w:type="pct"/>
            <w:tcBorders>
              <w:top w:val="nil"/>
              <w:bottom w:val="nil"/>
            </w:tcBorders>
            <w:shd w:val="clear" w:color="auto" w:fill="auto"/>
            <w:vAlign w:val="center"/>
          </w:tcPr>
          <w:p w:rsidR="00C43D9B" w:rsidRPr="00C764F0" w:rsidRDefault="00C764F0" w:rsidP="00647067">
            <w:pPr>
              <w:pStyle w:val="TableText0"/>
              <w:jc w:val="center"/>
              <w:rPr>
                <w:highlight w:val="yellow"/>
              </w:rPr>
            </w:pPr>
            <w:r>
              <w:rPr>
                <w:noProof/>
                <w:color w:val="000000"/>
                <w:highlight w:val="black"/>
              </w:rPr>
              <w:t>''''''''''''''''''''</w:t>
            </w:r>
            <w:r w:rsidR="001B787A">
              <w:rPr>
                <w:sz w:val="19"/>
                <w:szCs w:val="19"/>
                <w:vertAlign w:val="superscript"/>
              </w:rPr>
              <w:t>7</w:t>
            </w:r>
          </w:p>
        </w:tc>
        <w:tc>
          <w:tcPr>
            <w:tcW w:w="598" w:type="pct"/>
            <w:tcBorders>
              <w:top w:val="nil"/>
              <w:bottom w:val="nil"/>
            </w:tcBorders>
            <w:shd w:val="clear" w:color="auto" w:fill="auto"/>
            <w:vAlign w:val="center"/>
          </w:tcPr>
          <w:p w:rsidR="00C43D9B" w:rsidRPr="00C764F0" w:rsidRDefault="00C764F0" w:rsidP="00647067">
            <w:pPr>
              <w:pStyle w:val="TableText0"/>
              <w:jc w:val="center"/>
              <w:rPr>
                <w:highlight w:val="yellow"/>
              </w:rPr>
            </w:pPr>
            <w:r>
              <w:rPr>
                <w:noProof/>
                <w:color w:val="000000"/>
                <w:highlight w:val="black"/>
              </w:rPr>
              <w:t>''''''''''''''''''''</w:t>
            </w:r>
            <w:r w:rsidR="001B787A">
              <w:rPr>
                <w:sz w:val="19"/>
                <w:szCs w:val="19"/>
                <w:vertAlign w:val="superscript"/>
              </w:rPr>
              <w:t>8</w:t>
            </w:r>
          </w:p>
        </w:tc>
        <w:tc>
          <w:tcPr>
            <w:tcW w:w="598" w:type="pct"/>
            <w:tcBorders>
              <w:top w:val="nil"/>
              <w:bottom w:val="nil"/>
            </w:tcBorders>
            <w:vAlign w:val="center"/>
          </w:tcPr>
          <w:p w:rsidR="00C43D9B" w:rsidRPr="00C764F0" w:rsidRDefault="00C764F0" w:rsidP="00647067">
            <w:pPr>
              <w:pStyle w:val="TableText0"/>
              <w:jc w:val="center"/>
              <w:rPr>
                <w:highlight w:val="yellow"/>
              </w:rPr>
            </w:pPr>
            <w:r>
              <w:rPr>
                <w:noProof/>
                <w:color w:val="000000"/>
                <w:highlight w:val="black"/>
              </w:rPr>
              <w:t>'''''''''''''''''''''</w:t>
            </w:r>
            <w:r w:rsidR="001B787A">
              <w:rPr>
                <w:sz w:val="19"/>
                <w:szCs w:val="19"/>
                <w:vertAlign w:val="superscript"/>
              </w:rPr>
              <w:t>8</w:t>
            </w:r>
          </w:p>
        </w:tc>
      </w:tr>
      <w:tr w:rsidR="00C43D9B" w:rsidRPr="003639A6" w:rsidTr="00647067">
        <w:tc>
          <w:tcPr>
            <w:tcW w:w="1412" w:type="pct"/>
            <w:tcBorders>
              <w:top w:val="nil"/>
              <w:bottom w:val="nil"/>
            </w:tcBorders>
            <w:shd w:val="clear" w:color="auto" w:fill="auto"/>
            <w:vAlign w:val="center"/>
          </w:tcPr>
          <w:p w:rsidR="00C43D9B" w:rsidRDefault="00C43D9B" w:rsidP="00647067">
            <w:pPr>
              <w:pStyle w:val="TableText0"/>
              <w:ind w:left="112"/>
              <w:rPr>
                <w:sz w:val="19"/>
                <w:szCs w:val="19"/>
              </w:rPr>
            </w:pPr>
            <w:r>
              <w:rPr>
                <w:sz w:val="19"/>
                <w:szCs w:val="19"/>
              </w:rPr>
              <w:t>PBS/RPBS cost</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1B787A">
              <w:rPr>
                <w:sz w:val="19"/>
                <w:szCs w:val="19"/>
                <w:vertAlign w:val="superscript"/>
              </w:rPr>
              <w:t>9</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1B787A">
              <w:rPr>
                <w:sz w:val="19"/>
                <w:szCs w:val="19"/>
                <w:vertAlign w:val="superscript"/>
              </w:rPr>
              <w:t>0</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1B787A">
              <w:rPr>
                <w:sz w:val="19"/>
                <w:szCs w:val="19"/>
                <w:vertAlign w:val="superscript"/>
              </w:rPr>
              <w:t>1</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1B787A">
              <w:rPr>
                <w:sz w:val="19"/>
                <w:szCs w:val="19"/>
                <w:vertAlign w:val="superscript"/>
              </w:rPr>
              <w:t>2</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3</w:t>
            </w:r>
          </w:p>
        </w:tc>
        <w:tc>
          <w:tcPr>
            <w:tcW w:w="598" w:type="pct"/>
            <w:tcBorders>
              <w:top w:val="nil"/>
              <w:bottom w:val="nil"/>
            </w:tcBorders>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3</w:t>
            </w:r>
          </w:p>
        </w:tc>
      </w:tr>
      <w:tr w:rsidR="00C43D9B" w:rsidRPr="003639A6" w:rsidTr="00647067">
        <w:tc>
          <w:tcPr>
            <w:tcW w:w="1412" w:type="pct"/>
            <w:tcBorders>
              <w:top w:val="nil"/>
            </w:tcBorders>
            <w:shd w:val="clear" w:color="auto" w:fill="auto"/>
            <w:vAlign w:val="center"/>
          </w:tcPr>
          <w:p w:rsidR="00C43D9B" w:rsidRDefault="00C43D9B" w:rsidP="00647067">
            <w:pPr>
              <w:pStyle w:val="TableText0"/>
              <w:ind w:left="112"/>
              <w:rPr>
                <w:sz w:val="19"/>
                <w:szCs w:val="19"/>
              </w:rPr>
            </w:pPr>
            <w:r>
              <w:rPr>
                <w:sz w:val="19"/>
                <w:szCs w:val="19"/>
              </w:rPr>
              <w:t>PBS/RPBS net cost (less co-pay)</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0</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1</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0B7A9B">
              <w:rPr>
                <w:noProof/>
                <w:color w:val="000000"/>
                <w:highlight w:val="black"/>
              </w:rPr>
              <w:t>''''''''''''''''</w:t>
            </w:r>
            <w:r w:rsidR="00C764F0">
              <w:rPr>
                <w:noProof/>
                <w:color w:val="000000"/>
                <w:highlight w:val="black"/>
              </w:rPr>
              <w:t>'''''''''</w:t>
            </w:r>
            <w:r w:rsidR="003A5DF3">
              <w:rPr>
                <w:sz w:val="19"/>
                <w:szCs w:val="19"/>
                <w:vertAlign w:val="superscript"/>
              </w:rPr>
              <w:t>1</w:t>
            </w:r>
            <w:r w:rsidR="005C6D73">
              <w:rPr>
                <w:sz w:val="19"/>
                <w:szCs w:val="19"/>
                <w:vertAlign w:val="superscript"/>
              </w:rPr>
              <w:t>2</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2</w:t>
            </w:r>
          </w:p>
        </w:tc>
        <w:tc>
          <w:tcPr>
            <w:tcW w:w="598" w:type="pct"/>
            <w:tcBorders>
              <w:top w:val="nil"/>
            </w:tcBorders>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3</w:t>
            </w:r>
          </w:p>
        </w:tc>
      </w:tr>
      <w:tr w:rsidR="00C43D9B" w:rsidRPr="003639A6" w:rsidTr="00647067">
        <w:tc>
          <w:tcPr>
            <w:tcW w:w="5000" w:type="pct"/>
            <w:gridSpan w:val="7"/>
            <w:tcBorders>
              <w:bottom w:val="single" w:sz="4" w:space="0" w:color="auto"/>
            </w:tcBorders>
            <w:shd w:val="clear" w:color="auto" w:fill="auto"/>
            <w:vAlign w:val="center"/>
          </w:tcPr>
          <w:p w:rsidR="00C43D9B" w:rsidRPr="00A31C9B" w:rsidRDefault="00C43D9B" w:rsidP="00647067">
            <w:pPr>
              <w:pStyle w:val="TableText0"/>
              <w:rPr>
                <w:b/>
              </w:rPr>
            </w:pPr>
            <w:r w:rsidRPr="00A31C9B">
              <w:rPr>
                <w:b/>
              </w:rPr>
              <w:t xml:space="preserve">Estimated </w:t>
            </w:r>
            <w:r>
              <w:rPr>
                <w:b/>
              </w:rPr>
              <w:t xml:space="preserve">change in use and </w:t>
            </w:r>
            <w:r w:rsidRPr="00A31C9B">
              <w:rPr>
                <w:b/>
              </w:rPr>
              <w:t xml:space="preserve">financial implications for other </w:t>
            </w:r>
            <w:r>
              <w:rPr>
                <w:b/>
              </w:rPr>
              <w:t>comparators</w:t>
            </w:r>
          </w:p>
        </w:tc>
      </w:tr>
      <w:tr w:rsidR="00C43D9B" w:rsidRPr="003639A6" w:rsidTr="00647067">
        <w:tc>
          <w:tcPr>
            <w:tcW w:w="1412" w:type="pct"/>
            <w:tcBorders>
              <w:bottom w:val="nil"/>
            </w:tcBorders>
            <w:shd w:val="clear" w:color="auto" w:fill="auto"/>
            <w:vAlign w:val="center"/>
          </w:tcPr>
          <w:p w:rsidR="00C43D9B" w:rsidRDefault="00C43D9B" w:rsidP="00647067">
            <w:pPr>
              <w:pStyle w:val="TableText0"/>
              <w:rPr>
                <w:sz w:val="19"/>
                <w:szCs w:val="19"/>
              </w:rPr>
            </w:pPr>
            <w:r>
              <w:rPr>
                <w:sz w:val="19"/>
                <w:szCs w:val="19"/>
              </w:rPr>
              <w:t>FF/UMEC/VI</w:t>
            </w: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shd w:val="clear" w:color="auto" w:fill="auto"/>
            <w:vAlign w:val="center"/>
          </w:tcPr>
          <w:p w:rsidR="00C43D9B" w:rsidRPr="003639A6" w:rsidRDefault="00C43D9B" w:rsidP="00647067">
            <w:pPr>
              <w:pStyle w:val="TableText0"/>
              <w:jc w:val="center"/>
            </w:pPr>
          </w:p>
        </w:tc>
        <w:tc>
          <w:tcPr>
            <w:tcW w:w="598" w:type="pct"/>
            <w:tcBorders>
              <w:bottom w:val="nil"/>
            </w:tcBorders>
          </w:tcPr>
          <w:p w:rsidR="00C43D9B" w:rsidRPr="003639A6" w:rsidRDefault="00C43D9B" w:rsidP="00647067">
            <w:pPr>
              <w:pStyle w:val="TableText0"/>
              <w:jc w:val="center"/>
            </w:pPr>
          </w:p>
        </w:tc>
      </w:tr>
      <w:tr w:rsidR="00C43D9B" w:rsidRPr="003639A6" w:rsidTr="00647067">
        <w:tc>
          <w:tcPr>
            <w:tcW w:w="1412" w:type="pct"/>
            <w:tcBorders>
              <w:top w:val="nil"/>
              <w:bottom w:val="nil"/>
            </w:tcBorders>
            <w:shd w:val="clear" w:color="auto" w:fill="auto"/>
            <w:vAlign w:val="center"/>
          </w:tcPr>
          <w:p w:rsidR="00C43D9B" w:rsidRDefault="00C43D9B" w:rsidP="00647067">
            <w:pPr>
              <w:pStyle w:val="TableText0"/>
              <w:ind w:left="112"/>
              <w:rPr>
                <w:sz w:val="19"/>
                <w:szCs w:val="19"/>
              </w:rPr>
            </w:pPr>
            <w:r>
              <w:rPr>
                <w:sz w:val="19"/>
                <w:szCs w:val="19"/>
              </w:rPr>
              <w:t>Total scripts</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5</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6</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6</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7</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8</w:t>
            </w:r>
          </w:p>
        </w:tc>
        <w:tc>
          <w:tcPr>
            <w:tcW w:w="598" w:type="pct"/>
            <w:tcBorders>
              <w:top w:val="nil"/>
              <w:bottom w:val="nil"/>
            </w:tcBorders>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8</w:t>
            </w:r>
          </w:p>
        </w:tc>
      </w:tr>
      <w:tr w:rsidR="00C43D9B" w:rsidRPr="003639A6" w:rsidTr="00647067">
        <w:tc>
          <w:tcPr>
            <w:tcW w:w="1412" w:type="pct"/>
            <w:tcBorders>
              <w:top w:val="nil"/>
              <w:bottom w:val="nil"/>
            </w:tcBorders>
            <w:shd w:val="clear" w:color="auto" w:fill="auto"/>
            <w:vAlign w:val="center"/>
          </w:tcPr>
          <w:p w:rsidR="00C43D9B" w:rsidRDefault="00C43D9B" w:rsidP="00647067">
            <w:pPr>
              <w:pStyle w:val="TableText0"/>
              <w:ind w:left="112"/>
              <w:rPr>
                <w:sz w:val="19"/>
                <w:szCs w:val="19"/>
              </w:rPr>
            </w:pPr>
            <w:r>
              <w:rPr>
                <w:sz w:val="19"/>
                <w:szCs w:val="19"/>
              </w:rPr>
              <w:t>PBS/RPBS cost</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0</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0B7A9B">
              <w:rPr>
                <w:noProof/>
                <w:color w:val="000000"/>
                <w:highlight w:val="black"/>
              </w:rPr>
              <w:t>''''''''''''</w:t>
            </w:r>
            <w:r w:rsidR="00C764F0">
              <w:rPr>
                <w:noProof/>
                <w:color w:val="000000"/>
                <w:highlight w:val="black"/>
              </w:rPr>
              <w:t>'''''''''''</w:t>
            </w:r>
            <w:r w:rsidR="003A5DF3">
              <w:rPr>
                <w:sz w:val="19"/>
                <w:szCs w:val="19"/>
                <w:vertAlign w:val="superscript"/>
              </w:rPr>
              <w:t>1</w:t>
            </w:r>
            <w:r w:rsidR="005C6D73">
              <w:rPr>
                <w:sz w:val="19"/>
                <w:szCs w:val="19"/>
                <w:vertAlign w:val="superscript"/>
              </w:rPr>
              <w:t>1</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0B7A9B">
              <w:rPr>
                <w:noProof/>
                <w:color w:val="000000"/>
                <w:highlight w:val="black"/>
              </w:rPr>
              <w:t>'''''''''''''</w:t>
            </w:r>
            <w:r w:rsidR="00C764F0">
              <w:rPr>
                <w:noProof/>
                <w:color w:val="000000"/>
                <w:highlight w:val="black"/>
              </w:rPr>
              <w:t>''''''''''</w:t>
            </w:r>
            <w:r w:rsidR="003A5DF3">
              <w:rPr>
                <w:sz w:val="19"/>
                <w:szCs w:val="19"/>
                <w:vertAlign w:val="superscript"/>
              </w:rPr>
              <w:t>1</w:t>
            </w:r>
            <w:r w:rsidR="005C6D73">
              <w:rPr>
                <w:sz w:val="19"/>
                <w:szCs w:val="19"/>
                <w:vertAlign w:val="superscript"/>
              </w:rPr>
              <w:t>2</w:t>
            </w:r>
          </w:p>
        </w:tc>
        <w:tc>
          <w:tcPr>
            <w:tcW w:w="598" w:type="pct"/>
            <w:tcBorders>
              <w:top w:val="nil"/>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3</w:t>
            </w:r>
          </w:p>
        </w:tc>
        <w:tc>
          <w:tcPr>
            <w:tcW w:w="598" w:type="pct"/>
            <w:tcBorders>
              <w:top w:val="nil"/>
              <w:bottom w:val="nil"/>
            </w:tcBorders>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3</w:t>
            </w:r>
          </w:p>
        </w:tc>
      </w:tr>
      <w:tr w:rsidR="00C43D9B" w:rsidRPr="003639A6" w:rsidTr="00647067">
        <w:tc>
          <w:tcPr>
            <w:tcW w:w="1412" w:type="pct"/>
            <w:tcBorders>
              <w:top w:val="nil"/>
            </w:tcBorders>
            <w:shd w:val="clear" w:color="auto" w:fill="auto"/>
            <w:vAlign w:val="center"/>
          </w:tcPr>
          <w:p w:rsidR="00C43D9B" w:rsidRDefault="00C43D9B" w:rsidP="00647067">
            <w:pPr>
              <w:pStyle w:val="TableText0"/>
              <w:ind w:left="112"/>
              <w:rPr>
                <w:sz w:val="19"/>
                <w:szCs w:val="19"/>
              </w:rPr>
            </w:pPr>
            <w:r>
              <w:rPr>
                <w:sz w:val="19"/>
                <w:szCs w:val="19"/>
              </w:rPr>
              <w:t>PBS/RPBS net cost (less co-pay)</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0</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1</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2</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2</w:t>
            </w:r>
          </w:p>
        </w:tc>
        <w:tc>
          <w:tcPr>
            <w:tcW w:w="598" w:type="pct"/>
            <w:tcBorders>
              <w:top w:val="nil"/>
            </w:tcBorders>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3A5DF3">
              <w:rPr>
                <w:sz w:val="19"/>
                <w:szCs w:val="19"/>
                <w:vertAlign w:val="superscript"/>
              </w:rPr>
              <w:t>1</w:t>
            </w:r>
            <w:r w:rsidR="005C6D73">
              <w:rPr>
                <w:sz w:val="19"/>
                <w:szCs w:val="19"/>
                <w:vertAlign w:val="superscript"/>
              </w:rPr>
              <w:t>3</w:t>
            </w:r>
          </w:p>
        </w:tc>
      </w:tr>
      <w:tr w:rsidR="00C43D9B" w:rsidRPr="00FC22AB" w:rsidTr="00647067">
        <w:tc>
          <w:tcPr>
            <w:tcW w:w="5000" w:type="pct"/>
            <w:gridSpan w:val="7"/>
            <w:tcBorders>
              <w:bottom w:val="single" w:sz="4" w:space="0" w:color="auto"/>
            </w:tcBorders>
            <w:shd w:val="clear" w:color="auto" w:fill="auto"/>
            <w:vAlign w:val="center"/>
          </w:tcPr>
          <w:p w:rsidR="00C43D9B" w:rsidRPr="00FC22AB" w:rsidRDefault="00C43D9B" w:rsidP="00647067">
            <w:pPr>
              <w:pStyle w:val="In-tableHeading"/>
            </w:pPr>
            <w:r w:rsidRPr="00FC22AB">
              <w:t>Net financial implications</w:t>
            </w:r>
            <w:r>
              <w:t xml:space="preserve"> for the PBS/RPBS and the Health budget</w:t>
            </w:r>
          </w:p>
        </w:tc>
      </w:tr>
      <w:tr w:rsidR="00C43D9B" w:rsidRPr="003639A6" w:rsidTr="00647067">
        <w:tc>
          <w:tcPr>
            <w:tcW w:w="1412" w:type="pct"/>
            <w:tcBorders>
              <w:bottom w:val="nil"/>
            </w:tcBorders>
            <w:shd w:val="clear" w:color="auto" w:fill="auto"/>
            <w:vAlign w:val="center"/>
          </w:tcPr>
          <w:p w:rsidR="00C43D9B" w:rsidRDefault="00C43D9B" w:rsidP="00647067">
            <w:pPr>
              <w:pStyle w:val="TableText0"/>
              <w:rPr>
                <w:sz w:val="19"/>
                <w:szCs w:val="19"/>
              </w:rPr>
            </w:pPr>
            <w:r>
              <w:rPr>
                <w:sz w:val="19"/>
                <w:szCs w:val="19"/>
              </w:rPr>
              <w:t>PBS/RPBS cost</w:t>
            </w:r>
          </w:p>
        </w:tc>
        <w:tc>
          <w:tcPr>
            <w:tcW w:w="598" w:type="pct"/>
            <w:tcBorders>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bottom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bottom w:val="nil"/>
            </w:tcBorders>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r>
      <w:tr w:rsidR="00C43D9B" w:rsidRPr="003639A6" w:rsidTr="00647067">
        <w:tc>
          <w:tcPr>
            <w:tcW w:w="1412" w:type="pct"/>
            <w:tcBorders>
              <w:top w:val="nil"/>
            </w:tcBorders>
            <w:shd w:val="clear" w:color="auto" w:fill="auto"/>
            <w:vAlign w:val="center"/>
          </w:tcPr>
          <w:p w:rsidR="00C43D9B" w:rsidRPr="003639A6" w:rsidRDefault="00C43D9B" w:rsidP="00647067">
            <w:pPr>
              <w:pStyle w:val="TableText0"/>
              <w:rPr>
                <w:sz w:val="19"/>
                <w:szCs w:val="19"/>
              </w:rPr>
            </w:pPr>
            <w:r>
              <w:rPr>
                <w:sz w:val="19"/>
                <w:szCs w:val="19"/>
              </w:rPr>
              <w:t>PBS/RPBS net cost (less co-pay)</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top w:val="nil"/>
            </w:tcBorders>
            <w:shd w:val="clear" w:color="auto" w:fill="auto"/>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c>
          <w:tcPr>
            <w:tcW w:w="598" w:type="pct"/>
            <w:tcBorders>
              <w:top w:val="nil"/>
            </w:tcBorders>
            <w:vAlign w:val="center"/>
          </w:tcPr>
          <w:p w:rsidR="00C43D9B" w:rsidRPr="00EE48BD" w:rsidRDefault="00C43D9B" w:rsidP="00647067">
            <w:pPr>
              <w:pStyle w:val="TableText0"/>
              <w:jc w:val="center"/>
              <w:rPr>
                <w:highlight w:val="yellow"/>
              </w:rPr>
            </w:pPr>
            <w:r w:rsidRPr="008F3C42">
              <w:t>$</w:t>
            </w:r>
            <w:r w:rsidR="00C764F0">
              <w:rPr>
                <w:noProof/>
                <w:color w:val="000000"/>
                <w:highlight w:val="black"/>
              </w:rPr>
              <w:t>'''</w:t>
            </w:r>
            <w:r w:rsidR="005C6D73">
              <w:rPr>
                <w:sz w:val="19"/>
                <w:szCs w:val="19"/>
                <w:vertAlign w:val="superscript"/>
              </w:rPr>
              <w:t>9</w:t>
            </w:r>
          </w:p>
        </w:tc>
      </w:tr>
    </w:tbl>
    <w:p w:rsidR="00C43D9B" w:rsidRDefault="00C43D9B" w:rsidP="00C43D9B">
      <w:pPr>
        <w:pStyle w:val="TableFigureFooter"/>
      </w:pPr>
      <w:r>
        <w:t>Abbreviations:</w:t>
      </w:r>
      <w:r w:rsidRPr="00ED3D9E">
        <w:t xml:space="preserve"> COPD=chronic obstructive pulmonary disease; BUD=budesonide</w:t>
      </w:r>
      <w:r>
        <w:t xml:space="preserve">; </w:t>
      </w:r>
      <w:r w:rsidRPr="00ED3D9E">
        <w:t>FF=fluticasone fumarate; FOR=formoterol fumarate</w:t>
      </w:r>
      <w:r>
        <w:t xml:space="preserve"> dihydrate</w:t>
      </w:r>
      <w:r w:rsidRPr="00ED3D9E">
        <w:t>; GLY=glycopyrronium; UMEC=umeclidinium; VI=vilanterol trifen</w:t>
      </w:r>
      <w:r w:rsidR="008A42E8">
        <w:t>at</w:t>
      </w:r>
      <w:r w:rsidRPr="00ED3D9E">
        <w:t>ate</w:t>
      </w:r>
      <w:r w:rsidR="008A42E8">
        <w:t>.</w:t>
      </w:r>
    </w:p>
    <w:p w:rsidR="00C43D9B" w:rsidRDefault="00C43D9B" w:rsidP="00C43D9B">
      <w:pPr>
        <w:pStyle w:val="TableFigureFooter"/>
      </w:pPr>
      <w:r>
        <w:t xml:space="preserve">Source: Tables 4.2.2 to 4.5.1, pp98-102 </w:t>
      </w:r>
      <w:r w:rsidRPr="00D13A3E">
        <w:t xml:space="preserve">of the </w:t>
      </w:r>
      <w:r>
        <w:t>submission.</w:t>
      </w:r>
    </w:p>
    <w:p w:rsidR="003A5DF3" w:rsidRDefault="003A5DF3" w:rsidP="003A5DF3">
      <w:pPr>
        <w:pStyle w:val="TableFigureFooter"/>
        <w:spacing w:after="0"/>
        <w:contextualSpacing w:val="0"/>
        <w:rPr>
          <w:i/>
        </w:rPr>
      </w:pPr>
      <w:r w:rsidRPr="009868C4">
        <w:rPr>
          <w:i/>
        </w:rPr>
        <w:t>The redacted values correspond to the following ranges</w:t>
      </w:r>
      <w:r>
        <w:rPr>
          <w:i/>
        </w:rPr>
        <w:t xml:space="preserve">: </w:t>
      </w:r>
    </w:p>
    <w:p w:rsidR="003A5DF3" w:rsidRPr="00870C5D" w:rsidRDefault="003A5DF3" w:rsidP="003A5DF3">
      <w:pPr>
        <w:pStyle w:val="TableFigureFooter"/>
        <w:spacing w:after="0"/>
        <w:contextualSpacing w:val="0"/>
      </w:pPr>
      <w:r>
        <w:rPr>
          <w:i/>
          <w:vertAlign w:val="superscript"/>
        </w:rPr>
        <w:t>1</w:t>
      </w:r>
      <w:r>
        <w:rPr>
          <w:i/>
        </w:rPr>
        <w:t xml:space="preserve"> </w:t>
      </w:r>
      <w:r w:rsidRPr="003A5DF3">
        <w:rPr>
          <w:i/>
        </w:rPr>
        <w:t>600,000 to &lt; 700,000</w:t>
      </w:r>
    </w:p>
    <w:p w:rsidR="003A5DF3" w:rsidRPr="00870C5D" w:rsidRDefault="003A5DF3" w:rsidP="003A5DF3">
      <w:pPr>
        <w:pStyle w:val="TableFigureFooter"/>
        <w:spacing w:after="0"/>
        <w:contextualSpacing w:val="0"/>
      </w:pPr>
      <w:r>
        <w:rPr>
          <w:i/>
          <w:vertAlign w:val="superscript"/>
        </w:rPr>
        <w:t>2</w:t>
      </w:r>
      <w:r>
        <w:rPr>
          <w:i/>
        </w:rPr>
        <w:t xml:space="preserve"> </w:t>
      </w:r>
      <w:r w:rsidRPr="003A5DF3">
        <w:rPr>
          <w:i/>
        </w:rPr>
        <w:t>800,000 to &lt; 900,000</w:t>
      </w:r>
    </w:p>
    <w:p w:rsidR="003A5DF3" w:rsidRPr="00870C5D" w:rsidRDefault="003A5DF3" w:rsidP="003A5DF3">
      <w:pPr>
        <w:pStyle w:val="TableFigureFooter"/>
        <w:spacing w:after="0"/>
        <w:contextualSpacing w:val="0"/>
      </w:pPr>
      <w:r>
        <w:rPr>
          <w:i/>
          <w:vertAlign w:val="superscript"/>
        </w:rPr>
        <w:t>3</w:t>
      </w:r>
      <w:r>
        <w:rPr>
          <w:i/>
        </w:rPr>
        <w:t xml:space="preserve"> </w:t>
      </w:r>
      <w:r w:rsidRPr="003A5DF3">
        <w:rPr>
          <w:i/>
        </w:rPr>
        <w:t>900,000 to &lt; 1,000,000</w:t>
      </w:r>
    </w:p>
    <w:p w:rsidR="003A5DF3" w:rsidRPr="00870C5D" w:rsidRDefault="003A5DF3" w:rsidP="003A5DF3">
      <w:pPr>
        <w:pStyle w:val="TableFigureFooter"/>
        <w:spacing w:after="0"/>
        <w:contextualSpacing w:val="0"/>
      </w:pPr>
      <w:r>
        <w:rPr>
          <w:i/>
          <w:vertAlign w:val="superscript"/>
        </w:rPr>
        <w:t>4</w:t>
      </w:r>
      <w:r>
        <w:rPr>
          <w:i/>
        </w:rPr>
        <w:t xml:space="preserve"> </w:t>
      </w:r>
      <w:r w:rsidRPr="003A5DF3">
        <w:rPr>
          <w:i/>
        </w:rPr>
        <w:t>1,000,000 to &lt; 2,000,000</w:t>
      </w:r>
    </w:p>
    <w:p w:rsidR="003A5DF3" w:rsidRPr="00870C5D" w:rsidRDefault="003A5DF3" w:rsidP="003A5DF3">
      <w:pPr>
        <w:pStyle w:val="TableFigureFooter"/>
        <w:spacing w:after="0"/>
        <w:contextualSpacing w:val="0"/>
      </w:pPr>
      <w:r>
        <w:rPr>
          <w:i/>
          <w:vertAlign w:val="superscript"/>
        </w:rPr>
        <w:t>5</w:t>
      </w:r>
      <w:r>
        <w:rPr>
          <w:i/>
        </w:rPr>
        <w:t xml:space="preserve"> </w:t>
      </w:r>
      <w:r w:rsidRPr="003A5DF3">
        <w:rPr>
          <w:i/>
        </w:rPr>
        <w:t>90,000 to &lt; 100,000</w:t>
      </w:r>
    </w:p>
    <w:p w:rsidR="003A5DF3" w:rsidRPr="00870C5D" w:rsidRDefault="003A5DF3" w:rsidP="003A5DF3">
      <w:pPr>
        <w:pStyle w:val="TableFigureFooter"/>
        <w:spacing w:after="0"/>
        <w:contextualSpacing w:val="0"/>
      </w:pPr>
      <w:r>
        <w:rPr>
          <w:i/>
          <w:vertAlign w:val="superscript"/>
        </w:rPr>
        <w:t>6</w:t>
      </w:r>
      <w:r>
        <w:rPr>
          <w:i/>
        </w:rPr>
        <w:t xml:space="preserve"> </w:t>
      </w:r>
      <w:r w:rsidRPr="003A5DF3">
        <w:rPr>
          <w:i/>
        </w:rPr>
        <w:t>200,000 to &lt; 300,000</w:t>
      </w:r>
    </w:p>
    <w:p w:rsidR="003A5DF3" w:rsidRPr="00870C5D" w:rsidRDefault="003A5DF3" w:rsidP="003A5DF3">
      <w:pPr>
        <w:pStyle w:val="TableFigureFooter"/>
        <w:spacing w:after="0"/>
        <w:contextualSpacing w:val="0"/>
      </w:pPr>
      <w:r>
        <w:rPr>
          <w:i/>
          <w:vertAlign w:val="superscript"/>
        </w:rPr>
        <w:t>7</w:t>
      </w:r>
      <w:r>
        <w:rPr>
          <w:i/>
        </w:rPr>
        <w:t xml:space="preserve"> </w:t>
      </w:r>
      <w:r w:rsidRPr="003A5DF3">
        <w:rPr>
          <w:i/>
        </w:rPr>
        <w:t>300,000 to &lt; 400,000</w:t>
      </w:r>
    </w:p>
    <w:p w:rsidR="003A5DF3" w:rsidRPr="00870C5D" w:rsidRDefault="003A5DF3" w:rsidP="003A5DF3">
      <w:pPr>
        <w:pStyle w:val="TableFigureFooter"/>
        <w:spacing w:after="0"/>
        <w:contextualSpacing w:val="0"/>
      </w:pPr>
      <w:r>
        <w:rPr>
          <w:i/>
          <w:vertAlign w:val="superscript"/>
        </w:rPr>
        <w:t>8</w:t>
      </w:r>
      <w:r>
        <w:rPr>
          <w:i/>
        </w:rPr>
        <w:t xml:space="preserve"> </w:t>
      </w:r>
      <w:r w:rsidRPr="003A5DF3">
        <w:rPr>
          <w:i/>
        </w:rPr>
        <w:t>400,000 to &lt; 500,000</w:t>
      </w:r>
    </w:p>
    <w:p w:rsidR="003A5DF3" w:rsidRPr="00870C5D" w:rsidRDefault="003A5DF3" w:rsidP="003A5DF3">
      <w:pPr>
        <w:pStyle w:val="TableFigureFooter"/>
        <w:spacing w:after="0"/>
        <w:contextualSpacing w:val="0"/>
      </w:pPr>
      <w:r>
        <w:rPr>
          <w:i/>
          <w:vertAlign w:val="superscript"/>
        </w:rPr>
        <w:t>9</w:t>
      </w:r>
      <w:r>
        <w:rPr>
          <w:i/>
        </w:rPr>
        <w:t xml:space="preserve"> </w:t>
      </w:r>
      <w:r w:rsidRPr="003A5DF3">
        <w:rPr>
          <w:i/>
        </w:rPr>
        <w:t>$0 to &lt; $10 million</w:t>
      </w:r>
    </w:p>
    <w:p w:rsidR="003A5DF3" w:rsidRDefault="003A5DF3" w:rsidP="003A5DF3">
      <w:pPr>
        <w:pStyle w:val="TableFigureFooter"/>
        <w:spacing w:after="0"/>
        <w:contextualSpacing w:val="0"/>
        <w:rPr>
          <w:i/>
        </w:rPr>
      </w:pPr>
      <w:r>
        <w:rPr>
          <w:i/>
          <w:vertAlign w:val="superscript"/>
        </w:rPr>
        <w:t>10</w:t>
      </w:r>
      <w:r w:rsidR="001B787A">
        <w:rPr>
          <w:i/>
        </w:rPr>
        <w:t xml:space="preserve"> </w:t>
      </w:r>
      <w:r w:rsidR="001B787A" w:rsidRPr="001B787A">
        <w:rPr>
          <w:i/>
        </w:rPr>
        <w:t>$10 million to &lt; $20 million</w:t>
      </w:r>
    </w:p>
    <w:p w:rsidR="003A5DF3" w:rsidRPr="00870C5D" w:rsidRDefault="003A5DF3" w:rsidP="003A5DF3">
      <w:pPr>
        <w:pStyle w:val="TableFigureFooter"/>
        <w:spacing w:after="0"/>
        <w:contextualSpacing w:val="0"/>
      </w:pPr>
      <w:r>
        <w:rPr>
          <w:i/>
          <w:vertAlign w:val="superscript"/>
        </w:rPr>
        <w:t>11</w:t>
      </w:r>
      <w:r w:rsidR="001B787A">
        <w:rPr>
          <w:i/>
        </w:rPr>
        <w:t xml:space="preserve"> </w:t>
      </w:r>
      <w:r w:rsidR="001B787A" w:rsidRPr="001B787A">
        <w:rPr>
          <w:i/>
        </w:rPr>
        <w:t>$20 million to &lt; $30 million</w:t>
      </w:r>
    </w:p>
    <w:p w:rsidR="003A5DF3" w:rsidRDefault="003A5DF3" w:rsidP="003A5DF3">
      <w:pPr>
        <w:pStyle w:val="TableFigureFooter"/>
        <w:spacing w:after="0"/>
        <w:contextualSpacing w:val="0"/>
        <w:rPr>
          <w:i/>
        </w:rPr>
      </w:pPr>
      <w:r>
        <w:rPr>
          <w:i/>
          <w:vertAlign w:val="superscript"/>
        </w:rPr>
        <w:t>12</w:t>
      </w:r>
      <w:r w:rsidR="001B787A">
        <w:rPr>
          <w:i/>
        </w:rPr>
        <w:t xml:space="preserve"> </w:t>
      </w:r>
      <w:r w:rsidR="001B787A" w:rsidRPr="001B787A">
        <w:rPr>
          <w:i/>
        </w:rPr>
        <w:t>$30 million to &lt; $40 million</w:t>
      </w:r>
    </w:p>
    <w:p w:rsidR="003A5DF3" w:rsidRPr="00870C5D" w:rsidRDefault="001B787A" w:rsidP="003A5DF3">
      <w:pPr>
        <w:pStyle w:val="TableFigureFooter"/>
        <w:spacing w:after="0"/>
        <w:contextualSpacing w:val="0"/>
      </w:pPr>
      <w:r>
        <w:rPr>
          <w:i/>
          <w:vertAlign w:val="superscript"/>
        </w:rPr>
        <w:t>13</w:t>
      </w:r>
      <w:r>
        <w:rPr>
          <w:i/>
        </w:rPr>
        <w:t xml:space="preserve"> </w:t>
      </w:r>
      <w:r w:rsidRPr="001B787A">
        <w:rPr>
          <w:i/>
        </w:rPr>
        <w:t>$40 million to &lt; $50 million</w:t>
      </w:r>
    </w:p>
    <w:p w:rsidR="003A5DF3" w:rsidRDefault="003A5DF3" w:rsidP="00C43D9B">
      <w:pPr>
        <w:pStyle w:val="TableFigureFooter"/>
        <w:rPr>
          <w:rStyle w:val="CommentReference"/>
        </w:rPr>
      </w:pPr>
    </w:p>
    <w:p w:rsidR="00C43D9B" w:rsidRDefault="00C43D9B" w:rsidP="003A5DF3">
      <w:pPr>
        <w:pStyle w:val="3-BodyText"/>
      </w:pPr>
      <w:r w:rsidRPr="00C43D9B">
        <w:t>At the requested price (DPMQ $</w:t>
      </w:r>
      <w:r w:rsidR="000B7A9B">
        <w:rPr>
          <w:noProof/>
          <w:color w:val="000000"/>
          <w:highlight w:val="black"/>
        </w:rPr>
        <w:t>''''''''''''</w:t>
      </w:r>
      <w:r w:rsidRPr="00C43D9B">
        <w:t>), the proposed listing of BUD/GLY/FOR was estimated to be cost neutral to the PBS/RPBS. The estimated cost savings from FF/UMEC/VI completely offsets the estimated cost of BUD/GLY/FOR (</w:t>
      </w:r>
      <w:r w:rsidR="003A5DF3" w:rsidRPr="003A5DF3">
        <w:t>$100 million to &lt; $200 million</w:t>
      </w:r>
      <w:r w:rsidR="003A5DF3">
        <w:t xml:space="preserve"> </w:t>
      </w:r>
      <w:r w:rsidRPr="00C43D9B">
        <w:t>over the first six years of listing).</w:t>
      </w:r>
    </w:p>
    <w:p w:rsidR="00C43D9B" w:rsidRPr="0043025E" w:rsidRDefault="00D56F1A" w:rsidP="00C43D9B">
      <w:pPr>
        <w:pStyle w:val="3-BodyText"/>
      </w:pPr>
      <w:r>
        <w:t xml:space="preserve">If </w:t>
      </w:r>
      <w:r w:rsidR="00C43D9B" w:rsidRPr="0043025E">
        <w:t xml:space="preserve">BUD/GLY/FOR </w:t>
      </w:r>
      <w:r>
        <w:t xml:space="preserve">was listed </w:t>
      </w:r>
      <w:r w:rsidR="00C43D9B" w:rsidRPr="0043025E">
        <w:t xml:space="preserve">based on a cost-minimisation analysis to the least costly combination of the components (i.e. ICS, LAMA and LABA inhalers), which </w:t>
      </w:r>
      <w:r w:rsidR="00533399">
        <w:t>wa</w:t>
      </w:r>
      <w:r w:rsidR="00C43D9B" w:rsidRPr="0043025E">
        <w:t xml:space="preserve">s lower than the requested price, then </w:t>
      </w:r>
      <w:r w:rsidR="00111BBC" w:rsidRPr="0043025E">
        <w:t xml:space="preserve">the proposed listing would be </w:t>
      </w:r>
      <w:r w:rsidR="00C43D9B" w:rsidRPr="0043025E">
        <w:t>cost-saving to the PBS/RPBS assuming no change to the current background growth</w:t>
      </w:r>
      <w:r w:rsidR="00BD2F1D" w:rsidRPr="0043025E">
        <w:t xml:space="preserve"> or compliance rates</w:t>
      </w:r>
      <w:r w:rsidR="00C43D9B" w:rsidRPr="0043025E">
        <w:t>.</w:t>
      </w:r>
      <w:r w:rsidR="004F5B3C">
        <w:t xml:space="preserve"> </w:t>
      </w:r>
    </w:p>
    <w:p w:rsidR="00576972" w:rsidRPr="00C9624D" w:rsidRDefault="00576972" w:rsidP="00606FBA">
      <w:pPr>
        <w:pStyle w:val="4-SubsectionHeading"/>
      </w:pPr>
      <w:bookmarkStart w:id="30" w:name="_Toc22897648"/>
      <w:bookmarkStart w:id="31" w:name="_Toc72233560"/>
      <w:r w:rsidRPr="00C9624D">
        <w:t>Quality Use of Medicines</w:t>
      </w:r>
      <w:bookmarkEnd w:id="30"/>
      <w:bookmarkEnd w:id="31"/>
    </w:p>
    <w:p w:rsidR="00C43D9B" w:rsidRPr="00C43D9B" w:rsidRDefault="00C43D9B" w:rsidP="00111BBC">
      <w:pPr>
        <w:pStyle w:val="3-BodyText"/>
      </w:pPr>
      <w:r>
        <w:t xml:space="preserve">The </w:t>
      </w:r>
      <w:r w:rsidRPr="00C43D9B">
        <w:t xml:space="preserve">submission </w:t>
      </w:r>
      <w:r w:rsidR="007255AD">
        <w:t>stated</w:t>
      </w:r>
      <w:r>
        <w:t xml:space="preserve"> </w:t>
      </w:r>
      <w:r w:rsidRPr="00C43D9B">
        <w:t xml:space="preserve">that the sponsor </w:t>
      </w:r>
      <w:r w:rsidR="007255AD">
        <w:t>would</w:t>
      </w:r>
      <w:r w:rsidRPr="00C43D9B">
        <w:t xml:space="preserve"> </w:t>
      </w:r>
      <w:r w:rsidR="007255AD">
        <w:t xml:space="preserve">provide patient and prescriber education on the appropriate use of BUD/GLY/FOR and continue to support </w:t>
      </w:r>
      <w:r w:rsidRPr="00C43D9B">
        <w:t>Lung Foundation Australia</w:t>
      </w:r>
      <w:r w:rsidR="007255AD">
        <w:t xml:space="preserve"> on activities aimed at achieving these goals</w:t>
      </w:r>
      <w:r w:rsidRPr="00C43D9B">
        <w:t>.</w:t>
      </w:r>
    </w:p>
    <w:p w:rsidR="00576972" w:rsidRPr="00C9624D" w:rsidRDefault="00576972" w:rsidP="00606FBA">
      <w:pPr>
        <w:pStyle w:val="4-SubsectionHeading"/>
      </w:pPr>
      <w:bookmarkStart w:id="32" w:name="_Toc22897649"/>
      <w:bookmarkStart w:id="33" w:name="_Toc72233561"/>
      <w:r w:rsidRPr="00C9624D">
        <w:t>Financial Management – Risk Sharing Arrangements</w:t>
      </w:r>
      <w:bookmarkEnd w:id="32"/>
      <w:bookmarkEnd w:id="33"/>
    </w:p>
    <w:p w:rsidR="00953FE8" w:rsidRDefault="00F11C91" w:rsidP="00257814">
      <w:pPr>
        <w:pStyle w:val="ListParagraph"/>
        <w:numPr>
          <w:ilvl w:val="1"/>
          <w:numId w:val="1"/>
        </w:numPr>
      </w:pPr>
      <w:r w:rsidRPr="00270D22">
        <w:t>The</w:t>
      </w:r>
      <w:r>
        <w:t xml:space="preserve"> sponsor did not propose a RSA </w:t>
      </w:r>
      <w:r w:rsidRPr="00270D22">
        <w:t xml:space="preserve">for </w:t>
      </w:r>
      <w:r>
        <w:t>BUD/GLY/FOR</w:t>
      </w:r>
      <w:r w:rsidRPr="00B0785D">
        <w:t xml:space="preserve">. </w:t>
      </w:r>
      <w:r w:rsidR="00257814">
        <w:t>At</w:t>
      </w:r>
      <w:r w:rsidR="00BC6F57" w:rsidRPr="0043025E">
        <w:t xml:space="preserve"> the November 2020 meeting, the PBAC considered that while the AEMP for BEC/GLY/FOR would be lower than </w:t>
      </w:r>
      <w:r w:rsidR="00BC6F57" w:rsidRPr="0043025E">
        <w:lastRenderedPageBreak/>
        <w:t xml:space="preserve">FF/UMEC/VI, the two products were considered non-inferior and anticipated to substitute in the COPD market. </w:t>
      </w:r>
      <w:bookmarkStart w:id="34" w:name="_Hlk70945376"/>
      <w:r w:rsidR="00257814">
        <w:t xml:space="preserve">At that time, </w:t>
      </w:r>
      <w:r w:rsidR="00257814">
        <w:rPr>
          <w:rFonts w:cstheme="minorHAnsi"/>
          <w:bCs/>
        </w:rPr>
        <w:t>t</w:t>
      </w:r>
      <w:r w:rsidR="00E32468" w:rsidRPr="0043025E">
        <w:rPr>
          <w:rFonts w:cstheme="minorHAnsi"/>
          <w:bCs/>
        </w:rPr>
        <w:t xml:space="preserve">he PBAC also recalled that at its December 2017 meeting that FF/UMEC/VI </w:t>
      </w:r>
      <w:r w:rsidR="00E32468" w:rsidRPr="0043025E">
        <w:rPr>
          <w:bCs/>
        </w:rPr>
        <w:t>would be acceptably cost-effective if its price was not substantially greater than the price of LAMA/LABA dual therapy</w:t>
      </w:r>
      <w:r w:rsidR="00E32468" w:rsidRPr="0043025E">
        <w:rPr>
          <w:rFonts w:cstheme="minorHAnsi"/>
          <w:bCs/>
        </w:rPr>
        <w:t xml:space="preserve"> and recommended that a small price advantage be</w:t>
      </w:r>
      <w:r w:rsidR="00E32468" w:rsidRPr="0043025E">
        <w:rPr>
          <w:bCs/>
        </w:rPr>
        <w:t xml:space="preserve"> negotiated over the price of currently listed LAMA/LABA FDCs (</w:t>
      </w:r>
      <w:r w:rsidR="00E32468" w:rsidRPr="0043025E">
        <w:t>paragraph 7.1, Trelegy Ellipta PSD, December 2017 PBAC meeting)</w:t>
      </w:r>
      <w:r w:rsidR="00E32468" w:rsidRPr="0043025E">
        <w:rPr>
          <w:bCs/>
        </w:rPr>
        <w:t xml:space="preserve">. </w:t>
      </w:r>
      <w:r w:rsidR="00BC6F57" w:rsidRPr="0043025E">
        <w:t xml:space="preserve">As such, </w:t>
      </w:r>
      <w:r w:rsidR="00257814">
        <w:t xml:space="preserve">in November 2020 </w:t>
      </w:r>
      <w:r w:rsidR="00BC6F57" w:rsidRPr="0043025E">
        <w:t>the PBAC considered it appropriate that BEC/GLY/FOR be subject to the RSA currently in place for FF/UMEC/VI</w:t>
      </w:r>
      <w:r w:rsidR="0006421B">
        <w:t xml:space="preserve"> </w:t>
      </w:r>
      <w:r w:rsidR="00BC6F57" w:rsidRPr="0043025E">
        <w:t>(paragraphs 7.7 to 7.</w:t>
      </w:r>
      <w:r w:rsidR="0006421B">
        <w:t>8</w:t>
      </w:r>
      <w:r w:rsidR="00BC6F57" w:rsidRPr="0043025E">
        <w:t>, Trimbow (BEC/GLY/FOR) PSD November 2020 PBAC meeting</w:t>
      </w:r>
      <w:r w:rsidR="00E32468" w:rsidRPr="0043025E">
        <w:t>)</w:t>
      </w:r>
      <w:r w:rsidR="00BC6F57" w:rsidRPr="0043025E">
        <w:t>.</w:t>
      </w:r>
      <w:bookmarkEnd w:id="34"/>
      <w:r w:rsidR="00257814">
        <w:t xml:space="preserve"> The pre-PBAC response (p1) noted that the sponsor was amenable to the same listing options for BUD/GLY/FOR that were available for BEC/GLY/FOR. </w:t>
      </w:r>
    </w:p>
    <w:p w:rsidR="00953FE8" w:rsidRPr="00257814" w:rsidRDefault="00953FE8" w:rsidP="00257814">
      <w:pPr>
        <w:pStyle w:val="3-BodyText"/>
        <w:numPr>
          <w:ilvl w:val="0"/>
          <w:numId w:val="0"/>
        </w:numPr>
        <w:ind w:left="720"/>
        <w:rPr>
          <w:i/>
        </w:rPr>
      </w:pPr>
      <w:r w:rsidRPr="00C81D26">
        <w:rPr>
          <w:i/>
        </w:rPr>
        <w:t>For more detail on PBAC’s vi</w:t>
      </w:r>
      <w:r w:rsidR="00257814">
        <w:rPr>
          <w:i/>
        </w:rPr>
        <w:t>ew, see section 7 PBAC outcome.</w:t>
      </w:r>
    </w:p>
    <w:p w:rsidR="00953FE8" w:rsidRPr="00953FE8" w:rsidRDefault="00953FE8" w:rsidP="00953FE8">
      <w:pPr>
        <w:keepNext/>
        <w:numPr>
          <w:ilvl w:val="0"/>
          <w:numId w:val="1"/>
        </w:numPr>
        <w:spacing w:before="240" w:after="120"/>
        <w:jc w:val="left"/>
        <w:outlineLvl w:val="0"/>
        <w:rPr>
          <w:rFonts w:asciiTheme="minorHAnsi" w:hAnsiTheme="minorHAnsi"/>
          <w:b/>
          <w:snapToGrid w:val="0"/>
          <w:sz w:val="32"/>
          <w:szCs w:val="32"/>
        </w:rPr>
      </w:pPr>
      <w:r w:rsidRPr="00953FE8">
        <w:rPr>
          <w:rFonts w:asciiTheme="minorHAnsi" w:hAnsiTheme="minorHAnsi"/>
          <w:b/>
          <w:snapToGrid w:val="0"/>
          <w:sz w:val="32"/>
          <w:szCs w:val="32"/>
        </w:rPr>
        <w:t>PBAC Outcome</w:t>
      </w:r>
    </w:p>
    <w:p w:rsidR="004904E5" w:rsidRPr="00797B35" w:rsidRDefault="004904E5" w:rsidP="004904E5">
      <w:pPr>
        <w:pStyle w:val="ListParagraph"/>
        <w:numPr>
          <w:ilvl w:val="1"/>
          <w:numId w:val="1"/>
        </w:numPr>
        <w:rPr>
          <w:rFonts w:eastAsia="Calibri" w:cstheme="minorHAnsi"/>
          <w:snapToGrid/>
          <w:lang w:eastAsia="en-US"/>
        </w:rPr>
      </w:pPr>
      <w:bookmarkStart w:id="35" w:name="_Toc72233545"/>
      <w:r w:rsidRPr="00797B35">
        <w:rPr>
          <w:rFonts w:cstheme="minorHAnsi"/>
          <w:bCs/>
        </w:rPr>
        <w:t xml:space="preserve">The PBAC recommended the Authority Required (STREAMLINED) listing of </w:t>
      </w:r>
      <w:r w:rsidRPr="00797B35">
        <w:rPr>
          <w:rFonts w:eastAsia="Calibri" w:cstheme="minorHAnsi"/>
          <w:snapToGrid/>
          <w:lang w:eastAsia="en-US"/>
        </w:rPr>
        <w:t>the fixed dose co</w:t>
      </w:r>
      <w:r>
        <w:rPr>
          <w:rFonts w:eastAsia="Calibri" w:cstheme="minorHAnsi"/>
          <w:snapToGrid/>
          <w:lang w:eastAsia="en-US"/>
        </w:rPr>
        <w:t>mbination (FDC) of budesonide (BUD</w:t>
      </w:r>
      <w:r w:rsidRPr="00797B35">
        <w:rPr>
          <w:rFonts w:eastAsia="Calibri" w:cstheme="minorHAnsi"/>
          <w:snapToGrid/>
          <w:lang w:eastAsia="en-US"/>
        </w:rPr>
        <w:t>) with glycopyrronium (GLY)</w:t>
      </w:r>
      <w:r>
        <w:rPr>
          <w:rFonts w:eastAsia="Calibri" w:cstheme="minorHAnsi"/>
          <w:snapToGrid/>
          <w:lang w:eastAsia="en-US"/>
        </w:rPr>
        <w:t xml:space="preserve"> and </w:t>
      </w:r>
      <w:r w:rsidRPr="00797B35">
        <w:rPr>
          <w:rFonts w:eastAsia="Calibri" w:cstheme="minorHAnsi"/>
          <w:snapToGrid/>
          <w:lang w:eastAsia="en-US"/>
        </w:rPr>
        <w:t>formoterol (FOR)</w:t>
      </w:r>
      <w:r>
        <w:rPr>
          <w:rFonts w:eastAsia="Calibri" w:cstheme="minorHAnsi"/>
          <w:snapToGrid/>
          <w:lang w:eastAsia="en-US"/>
        </w:rPr>
        <w:t xml:space="preserve">, </w:t>
      </w:r>
      <w:r w:rsidRPr="00797B35">
        <w:rPr>
          <w:rFonts w:eastAsia="Calibri" w:cstheme="minorHAnsi"/>
          <w:snapToGrid/>
          <w:lang w:eastAsia="en-US"/>
        </w:rPr>
        <w:t xml:space="preserve">for maintenance treatment of moderate to severe chronic obstructive pulmonary disease (COPD) that is not adequately treated by a combination of an inhaled corticosteroid (ICS) with </w:t>
      </w:r>
      <w:r w:rsidRPr="00797B35">
        <w:rPr>
          <w:rFonts w:cstheme="minorHAnsi"/>
          <w:bCs/>
        </w:rPr>
        <w:t>long-acting beta2-agonist (</w:t>
      </w:r>
      <w:r w:rsidRPr="00797B35">
        <w:rPr>
          <w:rFonts w:eastAsia="Calibri" w:cstheme="minorHAnsi"/>
          <w:snapToGrid/>
          <w:lang w:eastAsia="en-US"/>
        </w:rPr>
        <w:t>LABA) or LABA with a long-acting muscarinic antagonist (LAMA)</w:t>
      </w:r>
      <w:r>
        <w:rPr>
          <w:rFonts w:eastAsia="Calibri" w:cstheme="minorHAnsi"/>
          <w:snapToGrid/>
          <w:lang w:eastAsia="en-US"/>
        </w:rPr>
        <w:t xml:space="preserve">. </w:t>
      </w:r>
    </w:p>
    <w:p w:rsidR="004904E5" w:rsidRPr="00797B35" w:rsidRDefault="004904E5" w:rsidP="004904E5">
      <w:pPr>
        <w:widowControl w:val="0"/>
        <w:numPr>
          <w:ilvl w:val="1"/>
          <w:numId w:val="1"/>
        </w:numPr>
        <w:spacing w:after="120"/>
        <w:rPr>
          <w:rFonts w:cstheme="minorHAnsi"/>
          <w:bCs/>
        </w:rPr>
      </w:pPr>
      <w:r w:rsidRPr="00797B35">
        <w:rPr>
          <w:bCs/>
        </w:rPr>
        <w:t xml:space="preserve">The PBAC considered that the claim of non-inferior effectiveness and safety to </w:t>
      </w:r>
      <w:r w:rsidRPr="00797B35">
        <w:rPr>
          <w:rFonts w:asciiTheme="minorHAnsi" w:hAnsiTheme="minorHAnsi" w:cstheme="minorHAnsi"/>
          <w:bCs/>
          <w:snapToGrid w:val="0"/>
        </w:rPr>
        <w:t>the FDC of</w:t>
      </w:r>
      <w:r w:rsidRPr="00797B35">
        <w:t xml:space="preserve"> fluticasone furoate (FF), umeclidinium (UMEC) and vilanterol (VIL),</w:t>
      </w:r>
      <w:r w:rsidRPr="00797B35">
        <w:rPr>
          <w:rFonts w:asciiTheme="minorHAnsi" w:hAnsiTheme="minorHAnsi" w:cstheme="minorHAnsi"/>
          <w:bCs/>
          <w:snapToGrid w:val="0"/>
        </w:rPr>
        <w:t xml:space="preserve"> was reasonable. However, the PBAC considered</w:t>
      </w:r>
      <w:r w:rsidRPr="00797B35">
        <w:rPr>
          <w:bCs/>
        </w:rPr>
        <w:t xml:space="preserve"> for the purposes of satisfying Section 101(3B) of the </w:t>
      </w:r>
      <w:r w:rsidRPr="00797B35">
        <w:rPr>
          <w:bCs/>
          <w:i/>
        </w:rPr>
        <w:t>National Health Act 1953</w:t>
      </w:r>
      <w:r w:rsidRPr="00797B35">
        <w:rPr>
          <w:bCs/>
        </w:rPr>
        <w:t xml:space="preserve">, </w:t>
      </w:r>
      <w:r>
        <w:rPr>
          <w:rFonts w:asciiTheme="minorHAnsi" w:hAnsiTheme="minorHAnsi" w:cstheme="minorHAnsi"/>
          <w:bCs/>
          <w:snapToGrid w:val="0"/>
        </w:rPr>
        <w:t>FF/UMEC/VIL</w:t>
      </w:r>
      <w:r w:rsidRPr="00797B35">
        <w:rPr>
          <w:rFonts w:asciiTheme="minorHAnsi" w:hAnsiTheme="minorHAnsi" w:cstheme="minorHAnsi"/>
          <w:bCs/>
          <w:snapToGrid w:val="0"/>
        </w:rPr>
        <w:t xml:space="preserve">, </w:t>
      </w:r>
      <w:r w:rsidR="006A4C21" w:rsidRPr="006A4C21">
        <w:rPr>
          <w:rFonts w:asciiTheme="minorHAnsi" w:hAnsiTheme="minorHAnsi" w:cstheme="minorHAnsi"/>
          <w:bCs/>
          <w:snapToGrid w:val="0"/>
        </w:rPr>
        <w:t>BEC/GLY/FOR</w:t>
      </w:r>
      <w:r w:rsidR="006A4C21">
        <w:rPr>
          <w:rFonts w:asciiTheme="minorHAnsi" w:hAnsiTheme="minorHAnsi" w:cstheme="minorHAnsi"/>
          <w:bCs/>
          <w:snapToGrid w:val="0"/>
        </w:rPr>
        <w:t>,</w:t>
      </w:r>
      <w:r w:rsidR="006A4C21" w:rsidRPr="006A4C21">
        <w:rPr>
          <w:rFonts w:asciiTheme="minorHAnsi" w:hAnsiTheme="minorHAnsi" w:cstheme="minorHAnsi"/>
          <w:bCs/>
          <w:snapToGrid w:val="0"/>
        </w:rPr>
        <w:t xml:space="preserve"> </w:t>
      </w:r>
      <w:r w:rsidRPr="00797B35">
        <w:rPr>
          <w:rFonts w:asciiTheme="minorHAnsi" w:hAnsiTheme="minorHAnsi" w:cstheme="minorHAnsi"/>
          <w:bCs/>
          <w:snapToGrid w:val="0"/>
        </w:rPr>
        <w:t>as well as any</w:t>
      </w:r>
      <w:r w:rsidRPr="00797B35">
        <w:rPr>
          <w:bCs/>
        </w:rPr>
        <w:t xml:space="preserve"> </w:t>
      </w:r>
      <w:r w:rsidRPr="00797B35">
        <w:t>triple combination therapy via concomitant use of a LAMA, LABA and ICS</w:t>
      </w:r>
      <w:r w:rsidRPr="00797B35">
        <w:rPr>
          <w:bCs/>
        </w:rPr>
        <w:t xml:space="preserve"> are relevant alternative therapies.</w:t>
      </w:r>
      <w:r w:rsidRPr="00797B35">
        <w:t xml:space="preserve"> </w:t>
      </w:r>
      <w:r w:rsidRPr="00797B35">
        <w:rPr>
          <w:bCs/>
        </w:rPr>
        <w:t>The PBAC’s recommendation was therefore, among other matters</w:t>
      </w:r>
      <w:r>
        <w:rPr>
          <w:bCs/>
        </w:rPr>
        <w:t>,</w:t>
      </w:r>
      <w:r w:rsidRPr="00797B35">
        <w:rPr>
          <w:bCs/>
        </w:rPr>
        <w:t xml:space="preserve"> based on its assessment that</w:t>
      </w:r>
      <w:r>
        <w:rPr>
          <w:bCs/>
        </w:rPr>
        <w:t xml:space="preserve"> the cost of BUD/GLY/FOR</w:t>
      </w:r>
      <w:r w:rsidRPr="00797B35">
        <w:rPr>
          <w:bCs/>
        </w:rPr>
        <w:t xml:space="preserve"> should be no greater than the lowest price combination of the PBS listed components of the triple therapy that are available for COPD, and </w:t>
      </w:r>
      <w:r>
        <w:rPr>
          <w:rFonts w:asciiTheme="minorHAnsi" w:hAnsiTheme="minorHAnsi" w:cstheme="minorHAnsi"/>
          <w:bCs/>
          <w:snapToGrid w:val="0"/>
        </w:rPr>
        <w:t>that BUD/GLY/FOR</w:t>
      </w:r>
      <w:r w:rsidRPr="00797B35">
        <w:rPr>
          <w:rFonts w:asciiTheme="minorHAnsi" w:hAnsiTheme="minorHAnsi" w:cstheme="minorHAnsi"/>
          <w:bCs/>
          <w:snapToGrid w:val="0"/>
        </w:rPr>
        <w:t xml:space="preserve"> should be subject to the same risk sharing arrangements as are curren</w:t>
      </w:r>
      <w:r>
        <w:rPr>
          <w:rFonts w:asciiTheme="minorHAnsi" w:hAnsiTheme="minorHAnsi" w:cstheme="minorHAnsi"/>
          <w:bCs/>
          <w:snapToGrid w:val="0"/>
        </w:rPr>
        <w:t xml:space="preserve">tly in place for </w:t>
      </w:r>
      <w:r w:rsidR="006A4C21">
        <w:rPr>
          <w:rFonts w:asciiTheme="minorHAnsi" w:hAnsiTheme="minorHAnsi" w:cstheme="minorHAnsi"/>
          <w:bCs/>
          <w:snapToGrid w:val="0"/>
        </w:rPr>
        <w:t xml:space="preserve">the </w:t>
      </w:r>
      <w:r w:rsidR="006A4C21">
        <w:t>triple therapy FDC</w:t>
      </w:r>
      <w:r w:rsidR="00D8358B">
        <w:t>s for COPD</w:t>
      </w:r>
      <w:r w:rsidRPr="00797B35">
        <w:rPr>
          <w:rFonts w:asciiTheme="minorHAnsi" w:hAnsiTheme="minorHAnsi" w:cstheme="minorHAnsi"/>
          <w:bCs/>
          <w:snapToGrid w:val="0"/>
        </w:rPr>
        <w:t>.</w:t>
      </w:r>
    </w:p>
    <w:p w:rsidR="004904E5" w:rsidRPr="00797B35" w:rsidRDefault="004904E5" w:rsidP="004904E5">
      <w:pPr>
        <w:pStyle w:val="3-BodyText"/>
        <w:rPr>
          <w:rFonts w:cstheme="minorHAnsi"/>
        </w:rPr>
      </w:pPr>
      <w:r w:rsidRPr="00797B35">
        <w:rPr>
          <w:rFonts w:cstheme="minorHAnsi"/>
          <w:bCs/>
        </w:rPr>
        <w:t>The PBAC noted the input from Lung Foundation Australia s</w:t>
      </w:r>
      <w:r>
        <w:rPr>
          <w:rFonts w:cstheme="minorHAnsi"/>
          <w:bCs/>
        </w:rPr>
        <w:t>upporting the listing of BUD/GLY/FOR</w:t>
      </w:r>
      <w:r w:rsidRPr="00797B35">
        <w:rPr>
          <w:rFonts w:cstheme="minorHAnsi"/>
          <w:bCs/>
        </w:rPr>
        <w:t xml:space="preserve"> maintenance treatment of COPD.</w:t>
      </w:r>
    </w:p>
    <w:p w:rsidR="004904E5" w:rsidRDefault="004904E5" w:rsidP="004904E5">
      <w:pPr>
        <w:pStyle w:val="ListParagraph"/>
        <w:widowControl w:val="0"/>
        <w:numPr>
          <w:ilvl w:val="1"/>
          <w:numId w:val="1"/>
        </w:numPr>
      </w:pPr>
      <w:r w:rsidRPr="00797B35">
        <w:t>The</w:t>
      </w:r>
      <w:r>
        <w:t xml:space="preserve"> PBAC considered </w:t>
      </w:r>
      <w:r w:rsidR="008841E6">
        <w:t xml:space="preserve">the nomination of </w:t>
      </w:r>
      <w:r>
        <w:t>FF/UMEC/VIL</w:t>
      </w:r>
      <w:r w:rsidRPr="00797B35">
        <w:t xml:space="preserve"> </w:t>
      </w:r>
      <w:r w:rsidR="008841E6">
        <w:t xml:space="preserve">as the main comparator and </w:t>
      </w:r>
      <w:r w:rsidR="008841E6" w:rsidRPr="001966EA">
        <w:rPr>
          <w:snapToGrid/>
          <w:lang w:val="en-US"/>
        </w:rPr>
        <w:t xml:space="preserve">BEC/GLY/FOR </w:t>
      </w:r>
      <w:r w:rsidR="008841E6">
        <w:rPr>
          <w:snapToGrid/>
          <w:lang w:val="en-US"/>
        </w:rPr>
        <w:t>as a near market comparator appropriate.</w:t>
      </w:r>
      <w:r w:rsidRPr="00797B35">
        <w:t xml:space="preserve"> In addition, the PBAC also considered that triple therapy via concomitant use of any combination of LAMA, LABA and ICS were appropriate alternative therapies</w:t>
      </w:r>
      <w:r>
        <w:t>.</w:t>
      </w:r>
    </w:p>
    <w:p w:rsidR="00D664EB" w:rsidRPr="00190A50" w:rsidRDefault="008841E6" w:rsidP="00190A50">
      <w:pPr>
        <w:widowControl w:val="0"/>
        <w:numPr>
          <w:ilvl w:val="1"/>
          <w:numId w:val="1"/>
        </w:numPr>
        <w:spacing w:after="120"/>
        <w:rPr>
          <w:rFonts w:asciiTheme="minorHAnsi" w:hAnsiTheme="minorHAnsi" w:cstheme="minorHAnsi"/>
          <w:bCs/>
          <w:snapToGrid w:val="0"/>
        </w:rPr>
      </w:pPr>
      <w:r w:rsidRPr="00797B35">
        <w:rPr>
          <w:rFonts w:cstheme="minorHAnsi"/>
          <w:bCs/>
        </w:rPr>
        <w:t>The PBAC noted that the clai</w:t>
      </w:r>
      <w:r>
        <w:rPr>
          <w:rFonts w:cstheme="minorHAnsi"/>
          <w:bCs/>
        </w:rPr>
        <w:t xml:space="preserve">m of non-inferior effectiveness for </w:t>
      </w:r>
      <w:r w:rsidRPr="001B7C7E">
        <w:t>BUD/GLY/FOR compared to FF/UMEC/VI and BEC/GLY/FOR</w:t>
      </w:r>
      <w:r>
        <w:t xml:space="preserve"> was based on an indirect comparison of annual COPD exacerbation rates, </w:t>
      </w:r>
      <w:r w:rsidR="00D664EB" w:rsidRPr="00D664EB">
        <w:rPr>
          <w:rFonts w:asciiTheme="minorHAnsi" w:hAnsiTheme="minorHAnsi" w:cstheme="minorHAnsi"/>
          <w:bCs/>
          <w:snapToGrid w:val="0"/>
        </w:rPr>
        <w:t xml:space="preserve">change in morning pre-dose trough FEV1, change in </w:t>
      </w:r>
      <w:r w:rsidR="00190A50">
        <w:rPr>
          <w:rFonts w:asciiTheme="minorHAnsi" w:hAnsiTheme="minorHAnsi" w:cstheme="minorHAnsi"/>
          <w:bCs/>
          <w:snapToGrid w:val="0"/>
        </w:rPr>
        <w:t>St George’s Respiratory Questionnaire</w:t>
      </w:r>
      <w:r w:rsidR="00D664EB" w:rsidRPr="00D664EB">
        <w:rPr>
          <w:rFonts w:asciiTheme="minorHAnsi" w:hAnsiTheme="minorHAnsi" w:cstheme="minorHAnsi"/>
          <w:bCs/>
          <w:snapToGrid w:val="0"/>
        </w:rPr>
        <w:t xml:space="preserve"> and change in use of daily rescue medication. The indirect treatment comparisons used either ICS/LABA or LAMA/LABA FDC inhalers as the common reference, based on the assumption that different agents from the same class have comparable efficacy and safety. </w:t>
      </w:r>
      <w:r w:rsidR="00190A50">
        <w:rPr>
          <w:rFonts w:asciiTheme="minorHAnsi" w:hAnsiTheme="minorHAnsi" w:cstheme="minorHAnsi"/>
          <w:bCs/>
          <w:snapToGrid w:val="0"/>
        </w:rPr>
        <w:t>The PBAC considered this</w:t>
      </w:r>
      <w:r w:rsidR="00D664EB" w:rsidRPr="00D664EB">
        <w:rPr>
          <w:rFonts w:asciiTheme="minorHAnsi" w:hAnsiTheme="minorHAnsi" w:cstheme="minorHAnsi"/>
          <w:bCs/>
          <w:snapToGrid w:val="0"/>
        </w:rPr>
        <w:t xml:space="preserve"> assumption was reasonable and consistent with past decisions</w:t>
      </w:r>
      <w:r w:rsidR="00190A50">
        <w:rPr>
          <w:rFonts w:asciiTheme="minorHAnsi" w:hAnsiTheme="minorHAnsi" w:cstheme="minorHAnsi"/>
          <w:bCs/>
          <w:snapToGrid w:val="0"/>
        </w:rPr>
        <w:t xml:space="preserve">. </w:t>
      </w:r>
      <w:r w:rsidR="00D664EB" w:rsidRPr="00190A50">
        <w:rPr>
          <w:rFonts w:asciiTheme="minorHAnsi" w:hAnsiTheme="minorHAnsi" w:cstheme="minorHAnsi"/>
          <w:bCs/>
          <w:snapToGrid w:val="0"/>
        </w:rPr>
        <w:t xml:space="preserve">The </w:t>
      </w:r>
      <w:r w:rsidR="00190A50">
        <w:rPr>
          <w:rFonts w:asciiTheme="minorHAnsi" w:hAnsiTheme="minorHAnsi" w:cstheme="minorHAnsi"/>
          <w:bCs/>
          <w:snapToGrid w:val="0"/>
        </w:rPr>
        <w:t xml:space="preserve">PBAC agreed with ESC </w:t>
      </w:r>
      <w:r w:rsidR="00D664EB" w:rsidRPr="00190A50">
        <w:rPr>
          <w:rFonts w:asciiTheme="minorHAnsi" w:hAnsiTheme="minorHAnsi" w:cstheme="minorHAnsi"/>
          <w:bCs/>
          <w:snapToGrid w:val="0"/>
        </w:rPr>
        <w:t>that overall</w:t>
      </w:r>
      <w:r w:rsidR="00190A50">
        <w:rPr>
          <w:rFonts w:asciiTheme="minorHAnsi" w:hAnsiTheme="minorHAnsi" w:cstheme="minorHAnsi"/>
          <w:bCs/>
          <w:snapToGrid w:val="0"/>
        </w:rPr>
        <w:t xml:space="preserve"> the</w:t>
      </w:r>
      <w:r w:rsidR="00D664EB" w:rsidRPr="00190A50">
        <w:rPr>
          <w:rFonts w:asciiTheme="minorHAnsi" w:hAnsiTheme="minorHAnsi" w:cstheme="minorHAnsi"/>
          <w:bCs/>
          <w:snapToGrid w:val="0"/>
        </w:rPr>
        <w:t xml:space="preserve"> claim </w:t>
      </w:r>
      <w:r w:rsidR="00190A50">
        <w:rPr>
          <w:rFonts w:asciiTheme="minorHAnsi" w:hAnsiTheme="minorHAnsi" w:cstheme="minorHAnsi"/>
          <w:bCs/>
          <w:snapToGrid w:val="0"/>
        </w:rPr>
        <w:t xml:space="preserve">of non-inferior effectiveness </w:t>
      </w:r>
      <w:r w:rsidR="00D664EB" w:rsidRPr="00190A50">
        <w:rPr>
          <w:rFonts w:asciiTheme="minorHAnsi" w:hAnsiTheme="minorHAnsi" w:cstheme="minorHAnsi"/>
          <w:bCs/>
          <w:snapToGrid w:val="0"/>
        </w:rPr>
        <w:t xml:space="preserve">was supported by the indirect evidence </w:t>
      </w:r>
      <w:r w:rsidR="00D664EB" w:rsidRPr="00190A50">
        <w:rPr>
          <w:rFonts w:asciiTheme="minorHAnsi" w:hAnsiTheme="minorHAnsi" w:cstheme="minorHAnsi"/>
          <w:bCs/>
          <w:snapToGrid w:val="0"/>
        </w:rPr>
        <w:lastRenderedPageBreak/>
        <w:t xml:space="preserve">presented in the submission. </w:t>
      </w:r>
    </w:p>
    <w:p w:rsidR="004904E5" w:rsidRPr="004904E5" w:rsidRDefault="004904E5" w:rsidP="004904E5">
      <w:pPr>
        <w:pStyle w:val="3-BodyText"/>
      </w:pPr>
      <w:r>
        <w:t xml:space="preserve"> </w:t>
      </w:r>
      <w:r w:rsidRPr="004904E5">
        <w:t>The PBAC considered that the claim of non-inferior comparative safety was reasonable.</w:t>
      </w:r>
    </w:p>
    <w:p w:rsidR="00190A50" w:rsidRDefault="00190A50" w:rsidP="00190A50">
      <w:pPr>
        <w:pStyle w:val="3-BodyText"/>
      </w:pPr>
      <w:r>
        <w:rPr>
          <w:rFonts w:eastAsia="Calibri" w:cstheme="minorHAnsi"/>
        </w:rPr>
        <w:t xml:space="preserve">The PBAC noted that the submission presented a cost-minimisation analysis </w:t>
      </w:r>
      <w:r>
        <w:rPr>
          <w:lang w:val="en-US"/>
        </w:rPr>
        <w:t xml:space="preserve">between </w:t>
      </w:r>
      <w:r w:rsidRPr="00484245">
        <w:rPr>
          <w:lang w:val="en-US"/>
        </w:rPr>
        <w:t xml:space="preserve">BUD/GLY/FOR </w:t>
      </w:r>
      <w:r>
        <w:rPr>
          <w:lang w:val="en-US"/>
        </w:rPr>
        <w:t>and</w:t>
      </w:r>
      <w:r w:rsidRPr="00484245">
        <w:rPr>
          <w:lang w:val="en-US"/>
        </w:rPr>
        <w:t xml:space="preserve"> FF/UMEC/VI</w:t>
      </w:r>
      <w:r>
        <w:rPr>
          <w:lang w:val="en-US"/>
        </w:rPr>
        <w:t xml:space="preserve"> and accepted the following equi-effective doses as the basis for the analysis</w:t>
      </w:r>
      <w:r w:rsidRPr="00484245">
        <w:rPr>
          <w:lang w:val="en-US"/>
        </w:rPr>
        <w:t>:</w:t>
      </w:r>
    </w:p>
    <w:p w:rsidR="00190A50" w:rsidRDefault="00190A50" w:rsidP="00190A50">
      <w:pPr>
        <w:pStyle w:val="3-BodyText"/>
        <w:numPr>
          <w:ilvl w:val="0"/>
          <w:numId w:val="0"/>
        </w:numPr>
        <w:ind w:left="720"/>
      </w:pPr>
      <w:r w:rsidRPr="00287FD2">
        <w:t xml:space="preserve">BUD/GLY/FOR </w:t>
      </w:r>
      <w:r>
        <w:t>(</w:t>
      </w:r>
      <w:r w:rsidRPr="00287FD2">
        <w:t xml:space="preserve">160/7.2/4.8 </w:t>
      </w:r>
      <w:r>
        <w:t>mcg</w:t>
      </w:r>
      <w:r w:rsidR="005D6541">
        <w:t>)</w:t>
      </w:r>
      <w:r>
        <w:t xml:space="preserve"> </w:t>
      </w:r>
      <w:r w:rsidRPr="00287FD2">
        <w:t xml:space="preserve">two inhalations twice daily = FF/UMEC/VI </w:t>
      </w:r>
      <w:r>
        <w:t>(</w:t>
      </w:r>
      <w:r w:rsidRPr="00287FD2">
        <w:t xml:space="preserve">100/62.5/25 </w:t>
      </w:r>
      <w:r>
        <w:t>mcg</w:t>
      </w:r>
      <w:r w:rsidR="005D6541">
        <w:t>)</w:t>
      </w:r>
      <w:r>
        <w:t xml:space="preserve"> </w:t>
      </w:r>
      <w:r w:rsidRPr="00287FD2">
        <w:t>one inhalation once daily</w:t>
      </w:r>
      <w:r w:rsidR="005039DB">
        <w:t xml:space="preserve"> = </w:t>
      </w:r>
      <w:r w:rsidR="005039DB" w:rsidRPr="00797B35">
        <w:rPr>
          <w:bCs/>
        </w:rPr>
        <w:t>BEC/</w:t>
      </w:r>
      <w:r w:rsidR="005039DB">
        <w:rPr>
          <w:bCs/>
        </w:rPr>
        <w:t>GLY/FOR 100mcg/6mcg/10mcg two inhalations</w:t>
      </w:r>
      <w:r w:rsidR="005039DB" w:rsidRPr="00797B35">
        <w:rPr>
          <w:bCs/>
        </w:rPr>
        <w:t xml:space="preserve"> twice daily</w:t>
      </w:r>
      <w:r>
        <w:t>.</w:t>
      </w:r>
    </w:p>
    <w:p w:rsidR="005D6541" w:rsidRPr="00797B35" w:rsidRDefault="005D6541" w:rsidP="005D6541">
      <w:pPr>
        <w:pStyle w:val="3-BodyText"/>
        <w:rPr>
          <w:bCs/>
        </w:rPr>
      </w:pPr>
      <w:r w:rsidRPr="00797B35">
        <w:rPr>
          <w:bCs/>
        </w:rPr>
        <w:t xml:space="preserve">However, as outlined in paragraph 7.4, the PBAC considered that triple therapy via concomitant use of any combination of LAMA, LABA and ICS were appropriate alternative therapies. Under Section 101(3B) of the </w:t>
      </w:r>
      <w:r w:rsidRPr="00797B35">
        <w:rPr>
          <w:bCs/>
          <w:i/>
        </w:rPr>
        <w:t>National Health Act 1953</w:t>
      </w:r>
      <w:r w:rsidRPr="00797B35">
        <w:rPr>
          <w:bCs/>
        </w:rPr>
        <w:t xml:space="preserve">, the PBAC cannot recommend listing a therapy at a price that is substantially more costly than an alternative therapy unless it is satisfied that the therapy provides, for some patients, a significant improvement in efficacy or reduction in toxicity. Based on the same principle, the PBAC considered that the ceiling price for any fixed combination of triple therapy of ICS/LABA/LAMA should be no greater than the lowest price combination of any listed components of </w:t>
      </w:r>
      <w:r>
        <w:rPr>
          <w:bCs/>
        </w:rPr>
        <w:t xml:space="preserve">COPD </w:t>
      </w:r>
      <w:r w:rsidRPr="00797B35">
        <w:rPr>
          <w:bCs/>
        </w:rPr>
        <w:t>triple therapy</w:t>
      </w:r>
      <w:r w:rsidR="00F0240E">
        <w:rPr>
          <w:bCs/>
        </w:rPr>
        <w:t xml:space="preserve"> that are available for COPD</w:t>
      </w:r>
      <w:r>
        <w:rPr>
          <w:bCs/>
        </w:rPr>
        <w:t xml:space="preserve">. </w:t>
      </w:r>
      <w:r w:rsidRPr="00797B35">
        <w:rPr>
          <w:bCs/>
        </w:rPr>
        <w:t xml:space="preserve">The PBAC noted that </w:t>
      </w:r>
      <w:r>
        <w:rPr>
          <w:bCs/>
        </w:rPr>
        <w:t>the AEMP for BUD/GLY/FOR</w:t>
      </w:r>
      <w:r w:rsidRPr="00797B35">
        <w:rPr>
          <w:bCs/>
        </w:rPr>
        <w:t xml:space="preserve"> would be lower than the </w:t>
      </w:r>
      <w:r>
        <w:rPr>
          <w:bCs/>
        </w:rPr>
        <w:t xml:space="preserve">current AEMP for </w:t>
      </w:r>
      <w:r w:rsidRPr="00484245">
        <w:rPr>
          <w:lang w:val="en-US"/>
        </w:rPr>
        <w:t>FF/UMEC/VI</w:t>
      </w:r>
      <w:r>
        <w:rPr>
          <w:bCs/>
        </w:rPr>
        <w:t xml:space="preserve"> (see paragraph 6.29</w:t>
      </w:r>
      <w:r w:rsidRPr="00797B35">
        <w:rPr>
          <w:bCs/>
        </w:rPr>
        <w:t xml:space="preserve">) due to price reductions that have occurred for some components over time. </w:t>
      </w:r>
    </w:p>
    <w:p w:rsidR="00B07A6E" w:rsidRPr="00B07A6E" w:rsidRDefault="005D6541" w:rsidP="005D6541">
      <w:pPr>
        <w:widowControl w:val="0"/>
        <w:numPr>
          <w:ilvl w:val="1"/>
          <w:numId w:val="1"/>
        </w:numPr>
        <w:spacing w:after="120"/>
        <w:rPr>
          <w:rFonts w:cstheme="minorHAnsi"/>
          <w:bCs/>
        </w:rPr>
      </w:pPr>
      <w:r w:rsidRPr="00797B35">
        <w:rPr>
          <w:rFonts w:asciiTheme="minorHAnsi" w:hAnsiTheme="minorHAnsi" w:cstheme="minorHAnsi"/>
          <w:bCs/>
          <w:snapToGrid w:val="0"/>
        </w:rPr>
        <w:t>T</w:t>
      </w:r>
      <w:r w:rsidRPr="00797B35">
        <w:t xml:space="preserve">he PBAC considered that, while the AEMP for </w:t>
      </w:r>
      <w:r w:rsidR="00966A1B">
        <w:rPr>
          <w:bCs/>
        </w:rPr>
        <w:t>BUD/GLY/FOR</w:t>
      </w:r>
      <w:r w:rsidRPr="00797B35">
        <w:t xml:space="preserve"> w</w:t>
      </w:r>
      <w:r>
        <w:t>ould</w:t>
      </w:r>
      <w:r w:rsidRPr="00797B35">
        <w:t xml:space="preserve"> be lower than that of </w:t>
      </w:r>
      <w:r w:rsidR="00966A1B" w:rsidRPr="00484245">
        <w:rPr>
          <w:lang w:val="en-US"/>
        </w:rPr>
        <w:t>FF/UMEC/VI</w:t>
      </w:r>
      <w:r w:rsidRPr="00797B35">
        <w:t xml:space="preserve">, the </w:t>
      </w:r>
      <w:r w:rsidR="00B07A6E">
        <w:t>BUD/GLY/FOR, FF/UMEC/VI and BEC/GLY/FOR</w:t>
      </w:r>
      <w:r w:rsidRPr="00797B35">
        <w:t xml:space="preserve"> were considered non-inferior and anticipated to substitute in the COPD market. </w:t>
      </w:r>
      <w:r w:rsidR="00D8358B">
        <w:rPr>
          <w:rFonts w:asciiTheme="minorHAnsi" w:hAnsiTheme="minorHAnsi" w:cstheme="minorHAnsi"/>
          <w:bCs/>
          <w:snapToGrid w:val="0"/>
        </w:rPr>
        <w:t>T</w:t>
      </w:r>
      <w:r w:rsidR="006779A5">
        <w:rPr>
          <w:rFonts w:asciiTheme="minorHAnsi" w:hAnsiTheme="minorHAnsi" w:cstheme="minorHAnsi"/>
          <w:bCs/>
          <w:snapToGrid w:val="0"/>
        </w:rPr>
        <w:t xml:space="preserve">he PBAC considered </w:t>
      </w:r>
      <w:r w:rsidRPr="00797B35">
        <w:t xml:space="preserve">it appropriate that </w:t>
      </w:r>
      <w:r w:rsidR="00F0240E">
        <w:rPr>
          <w:rFonts w:asciiTheme="minorHAnsi" w:hAnsiTheme="minorHAnsi" w:cstheme="minorHAnsi"/>
          <w:bCs/>
          <w:snapToGrid w:val="0"/>
        </w:rPr>
        <w:t>BUD/GLY/FOR</w:t>
      </w:r>
      <w:r w:rsidRPr="00797B35">
        <w:rPr>
          <w:rFonts w:asciiTheme="minorHAnsi" w:hAnsiTheme="minorHAnsi" w:cstheme="minorHAnsi"/>
          <w:bCs/>
          <w:snapToGrid w:val="0"/>
        </w:rPr>
        <w:t xml:space="preserve"> be subject to the same risk sharing arrangements curre</w:t>
      </w:r>
      <w:r w:rsidR="006779A5">
        <w:rPr>
          <w:rFonts w:asciiTheme="minorHAnsi" w:hAnsiTheme="minorHAnsi" w:cstheme="minorHAnsi"/>
          <w:bCs/>
          <w:snapToGrid w:val="0"/>
        </w:rPr>
        <w:t xml:space="preserve">ntly in place for </w:t>
      </w:r>
      <w:r w:rsidR="00D8358B">
        <w:rPr>
          <w:rFonts w:asciiTheme="minorHAnsi" w:hAnsiTheme="minorHAnsi" w:cstheme="minorHAnsi"/>
          <w:bCs/>
          <w:snapToGrid w:val="0"/>
        </w:rPr>
        <w:t>the triple therapy FDC comparators</w:t>
      </w:r>
      <w:r w:rsidR="006779A5">
        <w:rPr>
          <w:rFonts w:asciiTheme="minorHAnsi" w:hAnsiTheme="minorHAnsi" w:cstheme="minorHAnsi"/>
          <w:bCs/>
          <w:snapToGrid w:val="0"/>
        </w:rPr>
        <w:t>.</w:t>
      </w:r>
      <w:r w:rsidR="00D8358B">
        <w:rPr>
          <w:rFonts w:asciiTheme="minorHAnsi" w:hAnsiTheme="minorHAnsi" w:cstheme="minorHAnsi"/>
          <w:bCs/>
          <w:snapToGrid w:val="0"/>
        </w:rPr>
        <w:t xml:space="preserve"> </w:t>
      </w:r>
    </w:p>
    <w:p w:rsidR="005D6541" w:rsidRPr="00B07A6E" w:rsidRDefault="00B07A6E" w:rsidP="00CC0E68">
      <w:pPr>
        <w:pStyle w:val="3-BodyText"/>
        <w:rPr>
          <w:rFonts w:cstheme="minorHAnsi"/>
          <w:bCs/>
        </w:rPr>
      </w:pPr>
      <w:r w:rsidRPr="00B07A6E">
        <w:rPr>
          <w:rFonts w:cstheme="minorHAnsi"/>
          <w:bCs/>
        </w:rPr>
        <w:t>The PBAC recalled that at its December 2017 meeting</w:t>
      </w:r>
      <w:r>
        <w:rPr>
          <w:rFonts w:cstheme="minorHAnsi"/>
          <w:bCs/>
        </w:rPr>
        <w:t>,</w:t>
      </w:r>
      <w:r w:rsidRPr="00B07A6E">
        <w:rPr>
          <w:rFonts w:cstheme="minorHAnsi"/>
          <w:bCs/>
        </w:rPr>
        <w:t xml:space="preserve"> that </w:t>
      </w:r>
      <w:r w:rsidR="0008323E" w:rsidRPr="00484245">
        <w:rPr>
          <w:lang w:val="en-US"/>
        </w:rPr>
        <w:t>FF/UMEC/VI</w:t>
      </w:r>
      <w:r w:rsidR="0008323E" w:rsidRPr="00B07A6E">
        <w:rPr>
          <w:rFonts w:cstheme="minorHAnsi"/>
          <w:bCs/>
        </w:rPr>
        <w:t xml:space="preserve"> </w:t>
      </w:r>
      <w:r w:rsidRPr="00B07A6E">
        <w:rPr>
          <w:rFonts w:cstheme="minorHAnsi"/>
          <w:bCs/>
        </w:rPr>
        <w:t>would be acceptably cost-effective if its price was not substantially greater than the price of LAMA/LABA dual therapy and recommended that a small price advantage be negotiated over the price of currently listed</w:t>
      </w:r>
      <w:r>
        <w:rPr>
          <w:rFonts w:cstheme="minorHAnsi"/>
          <w:bCs/>
        </w:rPr>
        <w:t xml:space="preserve"> </w:t>
      </w:r>
      <w:r w:rsidRPr="00B07A6E">
        <w:rPr>
          <w:rFonts w:cstheme="minorHAnsi"/>
          <w:bCs/>
        </w:rPr>
        <w:t xml:space="preserve">LAMA/LABA FDCs (paragraph 7.1, Trelegy Ellipta PSD, December 2017 PBAC meeting). </w:t>
      </w:r>
      <w:r w:rsidR="00D8358B" w:rsidRPr="00B07A6E">
        <w:rPr>
          <w:rFonts w:cstheme="minorHAnsi"/>
          <w:bCs/>
        </w:rPr>
        <w:t xml:space="preserve">The PBAC considered that </w:t>
      </w:r>
      <w:r w:rsidR="00EE4458" w:rsidRPr="00B07A6E">
        <w:rPr>
          <w:rFonts w:cstheme="minorHAnsi"/>
          <w:bCs/>
        </w:rPr>
        <w:t xml:space="preserve">it was </w:t>
      </w:r>
      <w:r w:rsidRPr="00B07A6E">
        <w:rPr>
          <w:rFonts w:cstheme="minorHAnsi"/>
          <w:bCs/>
        </w:rPr>
        <w:t>open to</w:t>
      </w:r>
      <w:r w:rsidR="00EE4458" w:rsidRPr="00B07A6E">
        <w:rPr>
          <w:rFonts w:cstheme="minorHAnsi"/>
          <w:bCs/>
        </w:rPr>
        <w:t xml:space="preserve"> the</w:t>
      </w:r>
      <w:r w:rsidR="00D8358B" w:rsidRPr="00B07A6E">
        <w:rPr>
          <w:rFonts w:cstheme="minorHAnsi"/>
          <w:bCs/>
        </w:rPr>
        <w:t xml:space="preserve"> sponsor of BUD/GLY/FOR </w:t>
      </w:r>
      <w:r w:rsidR="00EE4458" w:rsidRPr="00B07A6E">
        <w:rPr>
          <w:rFonts w:cstheme="minorHAnsi"/>
          <w:bCs/>
        </w:rPr>
        <w:t>to negotiate</w:t>
      </w:r>
      <w:r w:rsidR="00D8358B" w:rsidRPr="00B07A6E">
        <w:rPr>
          <w:rFonts w:cstheme="minorHAnsi"/>
          <w:bCs/>
        </w:rPr>
        <w:t xml:space="preserve"> a lower price</w:t>
      </w:r>
      <w:r w:rsidR="00EE4458" w:rsidRPr="00B07A6E">
        <w:rPr>
          <w:rFonts w:cstheme="minorHAnsi"/>
          <w:bCs/>
        </w:rPr>
        <w:t xml:space="preserve"> with the Department</w:t>
      </w:r>
      <w:r w:rsidR="00D8358B" w:rsidRPr="00B07A6E">
        <w:rPr>
          <w:rFonts w:cstheme="minorHAnsi"/>
          <w:bCs/>
        </w:rPr>
        <w:t xml:space="preserve"> in line with the intent of the December 2017 Trelegy Ellipta recommendation, while ensuring it does not exceed the ceiling price criteria set out in paragraph 7.</w:t>
      </w:r>
      <w:r>
        <w:rPr>
          <w:rFonts w:cstheme="minorHAnsi"/>
          <w:bCs/>
        </w:rPr>
        <w:t>8</w:t>
      </w:r>
      <w:r w:rsidR="00D8358B" w:rsidRPr="00B07A6E">
        <w:rPr>
          <w:rFonts w:cstheme="minorHAnsi"/>
          <w:bCs/>
        </w:rPr>
        <w:t xml:space="preserve">, </w:t>
      </w:r>
      <w:r>
        <w:rPr>
          <w:rFonts w:cstheme="minorHAnsi"/>
          <w:bCs/>
        </w:rPr>
        <w:t xml:space="preserve">to mitigate the requirement for a </w:t>
      </w:r>
      <w:r w:rsidR="00D8358B" w:rsidRPr="00B07A6E">
        <w:rPr>
          <w:rFonts w:cstheme="minorHAnsi"/>
          <w:bCs/>
        </w:rPr>
        <w:t xml:space="preserve"> risk sharing arrangement.</w:t>
      </w:r>
    </w:p>
    <w:p w:rsidR="005D6541" w:rsidRDefault="005D6541" w:rsidP="005D6541">
      <w:pPr>
        <w:pStyle w:val="3-BodyText"/>
      </w:pPr>
      <w:r w:rsidRPr="00797B35">
        <w:t>The PBAC noted the financial estimates would need to be recalculated to take into account the outcome of its considerations regarding the cost-minimisation analysis.</w:t>
      </w:r>
    </w:p>
    <w:p w:rsidR="005341BA" w:rsidRPr="00797B35" w:rsidRDefault="005341BA" w:rsidP="005341BA">
      <w:pPr>
        <w:pStyle w:val="3-BodyText"/>
      </w:pPr>
      <w:r>
        <w:t>The</w:t>
      </w:r>
      <w:r w:rsidR="002A3E0B">
        <w:t xml:space="preserve"> PBAC noted that </w:t>
      </w:r>
      <w:r>
        <w:t>BUD/GLY/FOR contains FOR, a LABA with a short duration of action used for the relief of symptoms in the asthma setting</w:t>
      </w:r>
      <w:r w:rsidR="002A3E0B">
        <w:t>. The PBAC agreed with the ESC that</w:t>
      </w:r>
      <w:r>
        <w:t xml:space="preserve"> it would be appropriate to </w:t>
      </w:r>
      <w:r w:rsidR="005039DB">
        <w:t xml:space="preserve">convey in the listing that </w:t>
      </w:r>
      <w:r w:rsidR="005039DB" w:rsidRPr="00C81D26">
        <w:t xml:space="preserve">this product is not indicated as reliever therapy and </w:t>
      </w:r>
      <w:r w:rsidR="005039DB">
        <w:t xml:space="preserve">that the listing is intended to facilitate regular, </w:t>
      </w:r>
      <w:r w:rsidR="005039DB" w:rsidRPr="00C81D26">
        <w:t xml:space="preserve">twice daily </w:t>
      </w:r>
      <w:r w:rsidR="005039DB">
        <w:t xml:space="preserve">dosing </w:t>
      </w:r>
      <w:r w:rsidR="005039DB" w:rsidRPr="00C81D26">
        <w:t>as per the</w:t>
      </w:r>
      <w:r w:rsidR="005039DB">
        <w:t xml:space="preserve"> approved Product Information</w:t>
      </w:r>
      <w:r w:rsidR="005039DB" w:rsidRPr="00C81D26">
        <w:t xml:space="preserve">. </w:t>
      </w:r>
      <w:r w:rsidRPr="00C81D26">
        <w:t xml:space="preserve">The </w:t>
      </w:r>
      <w:r>
        <w:t>PBAC</w:t>
      </w:r>
      <w:r w:rsidRPr="00C81D26">
        <w:t xml:space="preserve"> </w:t>
      </w:r>
      <w:r w:rsidR="002A3E0B">
        <w:t xml:space="preserve">considered the circumstances of PBS eligibility applicable to all three triple therapy FDCs for COPD </w:t>
      </w:r>
      <w:r w:rsidR="002A3E0B">
        <w:lastRenderedPageBreak/>
        <w:t xml:space="preserve">should be no different and as such </w:t>
      </w:r>
      <w:r>
        <w:t>flow-on restriction changes</w:t>
      </w:r>
      <w:r w:rsidR="002A3E0B">
        <w:t xml:space="preserve"> would also be required for BEC/GLY/FOR and FF/UMEC/VI as outlined in paragraph 8.2</w:t>
      </w:r>
      <w:r>
        <w:t xml:space="preserve">. </w:t>
      </w:r>
    </w:p>
    <w:p w:rsidR="005D6541" w:rsidRPr="00797B35" w:rsidRDefault="005D6541" w:rsidP="005D6541">
      <w:pPr>
        <w:numPr>
          <w:ilvl w:val="1"/>
          <w:numId w:val="1"/>
        </w:numPr>
        <w:spacing w:after="120"/>
        <w:rPr>
          <w:rFonts w:asciiTheme="minorHAnsi" w:hAnsiTheme="minorHAnsi"/>
          <w:bCs/>
        </w:rPr>
      </w:pPr>
      <w:r w:rsidRPr="00797B35">
        <w:rPr>
          <w:rFonts w:asciiTheme="minorHAnsi" w:hAnsiTheme="minorHAnsi"/>
          <w:bCs/>
        </w:rPr>
        <w:t xml:space="preserve">The PBAC advised that under Section 101(3BA) of the </w:t>
      </w:r>
      <w:r w:rsidRPr="00797B35">
        <w:rPr>
          <w:rFonts w:asciiTheme="minorHAnsi" w:hAnsiTheme="minorHAnsi"/>
          <w:bCs/>
          <w:i/>
        </w:rPr>
        <w:t>National Health Act 1953</w:t>
      </w:r>
      <w:r w:rsidR="006779A5">
        <w:rPr>
          <w:rFonts w:asciiTheme="minorHAnsi" w:hAnsiTheme="minorHAnsi"/>
          <w:bCs/>
        </w:rPr>
        <w:t xml:space="preserve"> </w:t>
      </w:r>
      <w:r w:rsidR="006779A5">
        <w:rPr>
          <w:bCs/>
        </w:rPr>
        <w:t>BUD/GLY/FOR</w:t>
      </w:r>
      <w:r w:rsidR="006779A5" w:rsidRPr="00797B35">
        <w:t xml:space="preserve"> </w:t>
      </w:r>
      <w:r w:rsidRPr="00797B35">
        <w:rPr>
          <w:rFonts w:asciiTheme="minorHAnsi" w:hAnsiTheme="minorHAnsi"/>
          <w:bCs/>
        </w:rPr>
        <w:t>should be treated as interchangeable on an individual pa</w:t>
      </w:r>
      <w:r w:rsidR="006779A5">
        <w:rPr>
          <w:rFonts w:asciiTheme="minorHAnsi" w:hAnsiTheme="minorHAnsi"/>
          <w:bCs/>
        </w:rPr>
        <w:t xml:space="preserve">tient basis with </w:t>
      </w:r>
      <w:r w:rsidR="006779A5" w:rsidRPr="00484245">
        <w:rPr>
          <w:lang w:val="en-US"/>
        </w:rPr>
        <w:t>FF/UMEC/VI</w:t>
      </w:r>
      <w:r w:rsidR="00F0240E">
        <w:rPr>
          <w:lang w:val="en-US"/>
        </w:rPr>
        <w:t xml:space="preserve"> and BEC/GLY/FOR</w:t>
      </w:r>
      <w:r w:rsidRPr="00797B35">
        <w:rPr>
          <w:rFonts w:asciiTheme="minorHAnsi" w:hAnsiTheme="minorHAnsi"/>
          <w:bCs/>
        </w:rPr>
        <w:t xml:space="preserve">. </w:t>
      </w:r>
    </w:p>
    <w:p w:rsidR="005D6541" w:rsidRPr="00797B35" w:rsidRDefault="005D6541" w:rsidP="005D6541">
      <w:pPr>
        <w:pStyle w:val="3-BodyText"/>
      </w:pPr>
      <w:r w:rsidRPr="00797B35">
        <w:t xml:space="preserve">The PBAC advised that </w:t>
      </w:r>
      <w:r w:rsidR="006779A5">
        <w:rPr>
          <w:bCs/>
        </w:rPr>
        <w:t>BUD/GLY/FOR</w:t>
      </w:r>
      <w:r w:rsidRPr="00797B35">
        <w:t xml:space="preserve"> is suitable for prescribing by nurse practitioners</w:t>
      </w:r>
      <w:r w:rsidR="007A30EA">
        <w:t xml:space="preserve"> as continuing therapy only</w:t>
      </w:r>
      <w:r w:rsidRPr="00797B35">
        <w:t>.</w:t>
      </w:r>
    </w:p>
    <w:p w:rsidR="005D6541" w:rsidRDefault="005D6541" w:rsidP="005D6541">
      <w:pPr>
        <w:numPr>
          <w:ilvl w:val="1"/>
          <w:numId w:val="1"/>
        </w:numPr>
        <w:spacing w:after="120"/>
        <w:rPr>
          <w:rFonts w:asciiTheme="minorHAnsi" w:hAnsiTheme="minorHAnsi"/>
          <w:bCs/>
        </w:rPr>
      </w:pPr>
      <w:r w:rsidRPr="00797B35">
        <w:rPr>
          <w:rFonts w:asciiTheme="minorHAnsi" w:hAnsiTheme="minorHAnsi"/>
          <w:bCs/>
        </w:rPr>
        <w:t>The PBAC recommended that the Early Supply Rule should apply to</w:t>
      </w:r>
      <w:r w:rsidRPr="00797B35">
        <w:rPr>
          <w:rFonts w:cstheme="minorHAnsi"/>
          <w:bCs/>
        </w:rPr>
        <w:t xml:space="preserve"> </w:t>
      </w:r>
      <w:r w:rsidR="006779A5">
        <w:rPr>
          <w:bCs/>
        </w:rPr>
        <w:t>BUD/GLY/FOR</w:t>
      </w:r>
      <w:r w:rsidRPr="00797B35">
        <w:rPr>
          <w:rFonts w:asciiTheme="minorHAnsi" w:hAnsiTheme="minorHAnsi"/>
          <w:bCs/>
        </w:rPr>
        <w:t>.</w:t>
      </w:r>
    </w:p>
    <w:p w:rsidR="005D6541" w:rsidRPr="00797B35" w:rsidRDefault="005D6541" w:rsidP="005D6541">
      <w:pPr>
        <w:pStyle w:val="3-BodyText"/>
        <w:rPr>
          <w:rFonts w:cstheme="minorHAnsi"/>
          <w:bCs/>
        </w:rPr>
      </w:pPr>
      <w:r w:rsidRPr="00797B35">
        <w:rPr>
          <w:rFonts w:cstheme="minorHAnsi"/>
          <w:bCs/>
        </w:rPr>
        <w:t>The PBAC noted that its recommendation was on a cost-minimisation basis and advised that, because</w:t>
      </w:r>
      <w:r w:rsidRPr="00797B35">
        <w:rPr>
          <w:rFonts w:cstheme="minorHAnsi"/>
          <w:bCs/>
          <w:snapToGrid/>
        </w:rPr>
        <w:t xml:space="preserve"> </w:t>
      </w:r>
      <w:r w:rsidR="006779A5">
        <w:rPr>
          <w:bCs/>
        </w:rPr>
        <w:t>BUD/GLY/FOR</w:t>
      </w:r>
      <w:r w:rsidRPr="00797B35">
        <w:rPr>
          <w:rFonts w:cstheme="minorHAnsi"/>
          <w:bCs/>
        </w:rPr>
        <w:t xml:space="preserve"> is not expected to provide a substantial and clinically relevant improvement in efficacy, or reduction of toxicity, over </w:t>
      </w:r>
      <w:r w:rsidR="006779A5" w:rsidRPr="00484245">
        <w:rPr>
          <w:lang w:val="en-US"/>
        </w:rPr>
        <w:t>FF/UMEC/VI</w:t>
      </w:r>
      <w:r w:rsidRPr="00797B35">
        <w:rPr>
          <w:rFonts w:cstheme="minorHAnsi"/>
          <w:bCs/>
        </w:rPr>
        <w:t xml:space="preserve">, or not expected to address a high and urgent unmet clinical need given the presence of an alternative therapy, the criteria prescribed by the </w:t>
      </w:r>
      <w:r w:rsidRPr="00797B35">
        <w:rPr>
          <w:rFonts w:cstheme="minorHAnsi"/>
          <w:bCs/>
          <w:i/>
        </w:rPr>
        <w:t>National Health (Pharmaceuticals and Vaccines – Cost Recovery) Regulations 2009</w:t>
      </w:r>
      <w:r w:rsidRPr="00797B35">
        <w:rPr>
          <w:rFonts w:cstheme="minorHAnsi"/>
          <w:bCs/>
        </w:rPr>
        <w:t xml:space="preserve"> for Pricing Pathway A were not met.</w:t>
      </w:r>
    </w:p>
    <w:p w:rsidR="005D6541" w:rsidRPr="00797B35" w:rsidRDefault="005D6541" w:rsidP="005D6541">
      <w:pPr>
        <w:pStyle w:val="3-BodyText"/>
        <w:rPr>
          <w:rFonts w:cstheme="minorHAnsi"/>
          <w:bCs/>
        </w:rPr>
      </w:pPr>
      <w:r w:rsidRPr="00797B35">
        <w:rPr>
          <w:rFonts w:cstheme="minorHAnsi"/>
          <w:bCs/>
        </w:rPr>
        <w:t>The PBAC noted that this submission is not eligible for an Independent Review, as it received a positive recommendation.</w:t>
      </w:r>
    </w:p>
    <w:p w:rsidR="005D6541" w:rsidRPr="00797B35" w:rsidRDefault="005D6541" w:rsidP="005D6541">
      <w:pPr>
        <w:spacing w:before="240"/>
        <w:rPr>
          <w:rFonts w:asciiTheme="minorHAnsi" w:hAnsiTheme="minorHAnsi"/>
          <w:b/>
          <w:bCs/>
          <w:snapToGrid w:val="0"/>
          <w:lang w:eastAsia="en-US"/>
        </w:rPr>
      </w:pPr>
      <w:r w:rsidRPr="00797B35">
        <w:rPr>
          <w:rFonts w:asciiTheme="minorHAnsi" w:hAnsiTheme="minorHAnsi"/>
          <w:b/>
          <w:bCs/>
          <w:snapToGrid w:val="0"/>
          <w:lang w:eastAsia="en-US"/>
        </w:rPr>
        <w:t>Outcome:</w:t>
      </w:r>
    </w:p>
    <w:p w:rsidR="005D6541" w:rsidRPr="00797B35" w:rsidRDefault="005D6541" w:rsidP="005D6541">
      <w:pPr>
        <w:spacing w:after="120"/>
        <w:rPr>
          <w:rFonts w:asciiTheme="minorHAnsi" w:hAnsiTheme="minorHAnsi"/>
          <w:b/>
          <w:bCs/>
          <w:snapToGrid w:val="0"/>
          <w:lang w:eastAsia="en-US"/>
        </w:rPr>
      </w:pPr>
      <w:r w:rsidRPr="00797B35">
        <w:rPr>
          <w:rFonts w:asciiTheme="minorHAnsi" w:hAnsiTheme="minorHAnsi"/>
          <w:bCs/>
          <w:snapToGrid w:val="0"/>
          <w:lang w:eastAsia="en-US"/>
        </w:rPr>
        <w:t xml:space="preserve">Recommended </w:t>
      </w:r>
    </w:p>
    <w:bookmarkEnd w:id="35"/>
    <w:p w:rsidR="00442107" w:rsidRDefault="00442107">
      <w:pPr>
        <w:jc w:val="left"/>
        <w:rPr>
          <w:rFonts w:asciiTheme="minorHAnsi" w:hAnsiTheme="minorHAnsi"/>
          <w:b/>
          <w:snapToGrid w:val="0"/>
          <w:sz w:val="32"/>
          <w:szCs w:val="32"/>
        </w:rPr>
      </w:pPr>
      <w:r>
        <w:rPr>
          <w:rFonts w:asciiTheme="minorHAnsi" w:hAnsiTheme="minorHAnsi"/>
          <w:b/>
          <w:snapToGrid w:val="0"/>
          <w:sz w:val="32"/>
          <w:szCs w:val="32"/>
        </w:rPr>
        <w:br w:type="page"/>
      </w:r>
    </w:p>
    <w:p w:rsidR="00953FE8" w:rsidRPr="00953FE8" w:rsidRDefault="00953FE8" w:rsidP="00953FE8">
      <w:pPr>
        <w:keepNext/>
        <w:numPr>
          <w:ilvl w:val="0"/>
          <w:numId w:val="1"/>
        </w:numPr>
        <w:spacing w:before="240" w:after="120"/>
        <w:jc w:val="left"/>
        <w:outlineLvl w:val="0"/>
        <w:rPr>
          <w:rFonts w:asciiTheme="minorHAnsi" w:hAnsiTheme="minorHAnsi"/>
          <w:b/>
          <w:snapToGrid w:val="0"/>
          <w:sz w:val="32"/>
          <w:szCs w:val="32"/>
        </w:rPr>
      </w:pPr>
      <w:r w:rsidRPr="00953FE8">
        <w:rPr>
          <w:rFonts w:asciiTheme="minorHAnsi" w:hAnsiTheme="minorHAnsi"/>
          <w:b/>
          <w:snapToGrid w:val="0"/>
          <w:sz w:val="32"/>
          <w:szCs w:val="32"/>
        </w:rPr>
        <w:lastRenderedPageBreak/>
        <w:t>Recommended listing</w:t>
      </w:r>
    </w:p>
    <w:p w:rsidR="00953FE8" w:rsidRPr="00A52260" w:rsidRDefault="00A52260" w:rsidP="00A52260">
      <w:pPr>
        <w:widowControl w:val="0"/>
        <w:numPr>
          <w:ilvl w:val="1"/>
          <w:numId w:val="1"/>
        </w:numPr>
        <w:spacing w:after="120"/>
        <w:contextualSpacing/>
        <w:rPr>
          <w:rFonts w:asciiTheme="minorHAnsi" w:hAnsiTheme="minorHAnsi"/>
          <w:b/>
          <w:bCs/>
          <w:snapToGrid w:val="0"/>
        </w:rPr>
      </w:pPr>
      <w:r>
        <w:rPr>
          <w:rFonts w:asciiTheme="minorHAnsi" w:hAnsiTheme="minorHAnsi"/>
          <w:bCs/>
          <w:snapToGrid w:val="0"/>
        </w:rPr>
        <w:t>Add new medicinal product</w:t>
      </w:r>
      <w:r w:rsidR="00F314BB">
        <w:rPr>
          <w:rFonts w:asciiTheme="minorHAnsi" w:hAnsiTheme="minorHAnsi"/>
          <w:bCs/>
          <w:snapToGrid w:val="0"/>
        </w:rPr>
        <w:t xml:space="preserve"> as follows</w:t>
      </w:r>
      <w:r w:rsidR="00953FE8" w:rsidRPr="00A52260">
        <w:rPr>
          <w:rFonts w:asciiTheme="minorHAnsi" w:hAnsiTheme="minorHAnsi"/>
          <w:bCs/>
          <w:snapToGrid w:val="0"/>
        </w:rPr>
        <w:t>:</w:t>
      </w:r>
    </w:p>
    <w:p w:rsidR="00A52260" w:rsidRPr="00A52260" w:rsidRDefault="00A52260" w:rsidP="00A52260">
      <w:pPr>
        <w:widowControl w:val="0"/>
        <w:spacing w:after="120"/>
        <w:contextualSpacing/>
        <w:rPr>
          <w:rFonts w:asciiTheme="minorHAnsi" w:hAnsiTheme="minorHAnsi"/>
          <w:b/>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992"/>
        <w:gridCol w:w="992"/>
        <w:gridCol w:w="851"/>
        <w:gridCol w:w="708"/>
        <w:gridCol w:w="1134"/>
      </w:tblGrid>
      <w:tr w:rsidR="00A52260" w:rsidRPr="005B2F00" w:rsidTr="00E21B40">
        <w:trPr>
          <w:cantSplit/>
          <w:trHeight w:val="471"/>
        </w:trPr>
        <w:tc>
          <w:tcPr>
            <w:tcW w:w="4390" w:type="dxa"/>
            <w:gridSpan w:val="2"/>
          </w:tcPr>
          <w:p w:rsidR="00A52260" w:rsidRPr="005B2F00" w:rsidRDefault="00A52260" w:rsidP="00E21B40">
            <w:pPr>
              <w:keepNext/>
              <w:ind w:left="-57"/>
              <w:rPr>
                <w:rFonts w:ascii="Arial Narrow" w:hAnsi="Arial Narrow"/>
                <w:b/>
                <w:bCs/>
                <w:sz w:val="18"/>
                <w:szCs w:val="18"/>
              </w:rPr>
            </w:pPr>
            <w:r w:rsidRPr="005B2F00">
              <w:rPr>
                <w:rFonts w:ascii="Arial Narrow" w:hAnsi="Arial Narrow"/>
                <w:b/>
                <w:bCs/>
                <w:sz w:val="18"/>
                <w:szCs w:val="18"/>
              </w:rPr>
              <w:t>MEDICINAL PRODUCT</w:t>
            </w:r>
          </w:p>
          <w:p w:rsidR="00A52260" w:rsidRPr="005B2F00" w:rsidRDefault="00A52260" w:rsidP="00E21B40">
            <w:pPr>
              <w:keepNext/>
              <w:ind w:left="-57"/>
              <w:rPr>
                <w:rFonts w:ascii="Arial Narrow" w:hAnsi="Arial Narrow"/>
                <w:b/>
                <w:sz w:val="18"/>
                <w:szCs w:val="18"/>
              </w:rPr>
            </w:pPr>
            <w:r w:rsidRPr="005B2F00">
              <w:rPr>
                <w:rFonts w:ascii="Arial Narrow" w:hAnsi="Arial Narrow"/>
                <w:b/>
                <w:bCs/>
                <w:sz w:val="18"/>
                <w:szCs w:val="18"/>
              </w:rPr>
              <w:t>medicinal product pack</w:t>
            </w:r>
          </w:p>
        </w:tc>
        <w:tc>
          <w:tcPr>
            <w:tcW w:w="992" w:type="dxa"/>
          </w:tcPr>
          <w:p w:rsidR="00A52260" w:rsidRPr="005B2F00" w:rsidRDefault="00A52260" w:rsidP="00E21B40">
            <w:pPr>
              <w:keepNext/>
              <w:ind w:left="-108"/>
              <w:jc w:val="center"/>
              <w:rPr>
                <w:rFonts w:ascii="Arial Narrow" w:hAnsi="Arial Narrow"/>
                <w:b/>
                <w:sz w:val="18"/>
                <w:szCs w:val="18"/>
              </w:rPr>
            </w:pPr>
            <w:r w:rsidRPr="005B2F00">
              <w:rPr>
                <w:rFonts w:ascii="Arial Narrow" w:hAnsi="Arial Narrow"/>
                <w:b/>
                <w:sz w:val="18"/>
                <w:szCs w:val="18"/>
              </w:rPr>
              <w:t>PBS item code</w:t>
            </w:r>
          </w:p>
        </w:tc>
        <w:tc>
          <w:tcPr>
            <w:tcW w:w="992" w:type="dxa"/>
          </w:tcPr>
          <w:p w:rsidR="00A52260" w:rsidRPr="005B2F00" w:rsidRDefault="00A52260" w:rsidP="00E21B40">
            <w:pPr>
              <w:keepNext/>
              <w:ind w:left="-108"/>
              <w:jc w:val="center"/>
              <w:rPr>
                <w:rFonts w:ascii="Arial Narrow" w:hAnsi="Arial Narrow"/>
                <w:b/>
                <w:sz w:val="18"/>
                <w:szCs w:val="18"/>
              </w:rPr>
            </w:pPr>
            <w:r w:rsidRPr="005B2F00">
              <w:rPr>
                <w:rFonts w:ascii="Arial Narrow" w:hAnsi="Arial Narrow"/>
                <w:b/>
                <w:sz w:val="18"/>
                <w:szCs w:val="18"/>
              </w:rPr>
              <w:t>Max. qty packs</w:t>
            </w:r>
          </w:p>
        </w:tc>
        <w:tc>
          <w:tcPr>
            <w:tcW w:w="851" w:type="dxa"/>
          </w:tcPr>
          <w:p w:rsidR="00A52260" w:rsidRPr="005B2F00" w:rsidRDefault="00A52260" w:rsidP="00E21B40">
            <w:pPr>
              <w:keepNext/>
              <w:ind w:left="-108"/>
              <w:jc w:val="center"/>
              <w:rPr>
                <w:rFonts w:ascii="Arial Narrow" w:hAnsi="Arial Narrow"/>
                <w:b/>
                <w:sz w:val="18"/>
                <w:szCs w:val="18"/>
              </w:rPr>
            </w:pPr>
            <w:r w:rsidRPr="005B2F00">
              <w:rPr>
                <w:rFonts w:ascii="Arial Narrow" w:hAnsi="Arial Narrow"/>
                <w:b/>
                <w:sz w:val="18"/>
                <w:szCs w:val="18"/>
              </w:rPr>
              <w:t>Max. qty units</w:t>
            </w:r>
          </w:p>
        </w:tc>
        <w:tc>
          <w:tcPr>
            <w:tcW w:w="708" w:type="dxa"/>
          </w:tcPr>
          <w:p w:rsidR="00A52260" w:rsidRPr="005B2F00" w:rsidRDefault="00A52260" w:rsidP="00E21B40">
            <w:pPr>
              <w:keepNext/>
              <w:ind w:left="-108"/>
              <w:jc w:val="center"/>
              <w:rPr>
                <w:rFonts w:ascii="Arial Narrow" w:hAnsi="Arial Narrow"/>
                <w:b/>
                <w:sz w:val="18"/>
                <w:szCs w:val="18"/>
              </w:rPr>
            </w:pPr>
            <w:r w:rsidRPr="005B2F00">
              <w:rPr>
                <w:rFonts w:ascii="Arial Narrow" w:hAnsi="Arial Narrow"/>
                <w:b/>
                <w:sz w:val="18"/>
                <w:szCs w:val="18"/>
              </w:rPr>
              <w:t>№.of</w:t>
            </w:r>
          </w:p>
          <w:p w:rsidR="00A52260" w:rsidRPr="005B2F00" w:rsidRDefault="00A52260" w:rsidP="00E21B40">
            <w:pPr>
              <w:keepNext/>
              <w:ind w:left="-108"/>
              <w:jc w:val="center"/>
              <w:rPr>
                <w:rFonts w:ascii="Arial Narrow" w:hAnsi="Arial Narrow"/>
                <w:b/>
                <w:sz w:val="18"/>
                <w:szCs w:val="18"/>
              </w:rPr>
            </w:pPr>
            <w:r w:rsidRPr="005B2F00">
              <w:rPr>
                <w:rFonts w:ascii="Arial Narrow" w:hAnsi="Arial Narrow"/>
                <w:b/>
                <w:sz w:val="18"/>
                <w:szCs w:val="18"/>
              </w:rPr>
              <w:t>Rpts</w:t>
            </w:r>
          </w:p>
        </w:tc>
        <w:tc>
          <w:tcPr>
            <w:tcW w:w="1134" w:type="dxa"/>
          </w:tcPr>
          <w:p w:rsidR="00A52260" w:rsidRPr="005B2F00" w:rsidRDefault="00A52260" w:rsidP="00E21B40">
            <w:pPr>
              <w:keepNext/>
              <w:rPr>
                <w:rFonts w:ascii="Arial Narrow" w:hAnsi="Arial Narrow"/>
                <w:b/>
                <w:sz w:val="18"/>
                <w:szCs w:val="18"/>
                <w:lang w:val="fr-FR"/>
              </w:rPr>
            </w:pPr>
            <w:r w:rsidRPr="005B2F00">
              <w:rPr>
                <w:rFonts w:ascii="Arial Narrow" w:hAnsi="Arial Narrow"/>
                <w:b/>
                <w:sz w:val="18"/>
                <w:szCs w:val="18"/>
              </w:rPr>
              <w:t>Available brands</w:t>
            </w:r>
          </w:p>
        </w:tc>
      </w:tr>
      <w:tr w:rsidR="00A52260" w:rsidRPr="005B2F00" w:rsidTr="00E21B40">
        <w:trPr>
          <w:cantSplit/>
          <w:trHeight w:val="224"/>
        </w:trPr>
        <w:tc>
          <w:tcPr>
            <w:tcW w:w="9067" w:type="dxa"/>
            <w:gridSpan w:val="7"/>
          </w:tcPr>
          <w:p w:rsidR="00A52260" w:rsidRPr="005B2F00" w:rsidRDefault="00A52260" w:rsidP="00E21B40">
            <w:pPr>
              <w:keepNext/>
              <w:ind w:left="-57"/>
              <w:rPr>
                <w:rFonts w:ascii="Arial Narrow" w:hAnsi="Arial Narrow"/>
                <w:sz w:val="18"/>
                <w:szCs w:val="18"/>
              </w:rPr>
            </w:pPr>
            <w:r w:rsidRPr="005B2F00">
              <w:rPr>
                <w:rFonts w:ascii="Arial Narrow" w:hAnsi="Arial Narrow"/>
                <w:sz w:val="18"/>
                <w:szCs w:val="18"/>
              </w:rPr>
              <w:t xml:space="preserve">BUDESONIDE + FORMOTEROL (EFORMOTEROL) + GLYCOPYRRONIUM </w:t>
            </w:r>
          </w:p>
        </w:tc>
      </w:tr>
      <w:tr w:rsidR="00A52260" w:rsidRPr="005B2F00" w:rsidTr="00E21B40">
        <w:trPr>
          <w:cantSplit/>
          <w:trHeight w:val="553"/>
        </w:trPr>
        <w:tc>
          <w:tcPr>
            <w:tcW w:w="4390" w:type="dxa"/>
            <w:gridSpan w:val="2"/>
          </w:tcPr>
          <w:p w:rsidR="00A52260" w:rsidRPr="005B2F00" w:rsidRDefault="00A52260" w:rsidP="00E21B40">
            <w:pPr>
              <w:keepNext/>
              <w:ind w:left="-57"/>
              <w:rPr>
                <w:rFonts w:ascii="Arial Narrow" w:hAnsi="Arial Narrow"/>
                <w:sz w:val="18"/>
                <w:szCs w:val="18"/>
              </w:rPr>
            </w:pPr>
            <w:r w:rsidRPr="005B2F00">
              <w:rPr>
                <w:rFonts w:ascii="Arial Narrow" w:hAnsi="Arial Narrow"/>
                <w:sz w:val="18"/>
                <w:szCs w:val="18"/>
              </w:rPr>
              <w:t>budesonide 160 microgram/actuation + glycopyrronium 7.2 microgram/actuation + formoterol (eformoterol) fumarate dehydrate 5 microgram/actuation inhalation, 120 actuations</w:t>
            </w:r>
          </w:p>
        </w:tc>
        <w:tc>
          <w:tcPr>
            <w:tcW w:w="992" w:type="dxa"/>
          </w:tcPr>
          <w:p w:rsidR="00A52260" w:rsidRPr="005B2F00" w:rsidRDefault="00A52260" w:rsidP="00E21B40">
            <w:pPr>
              <w:keepNext/>
              <w:jc w:val="center"/>
              <w:rPr>
                <w:rFonts w:ascii="Arial Narrow" w:hAnsi="Arial Narrow"/>
                <w:sz w:val="18"/>
                <w:szCs w:val="18"/>
              </w:rPr>
            </w:pPr>
            <w:r w:rsidRPr="005B2F00">
              <w:rPr>
                <w:rFonts w:ascii="Arial Narrow" w:hAnsi="Arial Narrow"/>
                <w:sz w:val="18"/>
                <w:szCs w:val="18"/>
              </w:rPr>
              <w:t>NEW</w:t>
            </w:r>
          </w:p>
        </w:tc>
        <w:tc>
          <w:tcPr>
            <w:tcW w:w="992" w:type="dxa"/>
          </w:tcPr>
          <w:p w:rsidR="00A52260" w:rsidRPr="005B2F00" w:rsidRDefault="00A52260" w:rsidP="00E21B40">
            <w:pPr>
              <w:keepNext/>
              <w:jc w:val="center"/>
              <w:rPr>
                <w:rFonts w:ascii="Arial Narrow" w:hAnsi="Arial Narrow"/>
                <w:sz w:val="18"/>
                <w:szCs w:val="18"/>
              </w:rPr>
            </w:pPr>
            <w:r w:rsidRPr="005B2F00">
              <w:rPr>
                <w:rFonts w:ascii="Arial Narrow" w:hAnsi="Arial Narrow"/>
                <w:sz w:val="18"/>
                <w:szCs w:val="18"/>
              </w:rPr>
              <w:t>1</w:t>
            </w:r>
          </w:p>
        </w:tc>
        <w:tc>
          <w:tcPr>
            <w:tcW w:w="851" w:type="dxa"/>
          </w:tcPr>
          <w:p w:rsidR="00A52260" w:rsidRPr="005B2F00" w:rsidRDefault="00A52260" w:rsidP="00E21B40">
            <w:pPr>
              <w:keepNext/>
              <w:jc w:val="center"/>
              <w:rPr>
                <w:rFonts w:ascii="Arial Narrow" w:hAnsi="Arial Narrow"/>
                <w:sz w:val="18"/>
                <w:szCs w:val="18"/>
              </w:rPr>
            </w:pPr>
            <w:r w:rsidRPr="005B2F00">
              <w:rPr>
                <w:rFonts w:ascii="Arial Narrow" w:hAnsi="Arial Narrow"/>
                <w:sz w:val="18"/>
                <w:szCs w:val="18"/>
              </w:rPr>
              <w:t>1</w:t>
            </w:r>
          </w:p>
        </w:tc>
        <w:tc>
          <w:tcPr>
            <w:tcW w:w="708" w:type="dxa"/>
          </w:tcPr>
          <w:p w:rsidR="00A52260" w:rsidRPr="005B2F00" w:rsidRDefault="00A52260" w:rsidP="00E21B40">
            <w:pPr>
              <w:keepNext/>
              <w:jc w:val="center"/>
              <w:rPr>
                <w:rFonts w:ascii="Arial Narrow" w:hAnsi="Arial Narrow"/>
                <w:sz w:val="18"/>
                <w:szCs w:val="18"/>
              </w:rPr>
            </w:pPr>
            <w:r w:rsidRPr="005B2F00">
              <w:rPr>
                <w:rFonts w:ascii="Arial Narrow" w:hAnsi="Arial Narrow"/>
                <w:sz w:val="18"/>
                <w:szCs w:val="18"/>
              </w:rPr>
              <w:t>5</w:t>
            </w:r>
          </w:p>
        </w:tc>
        <w:tc>
          <w:tcPr>
            <w:tcW w:w="1134" w:type="dxa"/>
          </w:tcPr>
          <w:p w:rsidR="00A52260" w:rsidRPr="005B2F00" w:rsidRDefault="00A52260" w:rsidP="00E21B40">
            <w:pPr>
              <w:keepNext/>
              <w:rPr>
                <w:rFonts w:ascii="Arial Narrow" w:hAnsi="Arial Narrow"/>
                <w:sz w:val="18"/>
                <w:szCs w:val="18"/>
              </w:rPr>
            </w:pPr>
            <w:r w:rsidRPr="005B2F00">
              <w:rPr>
                <w:rFonts w:ascii="Arial Narrow" w:hAnsi="Arial Narrow"/>
                <w:sz w:val="18"/>
                <w:szCs w:val="18"/>
              </w:rPr>
              <w:t>Breztri Aerosphere</w:t>
            </w:r>
            <w:r w:rsidRPr="005B2F00">
              <w:rPr>
                <w:rFonts w:ascii="Arial Narrow" w:hAnsi="Arial Narrow"/>
                <w:sz w:val="18"/>
                <w:szCs w:val="18"/>
                <w:vertAlign w:val="superscript"/>
              </w:rPr>
              <w:t xml:space="preserve"> </w:t>
            </w:r>
            <w:r w:rsidRPr="005B2F00">
              <w:rPr>
                <w:rFonts w:ascii="Arial Narrow" w:hAnsi="Arial Narrow"/>
                <w:sz w:val="18"/>
                <w:szCs w:val="18"/>
              </w:rPr>
              <w:t>160/7.2/5</w:t>
            </w:r>
          </w:p>
        </w:tc>
      </w:tr>
      <w:tr w:rsidR="00A52260" w:rsidRPr="005B2F00" w:rsidTr="00E21B40">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A52260" w:rsidRPr="005B2F00" w:rsidRDefault="00A52260" w:rsidP="00E21B40">
            <w:pPr>
              <w:keepNext/>
              <w:ind w:left="57"/>
              <w:rPr>
                <w:rFonts w:ascii="Arial Narrow" w:hAnsi="Arial Narrow"/>
                <w:b/>
                <w:sz w:val="18"/>
                <w:szCs w:val="18"/>
              </w:rPr>
            </w:pPr>
            <w:bookmarkStart w:id="36" w:name="_Hlk77865806"/>
            <w:r w:rsidRPr="005B2F00">
              <w:rPr>
                <w:rFonts w:ascii="Arial Narrow" w:hAnsi="Arial Narrow"/>
                <w:b/>
                <w:sz w:val="18"/>
                <w:szCs w:val="18"/>
              </w:rPr>
              <w:t xml:space="preserve">Restriction Summary  / Treatment of Concept: </w:t>
            </w:r>
            <w:r w:rsidR="005B2F00">
              <w:rPr>
                <w:rFonts w:ascii="Arial Narrow" w:hAnsi="Arial Narrow"/>
                <w:b/>
                <w:sz w:val="18"/>
                <w:szCs w:val="18"/>
              </w:rPr>
              <w:t>[New 1]</w:t>
            </w:r>
          </w:p>
        </w:tc>
      </w:tr>
      <w:tr w:rsidR="00A52260" w:rsidRPr="005B2F00" w:rsidTr="00E21B40">
        <w:tblPrEx>
          <w:tblCellMar>
            <w:top w:w="15" w:type="dxa"/>
            <w:left w:w="15" w:type="dxa"/>
            <w:bottom w:w="15" w:type="dxa"/>
            <w:right w:w="15" w:type="dxa"/>
          </w:tblCellMar>
          <w:tblLook w:val="04A0" w:firstRow="1" w:lastRow="0" w:firstColumn="1" w:lastColumn="0" w:noHBand="0" w:noVBand="1"/>
        </w:tblPrEx>
        <w:trPr>
          <w:trHeight w:val="148"/>
        </w:trPr>
        <w:tc>
          <w:tcPr>
            <w:tcW w:w="1129" w:type="dxa"/>
            <w:vMerge w:val="restart"/>
            <w:tcBorders>
              <w:top w:val="single" w:sz="4" w:space="0" w:color="auto"/>
              <w:left w:val="single" w:sz="4" w:space="0" w:color="auto"/>
              <w:right w:val="single" w:sz="4" w:space="0" w:color="auto"/>
            </w:tcBorders>
          </w:tcPr>
          <w:p w:rsidR="00A52260" w:rsidRPr="005B2F00" w:rsidRDefault="00A52260" w:rsidP="00E21B40">
            <w:pPr>
              <w:keepNext/>
              <w:jc w:val="center"/>
              <w:rPr>
                <w:rFonts w:ascii="Arial Narrow" w:hAnsi="Arial Narrow"/>
                <w:sz w:val="18"/>
                <w:szCs w:val="18"/>
              </w:rPr>
            </w:pPr>
            <w:bookmarkStart w:id="37" w:name="_Hlk77865854"/>
          </w:p>
        </w:tc>
        <w:tc>
          <w:tcPr>
            <w:tcW w:w="7938" w:type="dxa"/>
            <w:gridSpan w:val="6"/>
            <w:tcBorders>
              <w:top w:val="single" w:sz="4" w:space="0" w:color="auto"/>
              <w:left w:val="single" w:sz="4" w:space="0" w:color="auto"/>
              <w:bottom w:val="single" w:sz="4" w:space="0" w:color="auto"/>
              <w:right w:val="single" w:sz="4" w:space="0" w:color="auto"/>
            </w:tcBorders>
          </w:tcPr>
          <w:p w:rsidR="00A52260" w:rsidRPr="005B2F00" w:rsidRDefault="00A52260" w:rsidP="00E21B40">
            <w:pPr>
              <w:keepNext/>
              <w:rPr>
                <w:rFonts w:ascii="Arial Narrow" w:hAnsi="Arial Narrow"/>
                <w:sz w:val="18"/>
                <w:szCs w:val="18"/>
              </w:rPr>
            </w:pPr>
            <w:r w:rsidRPr="005B2F00">
              <w:rPr>
                <w:rFonts w:ascii="Arial Narrow" w:hAnsi="Arial Narrow"/>
                <w:b/>
                <w:sz w:val="18"/>
                <w:szCs w:val="18"/>
              </w:rPr>
              <w:t xml:space="preserve">Category / Program:   </w:t>
            </w:r>
            <w:r w:rsidRPr="005B2F00">
              <w:rPr>
                <w:rFonts w:ascii="Arial Narrow" w:hAnsi="Arial Narrow"/>
                <w:sz w:val="18"/>
                <w:szCs w:val="18"/>
              </w:rPr>
              <w:t>GENERAL – General Schedule (Code GE)</w:t>
            </w:r>
          </w:p>
        </w:tc>
      </w:tr>
      <w:tr w:rsidR="00A52260" w:rsidRPr="005B2F00" w:rsidTr="00E21B40">
        <w:tblPrEx>
          <w:tblCellMar>
            <w:top w:w="15" w:type="dxa"/>
            <w:left w:w="15" w:type="dxa"/>
            <w:bottom w:w="15" w:type="dxa"/>
            <w:right w:w="15" w:type="dxa"/>
          </w:tblCellMar>
          <w:tblLook w:val="04A0" w:firstRow="1" w:lastRow="0" w:firstColumn="1" w:lastColumn="0" w:noHBand="0" w:noVBand="1"/>
        </w:tblPrEx>
        <w:trPr>
          <w:trHeight w:val="240"/>
        </w:trPr>
        <w:tc>
          <w:tcPr>
            <w:tcW w:w="1129" w:type="dxa"/>
            <w:vMerge/>
            <w:tcBorders>
              <w:left w:val="single" w:sz="4" w:space="0" w:color="auto"/>
              <w:right w:val="single" w:sz="4" w:space="0" w:color="auto"/>
            </w:tcBorders>
          </w:tcPr>
          <w:p w:rsidR="00A52260" w:rsidRPr="005B2F00" w:rsidRDefault="00A52260" w:rsidP="00E21B40">
            <w:pPr>
              <w:keepNext/>
              <w:rPr>
                <w:rFonts w:ascii="Arial Narrow" w:hAnsi="Arial Narrow"/>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A52260" w:rsidRPr="005B2F00" w:rsidRDefault="00A52260" w:rsidP="00E21B40">
            <w:pPr>
              <w:keepNext/>
              <w:rPr>
                <w:rFonts w:ascii="Arial Narrow" w:hAnsi="Arial Narrow"/>
                <w:b/>
                <w:sz w:val="18"/>
                <w:szCs w:val="18"/>
              </w:rPr>
            </w:pPr>
            <w:r w:rsidRPr="005B2F00">
              <w:rPr>
                <w:rFonts w:ascii="Arial Narrow" w:hAnsi="Arial Narrow"/>
                <w:b/>
                <w:sz w:val="18"/>
                <w:szCs w:val="18"/>
              </w:rPr>
              <w:t xml:space="preserve">Prescriber type:   </w:t>
            </w:r>
            <w:r w:rsidRPr="005B2F00">
              <w:rPr>
                <w:rFonts w:ascii="Arial Narrow" w:hAnsi="Arial Narrow"/>
                <w:sz w:val="18"/>
                <w:szCs w:val="18"/>
              </w:rPr>
              <w:fldChar w:fldCharType="begin">
                <w:ffData>
                  <w:name w:val=""/>
                  <w:enabled/>
                  <w:calcOnExit w:val="0"/>
                  <w:checkBox>
                    <w:sizeAuto/>
                    <w:default w:val="1"/>
                  </w:checkBox>
                </w:ffData>
              </w:fldChar>
            </w:r>
            <w:r w:rsidRPr="005B2F00">
              <w:rPr>
                <w:rFonts w:ascii="Arial Narrow" w:hAnsi="Arial Narrow"/>
                <w:sz w:val="18"/>
                <w:szCs w:val="18"/>
              </w:rPr>
              <w:instrText xml:space="preserve"> FORMCHECKBOX </w:instrText>
            </w:r>
            <w:r w:rsidR="0032234C">
              <w:rPr>
                <w:rFonts w:ascii="Arial Narrow" w:hAnsi="Arial Narrow"/>
                <w:sz w:val="18"/>
                <w:szCs w:val="18"/>
              </w:rPr>
            </w:r>
            <w:r w:rsidR="0032234C">
              <w:rPr>
                <w:rFonts w:ascii="Arial Narrow" w:hAnsi="Arial Narrow"/>
                <w:sz w:val="18"/>
                <w:szCs w:val="18"/>
              </w:rPr>
              <w:fldChar w:fldCharType="separate"/>
            </w:r>
            <w:r w:rsidRPr="005B2F00">
              <w:rPr>
                <w:rFonts w:ascii="Arial Narrow" w:hAnsi="Arial Narrow"/>
                <w:sz w:val="18"/>
                <w:szCs w:val="18"/>
              </w:rPr>
              <w:fldChar w:fldCharType="end"/>
            </w:r>
            <w:r w:rsidRPr="005B2F00">
              <w:rPr>
                <w:rFonts w:ascii="Arial Narrow" w:hAnsi="Arial Narrow"/>
                <w:sz w:val="18"/>
                <w:szCs w:val="18"/>
              </w:rPr>
              <w:t xml:space="preserve"> Medical Practitioners    </w:t>
            </w:r>
            <w:r w:rsidRPr="005B2F00">
              <w:rPr>
                <w:rFonts w:ascii="Arial Narrow" w:hAnsi="Arial Narrow"/>
                <w:sz w:val="18"/>
                <w:szCs w:val="18"/>
              </w:rPr>
              <w:fldChar w:fldCharType="begin">
                <w:ffData>
                  <w:name w:val="Check3"/>
                  <w:enabled/>
                  <w:calcOnExit w:val="0"/>
                  <w:checkBox>
                    <w:sizeAuto/>
                    <w:default w:val="1"/>
                  </w:checkBox>
                </w:ffData>
              </w:fldChar>
            </w:r>
            <w:r w:rsidRPr="005B2F00">
              <w:rPr>
                <w:rFonts w:ascii="Arial Narrow" w:hAnsi="Arial Narrow"/>
                <w:sz w:val="18"/>
                <w:szCs w:val="18"/>
              </w:rPr>
              <w:instrText xml:space="preserve"> FORMCHECKBOX </w:instrText>
            </w:r>
            <w:r w:rsidR="0032234C">
              <w:rPr>
                <w:rFonts w:ascii="Arial Narrow" w:hAnsi="Arial Narrow"/>
                <w:sz w:val="18"/>
                <w:szCs w:val="18"/>
              </w:rPr>
            </w:r>
            <w:r w:rsidR="0032234C">
              <w:rPr>
                <w:rFonts w:ascii="Arial Narrow" w:hAnsi="Arial Narrow"/>
                <w:sz w:val="18"/>
                <w:szCs w:val="18"/>
              </w:rPr>
              <w:fldChar w:fldCharType="separate"/>
            </w:r>
            <w:r w:rsidRPr="005B2F00">
              <w:rPr>
                <w:rFonts w:ascii="Arial Narrow" w:hAnsi="Arial Narrow"/>
                <w:sz w:val="18"/>
                <w:szCs w:val="18"/>
              </w:rPr>
              <w:fldChar w:fldCharType="end"/>
            </w:r>
            <w:r w:rsidRPr="005B2F00">
              <w:rPr>
                <w:rFonts w:ascii="Arial Narrow" w:hAnsi="Arial Narrow"/>
                <w:sz w:val="18"/>
                <w:szCs w:val="18"/>
              </w:rPr>
              <w:t xml:space="preserve"> Nurse practitioners - CTO  </w:t>
            </w:r>
          </w:p>
        </w:tc>
      </w:tr>
      <w:tr w:rsidR="00A52260" w:rsidRPr="005B2F00" w:rsidTr="00E21B40">
        <w:tblPrEx>
          <w:tblCellMar>
            <w:top w:w="15" w:type="dxa"/>
            <w:left w:w="15" w:type="dxa"/>
            <w:bottom w:w="15" w:type="dxa"/>
            <w:right w:w="15" w:type="dxa"/>
          </w:tblCellMar>
          <w:tblLook w:val="04A0" w:firstRow="1" w:lastRow="0" w:firstColumn="1" w:lastColumn="0" w:noHBand="0" w:noVBand="1"/>
        </w:tblPrEx>
        <w:trPr>
          <w:trHeight w:val="216"/>
        </w:trPr>
        <w:tc>
          <w:tcPr>
            <w:tcW w:w="1129" w:type="dxa"/>
            <w:vMerge/>
            <w:tcBorders>
              <w:left w:val="single" w:sz="4" w:space="0" w:color="auto"/>
              <w:bottom w:val="single" w:sz="4" w:space="0" w:color="auto"/>
              <w:right w:val="single" w:sz="4" w:space="0" w:color="auto"/>
            </w:tcBorders>
          </w:tcPr>
          <w:p w:rsidR="00A52260" w:rsidRPr="005B2F00" w:rsidRDefault="00A52260" w:rsidP="00E21B40">
            <w:pPr>
              <w:rPr>
                <w:rFonts w:ascii="Arial Narrow" w:hAnsi="Arial Narrow"/>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A52260" w:rsidRPr="005B2F00" w:rsidRDefault="00A52260" w:rsidP="00E21B40">
            <w:pPr>
              <w:rPr>
                <w:rFonts w:ascii="Arial Narrow" w:hAnsi="Arial Narrow"/>
                <w:b/>
                <w:sz w:val="18"/>
                <w:szCs w:val="18"/>
              </w:rPr>
            </w:pPr>
            <w:r w:rsidRPr="005B2F00">
              <w:rPr>
                <w:rFonts w:ascii="Arial Narrow" w:hAnsi="Arial Narrow"/>
                <w:b/>
                <w:sz w:val="18"/>
                <w:szCs w:val="18"/>
              </w:rPr>
              <w:t xml:space="preserve">Restriction type: </w:t>
            </w:r>
            <w:r w:rsidRPr="005B2F00">
              <w:rPr>
                <w:rFonts w:ascii="Arial Narrow" w:eastAsia="Calibri" w:hAnsi="Arial Narrow"/>
                <w:sz w:val="18"/>
                <w:szCs w:val="18"/>
              </w:rPr>
              <w:fldChar w:fldCharType="begin">
                <w:ffData>
                  <w:name w:val=""/>
                  <w:enabled/>
                  <w:calcOnExit w:val="0"/>
                  <w:checkBox>
                    <w:sizeAuto/>
                    <w:default w:val="1"/>
                  </w:checkBox>
                </w:ffData>
              </w:fldChar>
            </w:r>
            <w:r w:rsidRPr="005B2F00">
              <w:rPr>
                <w:rFonts w:ascii="Arial Narrow" w:eastAsia="Calibri" w:hAnsi="Arial Narrow"/>
                <w:sz w:val="18"/>
                <w:szCs w:val="18"/>
              </w:rPr>
              <w:instrText xml:space="preserve"> FORMCHECKBOX </w:instrText>
            </w:r>
            <w:r w:rsidR="0032234C">
              <w:rPr>
                <w:rFonts w:ascii="Arial Narrow" w:eastAsia="Calibri" w:hAnsi="Arial Narrow"/>
                <w:sz w:val="18"/>
                <w:szCs w:val="18"/>
              </w:rPr>
            </w:r>
            <w:r w:rsidR="0032234C">
              <w:rPr>
                <w:rFonts w:ascii="Arial Narrow" w:eastAsia="Calibri" w:hAnsi="Arial Narrow"/>
                <w:sz w:val="18"/>
                <w:szCs w:val="18"/>
              </w:rPr>
              <w:fldChar w:fldCharType="separate"/>
            </w:r>
            <w:r w:rsidRPr="005B2F00">
              <w:rPr>
                <w:rFonts w:ascii="Arial Narrow" w:eastAsia="Calibri" w:hAnsi="Arial Narrow"/>
                <w:sz w:val="18"/>
                <w:szCs w:val="18"/>
              </w:rPr>
              <w:fldChar w:fldCharType="end"/>
            </w:r>
            <w:r w:rsidRPr="005B2F00">
              <w:rPr>
                <w:rFonts w:ascii="Arial Narrow" w:eastAsia="Calibri" w:hAnsi="Arial Narrow"/>
                <w:sz w:val="18"/>
                <w:szCs w:val="18"/>
              </w:rPr>
              <w:t xml:space="preserve"> Authority Required (STREAMLINED) [</w:t>
            </w:r>
            <w:r w:rsidR="005B2F00">
              <w:rPr>
                <w:rFonts w:ascii="Arial Narrow" w:eastAsia="Calibri" w:hAnsi="Arial Narrow"/>
                <w:sz w:val="18"/>
                <w:szCs w:val="18"/>
              </w:rPr>
              <w:t>New 1</w:t>
            </w:r>
            <w:r w:rsidRPr="005B2F00">
              <w:rPr>
                <w:rFonts w:ascii="Arial Narrow" w:eastAsia="Calibri" w:hAnsi="Arial Narrow"/>
                <w:sz w:val="18"/>
                <w:szCs w:val="18"/>
              </w:rPr>
              <w:t>]</w:t>
            </w:r>
          </w:p>
        </w:tc>
      </w:tr>
      <w:bookmarkEnd w:id="36"/>
      <w:tr w:rsidR="00A52260" w:rsidRPr="005B2F00" w:rsidTr="00E21B40">
        <w:tblPrEx>
          <w:tblCellMar>
            <w:top w:w="15" w:type="dxa"/>
            <w:left w:w="15" w:type="dxa"/>
            <w:bottom w:w="15" w:type="dxa"/>
            <w:right w:w="15" w:type="dxa"/>
          </w:tblCellMar>
          <w:tblLook w:val="04A0" w:firstRow="1" w:lastRow="0" w:firstColumn="1" w:lastColumn="0" w:noHBand="0" w:noVBand="1"/>
        </w:tblPrEx>
        <w:trPr>
          <w:trHeight w:val="216"/>
        </w:trPr>
        <w:tc>
          <w:tcPr>
            <w:tcW w:w="1129" w:type="dxa"/>
            <w:tcBorders>
              <w:left w:val="single" w:sz="4" w:space="0" w:color="auto"/>
              <w:bottom w:val="single" w:sz="4" w:space="0" w:color="auto"/>
              <w:right w:val="single" w:sz="4" w:space="0" w:color="auto"/>
            </w:tcBorders>
          </w:tcPr>
          <w:p w:rsidR="00A52260" w:rsidRPr="005B2F00" w:rsidRDefault="00A52260" w:rsidP="00E21B40">
            <w:pPr>
              <w:jc w:val="center"/>
              <w:rPr>
                <w:rFonts w:ascii="Arial Narrow" w:hAnsi="Arial Narrow"/>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A52260" w:rsidRPr="005B2F00" w:rsidRDefault="00A52260" w:rsidP="00E21B40">
            <w:pPr>
              <w:rPr>
                <w:rFonts w:ascii="Arial Narrow" w:hAnsi="Arial Narrow"/>
                <w:b/>
                <w:sz w:val="18"/>
                <w:szCs w:val="18"/>
              </w:rPr>
            </w:pPr>
            <w:r w:rsidRPr="005B2F00">
              <w:rPr>
                <w:rFonts w:ascii="Arial Narrow" w:hAnsi="Arial Narrow"/>
                <w:b/>
                <w:bCs/>
                <w:sz w:val="18"/>
                <w:szCs w:val="18"/>
              </w:rPr>
              <w:t>Administrative Advice:</w:t>
            </w:r>
          </w:p>
          <w:p w:rsidR="00A52260" w:rsidRPr="005B2F00" w:rsidRDefault="00A52260" w:rsidP="00E21B40">
            <w:pPr>
              <w:rPr>
                <w:rFonts w:ascii="Arial Narrow" w:hAnsi="Arial Narrow"/>
                <w:b/>
                <w:sz w:val="18"/>
                <w:szCs w:val="18"/>
              </w:rPr>
            </w:pPr>
            <w:r w:rsidRPr="005B2F00">
              <w:rPr>
                <w:rFonts w:ascii="Arial Narrow" w:hAnsi="Arial Narrow"/>
                <w:b/>
                <w:bCs/>
                <w:sz w:val="18"/>
                <w:szCs w:val="18"/>
              </w:rPr>
              <w:t>Continuing Therapy Only:</w:t>
            </w:r>
            <w:r w:rsidRPr="005B2F00">
              <w:rPr>
                <w:rFonts w:ascii="Arial Narrow" w:hAnsi="Arial Narrow"/>
                <w:b/>
                <w:sz w:val="18"/>
                <w:szCs w:val="18"/>
              </w:rPr>
              <w:t xml:space="preserve"> </w:t>
            </w:r>
          </w:p>
          <w:p w:rsidR="00A52260" w:rsidRPr="005B2F00" w:rsidRDefault="00A52260" w:rsidP="00E21B40">
            <w:pPr>
              <w:rPr>
                <w:rFonts w:ascii="Arial Narrow" w:hAnsi="Arial Narrow"/>
                <w:sz w:val="18"/>
                <w:szCs w:val="18"/>
              </w:rPr>
            </w:pPr>
            <w:r w:rsidRPr="005B2F00">
              <w:rPr>
                <w:rFonts w:ascii="Arial Narrow" w:hAnsi="Arial Narrow"/>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bookmarkEnd w:id="37"/>
      <w:tr w:rsidR="00A5226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A52260" w:rsidRPr="005B2F00" w:rsidRDefault="00A52260" w:rsidP="00E21B40">
            <w:pPr>
              <w:jc w:val="center"/>
              <w:rPr>
                <w:rFonts w:ascii="Arial Narrow" w:hAnsi="Arial Narrow"/>
                <w:color w:val="333333"/>
                <w:sz w:val="18"/>
                <w:szCs w:val="18"/>
              </w:rPr>
            </w:pPr>
          </w:p>
        </w:tc>
        <w:tc>
          <w:tcPr>
            <w:tcW w:w="7938" w:type="dxa"/>
            <w:gridSpan w:val="6"/>
            <w:vAlign w:val="center"/>
            <w:hideMark/>
          </w:tcPr>
          <w:p w:rsidR="00A52260" w:rsidRPr="005B2F00" w:rsidRDefault="00A52260" w:rsidP="00E21B40">
            <w:pPr>
              <w:rPr>
                <w:rFonts w:ascii="Arial Narrow" w:hAnsi="Arial Narrow"/>
                <w:color w:val="333333"/>
                <w:sz w:val="18"/>
                <w:szCs w:val="18"/>
              </w:rPr>
            </w:pPr>
            <w:r w:rsidRPr="005B2F00">
              <w:rPr>
                <w:rFonts w:ascii="Arial Narrow" w:hAnsi="Arial Narrow"/>
                <w:b/>
                <w:bCs/>
                <w:color w:val="333333"/>
                <w:sz w:val="18"/>
                <w:szCs w:val="18"/>
              </w:rPr>
              <w:t>Indication:</w:t>
            </w:r>
            <w:r w:rsidRPr="005B2F00">
              <w:rPr>
                <w:rFonts w:ascii="Arial Narrow" w:hAnsi="Arial Narrow"/>
                <w:color w:val="333333"/>
                <w:sz w:val="18"/>
                <w:szCs w:val="18"/>
              </w:rPr>
              <w:t xml:space="preserve"> Chronic obstructive pulmonary disease (COPD)</w:t>
            </w:r>
          </w:p>
        </w:tc>
      </w:tr>
      <w:tr w:rsidR="00A5226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A52260" w:rsidRPr="005B2F00" w:rsidRDefault="00A52260" w:rsidP="00E21B40">
            <w:pPr>
              <w:jc w:val="center"/>
              <w:rPr>
                <w:rFonts w:ascii="Arial Narrow" w:hAnsi="Arial Narrow"/>
                <w:color w:val="333333"/>
                <w:sz w:val="18"/>
                <w:szCs w:val="18"/>
              </w:rPr>
            </w:pPr>
          </w:p>
        </w:tc>
        <w:tc>
          <w:tcPr>
            <w:tcW w:w="7938" w:type="dxa"/>
            <w:gridSpan w:val="6"/>
            <w:vAlign w:val="center"/>
            <w:hideMark/>
          </w:tcPr>
          <w:p w:rsidR="00A52260" w:rsidRPr="005B2F00" w:rsidRDefault="00A52260" w:rsidP="00E21B40">
            <w:pPr>
              <w:rPr>
                <w:rFonts w:ascii="Arial Narrow" w:hAnsi="Arial Narrow"/>
                <w:sz w:val="18"/>
                <w:szCs w:val="18"/>
              </w:rPr>
            </w:pPr>
            <w:r w:rsidRPr="005B2F00">
              <w:rPr>
                <w:rFonts w:ascii="Arial Narrow" w:hAnsi="Arial Narrow"/>
                <w:b/>
                <w:bCs/>
                <w:sz w:val="18"/>
                <w:szCs w:val="18"/>
              </w:rPr>
              <w:t xml:space="preserve">Treatment Phase: </w:t>
            </w:r>
            <w:r w:rsidRPr="005B2F00">
              <w:rPr>
                <w:rFonts w:ascii="Arial Narrow" w:hAnsi="Arial Narrow"/>
                <w:bCs/>
                <w:sz w:val="18"/>
                <w:szCs w:val="18"/>
              </w:rPr>
              <w:t>[blank]</w:t>
            </w:r>
            <w:r w:rsidRPr="005B2F00">
              <w:rPr>
                <w:rFonts w:ascii="Arial Narrow" w:hAnsi="Arial Narrow"/>
                <w:sz w:val="18"/>
                <w:szCs w:val="18"/>
              </w:rPr>
              <w:t xml:space="preserve"> </w:t>
            </w:r>
          </w:p>
        </w:tc>
      </w:tr>
      <w:tr w:rsidR="00A5226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A52260" w:rsidRPr="005B2F00" w:rsidRDefault="00A52260" w:rsidP="00E21B40">
            <w:pPr>
              <w:jc w:val="center"/>
              <w:rPr>
                <w:rFonts w:ascii="Arial Narrow" w:hAnsi="Arial Narrow" w:cs="Open Sans"/>
                <w:color w:val="333333"/>
                <w:sz w:val="18"/>
                <w:szCs w:val="18"/>
              </w:rPr>
            </w:pPr>
          </w:p>
        </w:tc>
        <w:tc>
          <w:tcPr>
            <w:tcW w:w="7938" w:type="dxa"/>
            <w:gridSpan w:val="6"/>
            <w:vAlign w:val="center"/>
            <w:hideMark/>
          </w:tcPr>
          <w:p w:rsidR="00A52260" w:rsidRPr="005B2F00" w:rsidRDefault="00A52260" w:rsidP="00E21B40">
            <w:pPr>
              <w:rPr>
                <w:rFonts w:ascii="Arial Narrow" w:hAnsi="Arial Narrow" w:cs="Open Sans"/>
                <w:color w:val="333333"/>
                <w:sz w:val="18"/>
                <w:szCs w:val="18"/>
              </w:rPr>
            </w:pPr>
            <w:r w:rsidRPr="005B2F00">
              <w:rPr>
                <w:rFonts w:ascii="Arial Narrow" w:hAnsi="Arial Narrow" w:cs="Open Sans"/>
                <w:b/>
                <w:bCs/>
                <w:color w:val="333333"/>
                <w:sz w:val="18"/>
                <w:szCs w:val="18"/>
              </w:rPr>
              <w:t>Clinical criteria:</w:t>
            </w:r>
          </w:p>
        </w:tc>
      </w:tr>
      <w:tr w:rsidR="00A5226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A52260" w:rsidRPr="005B2F00" w:rsidRDefault="00A52260" w:rsidP="00E21B40">
            <w:pPr>
              <w:jc w:val="center"/>
              <w:rPr>
                <w:rFonts w:ascii="Arial Narrow" w:hAnsi="Arial Narrow" w:cs="Open Sans"/>
                <w:color w:val="333333"/>
                <w:sz w:val="18"/>
                <w:szCs w:val="18"/>
              </w:rPr>
            </w:pPr>
          </w:p>
        </w:tc>
        <w:tc>
          <w:tcPr>
            <w:tcW w:w="7938" w:type="dxa"/>
            <w:gridSpan w:val="6"/>
            <w:vAlign w:val="center"/>
            <w:hideMark/>
          </w:tcPr>
          <w:p w:rsidR="00A52260" w:rsidRPr="005B2F00" w:rsidRDefault="00A52260" w:rsidP="00E21B40">
            <w:pPr>
              <w:rPr>
                <w:rFonts w:ascii="Arial Narrow" w:hAnsi="Arial Narrow" w:cs="Open Sans"/>
                <w:color w:val="333333"/>
                <w:sz w:val="18"/>
                <w:szCs w:val="18"/>
              </w:rPr>
            </w:pPr>
            <w:r w:rsidRPr="005B2F00">
              <w:rPr>
                <w:rFonts w:ascii="Arial Narrow" w:hAnsi="Arial Narrow" w:cs="Open Sans"/>
                <w:color w:val="333333"/>
                <w:sz w:val="18"/>
                <w:szCs w:val="18"/>
              </w:rPr>
              <w:t>Patient must have experienced at least one severe COPD exacerbation, which required hospitalisation, or two or more moderate exacerbations in the previous 12 months, with significant symptoms despite regular bronchodilator therapy with a long acting muscarinic antagonist (LAMA) and a long acting beta-2 agonist (LABA) or an inhaled corticosteroid (ICS) and a LABA; or</w:t>
            </w:r>
          </w:p>
        </w:tc>
      </w:tr>
      <w:tr w:rsidR="00A5226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A52260" w:rsidRPr="005B2F00" w:rsidRDefault="00A52260" w:rsidP="00E21B40">
            <w:pPr>
              <w:jc w:val="center"/>
              <w:rPr>
                <w:rFonts w:ascii="Arial Narrow" w:hAnsi="Arial Narrow" w:cs="Open Sans"/>
                <w:color w:val="333333"/>
                <w:sz w:val="18"/>
                <w:szCs w:val="18"/>
              </w:rPr>
            </w:pPr>
          </w:p>
        </w:tc>
        <w:tc>
          <w:tcPr>
            <w:tcW w:w="7938" w:type="dxa"/>
            <w:gridSpan w:val="6"/>
            <w:vAlign w:val="center"/>
            <w:hideMark/>
          </w:tcPr>
          <w:p w:rsidR="00A52260" w:rsidRPr="005B2F00" w:rsidRDefault="00A52260" w:rsidP="00E21B40">
            <w:pPr>
              <w:rPr>
                <w:rFonts w:ascii="Arial Narrow" w:hAnsi="Arial Narrow" w:cs="Open Sans"/>
                <w:color w:val="333333"/>
                <w:sz w:val="18"/>
                <w:szCs w:val="18"/>
              </w:rPr>
            </w:pPr>
            <w:r w:rsidRPr="005B2F00">
              <w:rPr>
                <w:rFonts w:ascii="Arial Narrow" w:hAnsi="Arial Narrow" w:cs="Open Sans"/>
                <w:color w:val="333333"/>
                <w:sz w:val="18"/>
                <w:szCs w:val="18"/>
              </w:rPr>
              <w:t>Patient must have been stabilised on a combination of a LAMA, LABA and an ICS for this condition</w:t>
            </w:r>
          </w:p>
        </w:tc>
      </w:tr>
      <w:tr w:rsidR="005B2F00" w:rsidRPr="005B2F00" w:rsidTr="00E21B40">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E21B40">
            <w:pPr>
              <w:jc w:val="center"/>
              <w:rPr>
                <w:rFonts w:ascii="Arial Narrow" w:hAnsi="Arial Narrow" w:cs="Open Sans"/>
                <w:color w:val="333333"/>
                <w:sz w:val="18"/>
                <w:szCs w:val="18"/>
              </w:rPr>
            </w:pPr>
          </w:p>
        </w:tc>
        <w:tc>
          <w:tcPr>
            <w:tcW w:w="7938" w:type="dxa"/>
            <w:gridSpan w:val="6"/>
            <w:vAlign w:val="center"/>
          </w:tcPr>
          <w:p w:rsidR="005B2F00" w:rsidRPr="005B2F00" w:rsidRDefault="005B2F00" w:rsidP="00E21B40">
            <w:pPr>
              <w:rPr>
                <w:rFonts w:ascii="Arial Narrow" w:hAnsi="Arial Narrow" w:cs="Open Sans"/>
                <w:b/>
                <w:bCs/>
                <w:color w:val="333333"/>
                <w:sz w:val="18"/>
                <w:szCs w:val="18"/>
              </w:rPr>
            </w:pPr>
            <w:r w:rsidRPr="005B2F00">
              <w:rPr>
                <w:rFonts w:ascii="Arial Narrow" w:hAnsi="Arial Narrow" w:cs="Open Sans"/>
                <w:b/>
                <w:bCs/>
                <w:color w:val="333333"/>
                <w:sz w:val="18"/>
                <w:szCs w:val="18"/>
              </w:rPr>
              <w:t>AND</w:t>
            </w:r>
          </w:p>
        </w:tc>
      </w:tr>
      <w:tr w:rsidR="005B2F00" w:rsidRPr="005B2F00" w:rsidTr="00E21B40">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E21B40">
            <w:pPr>
              <w:jc w:val="center"/>
              <w:rPr>
                <w:rFonts w:ascii="Arial Narrow" w:hAnsi="Arial Narrow" w:cs="Open Sans"/>
                <w:color w:val="333333"/>
                <w:sz w:val="18"/>
                <w:szCs w:val="18"/>
              </w:rPr>
            </w:pPr>
          </w:p>
        </w:tc>
        <w:tc>
          <w:tcPr>
            <w:tcW w:w="7938" w:type="dxa"/>
            <w:gridSpan w:val="6"/>
            <w:vAlign w:val="center"/>
          </w:tcPr>
          <w:p w:rsidR="005B2F00" w:rsidRPr="005B2F00" w:rsidRDefault="005B2F00" w:rsidP="00E21B40">
            <w:pPr>
              <w:rPr>
                <w:rFonts w:ascii="Arial Narrow" w:hAnsi="Arial Narrow" w:cs="Open Sans"/>
                <w:b/>
                <w:bCs/>
                <w:color w:val="333333"/>
                <w:sz w:val="18"/>
                <w:szCs w:val="18"/>
              </w:rPr>
            </w:pPr>
            <w:r w:rsidRPr="005B2F00">
              <w:rPr>
                <w:rFonts w:ascii="Arial Narrow" w:hAnsi="Arial Narrow" w:cs="Open Sans"/>
                <w:b/>
                <w:bCs/>
                <w:color w:val="333333"/>
                <w:sz w:val="18"/>
                <w:szCs w:val="18"/>
              </w:rPr>
              <w:t>Treatment criteria:</w:t>
            </w:r>
          </w:p>
        </w:tc>
      </w:tr>
      <w:tr w:rsidR="005B2F00" w:rsidRPr="005B2F00" w:rsidTr="00E21B40">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5B2F00">
            <w:pPr>
              <w:jc w:val="center"/>
              <w:rPr>
                <w:rFonts w:ascii="Arial Narrow" w:hAnsi="Arial Narrow" w:cs="Open Sans"/>
                <w:color w:val="333333"/>
                <w:sz w:val="18"/>
                <w:szCs w:val="18"/>
              </w:rPr>
            </w:pPr>
          </w:p>
        </w:tc>
        <w:tc>
          <w:tcPr>
            <w:tcW w:w="7938" w:type="dxa"/>
            <w:gridSpan w:val="6"/>
            <w:vAlign w:val="center"/>
          </w:tcPr>
          <w:p w:rsidR="005B2F00" w:rsidRPr="005B2F00" w:rsidRDefault="005B2F00" w:rsidP="005B2F00">
            <w:pPr>
              <w:autoSpaceDE w:val="0"/>
              <w:autoSpaceDN w:val="0"/>
              <w:adjustRightInd w:val="0"/>
              <w:rPr>
                <w:rFonts w:ascii="Arial Narrow" w:hAnsi="Arial Narrow" w:cs="Arial Narrow"/>
                <w:i/>
                <w:iCs/>
                <w:sz w:val="18"/>
                <w:szCs w:val="18"/>
              </w:rPr>
            </w:pPr>
            <w:r w:rsidRPr="005B2F00">
              <w:rPr>
                <w:rFonts w:ascii="Arial Narrow" w:hAnsi="Arial Narrow" w:cs="Arial Narrow"/>
                <w:iCs/>
                <w:sz w:val="18"/>
                <w:szCs w:val="18"/>
              </w:rPr>
              <w:t xml:space="preserve">Patient must not be undergoing treatment with this product in each of the following circumstances: (i) treatment of asthma in the absence of a COPD diagnosis, (ii) initiation of bronchodilator therapy in COPD, (iii) </w:t>
            </w:r>
            <w:r w:rsidR="002A3E0B" w:rsidRPr="002A3E0B">
              <w:rPr>
                <w:rFonts w:ascii="Arial Narrow" w:hAnsi="Arial Narrow" w:cs="Arial Narrow"/>
                <w:iCs/>
                <w:sz w:val="18"/>
                <w:szCs w:val="18"/>
              </w:rPr>
              <w:t>use as reliever therapy for asthma</w:t>
            </w:r>
            <w:r w:rsidRPr="005B2F00">
              <w:rPr>
                <w:rFonts w:ascii="Arial Narrow" w:hAnsi="Arial Narrow" w:cs="Arial Narrow"/>
                <w:iCs/>
                <w:sz w:val="18"/>
                <w:szCs w:val="18"/>
              </w:rPr>
              <w:t>, (iv) dosed at an interval/frequency that differs to that recommended in the approved Product Information</w:t>
            </w:r>
          </w:p>
        </w:tc>
      </w:tr>
      <w:tr w:rsidR="005B2F0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5B2F00">
            <w:pPr>
              <w:jc w:val="center"/>
              <w:rPr>
                <w:rFonts w:ascii="Arial Narrow" w:hAnsi="Arial Narrow" w:cs="Open Sans"/>
                <w:color w:val="333333"/>
                <w:sz w:val="18"/>
                <w:szCs w:val="18"/>
              </w:rPr>
            </w:pPr>
          </w:p>
        </w:tc>
        <w:tc>
          <w:tcPr>
            <w:tcW w:w="7938" w:type="dxa"/>
            <w:gridSpan w:val="6"/>
            <w:vAlign w:val="center"/>
            <w:hideMark/>
          </w:tcPr>
          <w:p w:rsidR="005B2F00" w:rsidRPr="005B2F00" w:rsidRDefault="005B2F00" w:rsidP="005B2F00">
            <w:pPr>
              <w:rPr>
                <w:rFonts w:ascii="Arial Narrow" w:hAnsi="Arial Narrow" w:cs="Open Sans"/>
                <w:color w:val="333333"/>
                <w:sz w:val="18"/>
                <w:szCs w:val="18"/>
              </w:rPr>
            </w:pPr>
            <w:r w:rsidRPr="005B2F00">
              <w:rPr>
                <w:rFonts w:ascii="Arial Narrow" w:hAnsi="Arial Narrow" w:cs="Open Sans"/>
                <w:b/>
                <w:bCs/>
                <w:color w:val="333333"/>
                <w:sz w:val="18"/>
                <w:szCs w:val="18"/>
              </w:rPr>
              <w:t>Administrative Advice:</w:t>
            </w:r>
          </w:p>
          <w:p w:rsidR="005B2F00" w:rsidRPr="005B2F00" w:rsidRDefault="005B2F00" w:rsidP="005B2F00">
            <w:pPr>
              <w:rPr>
                <w:rFonts w:ascii="Arial Narrow" w:hAnsi="Arial Narrow" w:cs="Open Sans"/>
                <w:color w:val="333333"/>
                <w:sz w:val="18"/>
                <w:szCs w:val="18"/>
              </w:rPr>
            </w:pPr>
            <w:r w:rsidRPr="005B2F00">
              <w:rPr>
                <w:rFonts w:ascii="Arial Narrow" w:hAnsi="Arial Narrow" w:cs="Open Sans"/>
                <w:color w:val="333333"/>
                <w:sz w:val="18"/>
                <w:szCs w:val="18"/>
              </w:rPr>
              <w:t>Formal assessment and correction of inhaler technique should be performed in accordance with the COPD-X Plan (available at http://copdx.org.au/); the assessment and adherence to correct technique should be documented in the patient's medical records.</w:t>
            </w:r>
          </w:p>
        </w:tc>
      </w:tr>
      <w:tr w:rsidR="005B2F0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5B2F00">
            <w:pPr>
              <w:jc w:val="center"/>
              <w:rPr>
                <w:rFonts w:ascii="Arial Narrow" w:hAnsi="Arial Narrow" w:cs="Open Sans"/>
                <w:color w:val="333333"/>
                <w:sz w:val="18"/>
                <w:szCs w:val="18"/>
              </w:rPr>
            </w:pPr>
          </w:p>
        </w:tc>
        <w:tc>
          <w:tcPr>
            <w:tcW w:w="7938" w:type="dxa"/>
            <w:gridSpan w:val="6"/>
            <w:vAlign w:val="center"/>
            <w:hideMark/>
          </w:tcPr>
          <w:p w:rsidR="005B2F00" w:rsidRPr="005B2F00" w:rsidRDefault="005B2F00" w:rsidP="005B2F00">
            <w:pPr>
              <w:rPr>
                <w:rFonts w:ascii="Arial Narrow" w:hAnsi="Arial Narrow" w:cs="Open Sans"/>
                <w:color w:val="333333"/>
                <w:sz w:val="18"/>
                <w:szCs w:val="18"/>
              </w:rPr>
            </w:pPr>
            <w:r w:rsidRPr="005B2F00">
              <w:rPr>
                <w:rFonts w:ascii="Arial Narrow" w:hAnsi="Arial Narrow" w:cs="Open Sans"/>
                <w:b/>
                <w:bCs/>
                <w:color w:val="333333"/>
                <w:sz w:val="18"/>
                <w:szCs w:val="18"/>
              </w:rPr>
              <w:t>Administrative Advice:</w:t>
            </w:r>
          </w:p>
          <w:p w:rsidR="005B2F00" w:rsidRPr="005B2F00" w:rsidRDefault="005B2F00" w:rsidP="005B2F00">
            <w:pPr>
              <w:rPr>
                <w:rFonts w:ascii="Arial Narrow" w:hAnsi="Arial Narrow" w:cs="Open Sans"/>
                <w:color w:val="333333"/>
                <w:sz w:val="18"/>
                <w:szCs w:val="18"/>
              </w:rPr>
            </w:pPr>
            <w:r w:rsidRPr="005B2F00">
              <w:rPr>
                <w:rFonts w:ascii="Arial Narrow" w:hAnsi="Arial Narrow" w:cs="Open Sans"/>
                <w:color w:val="333333"/>
                <w:sz w:val="18"/>
                <w:szCs w:val="18"/>
              </w:rPr>
              <w:t>Diagnosis of COPD should include measurement of airflow obstruction using spirometry, with confirmation of post-bronchodilator airflow obstruction.</w:t>
            </w:r>
          </w:p>
        </w:tc>
      </w:tr>
      <w:tr w:rsidR="005B2F0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5B2F00">
            <w:pPr>
              <w:jc w:val="center"/>
              <w:rPr>
                <w:rFonts w:ascii="Arial Narrow" w:hAnsi="Arial Narrow" w:cs="Open Sans"/>
                <w:color w:val="333333"/>
                <w:sz w:val="18"/>
                <w:szCs w:val="18"/>
              </w:rPr>
            </w:pPr>
          </w:p>
        </w:tc>
        <w:tc>
          <w:tcPr>
            <w:tcW w:w="7938" w:type="dxa"/>
            <w:gridSpan w:val="6"/>
            <w:vAlign w:val="center"/>
            <w:hideMark/>
          </w:tcPr>
          <w:p w:rsidR="005B2F00" w:rsidRPr="005B2F00" w:rsidRDefault="005B2F00" w:rsidP="005B2F00">
            <w:pPr>
              <w:rPr>
                <w:rFonts w:ascii="Arial Narrow" w:hAnsi="Arial Narrow" w:cs="Open Sans"/>
                <w:color w:val="333333"/>
                <w:sz w:val="18"/>
                <w:szCs w:val="18"/>
              </w:rPr>
            </w:pPr>
            <w:r w:rsidRPr="005B2F00">
              <w:rPr>
                <w:rFonts w:ascii="Arial Narrow" w:hAnsi="Arial Narrow" w:cs="Open Sans"/>
                <w:b/>
                <w:bCs/>
                <w:color w:val="333333"/>
                <w:sz w:val="18"/>
                <w:szCs w:val="18"/>
              </w:rPr>
              <w:t>Administrative Advice:</w:t>
            </w:r>
          </w:p>
          <w:p w:rsidR="005B2F00" w:rsidRPr="005B2F00" w:rsidRDefault="005B2F00" w:rsidP="005B2F00">
            <w:pPr>
              <w:rPr>
                <w:rFonts w:ascii="Arial Narrow" w:hAnsi="Arial Narrow" w:cs="Open Sans"/>
                <w:color w:val="333333"/>
                <w:sz w:val="18"/>
                <w:szCs w:val="18"/>
              </w:rPr>
            </w:pPr>
            <w:r w:rsidRPr="005B2F00">
              <w:rPr>
                <w:rFonts w:ascii="Arial Narrow" w:hAnsi="Arial Narrow" w:cs="Open Sans"/>
                <w:color w:val="333333"/>
                <w:sz w:val="18"/>
                <w:szCs w:val="18"/>
              </w:rPr>
              <w:t>The treatment must not be used in combination with an ICS/LABA, LABA/LAMA or LAMA, LABA or ICS monotherapy.</w:t>
            </w:r>
          </w:p>
        </w:tc>
      </w:tr>
      <w:tr w:rsidR="005B2F0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5B2F00">
            <w:pPr>
              <w:jc w:val="center"/>
              <w:rPr>
                <w:rFonts w:ascii="Arial Narrow" w:hAnsi="Arial Narrow" w:cs="Open Sans"/>
                <w:color w:val="333333"/>
                <w:sz w:val="18"/>
                <w:szCs w:val="18"/>
              </w:rPr>
            </w:pPr>
          </w:p>
        </w:tc>
        <w:tc>
          <w:tcPr>
            <w:tcW w:w="7938" w:type="dxa"/>
            <w:gridSpan w:val="6"/>
            <w:vAlign w:val="center"/>
            <w:hideMark/>
          </w:tcPr>
          <w:p w:rsidR="005B2F00" w:rsidRPr="005B2F00" w:rsidRDefault="005B2F00" w:rsidP="005B2F00">
            <w:pPr>
              <w:rPr>
                <w:rFonts w:ascii="Arial Narrow" w:hAnsi="Arial Narrow" w:cs="Open Sans"/>
                <w:color w:val="333333"/>
                <w:sz w:val="18"/>
                <w:szCs w:val="18"/>
              </w:rPr>
            </w:pPr>
            <w:r w:rsidRPr="005B2F00">
              <w:rPr>
                <w:rFonts w:ascii="Arial Narrow" w:hAnsi="Arial Narrow" w:cs="Open Sans"/>
                <w:b/>
                <w:bCs/>
                <w:color w:val="333333"/>
                <w:sz w:val="18"/>
                <w:szCs w:val="18"/>
              </w:rPr>
              <w:t>Administrative Advice:</w:t>
            </w:r>
            <w:r w:rsidRPr="005B2F00">
              <w:rPr>
                <w:rFonts w:ascii="Arial Narrow" w:hAnsi="Arial Narrow" w:cs="Open Sans"/>
                <w:color w:val="333333"/>
                <w:sz w:val="18"/>
                <w:szCs w:val="18"/>
              </w:rPr>
              <w:t xml:space="preserve"> A LAMA includes tiotropium, glycopyrronium, aclidinium or umeclidinium.</w:t>
            </w:r>
          </w:p>
        </w:tc>
      </w:tr>
      <w:tr w:rsidR="005B2F0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5B2F00">
            <w:pPr>
              <w:jc w:val="center"/>
              <w:rPr>
                <w:rFonts w:ascii="Arial Narrow" w:hAnsi="Arial Narrow" w:cs="Open Sans"/>
                <w:color w:val="333333"/>
                <w:sz w:val="18"/>
                <w:szCs w:val="18"/>
              </w:rPr>
            </w:pPr>
          </w:p>
        </w:tc>
        <w:tc>
          <w:tcPr>
            <w:tcW w:w="7938" w:type="dxa"/>
            <w:gridSpan w:val="6"/>
            <w:vAlign w:val="center"/>
            <w:hideMark/>
          </w:tcPr>
          <w:p w:rsidR="005B2F00" w:rsidRPr="005B2F00" w:rsidRDefault="005B2F00" w:rsidP="005B2F00">
            <w:pPr>
              <w:rPr>
                <w:rFonts w:ascii="Arial Narrow" w:hAnsi="Arial Narrow" w:cs="Open Sans"/>
                <w:color w:val="333333"/>
                <w:sz w:val="18"/>
                <w:szCs w:val="18"/>
              </w:rPr>
            </w:pPr>
            <w:r w:rsidRPr="005B2F00">
              <w:rPr>
                <w:rFonts w:ascii="Arial Narrow" w:hAnsi="Arial Narrow" w:cs="Open Sans"/>
                <w:b/>
                <w:bCs/>
                <w:color w:val="333333"/>
                <w:sz w:val="18"/>
                <w:szCs w:val="18"/>
              </w:rPr>
              <w:t>Administrative Advice:</w:t>
            </w:r>
            <w:r w:rsidRPr="005B2F00">
              <w:rPr>
                <w:rFonts w:ascii="Arial Narrow" w:hAnsi="Arial Narrow" w:cs="Open Sans"/>
                <w:color w:val="333333"/>
                <w:sz w:val="18"/>
                <w:szCs w:val="18"/>
              </w:rPr>
              <w:t xml:space="preserve"> A LABA includes olodaterol, indacaterol, salmeterol, formoterol or vilanterol.</w:t>
            </w:r>
          </w:p>
        </w:tc>
      </w:tr>
      <w:tr w:rsidR="005B2F00" w:rsidRPr="005B2F00" w:rsidTr="00755967">
        <w:tblPrEx>
          <w:tblCellMar>
            <w:top w:w="15" w:type="dxa"/>
            <w:left w:w="15" w:type="dxa"/>
            <w:bottom w:w="15" w:type="dxa"/>
            <w:right w:w="15" w:type="dxa"/>
          </w:tblCellMar>
          <w:tblLook w:val="04A0" w:firstRow="1" w:lastRow="0" w:firstColumn="1" w:lastColumn="0" w:noHBand="0" w:noVBand="1"/>
        </w:tblPrEx>
        <w:tc>
          <w:tcPr>
            <w:tcW w:w="1129" w:type="dxa"/>
            <w:vAlign w:val="center"/>
          </w:tcPr>
          <w:p w:rsidR="005B2F00" w:rsidRPr="005B2F00" w:rsidRDefault="005B2F00" w:rsidP="005B2F00">
            <w:pPr>
              <w:jc w:val="center"/>
              <w:rPr>
                <w:rFonts w:ascii="Arial Narrow" w:hAnsi="Arial Narrow" w:cs="Open Sans"/>
                <w:color w:val="333333"/>
                <w:sz w:val="18"/>
                <w:szCs w:val="18"/>
              </w:rPr>
            </w:pPr>
          </w:p>
        </w:tc>
        <w:tc>
          <w:tcPr>
            <w:tcW w:w="7938" w:type="dxa"/>
            <w:gridSpan w:val="6"/>
            <w:vAlign w:val="center"/>
            <w:hideMark/>
          </w:tcPr>
          <w:p w:rsidR="005B2F00" w:rsidRPr="005B2F00" w:rsidRDefault="005B2F00" w:rsidP="005B2F00">
            <w:pPr>
              <w:rPr>
                <w:rFonts w:ascii="Arial Narrow" w:hAnsi="Arial Narrow" w:cs="Open Sans"/>
                <w:color w:val="333333"/>
                <w:sz w:val="18"/>
                <w:szCs w:val="18"/>
              </w:rPr>
            </w:pPr>
            <w:r w:rsidRPr="005B2F00">
              <w:rPr>
                <w:rFonts w:ascii="Arial Narrow" w:hAnsi="Arial Narrow" w:cs="Open Sans"/>
                <w:b/>
                <w:bCs/>
                <w:color w:val="333333"/>
                <w:sz w:val="18"/>
                <w:szCs w:val="18"/>
              </w:rPr>
              <w:t>Administrative Advice:</w:t>
            </w:r>
          </w:p>
          <w:p w:rsidR="005B2F00" w:rsidRPr="005B2F00" w:rsidRDefault="005B2F00" w:rsidP="005B2F00">
            <w:pPr>
              <w:rPr>
                <w:rFonts w:ascii="Arial Narrow" w:hAnsi="Arial Narrow" w:cs="Open Sans"/>
                <w:color w:val="333333"/>
                <w:sz w:val="18"/>
                <w:szCs w:val="18"/>
              </w:rPr>
            </w:pPr>
            <w:r w:rsidRPr="005B2F00">
              <w:rPr>
                <w:rFonts w:ascii="Arial Narrow" w:hAnsi="Arial Narrow" w:cs="Open Sans"/>
                <w:color w:val="333333"/>
                <w:sz w:val="18"/>
                <w:szCs w:val="18"/>
              </w:rPr>
              <w:t>An ICS includes fluticasone propionate, fluticasone furoate, budesonide, beclometasone or ciclesonide.</w:t>
            </w:r>
          </w:p>
        </w:tc>
      </w:tr>
    </w:tbl>
    <w:p w:rsidR="00A52260" w:rsidRPr="00E427BA" w:rsidRDefault="00A52260" w:rsidP="00A52260">
      <w:pPr>
        <w:pStyle w:val="2-SectionHeading"/>
        <w:numPr>
          <w:ilvl w:val="0"/>
          <w:numId w:val="0"/>
        </w:numPr>
        <w:rPr>
          <w:sz w:val="20"/>
          <w:szCs w:val="20"/>
        </w:rPr>
      </w:pPr>
    </w:p>
    <w:p w:rsidR="00442107" w:rsidRDefault="00442107">
      <w:pPr>
        <w:jc w:val="left"/>
        <w:rPr>
          <w:rFonts w:asciiTheme="minorHAnsi" w:hAnsiTheme="minorHAnsi"/>
          <w:snapToGrid w:val="0"/>
        </w:rPr>
      </w:pPr>
      <w:r>
        <w:br w:type="page"/>
      </w:r>
    </w:p>
    <w:p w:rsidR="00E427BA" w:rsidRDefault="00E427BA" w:rsidP="00E427BA">
      <w:pPr>
        <w:pStyle w:val="3-BodyText"/>
      </w:pPr>
      <w:r w:rsidRPr="008E3F1A">
        <w:lastRenderedPageBreak/>
        <w:t xml:space="preserve">Flow on changes to </w:t>
      </w:r>
      <w:r>
        <w:t>BEC/GLY/FOR</w:t>
      </w:r>
      <w:r w:rsidRPr="008E3F1A">
        <w:t xml:space="preserve"> </w:t>
      </w:r>
      <w:r w:rsidR="001A4560">
        <w:t xml:space="preserve">and FF/UMEC/VIL </w:t>
      </w:r>
      <w:r w:rsidRPr="008E3F1A">
        <w:t>listing</w:t>
      </w:r>
      <w:r w:rsidR="001A4560">
        <w:t>s</w:t>
      </w:r>
      <w:r w:rsidRPr="008E3F1A">
        <w:t xml:space="preserve"> </w:t>
      </w:r>
      <w:r w:rsidR="001A4560">
        <w:t>in</w:t>
      </w:r>
      <w:r w:rsidRPr="008E3F1A">
        <w:t xml:space="preserve"> </w:t>
      </w:r>
      <w:r>
        <w:t>COPD</w:t>
      </w:r>
      <w:r w:rsidRPr="008E3F1A">
        <w:t xml:space="preserve"> as outlined in </w:t>
      </w:r>
      <w:r w:rsidR="003276D6">
        <w:t>paragraph 7.12</w:t>
      </w:r>
      <w:r w:rsidR="001A4560">
        <w:t xml:space="preserve"> to convey that the product is not intended to be used solely as a symptom reliever, and not to be dosed at a frequency/schedule outside that specified in the Product Information, are as follows</w:t>
      </w:r>
      <w:r w:rsidRPr="008E3F1A">
        <w:t xml:space="preserve">. </w:t>
      </w:r>
    </w:p>
    <w:p w:rsidR="00E427BA" w:rsidRDefault="00E427BA" w:rsidP="00E427BA">
      <w:pPr>
        <w:jc w:val="left"/>
        <w:rPr>
          <w:rFonts w:cs="Times New Roman"/>
          <w:b/>
          <w:bCs/>
          <w: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229"/>
        <w:gridCol w:w="1838"/>
      </w:tblGrid>
      <w:tr w:rsidR="00755967" w:rsidRPr="005B2F00" w:rsidTr="00755967">
        <w:trPr>
          <w:trHeight w:val="148"/>
        </w:trPr>
        <w:tc>
          <w:tcPr>
            <w:tcW w:w="9067" w:type="dxa"/>
            <w:gridSpan w:val="2"/>
            <w:tcBorders>
              <w:top w:val="single" w:sz="4" w:space="0" w:color="auto"/>
              <w:left w:val="single" w:sz="4" w:space="0" w:color="auto"/>
              <w:right w:val="single" w:sz="4" w:space="0" w:color="auto"/>
            </w:tcBorders>
          </w:tcPr>
          <w:p w:rsidR="00755967" w:rsidRPr="005B2F00" w:rsidRDefault="00755967" w:rsidP="006A4C21">
            <w:pPr>
              <w:keepNext/>
              <w:rPr>
                <w:rFonts w:ascii="Arial Narrow" w:hAnsi="Arial Narrow"/>
                <w:sz w:val="18"/>
                <w:szCs w:val="18"/>
              </w:rPr>
            </w:pPr>
            <w:r>
              <w:rPr>
                <w:rFonts w:ascii="Arial Narrow" w:hAnsi="Arial Narrow"/>
                <w:b/>
                <w:sz w:val="18"/>
                <w:szCs w:val="18"/>
              </w:rPr>
              <w:t xml:space="preserve">Edit </w:t>
            </w:r>
            <w:r w:rsidRPr="001A4560">
              <w:rPr>
                <w:rFonts w:ascii="Arial Narrow" w:hAnsi="Arial Narrow"/>
                <w:b/>
                <w:sz w:val="18"/>
                <w:szCs w:val="18"/>
              </w:rPr>
              <w:t>Restriction Summary 116</w:t>
            </w:r>
            <w:r>
              <w:rPr>
                <w:rFonts w:ascii="Arial Narrow" w:hAnsi="Arial Narrow"/>
                <w:b/>
                <w:sz w:val="18"/>
                <w:szCs w:val="18"/>
              </w:rPr>
              <w:t>76</w:t>
            </w:r>
            <w:r w:rsidRPr="001A4560">
              <w:rPr>
                <w:rFonts w:ascii="Arial Narrow" w:hAnsi="Arial Narrow"/>
                <w:b/>
                <w:sz w:val="18"/>
                <w:szCs w:val="18"/>
              </w:rPr>
              <w:t xml:space="preserve"> / Treatment of Concept: 10167 </w:t>
            </w:r>
            <w:r>
              <w:rPr>
                <w:rFonts w:ascii="Arial Narrow" w:hAnsi="Arial Narrow"/>
                <w:b/>
                <w:sz w:val="18"/>
                <w:szCs w:val="18"/>
              </w:rPr>
              <w:t xml:space="preserve">to form New 1 </w:t>
            </w:r>
            <w:r w:rsidRPr="00096B5A">
              <w:rPr>
                <w:rFonts w:ascii="Arial Narrow" w:hAnsi="Arial Narrow"/>
                <w:bCs/>
                <w:i/>
                <w:iCs/>
                <w:sz w:val="18"/>
                <w:szCs w:val="18"/>
              </w:rPr>
              <w:t>(current as at 1 July 2021</w:t>
            </w:r>
            <w:r>
              <w:rPr>
                <w:rFonts w:ascii="Arial Narrow" w:hAnsi="Arial Narrow"/>
                <w:bCs/>
                <w:i/>
                <w:iCs/>
                <w:sz w:val="18"/>
                <w:szCs w:val="18"/>
              </w:rPr>
              <w:t>; only relevant edits shown below</w:t>
            </w:r>
            <w:r w:rsidRPr="00096B5A">
              <w:rPr>
                <w:rFonts w:ascii="Arial Narrow" w:hAnsi="Arial Narrow"/>
                <w:bCs/>
                <w:i/>
                <w:iCs/>
                <w:sz w:val="18"/>
                <w:szCs w:val="18"/>
              </w:rPr>
              <w:t>)</w:t>
            </w:r>
          </w:p>
        </w:tc>
      </w:tr>
      <w:tr w:rsidR="00755967" w:rsidRPr="005B2F00" w:rsidTr="00755967">
        <w:trPr>
          <w:trHeight w:val="240"/>
        </w:trPr>
        <w:tc>
          <w:tcPr>
            <w:tcW w:w="7229" w:type="dxa"/>
            <w:tcBorders>
              <w:top w:val="single" w:sz="4" w:space="0" w:color="auto"/>
              <w:left w:val="single" w:sz="4" w:space="0" w:color="auto"/>
              <w:bottom w:val="single" w:sz="4" w:space="0" w:color="auto"/>
              <w:right w:val="single" w:sz="4" w:space="0" w:color="auto"/>
            </w:tcBorders>
          </w:tcPr>
          <w:p w:rsidR="00755967" w:rsidRPr="00096B5A" w:rsidRDefault="00755967" w:rsidP="006A4C21">
            <w:pPr>
              <w:keepNext/>
              <w:rPr>
                <w:rFonts w:ascii="Arial Narrow" w:hAnsi="Arial Narrow"/>
                <w:b/>
                <w:sz w:val="18"/>
                <w:szCs w:val="18"/>
              </w:rPr>
            </w:pPr>
            <w:r w:rsidRPr="00096B5A">
              <w:rPr>
                <w:rFonts w:ascii="Arial Narrow" w:hAnsi="Arial Narrow"/>
                <w:b/>
                <w:sz w:val="18"/>
                <w:szCs w:val="18"/>
              </w:rPr>
              <w:t>MEDICINAL PRODUCT:</w:t>
            </w:r>
          </w:p>
          <w:p w:rsidR="00755967" w:rsidRDefault="00755967" w:rsidP="006A4C21">
            <w:pPr>
              <w:keepNext/>
              <w:rPr>
                <w:rFonts w:ascii="Arial Narrow" w:hAnsi="Arial Narrow"/>
                <w:b/>
                <w:sz w:val="18"/>
                <w:szCs w:val="18"/>
              </w:rPr>
            </w:pPr>
            <w:r>
              <w:rPr>
                <w:rFonts w:ascii="Arial Narrow" w:hAnsi="Arial Narrow"/>
                <w:b/>
                <w:sz w:val="18"/>
                <w:szCs w:val="18"/>
              </w:rPr>
              <w:t>m</w:t>
            </w:r>
            <w:r w:rsidRPr="001A4560">
              <w:rPr>
                <w:rFonts w:ascii="Arial Narrow" w:hAnsi="Arial Narrow"/>
                <w:b/>
                <w:sz w:val="18"/>
                <w:szCs w:val="18"/>
              </w:rPr>
              <w:t>edicinal product pack</w:t>
            </w:r>
            <w:r>
              <w:rPr>
                <w:rFonts w:ascii="Arial Narrow" w:hAnsi="Arial Narrow"/>
                <w:b/>
                <w:sz w:val="18"/>
                <w:szCs w:val="18"/>
              </w:rPr>
              <w:t>:</w:t>
            </w:r>
          </w:p>
          <w:p w:rsidR="00755967" w:rsidRDefault="00755967" w:rsidP="006A4C21">
            <w:pPr>
              <w:keepNext/>
              <w:rPr>
                <w:rFonts w:ascii="Arial Narrow" w:hAnsi="Arial Narrow"/>
                <w:b/>
                <w:sz w:val="18"/>
                <w:szCs w:val="18"/>
              </w:rPr>
            </w:pPr>
            <w:r>
              <w:rPr>
                <w:rFonts w:ascii="Arial Narrow" w:hAnsi="Arial Narrow"/>
                <w:b/>
                <w:sz w:val="18"/>
                <w:szCs w:val="18"/>
              </w:rPr>
              <w:t>(Available brand):</w:t>
            </w:r>
            <w:r w:rsidRPr="001A4560">
              <w:rPr>
                <w:rFonts w:ascii="Arial Narrow" w:hAnsi="Arial Narrow"/>
                <w:b/>
                <w:sz w:val="18"/>
                <w:szCs w:val="18"/>
              </w:rPr>
              <w:t xml:space="preserve">  </w:t>
            </w:r>
          </w:p>
        </w:tc>
        <w:tc>
          <w:tcPr>
            <w:tcW w:w="1838" w:type="dxa"/>
            <w:tcBorders>
              <w:top w:val="single" w:sz="4" w:space="0" w:color="auto"/>
              <w:left w:val="single" w:sz="4" w:space="0" w:color="auto"/>
              <w:bottom w:val="single" w:sz="4" w:space="0" w:color="auto"/>
              <w:right w:val="single" w:sz="4" w:space="0" w:color="auto"/>
            </w:tcBorders>
          </w:tcPr>
          <w:p w:rsidR="00755967" w:rsidRPr="005B2F00" w:rsidRDefault="00755967" w:rsidP="006A4C21">
            <w:pPr>
              <w:keepNext/>
              <w:jc w:val="center"/>
              <w:rPr>
                <w:rFonts w:ascii="Arial Narrow" w:hAnsi="Arial Narrow"/>
                <w:b/>
                <w:sz w:val="18"/>
                <w:szCs w:val="18"/>
              </w:rPr>
            </w:pPr>
            <w:r>
              <w:rPr>
                <w:rFonts w:ascii="Arial Narrow" w:hAnsi="Arial Narrow"/>
                <w:b/>
                <w:sz w:val="18"/>
                <w:szCs w:val="18"/>
              </w:rPr>
              <w:t>PBS item code/s</w:t>
            </w:r>
          </w:p>
        </w:tc>
      </w:tr>
      <w:tr w:rsidR="00755967" w:rsidRPr="005B2F00" w:rsidTr="00755967">
        <w:trPr>
          <w:trHeight w:val="320"/>
        </w:trPr>
        <w:tc>
          <w:tcPr>
            <w:tcW w:w="7229" w:type="dxa"/>
            <w:tcBorders>
              <w:top w:val="single" w:sz="4" w:space="0" w:color="auto"/>
              <w:left w:val="single" w:sz="4" w:space="0" w:color="auto"/>
              <w:bottom w:val="single" w:sz="4" w:space="0" w:color="auto"/>
              <w:right w:val="single" w:sz="4" w:space="0" w:color="auto"/>
            </w:tcBorders>
          </w:tcPr>
          <w:p w:rsidR="00755967" w:rsidRDefault="00755967" w:rsidP="006A4C21">
            <w:pPr>
              <w:rPr>
                <w:rFonts w:ascii="Arial Narrow" w:hAnsi="Arial Narrow"/>
                <w:bCs/>
                <w:sz w:val="18"/>
                <w:szCs w:val="18"/>
              </w:rPr>
            </w:pPr>
            <w:r w:rsidRPr="00096B5A">
              <w:rPr>
                <w:rFonts w:ascii="Arial Narrow" w:hAnsi="Arial Narrow"/>
                <w:bCs/>
                <w:sz w:val="18"/>
                <w:szCs w:val="18"/>
              </w:rPr>
              <w:t xml:space="preserve">FLUTICASONE FUROATE + UMECLIDINIUM + VILANTEROL </w:t>
            </w:r>
          </w:p>
          <w:p w:rsidR="00755967" w:rsidRPr="00096B5A" w:rsidRDefault="00755967" w:rsidP="006A4C21">
            <w:pPr>
              <w:rPr>
                <w:rFonts w:ascii="Arial Narrow" w:hAnsi="Arial Narrow"/>
                <w:bCs/>
                <w:sz w:val="18"/>
                <w:szCs w:val="18"/>
              </w:rPr>
            </w:pPr>
            <w:r w:rsidRPr="00096B5A">
              <w:rPr>
                <w:rFonts w:ascii="Arial Narrow" w:hAnsi="Arial Narrow"/>
                <w:bCs/>
                <w:sz w:val="18"/>
                <w:szCs w:val="18"/>
              </w:rPr>
              <w:t>fluticasone furoate 100 microgram/actuation + umeclidinium 62.5 microgram/actuation + vilanterol 25</w:t>
            </w:r>
            <w:r>
              <w:rPr>
                <w:rFonts w:ascii="Arial Narrow" w:hAnsi="Arial Narrow"/>
                <w:bCs/>
                <w:sz w:val="18"/>
                <w:szCs w:val="18"/>
              </w:rPr>
              <w:t> </w:t>
            </w:r>
            <w:r w:rsidRPr="00096B5A">
              <w:rPr>
                <w:rFonts w:ascii="Arial Narrow" w:hAnsi="Arial Narrow"/>
                <w:bCs/>
                <w:sz w:val="18"/>
                <w:szCs w:val="18"/>
              </w:rPr>
              <w:t>microgram/actuation powder for inhalation, 30 actuations</w:t>
            </w:r>
          </w:p>
          <w:p w:rsidR="00755967" w:rsidRPr="00096B5A" w:rsidRDefault="00755967" w:rsidP="006A4C21">
            <w:pPr>
              <w:rPr>
                <w:rFonts w:ascii="Arial Narrow" w:hAnsi="Arial Narrow"/>
                <w:bCs/>
                <w:sz w:val="18"/>
                <w:szCs w:val="18"/>
              </w:rPr>
            </w:pPr>
            <w:r>
              <w:rPr>
                <w:rFonts w:ascii="Arial Narrow" w:hAnsi="Arial Narrow"/>
                <w:bCs/>
                <w:sz w:val="18"/>
                <w:szCs w:val="18"/>
              </w:rPr>
              <w:t>(</w:t>
            </w:r>
            <w:r w:rsidRPr="00096B5A">
              <w:rPr>
                <w:rFonts w:ascii="Arial Narrow" w:hAnsi="Arial Narrow"/>
                <w:bCs/>
                <w:sz w:val="18"/>
                <w:szCs w:val="18"/>
              </w:rPr>
              <w:t>Trelegy Ellipta</w:t>
            </w:r>
            <w:r>
              <w:rPr>
                <w:rFonts w:ascii="Arial Narrow" w:hAnsi="Arial Narrow"/>
                <w:bCs/>
                <w:sz w:val="18"/>
                <w:szCs w:val="18"/>
              </w:rPr>
              <w:t xml:space="preserve"> 100/62.5/25)</w:t>
            </w:r>
          </w:p>
        </w:tc>
        <w:tc>
          <w:tcPr>
            <w:tcW w:w="1838" w:type="dxa"/>
            <w:tcBorders>
              <w:top w:val="single" w:sz="4" w:space="0" w:color="auto"/>
              <w:left w:val="single" w:sz="4" w:space="0" w:color="auto"/>
              <w:bottom w:val="single" w:sz="4" w:space="0" w:color="auto"/>
              <w:right w:val="single" w:sz="4" w:space="0" w:color="auto"/>
            </w:tcBorders>
          </w:tcPr>
          <w:p w:rsidR="00755967" w:rsidRPr="00096B5A" w:rsidRDefault="00755967" w:rsidP="006A4C21">
            <w:pPr>
              <w:jc w:val="center"/>
              <w:rPr>
                <w:rFonts w:ascii="Arial Narrow" w:hAnsi="Arial Narrow"/>
                <w:bCs/>
                <w:sz w:val="18"/>
                <w:szCs w:val="18"/>
              </w:rPr>
            </w:pPr>
            <w:r w:rsidRPr="00096B5A">
              <w:rPr>
                <w:rFonts w:ascii="Arial Narrow" w:hAnsi="Arial Narrow"/>
                <w:bCs/>
                <w:sz w:val="18"/>
                <w:szCs w:val="18"/>
              </w:rPr>
              <w:t>11379X</w:t>
            </w:r>
          </w:p>
        </w:tc>
      </w:tr>
      <w:tr w:rsidR="00755967" w:rsidRPr="005B2F00" w:rsidTr="00755967">
        <w:trPr>
          <w:trHeight w:val="320"/>
        </w:trPr>
        <w:tc>
          <w:tcPr>
            <w:tcW w:w="7229" w:type="dxa"/>
            <w:tcBorders>
              <w:top w:val="single" w:sz="4" w:space="0" w:color="auto"/>
              <w:left w:val="single" w:sz="4" w:space="0" w:color="auto"/>
              <w:bottom w:val="single" w:sz="4" w:space="0" w:color="auto"/>
              <w:right w:val="single" w:sz="4" w:space="0" w:color="auto"/>
            </w:tcBorders>
          </w:tcPr>
          <w:p w:rsidR="00755967" w:rsidRPr="00096B5A" w:rsidRDefault="00755967" w:rsidP="006A4C21">
            <w:pPr>
              <w:rPr>
                <w:rFonts w:ascii="Arial Narrow" w:hAnsi="Arial Narrow"/>
                <w:bCs/>
                <w:sz w:val="18"/>
                <w:szCs w:val="18"/>
              </w:rPr>
            </w:pPr>
            <w:r w:rsidRPr="00096B5A">
              <w:rPr>
                <w:rFonts w:ascii="Arial Narrow" w:hAnsi="Arial Narrow"/>
                <w:bCs/>
                <w:sz w:val="18"/>
                <w:szCs w:val="18"/>
              </w:rPr>
              <w:t>BECLOMETASONE + FORMOTEROL (EFORMOTEROL) + GLYCOPYRRONIUM</w:t>
            </w:r>
          </w:p>
          <w:p w:rsidR="00755967" w:rsidRPr="00096B5A" w:rsidRDefault="00755967" w:rsidP="006A4C21">
            <w:pPr>
              <w:rPr>
                <w:rFonts w:ascii="Arial Narrow" w:hAnsi="Arial Narrow"/>
                <w:bCs/>
                <w:sz w:val="18"/>
                <w:szCs w:val="18"/>
              </w:rPr>
            </w:pPr>
            <w:r w:rsidRPr="00096B5A">
              <w:rPr>
                <w:rFonts w:ascii="Arial Narrow" w:hAnsi="Arial Narrow"/>
                <w:bCs/>
                <w:sz w:val="18"/>
                <w:szCs w:val="18"/>
              </w:rPr>
              <w:t>beclometasone dipropionate 100 microgram/actuation + formoterol (eformoterol) fumarate dihydrate 6</w:t>
            </w:r>
            <w:r>
              <w:rPr>
                <w:rFonts w:ascii="Arial Narrow" w:hAnsi="Arial Narrow"/>
                <w:bCs/>
                <w:sz w:val="18"/>
                <w:szCs w:val="18"/>
              </w:rPr>
              <w:t> </w:t>
            </w:r>
            <w:r w:rsidRPr="00096B5A">
              <w:rPr>
                <w:rFonts w:ascii="Arial Narrow" w:hAnsi="Arial Narrow"/>
                <w:bCs/>
                <w:sz w:val="18"/>
                <w:szCs w:val="18"/>
              </w:rPr>
              <w:t>microgram/actuation + glycopyrronium 10 microgram/actuation inhalation, 120 actuations</w:t>
            </w:r>
          </w:p>
          <w:p w:rsidR="00755967" w:rsidRPr="005B2F00" w:rsidRDefault="00755967" w:rsidP="006A4C21">
            <w:pPr>
              <w:rPr>
                <w:rFonts w:ascii="Arial Narrow" w:hAnsi="Arial Narrow"/>
                <w:b/>
                <w:sz w:val="18"/>
                <w:szCs w:val="18"/>
              </w:rPr>
            </w:pPr>
            <w:r w:rsidRPr="00096B5A">
              <w:rPr>
                <w:rFonts w:ascii="Arial Narrow" w:hAnsi="Arial Narrow"/>
                <w:bCs/>
                <w:sz w:val="18"/>
                <w:szCs w:val="18"/>
              </w:rPr>
              <w:t>(Trimbow)</w:t>
            </w:r>
          </w:p>
        </w:tc>
        <w:tc>
          <w:tcPr>
            <w:tcW w:w="1838" w:type="dxa"/>
            <w:tcBorders>
              <w:top w:val="single" w:sz="4" w:space="0" w:color="auto"/>
              <w:left w:val="single" w:sz="4" w:space="0" w:color="auto"/>
              <w:bottom w:val="single" w:sz="4" w:space="0" w:color="auto"/>
              <w:right w:val="single" w:sz="4" w:space="0" w:color="auto"/>
            </w:tcBorders>
          </w:tcPr>
          <w:p w:rsidR="00755967" w:rsidRPr="00096B5A" w:rsidRDefault="00755967" w:rsidP="006A4C21">
            <w:pPr>
              <w:jc w:val="center"/>
              <w:rPr>
                <w:rFonts w:ascii="Arial Narrow" w:hAnsi="Arial Narrow"/>
                <w:bCs/>
                <w:sz w:val="18"/>
                <w:szCs w:val="18"/>
              </w:rPr>
            </w:pPr>
            <w:r w:rsidRPr="00096B5A">
              <w:rPr>
                <w:rFonts w:ascii="Arial Narrow" w:hAnsi="Arial Narrow"/>
                <w:bCs/>
                <w:sz w:val="18"/>
                <w:szCs w:val="18"/>
              </w:rPr>
              <w:t>12468F</w:t>
            </w:r>
          </w:p>
        </w:tc>
      </w:tr>
      <w:tr w:rsidR="00755967" w:rsidRPr="005B2F00" w:rsidTr="00755967">
        <w:trPr>
          <w:trHeight w:val="216"/>
        </w:trPr>
        <w:tc>
          <w:tcPr>
            <w:tcW w:w="9067" w:type="dxa"/>
            <w:gridSpan w:val="2"/>
            <w:tcBorders>
              <w:top w:val="single" w:sz="4" w:space="0" w:color="auto"/>
              <w:left w:val="single" w:sz="4" w:space="0" w:color="auto"/>
              <w:bottom w:val="single" w:sz="4" w:space="0" w:color="auto"/>
              <w:right w:val="single" w:sz="4" w:space="0" w:color="auto"/>
            </w:tcBorders>
          </w:tcPr>
          <w:p w:rsidR="00755967" w:rsidRPr="00096B5A" w:rsidRDefault="00755967" w:rsidP="006A4C21">
            <w:pPr>
              <w:rPr>
                <w:rFonts w:ascii="Arial Narrow" w:hAnsi="Arial Narrow"/>
                <w:b/>
                <w:strike/>
                <w:sz w:val="18"/>
                <w:szCs w:val="18"/>
              </w:rPr>
            </w:pPr>
            <w:r w:rsidRPr="00096B5A">
              <w:rPr>
                <w:rFonts w:ascii="Arial Narrow" w:hAnsi="Arial Narrow"/>
                <w:b/>
                <w:bCs/>
                <w:strike/>
                <w:sz w:val="18"/>
                <w:szCs w:val="18"/>
              </w:rPr>
              <w:t>Administrative Advice:</w:t>
            </w:r>
          </w:p>
          <w:p w:rsidR="00755967" w:rsidRPr="005B2F00" w:rsidRDefault="00755967" w:rsidP="006A4C21">
            <w:pPr>
              <w:rPr>
                <w:rFonts w:ascii="Arial Narrow" w:hAnsi="Arial Narrow"/>
                <w:sz w:val="18"/>
                <w:szCs w:val="18"/>
              </w:rPr>
            </w:pPr>
            <w:r w:rsidRPr="00096B5A">
              <w:rPr>
                <w:rFonts w:ascii="Arial Narrow" w:hAnsi="Arial Narrow"/>
                <w:strike/>
                <w:sz w:val="18"/>
                <w:szCs w:val="18"/>
              </w:rPr>
              <w:t>This product is not PBS-subsidised for the treatment of asthma or the initiation of bronchodilator therapy in COPD.</w:t>
            </w:r>
          </w:p>
        </w:tc>
      </w:tr>
      <w:tr w:rsidR="00755967" w:rsidRPr="005B2F00" w:rsidTr="00755967">
        <w:trPr>
          <w:trHeight w:val="216"/>
        </w:trPr>
        <w:tc>
          <w:tcPr>
            <w:tcW w:w="9067" w:type="dxa"/>
            <w:gridSpan w:val="2"/>
            <w:tcBorders>
              <w:top w:val="single" w:sz="4" w:space="0" w:color="auto"/>
              <w:left w:val="single" w:sz="4" w:space="0" w:color="auto"/>
              <w:bottom w:val="single" w:sz="4" w:space="0" w:color="auto"/>
              <w:right w:val="single" w:sz="4" w:space="0" w:color="auto"/>
            </w:tcBorders>
          </w:tcPr>
          <w:p w:rsidR="00755967" w:rsidRPr="00096B5A" w:rsidRDefault="00755967" w:rsidP="006A4C21">
            <w:pPr>
              <w:rPr>
                <w:rFonts w:ascii="Arial Narrow" w:hAnsi="Arial Narrow"/>
                <w:b/>
                <w:bCs/>
                <w:i/>
                <w:iCs/>
                <w:sz w:val="18"/>
                <w:szCs w:val="18"/>
              </w:rPr>
            </w:pPr>
            <w:r w:rsidRPr="00096B5A">
              <w:rPr>
                <w:rFonts w:ascii="Arial Narrow" w:hAnsi="Arial Narrow"/>
                <w:b/>
                <w:bCs/>
                <w:i/>
                <w:iCs/>
                <w:sz w:val="18"/>
                <w:szCs w:val="18"/>
              </w:rPr>
              <w:t>Treatment criteria:</w:t>
            </w:r>
          </w:p>
        </w:tc>
      </w:tr>
      <w:tr w:rsidR="00755967" w:rsidRPr="005B2F00" w:rsidTr="00755967">
        <w:trPr>
          <w:trHeight w:val="216"/>
        </w:trPr>
        <w:tc>
          <w:tcPr>
            <w:tcW w:w="9067" w:type="dxa"/>
            <w:gridSpan w:val="2"/>
            <w:vAlign w:val="center"/>
          </w:tcPr>
          <w:p w:rsidR="00755967" w:rsidRPr="00096B5A" w:rsidRDefault="00755967" w:rsidP="006A4C21">
            <w:pPr>
              <w:rPr>
                <w:rFonts w:ascii="Arial Narrow" w:hAnsi="Arial Narrow"/>
                <w:b/>
                <w:bCs/>
                <w:i/>
                <w:iCs/>
                <w:sz w:val="18"/>
                <w:szCs w:val="18"/>
              </w:rPr>
            </w:pPr>
            <w:r w:rsidRPr="00096B5A">
              <w:rPr>
                <w:rFonts w:ascii="Arial Narrow" w:hAnsi="Arial Narrow" w:cs="Arial Narrow"/>
                <w:i/>
                <w:iCs/>
                <w:sz w:val="18"/>
                <w:szCs w:val="18"/>
              </w:rPr>
              <w:t xml:space="preserve">Patient must not be undergoing treatment with this product in each of the following circumstances: (i) treatment of asthma in the absence of a COPD diagnosis, (ii) initiation of bronchodilator therapy in COPD, (iii) </w:t>
            </w:r>
            <w:r w:rsidRPr="002A3E0B">
              <w:rPr>
                <w:rFonts w:ascii="Arial Narrow" w:hAnsi="Arial Narrow" w:cs="Arial Narrow"/>
                <w:i/>
                <w:iCs/>
                <w:sz w:val="18"/>
                <w:szCs w:val="18"/>
              </w:rPr>
              <w:t>use as reliever therapy for asthma</w:t>
            </w:r>
            <w:r w:rsidRPr="00096B5A">
              <w:rPr>
                <w:rFonts w:ascii="Arial Narrow" w:hAnsi="Arial Narrow" w:cs="Arial Narrow"/>
                <w:i/>
                <w:iCs/>
                <w:sz w:val="18"/>
                <w:szCs w:val="18"/>
              </w:rPr>
              <w:t>, (iv) dosed at an interval/frequency that differs to that recommended in the approved Product Information</w:t>
            </w:r>
          </w:p>
        </w:tc>
      </w:tr>
    </w:tbl>
    <w:p w:rsidR="00606FBA" w:rsidRDefault="00606FBA" w:rsidP="002A3E0B">
      <w:pPr>
        <w:jc w:val="left"/>
      </w:pPr>
    </w:p>
    <w:p w:rsidR="00C55D49" w:rsidRDefault="00C55D49" w:rsidP="002A3E0B">
      <w:pPr>
        <w:jc w:val="left"/>
        <w:rPr>
          <w:b/>
          <w:i/>
        </w:rPr>
      </w:pPr>
      <w:r w:rsidRPr="00C55D49">
        <w:rPr>
          <w:b/>
          <w:i/>
        </w:rPr>
        <w:t>This restriction may be subject to further review. Should there be any changes made to the restriction the sponsor will be informed</w:t>
      </w:r>
      <w:r>
        <w:rPr>
          <w:b/>
          <w:i/>
        </w:rPr>
        <w:t>.</w:t>
      </w:r>
    </w:p>
    <w:p w:rsidR="00755967" w:rsidRDefault="00755967" w:rsidP="002A3E0B">
      <w:pPr>
        <w:jc w:val="left"/>
        <w:rPr>
          <w:b/>
          <w:i/>
        </w:rPr>
      </w:pPr>
    </w:p>
    <w:p w:rsidR="00755967" w:rsidRPr="00755967" w:rsidRDefault="00755967" w:rsidP="00755967">
      <w:pPr>
        <w:keepNext/>
        <w:numPr>
          <w:ilvl w:val="0"/>
          <w:numId w:val="1"/>
        </w:numPr>
        <w:spacing w:before="240" w:after="120"/>
        <w:jc w:val="left"/>
        <w:outlineLvl w:val="0"/>
        <w:rPr>
          <w:rFonts w:asciiTheme="minorHAnsi" w:hAnsiTheme="minorHAnsi"/>
          <w:b/>
          <w:snapToGrid w:val="0"/>
          <w:sz w:val="32"/>
          <w:szCs w:val="32"/>
        </w:rPr>
      </w:pPr>
      <w:r w:rsidRPr="00755967">
        <w:rPr>
          <w:rFonts w:asciiTheme="minorHAnsi" w:hAnsiTheme="minorHAnsi"/>
          <w:b/>
          <w:snapToGrid w:val="0"/>
          <w:sz w:val="32"/>
          <w:szCs w:val="32"/>
        </w:rPr>
        <w:t>Context for Decision</w:t>
      </w:r>
    </w:p>
    <w:p w:rsidR="00755967" w:rsidRPr="007129F2" w:rsidRDefault="00755967" w:rsidP="00755967">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55967" w:rsidRPr="00755967" w:rsidRDefault="00755967" w:rsidP="00755967">
      <w:pPr>
        <w:keepNext/>
        <w:numPr>
          <w:ilvl w:val="0"/>
          <w:numId w:val="1"/>
        </w:numPr>
        <w:spacing w:before="240" w:after="120"/>
        <w:jc w:val="left"/>
        <w:outlineLvl w:val="0"/>
        <w:rPr>
          <w:rFonts w:asciiTheme="minorHAnsi" w:hAnsiTheme="minorHAnsi"/>
          <w:b/>
          <w:snapToGrid w:val="0"/>
          <w:sz w:val="32"/>
          <w:szCs w:val="32"/>
        </w:rPr>
      </w:pPr>
      <w:r w:rsidRPr="00755967">
        <w:rPr>
          <w:rFonts w:asciiTheme="minorHAnsi" w:hAnsiTheme="minorHAnsi"/>
          <w:b/>
          <w:snapToGrid w:val="0"/>
          <w:sz w:val="32"/>
          <w:szCs w:val="32"/>
        </w:rPr>
        <w:t>Sponsor’s Comment</w:t>
      </w:r>
    </w:p>
    <w:p w:rsidR="00755967" w:rsidRPr="001179AC" w:rsidRDefault="00755967" w:rsidP="00755967">
      <w:pPr>
        <w:spacing w:after="120"/>
        <w:ind w:left="426" w:firstLine="294"/>
        <w:rPr>
          <w:bCs/>
        </w:rPr>
      </w:pPr>
      <w:r w:rsidRPr="00C07617">
        <w:rPr>
          <w:bCs/>
        </w:rPr>
        <w:t>The sponsor had no comment.</w:t>
      </w:r>
    </w:p>
    <w:p w:rsidR="00755967" w:rsidRPr="00C55D49" w:rsidRDefault="00755967" w:rsidP="002A3E0B">
      <w:pPr>
        <w:jc w:val="left"/>
        <w:rPr>
          <w:b/>
        </w:rPr>
      </w:pPr>
    </w:p>
    <w:sectPr w:rsidR="00755967" w:rsidRPr="00C55D49" w:rsidSect="00A164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40093" w16cex:dateUtc="2021-07-22T04:34:00Z"/>
  <w16cex:commentExtensible w16cex:durableId="24A40139" w16cex:dateUtc="2021-07-22T04:37:00Z"/>
  <w16cex:commentExtensible w16cex:durableId="24A40817" w16cex:dateUtc="2021-07-22T05:07:00Z"/>
  <w16cex:commentExtensible w16cex:durableId="24A407CA" w16cex:dateUtc="2021-07-22T05:05:00Z"/>
  <w16cex:commentExtensible w16cex:durableId="24A525C4" w16cex:dateUtc="2021-07-23T01:25:00Z"/>
  <w16cex:commentExtensible w16cex:durableId="24A3D367" w16cex:dateUtc="2021-07-22T01:22:00Z"/>
  <w16cex:commentExtensible w16cex:durableId="24A528CB" w16cex:dateUtc="2021-07-23T01:38:00Z"/>
  <w16cex:commentExtensible w16cex:durableId="24A52D60" w16cex:dateUtc="2021-07-23T01:58:00Z"/>
  <w16cex:commentExtensible w16cex:durableId="24A428A3" w16cex:dateUtc="2021-07-22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12DB10" w16cid:durableId="24A6A384"/>
  <w16cid:commentId w16cid:paraId="4514C784" w16cid:durableId="24A6A2FC"/>
  <w16cid:commentId w16cid:paraId="1B66AAF0" w16cid:durableId="24A6A6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4C8" w:rsidRDefault="001354C8" w:rsidP="00124A51">
      <w:r>
        <w:separator/>
      </w:r>
    </w:p>
    <w:p w:rsidR="001354C8" w:rsidRDefault="001354C8"/>
  </w:endnote>
  <w:endnote w:type="continuationSeparator" w:id="0">
    <w:p w:rsidR="001354C8" w:rsidRDefault="001354C8" w:rsidP="00124A51">
      <w:r>
        <w:continuationSeparator/>
      </w:r>
    </w:p>
    <w:p w:rsidR="001354C8" w:rsidRDefault="00135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B0" w:rsidRDefault="003E3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64145"/>
      <w:docPartObj>
        <w:docPartGallery w:val="Page Numbers (Bottom of Page)"/>
        <w:docPartUnique/>
      </w:docPartObj>
    </w:sdtPr>
    <w:sdtEndPr>
      <w:rPr>
        <w:b/>
        <w:noProof/>
      </w:rPr>
    </w:sdtEndPr>
    <w:sdtContent>
      <w:p w:rsidR="003E3CB0" w:rsidRDefault="003E3CB0" w:rsidP="00A73AE2">
        <w:pPr>
          <w:pStyle w:val="Footer"/>
        </w:pPr>
      </w:p>
      <w:p w:rsidR="003E3CB0" w:rsidRPr="00C81D26" w:rsidRDefault="003E3CB0" w:rsidP="00C81D26">
        <w:pPr>
          <w:pStyle w:val="Footer"/>
          <w:jc w:val="center"/>
          <w:rPr>
            <w:b/>
          </w:rPr>
        </w:pPr>
        <w:r w:rsidRPr="00C81D26">
          <w:rPr>
            <w:b/>
          </w:rPr>
          <w:fldChar w:fldCharType="begin"/>
        </w:r>
        <w:r w:rsidRPr="00C81D26">
          <w:rPr>
            <w:b/>
          </w:rPr>
          <w:instrText xml:space="preserve"> PAGE   \* MERGEFORMAT </w:instrText>
        </w:r>
        <w:r w:rsidRPr="00C81D26">
          <w:rPr>
            <w:b/>
          </w:rPr>
          <w:fldChar w:fldCharType="separate"/>
        </w:r>
        <w:r w:rsidR="0032234C">
          <w:rPr>
            <w:b/>
            <w:noProof/>
          </w:rPr>
          <w:t>23</w:t>
        </w:r>
        <w:r w:rsidRPr="00C81D26">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B0" w:rsidRDefault="003E3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4C8" w:rsidRDefault="001354C8" w:rsidP="00124A51">
      <w:r>
        <w:separator/>
      </w:r>
    </w:p>
    <w:p w:rsidR="001354C8" w:rsidRDefault="001354C8"/>
  </w:footnote>
  <w:footnote w:type="continuationSeparator" w:id="0">
    <w:p w:rsidR="001354C8" w:rsidRDefault="001354C8" w:rsidP="00124A51">
      <w:r>
        <w:continuationSeparator/>
      </w:r>
    </w:p>
    <w:p w:rsidR="001354C8" w:rsidRDefault="001354C8"/>
  </w:footnote>
  <w:footnote w:id="1">
    <w:p w:rsidR="003E3CB0" w:rsidRDefault="003E3CB0" w:rsidP="00B0785D">
      <w:pPr>
        <w:pStyle w:val="FootnoteText"/>
      </w:pPr>
      <w:r>
        <w:rPr>
          <w:rStyle w:val="FootnoteReference"/>
        </w:rPr>
        <w:footnoteRef/>
      </w:r>
      <w:r>
        <w:t xml:space="preserve"> </w:t>
      </w:r>
      <w:r w:rsidRPr="00152E3A">
        <w:t>Global Initiative for Chronic Obstructive Lung Disease (GOLD), 202</w:t>
      </w:r>
      <w:r>
        <w:t>1.</w:t>
      </w:r>
      <w:r w:rsidRPr="00152E3A">
        <w:t xml:space="preserve"> Global Strategy for the Diagnosis, Management, and Prevention of Chronic Obstructive Pulmonary Disease.</w:t>
      </w:r>
      <w:r>
        <w:t xml:space="preserve"> Pocket guide to COPD diagnosis, management and prevention.</w:t>
      </w:r>
    </w:p>
  </w:footnote>
  <w:footnote w:id="2">
    <w:p w:rsidR="003E3CB0" w:rsidRDefault="003E3CB0">
      <w:pPr>
        <w:pStyle w:val="FootnoteText"/>
      </w:pPr>
      <w:r>
        <w:rPr>
          <w:rStyle w:val="FootnoteReference"/>
        </w:rPr>
        <w:footnoteRef/>
      </w:r>
      <w:r>
        <w:t xml:space="preserve"> Australian Commission on Safety and Quality of Health Care, 2019. Safety statement on metered dose inhalers. [</w:t>
      </w:r>
      <w:r w:rsidRPr="00662E81">
        <w:t>https://www.safetyandquality.gov.au/sites/default/files/2019</w:t>
      </w:r>
      <w:r>
        <w:noBreakHyphen/>
      </w:r>
      <w:r w:rsidRPr="00662E81">
        <w:t>12/metered</w:t>
      </w:r>
      <w:r>
        <w:t>_</w:t>
      </w:r>
      <w:r w:rsidRPr="00662E81">
        <w:t>dose</w:t>
      </w:r>
      <w:r>
        <w:t>_</w:t>
      </w:r>
      <w:r w:rsidRPr="00662E81">
        <w:t>inhalers</w:t>
      </w:r>
      <w:r>
        <w:t>_</w:t>
      </w:r>
      <w:r w:rsidRPr="00662E81">
        <w:t>safety</w:t>
      </w:r>
      <w:r>
        <w:t>_</w:t>
      </w:r>
      <w:r w:rsidRPr="00662E81">
        <w:t>statement</w:t>
      </w:r>
      <w:r>
        <w:t>_</w:t>
      </w:r>
      <w:r w:rsidRPr="00662E81">
        <w:t>2019</w:t>
      </w:r>
      <w:r>
        <w:t>.</w:t>
      </w:r>
      <w:r w:rsidRPr="00662E81">
        <w:t>pdf</w:t>
      </w:r>
      <w:r>
        <w:t>]</w:t>
      </w:r>
    </w:p>
  </w:footnote>
  <w:footnote w:id="3">
    <w:p w:rsidR="003E3CB0" w:rsidRDefault="003E3CB0" w:rsidP="004E0B7B">
      <w:pPr>
        <w:pStyle w:val="FootnoteText"/>
      </w:pPr>
      <w:r>
        <w:rPr>
          <w:rStyle w:val="FootnoteReference"/>
        </w:rPr>
        <w:footnoteRef/>
      </w:r>
      <w:r>
        <w:t xml:space="preserve"> Chapman KR, Bergeron C, Bhutani M, Bourbeau J, Grossman RF, Hernandez P, McIvor RA, Mayers I. 2013. Do We Know the Minimal Clinically Important Difference (MCID) for COPD Exacerbations?, COPD: Journal of Chronic Obstructive Pulmonary Disease, 10(2):243-249.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B0" w:rsidRDefault="003E3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B0" w:rsidRPr="00C81D26" w:rsidRDefault="003E3CB0" w:rsidP="00C81D26">
    <w:pPr>
      <w:keepNext/>
      <w:tabs>
        <w:tab w:val="center" w:pos="4153"/>
        <w:tab w:val="right" w:pos="8306"/>
      </w:tabs>
      <w:ind w:left="360"/>
      <w:jc w:val="center"/>
      <w:rPr>
        <w:rFonts w:asciiTheme="minorHAnsi" w:hAnsiTheme="minorHAnsi"/>
        <w:i/>
        <w:color w:val="808080"/>
        <w:lang w:eastAsia="en-US"/>
      </w:rPr>
    </w:pPr>
    <w:r w:rsidRPr="00755967">
      <w:rPr>
        <w:rFonts w:asciiTheme="minorHAnsi" w:hAnsiTheme="minorHAnsi"/>
        <w:i/>
        <w:color w:val="808080"/>
        <w:lang w:eastAsia="en-US"/>
      </w:rPr>
      <w:t>Public Summary Document</w:t>
    </w:r>
    <w:r w:rsidRPr="00755967" w:rsidDel="00755967">
      <w:rPr>
        <w:rFonts w:asciiTheme="minorHAnsi" w:hAnsiTheme="minorHAnsi"/>
        <w:i/>
        <w:color w:val="808080"/>
        <w:lang w:eastAsia="en-US"/>
      </w:rPr>
      <w:t xml:space="preserve"> </w:t>
    </w:r>
    <w:r w:rsidRPr="00C81D26">
      <w:rPr>
        <w:rFonts w:asciiTheme="minorHAnsi" w:hAnsiTheme="minorHAnsi"/>
        <w:i/>
        <w:color w:val="808080"/>
        <w:lang w:eastAsia="en-US"/>
      </w:rPr>
      <w:t>– July 2021 PBAC Meeting</w:t>
    </w:r>
  </w:p>
  <w:p w:rsidR="003E3CB0" w:rsidRPr="008C7ECB" w:rsidRDefault="003E3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B0" w:rsidRDefault="003E3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FE607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77B54"/>
    <w:multiLevelType w:val="hybridMultilevel"/>
    <w:tmpl w:val="54944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D56558"/>
    <w:multiLevelType w:val="hybridMultilevel"/>
    <w:tmpl w:val="6D0E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376C72"/>
    <w:multiLevelType w:val="hybridMultilevel"/>
    <w:tmpl w:val="C4023D74"/>
    <w:lvl w:ilvl="0" w:tplc="092E7DF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E47AB"/>
    <w:multiLevelType w:val="hybridMultilevel"/>
    <w:tmpl w:val="754451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730CF3"/>
    <w:multiLevelType w:val="hybridMultilevel"/>
    <w:tmpl w:val="EF5C5248"/>
    <w:lvl w:ilvl="0" w:tplc="FF5058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2"/>
  </w:num>
  <w:num w:numId="4">
    <w:abstractNumId w:val="0"/>
  </w:num>
  <w:num w:numId="5">
    <w:abstractNumId w:val="4"/>
  </w:num>
  <w:num w:numId="6">
    <w:abstractNumId w:val="18"/>
  </w:num>
  <w:num w:numId="7">
    <w:abstractNumId w:val="9"/>
  </w:num>
  <w:num w:numId="8">
    <w:abstractNumId w:val="13"/>
  </w:num>
  <w:num w:numId="9">
    <w:abstractNumId w:val="8"/>
  </w:num>
  <w:num w:numId="10">
    <w:abstractNumId w:val="3"/>
  </w:num>
  <w:num w:numId="11">
    <w:abstractNumId w:val="10"/>
  </w:num>
  <w:num w:numId="12">
    <w:abstractNumId w:val="14"/>
  </w:num>
  <w:num w:numId="13">
    <w:abstractNumId w:val="2"/>
  </w:num>
  <w:num w:numId="14">
    <w:abstractNumId w:val="1"/>
  </w:num>
  <w:num w:numId="15">
    <w:abstractNumId w:val="6"/>
  </w:num>
  <w:num w:numId="16">
    <w:abstractNumId w:val="7"/>
  </w:num>
  <w:num w:numId="17">
    <w:abstractNumId w:val="5"/>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num>
  <w:num w:numId="21">
    <w:abstractNumId w:val="17"/>
  </w:num>
  <w:num w:numId="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A2"/>
    <w:rsid w:val="00000790"/>
    <w:rsid w:val="0000110B"/>
    <w:rsid w:val="00003499"/>
    <w:rsid w:val="000039B7"/>
    <w:rsid w:val="000044C1"/>
    <w:rsid w:val="0000639A"/>
    <w:rsid w:val="0001038E"/>
    <w:rsid w:val="00010DC6"/>
    <w:rsid w:val="00012F2E"/>
    <w:rsid w:val="00013247"/>
    <w:rsid w:val="0001369A"/>
    <w:rsid w:val="00013B3D"/>
    <w:rsid w:val="00014171"/>
    <w:rsid w:val="00015886"/>
    <w:rsid w:val="00015939"/>
    <w:rsid w:val="000162EF"/>
    <w:rsid w:val="00016443"/>
    <w:rsid w:val="00017E49"/>
    <w:rsid w:val="0002014C"/>
    <w:rsid w:val="000207C9"/>
    <w:rsid w:val="0002225F"/>
    <w:rsid w:val="00022D68"/>
    <w:rsid w:val="00022E31"/>
    <w:rsid w:val="00023763"/>
    <w:rsid w:val="00026B1F"/>
    <w:rsid w:val="0002701D"/>
    <w:rsid w:val="000274B8"/>
    <w:rsid w:val="00027CF7"/>
    <w:rsid w:val="00030701"/>
    <w:rsid w:val="00031094"/>
    <w:rsid w:val="00032BBE"/>
    <w:rsid w:val="00033010"/>
    <w:rsid w:val="00033863"/>
    <w:rsid w:val="000359DD"/>
    <w:rsid w:val="00035DC0"/>
    <w:rsid w:val="00036829"/>
    <w:rsid w:val="00037D7B"/>
    <w:rsid w:val="00040895"/>
    <w:rsid w:val="00040A5C"/>
    <w:rsid w:val="0004125A"/>
    <w:rsid w:val="000435EE"/>
    <w:rsid w:val="00043C37"/>
    <w:rsid w:val="00043FEF"/>
    <w:rsid w:val="00044533"/>
    <w:rsid w:val="00045017"/>
    <w:rsid w:val="00045A2B"/>
    <w:rsid w:val="00045B3D"/>
    <w:rsid w:val="0004698F"/>
    <w:rsid w:val="00050819"/>
    <w:rsid w:val="000510D6"/>
    <w:rsid w:val="00051114"/>
    <w:rsid w:val="0005207B"/>
    <w:rsid w:val="00052145"/>
    <w:rsid w:val="000539D0"/>
    <w:rsid w:val="00054621"/>
    <w:rsid w:val="000546D7"/>
    <w:rsid w:val="00056ECF"/>
    <w:rsid w:val="000603A2"/>
    <w:rsid w:val="000604DF"/>
    <w:rsid w:val="00063D01"/>
    <w:rsid w:val="0006421B"/>
    <w:rsid w:val="000653B5"/>
    <w:rsid w:val="00065912"/>
    <w:rsid w:val="0006606B"/>
    <w:rsid w:val="00066360"/>
    <w:rsid w:val="00066AF8"/>
    <w:rsid w:val="0006755A"/>
    <w:rsid w:val="00067DAF"/>
    <w:rsid w:val="00071248"/>
    <w:rsid w:val="000720B9"/>
    <w:rsid w:val="00072FB4"/>
    <w:rsid w:val="0007355C"/>
    <w:rsid w:val="00073619"/>
    <w:rsid w:val="000737F7"/>
    <w:rsid w:val="0007672F"/>
    <w:rsid w:val="00076B54"/>
    <w:rsid w:val="00076C79"/>
    <w:rsid w:val="000774F0"/>
    <w:rsid w:val="0008051A"/>
    <w:rsid w:val="00080585"/>
    <w:rsid w:val="00080909"/>
    <w:rsid w:val="000812CA"/>
    <w:rsid w:val="00081E63"/>
    <w:rsid w:val="0008258D"/>
    <w:rsid w:val="0008323E"/>
    <w:rsid w:val="00083D14"/>
    <w:rsid w:val="00083E99"/>
    <w:rsid w:val="000844CA"/>
    <w:rsid w:val="00084FA8"/>
    <w:rsid w:val="000856C5"/>
    <w:rsid w:val="00085C31"/>
    <w:rsid w:val="00086912"/>
    <w:rsid w:val="000902D9"/>
    <w:rsid w:val="00090C7E"/>
    <w:rsid w:val="0009227C"/>
    <w:rsid w:val="00092600"/>
    <w:rsid w:val="0009262B"/>
    <w:rsid w:val="00093310"/>
    <w:rsid w:val="0009381F"/>
    <w:rsid w:val="00093EBE"/>
    <w:rsid w:val="0009445C"/>
    <w:rsid w:val="00095200"/>
    <w:rsid w:val="00095FE5"/>
    <w:rsid w:val="00096284"/>
    <w:rsid w:val="000968B6"/>
    <w:rsid w:val="00096B5A"/>
    <w:rsid w:val="0009797A"/>
    <w:rsid w:val="000A0E00"/>
    <w:rsid w:val="000A0ED9"/>
    <w:rsid w:val="000A1BC0"/>
    <w:rsid w:val="000A302D"/>
    <w:rsid w:val="000A6039"/>
    <w:rsid w:val="000A7453"/>
    <w:rsid w:val="000A7D08"/>
    <w:rsid w:val="000B0121"/>
    <w:rsid w:val="000B0670"/>
    <w:rsid w:val="000B0E75"/>
    <w:rsid w:val="000B169C"/>
    <w:rsid w:val="000B2DCB"/>
    <w:rsid w:val="000B42B2"/>
    <w:rsid w:val="000B4C6D"/>
    <w:rsid w:val="000B5CE0"/>
    <w:rsid w:val="000B67A9"/>
    <w:rsid w:val="000B6CAC"/>
    <w:rsid w:val="000B7612"/>
    <w:rsid w:val="000B78AE"/>
    <w:rsid w:val="000B7A9B"/>
    <w:rsid w:val="000B7B52"/>
    <w:rsid w:val="000C1D89"/>
    <w:rsid w:val="000C30C9"/>
    <w:rsid w:val="000C3DF9"/>
    <w:rsid w:val="000C549F"/>
    <w:rsid w:val="000C6713"/>
    <w:rsid w:val="000C6D5C"/>
    <w:rsid w:val="000C7C07"/>
    <w:rsid w:val="000C7D7F"/>
    <w:rsid w:val="000D1375"/>
    <w:rsid w:val="000D1B0F"/>
    <w:rsid w:val="000D1BFC"/>
    <w:rsid w:val="000D1CA8"/>
    <w:rsid w:val="000D1D5D"/>
    <w:rsid w:val="000D202A"/>
    <w:rsid w:val="000D281A"/>
    <w:rsid w:val="000D2848"/>
    <w:rsid w:val="000D2D2A"/>
    <w:rsid w:val="000D326A"/>
    <w:rsid w:val="000D51FB"/>
    <w:rsid w:val="000D5FC8"/>
    <w:rsid w:val="000D6898"/>
    <w:rsid w:val="000D7402"/>
    <w:rsid w:val="000E00D7"/>
    <w:rsid w:val="000E0640"/>
    <w:rsid w:val="000E135D"/>
    <w:rsid w:val="000E232B"/>
    <w:rsid w:val="000E30EE"/>
    <w:rsid w:val="000E675D"/>
    <w:rsid w:val="000E730C"/>
    <w:rsid w:val="000F00BA"/>
    <w:rsid w:val="000F0525"/>
    <w:rsid w:val="000F1934"/>
    <w:rsid w:val="000F1951"/>
    <w:rsid w:val="000F1D45"/>
    <w:rsid w:val="000F1F73"/>
    <w:rsid w:val="000F316A"/>
    <w:rsid w:val="000F3C74"/>
    <w:rsid w:val="000F405E"/>
    <w:rsid w:val="000F4BB8"/>
    <w:rsid w:val="000F4FA9"/>
    <w:rsid w:val="000F53FB"/>
    <w:rsid w:val="000F568A"/>
    <w:rsid w:val="000F6816"/>
    <w:rsid w:val="000F6924"/>
    <w:rsid w:val="000F6A7E"/>
    <w:rsid w:val="000F7127"/>
    <w:rsid w:val="000F7B54"/>
    <w:rsid w:val="00100F8A"/>
    <w:rsid w:val="0010107F"/>
    <w:rsid w:val="0010181A"/>
    <w:rsid w:val="00101D37"/>
    <w:rsid w:val="001024F0"/>
    <w:rsid w:val="00102725"/>
    <w:rsid w:val="00102CC9"/>
    <w:rsid w:val="00102F4A"/>
    <w:rsid w:val="001031BD"/>
    <w:rsid w:val="00103774"/>
    <w:rsid w:val="0010438B"/>
    <w:rsid w:val="0010452E"/>
    <w:rsid w:val="001059EF"/>
    <w:rsid w:val="00105AE2"/>
    <w:rsid w:val="00105BA4"/>
    <w:rsid w:val="001060C6"/>
    <w:rsid w:val="00106B80"/>
    <w:rsid w:val="0011032E"/>
    <w:rsid w:val="00111BBC"/>
    <w:rsid w:val="0011348B"/>
    <w:rsid w:val="00115982"/>
    <w:rsid w:val="0011622A"/>
    <w:rsid w:val="00116577"/>
    <w:rsid w:val="00116952"/>
    <w:rsid w:val="00116C53"/>
    <w:rsid w:val="00116C74"/>
    <w:rsid w:val="001173A4"/>
    <w:rsid w:val="001176EB"/>
    <w:rsid w:val="00117C92"/>
    <w:rsid w:val="00121799"/>
    <w:rsid w:val="001222FC"/>
    <w:rsid w:val="00123152"/>
    <w:rsid w:val="00123902"/>
    <w:rsid w:val="00124A51"/>
    <w:rsid w:val="001252B0"/>
    <w:rsid w:val="0012551E"/>
    <w:rsid w:val="00126621"/>
    <w:rsid w:val="00126B1D"/>
    <w:rsid w:val="001301E9"/>
    <w:rsid w:val="00130E38"/>
    <w:rsid w:val="001312C2"/>
    <w:rsid w:val="00131D82"/>
    <w:rsid w:val="00132B22"/>
    <w:rsid w:val="0013369F"/>
    <w:rsid w:val="0013390D"/>
    <w:rsid w:val="00133D36"/>
    <w:rsid w:val="001354C8"/>
    <w:rsid w:val="0013679D"/>
    <w:rsid w:val="00136C0C"/>
    <w:rsid w:val="0013713B"/>
    <w:rsid w:val="001375F9"/>
    <w:rsid w:val="00137645"/>
    <w:rsid w:val="00137BA7"/>
    <w:rsid w:val="0014015A"/>
    <w:rsid w:val="0014064C"/>
    <w:rsid w:val="00140E99"/>
    <w:rsid w:val="0014112E"/>
    <w:rsid w:val="00142859"/>
    <w:rsid w:val="00143F67"/>
    <w:rsid w:val="001442F5"/>
    <w:rsid w:val="00144C36"/>
    <w:rsid w:val="00145540"/>
    <w:rsid w:val="001456B0"/>
    <w:rsid w:val="00150247"/>
    <w:rsid w:val="00151223"/>
    <w:rsid w:val="00151617"/>
    <w:rsid w:val="00152435"/>
    <w:rsid w:val="0015252B"/>
    <w:rsid w:val="0015252C"/>
    <w:rsid w:val="00152E3A"/>
    <w:rsid w:val="00156F8F"/>
    <w:rsid w:val="00157130"/>
    <w:rsid w:val="001576B1"/>
    <w:rsid w:val="0016047B"/>
    <w:rsid w:val="001604CC"/>
    <w:rsid w:val="00160A4C"/>
    <w:rsid w:val="00162913"/>
    <w:rsid w:val="00162C6A"/>
    <w:rsid w:val="00163589"/>
    <w:rsid w:val="00163A56"/>
    <w:rsid w:val="00163E5E"/>
    <w:rsid w:val="00163EFF"/>
    <w:rsid w:val="00163F66"/>
    <w:rsid w:val="0016430A"/>
    <w:rsid w:val="001661FB"/>
    <w:rsid w:val="00166EBD"/>
    <w:rsid w:val="001671A0"/>
    <w:rsid w:val="00167435"/>
    <w:rsid w:val="0016767F"/>
    <w:rsid w:val="00170699"/>
    <w:rsid w:val="00171C00"/>
    <w:rsid w:val="00172B4A"/>
    <w:rsid w:val="00173565"/>
    <w:rsid w:val="00173B07"/>
    <w:rsid w:val="00175134"/>
    <w:rsid w:val="001751FA"/>
    <w:rsid w:val="0017542F"/>
    <w:rsid w:val="00175E5C"/>
    <w:rsid w:val="001767C5"/>
    <w:rsid w:val="00176B48"/>
    <w:rsid w:val="00176E65"/>
    <w:rsid w:val="00176E6D"/>
    <w:rsid w:val="001802F3"/>
    <w:rsid w:val="00181D9C"/>
    <w:rsid w:val="0018269B"/>
    <w:rsid w:val="00182CF1"/>
    <w:rsid w:val="0018488F"/>
    <w:rsid w:val="00184B0E"/>
    <w:rsid w:val="00184B43"/>
    <w:rsid w:val="0018752F"/>
    <w:rsid w:val="00190536"/>
    <w:rsid w:val="00190A50"/>
    <w:rsid w:val="00192827"/>
    <w:rsid w:val="001931EC"/>
    <w:rsid w:val="00193669"/>
    <w:rsid w:val="00193838"/>
    <w:rsid w:val="00193DB0"/>
    <w:rsid w:val="00194AD8"/>
    <w:rsid w:val="00195222"/>
    <w:rsid w:val="00195BA4"/>
    <w:rsid w:val="001966EA"/>
    <w:rsid w:val="001975D8"/>
    <w:rsid w:val="00197F55"/>
    <w:rsid w:val="001A065C"/>
    <w:rsid w:val="001A06E4"/>
    <w:rsid w:val="001A178E"/>
    <w:rsid w:val="001A2416"/>
    <w:rsid w:val="001A43FA"/>
    <w:rsid w:val="001A4560"/>
    <w:rsid w:val="001A47C5"/>
    <w:rsid w:val="001A5593"/>
    <w:rsid w:val="001A59FB"/>
    <w:rsid w:val="001A5E9E"/>
    <w:rsid w:val="001A6354"/>
    <w:rsid w:val="001A6366"/>
    <w:rsid w:val="001A661F"/>
    <w:rsid w:val="001A6626"/>
    <w:rsid w:val="001A714B"/>
    <w:rsid w:val="001A7AE8"/>
    <w:rsid w:val="001B040C"/>
    <w:rsid w:val="001B0B9E"/>
    <w:rsid w:val="001B204E"/>
    <w:rsid w:val="001B2372"/>
    <w:rsid w:val="001B3443"/>
    <w:rsid w:val="001B373F"/>
    <w:rsid w:val="001B3AD7"/>
    <w:rsid w:val="001B4488"/>
    <w:rsid w:val="001B4D20"/>
    <w:rsid w:val="001B51EF"/>
    <w:rsid w:val="001B787A"/>
    <w:rsid w:val="001B7C7E"/>
    <w:rsid w:val="001B7EBA"/>
    <w:rsid w:val="001C080A"/>
    <w:rsid w:val="001C1B82"/>
    <w:rsid w:val="001C224F"/>
    <w:rsid w:val="001C2A9B"/>
    <w:rsid w:val="001C41B0"/>
    <w:rsid w:val="001C4299"/>
    <w:rsid w:val="001C4874"/>
    <w:rsid w:val="001C4E7B"/>
    <w:rsid w:val="001C5F94"/>
    <w:rsid w:val="001C63F3"/>
    <w:rsid w:val="001C6E66"/>
    <w:rsid w:val="001C7C05"/>
    <w:rsid w:val="001D1100"/>
    <w:rsid w:val="001D1391"/>
    <w:rsid w:val="001D2053"/>
    <w:rsid w:val="001D25D7"/>
    <w:rsid w:val="001D2B19"/>
    <w:rsid w:val="001D2E66"/>
    <w:rsid w:val="001D50B2"/>
    <w:rsid w:val="001D58C9"/>
    <w:rsid w:val="001D6E4A"/>
    <w:rsid w:val="001D7645"/>
    <w:rsid w:val="001E1E86"/>
    <w:rsid w:val="001E238E"/>
    <w:rsid w:val="001E2483"/>
    <w:rsid w:val="001E2A33"/>
    <w:rsid w:val="001E2B1E"/>
    <w:rsid w:val="001E2CFF"/>
    <w:rsid w:val="001E2F24"/>
    <w:rsid w:val="001E30D4"/>
    <w:rsid w:val="001E34DF"/>
    <w:rsid w:val="001E3700"/>
    <w:rsid w:val="001E52EB"/>
    <w:rsid w:val="001E567E"/>
    <w:rsid w:val="001E59B8"/>
    <w:rsid w:val="001E61D2"/>
    <w:rsid w:val="001E740C"/>
    <w:rsid w:val="001E7702"/>
    <w:rsid w:val="001F1235"/>
    <w:rsid w:val="001F135E"/>
    <w:rsid w:val="001F14BF"/>
    <w:rsid w:val="001F185A"/>
    <w:rsid w:val="001F1CB3"/>
    <w:rsid w:val="001F38B5"/>
    <w:rsid w:val="001F4081"/>
    <w:rsid w:val="001F7361"/>
    <w:rsid w:val="001F73F4"/>
    <w:rsid w:val="001F7BA9"/>
    <w:rsid w:val="001F7BC4"/>
    <w:rsid w:val="002011B0"/>
    <w:rsid w:val="00203181"/>
    <w:rsid w:val="0020340A"/>
    <w:rsid w:val="00203783"/>
    <w:rsid w:val="0020385F"/>
    <w:rsid w:val="00203973"/>
    <w:rsid w:val="00206080"/>
    <w:rsid w:val="002068A0"/>
    <w:rsid w:val="00206B49"/>
    <w:rsid w:val="00207021"/>
    <w:rsid w:val="0020732F"/>
    <w:rsid w:val="002075C6"/>
    <w:rsid w:val="00207D00"/>
    <w:rsid w:val="002101CB"/>
    <w:rsid w:val="002105C1"/>
    <w:rsid w:val="00213EF5"/>
    <w:rsid w:val="00214C33"/>
    <w:rsid w:val="00216BF5"/>
    <w:rsid w:val="00216E79"/>
    <w:rsid w:val="00217CB5"/>
    <w:rsid w:val="00221616"/>
    <w:rsid w:val="00223B49"/>
    <w:rsid w:val="00223D5A"/>
    <w:rsid w:val="002242BC"/>
    <w:rsid w:val="002244DD"/>
    <w:rsid w:val="00224610"/>
    <w:rsid w:val="0022467B"/>
    <w:rsid w:val="00224C3B"/>
    <w:rsid w:val="00224DD4"/>
    <w:rsid w:val="00224F0C"/>
    <w:rsid w:val="0022666F"/>
    <w:rsid w:val="002278A0"/>
    <w:rsid w:val="00227948"/>
    <w:rsid w:val="00227A40"/>
    <w:rsid w:val="00230509"/>
    <w:rsid w:val="002309CC"/>
    <w:rsid w:val="00231BF8"/>
    <w:rsid w:val="00231F55"/>
    <w:rsid w:val="0023209F"/>
    <w:rsid w:val="00233C01"/>
    <w:rsid w:val="0023413C"/>
    <w:rsid w:val="002346F0"/>
    <w:rsid w:val="00234954"/>
    <w:rsid w:val="00235BE1"/>
    <w:rsid w:val="0023629D"/>
    <w:rsid w:val="00237067"/>
    <w:rsid w:val="00237255"/>
    <w:rsid w:val="0024000C"/>
    <w:rsid w:val="0024228F"/>
    <w:rsid w:val="002424AF"/>
    <w:rsid w:val="002439DC"/>
    <w:rsid w:val="002441D2"/>
    <w:rsid w:val="00244889"/>
    <w:rsid w:val="00244DC8"/>
    <w:rsid w:val="0024519F"/>
    <w:rsid w:val="00245853"/>
    <w:rsid w:val="002458BA"/>
    <w:rsid w:val="00245CE9"/>
    <w:rsid w:val="0024636C"/>
    <w:rsid w:val="00247925"/>
    <w:rsid w:val="00247F84"/>
    <w:rsid w:val="00251006"/>
    <w:rsid w:val="0025229C"/>
    <w:rsid w:val="002524D5"/>
    <w:rsid w:val="00253667"/>
    <w:rsid w:val="00253B1D"/>
    <w:rsid w:val="00254A8D"/>
    <w:rsid w:val="00254C39"/>
    <w:rsid w:val="00254DCF"/>
    <w:rsid w:val="0025534B"/>
    <w:rsid w:val="002555C4"/>
    <w:rsid w:val="00255BB7"/>
    <w:rsid w:val="00257541"/>
    <w:rsid w:val="00257814"/>
    <w:rsid w:val="00257A39"/>
    <w:rsid w:val="00257AC4"/>
    <w:rsid w:val="00261EEF"/>
    <w:rsid w:val="00262A1A"/>
    <w:rsid w:val="00262A87"/>
    <w:rsid w:val="00263AC1"/>
    <w:rsid w:val="00264D26"/>
    <w:rsid w:val="00265DE6"/>
    <w:rsid w:val="00265F81"/>
    <w:rsid w:val="00267642"/>
    <w:rsid w:val="00267AEA"/>
    <w:rsid w:val="002700E6"/>
    <w:rsid w:val="00270CD3"/>
    <w:rsid w:val="00270E68"/>
    <w:rsid w:val="0027133E"/>
    <w:rsid w:val="0027294B"/>
    <w:rsid w:val="00273EB4"/>
    <w:rsid w:val="00274682"/>
    <w:rsid w:val="00274C38"/>
    <w:rsid w:val="00275BC4"/>
    <w:rsid w:val="00275C5A"/>
    <w:rsid w:val="00276CA4"/>
    <w:rsid w:val="0027729A"/>
    <w:rsid w:val="002778B5"/>
    <w:rsid w:val="00281014"/>
    <w:rsid w:val="00282C0E"/>
    <w:rsid w:val="002835F9"/>
    <w:rsid w:val="00283BEE"/>
    <w:rsid w:val="0028665D"/>
    <w:rsid w:val="00287F22"/>
    <w:rsid w:val="00287FD2"/>
    <w:rsid w:val="00290C34"/>
    <w:rsid w:val="00290CDF"/>
    <w:rsid w:val="0029319D"/>
    <w:rsid w:val="002943D9"/>
    <w:rsid w:val="0029682C"/>
    <w:rsid w:val="0029772E"/>
    <w:rsid w:val="0029797E"/>
    <w:rsid w:val="002A12BC"/>
    <w:rsid w:val="002A14AB"/>
    <w:rsid w:val="002A2408"/>
    <w:rsid w:val="002A2ADE"/>
    <w:rsid w:val="002A2F50"/>
    <w:rsid w:val="002A3CA0"/>
    <w:rsid w:val="002A3E0B"/>
    <w:rsid w:val="002A51CF"/>
    <w:rsid w:val="002A538C"/>
    <w:rsid w:val="002A7009"/>
    <w:rsid w:val="002A73C0"/>
    <w:rsid w:val="002B05A1"/>
    <w:rsid w:val="002B09A4"/>
    <w:rsid w:val="002B1386"/>
    <w:rsid w:val="002B1C1F"/>
    <w:rsid w:val="002B2066"/>
    <w:rsid w:val="002B265E"/>
    <w:rsid w:val="002B2661"/>
    <w:rsid w:val="002B432F"/>
    <w:rsid w:val="002B4841"/>
    <w:rsid w:val="002B62B3"/>
    <w:rsid w:val="002B6754"/>
    <w:rsid w:val="002B6CCE"/>
    <w:rsid w:val="002C01BC"/>
    <w:rsid w:val="002C0E69"/>
    <w:rsid w:val="002C19F7"/>
    <w:rsid w:val="002C1FAB"/>
    <w:rsid w:val="002C2510"/>
    <w:rsid w:val="002C2775"/>
    <w:rsid w:val="002C27C1"/>
    <w:rsid w:val="002C358E"/>
    <w:rsid w:val="002C3987"/>
    <w:rsid w:val="002C3F8C"/>
    <w:rsid w:val="002C5099"/>
    <w:rsid w:val="002C5889"/>
    <w:rsid w:val="002C71CE"/>
    <w:rsid w:val="002C7DF9"/>
    <w:rsid w:val="002C7E93"/>
    <w:rsid w:val="002D08F8"/>
    <w:rsid w:val="002D122C"/>
    <w:rsid w:val="002D4BC8"/>
    <w:rsid w:val="002D4EB6"/>
    <w:rsid w:val="002D577C"/>
    <w:rsid w:val="002D6451"/>
    <w:rsid w:val="002D6CA7"/>
    <w:rsid w:val="002D713E"/>
    <w:rsid w:val="002D7B31"/>
    <w:rsid w:val="002D7EE5"/>
    <w:rsid w:val="002E04CD"/>
    <w:rsid w:val="002E1071"/>
    <w:rsid w:val="002E15B9"/>
    <w:rsid w:val="002E187A"/>
    <w:rsid w:val="002E1EC6"/>
    <w:rsid w:val="002E2158"/>
    <w:rsid w:val="002E4466"/>
    <w:rsid w:val="002E4F02"/>
    <w:rsid w:val="002E5550"/>
    <w:rsid w:val="002E7722"/>
    <w:rsid w:val="002F0513"/>
    <w:rsid w:val="002F07BA"/>
    <w:rsid w:val="002F0DA9"/>
    <w:rsid w:val="002F1014"/>
    <w:rsid w:val="002F2E1E"/>
    <w:rsid w:val="002F317A"/>
    <w:rsid w:val="002F359C"/>
    <w:rsid w:val="002F643C"/>
    <w:rsid w:val="002F71C0"/>
    <w:rsid w:val="002F74F1"/>
    <w:rsid w:val="00301017"/>
    <w:rsid w:val="0030155F"/>
    <w:rsid w:val="003027C0"/>
    <w:rsid w:val="00303CD0"/>
    <w:rsid w:val="00304042"/>
    <w:rsid w:val="00305188"/>
    <w:rsid w:val="0030587B"/>
    <w:rsid w:val="00306D98"/>
    <w:rsid w:val="0030786C"/>
    <w:rsid w:val="0031031A"/>
    <w:rsid w:val="00310981"/>
    <w:rsid w:val="003124D9"/>
    <w:rsid w:val="00312594"/>
    <w:rsid w:val="00312EB3"/>
    <w:rsid w:val="003130FD"/>
    <w:rsid w:val="003141DA"/>
    <w:rsid w:val="00315498"/>
    <w:rsid w:val="00316474"/>
    <w:rsid w:val="00321081"/>
    <w:rsid w:val="00322107"/>
    <w:rsid w:val="0032234C"/>
    <w:rsid w:val="00322355"/>
    <w:rsid w:val="00322846"/>
    <w:rsid w:val="00324BC5"/>
    <w:rsid w:val="00326DA7"/>
    <w:rsid w:val="003270E4"/>
    <w:rsid w:val="00327540"/>
    <w:rsid w:val="003276D6"/>
    <w:rsid w:val="00330DAA"/>
    <w:rsid w:val="00330F5C"/>
    <w:rsid w:val="00331728"/>
    <w:rsid w:val="00331B12"/>
    <w:rsid w:val="00332E8D"/>
    <w:rsid w:val="0033365B"/>
    <w:rsid w:val="00335094"/>
    <w:rsid w:val="003366C9"/>
    <w:rsid w:val="003367EF"/>
    <w:rsid w:val="003371B0"/>
    <w:rsid w:val="00340DF1"/>
    <w:rsid w:val="00340F6D"/>
    <w:rsid w:val="003426C5"/>
    <w:rsid w:val="003458ED"/>
    <w:rsid w:val="00345BBD"/>
    <w:rsid w:val="00346FA9"/>
    <w:rsid w:val="00350E6A"/>
    <w:rsid w:val="003517F9"/>
    <w:rsid w:val="00351BA9"/>
    <w:rsid w:val="00352602"/>
    <w:rsid w:val="003530B6"/>
    <w:rsid w:val="00354F64"/>
    <w:rsid w:val="0035603C"/>
    <w:rsid w:val="0035620E"/>
    <w:rsid w:val="00356C40"/>
    <w:rsid w:val="003573CB"/>
    <w:rsid w:val="00360345"/>
    <w:rsid w:val="00361A05"/>
    <w:rsid w:val="00361D1E"/>
    <w:rsid w:val="003624C4"/>
    <w:rsid w:val="00362A18"/>
    <w:rsid w:val="00362F8B"/>
    <w:rsid w:val="003638FD"/>
    <w:rsid w:val="00363B00"/>
    <w:rsid w:val="00364B13"/>
    <w:rsid w:val="00364BF9"/>
    <w:rsid w:val="00364D0C"/>
    <w:rsid w:val="003654AC"/>
    <w:rsid w:val="00370E52"/>
    <w:rsid w:val="003710CF"/>
    <w:rsid w:val="00371AC0"/>
    <w:rsid w:val="0037358A"/>
    <w:rsid w:val="003736E8"/>
    <w:rsid w:val="00373946"/>
    <w:rsid w:val="003750F6"/>
    <w:rsid w:val="003756A2"/>
    <w:rsid w:val="0037602A"/>
    <w:rsid w:val="003760FC"/>
    <w:rsid w:val="0037787F"/>
    <w:rsid w:val="00377D80"/>
    <w:rsid w:val="0038149D"/>
    <w:rsid w:val="003835BA"/>
    <w:rsid w:val="0038365C"/>
    <w:rsid w:val="0038369B"/>
    <w:rsid w:val="00383B78"/>
    <w:rsid w:val="003841A4"/>
    <w:rsid w:val="003850A6"/>
    <w:rsid w:val="00385A9D"/>
    <w:rsid w:val="003902B1"/>
    <w:rsid w:val="0039179C"/>
    <w:rsid w:val="003919FA"/>
    <w:rsid w:val="00396896"/>
    <w:rsid w:val="00396FD0"/>
    <w:rsid w:val="003A1A7A"/>
    <w:rsid w:val="003A2392"/>
    <w:rsid w:val="003A2831"/>
    <w:rsid w:val="003A36FD"/>
    <w:rsid w:val="003A3866"/>
    <w:rsid w:val="003A3CB6"/>
    <w:rsid w:val="003A3ED1"/>
    <w:rsid w:val="003A44DB"/>
    <w:rsid w:val="003A5137"/>
    <w:rsid w:val="003A5608"/>
    <w:rsid w:val="003A5DF3"/>
    <w:rsid w:val="003A62DA"/>
    <w:rsid w:val="003B140F"/>
    <w:rsid w:val="003B23E2"/>
    <w:rsid w:val="003B3971"/>
    <w:rsid w:val="003B5082"/>
    <w:rsid w:val="003B55D1"/>
    <w:rsid w:val="003B5B61"/>
    <w:rsid w:val="003B6422"/>
    <w:rsid w:val="003B65C3"/>
    <w:rsid w:val="003C1654"/>
    <w:rsid w:val="003C2AD7"/>
    <w:rsid w:val="003C3370"/>
    <w:rsid w:val="003C431B"/>
    <w:rsid w:val="003C4CF3"/>
    <w:rsid w:val="003C4F0C"/>
    <w:rsid w:val="003C5542"/>
    <w:rsid w:val="003C5C1D"/>
    <w:rsid w:val="003C63C5"/>
    <w:rsid w:val="003C7936"/>
    <w:rsid w:val="003C7D19"/>
    <w:rsid w:val="003C7D2F"/>
    <w:rsid w:val="003D07E7"/>
    <w:rsid w:val="003D09F0"/>
    <w:rsid w:val="003D1828"/>
    <w:rsid w:val="003D1DE4"/>
    <w:rsid w:val="003D1E9A"/>
    <w:rsid w:val="003D2422"/>
    <w:rsid w:val="003D39A1"/>
    <w:rsid w:val="003D3FBF"/>
    <w:rsid w:val="003D41B9"/>
    <w:rsid w:val="003D4A30"/>
    <w:rsid w:val="003D5C26"/>
    <w:rsid w:val="003D7452"/>
    <w:rsid w:val="003D7941"/>
    <w:rsid w:val="003D79BB"/>
    <w:rsid w:val="003D7C98"/>
    <w:rsid w:val="003D7D9D"/>
    <w:rsid w:val="003E0543"/>
    <w:rsid w:val="003E1A34"/>
    <w:rsid w:val="003E1ED0"/>
    <w:rsid w:val="003E3CB0"/>
    <w:rsid w:val="003E5A04"/>
    <w:rsid w:val="003E60EF"/>
    <w:rsid w:val="003E6A11"/>
    <w:rsid w:val="003E749E"/>
    <w:rsid w:val="003F0396"/>
    <w:rsid w:val="003F1156"/>
    <w:rsid w:val="003F1BBD"/>
    <w:rsid w:val="003F1C30"/>
    <w:rsid w:val="003F3964"/>
    <w:rsid w:val="003F4156"/>
    <w:rsid w:val="003F5ADF"/>
    <w:rsid w:val="003F750C"/>
    <w:rsid w:val="00400B29"/>
    <w:rsid w:val="004020FE"/>
    <w:rsid w:val="00403D40"/>
    <w:rsid w:val="00404330"/>
    <w:rsid w:val="0040504B"/>
    <w:rsid w:val="004059F4"/>
    <w:rsid w:val="00407FE5"/>
    <w:rsid w:val="004101B0"/>
    <w:rsid w:val="00410326"/>
    <w:rsid w:val="00410569"/>
    <w:rsid w:val="00410708"/>
    <w:rsid w:val="00410EC7"/>
    <w:rsid w:val="00411B39"/>
    <w:rsid w:val="004127A7"/>
    <w:rsid w:val="00412C54"/>
    <w:rsid w:val="00413A1E"/>
    <w:rsid w:val="00413C7B"/>
    <w:rsid w:val="00414476"/>
    <w:rsid w:val="00414C2E"/>
    <w:rsid w:val="004151CF"/>
    <w:rsid w:val="00416364"/>
    <w:rsid w:val="0042047F"/>
    <w:rsid w:val="00420481"/>
    <w:rsid w:val="00420AA6"/>
    <w:rsid w:val="00420B11"/>
    <w:rsid w:val="00420B9F"/>
    <w:rsid w:val="00421057"/>
    <w:rsid w:val="004214F5"/>
    <w:rsid w:val="0042192C"/>
    <w:rsid w:val="00422260"/>
    <w:rsid w:val="0042413F"/>
    <w:rsid w:val="00424A88"/>
    <w:rsid w:val="004271D0"/>
    <w:rsid w:val="0042722C"/>
    <w:rsid w:val="0043025E"/>
    <w:rsid w:val="0043091F"/>
    <w:rsid w:val="00431410"/>
    <w:rsid w:val="004319F8"/>
    <w:rsid w:val="00431E55"/>
    <w:rsid w:val="004321F6"/>
    <w:rsid w:val="00433044"/>
    <w:rsid w:val="00434088"/>
    <w:rsid w:val="00434AD7"/>
    <w:rsid w:val="00436EE4"/>
    <w:rsid w:val="004375B9"/>
    <w:rsid w:val="00440D16"/>
    <w:rsid w:val="00441137"/>
    <w:rsid w:val="00441AF1"/>
    <w:rsid w:val="00441D7F"/>
    <w:rsid w:val="004420E6"/>
    <w:rsid w:val="00442107"/>
    <w:rsid w:val="004428D0"/>
    <w:rsid w:val="00442BAA"/>
    <w:rsid w:val="004437DD"/>
    <w:rsid w:val="004440AF"/>
    <w:rsid w:val="00444185"/>
    <w:rsid w:val="004443A7"/>
    <w:rsid w:val="0044442C"/>
    <w:rsid w:val="00445941"/>
    <w:rsid w:val="0044601F"/>
    <w:rsid w:val="004464EB"/>
    <w:rsid w:val="004472E9"/>
    <w:rsid w:val="00447D26"/>
    <w:rsid w:val="00447DFC"/>
    <w:rsid w:val="00452C24"/>
    <w:rsid w:val="00453A2C"/>
    <w:rsid w:val="00453BEB"/>
    <w:rsid w:val="004546BC"/>
    <w:rsid w:val="00455D45"/>
    <w:rsid w:val="00455F08"/>
    <w:rsid w:val="004563F1"/>
    <w:rsid w:val="004564F8"/>
    <w:rsid w:val="00461B5A"/>
    <w:rsid w:val="004633E9"/>
    <w:rsid w:val="00464595"/>
    <w:rsid w:val="0046572A"/>
    <w:rsid w:val="004658B5"/>
    <w:rsid w:val="0046607F"/>
    <w:rsid w:val="004678C4"/>
    <w:rsid w:val="00470CE7"/>
    <w:rsid w:val="00471EA5"/>
    <w:rsid w:val="00472A79"/>
    <w:rsid w:val="00473B76"/>
    <w:rsid w:val="00473DE9"/>
    <w:rsid w:val="00473F19"/>
    <w:rsid w:val="00474664"/>
    <w:rsid w:val="00475D4E"/>
    <w:rsid w:val="00475E22"/>
    <w:rsid w:val="0048088E"/>
    <w:rsid w:val="00480F2B"/>
    <w:rsid w:val="00481544"/>
    <w:rsid w:val="00482720"/>
    <w:rsid w:val="004835E7"/>
    <w:rsid w:val="00484245"/>
    <w:rsid w:val="004866AC"/>
    <w:rsid w:val="004867E2"/>
    <w:rsid w:val="004877DE"/>
    <w:rsid w:val="004904E5"/>
    <w:rsid w:val="00490B17"/>
    <w:rsid w:val="00491B3A"/>
    <w:rsid w:val="0049207E"/>
    <w:rsid w:val="00492AA1"/>
    <w:rsid w:val="00492CFD"/>
    <w:rsid w:val="00492FCD"/>
    <w:rsid w:val="00494207"/>
    <w:rsid w:val="00494DD5"/>
    <w:rsid w:val="004962D2"/>
    <w:rsid w:val="004967D8"/>
    <w:rsid w:val="004A017A"/>
    <w:rsid w:val="004A0C37"/>
    <w:rsid w:val="004A0DA1"/>
    <w:rsid w:val="004A13D6"/>
    <w:rsid w:val="004A32FD"/>
    <w:rsid w:val="004A41CA"/>
    <w:rsid w:val="004A4C59"/>
    <w:rsid w:val="004A52E9"/>
    <w:rsid w:val="004A6040"/>
    <w:rsid w:val="004A6597"/>
    <w:rsid w:val="004A7848"/>
    <w:rsid w:val="004B1205"/>
    <w:rsid w:val="004B1CB4"/>
    <w:rsid w:val="004B2F18"/>
    <w:rsid w:val="004B3DDA"/>
    <w:rsid w:val="004B3DDB"/>
    <w:rsid w:val="004B4242"/>
    <w:rsid w:val="004B44FD"/>
    <w:rsid w:val="004B4D5A"/>
    <w:rsid w:val="004B5CFC"/>
    <w:rsid w:val="004B6F79"/>
    <w:rsid w:val="004B774D"/>
    <w:rsid w:val="004C0898"/>
    <w:rsid w:val="004C12DD"/>
    <w:rsid w:val="004C1398"/>
    <w:rsid w:val="004C1546"/>
    <w:rsid w:val="004C4AED"/>
    <w:rsid w:val="004C7B95"/>
    <w:rsid w:val="004D082A"/>
    <w:rsid w:val="004D0CE4"/>
    <w:rsid w:val="004D2833"/>
    <w:rsid w:val="004D2C2D"/>
    <w:rsid w:val="004D2F26"/>
    <w:rsid w:val="004D4473"/>
    <w:rsid w:val="004D4A4F"/>
    <w:rsid w:val="004D69B5"/>
    <w:rsid w:val="004D7227"/>
    <w:rsid w:val="004E06D0"/>
    <w:rsid w:val="004E0B7B"/>
    <w:rsid w:val="004E0E7F"/>
    <w:rsid w:val="004E0EB8"/>
    <w:rsid w:val="004E18E9"/>
    <w:rsid w:val="004E2ADC"/>
    <w:rsid w:val="004E3090"/>
    <w:rsid w:val="004E32B6"/>
    <w:rsid w:val="004E3CDA"/>
    <w:rsid w:val="004E43B2"/>
    <w:rsid w:val="004E79DD"/>
    <w:rsid w:val="004F1786"/>
    <w:rsid w:val="004F1D02"/>
    <w:rsid w:val="004F2679"/>
    <w:rsid w:val="004F2F21"/>
    <w:rsid w:val="004F3DE5"/>
    <w:rsid w:val="004F5B3C"/>
    <w:rsid w:val="004F6452"/>
    <w:rsid w:val="004F6913"/>
    <w:rsid w:val="004F7865"/>
    <w:rsid w:val="005009EB"/>
    <w:rsid w:val="0050174E"/>
    <w:rsid w:val="00501854"/>
    <w:rsid w:val="0050219B"/>
    <w:rsid w:val="00502F37"/>
    <w:rsid w:val="005039DB"/>
    <w:rsid w:val="00503F17"/>
    <w:rsid w:val="00505BA7"/>
    <w:rsid w:val="00506928"/>
    <w:rsid w:val="00506EAE"/>
    <w:rsid w:val="005077EF"/>
    <w:rsid w:val="00510917"/>
    <w:rsid w:val="00511AD5"/>
    <w:rsid w:val="00511DC7"/>
    <w:rsid w:val="00511EA8"/>
    <w:rsid w:val="00513DA6"/>
    <w:rsid w:val="005142C5"/>
    <w:rsid w:val="005146A2"/>
    <w:rsid w:val="00514C7A"/>
    <w:rsid w:val="0051501B"/>
    <w:rsid w:val="005152B5"/>
    <w:rsid w:val="00515702"/>
    <w:rsid w:val="00517925"/>
    <w:rsid w:val="00517DE0"/>
    <w:rsid w:val="0052123C"/>
    <w:rsid w:val="00521319"/>
    <w:rsid w:val="00522BC8"/>
    <w:rsid w:val="00523C28"/>
    <w:rsid w:val="0052578C"/>
    <w:rsid w:val="0052599E"/>
    <w:rsid w:val="00525EE3"/>
    <w:rsid w:val="005261C8"/>
    <w:rsid w:val="005267FC"/>
    <w:rsid w:val="00526D25"/>
    <w:rsid w:val="005274E6"/>
    <w:rsid w:val="0053139A"/>
    <w:rsid w:val="005313E2"/>
    <w:rsid w:val="0053176B"/>
    <w:rsid w:val="00533399"/>
    <w:rsid w:val="005341BA"/>
    <w:rsid w:val="0053469C"/>
    <w:rsid w:val="00536F42"/>
    <w:rsid w:val="00537182"/>
    <w:rsid w:val="005379F0"/>
    <w:rsid w:val="005409C6"/>
    <w:rsid w:val="00540F17"/>
    <w:rsid w:val="00541069"/>
    <w:rsid w:val="00541EDD"/>
    <w:rsid w:val="00542743"/>
    <w:rsid w:val="00542947"/>
    <w:rsid w:val="00542C2D"/>
    <w:rsid w:val="00546845"/>
    <w:rsid w:val="005478BD"/>
    <w:rsid w:val="005479E3"/>
    <w:rsid w:val="00550BF2"/>
    <w:rsid w:val="00551985"/>
    <w:rsid w:val="00552BD3"/>
    <w:rsid w:val="00552E4B"/>
    <w:rsid w:val="005532A0"/>
    <w:rsid w:val="005533D2"/>
    <w:rsid w:val="00555109"/>
    <w:rsid w:val="005552A9"/>
    <w:rsid w:val="0055591A"/>
    <w:rsid w:val="00555E16"/>
    <w:rsid w:val="00555FD9"/>
    <w:rsid w:val="005566E3"/>
    <w:rsid w:val="00556B35"/>
    <w:rsid w:val="0055741A"/>
    <w:rsid w:val="005611B7"/>
    <w:rsid w:val="005611CF"/>
    <w:rsid w:val="005618D4"/>
    <w:rsid w:val="00562E55"/>
    <w:rsid w:val="005638E9"/>
    <w:rsid w:val="005648B0"/>
    <w:rsid w:val="0056548B"/>
    <w:rsid w:val="00565A54"/>
    <w:rsid w:val="00565DF0"/>
    <w:rsid w:val="0056696F"/>
    <w:rsid w:val="0056730C"/>
    <w:rsid w:val="005679E7"/>
    <w:rsid w:val="0057030D"/>
    <w:rsid w:val="00570608"/>
    <w:rsid w:val="00572213"/>
    <w:rsid w:val="00572269"/>
    <w:rsid w:val="0057244A"/>
    <w:rsid w:val="00572F26"/>
    <w:rsid w:val="005750C5"/>
    <w:rsid w:val="005752DE"/>
    <w:rsid w:val="00575D8D"/>
    <w:rsid w:val="00576972"/>
    <w:rsid w:val="00583699"/>
    <w:rsid w:val="00584C1A"/>
    <w:rsid w:val="00585276"/>
    <w:rsid w:val="00585CDD"/>
    <w:rsid w:val="00587058"/>
    <w:rsid w:val="00590424"/>
    <w:rsid w:val="00591957"/>
    <w:rsid w:val="00591DE5"/>
    <w:rsid w:val="0059227B"/>
    <w:rsid w:val="0059320C"/>
    <w:rsid w:val="005942E9"/>
    <w:rsid w:val="005962F3"/>
    <w:rsid w:val="00597BF9"/>
    <w:rsid w:val="005A309A"/>
    <w:rsid w:val="005A373D"/>
    <w:rsid w:val="005A611C"/>
    <w:rsid w:val="005A62CE"/>
    <w:rsid w:val="005A6E4B"/>
    <w:rsid w:val="005A6ED7"/>
    <w:rsid w:val="005A7AE6"/>
    <w:rsid w:val="005B0B58"/>
    <w:rsid w:val="005B23F8"/>
    <w:rsid w:val="005B2BEA"/>
    <w:rsid w:val="005B2F00"/>
    <w:rsid w:val="005B4E53"/>
    <w:rsid w:val="005B5857"/>
    <w:rsid w:val="005B6AC2"/>
    <w:rsid w:val="005B6C41"/>
    <w:rsid w:val="005C0677"/>
    <w:rsid w:val="005C1B83"/>
    <w:rsid w:val="005C24BC"/>
    <w:rsid w:val="005C25FF"/>
    <w:rsid w:val="005C2D55"/>
    <w:rsid w:val="005C346B"/>
    <w:rsid w:val="005C4675"/>
    <w:rsid w:val="005C620B"/>
    <w:rsid w:val="005C6D73"/>
    <w:rsid w:val="005D044D"/>
    <w:rsid w:val="005D0ABD"/>
    <w:rsid w:val="005D1248"/>
    <w:rsid w:val="005D18AD"/>
    <w:rsid w:val="005D26B4"/>
    <w:rsid w:val="005D533E"/>
    <w:rsid w:val="005D5520"/>
    <w:rsid w:val="005D6541"/>
    <w:rsid w:val="005D70C4"/>
    <w:rsid w:val="005D75A8"/>
    <w:rsid w:val="005D768E"/>
    <w:rsid w:val="005E0E57"/>
    <w:rsid w:val="005E16BF"/>
    <w:rsid w:val="005E2B87"/>
    <w:rsid w:val="005E3C46"/>
    <w:rsid w:val="005E58E8"/>
    <w:rsid w:val="005E5E44"/>
    <w:rsid w:val="005E6535"/>
    <w:rsid w:val="005E6CBC"/>
    <w:rsid w:val="005E6E92"/>
    <w:rsid w:val="005E72FF"/>
    <w:rsid w:val="005E73C0"/>
    <w:rsid w:val="005F08E0"/>
    <w:rsid w:val="005F0A20"/>
    <w:rsid w:val="005F0CE6"/>
    <w:rsid w:val="005F21A7"/>
    <w:rsid w:val="005F2706"/>
    <w:rsid w:val="005F3504"/>
    <w:rsid w:val="005F54E8"/>
    <w:rsid w:val="005F6A8F"/>
    <w:rsid w:val="005F6BB7"/>
    <w:rsid w:val="005F7273"/>
    <w:rsid w:val="005F7588"/>
    <w:rsid w:val="0060392E"/>
    <w:rsid w:val="00603DB9"/>
    <w:rsid w:val="0060446E"/>
    <w:rsid w:val="006051B9"/>
    <w:rsid w:val="00605AD2"/>
    <w:rsid w:val="00606C05"/>
    <w:rsid w:val="00606FBA"/>
    <w:rsid w:val="00607669"/>
    <w:rsid w:val="006076F4"/>
    <w:rsid w:val="00607AFD"/>
    <w:rsid w:val="0061034D"/>
    <w:rsid w:val="00610794"/>
    <w:rsid w:val="00612172"/>
    <w:rsid w:val="00612F97"/>
    <w:rsid w:val="0061345D"/>
    <w:rsid w:val="006137E0"/>
    <w:rsid w:val="00613D29"/>
    <w:rsid w:val="0061549B"/>
    <w:rsid w:val="00615C41"/>
    <w:rsid w:val="00616802"/>
    <w:rsid w:val="00616E2D"/>
    <w:rsid w:val="00617E12"/>
    <w:rsid w:val="00620C25"/>
    <w:rsid w:val="00621477"/>
    <w:rsid w:val="00621ADA"/>
    <w:rsid w:val="00622523"/>
    <w:rsid w:val="00623F7B"/>
    <w:rsid w:val="0062425F"/>
    <w:rsid w:val="00625380"/>
    <w:rsid w:val="00625983"/>
    <w:rsid w:val="00625999"/>
    <w:rsid w:val="00625AEF"/>
    <w:rsid w:val="00625D12"/>
    <w:rsid w:val="00626083"/>
    <w:rsid w:val="00627D74"/>
    <w:rsid w:val="0063158F"/>
    <w:rsid w:val="00631D07"/>
    <w:rsid w:val="00631D6B"/>
    <w:rsid w:val="00632183"/>
    <w:rsid w:val="00632C01"/>
    <w:rsid w:val="00632E54"/>
    <w:rsid w:val="006330A1"/>
    <w:rsid w:val="0063479F"/>
    <w:rsid w:val="006353F0"/>
    <w:rsid w:val="006357B5"/>
    <w:rsid w:val="00635914"/>
    <w:rsid w:val="006359D9"/>
    <w:rsid w:val="006364A1"/>
    <w:rsid w:val="0063678E"/>
    <w:rsid w:val="00637BFD"/>
    <w:rsid w:val="00641A4E"/>
    <w:rsid w:val="00641C4E"/>
    <w:rsid w:val="00641FB3"/>
    <w:rsid w:val="006440D3"/>
    <w:rsid w:val="0064434C"/>
    <w:rsid w:val="006447BA"/>
    <w:rsid w:val="00647067"/>
    <w:rsid w:val="006471CC"/>
    <w:rsid w:val="00647A29"/>
    <w:rsid w:val="0065079F"/>
    <w:rsid w:val="00652431"/>
    <w:rsid w:val="00652A28"/>
    <w:rsid w:val="0065379F"/>
    <w:rsid w:val="00655361"/>
    <w:rsid w:val="00655E67"/>
    <w:rsid w:val="00656188"/>
    <w:rsid w:val="0065715A"/>
    <w:rsid w:val="0066022B"/>
    <w:rsid w:val="006610F1"/>
    <w:rsid w:val="006616ED"/>
    <w:rsid w:val="00661C6B"/>
    <w:rsid w:val="00662E81"/>
    <w:rsid w:val="006655BC"/>
    <w:rsid w:val="0066610D"/>
    <w:rsid w:val="00666EF8"/>
    <w:rsid w:val="00671004"/>
    <w:rsid w:val="00672646"/>
    <w:rsid w:val="00674434"/>
    <w:rsid w:val="00674E42"/>
    <w:rsid w:val="00676C27"/>
    <w:rsid w:val="006779A5"/>
    <w:rsid w:val="00680701"/>
    <w:rsid w:val="006813F8"/>
    <w:rsid w:val="00682112"/>
    <w:rsid w:val="00682BA6"/>
    <w:rsid w:val="00682BAF"/>
    <w:rsid w:val="00682EB4"/>
    <w:rsid w:val="006857DF"/>
    <w:rsid w:val="00686957"/>
    <w:rsid w:val="00686C24"/>
    <w:rsid w:val="006872BA"/>
    <w:rsid w:val="00687345"/>
    <w:rsid w:val="00687656"/>
    <w:rsid w:val="0069006F"/>
    <w:rsid w:val="00690795"/>
    <w:rsid w:val="00691648"/>
    <w:rsid w:val="006917D7"/>
    <w:rsid w:val="006920DE"/>
    <w:rsid w:val="0069434C"/>
    <w:rsid w:val="00694F44"/>
    <w:rsid w:val="006958B0"/>
    <w:rsid w:val="00696F51"/>
    <w:rsid w:val="006976C7"/>
    <w:rsid w:val="006979A5"/>
    <w:rsid w:val="00697C57"/>
    <w:rsid w:val="00697F54"/>
    <w:rsid w:val="006A0214"/>
    <w:rsid w:val="006A0EEA"/>
    <w:rsid w:val="006A1B58"/>
    <w:rsid w:val="006A1BC4"/>
    <w:rsid w:val="006A23DC"/>
    <w:rsid w:val="006A36F9"/>
    <w:rsid w:val="006A3CAF"/>
    <w:rsid w:val="006A4701"/>
    <w:rsid w:val="006A4C21"/>
    <w:rsid w:val="006A55CC"/>
    <w:rsid w:val="006A68A3"/>
    <w:rsid w:val="006A6B99"/>
    <w:rsid w:val="006A7E5F"/>
    <w:rsid w:val="006B0713"/>
    <w:rsid w:val="006B096F"/>
    <w:rsid w:val="006B261B"/>
    <w:rsid w:val="006B2C90"/>
    <w:rsid w:val="006B35E6"/>
    <w:rsid w:val="006B465A"/>
    <w:rsid w:val="006B47B7"/>
    <w:rsid w:val="006B6DD0"/>
    <w:rsid w:val="006C001E"/>
    <w:rsid w:val="006C0399"/>
    <w:rsid w:val="006C2A8E"/>
    <w:rsid w:val="006C3255"/>
    <w:rsid w:val="006C35BA"/>
    <w:rsid w:val="006C3F26"/>
    <w:rsid w:val="006C6081"/>
    <w:rsid w:val="006D0D17"/>
    <w:rsid w:val="006D1710"/>
    <w:rsid w:val="006D2E96"/>
    <w:rsid w:val="006D3C7D"/>
    <w:rsid w:val="006D4659"/>
    <w:rsid w:val="006D50F4"/>
    <w:rsid w:val="006D55BD"/>
    <w:rsid w:val="006D5D5F"/>
    <w:rsid w:val="006D68FB"/>
    <w:rsid w:val="006D7283"/>
    <w:rsid w:val="006E0F9B"/>
    <w:rsid w:val="006E2868"/>
    <w:rsid w:val="006E3D79"/>
    <w:rsid w:val="006E624E"/>
    <w:rsid w:val="006E642D"/>
    <w:rsid w:val="006F029F"/>
    <w:rsid w:val="006F132B"/>
    <w:rsid w:val="006F306C"/>
    <w:rsid w:val="006F406B"/>
    <w:rsid w:val="006F63A5"/>
    <w:rsid w:val="006F63E8"/>
    <w:rsid w:val="006F6EB9"/>
    <w:rsid w:val="006F6EED"/>
    <w:rsid w:val="0070142B"/>
    <w:rsid w:val="0070276E"/>
    <w:rsid w:val="00702D31"/>
    <w:rsid w:val="00702F8F"/>
    <w:rsid w:val="00704549"/>
    <w:rsid w:val="00706204"/>
    <w:rsid w:val="0070669D"/>
    <w:rsid w:val="007079FC"/>
    <w:rsid w:val="00707B5B"/>
    <w:rsid w:val="00707B74"/>
    <w:rsid w:val="00711507"/>
    <w:rsid w:val="00711A36"/>
    <w:rsid w:val="00712E73"/>
    <w:rsid w:val="00713933"/>
    <w:rsid w:val="00713A06"/>
    <w:rsid w:val="00714C26"/>
    <w:rsid w:val="00714EEA"/>
    <w:rsid w:val="0071529C"/>
    <w:rsid w:val="007164A3"/>
    <w:rsid w:val="00716E10"/>
    <w:rsid w:val="007170DA"/>
    <w:rsid w:val="007172AD"/>
    <w:rsid w:val="007173DF"/>
    <w:rsid w:val="00720801"/>
    <w:rsid w:val="00720CAF"/>
    <w:rsid w:val="00722A37"/>
    <w:rsid w:val="00722B1B"/>
    <w:rsid w:val="0072416F"/>
    <w:rsid w:val="007255AD"/>
    <w:rsid w:val="00726890"/>
    <w:rsid w:val="00727912"/>
    <w:rsid w:val="00727C94"/>
    <w:rsid w:val="00731678"/>
    <w:rsid w:val="00731B0A"/>
    <w:rsid w:val="00731B74"/>
    <w:rsid w:val="00731EAE"/>
    <w:rsid w:val="00732190"/>
    <w:rsid w:val="00733073"/>
    <w:rsid w:val="00735033"/>
    <w:rsid w:val="00735328"/>
    <w:rsid w:val="007360A7"/>
    <w:rsid w:val="0073685B"/>
    <w:rsid w:val="00740576"/>
    <w:rsid w:val="00741433"/>
    <w:rsid w:val="0074211F"/>
    <w:rsid w:val="007445DD"/>
    <w:rsid w:val="007449BF"/>
    <w:rsid w:val="007458B0"/>
    <w:rsid w:val="00746A56"/>
    <w:rsid w:val="00746BC0"/>
    <w:rsid w:val="007510B4"/>
    <w:rsid w:val="00751115"/>
    <w:rsid w:val="00751280"/>
    <w:rsid w:val="00752142"/>
    <w:rsid w:val="007523F9"/>
    <w:rsid w:val="0075357E"/>
    <w:rsid w:val="00755967"/>
    <w:rsid w:val="00755C09"/>
    <w:rsid w:val="007573E8"/>
    <w:rsid w:val="00760075"/>
    <w:rsid w:val="007602E8"/>
    <w:rsid w:val="00760C4E"/>
    <w:rsid w:val="00760F9E"/>
    <w:rsid w:val="007627BE"/>
    <w:rsid w:val="00764582"/>
    <w:rsid w:val="00764F03"/>
    <w:rsid w:val="007654E2"/>
    <w:rsid w:val="00765A17"/>
    <w:rsid w:val="00765B1A"/>
    <w:rsid w:val="00766836"/>
    <w:rsid w:val="00767735"/>
    <w:rsid w:val="007700D2"/>
    <w:rsid w:val="00770C0F"/>
    <w:rsid w:val="007720B9"/>
    <w:rsid w:val="007754F4"/>
    <w:rsid w:val="00775803"/>
    <w:rsid w:val="00775F68"/>
    <w:rsid w:val="00776193"/>
    <w:rsid w:val="00777335"/>
    <w:rsid w:val="00780482"/>
    <w:rsid w:val="007809B1"/>
    <w:rsid w:val="00780BF2"/>
    <w:rsid w:val="007814B3"/>
    <w:rsid w:val="00781A8C"/>
    <w:rsid w:val="007821DF"/>
    <w:rsid w:val="00782435"/>
    <w:rsid w:val="00783BCA"/>
    <w:rsid w:val="007843F2"/>
    <w:rsid w:val="00785A9F"/>
    <w:rsid w:val="007869DF"/>
    <w:rsid w:val="00787BB9"/>
    <w:rsid w:val="00787F6F"/>
    <w:rsid w:val="00790607"/>
    <w:rsid w:val="00790954"/>
    <w:rsid w:val="00791A7B"/>
    <w:rsid w:val="007925DF"/>
    <w:rsid w:val="00792797"/>
    <w:rsid w:val="00792F52"/>
    <w:rsid w:val="007930C0"/>
    <w:rsid w:val="007936B2"/>
    <w:rsid w:val="00794144"/>
    <w:rsid w:val="00794FA4"/>
    <w:rsid w:val="00794FA8"/>
    <w:rsid w:val="00795A8C"/>
    <w:rsid w:val="007A08AA"/>
    <w:rsid w:val="007A0914"/>
    <w:rsid w:val="007A0A12"/>
    <w:rsid w:val="007A132D"/>
    <w:rsid w:val="007A1345"/>
    <w:rsid w:val="007A2DDB"/>
    <w:rsid w:val="007A30EA"/>
    <w:rsid w:val="007A4B8B"/>
    <w:rsid w:val="007A5D42"/>
    <w:rsid w:val="007A68B0"/>
    <w:rsid w:val="007A70BA"/>
    <w:rsid w:val="007A74A6"/>
    <w:rsid w:val="007B0596"/>
    <w:rsid w:val="007B077F"/>
    <w:rsid w:val="007B0D68"/>
    <w:rsid w:val="007B246F"/>
    <w:rsid w:val="007B251D"/>
    <w:rsid w:val="007B3725"/>
    <w:rsid w:val="007B4C46"/>
    <w:rsid w:val="007B4F58"/>
    <w:rsid w:val="007B528D"/>
    <w:rsid w:val="007B5BD5"/>
    <w:rsid w:val="007B63CA"/>
    <w:rsid w:val="007B67E5"/>
    <w:rsid w:val="007B7153"/>
    <w:rsid w:val="007B74AC"/>
    <w:rsid w:val="007B77D1"/>
    <w:rsid w:val="007C07C7"/>
    <w:rsid w:val="007C1CD9"/>
    <w:rsid w:val="007C32EF"/>
    <w:rsid w:val="007C33AA"/>
    <w:rsid w:val="007C361D"/>
    <w:rsid w:val="007C37C4"/>
    <w:rsid w:val="007C4B84"/>
    <w:rsid w:val="007C5456"/>
    <w:rsid w:val="007C70FF"/>
    <w:rsid w:val="007C7323"/>
    <w:rsid w:val="007C7B07"/>
    <w:rsid w:val="007C7C25"/>
    <w:rsid w:val="007C7C51"/>
    <w:rsid w:val="007D004F"/>
    <w:rsid w:val="007D045B"/>
    <w:rsid w:val="007D0B38"/>
    <w:rsid w:val="007D2436"/>
    <w:rsid w:val="007D4C41"/>
    <w:rsid w:val="007D527C"/>
    <w:rsid w:val="007D52D4"/>
    <w:rsid w:val="007D5440"/>
    <w:rsid w:val="007D69EB"/>
    <w:rsid w:val="007D7988"/>
    <w:rsid w:val="007E128F"/>
    <w:rsid w:val="007E18A0"/>
    <w:rsid w:val="007E2BBC"/>
    <w:rsid w:val="007E3998"/>
    <w:rsid w:val="007E44F3"/>
    <w:rsid w:val="007E45AD"/>
    <w:rsid w:val="007E49AF"/>
    <w:rsid w:val="007E4E05"/>
    <w:rsid w:val="007E6D2B"/>
    <w:rsid w:val="007E7171"/>
    <w:rsid w:val="007E7834"/>
    <w:rsid w:val="007E79F9"/>
    <w:rsid w:val="007F1017"/>
    <w:rsid w:val="007F4A3F"/>
    <w:rsid w:val="007F4A61"/>
    <w:rsid w:val="007F5255"/>
    <w:rsid w:val="007F56CC"/>
    <w:rsid w:val="007F61C2"/>
    <w:rsid w:val="007F7617"/>
    <w:rsid w:val="00801719"/>
    <w:rsid w:val="008034BB"/>
    <w:rsid w:val="00805142"/>
    <w:rsid w:val="008058D3"/>
    <w:rsid w:val="00805FCE"/>
    <w:rsid w:val="00807A8B"/>
    <w:rsid w:val="00810AF6"/>
    <w:rsid w:val="00811383"/>
    <w:rsid w:val="00812149"/>
    <w:rsid w:val="00812CAC"/>
    <w:rsid w:val="00813FAD"/>
    <w:rsid w:val="00815304"/>
    <w:rsid w:val="00816361"/>
    <w:rsid w:val="008165A8"/>
    <w:rsid w:val="008166EF"/>
    <w:rsid w:val="00816FEF"/>
    <w:rsid w:val="00817D22"/>
    <w:rsid w:val="0082093D"/>
    <w:rsid w:val="00820A8C"/>
    <w:rsid w:val="00821189"/>
    <w:rsid w:val="008215FB"/>
    <w:rsid w:val="0082177B"/>
    <w:rsid w:val="00822871"/>
    <w:rsid w:val="008230E8"/>
    <w:rsid w:val="00823174"/>
    <w:rsid w:val="00823776"/>
    <w:rsid w:val="00825751"/>
    <w:rsid w:val="008264EB"/>
    <w:rsid w:val="00826648"/>
    <w:rsid w:val="00826CF7"/>
    <w:rsid w:val="00827099"/>
    <w:rsid w:val="008312FB"/>
    <w:rsid w:val="00832001"/>
    <w:rsid w:val="00833B05"/>
    <w:rsid w:val="008358FD"/>
    <w:rsid w:val="008362B4"/>
    <w:rsid w:val="00840CA2"/>
    <w:rsid w:val="00840DD6"/>
    <w:rsid w:val="0084213A"/>
    <w:rsid w:val="0084374F"/>
    <w:rsid w:val="00844A22"/>
    <w:rsid w:val="00844EDD"/>
    <w:rsid w:val="008463D2"/>
    <w:rsid w:val="00847703"/>
    <w:rsid w:val="008479BA"/>
    <w:rsid w:val="00847DF5"/>
    <w:rsid w:val="0085177D"/>
    <w:rsid w:val="0085309D"/>
    <w:rsid w:val="00854FCB"/>
    <w:rsid w:val="00856897"/>
    <w:rsid w:val="00856E9A"/>
    <w:rsid w:val="0085790D"/>
    <w:rsid w:val="0086075D"/>
    <w:rsid w:val="00862502"/>
    <w:rsid w:val="008625FE"/>
    <w:rsid w:val="00862CC1"/>
    <w:rsid w:val="00863FE9"/>
    <w:rsid w:val="008640F7"/>
    <w:rsid w:val="00864BD3"/>
    <w:rsid w:val="00865F5C"/>
    <w:rsid w:val="008660D4"/>
    <w:rsid w:val="00866E90"/>
    <w:rsid w:val="00867831"/>
    <w:rsid w:val="008678AC"/>
    <w:rsid w:val="00871FA9"/>
    <w:rsid w:val="008727C4"/>
    <w:rsid w:val="008728E9"/>
    <w:rsid w:val="00873A35"/>
    <w:rsid w:val="00876526"/>
    <w:rsid w:val="00877C6A"/>
    <w:rsid w:val="008810BE"/>
    <w:rsid w:val="00882874"/>
    <w:rsid w:val="00882E3C"/>
    <w:rsid w:val="00883787"/>
    <w:rsid w:val="008840C5"/>
    <w:rsid w:val="008841E6"/>
    <w:rsid w:val="008844C0"/>
    <w:rsid w:val="0088488A"/>
    <w:rsid w:val="008855E4"/>
    <w:rsid w:val="00886306"/>
    <w:rsid w:val="00886976"/>
    <w:rsid w:val="00886C6B"/>
    <w:rsid w:val="00886CD2"/>
    <w:rsid w:val="00887D08"/>
    <w:rsid w:val="00890E5B"/>
    <w:rsid w:val="0089167D"/>
    <w:rsid w:val="008918DB"/>
    <w:rsid w:val="00891E6F"/>
    <w:rsid w:val="0089275D"/>
    <w:rsid w:val="00892A36"/>
    <w:rsid w:val="00892EEC"/>
    <w:rsid w:val="00893239"/>
    <w:rsid w:val="008933B2"/>
    <w:rsid w:val="00894489"/>
    <w:rsid w:val="0089486C"/>
    <w:rsid w:val="008959B8"/>
    <w:rsid w:val="00895A36"/>
    <w:rsid w:val="008963A5"/>
    <w:rsid w:val="00896578"/>
    <w:rsid w:val="00896D5D"/>
    <w:rsid w:val="0089701E"/>
    <w:rsid w:val="00897A98"/>
    <w:rsid w:val="008A0653"/>
    <w:rsid w:val="008A1E1B"/>
    <w:rsid w:val="008A2E1E"/>
    <w:rsid w:val="008A3363"/>
    <w:rsid w:val="008A3371"/>
    <w:rsid w:val="008A3C3E"/>
    <w:rsid w:val="008A42E8"/>
    <w:rsid w:val="008A5CAF"/>
    <w:rsid w:val="008A79DE"/>
    <w:rsid w:val="008B1757"/>
    <w:rsid w:val="008B3213"/>
    <w:rsid w:val="008B7992"/>
    <w:rsid w:val="008B7D7E"/>
    <w:rsid w:val="008C113C"/>
    <w:rsid w:val="008C1525"/>
    <w:rsid w:val="008C2B4D"/>
    <w:rsid w:val="008C4438"/>
    <w:rsid w:val="008C5610"/>
    <w:rsid w:val="008C5739"/>
    <w:rsid w:val="008C74F1"/>
    <w:rsid w:val="008C7C5A"/>
    <w:rsid w:val="008C7ECB"/>
    <w:rsid w:val="008D35D9"/>
    <w:rsid w:val="008D3B86"/>
    <w:rsid w:val="008D4755"/>
    <w:rsid w:val="008D4C3D"/>
    <w:rsid w:val="008D4EF0"/>
    <w:rsid w:val="008D4FB0"/>
    <w:rsid w:val="008D743C"/>
    <w:rsid w:val="008E090E"/>
    <w:rsid w:val="008E0BE8"/>
    <w:rsid w:val="008E0D15"/>
    <w:rsid w:val="008E0D3C"/>
    <w:rsid w:val="008E1B9E"/>
    <w:rsid w:val="008E3F11"/>
    <w:rsid w:val="008E55AB"/>
    <w:rsid w:val="008E6907"/>
    <w:rsid w:val="008F0C00"/>
    <w:rsid w:val="008F120A"/>
    <w:rsid w:val="008F27E0"/>
    <w:rsid w:val="008F3C42"/>
    <w:rsid w:val="008F3E6C"/>
    <w:rsid w:val="008F48EB"/>
    <w:rsid w:val="008F4B2F"/>
    <w:rsid w:val="008F4F0B"/>
    <w:rsid w:val="008F5836"/>
    <w:rsid w:val="008F68FE"/>
    <w:rsid w:val="00903866"/>
    <w:rsid w:val="009046C4"/>
    <w:rsid w:val="009059D5"/>
    <w:rsid w:val="00906119"/>
    <w:rsid w:val="009062A5"/>
    <w:rsid w:val="00907311"/>
    <w:rsid w:val="00910FA7"/>
    <w:rsid w:val="00911272"/>
    <w:rsid w:val="00912493"/>
    <w:rsid w:val="009135D6"/>
    <w:rsid w:val="00914C77"/>
    <w:rsid w:val="00914F36"/>
    <w:rsid w:val="009167C1"/>
    <w:rsid w:val="00920D8A"/>
    <w:rsid w:val="00921294"/>
    <w:rsid w:val="00921ACB"/>
    <w:rsid w:val="0092333E"/>
    <w:rsid w:val="0092369B"/>
    <w:rsid w:val="00923D24"/>
    <w:rsid w:val="00927F3B"/>
    <w:rsid w:val="00932C1B"/>
    <w:rsid w:val="00934465"/>
    <w:rsid w:val="00934988"/>
    <w:rsid w:val="00935501"/>
    <w:rsid w:val="00937089"/>
    <w:rsid w:val="0093737F"/>
    <w:rsid w:val="009411C5"/>
    <w:rsid w:val="009420DE"/>
    <w:rsid w:val="00942E9D"/>
    <w:rsid w:val="009437BA"/>
    <w:rsid w:val="00944F8A"/>
    <w:rsid w:val="0094704A"/>
    <w:rsid w:val="0094726C"/>
    <w:rsid w:val="009475A0"/>
    <w:rsid w:val="00950BD8"/>
    <w:rsid w:val="009510A2"/>
    <w:rsid w:val="00953257"/>
    <w:rsid w:val="00953601"/>
    <w:rsid w:val="009539B8"/>
    <w:rsid w:val="00953FE8"/>
    <w:rsid w:val="0095474C"/>
    <w:rsid w:val="009566E0"/>
    <w:rsid w:val="009603AA"/>
    <w:rsid w:val="009609C7"/>
    <w:rsid w:val="00961AE3"/>
    <w:rsid w:val="00961C54"/>
    <w:rsid w:val="009623C6"/>
    <w:rsid w:val="00962CB9"/>
    <w:rsid w:val="00963792"/>
    <w:rsid w:val="009641AE"/>
    <w:rsid w:val="00964312"/>
    <w:rsid w:val="009645CE"/>
    <w:rsid w:val="00965B8A"/>
    <w:rsid w:val="00966340"/>
    <w:rsid w:val="00966A1B"/>
    <w:rsid w:val="0097071F"/>
    <w:rsid w:val="009717AC"/>
    <w:rsid w:val="00971965"/>
    <w:rsid w:val="0097381E"/>
    <w:rsid w:val="009751C1"/>
    <w:rsid w:val="00975962"/>
    <w:rsid w:val="009766FE"/>
    <w:rsid w:val="009811F1"/>
    <w:rsid w:val="00981830"/>
    <w:rsid w:val="0098265F"/>
    <w:rsid w:val="009839A8"/>
    <w:rsid w:val="00983E53"/>
    <w:rsid w:val="00983E57"/>
    <w:rsid w:val="0098413A"/>
    <w:rsid w:val="009854A1"/>
    <w:rsid w:val="009854A4"/>
    <w:rsid w:val="00985DE2"/>
    <w:rsid w:val="0098675D"/>
    <w:rsid w:val="00990AE6"/>
    <w:rsid w:val="00991E17"/>
    <w:rsid w:val="009926E0"/>
    <w:rsid w:val="009934B7"/>
    <w:rsid w:val="0099451E"/>
    <w:rsid w:val="00995018"/>
    <w:rsid w:val="0099543E"/>
    <w:rsid w:val="00995645"/>
    <w:rsid w:val="00996698"/>
    <w:rsid w:val="009967CD"/>
    <w:rsid w:val="00996B1A"/>
    <w:rsid w:val="009A02D6"/>
    <w:rsid w:val="009A0D12"/>
    <w:rsid w:val="009A2394"/>
    <w:rsid w:val="009A2DCC"/>
    <w:rsid w:val="009A5ABC"/>
    <w:rsid w:val="009A7F10"/>
    <w:rsid w:val="009B3E26"/>
    <w:rsid w:val="009B49AA"/>
    <w:rsid w:val="009B6F54"/>
    <w:rsid w:val="009B7F72"/>
    <w:rsid w:val="009C0BB1"/>
    <w:rsid w:val="009C0FF1"/>
    <w:rsid w:val="009C12A3"/>
    <w:rsid w:val="009C1F52"/>
    <w:rsid w:val="009C3706"/>
    <w:rsid w:val="009C3A3A"/>
    <w:rsid w:val="009C61C6"/>
    <w:rsid w:val="009C6CEA"/>
    <w:rsid w:val="009C7B85"/>
    <w:rsid w:val="009D0254"/>
    <w:rsid w:val="009D1A64"/>
    <w:rsid w:val="009D4F5B"/>
    <w:rsid w:val="009D5B91"/>
    <w:rsid w:val="009D792E"/>
    <w:rsid w:val="009E0DFE"/>
    <w:rsid w:val="009E1B10"/>
    <w:rsid w:val="009E31F6"/>
    <w:rsid w:val="009E483E"/>
    <w:rsid w:val="009E4C07"/>
    <w:rsid w:val="009F3728"/>
    <w:rsid w:val="009F3BDE"/>
    <w:rsid w:val="009F5A64"/>
    <w:rsid w:val="009F603B"/>
    <w:rsid w:val="00A01184"/>
    <w:rsid w:val="00A02296"/>
    <w:rsid w:val="00A02467"/>
    <w:rsid w:val="00A03407"/>
    <w:rsid w:val="00A037C2"/>
    <w:rsid w:val="00A03B17"/>
    <w:rsid w:val="00A03D43"/>
    <w:rsid w:val="00A04380"/>
    <w:rsid w:val="00A05472"/>
    <w:rsid w:val="00A05C32"/>
    <w:rsid w:val="00A0651B"/>
    <w:rsid w:val="00A0653F"/>
    <w:rsid w:val="00A10238"/>
    <w:rsid w:val="00A11CD0"/>
    <w:rsid w:val="00A11EE9"/>
    <w:rsid w:val="00A1200F"/>
    <w:rsid w:val="00A13948"/>
    <w:rsid w:val="00A13A72"/>
    <w:rsid w:val="00A145E1"/>
    <w:rsid w:val="00A147D5"/>
    <w:rsid w:val="00A1491A"/>
    <w:rsid w:val="00A1555B"/>
    <w:rsid w:val="00A155C5"/>
    <w:rsid w:val="00A163EE"/>
    <w:rsid w:val="00A16427"/>
    <w:rsid w:val="00A16AD8"/>
    <w:rsid w:val="00A17662"/>
    <w:rsid w:val="00A17BB3"/>
    <w:rsid w:val="00A20461"/>
    <w:rsid w:val="00A20E8B"/>
    <w:rsid w:val="00A21817"/>
    <w:rsid w:val="00A21C95"/>
    <w:rsid w:val="00A21CF3"/>
    <w:rsid w:val="00A231B7"/>
    <w:rsid w:val="00A24813"/>
    <w:rsid w:val="00A27588"/>
    <w:rsid w:val="00A278B3"/>
    <w:rsid w:val="00A27AEC"/>
    <w:rsid w:val="00A27DD5"/>
    <w:rsid w:val="00A3077C"/>
    <w:rsid w:val="00A30FCB"/>
    <w:rsid w:val="00A320DB"/>
    <w:rsid w:val="00A324C5"/>
    <w:rsid w:val="00A33479"/>
    <w:rsid w:val="00A3359A"/>
    <w:rsid w:val="00A33E9C"/>
    <w:rsid w:val="00A359D9"/>
    <w:rsid w:val="00A35D16"/>
    <w:rsid w:val="00A376DD"/>
    <w:rsid w:val="00A37BCD"/>
    <w:rsid w:val="00A41267"/>
    <w:rsid w:val="00A41689"/>
    <w:rsid w:val="00A419E4"/>
    <w:rsid w:val="00A41D30"/>
    <w:rsid w:val="00A42592"/>
    <w:rsid w:val="00A428E6"/>
    <w:rsid w:val="00A43C59"/>
    <w:rsid w:val="00A44858"/>
    <w:rsid w:val="00A4517A"/>
    <w:rsid w:val="00A50ECD"/>
    <w:rsid w:val="00A51463"/>
    <w:rsid w:val="00A518F3"/>
    <w:rsid w:val="00A51C35"/>
    <w:rsid w:val="00A51E99"/>
    <w:rsid w:val="00A52260"/>
    <w:rsid w:val="00A52729"/>
    <w:rsid w:val="00A5353E"/>
    <w:rsid w:val="00A53675"/>
    <w:rsid w:val="00A54DDE"/>
    <w:rsid w:val="00A564D7"/>
    <w:rsid w:val="00A56B6A"/>
    <w:rsid w:val="00A56F05"/>
    <w:rsid w:val="00A578DC"/>
    <w:rsid w:val="00A640E2"/>
    <w:rsid w:val="00A64D65"/>
    <w:rsid w:val="00A6725B"/>
    <w:rsid w:val="00A70605"/>
    <w:rsid w:val="00A709F5"/>
    <w:rsid w:val="00A7105A"/>
    <w:rsid w:val="00A716C9"/>
    <w:rsid w:val="00A73134"/>
    <w:rsid w:val="00A73AE2"/>
    <w:rsid w:val="00A73EC7"/>
    <w:rsid w:val="00A74D12"/>
    <w:rsid w:val="00A76001"/>
    <w:rsid w:val="00A7760D"/>
    <w:rsid w:val="00A777B2"/>
    <w:rsid w:val="00A80183"/>
    <w:rsid w:val="00A80255"/>
    <w:rsid w:val="00A80876"/>
    <w:rsid w:val="00A8138D"/>
    <w:rsid w:val="00A825D4"/>
    <w:rsid w:val="00A828F6"/>
    <w:rsid w:val="00A82B73"/>
    <w:rsid w:val="00A83420"/>
    <w:rsid w:val="00A84A08"/>
    <w:rsid w:val="00A853D1"/>
    <w:rsid w:val="00A86E8B"/>
    <w:rsid w:val="00A86FEE"/>
    <w:rsid w:val="00A87164"/>
    <w:rsid w:val="00A87D5A"/>
    <w:rsid w:val="00A902F4"/>
    <w:rsid w:val="00A92A1F"/>
    <w:rsid w:val="00A93072"/>
    <w:rsid w:val="00A938BD"/>
    <w:rsid w:val="00A93953"/>
    <w:rsid w:val="00A959D8"/>
    <w:rsid w:val="00A95A9A"/>
    <w:rsid w:val="00A978BE"/>
    <w:rsid w:val="00A9799E"/>
    <w:rsid w:val="00AA0358"/>
    <w:rsid w:val="00AA113D"/>
    <w:rsid w:val="00AA168C"/>
    <w:rsid w:val="00AA1839"/>
    <w:rsid w:val="00AA2235"/>
    <w:rsid w:val="00AA34FF"/>
    <w:rsid w:val="00AA3988"/>
    <w:rsid w:val="00AA6BD5"/>
    <w:rsid w:val="00AA6BD8"/>
    <w:rsid w:val="00AA6C7D"/>
    <w:rsid w:val="00AA73BF"/>
    <w:rsid w:val="00AA7907"/>
    <w:rsid w:val="00AA79AE"/>
    <w:rsid w:val="00AA7FD6"/>
    <w:rsid w:val="00AB042A"/>
    <w:rsid w:val="00AB14AD"/>
    <w:rsid w:val="00AB19EF"/>
    <w:rsid w:val="00AB2D34"/>
    <w:rsid w:val="00AB3430"/>
    <w:rsid w:val="00AB37B9"/>
    <w:rsid w:val="00AB3C2B"/>
    <w:rsid w:val="00AB4AD1"/>
    <w:rsid w:val="00AB5E07"/>
    <w:rsid w:val="00AB5E8C"/>
    <w:rsid w:val="00AB652A"/>
    <w:rsid w:val="00AB6BB8"/>
    <w:rsid w:val="00AB7CFA"/>
    <w:rsid w:val="00AC0BF5"/>
    <w:rsid w:val="00AC16CA"/>
    <w:rsid w:val="00AC1BC4"/>
    <w:rsid w:val="00AC3C56"/>
    <w:rsid w:val="00AC5B48"/>
    <w:rsid w:val="00AC6DBC"/>
    <w:rsid w:val="00AC73E0"/>
    <w:rsid w:val="00AD1450"/>
    <w:rsid w:val="00AD15BE"/>
    <w:rsid w:val="00AD16AD"/>
    <w:rsid w:val="00AD37FC"/>
    <w:rsid w:val="00AD3E4E"/>
    <w:rsid w:val="00AD5310"/>
    <w:rsid w:val="00AD6502"/>
    <w:rsid w:val="00AD7E54"/>
    <w:rsid w:val="00AE0695"/>
    <w:rsid w:val="00AE2257"/>
    <w:rsid w:val="00AE2945"/>
    <w:rsid w:val="00AE3E7E"/>
    <w:rsid w:val="00AE600E"/>
    <w:rsid w:val="00AE658B"/>
    <w:rsid w:val="00AE750C"/>
    <w:rsid w:val="00AF1315"/>
    <w:rsid w:val="00AF19BF"/>
    <w:rsid w:val="00AF1D27"/>
    <w:rsid w:val="00AF246D"/>
    <w:rsid w:val="00AF2DC3"/>
    <w:rsid w:val="00AF3873"/>
    <w:rsid w:val="00AF3FC9"/>
    <w:rsid w:val="00AF4E85"/>
    <w:rsid w:val="00AF4FA3"/>
    <w:rsid w:val="00B023FD"/>
    <w:rsid w:val="00B033E5"/>
    <w:rsid w:val="00B03A63"/>
    <w:rsid w:val="00B04575"/>
    <w:rsid w:val="00B04715"/>
    <w:rsid w:val="00B04E72"/>
    <w:rsid w:val="00B07379"/>
    <w:rsid w:val="00B0785D"/>
    <w:rsid w:val="00B07A6E"/>
    <w:rsid w:val="00B1240E"/>
    <w:rsid w:val="00B13680"/>
    <w:rsid w:val="00B13C7F"/>
    <w:rsid w:val="00B13D80"/>
    <w:rsid w:val="00B14B40"/>
    <w:rsid w:val="00B15DF3"/>
    <w:rsid w:val="00B17EE2"/>
    <w:rsid w:val="00B201A4"/>
    <w:rsid w:val="00B201D1"/>
    <w:rsid w:val="00B213A6"/>
    <w:rsid w:val="00B21594"/>
    <w:rsid w:val="00B235B0"/>
    <w:rsid w:val="00B237DB"/>
    <w:rsid w:val="00B247BF"/>
    <w:rsid w:val="00B248D8"/>
    <w:rsid w:val="00B24DF6"/>
    <w:rsid w:val="00B256CC"/>
    <w:rsid w:val="00B25846"/>
    <w:rsid w:val="00B262EA"/>
    <w:rsid w:val="00B26F89"/>
    <w:rsid w:val="00B278BF"/>
    <w:rsid w:val="00B32D22"/>
    <w:rsid w:val="00B34FE2"/>
    <w:rsid w:val="00B35166"/>
    <w:rsid w:val="00B357D8"/>
    <w:rsid w:val="00B360F4"/>
    <w:rsid w:val="00B36A00"/>
    <w:rsid w:val="00B3785A"/>
    <w:rsid w:val="00B37BFC"/>
    <w:rsid w:val="00B37E19"/>
    <w:rsid w:val="00B37F66"/>
    <w:rsid w:val="00B40358"/>
    <w:rsid w:val="00B41614"/>
    <w:rsid w:val="00B424BF"/>
    <w:rsid w:val="00B42851"/>
    <w:rsid w:val="00B42F80"/>
    <w:rsid w:val="00B435CB"/>
    <w:rsid w:val="00B43AF1"/>
    <w:rsid w:val="00B446DB"/>
    <w:rsid w:val="00B44B30"/>
    <w:rsid w:val="00B4704C"/>
    <w:rsid w:val="00B4718A"/>
    <w:rsid w:val="00B472CE"/>
    <w:rsid w:val="00B505C8"/>
    <w:rsid w:val="00B50DB8"/>
    <w:rsid w:val="00B50EC2"/>
    <w:rsid w:val="00B517A1"/>
    <w:rsid w:val="00B51E4A"/>
    <w:rsid w:val="00B532EF"/>
    <w:rsid w:val="00B53654"/>
    <w:rsid w:val="00B536D6"/>
    <w:rsid w:val="00B53905"/>
    <w:rsid w:val="00B54B5B"/>
    <w:rsid w:val="00B55170"/>
    <w:rsid w:val="00B5562E"/>
    <w:rsid w:val="00B55D65"/>
    <w:rsid w:val="00B55FCD"/>
    <w:rsid w:val="00B5677F"/>
    <w:rsid w:val="00B569C0"/>
    <w:rsid w:val="00B56FF6"/>
    <w:rsid w:val="00B57000"/>
    <w:rsid w:val="00B60939"/>
    <w:rsid w:val="00B60AFD"/>
    <w:rsid w:val="00B619FC"/>
    <w:rsid w:val="00B61EBD"/>
    <w:rsid w:val="00B62228"/>
    <w:rsid w:val="00B62715"/>
    <w:rsid w:val="00B630ED"/>
    <w:rsid w:val="00B63841"/>
    <w:rsid w:val="00B6399C"/>
    <w:rsid w:val="00B63E86"/>
    <w:rsid w:val="00B6408C"/>
    <w:rsid w:val="00B65611"/>
    <w:rsid w:val="00B660D7"/>
    <w:rsid w:val="00B66358"/>
    <w:rsid w:val="00B6673F"/>
    <w:rsid w:val="00B66AC9"/>
    <w:rsid w:val="00B67493"/>
    <w:rsid w:val="00B67E3D"/>
    <w:rsid w:val="00B70E8E"/>
    <w:rsid w:val="00B7527C"/>
    <w:rsid w:val="00B75614"/>
    <w:rsid w:val="00B76C92"/>
    <w:rsid w:val="00B77134"/>
    <w:rsid w:val="00B77E62"/>
    <w:rsid w:val="00B818A4"/>
    <w:rsid w:val="00B81D7E"/>
    <w:rsid w:val="00B82EA2"/>
    <w:rsid w:val="00B83093"/>
    <w:rsid w:val="00B8363A"/>
    <w:rsid w:val="00B84117"/>
    <w:rsid w:val="00B858F0"/>
    <w:rsid w:val="00B85AA2"/>
    <w:rsid w:val="00B8649C"/>
    <w:rsid w:val="00B8695D"/>
    <w:rsid w:val="00B86CAA"/>
    <w:rsid w:val="00B87F0A"/>
    <w:rsid w:val="00B90965"/>
    <w:rsid w:val="00B90CA0"/>
    <w:rsid w:val="00B9267A"/>
    <w:rsid w:val="00B92BE7"/>
    <w:rsid w:val="00B92D0B"/>
    <w:rsid w:val="00B93539"/>
    <w:rsid w:val="00B94945"/>
    <w:rsid w:val="00B94DD6"/>
    <w:rsid w:val="00B95747"/>
    <w:rsid w:val="00B96651"/>
    <w:rsid w:val="00BA17DF"/>
    <w:rsid w:val="00BA29FE"/>
    <w:rsid w:val="00BA322D"/>
    <w:rsid w:val="00BA3607"/>
    <w:rsid w:val="00BA38EA"/>
    <w:rsid w:val="00BA41C4"/>
    <w:rsid w:val="00BA63FA"/>
    <w:rsid w:val="00BB00B3"/>
    <w:rsid w:val="00BB0BDD"/>
    <w:rsid w:val="00BB11F1"/>
    <w:rsid w:val="00BB134C"/>
    <w:rsid w:val="00BB176C"/>
    <w:rsid w:val="00BB2A73"/>
    <w:rsid w:val="00BB3A45"/>
    <w:rsid w:val="00BB4ACC"/>
    <w:rsid w:val="00BB5876"/>
    <w:rsid w:val="00BB6C05"/>
    <w:rsid w:val="00BB703E"/>
    <w:rsid w:val="00BB732D"/>
    <w:rsid w:val="00BB7405"/>
    <w:rsid w:val="00BC3631"/>
    <w:rsid w:val="00BC4D37"/>
    <w:rsid w:val="00BC591F"/>
    <w:rsid w:val="00BC5F48"/>
    <w:rsid w:val="00BC6382"/>
    <w:rsid w:val="00BC6A82"/>
    <w:rsid w:val="00BC6F57"/>
    <w:rsid w:val="00BC7D6D"/>
    <w:rsid w:val="00BD04C0"/>
    <w:rsid w:val="00BD2108"/>
    <w:rsid w:val="00BD2F1D"/>
    <w:rsid w:val="00BD3BEE"/>
    <w:rsid w:val="00BD3CBB"/>
    <w:rsid w:val="00BD68A3"/>
    <w:rsid w:val="00BD6938"/>
    <w:rsid w:val="00BD6CF3"/>
    <w:rsid w:val="00BE0C7C"/>
    <w:rsid w:val="00BE0ECA"/>
    <w:rsid w:val="00BE2180"/>
    <w:rsid w:val="00BE21F2"/>
    <w:rsid w:val="00BE4275"/>
    <w:rsid w:val="00BF0162"/>
    <w:rsid w:val="00BF06AE"/>
    <w:rsid w:val="00BF0E66"/>
    <w:rsid w:val="00BF0F7F"/>
    <w:rsid w:val="00BF0F95"/>
    <w:rsid w:val="00BF1593"/>
    <w:rsid w:val="00BF2433"/>
    <w:rsid w:val="00BF26CA"/>
    <w:rsid w:val="00BF27D2"/>
    <w:rsid w:val="00BF61C9"/>
    <w:rsid w:val="00BF6B6F"/>
    <w:rsid w:val="00BF6C94"/>
    <w:rsid w:val="00BF75FE"/>
    <w:rsid w:val="00C0037D"/>
    <w:rsid w:val="00C00424"/>
    <w:rsid w:val="00C00C56"/>
    <w:rsid w:val="00C024D5"/>
    <w:rsid w:val="00C03A87"/>
    <w:rsid w:val="00C03C8D"/>
    <w:rsid w:val="00C06F6A"/>
    <w:rsid w:val="00C1179F"/>
    <w:rsid w:val="00C12C14"/>
    <w:rsid w:val="00C15ACF"/>
    <w:rsid w:val="00C15F04"/>
    <w:rsid w:val="00C16706"/>
    <w:rsid w:val="00C179B3"/>
    <w:rsid w:val="00C17E3F"/>
    <w:rsid w:val="00C200AA"/>
    <w:rsid w:val="00C2216D"/>
    <w:rsid w:val="00C237ED"/>
    <w:rsid w:val="00C238C6"/>
    <w:rsid w:val="00C24632"/>
    <w:rsid w:val="00C25418"/>
    <w:rsid w:val="00C25564"/>
    <w:rsid w:val="00C25A9D"/>
    <w:rsid w:val="00C25D9C"/>
    <w:rsid w:val="00C25FD9"/>
    <w:rsid w:val="00C2760B"/>
    <w:rsid w:val="00C2778B"/>
    <w:rsid w:val="00C27F42"/>
    <w:rsid w:val="00C31649"/>
    <w:rsid w:val="00C33757"/>
    <w:rsid w:val="00C33A0C"/>
    <w:rsid w:val="00C3434C"/>
    <w:rsid w:val="00C35A47"/>
    <w:rsid w:val="00C36137"/>
    <w:rsid w:val="00C3677C"/>
    <w:rsid w:val="00C40385"/>
    <w:rsid w:val="00C40C45"/>
    <w:rsid w:val="00C41768"/>
    <w:rsid w:val="00C43D9B"/>
    <w:rsid w:val="00C44215"/>
    <w:rsid w:val="00C46470"/>
    <w:rsid w:val="00C475AA"/>
    <w:rsid w:val="00C50CDD"/>
    <w:rsid w:val="00C522AC"/>
    <w:rsid w:val="00C5244E"/>
    <w:rsid w:val="00C52F3C"/>
    <w:rsid w:val="00C53C77"/>
    <w:rsid w:val="00C53C98"/>
    <w:rsid w:val="00C53DBF"/>
    <w:rsid w:val="00C541EC"/>
    <w:rsid w:val="00C55D49"/>
    <w:rsid w:val="00C56152"/>
    <w:rsid w:val="00C56FCF"/>
    <w:rsid w:val="00C577F8"/>
    <w:rsid w:val="00C57B6C"/>
    <w:rsid w:val="00C628A6"/>
    <w:rsid w:val="00C63606"/>
    <w:rsid w:val="00C64344"/>
    <w:rsid w:val="00C65108"/>
    <w:rsid w:val="00C65576"/>
    <w:rsid w:val="00C66165"/>
    <w:rsid w:val="00C66908"/>
    <w:rsid w:val="00C66E6E"/>
    <w:rsid w:val="00C67D37"/>
    <w:rsid w:val="00C7060A"/>
    <w:rsid w:val="00C710DB"/>
    <w:rsid w:val="00C7151A"/>
    <w:rsid w:val="00C717E3"/>
    <w:rsid w:val="00C71F60"/>
    <w:rsid w:val="00C72241"/>
    <w:rsid w:val="00C72EF3"/>
    <w:rsid w:val="00C750C8"/>
    <w:rsid w:val="00C7560F"/>
    <w:rsid w:val="00C764F0"/>
    <w:rsid w:val="00C77983"/>
    <w:rsid w:val="00C77AAF"/>
    <w:rsid w:val="00C80093"/>
    <w:rsid w:val="00C80A0E"/>
    <w:rsid w:val="00C81135"/>
    <w:rsid w:val="00C81149"/>
    <w:rsid w:val="00C81D26"/>
    <w:rsid w:val="00C8213F"/>
    <w:rsid w:val="00C835FD"/>
    <w:rsid w:val="00C839A8"/>
    <w:rsid w:val="00C85154"/>
    <w:rsid w:val="00C8583E"/>
    <w:rsid w:val="00C85F46"/>
    <w:rsid w:val="00C869BD"/>
    <w:rsid w:val="00C8707A"/>
    <w:rsid w:val="00C873F2"/>
    <w:rsid w:val="00C87416"/>
    <w:rsid w:val="00C8797A"/>
    <w:rsid w:val="00C900B8"/>
    <w:rsid w:val="00C90A9F"/>
    <w:rsid w:val="00C90C71"/>
    <w:rsid w:val="00C91F6E"/>
    <w:rsid w:val="00C91FD1"/>
    <w:rsid w:val="00C9213D"/>
    <w:rsid w:val="00C931CF"/>
    <w:rsid w:val="00C938CF"/>
    <w:rsid w:val="00C94053"/>
    <w:rsid w:val="00C9442D"/>
    <w:rsid w:val="00C94F4E"/>
    <w:rsid w:val="00C9624D"/>
    <w:rsid w:val="00C96736"/>
    <w:rsid w:val="00C969DA"/>
    <w:rsid w:val="00C974B3"/>
    <w:rsid w:val="00CA072A"/>
    <w:rsid w:val="00CA0FC9"/>
    <w:rsid w:val="00CA1599"/>
    <w:rsid w:val="00CA2C77"/>
    <w:rsid w:val="00CA39C8"/>
    <w:rsid w:val="00CA3C8E"/>
    <w:rsid w:val="00CA444F"/>
    <w:rsid w:val="00CA5245"/>
    <w:rsid w:val="00CA6314"/>
    <w:rsid w:val="00CA71F4"/>
    <w:rsid w:val="00CA7B09"/>
    <w:rsid w:val="00CB12A5"/>
    <w:rsid w:val="00CB1CAC"/>
    <w:rsid w:val="00CB2039"/>
    <w:rsid w:val="00CB25F2"/>
    <w:rsid w:val="00CB2F2A"/>
    <w:rsid w:val="00CB3E59"/>
    <w:rsid w:val="00CB5B1A"/>
    <w:rsid w:val="00CB6B22"/>
    <w:rsid w:val="00CB6D7E"/>
    <w:rsid w:val="00CB7F5F"/>
    <w:rsid w:val="00CC0E68"/>
    <w:rsid w:val="00CC11E9"/>
    <w:rsid w:val="00CC1B39"/>
    <w:rsid w:val="00CC250D"/>
    <w:rsid w:val="00CC2A01"/>
    <w:rsid w:val="00CC356A"/>
    <w:rsid w:val="00CC35EA"/>
    <w:rsid w:val="00CC3848"/>
    <w:rsid w:val="00CC3A0C"/>
    <w:rsid w:val="00CD21E2"/>
    <w:rsid w:val="00CD259D"/>
    <w:rsid w:val="00CD3F77"/>
    <w:rsid w:val="00CD45B1"/>
    <w:rsid w:val="00CD53FD"/>
    <w:rsid w:val="00CD5537"/>
    <w:rsid w:val="00CD590E"/>
    <w:rsid w:val="00CD60CE"/>
    <w:rsid w:val="00CD66F3"/>
    <w:rsid w:val="00CD6ADC"/>
    <w:rsid w:val="00CD7193"/>
    <w:rsid w:val="00CE0D61"/>
    <w:rsid w:val="00CE1983"/>
    <w:rsid w:val="00CE1DF1"/>
    <w:rsid w:val="00CE34BC"/>
    <w:rsid w:val="00CE38C8"/>
    <w:rsid w:val="00CE425E"/>
    <w:rsid w:val="00CE6274"/>
    <w:rsid w:val="00CE77B6"/>
    <w:rsid w:val="00CF2B8D"/>
    <w:rsid w:val="00CF2DF6"/>
    <w:rsid w:val="00CF456B"/>
    <w:rsid w:val="00CF4924"/>
    <w:rsid w:val="00CF5A22"/>
    <w:rsid w:val="00CF7BB2"/>
    <w:rsid w:val="00CF7C51"/>
    <w:rsid w:val="00D0042B"/>
    <w:rsid w:val="00D010A9"/>
    <w:rsid w:val="00D02555"/>
    <w:rsid w:val="00D0262E"/>
    <w:rsid w:val="00D02D21"/>
    <w:rsid w:val="00D034FA"/>
    <w:rsid w:val="00D056E5"/>
    <w:rsid w:val="00D059DD"/>
    <w:rsid w:val="00D05E3D"/>
    <w:rsid w:val="00D06139"/>
    <w:rsid w:val="00D06F25"/>
    <w:rsid w:val="00D07A0D"/>
    <w:rsid w:val="00D07EC7"/>
    <w:rsid w:val="00D10D6F"/>
    <w:rsid w:val="00D110BD"/>
    <w:rsid w:val="00D12FCA"/>
    <w:rsid w:val="00D13149"/>
    <w:rsid w:val="00D13286"/>
    <w:rsid w:val="00D13675"/>
    <w:rsid w:val="00D141E1"/>
    <w:rsid w:val="00D15314"/>
    <w:rsid w:val="00D15B34"/>
    <w:rsid w:val="00D1623F"/>
    <w:rsid w:val="00D17B84"/>
    <w:rsid w:val="00D17D01"/>
    <w:rsid w:val="00D17D6C"/>
    <w:rsid w:val="00D2102A"/>
    <w:rsid w:val="00D2155B"/>
    <w:rsid w:val="00D23D11"/>
    <w:rsid w:val="00D244B6"/>
    <w:rsid w:val="00D2461D"/>
    <w:rsid w:val="00D254CE"/>
    <w:rsid w:val="00D25513"/>
    <w:rsid w:val="00D271E3"/>
    <w:rsid w:val="00D2754D"/>
    <w:rsid w:val="00D27B27"/>
    <w:rsid w:val="00D3077F"/>
    <w:rsid w:val="00D319A6"/>
    <w:rsid w:val="00D31B69"/>
    <w:rsid w:val="00D32C7C"/>
    <w:rsid w:val="00D33BE9"/>
    <w:rsid w:val="00D33F93"/>
    <w:rsid w:val="00D357FF"/>
    <w:rsid w:val="00D370A5"/>
    <w:rsid w:val="00D375DE"/>
    <w:rsid w:val="00D37E15"/>
    <w:rsid w:val="00D40481"/>
    <w:rsid w:val="00D412CD"/>
    <w:rsid w:val="00D42293"/>
    <w:rsid w:val="00D424C7"/>
    <w:rsid w:val="00D43B2A"/>
    <w:rsid w:val="00D43D83"/>
    <w:rsid w:val="00D447D4"/>
    <w:rsid w:val="00D448C0"/>
    <w:rsid w:val="00D44DEA"/>
    <w:rsid w:val="00D461BF"/>
    <w:rsid w:val="00D461F6"/>
    <w:rsid w:val="00D473A1"/>
    <w:rsid w:val="00D47575"/>
    <w:rsid w:val="00D47A6A"/>
    <w:rsid w:val="00D47E2E"/>
    <w:rsid w:val="00D5090A"/>
    <w:rsid w:val="00D519AC"/>
    <w:rsid w:val="00D51DBA"/>
    <w:rsid w:val="00D5243B"/>
    <w:rsid w:val="00D533EC"/>
    <w:rsid w:val="00D54639"/>
    <w:rsid w:val="00D5639A"/>
    <w:rsid w:val="00D563F3"/>
    <w:rsid w:val="00D565F2"/>
    <w:rsid w:val="00D56A95"/>
    <w:rsid w:val="00D56F1A"/>
    <w:rsid w:val="00D579AB"/>
    <w:rsid w:val="00D6126A"/>
    <w:rsid w:val="00D61658"/>
    <w:rsid w:val="00D6553D"/>
    <w:rsid w:val="00D65993"/>
    <w:rsid w:val="00D65DEE"/>
    <w:rsid w:val="00D664EB"/>
    <w:rsid w:val="00D6717B"/>
    <w:rsid w:val="00D671A9"/>
    <w:rsid w:val="00D67550"/>
    <w:rsid w:val="00D70F16"/>
    <w:rsid w:val="00D72DAE"/>
    <w:rsid w:val="00D72F57"/>
    <w:rsid w:val="00D747EE"/>
    <w:rsid w:val="00D754E8"/>
    <w:rsid w:val="00D76A44"/>
    <w:rsid w:val="00D81045"/>
    <w:rsid w:val="00D815EF"/>
    <w:rsid w:val="00D81A08"/>
    <w:rsid w:val="00D81F26"/>
    <w:rsid w:val="00D82657"/>
    <w:rsid w:val="00D8358B"/>
    <w:rsid w:val="00D840F9"/>
    <w:rsid w:val="00D85158"/>
    <w:rsid w:val="00D852E8"/>
    <w:rsid w:val="00D86231"/>
    <w:rsid w:val="00D877AC"/>
    <w:rsid w:val="00D90B2E"/>
    <w:rsid w:val="00D910C3"/>
    <w:rsid w:val="00D91596"/>
    <w:rsid w:val="00D91923"/>
    <w:rsid w:val="00D92024"/>
    <w:rsid w:val="00D93753"/>
    <w:rsid w:val="00D9469D"/>
    <w:rsid w:val="00D9682A"/>
    <w:rsid w:val="00D9739D"/>
    <w:rsid w:val="00DA139A"/>
    <w:rsid w:val="00DA30B3"/>
    <w:rsid w:val="00DA3167"/>
    <w:rsid w:val="00DA3358"/>
    <w:rsid w:val="00DA34DD"/>
    <w:rsid w:val="00DA4DC3"/>
    <w:rsid w:val="00DA568E"/>
    <w:rsid w:val="00DA5CAE"/>
    <w:rsid w:val="00DA721F"/>
    <w:rsid w:val="00DA77A5"/>
    <w:rsid w:val="00DB1AF8"/>
    <w:rsid w:val="00DB215D"/>
    <w:rsid w:val="00DB2B82"/>
    <w:rsid w:val="00DB300B"/>
    <w:rsid w:val="00DB3DBF"/>
    <w:rsid w:val="00DB484F"/>
    <w:rsid w:val="00DB730B"/>
    <w:rsid w:val="00DC04F6"/>
    <w:rsid w:val="00DC0690"/>
    <w:rsid w:val="00DC083D"/>
    <w:rsid w:val="00DC1D65"/>
    <w:rsid w:val="00DC3C57"/>
    <w:rsid w:val="00DC4E64"/>
    <w:rsid w:val="00DC5501"/>
    <w:rsid w:val="00DC6088"/>
    <w:rsid w:val="00DC7154"/>
    <w:rsid w:val="00DC7E8A"/>
    <w:rsid w:val="00DD0F78"/>
    <w:rsid w:val="00DD1680"/>
    <w:rsid w:val="00DD273C"/>
    <w:rsid w:val="00DD3F28"/>
    <w:rsid w:val="00DD4537"/>
    <w:rsid w:val="00DD4E15"/>
    <w:rsid w:val="00DD6779"/>
    <w:rsid w:val="00DD7505"/>
    <w:rsid w:val="00DE18CC"/>
    <w:rsid w:val="00DE2304"/>
    <w:rsid w:val="00DE2CAC"/>
    <w:rsid w:val="00DE3138"/>
    <w:rsid w:val="00DE37F8"/>
    <w:rsid w:val="00DE3B03"/>
    <w:rsid w:val="00DE47EB"/>
    <w:rsid w:val="00DE4FCB"/>
    <w:rsid w:val="00DE5D07"/>
    <w:rsid w:val="00DE72A7"/>
    <w:rsid w:val="00DE7832"/>
    <w:rsid w:val="00DE7F71"/>
    <w:rsid w:val="00DF18FC"/>
    <w:rsid w:val="00DF5675"/>
    <w:rsid w:val="00DF5D2B"/>
    <w:rsid w:val="00DF61F3"/>
    <w:rsid w:val="00E0037B"/>
    <w:rsid w:val="00E00E8E"/>
    <w:rsid w:val="00E01331"/>
    <w:rsid w:val="00E02CA1"/>
    <w:rsid w:val="00E0437C"/>
    <w:rsid w:val="00E04534"/>
    <w:rsid w:val="00E04838"/>
    <w:rsid w:val="00E0492E"/>
    <w:rsid w:val="00E049F8"/>
    <w:rsid w:val="00E05630"/>
    <w:rsid w:val="00E06DBB"/>
    <w:rsid w:val="00E07C29"/>
    <w:rsid w:val="00E07C73"/>
    <w:rsid w:val="00E10149"/>
    <w:rsid w:val="00E10251"/>
    <w:rsid w:val="00E11340"/>
    <w:rsid w:val="00E11A10"/>
    <w:rsid w:val="00E122A1"/>
    <w:rsid w:val="00E14410"/>
    <w:rsid w:val="00E16372"/>
    <w:rsid w:val="00E16822"/>
    <w:rsid w:val="00E20E4D"/>
    <w:rsid w:val="00E20ED6"/>
    <w:rsid w:val="00E21358"/>
    <w:rsid w:val="00E21B40"/>
    <w:rsid w:val="00E21CAA"/>
    <w:rsid w:val="00E2224C"/>
    <w:rsid w:val="00E2249B"/>
    <w:rsid w:val="00E22A0D"/>
    <w:rsid w:val="00E244F6"/>
    <w:rsid w:val="00E25300"/>
    <w:rsid w:val="00E25638"/>
    <w:rsid w:val="00E25C29"/>
    <w:rsid w:val="00E25D16"/>
    <w:rsid w:val="00E26E71"/>
    <w:rsid w:val="00E2771E"/>
    <w:rsid w:val="00E27B2C"/>
    <w:rsid w:val="00E307B3"/>
    <w:rsid w:val="00E30B8C"/>
    <w:rsid w:val="00E30CBC"/>
    <w:rsid w:val="00E30E3F"/>
    <w:rsid w:val="00E30F99"/>
    <w:rsid w:val="00E311EF"/>
    <w:rsid w:val="00E3193C"/>
    <w:rsid w:val="00E32180"/>
    <w:rsid w:val="00E322DB"/>
    <w:rsid w:val="00E32468"/>
    <w:rsid w:val="00E32CB9"/>
    <w:rsid w:val="00E34948"/>
    <w:rsid w:val="00E37569"/>
    <w:rsid w:val="00E401B2"/>
    <w:rsid w:val="00E4073D"/>
    <w:rsid w:val="00E41829"/>
    <w:rsid w:val="00E41E30"/>
    <w:rsid w:val="00E427BA"/>
    <w:rsid w:val="00E42F73"/>
    <w:rsid w:val="00E43D70"/>
    <w:rsid w:val="00E466F3"/>
    <w:rsid w:val="00E47B2C"/>
    <w:rsid w:val="00E5134C"/>
    <w:rsid w:val="00E51560"/>
    <w:rsid w:val="00E52CBF"/>
    <w:rsid w:val="00E53FC8"/>
    <w:rsid w:val="00E54347"/>
    <w:rsid w:val="00E544C4"/>
    <w:rsid w:val="00E54636"/>
    <w:rsid w:val="00E55424"/>
    <w:rsid w:val="00E557B6"/>
    <w:rsid w:val="00E55915"/>
    <w:rsid w:val="00E55BB5"/>
    <w:rsid w:val="00E55BFE"/>
    <w:rsid w:val="00E55C46"/>
    <w:rsid w:val="00E5621D"/>
    <w:rsid w:val="00E56456"/>
    <w:rsid w:val="00E57732"/>
    <w:rsid w:val="00E57F97"/>
    <w:rsid w:val="00E603E3"/>
    <w:rsid w:val="00E61288"/>
    <w:rsid w:val="00E623B0"/>
    <w:rsid w:val="00E62EAA"/>
    <w:rsid w:val="00E65E79"/>
    <w:rsid w:val="00E66BA2"/>
    <w:rsid w:val="00E67416"/>
    <w:rsid w:val="00E67667"/>
    <w:rsid w:val="00E6795E"/>
    <w:rsid w:val="00E70A06"/>
    <w:rsid w:val="00E718B6"/>
    <w:rsid w:val="00E71C3B"/>
    <w:rsid w:val="00E723BA"/>
    <w:rsid w:val="00E72513"/>
    <w:rsid w:val="00E73154"/>
    <w:rsid w:val="00E73581"/>
    <w:rsid w:val="00E73B4C"/>
    <w:rsid w:val="00E753A2"/>
    <w:rsid w:val="00E76488"/>
    <w:rsid w:val="00E766BB"/>
    <w:rsid w:val="00E7782D"/>
    <w:rsid w:val="00E77DDF"/>
    <w:rsid w:val="00E77E2B"/>
    <w:rsid w:val="00E833F7"/>
    <w:rsid w:val="00E83BDF"/>
    <w:rsid w:val="00E8529B"/>
    <w:rsid w:val="00E8531E"/>
    <w:rsid w:val="00E85B9C"/>
    <w:rsid w:val="00E85B9F"/>
    <w:rsid w:val="00E876BF"/>
    <w:rsid w:val="00E87A1D"/>
    <w:rsid w:val="00E9094A"/>
    <w:rsid w:val="00E91949"/>
    <w:rsid w:val="00E91D35"/>
    <w:rsid w:val="00E923A8"/>
    <w:rsid w:val="00E926A5"/>
    <w:rsid w:val="00E9568B"/>
    <w:rsid w:val="00E9683F"/>
    <w:rsid w:val="00E97AF7"/>
    <w:rsid w:val="00EA00E3"/>
    <w:rsid w:val="00EA17C3"/>
    <w:rsid w:val="00EA2CAA"/>
    <w:rsid w:val="00EA2F55"/>
    <w:rsid w:val="00EA3864"/>
    <w:rsid w:val="00EA5A1D"/>
    <w:rsid w:val="00EA5A7F"/>
    <w:rsid w:val="00EA66BD"/>
    <w:rsid w:val="00EA7F1C"/>
    <w:rsid w:val="00EB078A"/>
    <w:rsid w:val="00EB0E46"/>
    <w:rsid w:val="00EB15B6"/>
    <w:rsid w:val="00EB1A4E"/>
    <w:rsid w:val="00EB3D06"/>
    <w:rsid w:val="00EB4769"/>
    <w:rsid w:val="00EB4916"/>
    <w:rsid w:val="00EB6ACE"/>
    <w:rsid w:val="00EB706E"/>
    <w:rsid w:val="00EC00C9"/>
    <w:rsid w:val="00EC0DD9"/>
    <w:rsid w:val="00EC2649"/>
    <w:rsid w:val="00EC31ED"/>
    <w:rsid w:val="00EC5044"/>
    <w:rsid w:val="00EC5836"/>
    <w:rsid w:val="00EC66C4"/>
    <w:rsid w:val="00EC66C7"/>
    <w:rsid w:val="00EC6780"/>
    <w:rsid w:val="00EC688C"/>
    <w:rsid w:val="00ED0069"/>
    <w:rsid w:val="00ED01E0"/>
    <w:rsid w:val="00ED02CE"/>
    <w:rsid w:val="00ED1F2C"/>
    <w:rsid w:val="00ED57EA"/>
    <w:rsid w:val="00ED5ACB"/>
    <w:rsid w:val="00ED5BD4"/>
    <w:rsid w:val="00ED5ECF"/>
    <w:rsid w:val="00ED7A6A"/>
    <w:rsid w:val="00EE02AE"/>
    <w:rsid w:val="00EE07D3"/>
    <w:rsid w:val="00EE09AB"/>
    <w:rsid w:val="00EE1996"/>
    <w:rsid w:val="00EE1C01"/>
    <w:rsid w:val="00EE22AF"/>
    <w:rsid w:val="00EE4458"/>
    <w:rsid w:val="00EE48BD"/>
    <w:rsid w:val="00EE5650"/>
    <w:rsid w:val="00EE6028"/>
    <w:rsid w:val="00EE64AE"/>
    <w:rsid w:val="00EF0171"/>
    <w:rsid w:val="00EF019A"/>
    <w:rsid w:val="00EF0D4D"/>
    <w:rsid w:val="00EF1812"/>
    <w:rsid w:val="00EF1B25"/>
    <w:rsid w:val="00EF1DA0"/>
    <w:rsid w:val="00EF1F48"/>
    <w:rsid w:val="00EF27E0"/>
    <w:rsid w:val="00EF2EF4"/>
    <w:rsid w:val="00EF3A13"/>
    <w:rsid w:val="00EF3B2C"/>
    <w:rsid w:val="00EF4747"/>
    <w:rsid w:val="00EF4BF8"/>
    <w:rsid w:val="00F00D7C"/>
    <w:rsid w:val="00F02253"/>
    <w:rsid w:val="00F0240E"/>
    <w:rsid w:val="00F03C2E"/>
    <w:rsid w:val="00F04476"/>
    <w:rsid w:val="00F04A66"/>
    <w:rsid w:val="00F04B4B"/>
    <w:rsid w:val="00F050F7"/>
    <w:rsid w:val="00F0516C"/>
    <w:rsid w:val="00F065BD"/>
    <w:rsid w:val="00F067A2"/>
    <w:rsid w:val="00F068CD"/>
    <w:rsid w:val="00F07B9E"/>
    <w:rsid w:val="00F102EF"/>
    <w:rsid w:val="00F10AE1"/>
    <w:rsid w:val="00F1116F"/>
    <w:rsid w:val="00F11C91"/>
    <w:rsid w:val="00F11CB6"/>
    <w:rsid w:val="00F11F2C"/>
    <w:rsid w:val="00F1263A"/>
    <w:rsid w:val="00F13786"/>
    <w:rsid w:val="00F144F1"/>
    <w:rsid w:val="00F14C7C"/>
    <w:rsid w:val="00F15B77"/>
    <w:rsid w:val="00F178D0"/>
    <w:rsid w:val="00F17A5F"/>
    <w:rsid w:val="00F17FD8"/>
    <w:rsid w:val="00F23410"/>
    <w:rsid w:val="00F238BF"/>
    <w:rsid w:val="00F24837"/>
    <w:rsid w:val="00F2575F"/>
    <w:rsid w:val="00F27565"/>
    <w:rsid w:val="00F310D4"/>
    <w:rsid w:val="00F314BB"/>
    <w:rsid w:val="00F31D5A"/>
    <w:rsid w:val="00F32241"/>
    <w:rsid w:val="00F33975"/>
    <w:rsid w:val="00F33DE9"/>
    <w:rsid w:val="00F34710"/>
    <w:rsid w:val="00F35E6D"/>
    <w:rsid w:val="00F3619A"/>
    <w:rsid w:val="00F3787F"/>
    <w:rsid w:val="00F40801"/>
    <w:rsid w:val="00F40AAA"/>
    <w:rsid w:val="00F40BA7"/>
    <w:rsid w:val="00F40F9D"/>
    <w:rsid w:val="00F41ACD"/>
    <w:rsid w:val="00F450B5"/>
    <w:rsid w:val="00F45A9D"/>
    <w:rsid w:val="00F46CB6"/>
    <w:rsid w:val="00F4756D"/>
    <w:rsid w:val="00F47DE8"/>
    <w:rsid w:val="00F50149"/>
    <w:rsid w:val="00F51E5E"/>
    <w:rsid w:val="00F540CD"/>
    <w:rsid w:val="00F542C1"/>
    <w:rsid w:val="00F55066"/>
    <w:rsid w:val="00F55109"/>
    <w:rsid w:val="00F55E73"/>
    <w:rsid w:val="00F55EDA"/>
    <w:rsid w:val="00F568BE"/>
    <w:rsid w:val="00F56B10"/>
    <w:rsid w:val="00F56C80"/>
    <w:rsid w:val="00F57BB9"/>
    <w:rsid w:val="00F60092"/>
    <w:rsid w:val="00F61C18"/>
    <w:rsid w:val="00F626EA"/>
    <w:rsid w:val="00F6530B"/>
    <w:rsid w:val="00F65E75"/>
    <w:rsid w:val="00F65F4B"/>
    <w:rsid w:val="00F66314"/>
    <w:rsid w:val="00F671AF"/>
    <w:rsid w:val="00F679E6"/>
    <w:rsid w:val="00F67A69"/>
    <w:rsid w:val="00F705BB"/>
    <w:rsid w:val="00F70BFF"/>
    <w:rsid w:val="00F70C9D"/>
    <w:rsid w:val="00F71FCF"/>
    <w:rsid w:val="00F72034"/>
    <w:rsid w:val="00F736B8"/>
    <w:rsid w:val="00F737DE"/>
    <w:rsid w:val="00F73C2D"/>
    <w:rsid w:val="00F74981"/>
    <w:rsid w:val="00F74C22"/>
    <w:rsid w:val="00F74CD9"/>
    <w:rsid w:val="00F80A7B"/>
    <w:rsid w:val="00F80E5D"/>
    <w:rsid w:val="00F81E78"/>
    <w:rsid w:val="00F8290D"/>
    <w:rsid w:val="00F851CE"/>
    <w:rsid w:val="00F8523E"/>
    <w:rsid w:val="00F85AEA"/>
    <w:rsid w:val="00F85E34"/>
    <w:rsid w:val="00F85F9C"/>
    <w:rsid w:val="00F8707C"/>
    <w:rsid w:val="00F91219"/>
    <w:rsid w:val="00F9132D"/>
    <w:rsid w:val="00F92249"/>
    <w:rsid w:val="00F92444"/>
    <w:rsid w:val="00F9393E"/>
    <w:rsid w:val="00F958A4"/>
    <w:rsid w:val="00F95901"/>
    <w:rsid w:val="00F95B07"/>
    <w:rsid w:val="00F9652E"/>
    <w:rsid w:val="00F96FD0"/>
    <w:rsid w:val="00F97A78"/>
    <w:rsid w:val="00FA0345"/>
    <w:rsid w:val="00FA0B20"/>
    <w:rsid w:val="00FA17E2"/>
    <w:rsid w:val="00FA24E7"/>
    <w:rsid w:val="00FA5955"/>
    <w:rsid w:val="00FA5EE6"/>
    <w:rsid w:val="00FA7956"/>
    <w:rsid w:val="00FB093A"/>
    <w:rsid w:val="00FB2FCB"/>
    <w:rsid w:val="00FB621E"/>
    <w:rsid w:val="00FB683F"/>
    <w:rsid w:val="00FB6AD9"/>
    <w:rsid w:val="00FB70F3"/>
    <w:rsid w:val="00FB7C55"/>
    <w:rsid w:val="00FC0DE6"/>
    <w:rsid w:val="00FC1074"/>
    <w:rsid w:val="00FC11F2"/>
    <w:rsid w:val="00FC1884"/>
    <w:rsid w:val="00FC2811"/>
    <w:rsid w:val="00FC3000"/>
    <w:rsid w:val="00FC3580"/>
    <w:rsid w:val="00FC371D"/>
    <w:rsid w:val="00FC3C94"/>
    <w:rsid w:val="00FC4B1A"/>
    <w:rsid w:val="00FC5567"/>
    <w:rsid w:val="00FC581F"/>
    <w:rsid w:val="00FC5F0B"/>
    <w:rsid w:val="00FD18B9"/>
    <w:rsid w:val="00FD2100"/>
    <w:rsid w:val="00FD2645"/>
    <w:rsid w:val="00FD436C"/>
    <w:rsid w:val="00FD446D"/>
    <w:rsid w:val="00FD4F2C"/>
    <w:rsid w:val="00FD6082"/>
    <w:rsid w:val="00FD6394"/>
    <w:rsid w:val="00FD67B0"/>
    <w:rsid w:val="00FD6F25"/>
    <w:rsid w:val="00FD75A1"/>
    <w:rsid w:val="00FE07C8"/>
    <w:rsid w:val="00FE0E6C"/>
    <w:rsid w:val="00FE1227"/>
    <w:rsid w:val="00FE1CDC"/>
    <w:rsid w:val="00FE2638"/>
    <w:rsid w:val="00FE26DE"/>
    <w:rsid w:val="00FE436E"/>
    <w:rsid w:val="00FE4C46"/>
    <w:rsid w:val="00FE66E5"/>
    <w:rsid w:val="00FE70C3"/>
    <w:rsid w:val="00FE7E2E"/>
    <w:rsid w:val="00FF22D0"/>
    <w:rsid w:val="00FF2AD9"/>
    <w:rsid w:val="00FF359F"/>
    <w:rsid w:val="00FF3DCF"/>
    <w:rsid w:val="00FF4375"/>
    <w:rsid w:val="00FF492C"/>
    <w:rsid w:val="00FF4A21"/>
    <w:rsid w:val="00FF5AA3"/>
    <w:rsid w:val="00FF5AD8"/>
    <w:rsid w:val="00FF6C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60"/>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Table Legend,Bullet1,Bullet 1,Bullet List,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152E3A"/>
    <w:rPr>
      <w:sz w:val="20"/>
      <w:szCs w:val="20"/>
    </w:rPr>
  </w:style>
  <w:style w:type="character" w:customStyle="1" w:styleId="FootnoteTextChar">
    <w:name w:val="Footnote Text Char"/>
    <w:basedOn w:val="DefaultParagraphFont"/>
    <w:link w:val="FootnoteText"/>
    <w:semiHidden/>
    <w:rsid w:val="00152E3A"/>
    <w:rPr>
      <w:rFonts w:ascii="Calibri" w:hAnsi="Calibri" w:cs="Arial"/>
    </w:rPr>
  </w:style>
  <w:style w:type="character" w:styleId="FootnoteReference">
    <w:name w:val="footnote reference"/>
    <w:basedOn w:val="DefaultParagraphFont"/>
    <w:semiHidden/>
    <w:unhideWhenUsed/>
    <w:rsid w:val="00152E3A"/>
    <w:rPr>
      <w:vertAlign w:val="superscript"/>
    </w:rPr>
  </w:style>
  <w:style w:type="paragraph" w:customStyle="1" w:styleId="TableBullet">
    <w:name w:val="Table Bullet"/>
    <w:basedOn w:val="Normal"/>
    <w:qFormat/>
    <w:rsid w:val="00AD7E54"/>
    <w:pPr>
      <w:numPr>
        <w:numId w:val="8"/>
      </w:numPr>
      <w:spacing w:before="20" w:after="20" w:line="276" w:lineRule="auto"/>
      <w:ind w:left="284" w:hanging="284"/>
      <w:jc w:val="left"/>
    </w:pPr>
    <w:rPr>
      <w:rFonts w:ascii="Arial Narrow" w:eastAsiaTheme="majorEastAsia" w:hAnsi="Arial Narrow"/>
      <w:sz w:val="20"/>
      <w:szCs w:val="20"/>
      <w:lang w:bidi="en-US"/>
    </w:rPr>
  </w:style>
  <w:style w:type="table" w:customStyle="1" w:styleId="Summarybox1">
    <w:name w:val="Summary box1"/>
    <w:basedOn w:val="TableNormal"/>
    <w:next w:val="TableGrid"/>
    <w:rsid w:val="00CD21E2"/>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1D26"/>
    <w:rPr>
      <w:rFonts w:ascii="Calibri" w:hAnsi="Calibri" w:cs="Arial"/>
      <w:b/>
      <w:caps/>
      <w:sz w:val="32"/>
      <w:szCs w:val="24"/>
    </w:rPr>
  </w:style>
  <w:style w:type="paragraph" w:customStyle="1" w:styleId="3-SubsectionHeading">
    <w:name w:val="3-Subsection Heading"/>
    <w:basedOn w:val="Heading2"/>
    <w:next w:val="Normal"/>
    <w:link w:val="3-SubsectionHeadingChar"/>
    <w:qFormat/>
    <w:rsid w:val="00953FE8"/>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53FE8"/>
    <w:rPr>
      <w:rFonts w:asciiTheme="minorHAnsi" w:eastAsiaTheme="majorEastAsia" w:hAnsiTheme="minorHAnsi" w:cstheme="majorBidi"/>
      <w:b/>
      <w:i/>
      <w:snapToGrid/>
      <w:spacing w:val="5"/>
      <w:kern w:val="28"/>
      <w:sz w:val="28"/>
      <w:szCs w:val="36"/>
      <w:lang w:eastAsia="en-US"/>
    </w:rPr>
  </w:style>
  <w:style w:type="paragraph" w:customStyle="1" w:styleId="ExecSumBodyText">
    <w:name w:val="Exec Sum Body Text"/>
    <w:basedOn w:val="Normal"/>
    <w:qFormat/>
    <w:rsid w:val="00953FE8"/>
    <w:pPr>
      <w:spacing w:after="120"/>
      <w:ind w:left="720" w:hanging="720"/>
    </w:pPr>
    <w:rPr>
      <w:rFonts w:asciiTheme="minorHAnsi" w:hAnsiTheme="minorHAnsi"/>
      <w:snapToGrid w:val="0"/>
    </w:rPr>
  </w:style>
  <w:style w:type="paragraph" w:customStyle="1" w:styleId="Default">
    <w:name w:val="Default"/>
    <w:basedOn w:val="Normal"/>
    <w:rsid w:val="003E1A34"/>
    <w:pPr>
      <w:autoSpaceDE w:val="0"/>
      <w:autoSpaceDN w:val="0"/>
      <w:jc w:val="left"/>
    </w:pPr>
    <w:rPr>
      <w:rFonts w:eastAsiaTheme="minorHAnsi" w:cs="Calibri"/>
      <w:color w:val="000000"/>
      <w:lang w:eastAsia="en-US"/>
    </w:rPr>
  </w:style>
  <w:style w:type="character" w:customStyle="1" w:styleId="UnresolvedMention1">
    <w:name w:val="Unresolved Mention1"/>
    <w:basedOn w:val="DefaultParagraphFont"/>
    <w:uiPriority w:val="99"/>
    <w:semiHidden/>
    <w:unhideWhenUsed/>
    <w:rsid w:val="0096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411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23888367">
      <w:bodyDiv w:val="1"/>
      <w:marLeft w:val="0"/>
      <w:marRight w:val="0"/>
      <w:marTop w:val="0"/>
      <w:marBottom w:val="0"/>
      <w:divBdr>
        <w:top w:val="none" w:sz="0" w:space="0" w:color="auto"/>
        <w:left w:val="none" w:sz="0" w:space="0" w:color="auto"/>
        <w:bottom w:val="none" w:sz="0" w:space="0" w:color="auto"/>
        <w:right w:val="none" w:sz="0" w:space="0" w:color="auto"/>
      </w:divBdr>
    </w:div>
    <w:div w:id="9809624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2415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42E8-C2FF-4CB0-A502-BBF2D02B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9475</Words>
  <Characters>56127</Characters>
  <Application>Microsoft Office Word</Application>
  <DocSecurity>0</DocSecurity>
  <Lines>467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2021-10-25T02:51:00Z</dcterms:created>
  <dcterms:modified xsi:type="dcterms:W3CDTF">2021-10-25T02:51:00Z</dcterms:modified>
</cp:coreProperties>
</file>