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291C" w14:textId="4C11B191" w:rsidR="00A338D9" w:rsidRPr="005C7FE0" w:rsidRDefault="0099785D" w:rsidP="00A338D9">
      <w:pPr>
        <w:pStyle w:val="1MainTitle"/>
        <w:ind w:left="1134" w:hanging="1134"/>
        <w:jc w:val="left"/>
        <w:rPr>
          <w:rFonts w:eastAsia="Calibri"/>
          <w:sz w:val="32"/>
          <w:szCs w:val="32"/>
          <w:lang w:eastAsia="en-US"/>
        </w:rPr>
      </w:pPr>
      <w:bookmarkStart w:id="0" w:name="_GoBack"/>
      <w:bookmarkEnd w:id="0"/>
      <w:r w:rsidRPr="005C7FE0">
        <w:rPr>
          <w:rFonts w:eastAsia="Calibri"/>
          <w:lang w:eastAsia="en-US"/>
        </w:rPr>
        <w:t>6.10</w:t>
      </w:r>
      <w:r w:rsidR="007E490F" w:rsidRPr="005C7FE0">
        <w:rPr>
          <w:rFonts w:eastAsia="Calibri"/>
          <w:lang w:eastAsia="en-US"/>
        </w:rPr>
        <w:tab/>
      </w:r>
      <w:r w:rsidRPr="005C7FE0">
        <w:rPr>
          <w:rFonts w:eastAsia="Calibri"/>
          <w:sz w:val="32"/>
          <w:szCs w:val="32"/>
          <w:lang w:eastAsia="en-US"/>
        </w:rPr>
        <w:t xml:space="preserve">AMINO ACID FORMULA WITH VITAMINS AND MINERALS WITHOUT METHIONINE </w:t>
      </w:r>
      <w:r w:rsidR="007E490F" w:rsidRPr="005C7FE0">
        <w:rPr>
          <w:rFonts w:eastAsia="Calibri"/>
          <w:sz w:val="32"/>
          <w:szCs w:val="32"/>
          <w:lang w:eastAsia="en-US"/>
        </w:rPr>
        <w:br/>
      </w:r>
      <w:r w:rsidRPr="005C7FE0">
        <w:rPr>
          <w:rFonts w:eastAsia="Calibri"/>
          <w:sz w:val="32"/>
          <w:szCs w:val="32"/>
          <w:lang w:eastAsia="en-US"/>
        </w:rPr>
        <w:t>Sachets containing oral powder 25 g, 30 (HCU express 15)</w:t>
      </w:r>
      <w:r w:rsidR="001F018E" w:rsidRPr="005C7FE0">
        <w:rPr>
          <w:rFonts w:eastAsia="Calibri"/>
          <w:sz w:val="32"/>
          <w:szCs w:val="32"/>
          <w:lang w:eastAsia="en-US"/>
        </w:rPr>
        <w:br/>
        <w:t>HCU express 15</w:t>
      </w:r>
      <w:r w:rsidR="007E490F" w:rsidRPr="005C7FE0">
        <w:rPr>
          <w:rFonts w:eastAsia="Calibri"/>
          <w:sz w:val="32"/>
          <w:szCs w:val="32"/>
          <w:lang w:eastAsia="en-US"/>
        </w:rPr>
        <w:br/>
      </w:r>
      <w:r w:rsidR="001F018E" w:rsidRPr="005C7FE0">
        <w:rPr>
          <w:rFonts w:eastAsia="Calibri"/>
          <w:sz w:val="32"/>
          <w:szCs w:val="32"/>
          <w:lang w:eastAsia="en-US"/>
        </w:rPr>
        <w:t>Vitaflo Australia Pty Ltd</w:t>
      </w:r>
      <w:r w:rsidR="00A338D9" w:rsidRPr="005C7FE0">
        <w:rPr>
          <w:rFonts w:eastAsia="Calibri"/>
          <w:sz w:val="32"/>
          <w:szCs w:val="32"/>
          <w:lang w:eastAsia="en-US"/>
        </w:rPr>
        <w:br/>
      </w:r>
    </w:p>
    <w:p w14:paraId="11E23876" w14:textId="797BDE4F" w:rsidR="00A338D9" w:rsidRPr="005C7FE0" w:rsidRDefault="00A338D9" w:rsidP="00083F24">
      <w:pPr>
        <w:pStyle w:val="1MainTitle"/>
        <w:ind w:left="1134" w:hanging="1134"/>
        <w:jc w:val="left"/>
        <w:rPr>
          <w:rFonts w:eastAsia="Calibri"/>
          <w:sz w:val="32"/>
          <w:szCs w:val="32"/>
          <w:lang w:eastAsia="en-US"/>
        </w:rPr>
      </w:pPr>
      <w:r w:rsidRPr="005C7FE0">
        <w:rPr>
          <w:rFonts w:eastAsia="Calibri"/>
          <w:sz w:val="32"/>
          <w:szCs w:val="32"/>
          <w:lang w:eastAsia="en-US"/>
        </w:rPr>
        <w:t>6.11</w:t>
      </w:r>
      <w:r w:rsidRPr="005C7FE0">
        <w:rPr>
          <w:rFonts w:eastAsia="Calibri"/>
          <w:sz w:val="32"/>
          <w:szCs w:val="32"/>
          <w:lang w:eastAsia="en-US"/>
        </w:rPr>
        <w:tab/>
      </w:r>
      <w:r w:rsidR="001F018E" w:rsidRPr="005C7FE0">
        <w:rPr>
          <w:rFonts w:eastAsia="Calibri"/>
          <w:sz w:val="32"/>
          <w:szCs w:val="32"/>
          <w:lang w:eastAsia="en-US"/>
        </w:rPr>
        <w:t>AMINO ACID FORMULA WITH VITAMINS AND MINERALS WITHOUT PHENYLALANINE</w:t>
      </w:r>
      <w:r w:rsidR="001F018E" w:rsidRPr="005C7FE0">
        <w:rPr>
          <w:rFonts w:eastAsia="Calibri"/>
          <w:sz w:val="32"/>
          <w:szCs w:val="32"/>
          <w:lang w:eastAsia="en-US"/>
        </w:rPr>
        <w:br/>
        <w:t>Sachets containing oral powder 34 g, 30 (PKU express 20)</w:t>
      </w:r>
      <w:r w:rsidR="001F018E" w:rsidRPr="005C7FE0">
        <w:rPr>
          <w:rFonts w:eastAsia="Calibri"/>
          <w:sz w:val="32"/>
          <w:szCs w:val="32"/>
          <w:lang w:eastAsia="en-US"/>
        </w:rPr>
        <w:br/>
      </w:r>
      <w:r w:rsidR="00083F24" w:rsidRPr="005C7FE0">
        <w:rPr>
          <w:rFonts w:eastAsia="Calibri"/>
          <w:sz w:val="32"/>
          <w:szCs w:val="32"/>
          <w:lang w:eastAsia="en-US"/>
        </w:rPr>
        <w:t>PKU express 20</w:t>
      </w:r>
      <w:r w:rsidR="001F018E" w:rsidRPr="005C7FE0">
        <w:rPr>
          <w:rFonts w:eastAsia="Calibri"/>
          <w:sz w:val="32"/>
          <w:szCs w:val="32"/>
          <w:lang w:eastAsia="en-US"/>
        </w:rPr>
        <w:br/>
        <w:t>Vitaflo Australia Pty Ltd</w:t>
      </w:r>
      <w:r w:rsidRPr="005C7FE0">
        <w:rPr>
          <w:rFonts w:eastAsia="Calibri"/>
          <w:sz w:val="32"/>
          <w:szCs w:val="32"/>
          <w:lang w:eastAsia="en-US"/>
        </w:rPr>
        <w:br/>
      </w:r>
    </w:p>
    <w:p w14:paraId="288EA7D4" w14:textId="58517016" w:rsidR="00A338D9" w:rsidRPr="005C7FE0" w:rsidRDefault="00A338D9" w:rsidP="00083F24">
      <w:pPr>
        <w:pStyle w:val="1MainTitle"/>
        <w:ind w:left="1134" w:hanging="1134"/>
        <w:jc w:val="left"/>
        <w:rPr>
          <w:rFonts w:eastAsia="Calibri"/>
          <w:sz w:val="32"/>
          <w:szCs w:val="32"/>
          <w:lang w:eastAsia="en-US"/>
        </w:rPr>
      </w:pPr>
      <w:r w:rsidRPr="005C7FE0">
        <w:rPr>
          <w:rFonts w:eastAsia="Calibri"/>
          <w:sz w:val="32"/>
          <w:szCs w:val="32"/>
          <w:lang w:eastAsia="en-US"/>
        </w:rPr>
        <w:t>6.12</w:t>
      </w:r>
      <w:r w:rsidRPr="005C7FE0">
        <w:rPr>
          <w:rFonts w:eastAsia="Calibri"/>
          <w:sz w:val="32"/>
          <w:szCs w:val="32"/>
          <w:lang w:eastAsia="en-US"/>
        </w:rPr>
        <w:tab/>
      </w:r>
      <w:r w:rsidR="001F018E" w:rsidRPr="005C7FE0">
        <w:rPr>
          <w:rFonts w:eastAsia="Calibri"/>
          <w:sz w:val="32"/>
          <w:szCs w:val="32"/>
          <w:lang w:eastAsia="en-US"/>
        </w:rPr>
        <w:t>AMINO ACID FORMULA WITH VITAMINS AND MINERALS WITHOUT PHENYLALANINE</w:t>
      </w:r>
      <w:r w:rsidR="00083F24" w:rsidRPr="005C7FE0">
        <w:rPr>
          <w:rFonts w:eastAsia="Calibri"/>
          <w:sz w:val="32"/>
          <w:szCs w:val="32"/>
          <w:lang w:eastAsia="en-US"/>
        </w:rPr>
        <w:br/>
        <w:t>Sachets containing oral powder 25 g, 30 (PKU express 15)</w:t>
      </w:r>
      <w:r w:rsidR="00083F24" w:rsidRPr="005C7FE0">
        <w:rPr>
          <w:rFonts w:eastAsia="Calibri"/>
          <w:sz w:val="32"/>
          <w:szCs w:val="32"/>
          <w:lang w:eastAsia="en-US"/>
        </w:rPr>
        <w:br/>
        <w:t>PKU express 15</w:t>
      </w:r>
      <w:r w:rsidR="00083F24" w:rsidRPr="005C7FE0">
        <w:rPr>
          <w:rFonts w:eastAsia="Calibri"/>
          <w:sz w:val="32"/>
          <w:szCs w:val="32"/>
          <w:lang w:eastAsia="en-US"/>
        </w:rPr>
        <w:br/>
        <w:t>Vitaflo Australia Pty Ltd</w:t>
      </w:r>
      <w:r w:rsidR="00083F24" w:rsidRPr="005C7FE0">
        <w:rPr>
          <w:rFonts w:eastAsia="Calibri"/>
          <w:sz w:val="32"/>
          <w:szCs w:val="32"/>
          <w:lang w:eastAsia="en-US"/>
        </w:rPr>
        <w:br/>
      </w:r>
    </w:p>
    <w:p w14:paraId="0F0F0751" w14:textId="613ABA2E" w:rsidR="00A338D9" w:rsidRPr="005C7FE0" w:rsidRDefault="00A338D9" w:rsidP="00F0647B">
      <w:pPr>
        <w:pStyle w:val="1MainTitle"/>
        <w:ind w:left="1134" w:hanging="1134"/>
        <w:jc w:val="left"/>
        <w:rPr>
          <w:rFonts w:eastAsia="Calibri"/>
          <w:sz w:val="32"/>
          <w:szCs w:val="32"/>
          <w:lang w:eastAsia="en-US"/>
        </w:rPr>
      </w:pPr>
      <w:r w:rsidRPr="005C7FE0">
        <w:rPr>
          <w:rFonts w:eastAsia="Calibri"/>
          <w:sz w:val="32"/>
          <w:szCs w:val="32"/>
          <w:lang w:eastAsia="en-US"/>
        </w:rPr>
        <w:t>6.13</w:t>
      </w:r>
      <w:r w:rsidRPr="005C7FE0">
        <w:rPr>
          <w:rFonts w:eastAsia="Calibri"/>
          <w:sz w:val="32"/>
          <w:szCs w:val="32"/>
          <w:lang w:eastAsia="en-US"/>
        </w:rPr>
        <w:tab/>
      </w:r>
      <w:r w:rsidR="00083F24" w:rsidRPr="005C7FE0">
        <w:rPr>
          <w:rFonts w:eastAsia="Calibri"/>
          <w:sz w:val="32"/>
          <w:szCs w:val="32"/>
          <w:lang w:eastAsia="en-US"/>
        </w:rPr>
        <w:t>AMINO ACID FORMULA WITH VITAMINS AND MINERALS WITHOUT PHENYLALANINE AND TYROSINE</w:t>
      </w:r>
      <w:r w:rsidR="00083F24" w:rsidRPr="005C7FE0">
        <w:rPr>
          <w:rFonts w:eastAsia="Calibri"/>
          <w:sz w:val="32"/>
          <w:szCs w:val="32"/>
          <w:lang w:eastAsia="en-US"/>
        </w:rPr>
        <w:br/>
      </w:r>
      <w:r w:rsidR="00873775" w:rsidRPr="005C7FE0">
        <w:rPr>
          <w:rFonts w:eastAsia="Calibri"/>
          <w:sz w:val="32"/>
          <w:szCs w:val="32"/>
          <w:lang w:eastAsia="en-US"/>
        </w:rPr>
        <w:t>Sachets containing oral powder 25 g, 30 (</w:t>
      </w:r>
      <w:r w:rsidR="00083F24" w:rsidRPr="005C7FE0">
        <w:rPr>
          <w:rFonts w:eastAsia="Calibri"/>
          <w:sz w:val="32"/>
          <w:szCs w:val="32"/>
          <w:lang w:eastAsia="en-US"/>
        </w:rPr>
        <w:t>TYR express 15</w:t>
      </w:r>
      <w:r w:rsidR="00873775" w:rsidRPr="005C7FE0">
        <w:rPr>
          <w:rFonts w:eastAsia="Calibri"/>
          <w:sz w:val="32"/>
          <w:szCs w:val="32"/>
          <w:lang w:eastAsia="en-US"/>
        </w:rPr>
        <w:t>)</w:t>
      </w:r>
      <w:r w:rsidR="00083F24" w:rsidRPr="005C7FE0">
        <w:rPr>
          <w:rFonts w:eastAsia="Calibri"/>
          <w:sz w:val="32"/>
          <w:szCs w:val="32"/>
          <w:lang w:eastAsia="en-US"/>
        </w:rPr>
        <w:br/>
      </w:r>
      <w:r w:rsidR="00873775" w:rsidRPr="005C7FE0">
        <w:rPr>
          <w:rFonts w:eastAsia="Calibri"/>
          <w:sz w:val="32"/>
          <w:szCs w:val="32"/>
          <w:lang w:eastAsia="en-US"/>
        </w:rPr>
        <w:t>TYR express 15</w:t>
      </w:r>
      <w:r w:rsidR="00F0647B" w:rsidRPr="005C7FE0">
        <w:rPr>
          <w:rFonts w:eastAsia="Calibri"/>
          <w:sz w:val="32"/>
          <w:szCs w:val="32"/>
          <w:lang w:eastAsia="en-US"/>
        </w:rPr>
        <w:br/>
      </w:r>
      <w:r w:rsidR="00083F24" w:rsidRPr="005C7FE0">
        <w:rPr>
          <w:rFonts w:eastAsia="Calibri"/>
          <w:sz w:val="32"/>
          <w:szCs w:val="32"/>
          <w:lang w:eastAsia="en-US"/>
        </w:rPr>
        <w:t>Vitaflo Australia Pty Ltd</w:t>
      </w:r>
      <w:r w:rsidR="00083F24" w:rsidRPr="005C7FE0">
        <w:rPr>
          <w:rFonts w:eastAsia="Calibri"/>
          <w:sz w:val="32"/>
          <w:szCs w:val="32"/>
          <w:lang w:eastAsia="en-US"/>
        </w:rPr>
        <w:br/>
      </w:r>
    </w:p>
    <w:p w14:paraId="116D01C0" w14:textId="586203D2" w:rsidR="006C6C10" w:rsidRPr="005C7FE0" w:rsidRDefault="00A338D9" w:rsidP="002210AE">
      <w:pPr>
        <w:pStyle w:val="1MainTitle"/>
        <w:ind w:left="1134" w:hanging="1134"/>
        <w:jc w:val="left"/>
        <w:rPr>
          <w:rFonts w:eastAsia="Calibri"/>
          <w:sz w:val="32"/>
          <w:szCs w:val="32"/>
          <w:lang w:eastAsia="en-US"/>
        </w:rPr>
      </w:pPr>
      <w:r w:rsidRPr="005C7FE0">
        <w:rPr>
          <w:rFonts w:eastAsia="Calibri"/>
          <w:sz w:val="32"/>
          <w:szCs w:val="32"/>
          <w:lang w:eastAsia="en-US"/>
        </w:rPr>
        <w:t>6.14</w:t>
      </w:r>
      <w:r w:rsidRPr="005C7FE0">
        <w:rPr>
          <w:rFonts w:eastAsia="Calibri"/>
          <w:sz w:val="32"/>
          <w:szCs w:val="32"/>
          <w:lang w:eastAsia="en-US"/>
        </w:rPr>
        <w:tab/>
      </w:r>
      <w:r w:rsidR="00083F24" w:rsidRPr="005C7FE0">
        <w:rPr>
          <w:rFonts w:eastAsia="Calibri"/>
          <w:sz w:val="32"/>
          <w:szCs w:val="32"/>
          <w:lang w:eastAsia="en-US"/>
        </w:rPr>
        <w:t>AMINO ACID FORMULA WITH VITAMINS AND MINERALS WITHOUT VALINE, LEUCINE AND ISOLEUCINE</w:t>
      </w:r>
      <w:r w:rsidR="00083F24" w:rsidRPr="005C7FE0">
        <w:rPr>
          <w:rFonts w:eastAsia="Calibri"/>
          <w:sz w:val="32"/>
          <w:szCs w:val="32"/>
          <w:lang w:eastAsia="en-US"/>
        </w:rPr>
        <w:br/>
        <w:t>Sachets containing oral powder 25 g, 30 (MSUD express 15)</w:t>
      </w:r>
      <w:r w:rsidR="00083F24" w:rsidRPr="005C7FE0">
        <w:rPr>
          <w:rFonts w:eastAsia="Calibri"/>
          <w:sz w:val="32"/>
          <w:szCs w:val="32"/>
          <w:lang w:eastAsia="en-US"/>
        </w:rPr>
        <w:br/>
        <w:t>MSUD express 15</w:t>
      </w:r>
      <w:r w:rsidR="00083F24" w:rsidRPr="005C7FE0">
        <w:rPr>
          <w:rFonts w:eastAsia="Calibri"/>
          <w:sz w:val="32"/>
          <w:szCs w:val="32"/>
          <w:lang w:eastAsia="en-US"/>
        </w:rPr>
        <w:br/>
        <w:t>Vitaflo Australia Pty Ltd</w:t>
      </w:r>
    </w:p>
    <w:p w14:paraId="35F7A011" w14:textId="77777777" w:rsidR="007E490F" w:rsidRPr="005C7FE0" w:rsidRDefault="007E490F" w:rsidP="004A57AC">
      <w:pPr>
        <w:pStyle w:val="2-SectionHeading"/>
        <w:numPr>
          <w:ilvl w:val="0"/>
          <w:numId w:val="3"/>
        </w:numPr>
      </w:pPr>
      <w:r w:rsidRPr="005C7FE0">
        <w:lastRenderedPageBreak/>
        <w:t xml:space="preserve">Purpose of Application </w:t>
      </w:r>
    </w:p>
    <w:p w14:paraId="50FAB4A3" w14:textId="580EDF5A" w:rsidR="007E490F" w:rsidRPr="005C7FE0" w:rsidRDefault="00083F24" w:rsidP="008A6675">
      <w:pPr>
        <w:pStyle w:val="3Bodytext"/>
      </w:pPr>
      <w:r w:rsidRPr="005C7FE0">
        <w:t xml:space="preserve">The </w:t>
      </w:r>
      <w:r w:rsidR="00873775" w:rsidRPr="005C7FE0">
        <w:t>c</w:t>
      </w:r>
      <w:r w:rsidRPr="005C7FE0">
        <w:t xml:space="preserve">ommittee secretariat </w:t>
      </w:r>
      <w:r w:rsidR="006C6C10" w:rsidRPr="005C7FE0">
        <w:t xml:space="preserve">submission </w:t>
      </w:r>
      <w:r w:rsidR="00EE7E08" w:rsidRPr="005C7FE0">
        <w:rPr>
          <w:rFonts w:cstheme="minorHAnsi"/>
          <w:szCs w:val="24"/>
        </w:rPr>
        <w:t xml:space="preserve">requested </w:t>
      </w:r>
      <w:r w:rsidR="00A338D9" w:rsidRPr="005C7FE0">
        <w:t>HCU</w:t>
      </w:r>
      <w:r w:rsidR="00E371EC" w:rsidRPr="005C7FE0">
        <w:t xml:space="preserve"> E</w:t>
      </w:r>
      <w:r w:rsidR="00A338D9" w:rsidRPr="005C7FE0">
        <w:t>xpress 15,</w:t>
      </w:r>
      <w:r w:rsidR="00E371EC" w:rsidRPr="005C7FE0">
        <w:t xml:space="preserve"> PKU Express </w:t>
      </w:r>
      <w:r w:rsidR="007D5DF5" w:rsidRPr="005C7FE0">
        <w:t>15</w:t>
      </w:r>
      <w:r w:rsidR="00873775" w:rsidRPr="005C7FE0">
        <w:t>, PKU Express</w:t>
      </w:r>
      <w:r w:rsidR="007D5DF5" w:rsidRPr="005C7FE0">
        <w:t xml:space="preserve"> 20</w:t>
      </w:r>
      <w:r w:rsidR="00E371EC" w:rsidRPr="005C7FE0">
        <w:t>, TYR Express 15</w:t>
      </w:r>
      <w:r w:rsidR="008A6675" w:rsidRPr="005C7FE0">
        <w:t xml:space="preserve"> </w:t>
      </w:r>
      <w:r w:rsidR="00E371EC" w:rsidRPr="005C7FE0">
        <w:t>and MSUD E</w:t>
      </w:r>
      <w:r w:rsidR="00A338D9" w:rsidRPr="005C7FE0">
        <w:t>xpress 15</w:t>
      </w:r>
      <w:r w:rsidR="008A6675" w:rsidRPr="005C7FE0">
        <w:t xml:space="preserve"> </w:t>
      </w:r>
      <w:r w:rsidR="00873775" w:rsidRPr="005C7FE0">
        <w:t xml:space="preserve">(herein referred to Express) with new formulation continue to be listed on the Pharmaceutical Benefits Scheme (PBS). </w:t>
      </w:r>
    </w:p>
    <w:p w14:paraId="4B12A55F" w14:textId="096D2F60" w:rsidR="00873775" w:rsidRPr="005C7FE0" w:rsidRDefault="00873775" w:rsidP="004A57AC">
      <w:pPr>
        <w:pStyle w:val="Heading1"/>
        <w:keepLines/>
        <w:numPr>
          <w:ilvl w:val="0"/>
          <w:numId w:val="3"/>
        </w:numPr>
        <w:spacing w:before="240"/>
        <w:ind w:left="709" w:hanging="709"/>
        <w:rPr>
          <w:sz w:val="32"/>
          <w:szCs w:val="32"/>
        </w:rPr>
      </w:pPr>
      <w:r w:rsidRPr="005C7FE0">
        <w:rPr>
          <w:sz w:val="32"/>
          <w:szCs w:val="32"/>
        </w:rPr>
        <w:t>Background</w:t>
      </w:r>
    </w:p>
    <w:p w14:paraId="3CBF2F6C" w14:textId="621CC424" w:rsidR="00873775" w:rsidRPr="005C7FE0" w:rsidRDefault="00335796" w:rsidP="00975B14">
      <w:pPr>
        <w:pStyle w:val="3Bodytext"/>
      </w:pPr>
      <w:r w:rsidRPr="005C7FE0">
        <w:rPr>
          <w:rFonts w:ascii="Calibri" w:eastAsia="Times New Roman" w:hAnsi="Calibri" w:cs="Times New Roman"/>
          <w:szCs w:val="24"/>
        </w:rPr>
        <w:t xml:space="preserve">Express is indicated for patients from </w:t>
      </w:r>
      <w:r w:rsidR="005C7FE0">
        <w:rPr>
          <w:rFonts w:ascii="Calibri" w:eastAsia="Times New Roman" w:hAnsi="Calibri" w:cs="Times New Roman"/>
          <w:szCs w:val="24"/>
        </w:rPr>
        <w:t>three</w:t>
      </w:r>
      <w:r w:rsidRPr="005C7FE0">
        <w:rPr>
          <w:rFonts w:ascii="Calibri" w:eastAsia="Times New Roman" w:hAnsi="Calibri" w:cs="Times New Roman"/>
          <w:szCs w:val="24"/>
        </w:rPr>
        <w:t xml:space="preserve"> years of age and is available on the PBS with Restricted Benefits for several disorders of protein metabolism</w:t>
      </w:r>
      <w:r w:rsidR="005C7FE0">
        <w:rPr>
          <w:rFonts w:ascii="Calibri" w:eastAsia="Times New Roman" w:hAnsi="Calibri" w:cs="Times New Roman"/>
          <w:szCs w:val="24"/>
        </w:rPr>
        <w:t xml:space="preserve">. </w:t>
      </w:r>
    </w:p>
    <w:p w14:paraId="56BC5331" w14:textId="049D72EC" w:rsidR="00335796" w:rsidRPr="005C7FE0" w:rsidRDefault="00335796" w:rsidP="00975B14">
      <w:pPr>
        <w:pStyle w:val="3Bodytext"/>
        <w:rPr>
          <w:rFonts w:ascii="Calibri" w:hAnsi="Calibri" w:cs="Times New Roman"/>
          <w:szCs w:val="24"/>
        </w:rPr>
      </w:pPr>
      <w:r w:rsidRPr="005C7FE0">
        <w:rPr>
          <w:rFonts w:ascii="Calibri" w:eastAsia="Times New Roman" w:hAnsi="Calibri" w:cs="Times New Roman"/>
          <w:szCs w:val="24"/>
        </w:rPr>
        <w:t>PKU Express15, PKU Express20, MSUD Express15, TYR Express15, and HCU Express15 each meet</w:t>
      </w:r>
      <w:r w:rsidR="00370222" w:rsidRPr="005C7FE0">
        <w:rPr>
          <w:rFonts w:ascii="Calibri" w:eastAsia="Times New Roman" w:hAnsi="Calibri" w:cs="Times New Roman"/>
          <w:szCs w:val="24"/>
        </w:rPr>
        <w:t>s</w:t>
      </w:r>
      <w:r w:rsidRPr="005C7FE0">
        <w:rPr>
          <w:rFonts w:ascii="Calibri" w:eastAsia="Times New Roman" w:hAnsi="Calibri" w:cs="Times New Roman"/>
          <w:szCs w:val="24"/>
        </w:rPr>
        <w:t xml:space="preserve"> the requirements for foods that have special medical purposes as set out under </w:t>
      </w:r>
      <w:r w:rsidRPr="00A42E6A">
        <w:rPr>
          <w:rFonts w:ascii="Calibri" w:eastAsia="Times New Roman" w:hAnsi="Calibri" w:cs="Times New Roman"/>
          <w:i/>
          <w:szCs w:val="24"/>
        </w:rPr>
        <w:t>The Australia New Zealand Food Standards Code – Standard 2.9.5: Food for Special Medical Purposes</w:t>
      </w:r>
      <w:r w:rsidR="005C7FE0">
        <w:rPr>
          <w:rFonts w:ascii="Calibri" w:eastAsia="Times New Roman" w:hAnsi="Calibri" w:cs="Times New Roman"/>
          <w:szCs w:val="24"/>
        </w:rPr>
        <w:t xml:space="preserve">. </w:t>
      </w:r>
    </w:p>
    <w:p w14:paraId="2C910627" w14:textId="274E730B" w:rsidR="002210AE" w:rsidRPr="005C7FE0" w:rsidRDefault="00335796" w:rsidP="00F11B76">
      <w:pPr>
        <w:pStyle w:val="3Bodytext"/>
        <w:rPr>
          <w:rFonts w:ascii="Calibri" w:eastAsia="Times New Roman" w:hAnsi="Calibri" w:cs="Times New Roman"/>
          <w:szCs w:val="24"/>
        </w:rPr>
      </w:pPr>
      <w:r w:rsidRPr="005C7FE0">
        <w:rPr>
          <w:rFonts w:ascii="Calibri" w:eastAsia="Times New Roman" w:hAnsi="Calibri" w:cs="Times New Roman"/>
          <w:szCs w:val="24"/>
        </w:rPr>
        <w:t xml:space="preserve">The submission did not request price changes for the new formulation of PKU Express15, PKU Express20, MSUD Express15, TYR Express15 </w:t>
      </w:r>
      <w:r w:rsidR="005C7FE0">
        <w:rPr>
          <w:rFonts w:ascii="Calibri" w:eastAsia="Times New Roman" w:hAnsi="Calibri" w:cs="Times New Roman"/>
          <w:szCs w:val="24"/>
        </w:rPr>
        <w:t>or</w:t>
      </w:r>
      <w:r w:rsidR="005C7FE0" w:rsidRPr="005C7FE0">
        <w:rPr>
          <w:rFonts w:ascii="Calibri" w:eastAsia="Times New Roman" w:hAnsi="Calibri" w:cs="Times New Roman"/>
          <w:szCs w:val="24"/>
        </w:rPr>
        <w:t xml:space="preserve"> </w:t>
      </w:r>
      <w:r w:rsidRPr="005C7FE0">
        <w:rPr>
          <w:rFonts w:ascii="Calibri" w:eastAsia="Times New Roman" w:hAnsi="Calibri" w:cs="Times New Roman"/>
          <w:szCs w:val="24"/>
        </w:rPr>
        <w:t>HCU Express15.</w:t>
      </w:r>
    </w:p>
    <w:p w14:paraId="5AA0C499" w14:textId="07A04664" w:rsidR="00E711AC" w:rsidRPr="005C7FE0" w:rsidRDefault="002210AE" w:rsidP="00BA5C73">
      <w:pPr>
        <w:pStyle w:val="3Bodytext"/>
        <w:numPr>
          <w:ilvl w:val="0"/>
          <w:numId w:val="0"/>
        </w:numPr>
        <w:ind w:left="720"/>
        <w:rPr>
          <w:rFonts w:ascii="Calibri" w:eastAsia="Times New Roman" w:hAnsi="Calibri" w:cs="Times New Roman"/>
          <w:i/>
          <w:szCs w:val="24"/>
        </w:rPr>
      </w:pPr>
      <w:r w:rsidRPr="005C7FE0">
        <w:rPr>
          <w:rFonts w:ascii="Calibri" w:eastAsia="Times New Roman" w:hAnsi="Calibri" w:cs="Times New Roman"/>
          <w:i/>
          <w:szCs w:val="24"/>
        </w:rPr>
        <w:t>For more deta</w:t>
      </w:r>
      <w:r w:rsidR="00925473" w:rsidRPr="005C7FE0">
        <w:rPr>
          <w:rFonts w:ascii="Calibri" w:eastAsia="Times New Roman" w:hAnsi="Calibri" w:cs="Times New Roman"/>
          <w:i/>
          <w:szCs w:val="24"/>
        </w:rPr>
        <w:t>il on PBAC’s view, see section 6</w:t>
      </w:r>
      <w:r w:rsidRPr="005C7FE0">
        <w:rPr>
          <w:rFonts w:ascii="Calibri" w:eastAsia="Times New Roman" w:hAnsi="Calibri" w:cs="Times New Roman"/>
          <w:i/>
          <w:szCs w:val="24"/>
        </w:rPr>
        <w:t xml:space="preserve"> PBAC outcome</w:t>
      </w:r>
      <w:r w:rsidR="005C7FE0">
        <w:rPr>
          <w:rFonts w:ascii="Calibri" w:eastAsia="Times New Roman" w:hAnsi="Calibri" w:cs="Times New Roman"/>
          <w:i/>
          <w:szCs w:val="24"/>
        </w:rPr>
        <w:t xml:space="preserve">. </w:t>
      </w:r>
    </w:p>
    <w:p w14:paraId="0545E7E0" w14:textId="2C94F4F4" w:rsidR="00234822" w:rsidRPr="005C7FE0" w:rsidRDefault="00234822" w:rsidP="004A57AC">
      <w:pPr>
        <w:pStyle w:val="Heading1"/>
        <w:keepLines/>
        <w:numPr>
          <w:ilvl w:val="0"/>
          <w:numId w:val="3"/>
        </w:numPr>
        <w:spacing w:before="240"/>
        <w:ind w:left="709" w:hanging="709"/>
        <w:rPr>
          <w:sz w:val="32"/>
          <w:szCs w:val="32"/>
        </w:rPr>
      </w:pPr>
      <w:r w:rsidRPr="005C7FE0">
        <w:rPr>
          <w:sz w:val="32"/>
          <w:szCs w:val="32"/>
        </w:rPr>
        <w:t>Requested Listing</w:t>
      </w:r>
    </w:p>
    <w:p w14:paraId="0C33E64D" w14:textId="2BA98DA4" w:rsidR="00925473" w:rsidRPr="005C7FE0" w:rsidRDefault="00925473" w:rsidP="00083441">
      <w:pPr>
        <w:pStyle w:val="3Bodytext"/>
      </w:pPr>
      <w:r w:rsidRPr="005C7FE0">
        <w:t>The submission requested no changes to existing listings of HCU Express 15, PKU Express 15, PKU Express 20, TYR Express 15 or MSUD Express 15.</w:t>
      </w:r>
    </w:p>
    <w:p w14:paraId="1727EB45" w14:textId="2E77BDBC" w:rsidR="00BA5C73" w:rsidRPr="005C7FE0" w:rsidRDefault="00925473" w:rsidP="00BA5C73">
      <w:pPr>
        <w:pStyle w:val="3Bodytext"/>
        <w:numPr>
          <w:ilvl w:val="0"/>
          <w:numId w:val="0"/>
        </w:numPr>
        <w:ind w:left="720"/>
        <w:rPr>
          <w:i/>
        </w:rPr>
      </w:pPr>
      <w:r w:rsidRPr="005C7FE0">
        <w:rPr>
          <w:i/>
        </w:rPr>
        <w:t>For more detail on PBAC’s view, see section 6 PBAC outcome.</w:t>
      </w:r>
    </w:p>
    <w:p w14:paraId="313E55A0" w14:textId="00A62132" w:rsidR="00C27C1C" w:rsidRPr="005C7FE0" w:rsidRDefault="00C27C1C" w:rsidP="004A57AC">
      <w:pPr>
        <w:pStyle w:val="Heading1"/>
        <w:keepLines/>
        <w:numPr>
          <w:ilvl w:val="0"/>
          <w:numId w:val="3"/>
        </w:numPr>
        <w:spacing w:before="240"/>
        <w:ind w:left="709" w:hanging="709"/>
        <w:rPr>
          <w:sz w:val="32"/>
          <w:szCs w:val="32"/>
        </w:rPr>
      </w:pPr>
      <w:r w:rsidRPr="005C7FE0">
        <w:rPr>
          <w:sz w:val="32"/>
          <w:szCs w:val="32"/>
        </w:rPr>
        <w:t>Consideration of the evidence</w:t>
      </w:r>
    </w:p>
    <w:p w14:paraId="5187CB58" w14:textId="07CDC737" w:rsidR="00925473" w:rsidRPr="005C7FE0" w:rsidRDefault="00925473" w:rsidP="00925473">
      <w:pPr>
        <w:pStyle w:val="4-SubsectionHeading"/>
      </w:pPr>
      <w:r w:rsidRPr="005C7FE0">
        <w:t>Sponsor hearing</w:t>
      </w:r>
    </w:p>
    <w:p w14:paraId="0BD0E021" w14:textId="7DFD36E5" w:rsidR="00925473" w:rsidRPr="005C7FE0" w:rsidRDefault="00925473" w:rsidP="00925473">
      <w:pPr>
        <w:numPr>
          <w:ilvl w:val="1"/>
          <w:numId w:val="3"/>
        </w:numPr>
        <w:spacing w:after="120"/>
      </w:pPr>
      <w:r w:rsidRPr="005C7FE0">
        <w:t>There was no hearing for this item.</w:t>
      </w:r>
    </w:p>
    <w:p w14:paraId="53D736FF" w14:textId="77777777" w:rsidR="00925473" w:rsidRPr="005C7FE0" w:rsidRDefault="00925473" w:rsidP="00925473">
      <w:pPr>
        <w:pStyle w:val="4-SubsectionHeading"/>
      </w:pPr>
      <w:r w:rsidRPr="005C7FE0">
        <w:t>Consumer comments</w:t>
      </w:r>
    </w:p>
    <w:p w14:paraId="00543311" w14:textId="2AB91231" w:rsidR="00925473" w:rsidRPr="005C7FE0" w:rsidRDefault="00925473" w:rsidP="00925473">
      <w:pPr>
        <w:numPr>
          <w:ilvl w:val="1"/>
          <w:numId w:val="3"/>
        </w:numPr>
        <w:spacing w:after="120"/>
      </w:pPr>
      <w:r w:rsidRPr="005C7FE0">
        <w:t xml:space="preserve">The PBAC noted that </w:t>
      </w:r>
      <w:r w:rsidR="005C7FE0">
        <w:t xml:space="preserve">this item received </w:t>
      </w:r>
      <w:r w:rsidRPr="005C7FE0">
        <w:t>no consumer comments.</w:t>
      </w:r>
    </w:p>
    <w:p w14:paraId="1E2C2EBF" w14:textId="16B5F89D" w:rsidR="00925473" w:rsidRPr="005C7FE0" w:rsidRDefault="00925473" w:rsidP="00925473">
      <w:pPr>
        <w:pStyle w:val="4-SubsectionHeading"/>
      </w:pPr>
      <w:r w:rsidRPr="005C7FE0">
        <w:t>Other relevant matters</w:t>
      </w:r>
    </w:p>
    <w:p w14:paraId="6A091534" w14:textId="04A93133" w:rsidR="00197783" w:rsidRPr="005C7FE0" w:rsidRDefault="00873775" w:rsidP="00DB1DF9">
      <w:pPr>
        <w:numPr>
          <w:ilvl w:val="1"/>
          <w:numId w:val="3"/>
        </w:numPr>
        <w:spacing w:after="120"/>
        <w:jc w:val="left"/>
      </w:pPr>
      <w:r w:rsidRPr="005C7FE0">
        <w:rPr>
          <w:rFonts w:asciiTheme="minorHAnsi" w:eastAsiaTheme="minorHAnsi" w:hAnsiTheme="minorHAnsi" w:cstheme="minorBidi"/>
          <w:szCs w:val="22"/>
          <w:lang w:eastAsia="en-US"/>
        </w:rPr>
        <w:t xml:space="preserve">The submission claimed that the minor changes made </w:t>
      </w:r>
      <w:r w:rsidR="005C7FE0">
        <w:rPr>
          <w:rFonts w:asciiTheme="minorHAnsi" w:eastAsiaTheme="minorHAnsi" w:hAnsiTheme="minorHAnsi" w:cstheme="minorBidi"/>
          <w:szCs w:val="22"/>
          <w:lang w:eastAsia="en-US"/>
        </w:rPr>
        <w:t xml:space="preserve">to each of the five products were </w:t>
      </w:r>
      <w:r w:rsidRPr="005C7FE0">
        <w:rPr>
          <w:rFonts w:asciiTheme="minorHAnsi" w:eastAsiaTheme="minorHAnsi" w:hAnsiTheme="minorHAnsi" w:cstheme="minorBidi"/>
          <w:szCs w:val="22"/>
          <w:lang w:eastAsia="en-US"/>
        </w:rPr>
        <w:t xml:space="preserve">identical. </w:t>
      </w:r>
      <w:r w:rsidR="004A576D" w:rsidRPr="005C7FE0">
        <w:rPr>
          <w:rFonts w:asciiTheme="minorHAnsi" w:eastAsiaTheme="minorHAnsi" w:hAnsiTheme="minorHAnsi" w:cstheme="minorBidi"/>
          <w:szCs w:val="22"/>
          <w:lang w:eastAsia="en-US"/>
        </w:rPr>
        <w:t>The key differences between the current and new formulation of Express range products</w:t>
      </w:r>
      <w:r w:rsidR="00DC4BDD" w:rsidRPr="005C7FE0">
        <w:rPr>
          <w:rFonts w:asciiTheme="minorHAnsi" w:eastAsiaTheme="minorHAnsi" w:hAnsiTheme="minorHAnsi" w:cstheme="minorBidi"/>
          <w:szCs w:val="22"/>
          <w:lang w:eastAsia="en-US"/>
        </w:rPr>
        <w:t xml:space="preserve"> and the rationale behind these changes</w:t>
      </w:r>
      <w:r w:rsidR="004A576D" w:rsidRPr="005C7FE0">
        <w:rPr>
          <w:rFonts w:asciiTheme="minorHAnsi" w:eastAsiaTheme="minorHAnsi" w:hAnsiTheme="minorHAnsi" w:cstheme="minorBidi"/>
          <w:szCs w:val="22"/>
          <w:lang w:eastAsia="en-US"/>
        </w:rPr>
        <w:t xml:space="preserve"> </w:t>
      </w:r>
      <w:r w:rsidR="00AF30C7" w:rsidRPr="005C7FE0">
        <w:rPr>
          <w:rFonts w:asciiTheme="minorHAnsi" w:eastAsiaTheme="minorHAnsi" w:hAnsiTheme="minorHAnsi" w:cstheme="minorBidi"/>
          <w:szCs w:val="22"/>
          <w:lang w:eastAsia="en-US"/>
        </w:rPr>
        <w:t xml:space="preserve">are summarised in </w:t>
      </w:r>
      <w:r w:rsidRPr="005C7FE0">
        <w:rPr>
          <w:rFonts w:asciiTheme="minorHAnsi" w:eastAsiaTheme="minorHAnsi" w:hAnsiTheme="minorHAnsi" w:cstheme="minorBidi"/>
          <w:szCs w:val="22"/>
          <w:lang w:eastAsia="en-US"/>
        </w:rPr>
        <w:t xml:space="preserve">Table 1. </w:t>
      </w:r>
    </w:p>
    <w:p w14:paraId="04762874" w14:textId="77777777" w:rsidR="00BA5C73" w:rsidRPr="005C7FE0" w:rsidRDefault="00BA5C73" w:rsidP="00BA5C73">
      <w:pPr>
        <w:pStyle w:val="Tabletitles"/>
        <w:keepNext/>
        <w:keepLines/>
        <w:spacing w:after="0"/>
      </w:pPr>
      <w:r w:rsidRPr="005C7FE0">
        <w:t>Table 1: Key nutritional changes to the Express range formulations and the rationale behind these changes.</w:t>
      </w:r>
    </w:p>
    <w:tbl>
      <w:tblPr>
        <w:tblStyle w:val="TableGrid"/>
        <w:tblW w:w="0" w:type="auto"/>
        <w:tblLook w:val="04A0" w:firstRow="1" w:lastRow="0" w:firstColumn="1" w:lastColumn="0" w:noHBand="0" w:noVBand="1"/>
        <w:tblCaption w:val="Table 1: Key nutritional changes to the Express range formulations and the rationale behind these changes."/>
      </w:tblPr>
      <w:tblGrid>
        <w:gridCol w:w="1413"/>
        <w:gridCol w:w="1559"/>
        <w:gridCol w:w="6044"/>
      </w:tblGrid>
      <w:tr w:rsidR="00BA5C73" w:rsidRPr="005C7FE0" w14:paraId="6CEE4B0A" w14:textId="77777777" w:rsidTr="00CB74D1">
        <w:trPr>
          <w:tblHeader/>
        </w:trPr>
        <w:tc>
          <w:tcPr>
            <w:tcW w:w="1413" w:type="dxa"/>
            <w:vAlign w:val="center"/>
          </w:tcPr>
          <w:p w14:paraId="43FA8A23" w14:textId="77777777" w:rsidR="00BA5C73" w:rsidRPr="005C7FE0" w:rsidRDefault="00BA5C73" w:rsidP="00F023B3">
            <w:pPr>
              <w:pStyle w:val="Tabletitles"/>
              <w:keepNext/>
              <w:keepLines/>
              <w:jc w:val="left"/>
              <w:rPr>
                <w:szCs w:val="20"/>
              </w:rPr>
            </w:pPr>
            <w:r w:rsidRPr="005C7FE0">
              <w:rPr>
                <w:szCs w:val="20"/>
              </w:rPr>
              <w:t>Nutrient</w:t>
            </w:r>
          </w:p>
        </w:tc>
        <w:tc>
          <w:tcPr>
            <w:tcW w:w="1559" w:type="dxa"/>
            <w:vAlign w:val="center"/>
          </w:tcPr>
          <w:p w14:paraId="7D9229B1" w14:textId="77777777" w:rsidR="00BA5C73" w:rsidRPr="005C7FE0" w:rsidRDefault="00BA5C73" w:rsidP="00F023B3">
            <w:pPr>
              <w:pStyle w:val="Tabletitles"/>
              <w:keepNext/>
              <w:keepLines/>
              <w:jc w:val="left"/>
              <w:rPr>
                <w:szCs w:val="20"/>
              </w:rPr>
            </w:pPr>
            <w:r w:rsidRPr="005C7FE0">
              <w:rPr>
                <w:szCs w:val="20"/>
              </w:rPr>
              <w:t>Extent of change (approximate)</w:t>
            </w:r>
          </w:p>
        </w:tc>
        <w:tc>
          <w:tcPr>
            <w:tcW w:w="6044" w:type="dxa"/>
            <w:vAlign w:val="center"/>
          </w:tcPr>
          <w:p w14:paraId="6B56685B" w14:textId="77777777" w:rsidR="00BA5C73" w:rsidRPr="005C7FE0" w:rsidRDefault="00BA5C73" w:rsidP="00F023B3">
            <w:pPr>
              <w:pStyle w:val="Tabletitles"/>
              <w:keepNext/>
              <w:keepLines/>
              <w:jc w:val="left"/>
              <w:rPr>
                <w:szCs w:val="20"/>
              </w:rPr>
            </w:pPr>
            <w:r w:rsidRPr="005C7FE0">
              <w:rPr>
                <w:szCs w:val="20"/>
              </w:rPr>
              <w:t>Sponsor’s rationale</w:t>
            </w:r>
          </w:p>
        </w:tc>
      </w:tr>
      <w:tr w:rsidR="00BA5C73" w:rsidRPr="005C7FE0" w14:paraId="7DF13E70" w14:textId="77777777" w:rsidTr="00F023B3">
        <w:tc>
          <w:tcPr>
            <w:tcW w:w="9016" w:type="dxa"/>
            <w:gridSpan w:val="3"/>
            <w:shd w:val="clear" w:color="auto" w:fill="D9D9D9" w:themeFill="background1" w:themeFillShade="D9"/>
            <w:vAlign w:val="center"/>
          </w:tcPr>
          <w:p w14:paraId="0CC1B2B3" w14:textId="77777777" w:rsidR="00BA5C73" w:rsidRPr="005C7FE0" w:rsidRDefault="00BA5C73" w:rsidP="00F023B3">
            <w:pPr>
              <w:pStyle w:val="Tabletitles"/>
              <w:keepNext/>
              <w:keepLines/>
              <w:jc w:val="left"/>
              <w:rPr>
                <w:b w:val="0"/>
                <w:szCs w:val="20"/>
              </w:rPr>
            </w:pPr>
            <w:r w:rsidRPr="005C7FE0">
              <w:rPr>
                <w:b w:val="0"/>
                <w:szCs w:val="20"/>
              </w:rPr>
              <w:t>Vitamins</w:t>
            </w:r>
          </w:p>
        </w:tc>
      </w:tr>
      <w:tr w:rsidR="00BA5C73" w:rsidRPr="005C7FE0" w14:paraId="363D49A6" w14:textId="77777777" w:rsidTr="00F023B3">
        <w:tc>
          <w:tcPr>
            <w:tcW w:w="1413" w:type="dxa"/>
            <w:vAlign w:val="center"/>
          </w:tcPr>
          <w:p w14:paraId="2AF53E7B" w14:textId="77777777" w:rsidR="00BA5C73" w:rsidRPr="005C7FE0" w:rsidRDefault="00BA5C73" w:rsidP="00F023B3">
            <w:pPr>
              <w:pStyle w:val="Tabletitles"/>
              <w:keepNext/>
              <w:keepLines/>
              <w:jc w:val="left"/>
              <w:rPr>
                <w:b w:val="0"/>
                <w:szCs w:val="20"/>
              </w:rPr>
            </w:pPr>
            <w:r w:rsidRPr="005C7FE0">
              <w:rPr>
                <w:b w:val="0"/>
                <w:szCs w:val="20"/>
              </w:rPr>
              <w:t>Vitamin D3</w:t>
            </w:r>
          </w:p>
        </w:tc>
        <w:tc>
          <w:tcPr>
            <w:tcW w:w="1559" w:type="dxa"/>
            <w:vAlign w:val="center"/>
          </w:tcPr>
          <w:p w14:paraId="1D6ACED3" w14:textId="77777777" w:rsidR="00BA5C73" w:rsidRPr="005C7FE0" w:rsidRDefault="00BA5C73" w:rsidP="00F023B3">
            <w:pPr>
              <w:pStyle w:val="Tabletitles"/>
              <w:keepNext/>
              <w:keepLines/>
              <w:jc w:val="left"/>
              <w:rPr>
                <w:b w:val="0"/>
                <w:szCs w:val="20"/>
              </w:rPr>
            </w:pPr>
            <w:r w:rsidRPr="005C7FE0">
              <w:rPr>
                <w:b w:val="0"/>
                <w:szCs w:val="20"/>
              </w:rPr>
              <w:t xml:space="preserve"> +127%</w:t>
            </w:r>
            <w:r w:rsidRPr="005C7FE0">
              <w:rPr>
                <w:b w:val="0"/>
                <w:szCs w:val="20"/>
                <w:vertAlign w:val="superscript"/>
              </w:rPr>
              <w:t>*</w:t>
            </w:r>
          </w:p>
        </w:tc>
        <w:tc>
          <w:tcPr>
            <w:tcW w:w="6044" w:type="dxa"/>
            <w:vAlign w:val="center"/>
          </w:tcPr>
          <w:p w14:paraId="258D3BD6" w14:textId="77777777" w:rsidR="00BA5C73" w:rsidRPr="005C7FE0" w:rsidRDefault="00BA5C73" w:rsidP="00F023B3">
            <w:pPr>
              <w:pStyle w:val="Tabletitles"/>
              <w:keepNext/>
              <w:keepLines/>
              <w:jc w:val="left"/>
              <w:rPr>
                <w:b w:val="0"/>
                <w:szCs w:val="20"/>
              </w:rPr>
            </w:pPr>
            <w:r w:rsidRPr="005C7FE0">
              <w:rPr>
                <w:b w:val="0"/>
                <w:szCs w:val="20"/>
              </w:rPr>
              <w:t>The submission did not highlight this change.</w:t>
            </w:r>
          </w:p>
        </w:tc>
      </w:tr>
      <w:tr w:rsidR="00BA5C73" w:rsidRPr="005C7FE0" w14:paraId="52FF13F3" w14:textId="77777777" w:rsidTr="00F023B3">
        <w:trPr>
          <w:trHeight w:val="726"/>
        </w:trPr>
        <w:tc>
          <w:tcPr>
            <w:tcW w:w="1413" w:type="dxa"/>
            <w:vAlign w:val="center"/>
          </w:tcPr>
          <w:p w14:paraId="683F3507" w14:textId="77777777" w:rsidR="00BA5C73" w:rsidRPr="005C7FE0" w:rsidRDefault="00BA5C73" w:rsidP="00F023B3">
            <w:pPr>
              <w:pStyle w:val="Tabletitles"/>
              <w:keepNext/>
              <w:keepLines/>
              <w:jc w:val="left"/>
              <w:rPr>
                <w:b w:val="0"/>
                <w:szCs w:val="20"/>
              </w:rPr>
            </w:pPr>
            <w:r w:rsidRPr="005C7FE0">
              <w:rPr>
                <w:b w:val="0"/>
                <w:szCs w:val="20"/>
              </w:rPr>
              <w:t>Vitamin K</w:t>
            </w:r>
          </w:p>
        </w:tc>
        <w:tc>
          <w:tcPr>
            <w:tcW w:w="1559" w:type="dxa"/>
            <w:vAlign w:val="center"/>
          </w:tcPr>
          <w:p w14:paraId="5BE23192" w14:textId="77777777" w:rsidR="00BA5C73" w:rsidRPr="005C7FE0" w:rsidRDefault="00BA5C73" w:rsidP="00F023B3">
            <w:pPr>
              <w:pStyle w:val="Tabletitles"/>
              <w:keepNext/>
              <w:keepLines/>
              <w:jc w:val="left"/>
              <w:rPr>
                <w:b w:val="0"/>
                <w:szCs w:val="20"/>
              </w:rPr>
            </w:pPr>
            <w:r w:rsidRPr="005C7FE0">
              <w:rPr>
                <w:b w:val="0"/>
                <w:szCs w:val="20"/>
              </w:rPr>
              <w:t>-30%</w:t>
            </w:r>
          </w:p>
        </w:tc>
        <w:tc>
          <w:tcPr>
            <w:tcW w:w="6044" w:type="dxa"/>
            <w:vAlign w:val="center"/>
          </w:tcPr>
          <w:p w14:paraId="0F949AB0" w14:textId="77777777" w:rsidR="00BA5C73" w:rsidRPr="005C7FE0" w:rsidRDefault="00BA5C73" w:rsidP="00F023B3">
            <w:pPr>
              <w:pStyle w:val="Tabletitles"/>
              <w:keepNext/>
              <w:keepLines/>
              <w:jc w:val="left"/>
              <w:rPr>
                <w:b w:val="0"/>
                <w:szCs w:val="20"/>
              </w:rPr>
            </w:pPr>
            <w:r w:rsidRPr="005C7FE0">
              <w:rPr>
                <w:b w:val="0"/>
                <w:szCs w:val="20"/>
              </w:rPr>
              <w:t>Intakes in individuals with an IEM, on a restricted protein diet, may be very low, and so the aim is to provide 100% in the form of dietary supplementation. There is no evidence to support a higher requirement of Vitamin K and so a higher intake does not seem warranted.</w:t>
            </w:r>
          </w:p>
        </w:tc>
      </w:tr>
      <w:tr w:rsidR="00BA5C73" w:rsidRPr="005C7FE0" w14:paraId="70FE43BA" w14:textId="77777777" w:rsidTr="00F023B3">
        <w:trPr>
          <w:trHeight w:val="443"/>
        </w:trPr>
        <w:tc>
          <w:tcPr>
            <w:tcW w:w="1413" w:type="dxa"/>
            <w:vAlign w:val="center"/>
          </w:tcPr>
          <w:p w14:paraId="1EAD2C18" w14:textId="77777777" w:rsidR="00BA5C73" w:rsidRPr="005C7FE0" w:rsidRDefault="00BA5C73" w:rsidP="00F023B3">
            <w:pPr>
              <w:pStyle w:val="Tabletitles"/>
              <w:keepNext/>
              <w:keepLines/>
              <w:jc w:val="left"/>
              <w:rPr>
                <w:b w:val="0"/>
                <w:szCs w:val="20"/>
              </w:rPr>
            </w:pPr>
            <w:r w:rsidRPr="005C7FE0">
              <w:rPr>
                <w:b w:val="0"/>
                <w:szCs w:val="20"/>
              </w:rPr>
              <w:t>Niacin</w:t>
            </w:r>
          </w:p>
        </w:tc>
        <w:tc>
          <w:tcPr>
            <w:tcW w:w="1559" w:type="dxa"/>
            <w:vAlign w:val="center"/>
          </w:tcPr>
          <w:p w14:paraId="74814DE3" w14:textId="77777777" w:rsidR="00BA5C73" w:rsidRPr="005C7FE0" w:rsidRDefault="00BA5C73" w:rsidP="00F023B3">
            <w:pPr>
              <w:pStyle w:val="Tabletitles"/>
              <w:keepNext/>
              <w:keepLines/>
              <w:jc w:val="left"/>
              <w:rPr>
                <w:b w:val="0"/>
                <w:szCs w:val="20"/>
              </w:rPr>
            </w:pPr>
            <w:r w:rsidRPr="005C7FE0">
              <w:rPr>
                <w:b w:val="0"/>
                <w:szCs w:val="20"/>
              </w:rPr>
              <w:t xml:space="preserve"> -60%**</w:t>
            </w:r>
          </w:p>
          <w:p w14:paraId="1F95EE02" w14:textId="77777777" w:rsidR="00BA5C73" w:rsidRPr="005C7FE0" w:rsidRDefault="00BA5C73" w:rsidP="00F023B3">
            <w:pPr>
              <w:pStyle w:val="Tabletitles"/>
              <w:keepNext/>
              <w:keepLines/>
              <w:jc w:val="left"/>
              <w:rPr>
                <w:b w:val="0"/>
                <w:szCs w:val="20"/>
              </w:rPr>
            </w:pPr>
          </w:p>
        </w:tc>
        <w:tc>
          <w:tcPr>
            <w:tcW w:w="6044" w:type="dxa"/>
            <w:vAlign w:val="center"/>
          </w:tcPr>
          <w:p w14:paraId="55D895F9" w14:textId="69D11FAE" w:rsidR="00BA5C73" w:rsidRPr="005C7FE0" w:rsidRDefault="00BA5C73" w:rsidP="00F023B3">
            <w:pPr>
              <w:pStyle w:val="Tabletitles"/>
              <w:keepNext/>
              <w:keepLines/>
              <w:jc w:val="left"/>
              <w:rPr>
                <w:b w:val="0"/>
                <w:szCs w:val="20"/>
              </w:rPr>
            </w:pPr>
            <w:r w:rsidRPr="005C7FE0">
              <w:rPr>
                <w:b w:val="0"/>
                <w:szCs w:val="20"/>
              </w:rPr>
              <w:t>Most of the niacin equivalents” (NE) within the Express range is contributed by tryptophan (See Appendix 2, 2a-c); critical to meet World Health Organisation safe protein intakes and so added niacin has been reduced</w:t>
            </w:r>
            <w:r w:rsidR="005C7FE0">
              <w:rPr>
                <w:b w:val="0"/>
                <w:szCs w:val="20"/>
              </w:rPr>
              <w:t xml:space="preserve">. </w:t>
            </w:r>
          </w:p>
        </w:tc>
      </w:tr>
      <w:tr w:rsidR="00BA5C73" w:rsidRPr="005C7FE0" w14:paraId="308CCD5E" w14:textId="77777777" w:rsidTr="00F023B3">
        <w:tc>
          <w:tcPr>
            <w:tcW w:w="1413" w:type="dxa"/>
            <w:vAlign w:val="center"/>
          </w:tcPr>
          <w:p w14:paraId="65792157" w14:textId="77777777" w:rsidR="00BA5C73" w:rsidRPr="005C7FE0" w:rsidRDefault="00BA5C73" w:rsidP="00F023B3">
            <w:pPr>
              <w:pStyle w:val="Tabletitles"/>
              <w:keepNext/>
              <w:keepLines/>
              <w:jc w:val="left"/>
              <w:rPr>
                <w:b w:val="0"/>
                <w:szCs w:val="20"/>
              </w:rPr>
            </w:pPr>
            <w:r w:rsidRPr="005C7FE0">
              <w:rPr>
                <w:b w:val="0"/>
                <w:szCs w:val="20"/>
              </w:rPr>
              <w:t>Folate</w:t>
            </w:r>
          </w:p>
        </w:tc>
        <w:tc>
          <w:tcPr>
            <w:tcW w:w="1559" w:type="dxa"/>
            <w:vAlign w:val="center"/>
          </w:tcPr>
          <w:p w14:paraId="730100A9" w14:textId="77777777" w:rsidR="00BA5C73" w:rsidRPr="005C7FE0" w:rsidRDefault="00BA5C73" w:rsidP="00F023B3">
            <w:pPr>
              <w:pStyle w:val="Tabletitles"/>
              <w:keepNext/>
              <w:keepLines/>
              <w:jc w:val="left"/>
              <w:rPr>
                <w:b w:val="0"/>
                <w:szCs w:val="20"/>
              </w:rPr>
            </w:pPr>
            <w:r w:rsidRPr="005C7FE0">
              <w:rPr>
                <w:b w:val="0"/>
                <w:szCs w:val="20"/>
              </w:rPr>
              <w:t>-25%</w:t>
            </w:r>
          </w:p>
        </w:tc>
        <w:tc>
          <w:tcPr>
            <w:tcW w:w="6044" w:type="dxa"/>
            <w:vAlign w:val="center"/>
          </w:tcPr>
          <w:p w14:paraId="08834F7B" w14:textId="5E93F96C" w:rsidR="00BA5C73" w:rsidRPr="005C7FE0" w:rsidRDefault="00BA5C73" w:rsidP="00F023B3">
            <w:pPr>
              <w:pStyle w:val="Tabletitles"/>
              <w:keepNext/>
              <w:keepLines/>
              <w:jc w:val="left"/>
              <w:rPr>
                <w:b w:val="0"/>
                <w:szCs w:val="20"/>
              </w:rPr>
            </w:pPr>
            <w:r w:rsidRPr="005C7FE0">
              <w:rPr>
                <w:b w:val="0"/>
                <w:szCs w:val="20"/>
              </w:rPr>
              <w:t>The decrease is made so that no greater than 100% of the European Food Safety Authority (</w:t>
            </w:r>
            <w:r w:rsidR="00735C68" w:rsidRPr="005C7FE0">
              <w:rPr>
                <w:b w:val="0"/>
                <w:szCs w:val="20"/>
              </w:rPr>
              <w:t>EFSA</w:t>
            </w:r>
            <w:r w:rsidRPr="005C7FE0">
              <w:rPr>
                <w:b w:val="0"/>
                <w:szCs w:val="20"/>
              </w:rPr>
              <w:t>) Population Reference Intake (PRI) from dietary supplementation is to be provided</w:t>
            </w:r>
            <w:r w:rsidR="005C7FE0">
              <w:rPr>
                <w:b w:val="0"/>
                <w:szCs w:val="20"/>
              </w:rPr>
              <w:t xml:space="preserve">. </w:t>
            </w:r>
            <w:r w:rsidRPr="005C7FE0">
              <w:rPr>
                <w:b w:val="0"/>
                <w:szCs w:val="20"/>
              </w:rPr>
              <w:t xml:space="preserve"> </w:t>
            </w:r>
          </w:p>
        </w:tc>
      </w:tr>
      <w:tr w:rsidR="00BA5C73" w:rsidRPr="005C7FE0" w14:paraId="4D5A55CB" w14:textId="77777777" w:rsidTr="00F023B3">
        <w:tc>
          <w:tcPr>
            <w:tcW w:w="1413" w:type="dxa"/>
            <w:vAlign w:val="center"/>
          </w:tcPr>
          <w:p w14:paraId="24AF6505" w14:textId="77777777" w:rsidR="00BA5C73" w:rsidRPr="005C7FE0" w:rsidRDefault="00BA5C73" w:rsidP="00F023B3">
            <w:pPr>
              <w:pStyle w:val="Tabletitles"/>
              <w:keepNext/>
              <w:keepLines/>
              <w:jc w:val="left"/>
              <w:rPr>
                <w:b w:val="0"/>
                <w:szCs w:val="20"/>
              </w:rPr>
            </w:pPr>
            <w:r w:rsidRPr="005C7FE0">
              <w:rPr>
                <w:b w:val="0"/>
                <w:szCs w:val="20"/>
              </w:rPr>
              <w:t>Pathotenic Acid</w:t>
            </w:r>
          </w:p>
        </w:tc>
        <w:tc>
          <w:tcPr>
            <w:tcW w:w="1559" w:type="dxa"/>
            <w:vAlign w:val="center"/>
          </w:tcPr>
          <w:p w14:paraId="77C32A6F" w14:textId="77777777" w:rsidR="00BA5C73" w:rsidRPr="005C7FE0" w:rsidRDefault="00BA5C73" w:rsidP="00F023B3">
            <w:pPr>
              <w:pStyle w:val="Tabletitles"/>
              <w:keepNext/>
              <w:keepLines/>
              <w:jc w:val="left"/>
              <w:rPr>
                <w:b w:val="0"/>
                <w:szCs w:val="20"/>
              </w:rPr>
            </w:pPr>
            <w:r w:rsidRPr="005C7FE0">
              <w:rPr>
                <w:b w:val="0"/>
                <w:szCs w:val="20"/>
              </w:rPr>
              <w:t>-27%</w:t>
            </w:r>
          </w:p>
        </w:tc>
        <w:tc>
          <w:tcPr>
            <w:tcW w:w="6044" w:type="dxa"/>
            <w:vAlign w:val="center"/>
          </w:tcPr>
          <w:p w14:paraId="153FD851" w14:textId="6DD47E39" w:rsidR="00BA5C73" w:rsidRPr="005C7FE0" w:rsidRDefault="00BA5C73" w:rsidP="00F023B3">
            <w:pPr>
              <w:pStyle w:val="Tabletitles"/>
              <w:keepNext/>
              <w:keepLines/>
              <w:jc w:val="left"/>
              <w:rPr>
                <w:b w:val="0"/>
                <w:szCs w:val="20"/>
              </w:rPr>
            </w:pPr>
            <w:r w:rsidRPr="005C7FE0">
              <w:rPr>
                <w:b w:val="0"/>
                <w:szCs w:val="20"/>
              </w:rPr>
              <w:t>The widespread occurrence of releasable pantothenic acid in food makes a dietary deficiency unlikely</w:t>
            </w:r>
            <w:r w:rsidR="005C7FE0">
              <w:rPr>
                <w:b w:val="0"/>
                <w:szCs w:val="20"/>
              </w:rPr>
              <w:t xml:space="preserve">. </w:t>
            </w:r>
            <w:r w:rsidRPr="005C7FE0">
              <w:rPr>
                <w:b w:val="0"/>
                <w:szCs w:val="20"/>
              </w:rPr>
              <w:t>Vitamin B5 content of the Express range has been set to provide 100% of WHO recommended intakes.</w:t>
            </w:r>
          </w:p>
        </w:tc>
      </w:tr>
      <w:tr w:rsidR="00BA5C73" w:rsidRPr="005C7FE0" w14:paraId="40A41930" w14:textId="77777777" w:rsidTr="00F023B3">
        <w:trPr>
          <w:trHeight w:val="54"/>
        </w:trPr>
        <w:tc>
          <w:tcPr>
            <w:tcW w:w="9016" w:type="dxa"/>
            <w:gridSpan w:val="3"/>
            <w:shd w:val="clear" w:color="auto" w:fill="D9D9D9" w:themeFill="background1" w:themeFillShade="D9"/>
            <w:vAlign w:val="center"/>
          </w:tcPr>
          <w:p w14:paraId="1D9A39B2" w14:textId="77777777" w:rsidR="00BA5C73" w:rsidRPr="005C7FE0" w:rsidRDefault="00BA5C73" w:rsidP="00F023B3">
            <w:pPr>
              <w:pStyle w:val="Tabletitles"/>
              <w:keepNext/>
              <w:keepLines/>
              <w:jc w:val="left"/>
              <w:rPr>
                <w:b w:val="0"/>
                <w:szCs w:val="20"/>
              </w:rPr>
            </w:pPr>
            <w:r w:rsidRPr="005C7FE0">
              <w:rPr>
                <w:b w:val="0"/>
                <w:szCs w:val="20"/>
              </w:rPr>
              <w:t>Minerals and Electrolytes</w:t>
            </w:r>
          </w:p>
        </w:tc>
      </w:tr>
      <w:tr w:rsidR="00BA5C73" w:rsidRPr="005C7FE0" w14:paraId="673B5AF5" w14:textId="77777777" w:rsidTr="00F023B3">
        <w:tc>
          <w:tcPr>
            <w:tcW w:w="1413" w:type="dxa"/>
            <w:vAlign w:val="center"/>
          </w:tcPr>
          <w:p w14:paraId="726710C3" w14:textId="77777777" w:rsidR="00BA5C73" w:rsidRPr="005C7FE0" w:rsidRDefault="00BA5C73" w:rsidP="00F023B3">
            <w:pPr>
              <w:pStyle w:val="Tabletitles"/>
              <w:keepNext/>
              <w:keepLines/>
              <w:jc w:val="left"/>
              <w:rPr>
                <w:b w:val="0"/>
                <w:szCs w:val="20"/>
              </w:rPr>
            </w:pPr>
            <w:r w:rsidRPr="005C7FE0">
              <w:rPr>
                <w:b w:val="0"/>
                <w:szCs w:val="20"/>
              </w:rPr>
              <w:t>Sodium</w:t>
            </w:r>
          </w:p>
        </w:tc>
        <w:tc>
          <w:tcPr>
            <w:tcW w:w="1559" w:type="dxa"/>
            <w:vAlign w:val="center"/>
          </w:tcPr>
          <w:p w14:paraId="76FB103B" w14:textId="77777777" w:rsidR="00BA5C73" w:rsidRPr="005C7FE0" w:rsidRDefault="00BA5C73" w:rsidP="00F023B3">
            <w:pPr>
              <w:pStyle w:val="Tabletitles"/>
              <w:keepNext/>
              <w:keepLines/>
              <w:jc w:val="left"/>
              <w:rPr>
                <w:b w:val="0"/>
                <w:szCs w:val="20"/>
              </w:rPr>
            </w:pPr>
            <w:r w:rsidRPr="005C7FE0">
              <w:rPr>
                <w:b w:val="0"/>
                <w:szCs w:val="20"/>
              </w:rPr>
              <w:t>-17%</w:t>
            </w:r>
          </w:p>
        </w:tc>
        <w:tc>
          <w:tcPr>
            <w:tcW w:w="6044" w:type="dxa"/>
            <w:vMerge w:val="restart"/>
            <w:vAlign w:val="center"/>
          </w:tcPr>
          <w:p w14:paraId="18AAB055" w14:textId="0BFB3052" w:rsidR="00BA5C73" w:rsidRPr="005C7FE0" w:rsidRDefault="00BA5C73" w:rsidP="00F023B3">
            <w:pPr>
              <w:pStyle w:val="Tabletitles"/>
              <w:keepNext/>
              <w:keepLines/>
              <w:jc w:val="left"/>
              <w:rPr>
                <w:b w:val="0"/>
                <w:szCs w:val="20"/>
              </w:rPr>
            </w:pPr>
            <w:r w:rsidRPr="005C7FE0">
              <w:rPr>
                <w:b w:val="0"/>
                <w:szCs w:val="20"/>
              </w:rPr>
              <w:t>Electrolytes can be freely consumed as part of a low protein diet by individuals with PKU and other IEM and are not considered essential nutrients</w:t>
            </w:r>
            <w:r w:rsidR="005C7FE0">
              <w:rPr>
                <w:b w:val="0"/>
                <w:szCs w:val="20"/>
              </w:rPr>
              <w:t xml:space="preserve">. </w:t>
            </w:r>
            <w:r w:rsidRPr="005C7FE0">
              <w:rPr>
                <w:b w:val="0"/>
                <w:szCs w:val="20"/>
              </w:rPr>
              <w:t>These mineral decreases fall within, and comply with, Australian Food Standards concerning Food for Special Medical Purposes.</w:t>
            </w:r>
          </w:p>
        </w:tc>
      </w:tr>
      <w:tr w:rsidR="00BA5C73" w:rsidRPr="005C7FE0" w14:paraId="2F38E34C" w14:textId="77777777" w:rsidTr="00F023B3">
        <w:tc>
          <w:tcPr>
            <w:tcW w:w="1413" w:type="dxa"/>
            <w:vAlign w:val="center"/>
          </w:tcPr>
          <w:p w14:paraId="6B1D5E0A" w14:textId="77777777" w:rsidR="00BA5C73" w:rsidRPr="005C7FE0" w:rsidRDefault="00BA5C73" w:rsidP="00F023B3">
            <w:pPr>
              <w:pStyle w:val="Tabletitles"/>
              <w:keepNext/>
              <w:keepLines/>
              <w:jc w:val="left"/>
              <w:rPr>
                <w:b w:val="0"/>
                <w:szCs w:val="20"/>
              </w:rPr>
            </w:pPr>
            <w:r w:rsidRPr="005C7FE0">
              <w:rPr>
                <w:b w:val="0"/>
                <w:szCs w:val="20"/>
              </w:rPr>
              <w:t>Potassium</w:t>
            </w:r>
          </w:p>
        </w:tc>
        <w:tc>
          <w:tcPr>
            <w:tcW w:w="1559" w:type="dxa"/>
            <w:vAlign w:val="center"/>
          </w:tcPr>
          <w:p w14:paraId="60AD9B32" w14:textId="77777777" w:rsidR="00BA5C73" w:rsidRPr="005C7FE0" w:rsidRDefault="00BA5C73" w:rsidP="00F023B3">
            <w:pPr>
              <w:pStyle w:val="Tabletitles"/>
              <w:keepNext/>
              <w:keepLines/>
              <w:jc w:val="left"/>
              <w:rPr>
                <w:b w:val="0"/>
                <w:szCs w:val="20"/>
              </w:rPr>
            </w:pPr>
            <w:r w:rsidRPr="005C7FE0">
              <w:rPr>
                <w:b w:val="0"/>
                <w:szCs w:val="20"/>
              </w:rPr>
              <w:t>-26%</w:t>
            </w:r>
          </w:p>
        </w:tc>
        <w:tc>
          <w:tcPr>
            <w:tcW w:w="6044" w:type="dxa"/>
            <w:vMerge/>
            <w:vAlign w:val="center"/>
          </w:tcPr>
          <w:p w14:paraId="7F27A6DA" w14:textId="77777777" w:rsidR="00BA5C73" w:rsidRPr="005C7FE0" w:rsidRDefault="00BA5C73" w:rsidP="00F023B3">
            <w:pPr>
              <w:pStyle w:val="Tabletitles"/>
              <w:keepNext/>
              <w:keepLines/>
              <w:jc w:val="left"/>
              <w:rPr>
                <w:b w:val="0"/>
                <w:szCs w:val="20"/>
              </w:rPr>
            </w:pPr>
          </w:p>
        </w:tc>
      </w:tr>
      <w:tr w:rsidR="00BA5C73" w:rsidRPr="005C7FE0" w14:paraId="6697C731" w14:textId="77777777" w:rsidTr="00F023B3">
        <w:tc>
          <w:tcPr>
            <w:tcW w:w="1413" w:type="dxa"/>
            <w:vAlign w:val="center"/>
          </w:tcPr>
          <w:p w14:paraId="347495E1" w14:textId="77777777" w:rsidR="00BA5C73" w:rsidRPr="005C7FE0" w:rsidRDefault="00BA5C73" w:rsidP="00F023B3">
            <w:pPr>
              <w:pStyle w:val="Tabletitles"/>
              <w:keepNext/>
              <w:keepLines/>
              <w:jc w:val="left"/>
              <w:rPr>
                <w:b w:val="0"/>
                <w:szCs w:val="20"/>
              </w:rPr>
            </w:pPr>
            <w:r w:rsidRPr="005C7FE0">
              <w:rPr>
                <w:b w:val="0"/>
                <w:szCs w:val="20"/>
              </w:rPr>
              <w:t>Chloride</w:t>
            </w:r>
          </w:p>
        </w:tc>
        <w:tc>
          <w:tcPr>
            <w:tcW w:w="1559" w:type="dxa"/>
            <w:vAlign w:val="center"/>
          </w:tcPr>
          <w:p w14:paraId="77A6A636" w14:textId="77777777" w:rsidR="00BA5C73" w:rsidRPr="005C7FE0" w:rsidRDefault="00BA5C73" w:rsidP="00F023B3">
            <w:pPr>
              <w:pStyle w:val="Tabletitles"/>
              <w:keepNext/>
              <w:keepLines/>
              <w:jc w:val="left"/>
              <w:rPr>
                <w:b w:val="0"/>
                <w:szCs w:val="20"/>
              </w:rPr>
            </w:pPr>
            <w:r w:rsidRPr="005C7FE0">
              <w:rPr>
                <w:b w:val="0"/>
                <w:szCs w:val="20"/>
              </w:rPr>
              <w:t>-42%</w:t>
            </w:r>
          </w:p>
        </w:tc>
        <w:tc>
          <w:tcPr>
            <w:tcW w:w="6044" w:type="dxa"/>
            <w:vMerge/>
            <w:vAlign w:val="center"/>
          </w:tcPr>
          <w:p w14:paraId="4F435EC7" w14:textId="77777777" w:rsidR="00BA5C73" w:rsidRPr="005C7FE0" w:rsidRDefault="00BA5C73" w:rsidP="00F023B3">
            <w:pPr>
              <w:pStyle w:val="Tabletitles"/>
              <w:keepNext/>
              <w:keepLines/>
              <w:jc w:val="left"/>
              <w:rPr>
                <w:b w:val="0"/>
                <w:szCs w:val="20"/>
              </w:rPr>
            </w:pPr>
          </w:p>
        </w:tc>
      </w:tr>
      <w:tr w:rsidR="00BA5C73" w:rsidRPr="005C7FE0" w14:paraId="3557B695" w14:textId="77777777" w:rsidTr="00F023B3">
        <w:tc>
          <w:tcPr>
            <w:tcW w:w="1413" w:type="dxa"/>
            <w:vAlign w:val="center"/>
          </w:tcPr>
          <w:p w14:paraId="67C186E7" w14:textId="77777777" w:rsidR="00BA5C73" w:rsidRPr="005C7FE0" w:rsidRDefault="00BA5C73" w:rsidP="00F023B3">
            <w:pPr>
              <w:pStyle w:val="Tabletitles"/>
              <w:keepNext/>
              <w:keepLines/>
              <w:jc w:val="left"/>
              <w:rPr>
                <w:b w:val="0"/>
                <w:szCs w:val="20"/>
              </w:rPr>
            </w:pPr>
            <w:r w:rsidRPr="005C7FE0">
              <w:rPr>
                <w:b w:val="0"/>
                <w:szCs w:val="20"/>
              </w:rPr>
              <w:t>Magnesium</w:t>
            </w:r>
          </w:p>
        </w:tc>
        <w:tc>
          <w:tcPr>
            <w:tcW w:w="1559" w:type="dxa"/>
            <w:vAlign w:val="center"/>
          </w:tcPr>
          <w:p w14:paraId="06613F89" w14:textId="77777777" w:rsidR="00BA5C73" w:rsidRPr="005C7FE0" w:rsidRDefault="00BA5C73" w:rsidP="00F023B3">
            <w:pPr>
              <w:pStyle w:val="Tabletitles"/>
              <w:keepNext/>
              <w:keepLines/>
              <w:jc w:val="left"/>
              <w:rPr>
                <w:b w:val="0"/>
                <w:szCs w:val="20"/>
              </w:rPr>
            </w:pPr>
            <w:r w:rsidRPr="005C7FE0">
              <w:rPr>
                <w:b w:val="0"/>
                <w:szCs w:val="20"/>
              </w:rPr>
              <w:t>-12%</w:t>
            </w:r>
          </w:p>
        </w:tc>
        <w:tc>
          <w:tcPr>
            <w:tcW w:w="6044" w:type="dxa"/>
            <w:vAlign w:val="center"/>
          </w:tcPr>
          <w:p w14:paraId="5BCF28A9" w14:textId="52142A60" w:rsidR="00BA5C73" w:rsidRPr="005C7FE0" w:rsidRDefault="00BA5C73" w:rsidP="00F023B3">
            <w:pPr>
              <w:pStyle w:val="Tabletitles"/>
              <w:keepNext/>
              <w:keepLines/>
              <w:jc w:val="left"/>
              <w:rPr>
                <w:b w:val="0"/>
                <w:szCs w:val="20"/>
              </w:rPr>
            </w:pPr>
            <w:r w:rsidRPr="005C7FE0">
              <w:rPr>
                <w:b w:val="0"/>
                <w:szCs w:val="20"/>
              </w:rPr>
              <w:t>The content of magnesium in the Express range has been lowered to meet 100% of the EFSA’s AI (adequate intake) for magnesium</w:t>
            </w:r>
            <w:r w:rsidR="005C7FE0">
              <w:rPr>
                <w:b w:val="0"/>
                <w:szCs w:val="20"/>
              </w:rPr>
              <w:t xml:space="preserve">. </w:t>
            </w:r>
            <w:r w:rsidRPr="005C7FE0">
              <w:rPr>
                <w:b w:val="0"/>
                <w:szCs w:val="20"/>
              </w:rPr>
              <w:t>This authority concluded that average requirements and PRIs could not be derived</w:t>
            </w:r>
            <w:r w:rsidR="005C7FE0">
              <w:rPr>
                <w:b w:val="0"/>
                <w:szCs w:val="20"/>
              </w:rPr>
              <w:t xml:space="preserve">. </w:t>
            </w:r>
          </w:p>
        </w:tc>
      </w:tr>
      <w:tr w:rsidR="00BA5C73" w:rsidRPr="005C7FE0" w14:paraId="1D369705" w14:textId="77777777" w:rsidTr="00F023B3">
        <w:tc>
          <w:tcPr>
            <w:tcW w:w="9016" w:type="dxa"/>
            <w:gridSpan w:val="3"/>
            <w:shd w:val="clear" w:color="auto" w:fill="D9D9D9" w:themeFill="background1" w:themeFillShade="D9"/>
            <w:vAlign w:val="center"/>
          </w:tcPr>
          <w:p w14:paraId="01044E25" w14:textId="77777777" w:rsidR="00BA5C73" w:rsidRPr="005C7FE0" w:rsidRDefault="00BA5C73" w:rsidP="00F023B3">
            <w:pPr>
              <w:pStyle w:val="Tabletitles"/>
              <w:keepNext/>
              <w:keepLines/>
              <w:jc w:val="left"/>
              <w:rPr>
                <w:b w:val="0"/>
                <w:szCs w:val="20"/>
              </w:rPr>
            </w:pPr>
            <w:r w:rsidRPr="005C7FE0">
              <w:rPr>
                <w:b w:val="0"/>
                <w:szCs w:val="20"/>
              </w:rPr>
              <w:t>Trace Elements</w:t>
            </w:r>
          </w:p>
        </w:tc>
      </w:tr>
      <w:tr w:rsidR="00BA5C73" w:rsidRPr="005C7FE0" w14:paraId="637FEC09" w14:textId="77777777" w:rsidTr="00F023B3">
        <w:tc>
          <w:tcPr>
            <w:tcW w:w="1413" w:type="dxa"/>
            <w:vAlign w:val="center"/>
          </w:tcPr>
          <w:p w14:paraId="524C496C" w14:textId="77777777" w:rsidR="00BA5C73" w:rsidRPr="005C7FE0" w:rsidRDefault="00BA5C73" w:rsidP="00F023B3">
            <w:pPr>
              <w:pStyle w:val="Tabletitles"/>
              <w:keepNext/>
              <w:keepLines/>
              <w:jc w:val="left"/>
              <w:rPr>
                <w:b w:val="0"/>
                <w:szCs w:val="20"/>
              </w:rPr>
            </w:pPr>
            <w:r w:rsidRPr="005C7FE0">
              <w:rPr>
                <w:b w:val="0"/>
                <w:szCs w:val="20"/>
              </w:rPr>
              <w:t>Zinc</w:t>
            </w:r>
          </w:p>
        </w:tc>
        <w:tc>
          <w:tcPr>
            <w:tcW w:w="1559" w:type="dxa"/>
            <w:vAlign w:val="center"/>
          </w:tcPr>
          <w:p w14:paraId="53A998D3" w14:textId="77777777" w:rsidR="00BA5C73" w:rsidRPr="005C7FE0" w:rsidRDefault="00BA5C73" w:rsidP="00F023B3">
            <w:pPr>
              <w:pStyle w:val="Tabletitles"/>
              <w:keepNext/>
              <w:keepLines/>
              <w:jc w:val="left"/>
              <w:rPr>
                <w:b w:val="0"/>
                <w:szCs w:val="20"/>
              </w:rPr>
            </w:pPr>
            <w:r w:rsidRPr="005C7FE0">
              <w:rPr>
                <w:b w:val="0"/>
                <w:szCs w:val="20"/>
              </w:rPr>
              <w:t>-21%</w:t>
            </w:r>
          </w:p>
        </w:tc>
        <w:tc>
          <w:tcPr>
            <w:tcW w:w="6044" w:type="dxa"/>
            <w:vAlign w:val="center"/>
          </w:tcPr>
          <w:p w14:paraId="2C58BE0E" w14:textId="2C6AB470" w:rsidR="00BA5C73" w:rsidRPr="005C7FE0" w:rsidRDefault="00BA5C73" w:rsidP="00F023B3">
            <w:pPr>
              <w:pStyle w:val="Tabletitles"/>
              <w:keepNext/>
              <w:keepLines/>
              <w:jc w:val="left"/>
              <w:rPr>
                <w:b w:val="0"/>
                <w:szCs w:val="20"/>
              </w:rPr>
            </w:pPr>
            <w:r w:rsidRPr="005C7FE0">
              <w:rPr>
                <w:b w:val="0"/>
                <w:szCs w:val="20"/>
              </w:rPr>
              <w:t>High levels of zinc relative to copper can result in copper deficiency due to zinc-copper antagonism. A copper: zinc ratio of 1: 10 is recommended for optimal growth and absorption. The Express range aims to provide at least 120% NRV zinc to account for nutrient interactions, risk of zinc deficiency with low intakes, and poor zinc bioavailability and absorption from fortified sources. The zinc content of Express is in line Australian Nutrient Reference Values (NRVs) (Appendices 3-8).</w:t>
            </w:r>
          </w:p>
        </w:tc>
      </w:tr>
      <w:tr w:rsidR="00BA5C73" w:rsidRPr="005C7FE0" w14:paraId="31052FB8" w14:textId="77777777" w:rsidTr="00F023B3">
        <w:tc>
          <w:tcPr>
            <w:tcW w:w="1413" w:type="dxa"/>
            <w:vAlign w:val="center"/>
          </w:tcPr>
          <w:p w14:paraId="3D8F0404" w14:textId="77777777" w:rsidR="00BA5C73" w:rsidRPr="005C7FE0" w:rsidRDefault="00BA5C73" w:rsidP="00F023B3">
            <w:pPr>
              <w:pStyle w:val="Tabletitles"/>
              <w:keepNext/>
              <w:keepLines/>
              <w:jc w:val="left"/>
              <w:rPr>
                <w:b w:val="0"/>
                <w:szCs w:val="20"/>
              </w:rPr>
            </w:pPr>
            <w:r w:rsidRPr="005C7FE0">
              <w:rPr>
                <w:b w:val="0"/>
                <w:szCs w:val="20"/>
              </w:rPr>
              <w:t>Selenium</w:t>
            </w:r>
          </w:p>
        </w:tc>
        <w:tc>
          <w:tcPr>
            <w:tcW w:w="1559" w:type="dxa"/>
            <w:vAlign w:val="center"/>
          </w:tcPr>
          <w:p w14:paraId="3299D2C3" w14:textId="77777777" w:rsidR="00BA5C73" w:rsidRPr="005C7FE0" w:rsidRDefault="00BA5C73" w:rsidP="00F023B3">
            <w:pPr>
              <w:pStyle w:val="Tabletitles"/>
              <w:keepNext/>
              <w:keepLines/>
              <w:jc w:val="left"/>
              <w:rPr>
                <w:b w:val="0"/>
                <w:szCs w:val="20"/>
              </w:rPr>
            </w:pPr>
            <w:r w:rsidRPr="005C7FE0">
              <w:rPr>
                <w:b w:val="0"/>
                <w:szCs w:val="20"/>
              </w:rPr>
              <w:t>-9%</w:t>
            </w:r>
          </w:p>
        </w:tc>
        <w:tc>
          <w:tcPr>
            <w:tcW w:w="6044" w:type="dxa"/>
            <w:vAlign w:val="center"/>
          </w:tcPr>
          <w:p w14:paraId="52375D5A" w14:textId="6AAA8FF2" w:rsidR="00BA5C73" w:rsidRPr="005C7FE0" w:rsidRDefault="00BA5C73" w:rsidP="005C7FE0">
            <w:pPr>
              <w:pStyle w:val="Tabletitles"/>
              <w:keepNext/>
              <w:keepLines/>
              <w:jc w:val="left"/>
              <w:rPr>
                <w:b w:val="0"/>
                <w:szCs w:val="20"/>
              </w:rPr>
            </w:pPr>
            <w:r w:rsidRPr="005C7FE0">
              <w:rPr>
                <w:b w:val="0"/>
                <w:szCs w:val="20"/>
              </w:rPr>
              <w:t>This is more consistent with Australian NRVs (Appendices 3-8).</w:t>
            </w:r>
          </w:p>
        </w:tc>
      </w:tr>
      <w:tr w:rsidR="00BA5C73" w:rsidRPr="005C7FE0" w14:paraId="5A88E43F" w14:textId="77777777" w:rsidTr="00F023B3">
        <w:tc>
          <w:tcPr>
            <w:tcW w:w="1413" w:type="dxa"/>
            <w:vAlign w:val="center"/>
          </w:tcPr>
          <w:p w14:paraId="2F048082" w14:textId="77777777" w:rsidR="00BA5C73" w:rsidRPr="005C7FE0" w:rsidRDefault="00BA5C73" w:rsidP="00F023B3">
            <w:pPr>
              <w:pStyle w:val="Tabletitles"/>
              <w:keepNext/>
              <w:keepLines/>
              <w:jc w:val="left"/>
              <w:rPr>
                <w:b w:val="0"/>
                <w:szCs w:val="20"/>
              </w:rPr>
            </w:pPr>
            <w:r w:rsidRPr="005C7FE0">
              <w:rPr>
                <w:b w:val="0"/>
                <w:szCs w:val="20"/>
              </w:rPr>
              <w:t>Molybdenum</w:t>
            </w:r>
          </w:p>
        </w:tc>
        <w:tc>
          <w:tcPr>
            <w:tcW w:w="1559" w:type="dxa"/>
            <w:vAlign w:val="center"/>
          </w:tcPr>
          <w:p w14:paraId="5AC2CCD2" w14:textId="77777777" w:rsidR="00BA5C73" w:rsidRPr="005C7FE0" w:rsidRDefault="00BA5C73" w:rsidP="00F023B3">
            <w:pPr>
              <w:pStyle w:val="Tabletitles"/>
              <w:keepNext/>
              <w:keepLines/>
              <w:jc w:val="left"/>
              <w:rPr>
                <w:b w:val="0"/>
                <w:szCs w:val="20"/>
              </w:rPr>
            </w:pPr>
            <w:r w:rsidRPr="005C7FE0">
              <w:rPr>
                <w:b w:val="0"/>
                <w:szCs w:val="20"/>
              </w:rPr>
              <w:t>-51%</w:t>
            </w:r>
          </w:p>
        </w:tc>
        <w:tc>
          <w:tcPr>
            <w:tcW w:w="6044" w:type="dxa"/>
            <w:vAlign w:val="center"/>
          </w:tcPr>
          <w:p w14:paraId="7E388D12" w14:textId="260B4869" w:rsidR="00BA5C73" w:rsidRPr="005C7FE0" w:rsidRDefault="00BA5C73" w:rsidP="00F023B3">
            <w:pPr>
              <w:pStyle w:val="Tabletitles"/>
              <w:keepNext/>
              <w:keepLines/>
              <w:jc w:val="left"/>
              <w:rPr>
                <w:b w:val="0"/>
                <w:szCs w:val="20"/>
              </w:rPr>
            </w:pPr>
            <w:r w:rsidRPr="005C7FE0">
              <w:rPr>
                <w:b w:val="0"/>
                <w:szCs w:val="20"/>
              </w:rPr>
              <w:t>No molybdenum deficiencies have been reported within the IEM community or general population</w:t>
            </w:r>
            <w:r w:rsidR="005C7FE0">
              <w:rPr>
                <w:b w:val="0"/>
                <w:szCs w:val="20"/>
              </w:rPr>
              <w:t xml:space="preserve">. </w:t>
            </w:r>
            <w:r w:rsidRPr="005C7FE0">
              <w:rPr>
                <w:b w:val="0"/>
                <w:szCs w:val="20"/>
              </w:rPr>
              <w:t xml:space="preserve">Express provides 100% Recommended Dietary Intake (RDI) for molybdenum and is more aligned to the Australian </w:t>
            </w:r>
            <w:r w:rsidR="00735C68" w:rsidRPr="005C7FE0">
              <w:rPr>
                <w:b w:val="0"/>
                <w:szCs w:val="20"/>
              </w:rPr>
              <w:t>NRVs</w:t>
            </w:r>
            <w:r w:rsidRPr="005C7FE0">
              <w:rPr>
                <w:b w:val="0"/>
                <w:szCs w:val="20"/>
              </w:rPr>
              <w:t xml:space="preserve"> (Appendices 3-8).</w:t>
            </w:r>
          </w:p>
        </w:tc>
      </w:tr>
      <w:tr w:rsidR="00BA5C73" w:rsidRPr="005C7FE0" w14:paraId="342E661F" w14:textId="77777777" w:rsidTr="00F023B3">
        <w:trPr>
          <w:trHeight w:val="54"/>
        </w:trPr>
        <w:tc>
          <w:tcPr>
            <w:tcW w:w="1413" w:type="dxa"/>
            <w:vAlign w:val="center"/>
          </w:tcPr>
          <w:p w14:paraId="50A936B4" w14:textId="77777777" w:rsidR="00BA5C73" w:rsidRPr="005C7FE0" w:rsidRDefault="00BA5C73" w:rsidP="00F023B3">
            <w:pPr>
              <w:pStyle w:val="Tabletitles"/>
              <w:keepNext/>
              <w:keepLines/>
              <w:jc w:val="left"/>
              <w:rPr>
                <w:b w:val="0"/>
                <w:szCs w:val="20"/>
              </w:rPr>
            </w:pPr>
            <w:r w:rsidRPr="005C7FE0">
              <w:rPr>
                <w:b w:val="0"/>
                <w:szCs w:val="20"/>
              </w:rPr>
              <w:t>Chromium</w:t>
            </w:r>
          </w:p>
        </w:tc>
        <w:tc>
          <w:tcPr>
            <w:tcW w:w="1559" w:type="dxa"/>
            <w:vAlign w:val="center"/>
          </w:tcPr>
          <w:p w14:paraId="06A46DDD" w14:textId="77777777" w:rsidR="00BA5C73" w:rsidRPr="005C7FE0" w:rsidRDefault="00BA5C73" w:rsidP="00F023B3">
            <w:pPr>
              <w:pStyle w:val="Tabletitles"/>
              <w:keepNext/>
              <w:keepLines/>
              <w:jc w:val="left"/>
              <w:rPr>
                <w:b w:val="0"/>
                <w:szCs w:val="20"/>
              </w:rPr>
            </w:pPr>
            <w:r w:rsidRPr="005C7FE0">
              <w:rPr>
                <w:b w:val="0"/>
                <w:szCs w:val="20"/>
              </w:rPr>
              <w:t>-52%</w:t>
            </w:r>
          </w:p>
        </w:tc>
        <w:tc>
          <w:tcPr>
            <w:tcW w:w="6044" w:type="dxa"/>
            <w:vAlign w:val="center"/>
          </w:tcPr>
          <w:p w14:paraId="6D175BEC" w14:textId="19E5BBD0" w:rsidR="00BA5C73" w:rsidRPr="005C7FE0" w:rsidRDefault="00BA5C73" w:rsidP="00F023B3">
            <w:pPr>
              <w:pStyle w:val="Tabletitles"/>
              <w:keepNext/>
              <w:keepLines/>
              <w:jc w:val="left"/>
              <w:rPr>
                <w:b w:val="0"/>
                <w:szCs w:val="20"/>
              </w:rPr>
            </w:pPr>
            <w:r w:rsidRPr="005C7FE0">
              <w:rPr>
                <w:b w:val="0"/>
                <w:szCs w:val="20"/>
              </w:rPr>
              <w:t xml:space="preserve">Express provides 100% RDI for Chromium and is more aligned with </w:t>
            </w:r>
            <w:r w:rsidR="00735C68" w:rsidRPr="005C7FE0">
              <w:rPr>
                <w:b w:val="0"/>
                <w:szCs w:val="20"/>
              </w:rPr>
              <w:t>NRVs</w:t>
            </w:r>
            <w:r w:rsidRPr="005C7FE0">
              <w:rPr>
                <w:b w:val="0"/>
                <w:szCs w:val="20"/>
              </w:rPr>
              <w:t xml:space="preserve"> (Appendices 3-8).</w:t>
            </w:r>
          </w:p>
        </w:tc>
      </w:tr>
      <w:tr w:rsidR="00BA5C73" w:rsidRPr="005C7FE0" w14:paraId="22E8FFCD" w14:textId="77777777" w:rsidTr="00F023B3">
        <w:trPr>
          <w:trHeight w:val="341"/>
        </w:trPr>
        <w:tc>
          <w:tcPr>
            <w:tcW w:w="1413" w:type="dxa"/>
            <w:vAlign w:val="center"/>
          </w:tcPr>
          <w:p w14:paraId="731070A0" w14:textId="77777777" w:rsidR="00BA5C73" w:rsidRPr="005C7FE0" w:rsidRDefault="00BA5C73" w:rsidP="00F023B3">
            <w:pPr>
              <w:pStyle w:val="Tabletitles"/>
              <w:keepNext/>
              <w:keepLines/>
              <w:jc w:val="left"/>
              <w:rPr>
                <w:b w:val="0"/>
                <w:szCs w:val="20"/>
              </w:rPr>
            </w:pPr>
            <w:r w:rsidRPr="005C7FE0">
              <w:rPr>
                <w:b w:val="0"/>
                <w:szCs w:val="20"/>
              </w:rPr>
              <w:t>Manganese</w:t>
            </w:r>
          </w:p>
        </w:tc>
        <w:tc>
          <w:tcPr>
            <w:tcW w:w="1559" w:type="dxa"/>
            <w:vAlign w:val="center"/>
          </w:tcPr>
          <w:p w14:paraId="58BDA143" w14:textId="77777777" w:rsidR="00BA5C73" w:rsidRPr="005C7FE0" w:rsidRDefault="00BA5C73" w:rsidP="00F023B3">
            <w:pPr>
              <w:pStyle w:val="Tabletitles"/>
              <w:keepNext/>
              <w:keepLines/>
              <w:jc w:val="left"/>
              <w:rPr>
                <w:b w:val="0"/>
                <w:szCs w:val="20"/>
              </w:rPr>
            </w:pPr>
            <w:r w:rsidRPr="005C7FE0">
              <w:rPr>
                <w:b w:val="0"/>
                <w:szCs w:val="20"/>
              </w:rPr>
              <w:t>-53%</w:t>
            </w:r>
          </w:p>
        </w:tc>
        <w:tc>
          <w:tcPr>
            <w:tcW w:w="6044" w:type="dxa"/>
            <w:vAlign w:val="center"/>
          </w:tcPr>
          <w:p w14:paraId="7DE059FB" w14:textId="7583C4E7" w:rsidR="00BA5C73" w:rsidRPr="005C7FE0" w:rsidRDefault="00BA5C73" w:rsidP="004544D5">
            <w:pPr>
              <w:pStyle w:val="Tabletitles"/>
              <w:keepNext/>
              <w:keepLines/>
              <w:jc w:val="left"/>
              <w:rPr>
                <w:b w:val="0"/>
                <w:szCs w:val="20"/>
              </w:rPr>
            </w:pPr>
            <w:r w:rsidRPr="005C7FE0">
              <w:rPr>
                <w:b w:val="0"/>
                <w:szCs w:val="20"/>
              </w:rPr>
              <w:t>AI’s have been set by the Institute of Medicine (9) based upon the dietary intake of the general US population, rather than physiological requirement</w:t>
            </w:r>
            <w:r w:rsidR="005C7FE0">
              <w:rPr>
                <w:b w:val="0"/>
                <w:szCs w:val="20"/>
              </w:rPr>
              <w:t xml:space="preserve">. </w:t>
            </w:r>
            <w:r w:rsidRPr="005C7FE0">
              <w:rPr>
                <w:b w:val="0"/>
                <w:szCs w:val="20"/>
              </w:rPr>
              <w:t>The EFSA have adopted this approach and set an AI of 3mg/day based upon observed mean intakes within the EU for adolescents, adults, pregnant and lactating women (13) rather than physiological requirements</w:t>
            </w:r>
            <w:r w:rsidR="005C7FE0">
              <w:rPr>
                <w:b w:val="0"/>
                <w:szCs w:val="20"/>
              </w:rPr>
              <w:t xml:space="preserve">. </w:t>
            </w:r>
          </w:p>
        </w:tc>
      </w:tr>
    </w:tbl>
    <w:p w14:paraId="5DF27AD5" w14:textId="3449D844" w:rsidR="00BA5C73" w:rsidRPr="005C7FE0" w:rsidRDefault="004544D5" w:rsidP="004544D5">
      <w:pPr>
        <w:pStyle w:val="Caption"/>
        <w:rPr>
          <w:i w:val="0"/>
        </w:rPr>
      </w:pPr>
      <w:r w:rsidRPr="005C7FE0">
        <w:rPr>
          <w:rFonts w:ascii="Arial Narrow" w:hAnsi="Arial Narrow"/>
          <w:i w:val="0"/>
        </w:rPr>
        <w:t>Source: Appendix 9 of submission unless otherwise stated, * calculated by the Secretariat based on information provided in Appendix 1, **only for PKU Express 15 and PKU Express 20.</w:t>
      </w:r>
    </w:p>
    <w:p w14:paraId="04E260D7" w14:textId="7A1A9D15" w:rsidR="00197783" w:rsidRPr="005C7FE0" w:rsidRDefault="00197783" w:rsidP="00DB1DF9">
      <w:pPr>
        <w:numPr>
          <w:ilvl w:val="1"/>
          <w:numId w:val="3"/>
        </w:numPr>
        <w:spacing w:after="120"/>
        <w:jc w:val="left"/>
      </w:pPr>
      <w:r w:rsidRPr="005C7FE0">
        <w:rPr>
          <w:rFonts w:eastAsiaTheme="minorHAnsi" w:cstheme="minorHAnsi"/>
          <w:iCs/>
        </w:rPr>
        <w:t>The key differences between the current and new formulation of Express range products were:</w:t>
      </w:r>
    </w:p>
    <w:p w14:paraId="7BA9D6BE" w14:textId="77777777" w:rsidR="00197783" w:rsidRPr="005C7FE0" w:rsidRDefault="00197783" w:rsidP="00197783">
      <w:pPr>
        <w:pStyle w:val="ListBullet"/>
        <w:rPr>
          <w:rFonts w:eastAsiaTheme="minorHAnsi"/>
        </w:rPr>
      </w:pPr>
      <w:r w:rsidRPr="005C7FE0">
        <w:rPr>
          <w:rFonts w:eastAsiaTheme="minorHAnsi"/>
        </w:rPr>
        <w:t>decreases in the level of micronutrients including vitamin K, folate, pathotenic acid, sodium, potassium, chloride, magnesium, zinc, selenium, molybdenum, chromium and manganese in all formulations</w:t>
      </w:r>
    </w:p>
    <w:p w14:paraId="3DA03188" w14:textId="77777777" w:rsidR="00197783" w:rsidRPr="005C7FE0" w:rsidRDefault="00197783" w:rsidP="00197783">
      <w:pPr>
        <w:pStyle w:val="ListBullet"/>
        <w:rPr>
          <w:rFonts w:eastAsiaTheme="minorHAnsi"/>
        </w:rPr>
      </w:pPr>
      <w:r w:rsidRPr="005C7FE0">
        <w:rPr>
          <w:rFonts w:eastAsiaTheme="minorHAnsi"/>
        </w:rPr>
        <w:t>decreases in the level of niacin only in both PKU express.</w:t>
      </w:r>
    </w:p>
    <w:p w14:paraId="459907A5" w14:textId="77777777" w:rsidR="00197783" w:rsidRPr="005C7FE0" w:rsidRDefault="00197783" w:rsidP="00197783">
      <w:pPr>
        <w:pStyle w:val="ListBullet"/>
        <w:rPr>
          <w:rFonts w:eastAsiaTheme="minorHAnsi"/>
        </w:rPr>
      </w:pPr>
      <w:r w:rsidRPr="005C7FE0">
        <w:rPr>
          <w:rFonts w:eastAsiaTheme="minorHAnsi"/>
        </w:rPr>
        <w:t>increases in the level of vitamin D3 in all formulations.</w:t>
      </w:r>
    </w:p>
    <w:p w14:paraId="1AC72B99" w14:textId="77777777" w:rsidR="00197783" w:rsidRPr="005C7FE0" w:rsidRDefault="00197783" w:rsidP="00197783">
      <w:pPr>
        <w:pStyle w:val="ListBullet"/>
        <w:numPr>
          <w:ilvl w:val="0"/>
          <w:numId w:val="0"/>
        </w:numPr>
        <w:ind w:left="1800"/>
        <w:rPr>
          <w:rFonts w:eastAsiaTheme="minorHAnsi"/>
        </w:rPr>
      </w:pPr>
    </w:p>
    <w:p w14:paraId="65E03A36" w14:textId="0F65C5C0" w:rsidR="00197783" w:rsidRPr="005C7FE0" w:rsidRDefault="00197783" w:rsidP="00975B14">
      <w:pPr>
        <w:numPr>
          <w:ilvl w:val="1"/>
          <w:numId w:val="3"/>
        </w:numPr>
        <w:spacing w:after="120"/>
        <w:jc w:val="left"/>
        <w:rPr>
          <w:rFonts w:eastAsiaTheme="minorHAnsi" w:cstheme="minorHAnsi"/>
          <w:iCs/>
        </w:rPr>
      </w:pPr>
      <w:r w:rsidRPr="005C7FE0">
        <w:rPr>
          <w:rFonts w:eastAsiaTheme="minorHAnsi" w:cstheme="minorHAnsi"/>
          <w:iCs/>
        </w:rPr>
        <w:t>The submission stated the formulation changes have had no effect on the properties of the Express range and have improved its vitamin, mineral, and trace element profile in line with current international nutritional recommendations, including the European Food Safety Authority’</w:t>
      </w:r>
      <w:r w:rsidR="00341BCC" w:rsidRPr="005C7FE0">
        <w:rPr>
          <w:rFonts w:eastAsiaTheme="minorHAnsi" w:cstheme="minorHAnsi"/>
          <w:iCs/>
        </w:rPr>
        <w:t>s Dietary Reference Values, national standards and</w:t>
      </w:r>
      <w:r w:rsidRPr="005C7FE0">
        <w:rPr>
          <w:rFonts w:eastAsiaTheme="minorHAnsi" w:cstheme="minorHAnsi"/>
          <w:iCs/>
        </w:rPr>
        <w:t xml:space="preserve"> Australian Nutrient Reference Values.</w:t>
      </w:r>
    </w:p>
    <w:p w14:paraId="3B4B5500" w14:textId="2571B749" w:rsidR="00197783" w:rsidRPr="005C7FE0" w:rsidRDefault="00197783" w:rsidP="00197783">
      <w:pPr>
        <w:pStyle w:val="3Bodytext"/>
      </w:pPr>
      <w:r w:rsidRPr="005C7FE0">
        <w:t>The submission stated there are slight differences in the amino acid profile for MSUD Express 15, TYR Express 15 and HCU Express 15. The submission stated that this is due to an insignificant change to the addition rate o</w:t>
      </w:r>
      <w:r w:rsidR="00E711AC" w:rsidRPr="005C7FE0">
        <w:t>f the amino acid pre-mix used and that d</w:t>
      </w:r>
      <w:r w:rsidRPr="005C7FE0">
        <w:t>ue to the small changes in micronutrient profiles, this was essential to maintain product stability.</w:t>
      </w:r>
      <w:r w:rsidRPr="005C7FE0" w:rsidDel="00197783">
        <w:t xml:space="preserve"> </w:t>
      </w:r>
    </w:p>
    <w:p w14:paraId="5A9F6E31" w14:textId="126C6A98" w:rsidR="00F11B76" w:rsidRPr="005C7FE0" w:rsidRDefault="00197783" w:rsidP="00F11B76">
      <w:pPr>
        <w:numPr>
          <w:ilvl w:val="1"/>
          <w:numId w:val="3"/>
        </w:numPr>
        <w:tabs>
          <w:tab w:val="left" w:pos="709"/>
        </w:tabs>
        <w:spacing w:after="120"/>
        <w:jc w:val="left"/>
        <w:rPr>
          <w:rFonts w:eastAsiaTheme="minorHAnsi" w:cstheme="minorHAnsi"/>
          <w:iCs/>
        </w:rPr>
      </w:pPr>
      <w:r w:rsidRPr="005C7FE0">
        <w:rPr>
          <w:rFonts w:asciiTheme="minorHAnsi" w:eastAsiaTheme="minorHAnsi" w:hAnsiTheme="minorHAnsi" w:cstheme="minorBidi"/>
          <w:szCs w:val="22"/>
        </w:rPr>
        <w:t>There are no changes to the amino acid profile of both PKU Express 15 and PKU</w:t>
      </w:r>
      <w:r w:rsidR="00370222" w:rsidRPr="005C7FE0">
        <w:rPr>
          <w:rFonts w:asciiTheme="minorHAnsi" w:eastAsiaTheme="minorHAnsi" w:hAnsiTheme="minorHAnsi" w:cstheme="minorBidi"/>
          <w:szCs w:val="22"/>
        </w:rPr>
        <w:t> </w:t>
      </w:r>
      <w:r w:rsidRPr="005C7FE0">
        <w:rPr>
          <w:rFonts w:asciiTheme="minorHAnsi" w:eastAsiaTheme="minorHAnsi" w:hAnsiTheme="minorHAnsi" w:cstheme="minorBidi"/>
          <w:szCs w:val="22"/>
        </w:rPr>
        <w:t>Express 20</w:t>
      </w:r>
      <w:r w:rsidRPr="005C7FE0">
        <w:t>.</w:t>
      </w:r>
    </w:p>
    <w:p w14:paraId="7DAD9A55" w14:textId="5B25BBA4" w:rsidR="00F11B76" w:rsidRPr="005C7FE0" w:rsidRDefault="00F11B76" w:rsidP="00F11B76">
      <w:pPr>
        <w:pStyle w:val="3Bodytext"/>
        <w:numPr>
          <w:ilvl w:val="0"/>
          <w:numId w:val="0"/>
        </w:numPr>
        <w:ind w:left="720"/>
        <w:rPr>
          <w:i/>
        </w:rPr>
      </w:pPr>
      <w:r w:rsidRPr="005C7FE0">
        <w:rPr>
          <w:i/>
        </w:rPr>
        <w:t>For more deta</w:t>
      </w:r>
      <w:r w:rsidR="004544D5" w:rsidRPr="005C7FE0">
        <w:rPr>
          <w:i/>
        </w:rPr>
        <w:t>il on PBAC’s view, see section 6</w:t>
      </w:r>
      <w:r w:rsidRPr="005C7FE0">
        <w:rPr>
          <w:i/>
        </w:rPr>
        <w:t xml:space="preserve"> PBAC outcome</w:t>
      </w:r>
      <w:r w:rsidR="005C7FE0">
        <w:rPr>
          <w:i/>
        </w:rPr>
        <w:t xml:space="preserve">. </w:t>
      </w:r>
    </w:p>
    <w:p w14:paraId="1259E1DC" w14:textId="08DCBF30" w:rsidR="00E711AC" w:rsidRPr="005C7FE0" w:rsidRDefault="00E711AC" w:rsidP="00E711AC">
      <w:pPr>
        <w:pStyle w:val="2-SectionHeading"/>
      </w:pPr>
      <w:r w:rsidRPr="005C7FE0">
        <w:t>NPWP Consideration</w:t>
      </w:r>
    </w:p>
    <w:p w14:paraId="1D3A6900" w14:textId="2D30AEFB" w:rsidR="00E711AC" w:rsidRPr="005C7FE0" w:rsidRDefault="00E711AC" w:rsidP="00E711AC">
      <w:pPr>
        <w:pStyle w:val="3Bodytext"/>
      </w:pPr>
      <w:r w:rsidRPr="00A42E6A">
        <w:t xml:space="preserve">The </w:t>
      </w:r>
      <w:r w:rsidR="00867CD6" w:rsidRPr="00A42E6A">
        <w:t>Nutritional Products Working Party (</w:t>
      </w:r>
      <w:r w:rsidRPr="00A42E6A">
        <w:t>NPWP</w:t>
      </w:r>
      <w:r w:rsidR="00867CD6" w:rsidRPr="00A42E6A">
        <w:t>)</w:t>
      </w:r>
      <w:r w:rsidRPr="00A42E6A">
        <w:t xml:space="preserve"> advised that the changes to the formulations will </w:t>
      </w:r>
      <w:r w:rsidRPr="005C7FE0">
        <w:t>continue to meet the Australian adequate intake (AI) levels and recommended dietary intake (RDI) values of patients eligible for PBS subsidised use.</w:t>
      </w:r>
    </w:p>
    <w:p w14:paraId="64DAE1B1" w14:textId="55C10538" w:rsidR="00E711AC" w:rsidRPr="005C7FE0" w:rsidRDefault="00E711AC" w:rsidP="00E711AC">
      <w:pPr>
        <w:pStyle w:val="3Bodytext"/>
      </w:pPr>
      <w:r w:rsidRPr="005C7FE0">
        <w:t>The NPWP did not have any concerns regarding the safety of these changes. The NPWP supported the continued subsidy of Express on the PBS under the existing conditions.</w:t>
      </w:r>
    </w:p>
    <w:p w14:paraId="7976F828" w14:textId="166CE6AD" w:rsidR="00925473" w:rsidRPr="005C7FE0" w:rsidRDefault="00925473" w:rsidP="00925473">
      <w:pPr>
        <w:pStyle w:val="3Bodytext"/>
        <w:numPr>
          <w:ilvl w:val="0"/>
          <w:numId w:val="0"/>
        </w:numPr>
        <w:ind w:left="720"/>
      </w:pPr>
      <w:r w:rsidRPr="005C7FE0">
        <w:rPr>
          <w:i/>
        </w:rPr>
        <w:t>For more detail on PBAC’s view, see section 6 PBAC outcome</w:t>
      </w:r>
      <w:r w:rsidRPr="005C7FE0">
        <w:t>.</w:t>
      </w:r>
    </w:p>
    <w:p w14:paraId="52C646AB" w14:textId="77777777" w:rsidR="00925473" w:rsidRPr="005C7FE0" w:rsidRDefault="00925473" w:rsidP="00925473">
      <w:pPr>
        <w:pStyle w:val="2-SectionHeading"/>
      </w:pPr>
      <w:r w:rsidRPr="005C7FE0">
        <w:t>PBAC Outcome</w:t>
      </w:r>
    </w:p>
    <w:p w14:paraId="43562CF5" w14:textId="2A262546" w:rsidR="00867CD6" w:rsidRPr="005C7FE0" w:rsidRDefault="00A32300" w:rsidP="00867CD6">
      <w:pPr>
        <w:pStyle w:val="3Bodytext"/>
        <w:rPr>
          <w:bCs/>
        </w:rPr>
      </w:pPr>
      <w:r w:rsidRPr="005C7FE0">
        <w:t xml:space="preserve">The PBAC </w:t>
      </w:r>
      <w:bookmarkStart w:id="1" w:name="_Hlk77145097"/>
      <w:r w:rsidRPr="005C7FE0">
        <w:t>recommended</w:t>
      </w:r>
      <w:r w:rsidR="00BA5C73" w:rsidRPr="005C7FE0">
        <w:t xml:space="preserve"> </w:t>
      </w:r>
      <w:r w:rsidR="00151389" w:rsidRPr="005C7FE0">
        <w:t>continuing the</w:t>
      </w:r>
      <w:r w:rsidR="00BA5C73" w:rsidRPr="005C7FE0">
        <w:t xml:space="preserve"> Restricted Benefits</w:t>
      </w:r>
      <w:r w:rsidRPr="005C7FE0">
        <w:t xml:space="preserve"> </w:t>
      </w:r>
      <w:r w:rsidR="00867CD6" w:rsidRPr="005C7FE0">
        <w:t xml:space="preserve">listings of HCU Express 15, PKU Express 15, PKU Express 20, TYR Express 15 or MSUD Express 15 with new formulation under the existing conditions of the respective product. </w:t>
      </w:r>
    </w:p>
    <w:bookmarkEnd w:id="1"/>
    <w:p w14:paraId="16B9CDEA" w14:textId="519C67CE" w:rsidR="00A32300" w:rsidRPr="005C7FE0" w:rsidRDefault="00783A34" w:rsidP="00867CD6">
      <w:pPr>
        <w:pStyle w:val="3Bodytext"/>
      </w:pPr>
      <w:r w:rsidRPr="00A42E6A">
        <w:rPr>
          <w:bCs/>
        </w:rPr>
        <w:t>The PBAC noted the</w:t>
      </w:r>
      <w:r w:rsidR="00867CD6" w:rsidRPr="00A42E6A">
        <w:rPr>
          <w:bCs/>
        </w:rPr>
        <w:t xml:space="preserve">se new formulations are safe and will continue to meet the Australian adequate </w:t>
      </w:r>
      <w:r w:rsidR="001540E5" w:rsidRPr="00A42E6A">
        <w:rPr>
          <w:bCs/>
        </w:rPr>
        <w:t>intake levels</w:t>
      </w:r>
      <w:r w:rsidR="00867CD6" w:rsidRPr="00A42E6A">
        <w:rPr>
          <w:bCs/>
        </w:rPr>
        <w:t xml:space="preserve"> and recommended dietary </w:t>
      </w:r>
      <w:r w:rsidR="00735C68" w:rsidRPr="00735C68">
        <w:rPr>
          <w:bCs/>
        </w:rPr>
        <w:t>intake values</w:t>
      </w:r>
      <w:r w:rsidR="00867CD6" w:rsidRPr="00A42E6A">
        <w:rPr>
          <w:bCs/>
        </w:rPr>
        <w:t xml:space="preserve"> of patients eligible for PBS subsidised use. </w:t>
      </w:r>
    </w:p>
    <w:p w14:paraId="579271A7" w14:textId="6A402151" w:rsidR="00925473" w:rsidRPr="005C7FE0" w:rsidRDefault="00A32300" w:rsidP="00627C95">
      <w:pPr>
        <w:pStyle w:val="3Bodytext"/>
        <w:rPr>
          <w:snapToGrid w:val="0"/>
        </w:rPr>
      </w:pPr>
      <w:r w:rsidRPr="005C7FE0">
        <w:rPr>
          <w:snapToGrid w:val="0"/>
        </w:rPr>
        <w:t>The PBAC noted that this submission is not eligible for an Independent Review as it received a positive recommendation.</w:t>
      </w:r>
    </w:p>
    <w:p w14:paraId="7D2902D2" w14:textId="77777777" w:rsidR="00BA5C73" w:rsidRPr="005C7FE0" w:rsidRDefault="00BA5C73" w:rsidP="00BA5C73">
      <w:pPr>
        <w:spacing w:before="240"/>
        <w:rPr>
          <w:rFonts w:asciiTheme="minorHAnsi" w:hAnsiTheme="minorHAnsi" w:cs="Arial"/>
          <w:b/>
          <w:bCs/>
          <w:snapToGrid w:val="0"/>
        </w:rPr>
      </w:pPr>
      <w:r w:rsidRPr="005C7FE0">
        <w:rPr>
          <w:rFonts w:asciiTheme="minorHAnsi" w:hAnsiTheme="minorHAnsi" w:cs="Arial"/>
          <w:b/>
          <w:bCs/>
          <w:snapToGrid w:val="0"/>
        </w:rPr>
        <w:t>Outcome:</w:t>
      </w:r>
    </w:p>
    <w:p w14:paraId="295E2468" w14:textId="3B165B64" w:rsidR="00BA5C73" w:rsidRPr="005C7FE0" w:rsidRDefault="00BA5C73" w:rsidP="00BA5C73">
      <w:pPr>
        <w:rPr>
          <w:rFonts w:asciiTheme="minorHAnsi" w:hAnsiTheme="minorHAnsi" w:cs="Arial"/>
          <w:bCs/>
          <w:snapToGrid w:val="0"/>
        </w:rPr>
      </w:pPr>
      <w:r w:rsidRPr="005C7FE0">
        <w:rPr>
          <w:rFonts w:asciiTheme="minorHAnsi" w:hAnsiTheme="minorHAnsi" w:cs="Arial"/>
          <w:bCs/>
          <w:snapToGrid w:val="0"/>
        </w:rPr>
        <w:t>Recommended</w:t>
      </w:r>
    </w:p>
    <w:p w14:paraId="63BCDE46" w14:textId="7B5A4B62" w:rsidR="008C32ED" w:rsidRPr="005C7FE0" w:rsidRDefault="008C32ED" w:rsidP="00BA5C73">
      <w:pPr>
        <w:rPr>
          <w:rFonts w:asciiTheme="minorHAnsi" w:hAnsiTheme="minorHAnsi" w:cs="Arial"/>
          <w:bCs/>
          <w:snapToGrid w:val="0"/>
        </w:rPr>
      </w:pPr>
    </w:p>
    <w:p w14:paraId="25503D0E" w14:textId="77777777" w:rsidR="00783A34" w:rsidRPr="00A42E6A" w:rsidRDefault="00783A34" w:rsidP="00783A34">
      <w:pPr>
        <w:pStyle w:val="2-SectionHeading"/>
        <w:rPr>
          <w:i/>
          <w:lang w:eastAsia="en-US"/>
        </w:rPr>
      </w:pPr>
      <w:r w:rsidRPr="00A42E6A">
        <w:rPr>
          <w:lang w:eastAsia="en-US"/>
        </w:rPr>
        <w:t>Recommended listing</w:t>
      </w:r>
    </w:p>
    <w:p w14:paraId="12430A3F" w14:textId="77777777" w:rsidR="00783A34" w:rsidRPr="005C7FE0" w:rsidRDefault="00783A34" w:rsidP="00783A34">
      <w:pPr>
        <w:widowControl w:val="0"/>
        <w:numPr>
          <w:ilvl w:val="1"/>
          <w:numId w:val="3"/>
        </w:numPr>
        <w:spacing w:after="120"/>
        <w:jc w:val="left"/>
        <w:rPr>
          <w:rFonts w:asciiTheme="minorHAnsi" w:hAnsiTheme="minorHAnsi" w:cs="Arial"/>
          <w:bCs/>
          <w:snapToGrid w:val="0"/>
        </w:rPr>
      </w:pPr>
      <w:r w:rsidRPr="005C7FE0">
        <w:rPr>
          <w:rFonts w:asciiTheme="minorHAnsi" w:hAnsiTheme="minorHAnsi" w:cs="Arial"/>
          <w:bCs/>
          <w:snapToGrid w:val="0"/>
        </w:rPr>
        <w:t>No changes to the existing listing.</w:t>
      </w:r>
    </w:p>
    <w:p w14:paraId="2A1F2BCA" w14:textId="77777777" w:rsidR="00500328" w:rsidRPr="005C7FE0" w:rsidRDefault="00500328" w:rsidP="00500328">
      <w:pPr>
        <w:pStyle w:val="ListBullet"/>
        <w:numPr>
          <w:ilvl w:val="0"/>
          <w:numId w:val="0"/>
        </w:numPr>
        <w:ind w:left="360"/>
      </w:pPr>
    </w:p>
    <w:p w14:paraId="6571B7D9" w14:textId="0B709B4A" w:rsidR="007D6BCF" w:rsidRPr="004D0811" w:rsidRDefault="007D6BCF" w:rsidP="004D0811">
      <w:pPr>
        <w:pStyle w:val="2-SectionHeading"/>
        <w:rPr>
          <w:lang w:eastAsia="en-US"/>
        </w:rPr>
      </w:pPr>
      <w:r w:rsidRPr="00C07617">
        <w:rPr>
          <w:lang w:eastAsia="en-US"/>
        </w:rPr>
        <w:t>Context for Decision</w:t>
      </w:r>
    </w:p>
    <w:p w14:paraId="56A6EC67" w14:textId="248D20C7" w:rsidR="007D6BCF" w:rsidRPr="007129F2" w:rsidRDefault="007D6BCF" w:rsidP="004D0811">
      <w:pPr>
        <w:spacing w:after="120"/>
        <w:rPr>
          <w:rFonts w:cs="Arial"/>
          <w:bCs/>
          <w:lang w:val="en-GB"/>
        </w:rPr>
      </w:pPr>
      <w:r w:rsidRPr="007129F2">
        <w:rPr>
          <w:rFonts w:cs="Arial"/>
          <w:bCs/>
          <w:lang w:val="en-GB"/>
        </w:rPr>
        <w:t xml:space="preserve">The PBAC helps decide whether and, if so, how medicines should be subsidised through the </w:t>
      </w:r>
      <w:r>
        <w:rPr>
          <w:rFonts w:cs="Arial"/>
          <w:bCs/>
          <w:lang w:val="en-GB"/>
        </w:rPr>
        <w:t>PBS</w:t>
      </w:r>
      <w:r w:rsidRPr="007129F2">
        <w:rPr>
          <w:rFonts w:cs="Arial"/>
          <w:bCs/>
          <w:lang w:val="en-GB"/>
        </w:rPr>
        <w:t xml:space="preserve">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CC80CD3" w14:textId="5CFD4F43" w:rsidR="007D6BCF" w:rsidRPr="004D0811" w:rsidRDefault="007D6BCF" w:rsidP="004D0811">
      <w:pPr>
        <w:pStyle w:val="2-SectionHeading"/>
        <w:rPr>
          <w:b w:val="0"/>
          <w:lang w:eastAsia="en-US"/>
        </w:rPr>
      </w:pPr>
      <w:r>
        <w:rPr>
          <w:lang w:eastAsia="en-US"/>
        </w:rPr>
        <w:t>Sponsor’s Comment</w:t>
      </w:r>
    </w:p>
    <w:p w14:paraId="12C82EA7" w14:textId="77777777" w:rsidR="007D6BCF" w:rsidRPr="001179AC" w:rsidRDefault="007D6BCF" w:rsidP="004D0811">
      <w:pPr>
        <w:spacing w:after="120"/>
        <w:rPr>
          <w:rFonts w:cs="Arial"/>
          <w:bCs/>
        </w:rPr>
      </w:pPr>
      <w:r w:rsidRPr="00C07617">
        <w:rPr>
          <w:rFonts w:cs="Arial"/>
          <w:bCs/>
        </w:rPr>
        <w:t>The sponsor had no comment.</w:t>
      </w:r>
    </w:p>
    <w:p w14:paraId="5F060CBA" w14:textId="566CB701" w:rsidR="00E732C4" w:rsidRPr="005C7FE0" w:rsidRDefault="00E732C4">
      <w:pPr>
        <w:jc w:val="left"/>
      </w:pPr>
    </w:p>
    <w:sectPr w:rsidR="00E732C4" w:rsidRPr="005C7FE0" w:rsidSect="0037015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6A029" w14:textId="77777777" w:rsidR="001F018E" w:rsidRDefault="001F018E">
      <w:r>
        <w:separator/>
      </w:r>
    </w:p>
    <w:p w14:paraId="572B3789" w14:textId="77777777" w:rsidR="001F018E" w:rsidRDefault="001F018E"/>
  </w:endnote>
  <w:endnote w:type="continuationSeparator" w:id="0">
    <w:p w14:paraId="4BB52409" w14:textId="77777777" w:rsidR="001F018E" w:rsidRDefault="001F018E">
      <w:r>
        <w:continuationSeparator/>
      </w:r>
    </w:p>
    <w:p w14:paraId="7F343C2A" w14:textId="77777777" w:rsidR="001F018E" w:rsidRDefault="001F018E"/>
  </w:endnote>
  <w:endnote w:type="continuationNotice" w:id="1">
    <w:p w14:paraId="041BA9D3" w14:textId="77777777" w:rsidR="001F018E" w:rsidRDefault="001F0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018E" w14:paraId="4075D3FE" w14:textId="77777777" w:rsidTr="005A3173">
      <w:trPr>
        <w:trHeight w:val="151"/>
      </w:trPr>
      <w:tc>
        <w:tcPr>
          <w:tcW w:w="2250" w:type="pct"/>
          <w:tcBorders>
            <w:top w:val="nil"/>
            <w:left w:val="nil"/>
            <w:bottom w:val="single" w:sz="4" w:space="0" w:color="4F81BD"/>
            <w:right w:val="nil"/>
          </w:tcBorders>
        </w:tcPr>
        <w:p w14:paraId="096D0DDE"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1F018E" w:rsidRPr="005A3173" w:rsidRDefault="001F018E" w:rsidP="005A3173">
          <w:pPr>
            <w:pStyle w:val="Header"/>
            <w:spacing w:line="276" w:lineRule="auto"/>
            <w:rPr>
              <w:rFonts w:eastAsia="MS Gothic"/>
              <w:b/>
              <w:bCs/>
              <w:color w:val="4F81BD"/>
            </w:rPr>
          </w:pPr>
        </w:p>
      </w:tc>
    </w:tr>
    <w:tr w:rsidR="001F018E" w14:paraId="32EF4DB8" w14:textId="77777777" w:rsidTr="005A3173">
      <w:trPr>
        <w:trHeight w:val="150"/>
      </w:trPr>
      <w:tc>
        <w:tcPr>
          <w:tcW w:w="2250" w:type="pct"/>
          <w:tcBorders>
            <w:top w:val="single" w:sz="4" w:space="0" w:color="4F81BD"/>
            <w:left w:val="nil"/>
            <w:bottom w:val="nil"/>
            <w:right w:val="nil"/>
          </w:tcBorders>
        </w:tcPr>
        <w:p w14:paraId="03528A4C"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109042FB"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09664199" w14:textId="77777777" w:rsidR="001F018E" w:rsidRPr="005A3173" w:rsidRDefault="001F018E" w:rsidP="005A3173">
          <w:pPr>
            <w:pStyle w:val="Header"/>
            <w:spacing w:line="276" w:lineRule="auto"/>
            <w:rPr>
              <w:rFonts w:eastAsia="MS Gothic"/>
              <w:b/>
              <w:bCs/>
              <w:color w:val="4F81BD"/>
            </w:rPr>
          </w:pPr>
        </w:p>
      </w:tc>
    </w:tr>
  </w:tbl>
  <w:p w14:paraId="21855C18" w14:textId="77777777" w:rsidR="001F018E" w:rsidRDefault="001F018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1F018E" w:rsidRDefault="001F018E">
    <w:pPr>
      <w:pStyle w:val="Footer"/>
    </w:pPr>
  </w:p>
  <w:p w14:paraId="48FFA445" w14:textId="77777777" w:rsidR="001F018E" w:rsidRDefault="001F01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E8CF" w14:textId="77777777" w:rsidR="0037015C" w:rsidRDefault="0037015C">
    <w:pPr>
      <w:pStyle w:val="Footer"/>
      <w:jc w:val="center"/>
      <w:rPr>
        <w:caps/>
        <w:color w:val="4F81BD" w:themeColor="accent1"/>
      </w:rPr>
    </w:pPr>
  </w:p>
  <w:p w14:paraId="4F0C8F3A" w14:textId="1622078B" w:rsidR="0037015C" w:rsidRPr="0037015C" w:rsidRDefault="0037015C">
    <w:pPr>
      <w:pStyle w:val="Footer"/>
      <w:jc w:val="center"/>
      <w:rPr>
        <w:b/>
        <w:caps/>
        <w:noProof/>
      </w:rPr>
    </w:pPr>
    <w:r w:rsidRPr="0037015C">
      <w:rPr>
        <w:b/>
        <w:caps/>
      </w:rPr>
      <w:fldChar w:fldCharType="begin"/>
    </w:r>
    <w:r w:rsidRPr="0037015C">
      <w:rPr>
        <w:b/>
        <w:caps/>
      </w:rPr>
      <w:instrText xml:space="preserve"> PAGE   \* MERGEFORMAT </w:instrText>
    </w:r>
    <w:r w:rsidRPr="0037015C">
      <w:rPr>
        <w:b/>
        <w:caps/>
      </w:rPr>
      <w:fldChar w:fldCharType="separate"/>
    </w:r>
    <w:r w:rsidR="006B4374">
      <w:rPr>
        <w:b/>
        <w:caps/>
        <w:noProof/>
      </w:rPr>
      <w:t>1</w:t>
    </w:r>
    <w:r w:rsidRPr="0037015C">
      <w:rPr>
        <w:b/>
        <w:caps/>
        <w:noProof/>
      </w:rPr>
      <w:fldChar w:fldCharType="end"/>
    </w:r>
  </w:p>
  <w:p w14:paraId="355827FE" w14:textId="03FAFEC5" w:rsidR="001F018E" w:rsidRPr="00D429EC" w:rsidRDefault="001F018E" w:rsidP="00A510E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1F018E" w14:paraId="1B1A9BFB" w14:textId="77777777" w:rsidTr="005A3173">
      <w:trPr>
        <w:trHeight w:val="151"/>
      </w:trPr>
      <w:tc>
        <w:tcPr>
          <w:tcW w:w="2250" w:type="pct"/>
          <w:tcBorders>
            <w:top w:val="nil"/>
            <w:left w:val="nil"/>
            <w:bottom w:val="single" w:sz="4" w:space="0" w:color="4F81BD"/>
            <w:right w:val="nil"/>
          </w:tcBorders>
        </w:tcPr>
        <w:p w14:paraId="1AEC0F9B"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1F018E" w:rsidRPr="005A3173" w:rsidRDefault="001F018E" w:rsidP="005A3173">
          <w:pPr>
            <w:pStyle w:val="Header"/>
            <w:spacing w:line="276" w:lineRule="auto"/>
            <w:rPr>
              <w:rFonts w:eastAsia="MS Gothic"/>
              <w:b/>
              <w:bCs/>
              <w:color w:val="4F81BD"/>
            </w:rPr>
          </w:pPr>
        </w:p>
      </w:tc>
    </w:tr>
    <w:tr w:rsidR="001F018E" w14:paraId="0A17FD7B" w14:textId="77777777" w:rsidTr="005A3173">
      <w:trPr>
        <w:trHeight w:val="150"/>
      </w:trPr>
      <w:tc>
        <w:tcPr>
          <w:tcW w:w="2250" w:type="pct"/>
          <w:tcBorders>
            <w:top w:val="single" w:sz="4" w:space="0" w:color="4F81BD"/>
            <w:left w:val="nil"/>
            <w:bottom w:val="nil"/>
            <w:right w:val="nil"/>
          </w:tcBorders>
        </w:tcPr>
        <w:p w14:paraId="66DEA9D9"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0726D67B"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77FEEEB1" w14:textId="77777777" w:rsidR="001F018E" w:rsidRPr="005A3173" w:rsidRDefault="001F018E"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1F018E" w14:paraId="434C4AE3" w14:textId="77777777" w:rsidTr="005A3173">
      <w:trPr>
        <w:trHeight w:val="151"/>
      </w:trPr>
      <w:tc>
        <w:tcPr>
          <w:tcW w:w="2250" w:type="pct"/>
          <w:tcBorders>
            <w:top w:val="nil"/>
            <w:left w:val="nil"/>
            <w:bottom w:val="single" w:sz="4" w:space="0" w:color="4F81BD"/>
            <w:right w:val="nil"/>
          </w:tcBorders>
        </w:tcPr>
        <w:p w14:paraId="556410DA" w14:textId="77777777" w:rsidR="001F018E" w:rsidRPr="005A3173" w:rsidRDefault="001F018E"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1F018E" w:rsidRPr="005A3173" w:rsidRDefault="001F018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1F018E" w:rsidRPr="005A3173" w:rsidRDefault="001F018E" w:rsidP="005A3173">
          <w:pPr>
            <w:pStyle w:val="Header"/>
            <w:spacing w:line="276" w:lineRule="auto"/>
            <w:rPr>
              <w:rFonts w:eastAsia="MS Gothic"/>
              <w:b/>
              <w:bCs/>
              <w:color w:val="4F81BD"/>
            </w:rPr>
          </w:pPr>
        </w:p>
      </w:tc>
    </w:tr>
    <w:tr w:rsidR="001F018E" w14:paraId="2F5EEC4C" w14:textId="77777777" w:rsidTr="005A3173">
      <w:trPr>
        <w:trHeight w:val="150"/>
      </w:trPr>
      <w:tc>
        <w:tcPr>
          <w:tcW w:w="2250" w:type="pct"/>
          <w:tcBorders>
            <w:top w:val="single" w:sz="4" w:space="0" w:color="4F81BD"/>
            <w:left w:val="nil"/>
            <w:bottom w:val="nil"/>
            <w:right w:val="nil"/>
          </w:tcBorders>
        </w:tcPr>
        <w:p w14:paraId="60E1BA15" w14:textId="77777777" w:rsidR="001F018E" w:rsidRPr="005A3173" w:rsidRDefault="001F018E" w:rsidP="005A3173">
          <w:pPr>
            <w:pStyle w:val="Header"/>
            <w:spacing w:line="276" w:lineRule="auto"/>
            <w:rPr>
              <w:rFonts w:eastAsia="MS Gothic"/>
              <w:b/>
              <w:bCs/>
              <w:color w:val="4F81BD"/>
            </w:rPr>
          </w:pPr>
        </w:p>
      </w:tc>
      <w:tc>
        <w:tcPr>
          <w:tcW w:w="0" w:type="auto"/>
          <w:vMerge/>
          <w:vAlign w:val="center"/>
          <w:hideMark/>
        </w:tcPr>
        <w:p w14:paraId="4EACACBE" w14:textId="77777777" w:rsidR="001F018E" w:rsidRPr="005A3173" w:rsidRDefault="001F018E" w:rsidP="005A3173">
          <w:pPr>
            <w:rPr>
              <w:color w:val="365F91"/>
              <w:sz w:val="22"/>
              <w:szCs w:val="22"/>
            </w:rPr>
          </w:pPr>
        </w:p>
      </w:tc>
      <w:tc>
        <w:tcPr>
          <w:tcW w:w="2250" w:type="pct"/>
          <w:tcBorders>
            <w:top w:val="single" w:sz="4" w:space="0" w:color="4F81BD"/>
            <w:left w:val="nil"/>
            <w:bottom w:val="nil"/>
            <w:right w:val="nil"/>
          </w:tcBorders>
        </w:tcPr>
        <w:p w14:paraId="516BCB31" w14:textId="77777777" w:rsidR="001F018E" w:rsidRPr="005A3173" w:rsidRDefault="001F018E" w:rsidP="005A3173">
          <w:pPr>
            <w:pStyle w:val="Header"/>
            <w:spacing w:line="276" w:lineRule="auto"/>
            <w:rPr>
              <w:rFonts w:eastAsia="MS Gothic"/>
              <w:b/>
              <w:bCs/>
              <w:color w:val="4F81BD"/>
            </w:rPr>
          </w:pPr>
        </w:p>
      </w:tc>
    </w:tr>
  </w:tbl>
  <w:p w14:paraId="679BDCC0" w14:textId="6526A616" w:rsidR="001F018E" w:rsidRPr="00797ABE" w:rsidRDefault="001F018E" w:rsidP="007C0F57">
    <w:pPr>
      <w:pStyle w:val="Footer"/>
      <w:jc w:val="center"/>
      <w:rPr>
        <w:sz w:val="20"/>
        <w:szCs w:val="20"/>
      </w:rPr>
    </w:pPr>
    <w:r w:rsidRPr="00797ABE">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7D6BCF">
      <w:rPr>
        <w:rStyle w:val="PageNumber"/>
        <w:noProof/>
      </w:rPr>
      <w:t>1</w:t>
    </w:r>
    <w:r>
      <w:rPr>
        <w:rStyle w:val="PageNumber"/>
      </w:rPr>
      <w:fldChar w:fldCharType="end"/>
    </w:r>
    <w:r w:rsidRPr="00797ABE">
      <w:rPr>
        <w:sz w:val="20"/>
        <w:szCs w:val="20"/>
      </w:rPr>
      <w:t>BAC Meeting</w:t>
    </w:r>
  </w:p>
  <w:p w14:paraId="617093FB" w14:textId="77777777" w:rsidR="001F018E" w:rsidRPr="00797ABE" w:rsidRDefault="001F018E" w:rsidP="007C0F57">
    <w:pPr>
      <w:pStyle w:val="Footer"/>
      <w:jc w:val="center"/>
      <w:rPr>
        <w:sz w:val="20"/>
        <w:szCs w:val="20"/>
      </w:rPr>
    </w:pPr>
    <w:r w:rsidRPr="00797ABE">
      <w:rPr>
        <w:sz w:val="20"/>
        <w:szCs w:val="20"/>
      </w:rPr>
      <w:t>Commercial-in-Confidence</w:t>
    </w:r>
  </w:p>
  <w:p w14:paraId="36E9E30B" w14:textId="77777777" w:rsidR="001F018E" w:rsidRDefault="001F01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1C7ED" w14:textId="77777777" w:rsidR="001F018E" w:rsidRDefault="001F018E">
      <w:r>
        <w:separator/>
      </w:r>
    </w:p>
    <w:p w14:paraId="615FB1ED" w14:textId="77777777" w:rsidR="001F018E" w:rsidRDefault="001F018E"/>
  </w:footnote>
  <w:footnote w:type="continuationSeparator" w:id="0">
    <w:p w14:paraId="55BB0431" w14:textId="77777777" w:rsidR="001F018E" w:rsidRDefault="001F018E">
      <w:r>
        <w:continuationSeparator/>
      </w:r>
    </w:p>
    <w:p w14:paraId="029CA0A0" w14:textId="77777777" w:rsidR="001F018E" w:rsidRDefault="001F018E"/>
  </w:footnote>
  <w:footnote w:type="continuationNotice" w:id="1">
    <w:p w14:paraId="760AF7F7" w14:textId="77777777" w:rsidR="001F018E" w:rsidRDefault="001F01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1F018E"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1F018E" w:rsidRPr="00A06225" w:rsidRDefault="001F018E">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1F018E" w:rsidRPr="00A06225" w:rsidRDefault="001F018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1F018E" w:rsidRPr="00A06225" w:rsidRDefault="001F018E">
          <w:pPr>
            <w:pStyle w:val="Header"/>
            <w:spacing w:line="276" w:lineRule="auto"/>
            <w:rPr>
              <w:rFonts w:ascii="Cambria" w:eastAsia="MS Gothic" w:hAnsi="Cambria"/>
              <w:b/>
              <w:bCs/>
              <w:color w:val="4F81BD"/>
            </w:rPr>
          </w:pPr>
        </w:p>
      </w:tc>
    </w:tr>
    <w:tr w:rsidR="001F018E"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1F018E" w:rsidRPr="00A06225" w:rsidRDefault="001F018E">
          <w:pPr>
            <w:pStyle w:val="Header"/>
            <w:spacing w:line="276" w:lineRule="auto"/>
            <w:rPr>
              <w:rFonts w:ascii="Cambria" w:eastAsia="MS Gothic" w:hAnsi="Cambria"/>
              <w:b/>
              <w:bCs/>
              <w:color w:val="4F81BD"/>
            </w:rPr>
          </w:pPr>
        </w:p>
      </w:tc>
      <w:tc>
        <w:tcPr>
          <w:tcW w:w="0" w:type="auto"/>
          <w:vMerge/>
          <w:vAlign w:val="center"/>
          <w:hideMark/>
        </w:tcPr>
        <w:p w14:paraId="00B70FF1" w14:textId="77777777" w:rsidR="001F018E" w:rsidRPr="00A06225" w:rsidRDefault="001F018E">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1F018E" w:rsidRPr="00A06225" w:rsidRDefault="001F018E">
          <w:pPr>
            <w:pStyle w:val="Header"/>
            <w:spacing w:line="276" w:lineRule="auto"/>
            <w:rPr>
              <w:rFonts w:ascii="Cambria" w:eastAsia="MS Gothic" w:hAnsi="Cambria"/>
              <w:b/>
              <w:bCs/>
              <w:color w:val="4F81BD"/>
            </w:rPr>
          </w:pPr>
        </w:p>
      </w:tc>
    </w:tr>
  </w:tbl>
  <w:p w14:paraId="7DCC695F" w14:textId="77777777" w:rsidR="001F018E" w:rsidRDefault="001F018E">
    <w:pPr>
      <w:pStyle w:val="Header"/>
    </w:pPr>
  </w:p>
  <w:p w14:paraId="25F34A60" w14:textId="77777777" w:rsidR="001F018E" w:rsidRDefault="001F01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F78E" w14:textId="15D1F305" w:rsidR="001F018E" w:rsidRDefault="007D6BCF" w:rsidP="0037015C">
    <w:pPr>
      <w:pStyle w:val="MinorOVRHeader"/>
      <w:jc w:val="center"/>
      <w:rPr>
        <w:i/>
      </w:rPr>
    </w:pPr>
    <w:r w:rsidRPr="007D6BCF">
      <w:rPr>
        <w:i/>
      </w:rPr>
      <w:t xml:space="preserve">Public Summary Document </w:t>
    </w:r>
    <w:r w:rsidR="0037015C">
      <w:rPr>
        <w:i/>
      </w:rPr>
      <w:t>– July 2021 PBAC Meeting</w:t>
    </w:r>
  </w:p>
  <w:p w14:paraId="49E1B9F5" w14:textId="77777777" w:rsidR="001F018E" w:rsidRDefault="001F018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D356B" w14:textId="77777777" w:rsidR="00C976AC" w:rsidRDefault="00C97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800"/>
        </w:tabs>
        <w:ind w:left="180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51BDA"/>
    <w:multiLevelType w:val="multilevel"/>
    <w:tmpl w:val="5882C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64B5D05"/>
    <w:multiLevelType w:val="hybridMultilevel"/>
    <w:tmpl w:val="FB00D76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4" w15:restartNumberingAfterBreak="0">
    <w:nsid w:val="76806613"/>
    <w:multiLevelType w:val="hybridMultilevel"/>
    <w:tmpl w:val="803CE69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4D033C"/>
    <w:multiLevelType w:val="multilevel"/>
    <w:tmpl w:val="0136C09E"/>
    <w:lvl w:ilvl="0">
      <w:start w:val="1"/>
      <w:numFmt w:val="decimal"/>
      <w:pStyle w:val="2-SectionHeading"/>
      <w:lvlText w:val="%1"/>
      <w:lvlJc w:val="left"/>
      <w:pPr>
        <w:ind w:left="720" w:hanging="720"/>
      </w:pPr>
      <w:rPr>
        <w:b/>
        <w:i w:val="0"/>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0"/>
  </w:num>
  <w:num w:numId="5">
    <w:abstractNumId w:val="8"/>
  </w:num>
  <w:num w:numId="6">
    <w:abstractNumId w:val="16"/>
  </w:num>
  <w:num w:numId="7">
    <w:abstractNumId w:val="12"/>
  </w:num>
  <w:num w:numId="8">
    <w:abstractNumId w:val="7"/>
  </w:num>
  <w:num w:numId="9">
    <w:abstractNumId w:val="6"/>
  </w:num>
  <w:num w:numId="10">
    <w:abstractNumId w:val="1"/>
  </w:num>
  <w:num w:numId="11">
    <w:abstractNumId w:val="15"/>
  </w:num>
  <w:num w:numId="12">
    <w:abstractNumId w:val="11"/>
  </w:num>
  <w:num w:numId="13">
    <w:abstractNumId w:val="4"/>
  </w:num>
  <w:num w:numId="14">
    <w:abstractNumId w:val="9"/>
  </w:num>
  <w:num w:numId="15">
    <w:abstractNumId w:val="10"/>
  </w:num>
  <w:num w:numId="16">
    <w:abstractNumId w:val="13"/>
  </w:num>
  <w:num w:numId="17">
    <w:abstractNumId w:val="15"/>
  </w:num>
  <w:num w:numId="18">
    <w:abstractNumId w:val="14"/>
  </w:num>
  <w:num w:numId="19">
    <w:abstractNumId w:val="2"/>
  </w:num>
  <w:num w:numId="20">
    <w:abstractNumId w:val="15"/>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7C8"/>
    <w:rsid w:val="0000080A"/>
    <w:rsid w:val="00001663"/>
    <w:rsid w:val="000025AD"/>
    <w:rsid w:val="0000335D"/>
    <w:rsid w:val="00006782"/>
    <w:rsid w:val="00011A59"/>
    <w:rsid w:val="00012EAB"/>
    <w:rsid w:val="00016A41"/>
    <w:rsid w:val="00017A0C"/>
    <w:rsid w:val="000214D1"/>
    <w:rsid w:val="0002464A"/>
    <w:rsid w:val="00025A04"/>
    <w:rsid w:val="0003050E"/>
    <w:rsid w:val="0003106B"/>
    <w:rsid w:val="00034905"/>
    <w:rsid w:val="00036131"/>
    <w:rsid w:val="000421A1"/>
    <w:rsid w:val="0004240E"/>
    <w:rsid w:val="000425CB"/>
    <w:rsid w:val="0004368D"/>
    <w:rsid w:val="00044EC4"/>
    <w:rsid w:val="00045E26"/>
    <w:rsid w:val="000514B5"/>
    <w:rsid w:val="0005322E"/>
    <w:rsid w:val="00054E2B"/>
    <w:rsid w:val="00055FF0"/>
    <w:rsid w:val="00060E64"/>
    <w:rsid w:val="00066193"/>
    <w:rsid w:val="00066755"/>
    <w:rsid w:val="00071A5B"/>
    <w:rsid w:val="00072730"/>
    <w:rsid w:val="0007337F"/>
    <w:rsid w:val="000763D5"/>
    <w:rsid w:val="00076C38"/>
    <w:rsid w:val="00077143"/>
    <w:rsid w:val="00077BB2"/>
    <w:rsid w:val="00077DF7"/>
    <w:rsid w:val="0008050C"/>
    <w:rsid w:val="00082169"/>
    <w:rsid w:val="00083441"/>
    <w:rsid w:val="000834BE"/>
    <w:rsid w:val="00083F01"/>
    <w:rsid w:val="00083F24"/>
    <w:rsid w:val="00087C4C"/>
    <w:rsid w:val="000918CB"/>
    <w:rsid w:val="00091B06"/>
    <w:rsid w:val="000951C4"/>
    <w:rsid w:val="00095ADA"/>
    <w:rsid w:val="000969AD"/>
    <w:rsid w:val="000975FB"/>
    <w:rsid w:val="000A1DB0"/>
    <w:rsid w:val="000A3AA2"/>
    <w:rsid w:val="000A44B2"/>
    <w:rsid w:val="000A52F6"/>
    <w:rsid w:val="000B44C3"/>
    <w:rsid w:val="000B558D"/>
    <w:rsid w:val="000B5A89"/>
    <w:rsid w:val="000B65F6"/>
    <w:rsid w:val="000B7767"/>
    <w:rsid w:val="000B7A72"/>
    <w:rsid w:val="000C5F95"/>
    <w:rsid w:val="000C6996"/>
    <w:rsid w:val="000C7C46"/>
    <w:rsid w:val="000D09E9"/>
    <w:rsid w:val="000D113F"/>
    <w:rsid w:val="000D23BA"/>
    <w:rsid w:val="000D6FAC"/>
    <w:rsid w:val="000E19B7"/>
    <w:rsid w:val="000E20FC"/>
    <w:rsid w:val="000E3DFB"/>
    <w:rsid w:val="000E5EA1"/>
    <w:rsid w:val="000E681E"/>
    <w:rsid w:val="000E7E52"/>
    <w:rsid w:val="000F0003"/>
    <w:rsid w:val="000F3384"/>
    <w:rsid w:val="000F4E6A"/>
    <w:rsid w:val="000F7354"/>
    <w:rsid w:val="00101ABE"/>
    <w:rsid w:val="00102202"/>
    <w:rsid w:val="00102700"/>
    <w:rsid w:val="00102A78"/>
    <w:rsid w:val="00103118"/>
    <w:rsid w:val="00104227"/>
    <w:rsid w:val="001107BF"/>
    <w:rsid w:val="00113649"/>
    <w:rsid w:val="00113D5C"/>
    <w:rsid w:val="0012417C"/>
    <w:rsid w:val="00124BF2"/>
    <w:rsid w:val="0012597F"/>
    <w:rsid w:val="00126C9B"/>
    <w:rsid w:val="0012749D"/>
    <w:rsid w:val="001306A5"/>
    <w:rsid w:val="001311AE"/>
    <w:rsid w:val="001367D6"/>
    <w:rsid w:val="00140B74"/>
    <w:rsid w:val="00140D94"/>
    <w:rsid w:val="00142395"/>
    <w:rsid w:val="00142714"/>
    <w:rsid w:val="0014370C"/>
    <w:rsid w:val="00144D09"/>
    <w:rsid w:val="001452ED"/>
    <w:rsid w:val="00147D84"/>
    <w:rsid w:val="00151389"/>
    <w:rsid w:val="001540E5"/>
    <w:rsid w:val="001549C1"/>
    <w:rsid w:val="00156C8D"/>
    <w:rsid w:val="00160F4D"/>
    <w:rsid w:val="00162298"/>
    <w:rsid w:val="00162BDD"/>
    <w:rsid w:val="00162D4E"/>
    <w:rsid w:val="00163329"/>
    <w:rsid w:val="00163664"/>
    <w:rsid w:val="00164623"/>
    <w:rsid w:val="001652DE"/>
    <w:rsid w:val="00165B64"/>
    <w:rsid w:val="00176B9D"/>
    <w:rsid w:val="00180713"/>
    <w:rsid w:val="00180720"/>
    <w:rsid w:val="001830CE"/>
    <w:rsid w:val="00183660"/>
    <w:rsid w:val="001836E3"/>
    <w:rsid w:val="0018643B"/>
    <w:rsid w:val="001907DB"/>
    <w:rsid w:val="00196307"/>
    <w:rsid w:val="00197783"/>
    <w:rsid w:val="00197F03"/>
    <w:rsid w:val="001A0D10"/>
    <w:rsid w:val="001A33EA"/>
    <w:rsid w:val="001A4413"/>
    <w:rsid w:val="001A4C4F"/>
    <w:rsid w:val="001A5A2B"/>
    <w:rsid w:val="001A76FB"/>
    <w:rsid w:val="001B017F"/>
    <w:rsid w:val="001B0B79"/>
    <w:rsid w:val="001B2BBC"/>
    <w:rsid w:val="001B3A40"/>
    <w:rsid w:val="001B3FFE"/>
    <w:rsid w:val="001B5129"/>
    <w:rsid w:val="001C0B4C"/>
    <w:rsid w:val="001C0EC4"/>
    <w:rsid w:val="001C1195"/>
    <w:rsid w:val="001C12AE"/>
    <w:rsid w:val="001C1E84"/>
    <w:rsid w:val="001C2E42"/>
    <w:rsid w:val="001C4F3A"/>
    <w:rsid w:val="001D1F5F"/>
    <w:rsid w:val="001E0232"/>
    <w:rsid w:val="001E06D2"/>
    <w:rsid w:val="001E17C4"/>
    <w:rsid w:val="001F005B"/>
    <w:rsid w:val="001F018E"/>
    <w:rsid w:val="001F1850"/>
    <w:rsid w:val="001F1FBF"/>
    <w:rsid w:val="001F2B80"/>
    <w:rsid w:val="001F2F1C"/>
    <w:rsid w:val="001F3189"/>
    <w:rsid w:val="00201FB8"/>
    <w:rsid w:val="00203FAC"/>
    <w:rsid w:val="00213BF8"/>
    <w:rsid w:val="00213CFB"/>
    <w:rsid w:val="0021553C"/>
    <w:rsid w:val="0021557B"/>
    <w:rsid w:val="002174FD"/>
    <w:rsid w:val="00217BE1"/>
    <w:rsid w:val="002210AE"/>
    <w:rsid w:val="002214B9"/>
    <w:rsid w:val="00230F63"/>
    <w:rsid w:val="00234252"/>
    <w:rsid w:val="0023466E"/>
    <w:rsid w:val="00234822"/>
    <w:rsid w:val="00237AC6"/>
    <w:rsid w:val="00244139"/>
    <w:rsid w:val="0024417C"/>
    <w:rsid w:val="00244490"/>
    <w:rsid w:val="00245B9C"/>
    <w:rsid w:val="00253499"/>
    <w:rsid w:val="002551A4"/>
    <w:rsid w:val="00257664"/>
    <w:rsid w:val="00265151"/>
    <w:rsid w:val="00265C2C"/>
    <w:rsid w:val="00266509"/>
    <w:rsid w:val="00271BA1"/>
    <w:rsid w:val="00273AC5"/>
    <w:rsid w:val="002762FA"/>
    <w:rsid w:val="00277505"/>
    <w:rsid w:val="0028158C"/>
    <w:rsid w:val="002823B6"/>
    <w:rsid w:val="002834D6"/>
    <w:rsid w:val="00283CDC"/>
    <w:rsid w:val="00290C03"/>
    <w:rsid w:val="00294274"/>
    <w:rsid w:val="0029458F"/>
    <w:rsid w:val="002A018F"/>
    <w:rsid w:val="002A088A"/>
    <w:rsid w:val="002A0E04"/>
    <w:rsid w:val="002A104C"/>
    <w:rsid w:val="002A1EF7"/>
    <w:rsid w:val="002A494D"/>
    <w:rsid w:val="002A4960"/>
    <w:rsid w:val="002A636A"/>
    <w:rsid w:val="002B0AE0"/>
    <w:rsid w:val="002B1AE6"/>
    <w:rsid w:val="002B1D51"/>
    <w:rsid w:val="002B2DE8"/>
    <w:rsid w:val="002B30F8"/>
    <w:rsid w:val="002B388A"/>
    <w:rsid w:val="002B5596"/>
    <w:rsid w:val="002B77D7"/>
    <w:rsid w:val="002C212F"/>
    <w:rsid w:val="002C2F35"/>
    <w:rsid w:val="002C6AA9"/>
    <w:rsid w:val="002C7485"/>
    <w:rsid w:val="002D2641"/>
    <w:rsid w:val="002D283A"/>
    <w:rsid w:val="002D3F6A"/>
    <w:rsid w:val="002D4543"/>
    <w:rsid w:val="002E3153"/>
    <w:rsid w:val="002E4A02"/>
    <w:rsid w:val="002E5292"/>
    <w:rsid w:val="002E72CA"/>
    <w:rsid w:val="002F1D07"/>
    <w:rsid w:val="002F600D"/>
    <w:rsid w:val="002F6F0F"/>
    <w:rsid w:val="002F7E47"/>
    <w:rsid w:val="00300AD6"/>
    <w:rsid w:val="00300B1B"/>
    <w:rsid w:val="003019D0"/>
    <w:rsid w:val="003064AF"/>
    <w:rsid w:val="00310A8B"/>
    <w:rsid w:val="00310B68"/>
    <w:rsid w:val="003160D2"/>
    <w:rsid w:val="003173FC"/>
    <w:rsid w:val="00317C6C"/>
    <w:rsid w:val="00320B80"/>
    <w:rsid w:val="00320CD3"/>
    <w:rsid w:val="00326E79"/>
    <w:rsid w:val="0032748A"/>
    <w:rsid w:val="003301B1"/>
    <w:rsid w:val="00331189"/>
    <w:rsid w:val="0033263D"/>
    <w:rsid w:val="0033518A"/>
    <w:rsid w:val="00335535"/>
    <w:rsid w:val="00335796"/>
    <w:rsid w:val="003367EF"/>
    <w:rsid w:val="00341AE4"/>
    <w:rsid w:val="00341BCC"/>
    <w:rsid w:val="003476EE"/>
    <w:rsid w:val="003541DD"/>
    <w:rsid w:val="0035643A"/>
    <w:rsid w:val="00356E5B"/>
    <w:rsid w:val="0037015C"/>
    <w:rsid w:val="00370222"/>
    <w:rsid w:val="003736C9"/>
    <w:rsid w:val="00377A9F"/>
    <w:rsid w:val="00377B3B"/>
    <w:rsid w:val="00383B77"/>
    <w:rsid w:val="00384988"/>
    <w:rsid w:val="003872CF"/>
    <w:rsid w:val="0039782C"/>
    <w:rsid w:val="003A1135"/>
    <w:rsid w:val="003A13A6"/>
    <w:rsid w:val="003A2165"/>
    <w:rsid w:val="003A5B4A"/>
    <w:rsid w:val="003A5D95"/>
    <w:rsid w:val="003B0D3A"/>
    <w:rsid w:val="003B2302"/>
    <w:rsid w:val="003B23C5"/>
    <w:rsid w:val="003B2A75"/>
    <w:rsid w:val="003B49B2"/>
    <w:rsid w:val="003B6124"/>
    <w:rsid w:val="003B7960"/>
    <w:rsid w:val="003C093A"/>
    <w:rsid w:val="003C1ECF"/>
    <w:rsid w:val="003C2FB5"/>
    <w:rsid w:val="003C3A94"/>
    <w:rsid w:val="003C6F16"/>
    <w:rsid w:val="003D24C5"/>
    <w:rsid w:val="003D4594"/>
    <w:rsid w:val="003D4AC4"/>
    <w:rsid w:val="003D63B7"/>
    <w:rsid w:val="003D74C5"/>
    <w:rsid w:val="003E3E7E"/>
    <w:rsid w:val="003E4374"/>
    <w:rsid w:val="003E468B"/>
    <w:rsid w:val="003E4708"/>
    <w:rsid w:val="003E62BD"/>
    <w:rsid w:val="003F044F"/>
    <w:rsid w:val="003F0C3A"/>
    <w:rsid w:val="003F15F0"/>
    <w:rsid w:val="003F26A6"/>
    <w:rsid w:val="003F3228"/>
    <w:rsid w:val="003F549A"/>
    <w:rsid w:val="003F5C8C"/>
    <w:rsid w:val="003F63CE"/>
    <w:rsid w:val="003F775A"/>
    <w:rsid w:val="00400E55"/>
    <w:rsid w:val="0040128E"/>
    <w:rsid w:val="0040216B"/>
    <w:rsid w:val="00420400"/>
    <w:rsid w:val="0042125F"/>
    <w:rsid w:val="004252EC"/>
    <w:rsid w:val="0042773F"/>
    <w:rsid w:val="00430D39"/>
    <w:rsid w:val="00435F27"/>
    <w:rsid w:val="00442C91"/>
    <w:rsid w:val="004465BD"/>
    <w:rsid w:val="00446938"/>
    <w:rsid w:val="004528FA"/>
    <w:rsid w:val="004544D5"/>
    <w:rsid w:val="00461A44"/>
    <w:rsid w:val="00462D26"/>
    <w:rsid w:val="004635DD"/>
    <w:rsid w:val="0046385A"/>
    <w:rsid w:val="00464652"/>
    <w:rsid w:val="00465424"/>
    <w:rsid w:val="00466ADA"/>
    <w:rsid w:val="004702BB"/>
    <w:rsid w:val="00474418"/>
    <w:rsid w:val="0047494B"/>
    <w:rsid w:val="00476245"/>
    <w:rsid w:val="00477A9B"/>
    <w:rsid w:val="00483035"/>
    <w:rsid w:val="00485940"/>
    <w:rsid w:val="00486C95"/>
    <w:rsid w:val="004877C2"/>
    <w:rsid w:val="004904B9"/>
    <w:rsid w:val="00496662"/>
    <w:rsid w:val="004A2484"/>
    <w:rsid w:val="004A4BB9"/>
    <w:rsid w:val="004A576D"/>
    <w:rsid w:val="004A57AC"/>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0811"/>
    <w:rsid w:val="004D2CD1"/>
    <w:rsid w:val="004D2FE5"/>
    <w:rsid w:val="004D4FF6"/>
    <w:rsid w:val="004D5ADD"/>
    <w:rsid w:val="004E692D"/>
    <w:rsid w:val="004E7230"/>
    <w:rsid w:val="004E7D87"/>
    <w:rsid w:val="004F2553"/>
    <w:rsid w:val="004F306A"/>
    <w:rsid w:val="00500328"/>
    <w:rsid w:val="00501554"/>
    <w:rsid w:val="00502AFE"/>
    <w:rsid w:val="00502E64"/>
    <w:rsid w:val="00503AD7"/>
    <w:rsid w:val="00504E0C"/>
    <w:rsid w:val="00504E13"/>
    <w:rsid w:val="005050EE"/>
    <w:rsid w:val="005109D4"/>
    <w:rsid w:val="00514CD7"/>
    <w:rsid w:val="005167EC"/>
    <w:rsid w:val="0051701D"/>
    <w:rsid w:val="005170DA"/>
    <w:rsid w:val="00520D6A"/>
    <w:rsid w:val="00522DB6"/>
    <w:rsid w:val="005264A7"/>
    <w:rsid w:val="0052792D"/>
    <w:rsid w:val="005319B2"/>
    <w:rsid w:val="00532402"/>
    <w:rsid w:val="00532C74"/>
    <w:rsid w:val="00534E2E"/>
    <w:rsid w:val="0054064C"/>
    <w:rsid w:val="00541B5D"/>
    <w:rsid w:val="00544552"/>
    <w:rsid w:val="00545130"/>
    <w:rsid w:val="0055286A"/>
    <w:rsid w:val="00555745"/>
    <w:rsid w:val="00557D4F"/>
    <w:rsid w:val="0056122E"/>
    <w:rsid w:val="0056484E"/>
    <w:rsid w:val="00567D8A"/>
    <w:rsid w:val="005764CD"/>
    <w:rsid w:val="00577C4D"/>
    <w:rsid w:val="00580532"/>
    <w:rsid w:val="00581932"/>
    <w:rsid w:val="005963BB"/>
    <w:rsid w:val="005A3173"/>
    <w:rsid w:val="005A3223"/>
    <w:rsid w:val="005A3DA3"/>
    <w:rsid w:val="005A52C4"/>
    <w:rsid w:val="005A63A1"/>
    <w:rsid w:val="005B0255"/>
    <w:rsid w:val="005C4F73"/>
    <w:rsid w:val="005C7FE0"/>
    <w:rsid w:val="005D03AB"/>
    <w:rsid w:val="005D401D"/>
    <w:rsid w:val="005D5017"/>
    <w:rsid w:val="005D62A2"/>
    <w:rsid w:val="005D63FA"/>
    <w:rsid w:val="005D6C2D"/>
    <w:rsid w:val="005D73C7"/>
    <w:rsid w:val="005E0C2D"/>
    <w:rsid w:val="005E0D82"/>
    <w:rsid w:val="005E0F59"/>
    <w:rsid w:val="005E1333"/>
    <w:rsid w:val="005E3136"/>
    <w:rsid w:val="005E507D"/>
    <w:rsid w:val="005F0430"/>
    <w:rsid w:val="005F0AD0"/>
    <w:rsid w:val="00601A91"/>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A2C"/>
    <w:rsid w:val="00635761"/>
    <w:rsid w:val="0063682E"/>
    <w:rsid w:val="00640088"/>
    <w:rsid w:val="00642672"/>
    <w:rsid w:val="00642DA8"/>
    <w:rsid w:val="006436CD"/>
    <w:rsid w:val="00651169"/>
    <w:rsid w:val="00653D69"/>
    <w:rsid w:val="006552E6"/>
    <w:rsid w:val="00655794"/>
    <w:rsid w:val="00656D4D"/>
    <w:rsid w:val="00657C63"/>
    <w:rsid w:val="00661CBC"/>
    <w:rsid w:val="00662B85"/>
    <w:rsid w:val="006670BE"/>
    <w:rsid w:val="00670A76"/>
    <w:rsid w:val="006711AA"/>
    <w:rsid w:val="00671F08"/>
    <w:rsid w:val="00672B57"/>
    <w:rsid w:val="00673F1F"/>
    <w:rsid w:val="00675622"/>
    <w:rsid w:val="0067747D"/>
    <w:rsid w:val="006818D5"/>
    <w:rsid w:val="00681CA4"/>
    <w:rsid w:val="0069039D"/>
    <w:rsid w:val="006906DB"/>
    <w:rsid w:val="00691900"/>
    <w:rsid w:val="00691E6C"/>
    <w:rsid w:val="0069342D"/>
    <w:rsid w:val="00693DFB"/>
    <w:rsid w:val="0069501D"/>
    <w:rsid w:val="00696129"/>
    <w:rsid w:val="00697CF2"/>
    <w:rsid w:val="006A1274"/>
    <w:rsid w:val="006A12A5"/>
    <w:rsid w:val="006A2515"/>
    <w:rsid w:val="006A5E20"/>
    <w:rsid w:val="006B0D94"/>
    <w:rsid w:val="006B4374"/>
    <w:rsid w:val="006B485D"/>
    <w:rsid w:val="006C0C45"/>
    <w:rsid w:val="006C334C"/>
    <w:rsid w:val="006C6C10"/>
    <w:rsid w:val="006C708E"/>
    <w:rsid w:val="006D14E7"/>
    <w:rsid w:val="006D4444"/>
    <w:rsid w:val="006D6493"/>
    <w:rsid w:val="006D6EC7"/>
    <w:rsid w:val="006E1BCD"/>
    <w:rsid w:val="006E2732"/>
    <w:rsid w:val="006E59CD"/>
    <w:rsid w:val="006F0A71"/>
    <w:rsid w:val="006F40C2"/>
    <w:rsid w:val="006F5125"/>
    <w:rsid w:val="006F733D"/>
    <w:rsid w:val="00700765"/>
    <w:rsid w:val="0070100C"/>
    <w:rsid w:val="00702B6F"/>
    <w:rsid w:val="00704069"/>
    <w:rsid w:val="00706A2F"/>
    <w:rsid w:val="0070718E"/>
    <w:rsid w:val="00707D9A"/>
    <w:rsid w:val="00707E52"/>
    <w:rsid w:val="00710259"/>
    <w:rsid w:val="0071031F"/>
    <w:rsid w:val="0071340B"/>
    <w:rsid w:val="0071436D"/>
    <w:rsid w:val="00715BBB"/>
    <w:rsid w:val="007174BB"/>
    <w:rsid w:val="0072025D"/>
    <w:rsid w:val="00723328"/>
    <w:rsid w:val="0073137C"/>
    <w:rsid w:val="007340B9"/>
    <w:rsid w:val="007353D3"/>
    <w:rsid w:val="00735C68"/>
    <w:rsid w:val="0074156B"/>
    <w:rsid w:val="00741619"/>
    <w:rsid w:val="00747092"/>
    <w:rsid w:val="007526E6"/>
    <w:rsid w:val="00754DF9"/>
    <w:rsid w:val="007555E8"/>
    <w:rsid w:val="00755CC5"/>
    <w:rsid w:val="0076420C"/>
    <w:rsid w:val="00771D07"/>
    <w:rsid w:val="00773BE3"/>
    <w:rsid w:val="007743DD"/>
    <w:rsid w:val="00774E2C"/>
    <w:rsid w:val="0077518D"/>
    <w:rsid w:val="007753C2"/>
    <w:rsid w:val="00780A7E"/>
    <w:rsid w:val="007838B8"/>
    <w:rsid w:val="00783A34"/>
    <w:rsid w:val="007915BA"/>
    <w:rsid w:val="00791844"/>
    <w:rsid w:val="007979BD"/>
    <w:rsid w:val="00797ABE"/>
    <w:rsid w:val="007A6A2F"/>
    <w:rsid w:val="007A6A56"/>
    <w:rsid w:val="007B024E"/>
    <w:rsid w:val="007B3DDC"/>
    <w:rsid w:val="007B72A6"/>
    <w:rsid w:val="007C06D2"/>
    <w:rsid w:val="007C08E0"/>
    <w:rsid w:val="007C0F57"/>
    <w:rsid w:val="007C40B6"/>
    <w:rsid w:val="007C729F"/>
    <w:rsid w:val="007D1DA7"/>
    <w:rsid w:val="007D503D"/>
    <w:rsid w:val="007D59E7"/>
    <w:rsid w:val="007D5DF5"/>
    <w:rsid w:val="007D5F2A"/>
    <w:rsid w:val="007D6BCF"/>
    <w:rsid w:val="007E1D28"/>
    <w:rsid w:val="007E490F"/>
    <w:rsid w:val="007F0021"/>
    <w:rsid w:val="007F2641"/>
    <w:rsid w:val="007F7C36"/>
    <w:rsid w:val="00804E18"/>
    <w:rsid w:val="008055AF"/>
    <w:rsid w:val="008057CD"/>
    <w:rsid w:val="00806796"/>
    <w:rsid w:val="00810167"/>
    <w:rsid w:val="00811CC0"/>
    <w:rsid w:val="0081255C"/>
    <w:rsid w:val="008151D6"/>
    <w:rsid w:val="00816FA4"/>
    <w:rsid w:val="00821527"/>
    <w:rsid w:val="00822696"/>
    <w:rsid w:val="00825A6C"/>
    <w:rsid w:val="0082617E"/>
    <w:rsid w:val="008268BB"/>
    <w:rsid w:val="00826F6D"/>
    <w:rsid w:val="008306F3"/>
    <w:rsid w:val="00830E40"/>
    <w:rsid w:val="00832D9A"/>
    <w:rsid w:val="00835C62"/>
    <w:rsid w:val="008368A1"/>
    <w:rsid w:val="00837782"/>
    <w:rsid w:val="00840EF7"/>
    <w:rsid w:val="00844C0A"/>
    <w:rsid w:val="00846056"/>
    <w:rsid w:val="0084681F"/>
    <w:rsid w:val="00847EC0"/>
    <w:rsid w:val="00855FD6"/>
    <w:rsid w:val="00856DDD"/>
    <w:rsid w:val="00857144"/>
    <w:rsid w:val="00861E0D"/>
    <w:rsid w:val="00863E68"/>
    <w:rsid w:val="008647B5"/>
    <w:rsid w:val="00867CD6"/>
    <w:rsid w:val="00867D64"/>
    <w:rsid w:val="00873775"/>
    <w:rsid w:val="00875DCB"/>
    <w:rsid w:val="0087755A"/>
    <w:rsid w:val="00882085"/>
    <w:rsid w:val="00883188"/>
    <w:rsid w:val="00884A0C"/>
    <w:rsid w:val="00886ACA"/>
    <w:rsid w:val="0089031E"/>
    <w:rsid w:val="00892DFF"/>
    <w:rsid w:val="0089460B"/>
    <w:rsid w:val="00897D58"/>
    <w:rsid w:val="00897F22"/>
    <w:rsid w:val="008A0B39"/>
    <w:rsid w:val="008A17A3"/>
    <w:rsid w:val="008A1956"/>
    <w:rsid w:val="008A1E85"/>
    <w:rsid w:val="008A2419"/>
    <w:rsid w:val="008A4937"/>
    <w:rsid w:val="008A50F1"/>
    <w:rsid w:val="008A59D9"/>
    <w:rsid w:val="008A643E"/>
    <w:rsid w:val="008A6675"/>
    <w:rsid w:val="008A6819"/>
    <w:rsid w:val="008B2EC0"/>
    <w:rsid w:val="008B6DCF"/>
    <w:rsid w:val="008C0679"/>
    <w:rsid w:val="008C32ED"/>
    <w:rsid w:val="008D0945"/>
    <w:rsid w:val="008D1409"/>
    <w:rsid w:val="008D15CC"/>
    <w:rsid w:val="008D1729"/>
    <w:rsid w:val="008D1B5C"/>
    <w:rsid w:val="008D3C82"/>
    <w:rsid w:val="008D447E"/>
    <w:rsid w:val="008D6ACF"/>
    <w:rsid w:val="008D7A41"/>
    <w:rsid w:val="008E2C72"/>
    <w:rsid w:val="008E2D47"/>
    <w:rsid w:val="008E3680"/>
    <w:rsid w:val="008E5870"/>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7D69"/>
    <w:rsid w:val="00920B6D"/>
    <w:rsid w:val="00922C93"/>
    <w:rsid w:val="00925473"/>
    <w:rsid w:val="00926560"/>
    <w:rsid w:val="00926B15"/>
    <w:rsid w:val="00930291"/>
    <w:rsid w:val="00930937"/>
    <w:rsid w:val="009324A6"/>
    <w:rsid w:val="00933E6C"/>
    <w:rsid w:val="00935A6E"/>
    <w:rsid w:val="00937958"/>
    <w:rsid w:val="009406E5"/>
    <w:rsid w:val="00941602"/>
    <w:rsid w:val="00942160"/>
    <w:rsid w:val="00946921"/>
    <w:rsid w:val="0095146F"/>
    <w:rsid w:val="00957944"/>
    <w:rsid w:val="009602C5"/>
    <w:rsid w:val="00962223"/>
    <w:rsid w:val="0096252B"/>
    <w:rsid w:val="00964A9F"/>
    <w:rsid w:val="00966D0D"/>
    <w:rsid w:val="00967732"/>
    <w:rsid w:val="0096783C"/>
    <w:rsid w:val="00967FEF"/>
    <w:rsid w:val="00970FBD"/>
    <w:rsid w:val="009722B3"/>
    <w:rsid w:val="00973E24"/>
    <w:rsid w:val="00974C21"/>
    <w:rsid w:val="00975948"/>
    <w:rsid w:val="00975B14"/>
    <w:rsid w:val="00977BF3"/>
    <w:rsid w:val="009803E4"/>
    <w:rsid w:val="00980B0E"/>
    <w:rsid w:val="00982B39"/>
    <w:rsid w:val="009836A3"/>
    <w:rsid w:val="009855A8"/>
    <w:rsid w:val="00985D1A"/>
    <w:rsid w:val="009913F4"/>
    <w:rsid w:val="00991782"/>
    <w:rsid w:val="009937F7"/>
    <w:rsid w:val="0099465B"/>
    <w:rsid w:val="009951A1"/>
    <w:rsid w:val="00996B7F"/>
    <w:rsid w:val="0099785D"/>
    <w:rsid w:val="00997A44"/>
    <w:rsid w:val="009A0CDD"/>
    <w:rsid w:val="009A3168"/>
    <w:rsid w:val="009A4BDF"/>
    <w:rsid w:val="009A5D04"/>
    <w:rsid w:val="009A61CA"/>
    <w:rsid w:val="009B0C64"/>
    <w:rsid w:val="009B0F67"/>
    <w:rsid w:val="009B3F8C"/>
    <w:rsid w:val="009C0E33"/>
    <w:rsid w:val="009C43A8"/>
    <w:rsid w:val="009C62B8"/>
    <w:rsid w:val="009C703C"/>
    <w:rsid w:val="009D206E"/>
    <w:rsid w:val="009D3CAA"/>
    <w:rsid w:val="009D507A"/>
    <w:rsid w:val="009D6532"/>
    <w:rsid w:val="009D6F2A"/>
    <w:rsid w:val="009D71FD"/>
    <w:rsid w:val="009E2588"/>
    <w:rsid w:val="009E2E8E"/>
    <w:rsid w:val="009E40E1"/>
    <w:rsid w:val="009F0EFA"/>
    <w:rsid w:val="009F4121"/>
    <w:rsid w:val="009F4E46"/>
    <w:rsid w:val="009F5B65"/>
    <w:rsid w:val="009F5F2E"/>
    <w:rsid w:val="00A01432"/>
    <w:rsid w:val="00A06225"/>
    <w:rsid w:val="00A110D1"/>
    <w:rsid w:val="00A12587"/>
    <w:rsid w:val="00A128E6"/>
    <w:rsid w:val="00A144D3"/>
    <w:rsid w:val="00A22AC3"/>
    <w:rsid w:val="00A23F3F"/>
    <w:rsid w:val="00A24067"/>
    <w:rsid w:val="00A24A4B"/>
    <w:rsid w:val="00A2744D"/>
    <w:rsid w:val="00A30D16"/>
    <w:rsid w:val="00A32300"/>
    <w:rsid w:val="00A338D9"/>
    <w:rsid w:val="00A34E6C"/>
    <w:rsid w:val="00A34FD0"/>
    <w:rsid w:val="00A36398"/>
    <w:rsid w:val="00A37C8D"/>
    <w:rsid w:val="00A4020E"/>
    <w:rsid w:val="00A40FB5"/>
    <w:rsid w:val="00A42826"/>
    <w:rsid w:val="00A429B3"/>
    <w:rsid w:val="00A42E6A"/>
    <w:rsid w:val="00A44EC1"/>
    <w:rsid w:val="00A510E4"/>
    <w:rsid w:val="00A5273B"/>
    <w:rsid w:val="00A53436"/>
    <w:rsid w:val="00A53A9D"/>
    <w:rsid w:val="00A55FEE"/>
    <w:rsid w:val="00A57422"/>
    <w:rsid w:val="00A62C1A"/>
    <w:rsid w:val="00A6426D"/>
    <w:rsid w:val="00A665C1"/>
    <w:rsid w:val="00A673A4"/>
    <w:rsid w:val="00A7001A"/>
    <w:rsid w:val="00A70622"/>
    <w:rsid w:val="00A70977"/>
    <w:rsid w:val="00A70D58"/>
    <w:rsid w:val="00A744F9"/>
    <w:rsid w:val="00A77613"/>
    <w:rsid w:val="00A77B87"/>
    <w:rsid w:val="00A81851"/>
    <w:rsid w:val="00A8390C"/>
    <w:rsid w:val="00A86AE0"/>
    <w:rsid w:val="00A91362"/>
    <w:rsid w:val="00A9151C"/>
    <w:rsid w:val="00A919C6"/>
    <w:rsid w:val="00A928BD"/>
    <w:rsid w:val="00A97DE9"/>
    <w:rsid w:val="00AA12CD"/>
    <w:rsid w:val="00AA4D1C"/>
    <w:rsid w:val="00AA52FD"/>
    <w:rsid w:val="00AA7006"/>
    <w:rsid w:val="00AB5856"/>
    <w:rsid w:val="00AC193C"/>
    <w:rsid w:val="00AC30C1"/>
    <w:rsid w:val="00AC4DE5"/>
    <w:rsid w:val="00AC5206"/>
    <w:rsid w:val="00AD3106"/>
    <w:rsid w:val="00AD4322"/>
    <w:rsid w:val="00AD5DA7"/>
    <w:rsid w:val="00AE11A5"/>
    <w:rsid w:val="00AE13E2"/>
    <w:rsid w:val="00AE22D3"/>
    <w:rsid w:val="00AE5A49"/>
    <w:rsid w:val="00AF11D8"/>
    <w:rsid w:val="00AF30C7"/>
    <w:rsid w:val="00AF5867"/>
    <w:rsid w:val="00AF62DF"/>
    <w:rsid w:val="00AF68CC"/>
    <w:rsid w:val="00AF70D7"/>
    <w:rsid w:val="00B01FF4"/>
    <w:rsid w:val="00B0326D"/>
    <w:rsid w:val="00B06478"/>
    <w:rsid w:val="00B07533"/>
    <w:rsid w:val="00B07CFB"/>
    <w:rsid w:val="00B1059E"/>
    <w:rsid w:val="00B14A36"/>
    <w:rsid w:val="00B16273"/>
    <w:rsid w:val="00B170A5"/>
    <w:rsid w:val="00B176C8"/>
    <w:rsid w:val="00B17760"/>
    <w:rsid w:val="00B17EE5"/>
    <w:rsid w:val="00B205AA"/>
    <w:rsid w:val="00B22E84"/>
    <w:rsid w:val="00B233AD"/>
    <w:rsid w:val="00B23E25"/>
    <w:rsid w:val="00B25F75"/>
    <w:rsid w:val="00B26B3F"/>
    <w:rsid w:val="00B2778F"/>
    <w:rsid w:val="00B327E2"/>
    <w:rsid w:val="00B33635"/>
    <w:rsid w:val="00B42AF4"/>
    <w:rsid w:val="00B43E90"/>
    <w:rsid w:val="00B467DC"/>
    <w:rsid w:val="00B5392A"/>
    <w:rsid w:val="00B56118"/>
    <w:rsid w:val="00B566E1"/>
    <w:rsid w:val="00B60556"/>
    <w:rsid w:val="00B60F22"/>
    <w:rsid w:val="00B656EF"/>
    <w:rsid w:val="00B6773F"/>
    <w:rsid w:val="00B70EB3"/>
    <w:rsid w:val="00B72906"/>
    <w:rsid w:val="00B72A7E"/>
    <w:rsid w:val="00B7525E"/>
    <w:rsid w:val="00B760FB"/>
    <w:rsid w:val="00B767AB"/>
    <w:rsid w:val="00B801BA"/>
    <w:rsid w:val="00B812D6"/>
    <w:rsid w:val="00B84D5C"/>
    <w:rsid w:val="00B85AF6"/>
    <w:rsid w:val="00B93E2A"/>
    <w:rsid w:val="00B956ED"/>
    <w:rsid w:val="00BA2DA8"/>
    <w:rsid w:val="00BA347C"/>
    <w:rsid w:val="00BA5C73"/>
    <w:rsid w:val="00BB3469"/>
    <w:rsid w:val="00BB5C49"/>
    <w:rsid w:val="00BB6240"/>
    <w:rsid w:val="00BB6285"/>
    <w:rsid w:val="00BB69F5"/>
    <w:rsid w:val="00BB7EC3"/>
    <w:rsid w:val="00BC43CF"/>
    <w:rsid w:val="00BC470E"/>
    <w:rsid w:val="00BC4B9A"/>
    <w:rsid w:val="00BD02C3"/>
    <w:rsid w:val="00BD7483"/>
    <w:rsid w:val="00BD784C"/>
    <w:rsid w:val="00BE020A"/>
    <w:rsid w:val="00BE13DF"/>
    <w:rsid w:val="00BE25D7"/>
    <w:rsid w:val="00BE268B"/>
    <w:rsid w:val="00BF092C"/>
    <w:rsid w:val="00BF27A0"/>
    <w:rsid w:val="00BF389A"/>
    <w:rsid w:val="00BF4CB6"/>
    <w:rsid w:val="00C00DA7"/>
    <w:rsid w:val="00C04CDE"/>
    <w:rsid w:val="00C0648C"/>
    <w:rsid w:val="00C068A6"/>
    <w:rsid w:val="00C12768"/>
    <w:rsid w:val="00C12D70"/>
    <w:rsid w:val="00C16724"/>
    <w:rsid w:val="00C21B09"/>
    <w:rsid w:val="00C2673A"/>
    <w:rsid w:val="00C27B58"/>
    <w:rsid w:val="00C27C1C"/>
    <w:rsid w:val="00C33186"/>
    <w:rsid w:val="00C35996"/>
    <w:rsid w:val="00C4747E"/>
    <w:rsid w:val="00C5151E"/>
    <w:rsid w:val="00C5342C"/>
    <w:rsid w:val="00C53B2B"/>
    <w:rsid w:val="00C57465"/>
    <w:rsid w:val="00C60272"/>
    <w:rsid w:val="00C603D4"/>
    <w:rsid w:val="00C60FB1"/>
    <w:rsid w:val="00C6256A"/>
    <w:rsid w:val="00C64EBC"/>
    <w:rsid w:val="00C664D2"/>
    <w:rsid w:val="00C710E2"/>
    <w:rsid w:val="00C71C3F"/>
    <w:rsid w:val="00C7409E"/>
    <w:rsid w:val="00C74D6D"/>
    <w:rsid w:val="00C7682C"/>
    <w:rsid w:val="00C76E76"/>
    <w:rsid w:val="00C77891"/>
    <w:rsid w:val="00C829A9"/>
    <w:rsid w:val="00C87B80"/>
    <w:rsid w:val="00C91449"/>
    <w:rsid w:val="00C927AA"/>
    <w:rsid w:val="00C92D10"/>
    <w:rsid w:val="00C976AC"/>
    <w:rsid w:val="00CA48D9"/>
    <w:rsid w:val="00CB1193"/>
    <w:rsid w:val="00CB4767"/>
    <w:rsid w:val="00CB493D"/>
    <w:rsid w:val="00CB74D1"/>
    <w:rsid w:val="00CC3B97"/>
    <w:rsid w:val="00CC6EB9"/>
    <w:rsid w:val="00CD7C0B"/>
    <w:rsid w:val="00CE10C4"/>
    <w:rsid w:val="00CE27B5"/>
    <w:rsid w:val="00CE6DAF"/>
    <w:rsid w:val="00CF410A"/>
    <w:rsid w:val="00D0321E"/>
    <w:rsid w:val="00D05138"/>
    <w:rsid w:val="00D069EB"/>
    <w:rsid w:val="00D07A8A"/>
    <w:rsid w:val="00D11199"/>
    <w:rsid w:val="00D1455A"/>
    <w:rsid w:val="00D14A70"/>
    <w:rsid w:val="00D22093"/>
    <w:rsid w:val="00D31150"/>
    <w:rsid w:val="00D3138B"/>
    <w:rsid w:val="00D31FCE"/>
    <w:rsid w:val="00D3280C"/>
    <w:rsid w:val="00D3406A"/>
    <w:rsid w:val="00D40B11"/>
    <w:rsid w:val="00D429EC"/>
    <w:rsid w:val="00D42F73"/>
    <w:rsid w:val="00D441F1"/>
    <w:rsid w:val="00D4572C"/>
    <w:rsid w:val="00D469B2"/>
    <w:rsid w:val="00D51989"/>
    <w:rsid w:val="00D54B09"/>
    <w:rsid w:val="00D6243E"/>
    <w:rsid w:val="00D65210"/>
    <w:rsid w:val="00D65658"/>
    <w:rsid w:val="00D658F2"/>
    <w:rsid w:val="00D67EB2"/>
    <w:rsid w:val="00D72B6F"/>
    <w:rsid w:val="00D741EB"/>
    <w:rsid w:val="00D74686"/>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CB5"/>
    <w:rsid w:val="00DA4BAC"/>
    <w:rsid w:val="00DB0151"/>
    <w:rsid w:val="00DB1DF9"/>
    <w:rsid w:val="00DB50E1"/>
    <w:rsid w:val="00DC0566"/>
    <w:rsid w:val="00DC1499"/>
    <w:rsid w:val="00DC2C3E"/>
    <w:rsid w:val="00DC3137"/>
    <w:rsid w:val="00DC3279"/>
    <w:rsid w:val="00DC4880"/>
    <w:rsid w:val="00DC4BDD"/>
    <w:rsid w:val="00DD42AB"/>
    <w:rsid w:val="00DE06AF"/>
    <w:rsid w:val="00DE6D27"/>
    <w:rsid w:val="00DF01F8"/>
    <w:rsid w:val="00DF021D"/>
    <w:rsid w:val="00DF217D"/>
    <w:rsid w:val="00DF26A7"/>
    <w:rsid w:val="00DF26F2"/>
    <w:rsid w:val="00DF3277"/>
    <w:rsid w:val="00DF77A1"/>
    <w:rsid w:val="00DF7919"/>
    <w:rsid w:val="00E0207E"/>
    <w:rsid w:val="00E02AE6"/>
    <w:rsid w:val="00E03912"/>
    <w:rsid w:val="00E04748"/>
    <w:rsid w:val="00E078D9"/>
    <w:rsid w:val="00E10293"/>
    <w:rsid w:val="00E103A0"/>
    <w:rsid w:val="00E13E60"/>
    <w:rsid w:val="00E15627"/>
    <w:rsid w:val="00E164B3"/>
    <w:rsid w:val="00E16910"/>
    <w:rsid w:val="00E239E2"/>
    <w:rsid w:val="00E24E09"/>
    <w:rsid w:val="00E27234"/>
    <w:rsid w:val="00E30F17"/>
    <w:rsid w:val="00E31DEF"/>
    <w:rsid w:val="00E3495C"/>
    <w:rsid w:val="00E371EC"/>
    <w:rsid w:val="00E42BDB"/>
    <w:rsid w:val="00E44EA3"/>
    <w:rsid w:val="00E54C83"/>
    <w:rsid w:val="00E5726D"/>
    <w:rsid w:val="00E57EEB"/>
    <w:rsid w:val="00E62D94"/>
    <w:rsid w:val="00E62ECC"/>
    <w:rsid w:val="00E64F37"/>
    <w:rsid w:val="00E65091"/>
    <w:rsid w:val="00E65E54"/>
    <w:rsid w:val="00E661C7"/>
    <w:rsid w:val="00E711AC"/>
    <w:rsid w:val="00E732C4"/>
    <w:rsid w:val="00E74E41"/>
    <w:rsid w:val="00E80155"/>
    <w:rsid w:val="00E8134B"/>
    <w:rsid w:val="00E81E0D"/>
    <w:rsid w:val="00E81F28"/>
    <w:rsid w:val="00E848C0"/>
    <w:rsid w:val="00E86F92"/>
    <w:rsid w:val="00E91B96"/>
    <w:rsid w:val="00E935DA"/>
    <w:rsid w:val="00E93D1E"/>
    <w:rsid w:val="00E941A1"/>
    <w:rsid w:val="00E95CE3"/>
    <w:rsid w:val="00E97273"/>
    <w:rsid w:val="00EA0856"/>
    <w:rsid w:val="00EA252F"/>
    <w:rsid w:val="00EA2825"/>
    <w:rsid w:val="00EA6518"/>
    <w:rsid w:val="00EA71A2"/>
    <w:rsid w:val="00EA7466"/>
    <w:rsid w:val="00EA7EDE"/>
    <w:rsid w:val="00EB0B63"/>
    <w:rsid w:val="00EB185F"/>
    <w:rsid w:val="00EB1936"/>
    <w:rsid w:val="00EB3545"/>
    <w:rsid w:val="00EB37BE"/>
    <w:rsid w:val="00EB4BAE"/>
    <w:rsid w:val="00EB5088"/>
    <w:rsid w:val="00EC2726"/>
    <w:rsid w:val="00ED1644"/>
    <w:rsid w:val="00ED2593"/>
    <w:rsid w:val="00ED2623"/>
    <w:rsid w:val="00ED7D55"/>
    <w:rsid w:val="00ED7D9C"/>
    <w:rsid w:val="00EE31A2"/>
    <w:rsid w:val="00EE3346"/>
    <w:rsid w:val="00EE33D4"/>
    <w:rsid w:val="00EE6100"/>
    <w:rsid w:val="00EE7E08"/>
    <w:rsid w:val="00EF0069"/>
    <w:rsid w:val="00EF44A0"/>
    <w:rsid w:val="00EF4580"/>
    <w:rsid w:val="00EF4FED"/>
    <w:rsid w:val="00EF5F45"/>
    <w:rsid w:val="00EF6843"/>
    <w:rsid w:val="00EF6FB3"/>
    <w:rsid w:val="00F00428"/>
    <w:rsid w:val="00F007C6"/>
    <w:rsid w:val="00F0172E"/>
    <w:rsid w:val="00F050BD"/>
    <w:rsid w:val="00F05657"/>
    <w:rsid w:val="00F05AB0"/>
    <w:rsid w:val="00F0647B"/>
    <w:rsid w:val="00F07255"/>
    <w:rsid w:val="00F11B76"/>
    <w:rsid w:val="00F12C74"/>
    <w:rsid w:val="00F1559A"/>
    <w:rsid w:val="00F17ED6"/>
    <w:rsid w:val="00F20676"/>
    <w:rsid w:val="00F209E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4F1C"/>
    <w:rsid w:val="00F45216"/>
    <w:rsid w:val="00F5007E"/>
    <w:rsid w:val="00F50EC4"/>
    <w:rsid w:val="00F52232"/>
    <w:rsid w:val="00F52DC2"/>
    <w:rsid w:val="00F53666"/>
    <w:rsid w:val="00F550CF"/>
    <w:rsid w:val="00F553D2"/>
    <w:rsid w:val="00F57A6D"/>
    <w:rsid w:val="00F57C56"/>
    <w:rsid w:val="00F62F19"/>
    <w:rsid w:val="00F638CC"/>
    <w:rsid w:val="00F64C9E"/>
    <w:rsid w:val="00F64CC1"/>
    <w:rsid w:val="00F72317"/>
    <w:rsid w:val="00F73DC1"/>
    <w:rsid w:val="00F75BB8"/>
    <w:rsid w:val="00F80475"/>
    <w:rsid w:val="00F80E6E"/>
    <w:rsid w:val="00F81390"/>
    <w:rsid w:val="00F81F7A"/>
    <w:rsid w:val="00F8247A"/>
    <w:rsid w:val="00F82E5C"/>
    <w:rsid w:val="00F83F58"/>
    <w:rsid w:val="00F85206"/>
    <w:rsid w:val="00F87CEA"/>
    <w:rsid w:val="00F9629A"/>
    <w:rsid w:val="00F97EFC"/>
    <w:rsid w:val="00FA0C7C"/>
    <w:rsid w:val="00FA1BDD"/>
    <w:rsid w:val="00FA305C"/>
    <w:rsid w:val="00FA462E"/>
    <w:rsid w:val="00FA4DD5"/>
    <w:rsid w:val="00FA5883"/>
    <w:rsid w:val="00FA6055"/>
    <w:rsid w:val="00FB0B39"/>
    <w:rsid w:val="00FB0F36"/>
    <w:rsid w:val="00FB322F"/>
    <w:rsid w:val="00FB442F"/>
    <w:rsid w:val="00FC118C"/>
    <w:rsid w:val="00FC1929"/>
    <w:rsid w:val="00FC29D6"/>
    <w:rsid w:val="00FC5B46"/>
    <w:rsid w:val="00FD1D4F"/>
    <w:rsid w:val="00FD24BF"/>
    <w:rsid w:val="00FD2793"/>
    <w:rsid w:val="00FD3B6E"/>
    <w:rsid w:val="00FD57EB"/>
    <w:rsid w:val="00FD6D8E"/>
    <w:rsid w:val="00FE0663"/>
    <w:rsid w:val="00FE0E94"/>
    <w:rsid w:val="00FE369C"/>
    <w:rsid w:val="00FE3CD9"/>
    <w:rsid w:val="00FE5261"/>
    <w:rsid w:val="00FE54D5"/>
    <w:rsid w:val="00FF00BD"/>
    <w:rsid w:val="00FF0B13"/>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3"/>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4"/>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47351762">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59521713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2214248">
      <w:bodyDiv w:val="1"/>
      <w:marLeft w:val="0"/>
      <w:marRight w:val="0"/>
      <w:marTop w:val="0"/>
      <w:marBottom w:val="0"/>
      <w:divBdr>
        <w:top w:val="none" w:sz="0" w:space="0" w:color="auto"/>
        <w:left w:val="none" w:sz="0" w:space="0" w:color="auto"/>
        <w:bottom w:val="none" w:sz="0" w:space="0" w:color="auto"/>
        <w:right w:val="none" w:sz="0" w:space="0" w:color="auto"/>
      </w:divBdr>
    </w:div>
    <w:div w:id="79503076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276823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666812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79946554">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8546583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0466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2816-23B6-4449-B324-00F901EE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1391</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2021-10-25T03:45:00Z</dcterms:created>
  <dcterms:modified xsi:type="dcterms:W3CDTF">2021-10-25T03:45:00Z</dcterms:modified>
</cp:coreProperties>
</file>