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5BF" w:rsidRPr="009639EE" w:rsidRDefault="00DC45BF" w:rsidP="008D75D3">
      <w:pPr>
        <w:pStyle w:val="1MainTitle"/>
        <w:jc w:val="left"/>
        <w:outlineLvl w:val="9"/>
        <w:rPr>
          <w:rFonts w:eastAsia="Calibri"/>
          <w:lang w:eastAsia="en-US"/>
        </w:rPr>
      </w:pPr>
      <w:r w:rsidRPr="009639EE">
        <w:rPr>
          <w:rFonts w:eastAsia="Calibri"/>
          <w:lang w:eastAsia="en-US"/>
        </w:rPr>
        <w:t>6</w:t>
      </w:r>
      <w:r w:rsidR="007E490F" w:rsidRPr="009639EE">
        <w:rPr>
          <w:rFonts w:eastAsia="Calibri"/>
          <w:lang w:eastAsia="en-US"/>
        </w:rPr>
        <w:t>.</w:t>
      </w:r>
      <w:r w:rsidRPr="009639EE">
        <w:rPr>
          <w:rFonts w:eastAsia="Calibri"/>
          <w:lang w:eastAsia="en-US"/>
        </w:rPr>
        <w:t>09</w:t>
      </w:r>
      <w:r w:rsidR="007E490F" w:rsidRPr="009639EE">
        <w:rPr>
          <w:rFonts w:eastAsia="Calibri"/>
          <w:lang w:eastAsia="en-US"/>
        </w:rPr>
        <w:tab/>
      </w:r>
      <w:r w:rsidRPr="009639EE">
        <w:rPr>
          <w:rFonts w:eastAsia="Calibri"/>
          <w:lang w:eastAsia="en-US"/>
        </w:rPr>
        <w:t>ADALIMUMAB</w:t>
      </w:r>
      <w:r w:rsidR="00343D8C" w:rsidRPr="009639EE">
        <w:rPr>
          <w:rFonts w:eastAsia="Calibri"/>
          <w:lang w:eastAsia="en-US"/>
        </w:rPr>
        <w:t xml:space="preserve">, </w:t>
      </w:r>
      <w:r w:rsidR="00343D8C" w:rsidRPr="009639EE">
        <w:rPr>
          <w:rFonts w:eastAsia="Calibri"/>
          <w:lang w:eastAsia="en-US"/>
        </w:rPr>
        <w:br/>
      </w:r>
      <w:r w:rsidRPr="009639EE">
        <w:rPr>
          <w:rFonts w:eastAsia="Calibri"/>
          <w:lang w:eastAsia="en-US"/>
        </w:rPr>
        <w:t>Injection 20 mg in 0.4 mL pre</w:t>
      </w:r>
      <w:r w:rsidRPr="009639EE">
        <w:rPr>
          <w:rFonts w:eastAsia="Calibri"/>
          <w:lang w:eastAsia="en-US"/>
        </w:rPr>
        <w:noBreakHyphen/>
        <w:t>filled syringe</w:t>
      </w:r>
      <w:r w:rsidR="00343D8C" w:rsidRPr="009639EE">
        <w:rPr>
          <w:rFonts w:eastAsia="Calibri"/>
          <w:lang w:eastAsia="en-US"/>
        </w:rPr>
        <w:t xml:space="preserve">, </w:t>
      </w:r>
    </w:p>
    <w:p w:rsidR="00DC45BF" w:rsidRPr="009639EE" w:rsidRDefault="00DC45BF" w:rsidP="008D75D3">
      <w:pPr>
        <w:pStyle w:val="1MainTitle"/>
        <w:ind w:firstLine="0"/>
        <w:jc w:val="left"/>
        <w:outlineLvl w:val="9"/>
        <w:rPr>
          <w:rFonts w:eastAsia="Calibri"/>
          <w:lang w:eastAsia="en-US"/>
        </w:rPr>
      </w:pPr>
      <w:r w:rsidRPr="009639EE">
        <w:rPr>
          <w:rFonts w:eastAsia="Calibri"/>
          <w:lang w:eastAsia="en-US"/>
        </w:rPr>
        <w:t>Injection 40 mg in 0.8 mL pre</w:t>
      </w:r>
      <w:r w:rsidRPr="009639EE">
        <w:rPr>
          <w:rFonts w:eastAsia="Calibri"/>
          <w:lang w:eastAsia="en-US"/>
        </w:rPr>
        <w:noBreakHyphen/>
        <w:t>filled syringe,</w:t>
      </w:r>
    </w:p>
    <w:p w:rsidR="00DC45BF" w:rsidRPr="009639EE" w:rsidRDefault="00DC45BF" w:rsidP="008D75D3">
      <w:pPr>
        <w:pStyle w:val="1MainTitle"/>
        <w:ind w:firstLine="0"/>
        <w:outlineLvl w:val="9"/>
        <w:rPr>
          <w:rFonts w:eastAsia="Calibri"/>
          <w:lang w:eastAsia="en-US"/>
        </w:rPr>
      </w:pPr>
      <w:r w:rsidRPr="009639EE">
        <w:rPr>
          <w:rFonts w:eastAsia="Calibri"/>
          <w:lang w:eastAsia="en-US"/>
        </w:rPr>
        <w:t>Injection 40 mg in 0.8 mL pre</w:t>
      </w:r>
      <w:r w:rsidRPr="009639EE">
        <w:rPr>
          <w:rFonts w:eastAsia="Calibri"/>
          <w:lang w:eastAsia="en-US"/>
        </w:rPr>
        <w:noBreakHyphen/>
        <w:t>filled pen</w:t>
      </w:r>
      <w:r w:rsidR="0069764C" w:rsidRPr="009639EE">
        <w:rPr>
          <w:rFonts w:eastAsia="Calibri"/>
          <w:lang w:eastAsia="en-US"/>
        </w:rPr>
        <w:t>,</w:t>
      </w:r>
    </w:p>
    <w:p w:rsidR="007E490F" w:rsidRPr="009639EE" w:rsidRDefault="00DC45BF" w:rsidP="008D75D3">
      <w:pPr>
        <w:pStyle w:val="1MainTitle"/>
        <w:ind w:firstLine="0"/>
        <w:jc w:val="left"/>
        <w:outlineLvl w:val="9"/>
        <w:rPr>
          <w:rFonts w:eastAsia="Calibri"/>
          <w:lang w:eastAsia="en-US"/>
        </w:rPr>
      </w:pPr>
      <w:r w:rsidRPr="009639EE">
        <w:rPr>
          <w:rFonts w:eastAsia="Calibri"/>
          <w:lang w:eastAsia="en-US"/>
        </w:rPr>
        <w:t>Abrilada</w:t>
      </w:r>
      <w:r w:rsidR="00343D8C" w:rsidRPr="009639EE">
        <w:rPr>
          <w:rFonts w:eastAsia="Calibri"/>
          <w:lang w:eastAsia="en-US"/>
        </w:rPr>
        <w:t>,</w:t>
      </w:r>
      <w:r w:rsidR="00343D8C" w:rsidRPr="009639EE">
        <w:rPr>
          <w:rFonts w:eastAsia="Calibri"/>
          <w:lang w:eastAsia="en-US"/>
        </w:rPr>
        <w:br/>
      </w:r>
      <w:r w:rsidRPr="009639EE">
        <w:rPr>
          <w:rFonts w:eastAsia="Calibri"/>
          <w:lang w:eastAsia="en-US"/>
        </w:rPr>
        <w:t>Pfizer Australia Pty Ltd</w:t>
      </w:r>
    </w:p>
    <w:p w:rsidR="007E490F" w:rsidRPr="009639EE" w:rsidRDefault="007E490F" w:rsidP="005F0F0F">
      <w:pPr>
        <w:pStyle w:val="2-SectionHeading"/>
      </w:pPr>
      <w:r w:rsidRPr="009639EE">
        <w:t xml:space="preserve">Purpose of Application </w:t>
      </w:r>
    </w:p>
    <w:p w:rsidR="006C6C10" w:rsidRPr="009639EE" w:rsidRDefault="006C6C10" w:rsidP="007E2704">
      <w:pPr>
        <w:pStyle w:val="3-BodyText"/>
        <w:numPr>
          <w:ilvl w:val="1"/>
          <w:numId w:val="1"/>
        </w:numPr>
        <w:ind w:left="720"/>
      </w:pPr>
      <w:r w:rsidRPr="009639EE">
        <w:t xml:space="preserve">The Category </w:t>
      </w:r>
      <w:r w:rsidR="007C26C8" w:rsidRPr="009639EE">
        <w:t>3</w:t>
      </w:r>
      <w:r w:rsidRPr="009639EE">
        <w:t xml:space="preserve"> submission </w:t>
      </w:r>
      <w:r w:rsidR="0023466E" w:rsidRPr="009639EE">
        <w:t>sought</w:t>
      </w:r>
      <w:r w:rsidRPr="009639EE">
        <w:t xml:space="preserve"> </w:t>
      </w:r>
      <w:r w:rsidR="002B18E1" w:rsidRPr="009639EE">
        <w:t xml:space="preserve">Section 85 and Section 100 </w:t>
      </w:r>
      <w:r w:rsidR="00130ACE" w:rsidRPr="009639EE">
        <w:rPr>
          <w:rFonts w:cstheme="minorHAnsi"/>
          <w:szCs w:val="24"/>
        </w:rPr>
        <w:t xml:space="preserve">(Highly Specialised Drug Program – </w:t>
      </w:r>
      <w:r w:rsidR="002B18E1" w:rsidRPr="009639EE">
        <w:t>HSD</w:t>
      </w:r>
      <w:r w:rsidR="00130ACE" w:rsidRPr="009639EE">
        <w:t>)</w:t>
      </w:r>
      <w:r w:rsidR="002B18E1" w:rsidRPr="009639EE">
        <w:t xml:space="preserve"> </w:t>
      </w:r>
      <w:r w:rsidR="007C26C8" w:rsidRPr="009639EE">
        <w:t>list</w:t>
      </w:r>
      <w:r w:rsidR="00B531BB" w:rsidRPr="009639EE">
        <w:t>ing</w:t>
      </w:r>
      <w:r w:rsidR="00BE3BC6" w:rsidRPr="009639EE">
        <w:t>s</w:t>
      </w:r>
      <w:r w:rsidR="00B531BB" w:rsidRPr="009639EE">
        <w:t xml:space="preserve"> of</w:t>
      </w:r>
      <w:r w:rsidR="007C26C8" w:rsidRPr="009639EE">
        <w:t xml:space="preserve"> a new brand of biosimilar medicine </w:t>
      </w:r>
      <w:bookmarkStart w:id="0" w:name="_Hlk76057362"/>
      <w:r w:rsidR="007C26C8" w:rsidRPr="009639EE">
        <w:t>adalimumab (Abril</w:t>
      </w:r>
      <w:r w:rsidR="002B18E1" w:rsidRPr="009639EE">
        <w:t>a</w:t>
      </w:r>
      <w:r w:rsidR="007C26C8" w:rsidRPr="009639EE">
        <w:t>da</w:t>
      </w:r>
      <w:r w:rsidR="00A41265" w:rsidRPr="00A41265">
        <w:t>®</w:t>
      </w:r>
      <w:r w:rsidR="007C26C8" w:rsidRPr="009639EE">
        <w:t xml:space="preserve">) in the form of 20 mg in 0.4 mL </w:t>
      </w:r>
      <w:r w:rsidR="00130ACE" w:rsidRPr="009639EE">
        <w:rPr>
          <w:rFonts w:cstheme="minorHAnsi"/>
        </w:rPr>
        <w:t>pre-filled syringe (PFS)</w:t>
      </w:r>
      <w:r w:rsidR="007C26C8" w:rsidRPr="009639EE">
        <w:t xml:space="preserve">, 40 mg in 0.8 mL PFS and </w:t>
      </w:r>
      <w:r w:rsidR="00FA5B00" w:rsidRPr="009639EE">
        <w:t xml:space="preserve">40 mg in 0.8 mL </w:t>
      </w:r>
      <w:r w:rsidR="00130ACE" w:rsidRPr="009639EE">
        <w:rPr>
          <w:rFonts w:cstheme="minorHAnsi"/>
        </w:rPr>
        <w:t xml:space="preserve">pre-filled pen (PFP) </w:t>
      </w:r>
      <w:r w:rsidR="007C26C8" w:rsidRPr="009639EE">
        <w:t>for the same indication</w:t>
      </w:r>
      <w:r w:rsidR="00BE29E0" w:rsidRPr="009639EE">
        <w:t>s</w:t>
      </w:r>
      <w:r w:rsidR="007C26C8" w:rsidRPr="009639EE">
        <w:t xml:space="preserve"> as </w:t>
      </w:r>
      <w:r w:rsidR="00F024AC" w:rsidRPr="009639EE">
        <w:t xml:space="preserve">the </w:t>
      </w:r>
      <w:r w:rsidR="007C26C8" w:rsidRPr="009639EE">
        <w:t xml:space="preserve">PBS-listed reference biologic </w:t>
      </w:r>
      <w:r w:rsidR="00C17B07" w:rsidRPr="009639EE">
        <w:t>Humira</w:t>
      </w:r>
      <w:r w:rsidR="00B531BB" w:rsidRPr="009639EE">
        <w:t>.</w:t>
      </w:r>
    </w:p>
    <w:bookmarkEnd w:id="0"/>
    <w:p w:rsidR="007E490F" w:rsidRPr="009639EE" w:rsidRDefault="007E490F" w:rsidP="005F0F0F">
      <w:pPr>
        <w:pStyle w:val="2-SectionHeading"/>
      </w:pPr>
      <w:r w:rsidRPr="009639EE">
        <w:t xml:space="preserve">Background </w:t>
      </w:r>
    </w:p>
    <w:p w:rsidR="007E490F" w:rsidRPr="009639EE" w:rsidRDefault="007E490F" w:rsidP="007E490F">
      <w:pPr>
        <w:pStyle w:val="4-SubsectionHeading"/>
      </w:pPr>
      <w:r w:rsidRPr="009639EE">
        <w:t>Registration status</w:t>
      </w:r>
    </w:p>
    <w:p w:rsidR="008525C3" w:rsidRPr="009639EE" w:rsidRDefault="008525C3" w:rsidP="007E2704">
      <w:pPr>
        <w:pStyle w:val="3-BodyText"/>
        <w:numPr>
          <w:ilvl w:val="1"/>
          <w:numId w:val="1"/>
        </w:numPr>
        <w:ind w:left="720"/>
      </w:pPr>
      <w:r w:rsidRPr="009639EE">
        <w:t>Abrilada was TGA approved on 8 February 2021 and was determined to be a biosimilar to the reference brand Humira.</w:t>
      </w:r>
      <w:r w:rsidR="003A7972" w:rsidRPr="009639EE">
        <w:t xml:space="preserve"> </w:t>
      </w:r>
      <w:r w:rsidR="003A7972" w:rsidRPr="009639EE">
        <w:rPr>
          <w:lang w:eastAsia="en-US"/>
        </w:rPr>
        <w:t xml:space="preserve">Abrilada has the same TGA indications </w:t>
      </w:r>
      <w:r w:rsidR="00D85681" w:rsidRPr="009639EE">
        <w:rPr>
          <w:lang w:eastAsia="en-US"/>
        </w:rPr>
        <w:t>as</w:t>
      </w:r>
      <w:r w:rsidR="003A7972" w:rsidRPr="009639EE">
        <w:rPr>
          <w:lang w:eastAsia="en-US"/>
        </w:rPr>
        <w:t xml:space="preserve"> Humira.</w:t>
      </w:r>
    </w:p>
    <w:p w:rsidR="0056483D" w:rsidRPr="009639EE" w:rsidRDefault="0056483D" w:rsidP="0056483D">
      <w:pPr>
        <w:pStyle w:val="3Bodytext"/>
        <w:numPr>
          <w:ilvl w:val="0"/>
          <w:numId w:val="0"/>
        </w:numPr>
        <w:ind w:left="720"/>
        <w:rPr>
          <w:rFonts w:ascii="Calibri" w:eastAsia="Times New Roman" w:hAnsi="Calibri" w:cs="Times New Roman"/>
          <w:i/>
          <w:szCs w:val="24"/>
        </w:rPr>
      </w:pPr>
      <w:bookmarkStart w:id="1" w:name="_Hlk76055612"/>
      <w:r w:rsidRPr="009639EE">
        <w:rPr>
          <w:rFonts w:ascii="Calibri" w:eastAsia="Times New Roman" w:hAnsi="Calibri" w:cs="Times New Roman"/>
          <w:i/>
          <w:szCs w:val="24"/>
        </w:rPr>
        <w:t xml:space="preserve">For more detail on PBAC’s view, see section </w:t>
      </w:r>
      <w:r w:rsidR="00ED6CF7" w:rsidRPr="009639EE">
        <w:rPr>
          <w:rFonts w:ascii="Calibri" w:eastAsia="Times New Roman" w:hAnsi="Calibri" w:cs="Times New Roman"/>
          <w:i/>
          <w:szCs w:val="24"/>
        </w:rPr>
        <w:t>6</w:t>
      </w:r>
      <w:r w:rsidRPr="009639EE">
        <w:rPr>
          <w:rFonts w:ascii="Calibri" w:eastAsia="Times New Roman" w:hAnsi="Calibri" w:cs="Times New Roman"/>
          <w:i/>
          <w:szCs w:val="24"/>
        </w:rPr>
        <w:t xml:space="preserve"> PBAC outcome</w:t>
      </w:r>
      <w:r w:rsidR="009639EE">
        <w:rPr>
          <w:rFonts w:ascii="Calibri" w:eastAsia="Times New Roman" w:hAnsi="Calibri" w:cs="Times New Roman"/>
          <w:i/>
          <w:szCs w:val="24"/>
        </w:rPr>
        <w:t xml:space="preserve">. </w:t>
      </w:r>
    </w:p>
    <w:bookmarkEnd w:id="1"/>
    <w:p w:rsidR="00964A9F" w:rsidRPr="009639EE" w:rsidRDefault="00964A9F" w:rsidP="008E49B0">
      <w:pPr>
        <w:pStyle w:val="2-SectionHeading"/>
      </w:pPr>
      <w:r w:rsidRPr="009639EE">
        <w:t xml:space="preserve">Requested listing </w:t>
      </w:r>
    </w:p>
    <w:p w:rsidR="00B648A0" w:rsidRPr="009639EE" w:rsidRDefault="00B648A0" w:rsidP="007E2704">
      <w:pPr>
        <w:pStyle w:val="3-BodyText"/>
        <w:numPr>
          <w:ilvl w:val="1"/>
          <w:numId w:val="1"/>
        </w:numPr>
        <w:ind w:left="720"/>
        <w:rPr>
          <w:lang w:eastAsia="en-US"/>
        </w:rPr>
      </w:pPr>
      <w:r w:rsidRPr="009639EE">
        <w:rPr>
          <w:lang w:eastAsia="en-US"/>
        </w:rPr>
        <w:t>The proposed Authority Required listings are for all indications for which the reference brand Humira is currently PBS listed</w:t>
      </w:r>
      <w:r w:rsidR="00237EE1" w:rsidRPr="009639EE">
        <w:rPr>
          <w:lang w:eastAsia="en-US"/>
        </w:rPr>
        <w:t>:</w:t>
      </w:r>
    </w:p>
    <w:p w:rsidR="00DD7095" w:rsidRPr="009639EE" w:rsidRDefault="00DD7095" w:rsidP="007E2704">
      <w:pPr>
        <w:pStyle w:val="3Bodytext"/>
        <w:numPr>
          <w:ilvl w:val="0"/>
          <w:numId w:val="7"/>
        </w:numPr>
        <w:ind w:hanging="447"/>
        <w:rPr>
          <w:rFonts w:eastAsia="Times New Roman" w:cstheme="minorHAnsi"/>
          <w:snapToGrid w:val="0"/>
          <w:szCs w:val="24"/>
        </w:rPr>
      </w:pPr>
      <w:bookmarkStart w:id="2" w:name="_Hlk76057781"/>
      <w:r w:rsidRPr="009639EE">
        <w:rPr>
          <w:rFonts w:eastAsia="Times New Roman" w:cstheme="minorHAnsi"/>
          <w:snapToGrid w:val="0"/>
          <w:szCs w:val="24"/>
        </w:rPr>
        <w:t>Severe Crohn disease</w:t>
      </w:r>
    </w:p>
    <w:p w:rsidR="00DD7095" w:rsidRPr="009639EE" w:rsidRDefault="00DD7095" w:rsidP="007E2704">
      <w:pPr>
        <w:pStyle w:val="3Bodytext"/>
        <w:numPr>
          <w:ilvl w:val="0"/>
          <w:numId w:val="7"/>
        </w:numPr>
        <w:ind w:hanging="447"/>
        <w:rPr>
          <w:rFonts w:eastAsia="Times New Roman" w:cstheme="minorHAnsi"/>
          <w:snapToGrid w:val="0"/>
          <w:szCs w:val="24"/>
        </w:rPr>
      </w:pPr>
      <w:r w:rsidRPr="009639EE">
        <w:rPr>
          <w:rFonts w:eastAsia="Times New Roman" w:cstheme="minorHAnsi"/>
          <w:snapToGrid w:val="0"/>
          <w:szCs w:val="24"/>
        </w:rPr>
        <w:t>Moderate to severe ulcerative colitis</w:t>
      </w:r>
    </w:p>
    <w:p w:rsidR="00DD7095" w:rsidRPr="009639EE" w:rsidRDefault="00DD7095" w:rsidP="007E2704">
      <w:pPr>
        <w:pStyle w:val="3Bodytext"/>
        <w:numPr>
          <w:ilvl w:val="0"/>
          <w:numId w:val="7"/>
        </w:numPr>
        <w:ind w:hanging="447"/>
        <w:rPr>
          <w:rFonts w:eastAsia="Times New Roman" w:cstheme="minorHAnsi"/>
          <w:snapToGrid w:val="0"/>
          <w:szCs w:val="24"/>
        </w:rPr>
      </w:pPr>
      <w:r w:rsidRPr="009639EE">
        <w:rPr>
          <w:rFonts w:eastAsia="Times New Roman" w:cstheme="minorHAnsi"/>
          <w:snapToGrid w:val="0"/>
          <w:szCs w:val="24"/>
        </w:rPr>
        <w:t>Severe active juvenile idiopathic arthritis</w:t>
      </w:r>
    </w:p>
    <w:p w:rsidR="00DD7095" w:rsidRPr="009639EE" w:rsidRDefault="00DD7095" w:rsidP="007E2704">
      <w:pPr>
        <w:pStyle w:val="3Bodytext"/>
        <w:numPr>
          <w:ilvl w:val="0"/>
          <w:numId w:val="7"/>
        </w:numPr>
        <w:ind w:hanging="447"/>
        <w:rPr>
          <w:rFonts w:eastAsia="Times New Roman" w:cstheme="minorHAnsi"/>
          <w:snapToGrid w:val="0"/>
          <w:szCs w:val="24"/>
        </w:rPr>
      </w:pPr>
      <w:r w:rsidRPr="009639EE">
        <w:rPr>
          <w:rFonts w:eastAsia="Times New Roman" w:cstheme="minorHAnsi"/>
          <w:snapToGrid w:val="0"/>
          <w:szCs w:val="24"/>
        </w:rPr>
        <w:t>Complex refractory fistulising Crohn disease</w:t>
      </w:r>
    </w:p>
    <w:p w:rsidR="00DD7095" w:rsidRPr="009639EE" w:rsidRDefault="00DD7095" w:rsidP="007E2704">
      <w:pPr>
        <w:pStyle w:val="3Bodytext"/>
        <w:numPr>
          <w:ilvl w:val="0"/>
          <w:numId w:val="7"/>
        </w:numPr>
        <w:ind w:hanging="447"/>
        <w:rPr>
          <w:rFonts w:eastAsia="Times New Roman" w:cstheme="minorHAnsi"/>
          <w:snapToGrid w:val="0"/>
          <w:szCs w:val="24"/>
        </w:rPr>
      </w:pPr>
      <w:r w:rsidRPr="009639EE">
        <w:rPr>
          <w:rFonts w:eastAsia="Times New Roman" w:cstheme="minorHAnsi"/>
          <w:snapToGrid w:val="0"/>
          <w:szCs w:val="24"/>
        </w:rPr>
        <w:t>Severe active rheumatoid arthritis</w:t>
      </w:r>
    </w:p>
    <w:p w:rsidR="00DD7095" w:rsidRPr="009639EE" w:rsidRDefault="00DD7095" w:rsidP="007E2704">
      <w:pPr>
        <w:pStyle w:val="3Bodytext"/>
        <w:numPr>
          <w:ilvl w:val="0"/>
          <w:numId w:val="7"/>
        </w:numPr>
        <w:ind w:hanging="447"/>
        <w:rPr>
          <w:rFonts w:eastAsia="Times New Roman" w:cstheme="minorHAnsi"/>
          <w:snapToGrid w:val="0"/>
          <w:szCs w:val="24"/>
        </w:rPr>
      </w:pPr>
      <w:r w:rsidRPr="009639EE">
        <w:rPr>
          <w:rFonts w:eastAsia="Times New Roman" w:cstheme="minorHAnsi"/>
          <w:snapToGrid w:val="0"/>
          <w:szCs w:val="24"/>
        </w:rPr>
        <w:t>Severe psoriatic arthritis</w:t>
      </w:r>
    </w:p>
    <w:p w:rsidR="00DD7095" w:rsidRPr="009639EE" w:rsidRDefault="00DD7095" w:rsidP="007E2704">
      <w:pPr>
        <w:pStyle w:val="3Bodytext"/>
        <w:numPr>
          <w:ilvl w:val="0"/>
          <w:numId w:val="7"/>
        </w:numPr>
        <w:ind w:hanging="447"/>
        <w:rPr>
          <w:rFonts w:eastAsia="Times New Roman" w:cstheme="minorHAnsi"/>
          <w:snapToGrid w:val="0"/>
          <w:szCs w:val="24"/>
        </w:rPr>
      </w:pPr>
      <w:r w:rsidRPr="009639EE">
        <w:rPr>
          <w:rFonts w:eastAsia="Times New Roman" w:cstheme="minorHAnsi"/>
          <w:snapToGrid w:val="0"/>
          <w:szCs w:val="24"/>
        </w:rPr>
        <w:t>Ankylosing spondylitis</w:t>
      </w:r>
    </w:p>
    <w:p w:rsidR="00DD7095" w:rsidRPr="009639EE" w:rsidRDefault="00DD7095" w:rsidP="007E2704">
      <w:pPr>
        <w:pStyle w:val="3Bodytext"/>
        <w:numPr>
          <w:ilvl w:val="0"/>
          <w:numId w:val="7"/>
        </w:numPr>
        <w:ind w:hanging="447"/>
        <w:rPr>
          <w:rFonts w:eastAsia="Times New Roman" w:cstheme="minorHAnsi"/>
          <w:snapToGrid w:val="0"/>
          <w:szCs w:val="24"/>
        </w:rPr>
      </w:pPr>
      <w:r w:rsidRPr="009639EE">
        <w:rPr>
          <w:rFonts w:eastAsia="Times New Roman" w:cstheme="minorHAnsi"/>
          <w:snapToGrid w:val="0"/>
          <w:szCs w:val="24"/>
        </w:rPr>
        <w:t>Severe chronic plaque psoriasis</w:t>
      </w:r>
    </w:p>
    <w:p w:rsidR="00DD7095" w:rsidRPr="009639EE" w:rsidRDefault="00DD7095" w:rsidP="007E2704">
      <w:pPr>
        <w:pStyle w:val="3Bodytext"/>
        <w:numPr>
          <w:ilvl w:val="0"/>
          <w:numId w:val="7"/>
        </w:numPr>
        <w:ind w:hanging="447"/>
        <w:rPr>
          <w:rFonts w:eastAsia="Times New Roman" w:cstheme="minorHAnsi"/>
          <w:snapToGrid w:val="0"/>
          <w:szCs w:val="24"/>
        </w:rPr>
      </w:pPr>
      <w:r w:rsidRPr="009639EE">
        <w:rPr>
          <w:rFonts w:eastAsia="Times New Roman" w:cstheme="minorHAnsi"/>
          <w:snapToGrid w:val="0"/>
          <w:szCs w:val="24"/>
        </w:rPr>
        <w:t>Moderate to severe hidradenitis suppurativa.</w:t>
      </w:r>
    </w:p>
    <w:bookmarkEnd w:id="2"/>
    <w:p w:rsidR="00232C4A" w:rsidRPr="009639EE" w:rsidRDefault="00232C4A" w:rsidP="007E2704">
      <w:pPr>
        <w:pStyle w:val="3-BodyText"/>
        <w:numPr>
          <w:ilvl w:val="1"/>
          <w:numId w:val="1"/>
        </w:numPr>
        <w:ind w:left="720"/>
        <w:rPr>
          <w:rFonts w:cstheme="minorHAnsi"/>
        </w:rPr>
      </w:pPr>
      <w:r w:rsidRPr="009639EE">
        <w:rPr>
          <w:rFonts w:cstheme="minorHAnsi"/>
          <w:szCs w:val="24"/>
        </w:rPr>
        <w:lastRenderedPageBreak/>
        <w:t xml:space="preserve">The </w:t>
      </w:r>
      <w:r w:rsidR="00BD5D08" w:rsidRPr="009639EE">
        <w:rPr>
          <w:rFonts w:cstheme="minorHAnsi"/>
          <w:szCs w:val="24"/>
        </w:rPr>
        <w:t>applicant</w:t>
      </w:r>
      <w:r w:rsidRPr="009639EE">
        <w:rPr>
          <w:rFonts w:cstheme="minorHAnsi"/>
          <w:szCs w:val="24"/>
        </w:rPr>
        <w:t xml:space="preserve"> requested biosimilar uptake drivers to apply to the listing of Abrilada</w:t>
      </w:r>
      <w:r w:rsidR="00793305" w:rsidRPr="009639EE">
        <w:rPr>
          <w:rFonts w:cstheme="minorHAnsi"/>
          <w:szCs w:val="24"/>
        </w:rPr>
        <w:t xml:space="preserve"> in terms of the level of authority applied</w:t>
      </w:r>
      <w:r w:rsidR="00A92214" w:rsidRPr="009639EE">
        <w:rPr>
          <w:rFonts w:cstheme="minorHAnsi"/>
          <w:szCs w:val="24"/>
        </w:rPr>
        <w:t>, consistent with the current PBS listings for adalimumab biosimilar brands</w:t>
      </w:r>
      <w:r w:rsidR="000577D4" w:rsidRPr="009639EE">
        <w:rPr>
          <w:rFonts w:cstheme="minorHAnsi"/>
          <w:szCs w:val="24"/>
        </w:rPr>
        <w:t>. This was appropriate</w:t>
      </w:r>
      <w:r w:rsidR="007D4669" w:rsidRPr="009639EE">
        <w:rPr>
          <w:rFonts w:cstheme="minorHAnsi"/>
          <w:szCs w:val="24"/>
        </w:rPr>
        <w:t xml:space="preserve"> and updated by the Secretariat below for clarity</w:t>
      </w:r>
      <w:r w:rsidR="000577D4" w:rsidRPr="009639EE">
        <w:rPr>
          <w:rFonts w:cstheme="minorHAnsi"/>
          <w:szCs w:val="24"/>
        </w:rPr>
        <w:t>.</w:t>
      </w:r>
      <w:r w:rsidR="00462D3D" w:rsidRPr="009639EE">
        <w:rPr>
          <w:rFonts w:cstheme="minorHAnsi"/>
          <w:szCs w:val="24"/>
        </w:rPr>
        <w:t xml:space="preserve"> If biosimilar uptake drivers are recommended for this listing, the “Biosimilar prescribing policy” administrative note encouraging the use of biosimilar brands for treatment naïve patients would also need to be updated for all adalimumab biosimilar brands to include Abrilada to the list.</w:t>
      </w:r>
    </w:p>
    <w:p w:rsidR="00232C4A" w:rsidRPr="009639EE" w:rsidRDefault="00232C4A" w:rsidP="007E2704">
      <w:pPr>
        <w:pStyle w:val="ListParagraph"/>
        <w:widowControl w:val="0"/>
        <w:numPr>
          <w:ilvl w:val="1"/>
          <w:numId w:val="6"/>
        </w:numPr>
        <w:snapToGrid w:val="0"/>
        <w:ind w:left="1077" w:hanging="357"/>
        <w:jc w:val="both"/>
        <w:rPr>
          <w:lang w:eastAsia="en-US"/>
        </w:rPr>
      </w:pPr>
      <w:r w:rsidRPr="009639EE">
        <w:rPr>
          <w:lang w:eastAsia="en-US"/>
        </w:rPr>
        <w:t>Authority Required (Written</w:t>
      </w:r>
      <w:r w:rsidR="00347B40" w:rsidRPr="009639EE">
        <w:rPr>
          <w:lang w:eastAsia="en-US"/>
        </w:rPr>
        <w:t>/digital submission</w:t>
      </w:r>
      <w:r w:rsidRPr="009639EE">
        <w:rPr>
          <w:lang w:eastAsia="en-US"/>
        </w:rPr>
        <w:t xml:space="preserve">) listing of Abrilada for initial </w:t>
      </w:r>
      <w:r w:rsidR="007E46BD" w:rsidRPr="009639EE">
        <w:rPr>
          <w:lang w:eastAsia="en-US"/>
        </w:rPr>
        <w:t>treatment</w:t>
      </w:r>
      <w:r w:rsidR="00EF760E" w:rsidRPr="009639EE">
        <w:rPr>
          <w:lang w:eastAsia="en-US"/>
        </w:rPr>
        <w:t xml:space="preserve"> restrictions, first</w:t>
      </w:r>
      <w:r w:rsidRPr="009639EE">
        <w:rPr>
          <w:lang w:eastAsia="en-US"/>
        </w:rPr>
        <w:t xml:space="preserve"> and </w:t>
      </w:r>
      <w:r w:rsidR="00EF760E" w:rsidRPr="009639EE">
        <w:rPr>
          <w:lang w:eastAsia="en-US"/>
        </w:rPr>
        <w:t xml:space="preserve">subsequent </w:t>
      </w:r>
      <w:r w:rsidRPr="009639EE">
        <w:rPr>
          <w:lang w:eastAsia="en-US"/>
        </w:rPr>
        <w:t xml:space="preserve">continuing </w:t>
      </w:r>
      <w:r w:rsidR="00EF760E" w:rsidRPr="009639EE">
        <w:rPr>
          <w:lang w:eastAsia="en-US"/>
        </w:rPr>
        <w:t xml:space="preserve">treatment restrictions. </w:t>
      </w:r>
    </w:p>
    <w:p w:rsidR="00232C4A" w:rsidRPr="009639EE" w:rsidRDefault="00EF760E" w:rsidP="007E2704">
      <w:pPr>
        <w:pStyle w:val="ListParagraph"/>
        <w:widowControl w:val="0"/>
        <w:numPr>
          <w:ilvl w:val="1"/>
          <w:numId w:val="6"/>
        </w:numPr>
        <w:snapToGrid w:val="0"/>
        <w:ind w:left="1077" w:hanging="357"/>
        <w:jc w:val="both"/>
        <w:rPr>
          <w:lang w:eastAsia="en-US"/>
        </w:rPr>
      </w:pPr>
      <w:r w:rsidRPr="009639EE">
        <w:rPr>
          <w:lang w:eastAsia="en-US"/>
        </w:rPr>
        <w:t xml:space="preserve">A separate </w:t>
      </w:r>
      <w:r w:rsidR="00232C4A" w:rsidRPr="009639EE">
        <w:rPr>
          <w:lang w:eastAsia="en-US"/>
        </w:rPr>
        <w:t xml:space="preserve">Authority Required (Streamlined) </w:t>
      </w:r>
      <w:r w:rsidR="00442282" w:rsidRPr="009639EE">
        <w:rPr>
          <w:lang w:eastAsia="en-US"/>
        </w:rPr>
        <w:t xml:space="preserve">listing </w:t>
      </w:r>
      <w:r w:rsidRPr="009639EE">
        <w:rPr>
          <w:lang w:eastAsia="en-US"/>
        </w:rPr>
        <w:t xml:space="preserve">of Abrilada </w:t>
      </w:r>
      <w:r w:rsidR="00442282" w:rsidRPr="009639EE">
        <w:rPr>
          <w:lang w:eastAsia="en-US"/>
        </w:rPr>
        <w:t>for</w:t>
      </w:r>
      <w:r w:rsidR="00232C4A" w:rsidRPr="009639EE">
        <w:rPr>
          <w:lang w:eastAsia="en-US"/>
        </w:rPr>
        <w:t xml:space="preserve"> </w:t>
      </w:r>
      <w:r w:rsidRPr="009639EE">
        <w:rPr>
          <w:lang w:eastAsia="en-US"/>
        </w:rPr>
        <w:t xml:space="preserve">subsequent </w:t>
      </w:r>
      <w:r w:rsidR="00442282" w:rsidRPr="009639EE">
        <w:rPr>
          <w:lang w:eastAsia="en-US"/>
        </w:rPr>
        <w:t xml:space="preserve">continuing </w:t>
      </w:r>
      <w:r w:rsidRPr="009639EE">
        <w:rPr>
          <w:lang w:eastAsia="en-US"/>
        </w:rPr>
        <w:t>treatment restriction</w:t>
      </w:r>
      <w:r w:rsidR="00232C4A" w:rsidRPr="009639EE">
        <w:rPr>
          <w:lang w:eastAsia="en-US"/>
        </w:rPr>
        <w:t>.</w:t>
      </w:r>
    </w:p>
    <w:p w:rsidR="007734A8" w:rsidRPr="009639EE" w:rsidRDefault="004A6B61" w:rsidP="007E2704">
      <w:pPr>
        <w:pStyle w:val="3-BodyText"/>
        <w:numPr>
          <w:ilvl w:val="1"/>
          <w:numId w:val="1"/>
        </w:numPr>
        <w:ind w:left="720"/>
      </w:pPr>
      <w:r w:rsidRPr="009639EE">
        <w:rPr>
          <w:rFonts w:cstheme="minorHAnsi"/>
        </w:rPr>
        <w:t>The submission requested Abrilada PFS and PFP to be ‘a’</w:t>
      </w:r>
      <w:r w:rsidR="00A92214" w:rsidRPr="009639EE">
        <w:rPr>
          <w:rFonts w:cstheme="minorHAnsi"/>
        </w:rPr>
        <w:t>-</w:t>
      </w:r>
      <w:r w:rsidRPr="009639EE">
        <w:rPr>
          <w:rFonts w:cstheme="minorHAnsi"/>
        </w:rPr>
        <w:t>flagged against Humira</w:t>
      </w:r>
      <w:r w:rsidR="008A61ED" w:rsidRPr="009639EE">
        <w:rPr>
          <w:rFonts w:cstheme="minorHAnsi"/>
        </w:rPr>
        <w:t xml:space="preserve"> of the same strength and form</w:t>
      </w:r>
      <w:r w:rsidR="008F484A" w:rsidRPr="009639EE">
        <w:rPr>
          <w:rFonts w:cstheme="minorHAnsi"/>
        </w:rPr>
        <w:t>.</w:t>
      </w:r>
      <w:r w:rsidR="00233A69" w:rsidRPr="009639EE">
        <w:rPr>
          <w:rFonts w:cstheme="minorHAnsi"/>
        </w:rPr>
        <w:t xml:space="preserve"> </w:t>
      </w:r>
      <w:r w:rsidR="007734A8" w:rsidRPr="009639EE">
        <w:t xml:space="preserve">The PBAC previously advised that, under Section 101(4AACD) of the </w:t>
      </w:r>
      <w:r w:rsidR="007734A8" w:rsidRPr="009639EE">
        <w:rPr>
          <w:i/>
        </w:rPr>
        <w:t>National Health Act 1953</w:t>
      </w:r>
      <w:r w:rsidR="003D03F8" w:rsidRPr="009639EE">
        <w:rPr>
          <w:i/>
        </w:rPr>
        <w:t xml:space="preserve"> (the Act)</w:t>
      </w:r>
      <w:r w:rsidR="007734A8" w:rsidRPr="009639EE">
        <w:t xml:space="preserve">, in the Schedule of Pharmaceutical Benefits, </w:t>
      </w:r>
      <w:r w:rsidR="00237EE1" w:rsidRPr="009639EE">
        <w:t>the same form and strength for the brands</w:t>
      </w:r>
      <w:r w:rsidR="007734A8" w:rsidRPr="009639EE">
        <w:t xml:space="preserve"> Hadlima, Amgevita, Hyrimoz </w:t>
      </w:r>
      <w:r w:rsidR="00A41265">
        <w:t>,</w:t>
      </w:r>
      <w:r w:rsidR="007734A8" w:rsidRPr="009639EE">
        <w:t xml:space="preserve"> Idacio and Humira should be treated as equivalent </w:t>
      </w:r>
      <w:r w:rsidR="00793305" w:rsidRPr="009639EE">
        <w:t>(</w:t>
      </w:r>
      <w:r w:rsidR="007734A8" w:rsidRPr="009639EE">
        <w:t>‘a’ flagged) to each other for the purpose of substitution.</w:t>
      </w:r>
      <w:r w:rsidR="008525C3" w:rsidRPr="009639EE">
        <w:t xml:space="preserve"> </w:t>
      </w:r>
    </w:p>
    <w:p w:rsidR="00FD6A71" w:rsidRPr="009639EE" w:rsidRDefault="004E013B" w:rsidP="007E2704">
      <w:pPr>
        <w:pStyle w:val="3-BodyText"/>
        <w:numPr>
          <w:ilvl w:val="1"/>
          <w:numId w:val="1"/>
        </w:numPr>
        <w:ind w:left="720"/>
        <w:rPr>
          <w:lang w:eastAsia="en-US"/>
        </w:rPr>
      </w:pPr>
      <w:r w:rsidRPr="009639EE">
        <w:rPr>
          <w:lang w:eastAsia="en-US"/>
        </w:rPr>
        <w:t xml:space="preserve">The </w:t>
      </w:r>
      <w:r w:rsidR="00586348" w:rsidRPr="009639EE">
        <w:rPr>
          <w:lang w:eastAsia="en-US"/>
        </w:rPr>
        <w:t xml:space="preserve">requested </w:t>
      </w:r>
      <w:r w:rsidRPr="009639EE">
        <w:rPr>
          <w:lang w:eastAsia="en-US"/>
        </w:rPr>
        <w:t>restriction</w:t>
      </w:r>
      <w:r w:rsidR="00586348" w:rsidRPr="009639EE">
        <w:rPr>
          <w:lang w:eastAsia="en-US"/>
        </w:rPr>
        <w:t>s</w:t>
      </w:r>
      <w:r w:rsidRPr="009639EE">
        <w:rPr>
          <w:lang w:eastAsia="en-US"/>
        </w:rPr>
        <w:t xml:space="preserve"> </w:t>
      </w:r>
      <w:r w:rsidR="00586348" w:rsidRPr="009639EE">
        <w:rPr>
          <w:lang w:eastAsia="en-US"/>
        </w:rPr>
        <w:t xml:space="preserve">are </w:t>
      </w:r>
      <w:r w:rsidRPr="009639EE">
        <w:rPr>
          <w:lang w:eastAsia="en-US"/>
        </w:rPr>
        <w:t xml:space="preserve">complex </w:t>
      </w:r>
      <w:r w:rsidR="00EF760E" w:rsidRPr="009639EE">
        <w:rPr>
          <w:lang w:eastAsia="en-US"/>
        </w:rPr>
        <w:t>due to</w:t>
      </w:r>
      <w:r w:rsidRPr="009639EE">
        <w:rPr>
          <w:lang w:eastAsia="en-US"/>
        </w:rPr>
        <w:t xml:space="preserve"> the number of items and indications required for the listing</w:t>
      </w:r>
      <w:r w:rsidR="00FD6A71" w:rsidRPr="009639EE">
        <w:rPr>
          <w:lang w:eastAsia="en-US"/>
        </w:rPr>
        <w:t xml:space="preserve">. </w:t>
      </w:r>
      <w:r w:rsidR="00EF760E" w:rsidRPr="009639EE">
        <w:rPr>
          <w:lang w:eastAsia="en-US"/>
        </w:rPr>
        <w:t xml:space="preserve">If recommended by the PBAC, implementation of these listings may occur across separate stages. </w:t>
      </w:r>
      <w:r w:rsidR="00FD6A71" w:rsidRPr="009639EE">
        <w:rPr>
          <w:lang w:eastAsia="en-US"/>
        </w:rPr>
        <w:t xml:space="preserve">As the </w:t>
      </w:r>
      <w:r w:rsidR="00BD5D08" w:rsidRPr="009639EE">
        <w:rPr>
          <w:lang w:eastAsia="en-US"/>
        </w:rPr>
        <w:t>applicant</w:t>
      </w:r>
      <w:r w:rsidR="00FD6A71" w:rsidRPr="009639EE">
        <w:rPr>
          <w:lang w:eastAsia="en-US"/>
        </w:rPr>
        <w:t xml:space="preserve"> request</w:t>
      </w:r>
      <w:r w:rsidR="00BE3BC6" w:rsidRPr="009639EE">
        <w:rPr>
          <w:lang w:eastAsia="en-US"/>
        </w:rPr>
        <w:t>ed</w:t>
      </w:r>
      <w:r w:rsidR="00FD6A71" w:rsidRPr="009639EE">
        <w:rPr>
          <w:lang w:eastAsia="en-US"/>
        </w:rPr>
        <w:t xml:space="preserve"> no change</w:t>
      </w:r>
      <w:r w:rsidR="003A7972" w:rsidRPr="009639EE">
        <w:rPr>
          <w:lang w:eastAsia="en-US"/>
        </w:rPr>
        <w:t>s</w:t>
      </w:r>
      <w:r w:rsidR="00FD6A71" w:rsidRPr="009639EE">
        <w:rPr>
          <w:lang w:eastAsia="en-US"/>
        </w:rPr>
        <w:t xml:space="preserve"> to the restrictions</w:t>
      </w:r>
      <w:r w:rsidRPr="009639EE">
        <w:rPr>
          <w:lang w:eastAsia="en-US"/>
        </w:rPr>
        <w:t xml:space="preserve"> </w:t>
      </w:r>
      <w:r w:rsidR="007D4669" w:rsidRPr="009639EE">
        <w:rPr>
          <w:lang w:eastAsia="en-US"/>
        </w:rPr>
        <w:t xml:space="preserve">compared to </w:t>
      </w:r>
      <w:r w:rsidRPr="009639EE">
        <w:rPr>
          <w:lang w:eastAsia="en-US"/>
        </w:rPr>
        <w:t>Humira</w:t>
      </w:r>
      <w:r w:rsidR="00B7098D" w:rsidRPr="009639EE">
        <w:rPr>
          <w:lang w:eastAsia="en-US"/>
        </w:rPr>
        <w:t>,</w:t>
      </w:r>
      <w:r w:rsidR="00FD6A71" w:rsidRPr="009639EE">
        <w:rPr>
          <w:lang w:eastAsia="en-US"/>
        </w:rPr>
        <w:t xml:space="preserve"> the restrictions have not been reproduced.</w:t>
      </w:r>
    </w:p>
    <w:p w:rsidR="0056483D" w:rsidRPr="009639EE" w:rsidRDefault="0056483D" w:rsidP="0056483D">
      <w:pPr>
        <w:pStyle w:val="3Bodytext"/>
        <w:numPr>
          <w:ilvl w:val="0"/>
          <w:numId w:val="0"/>
        </w:numPr>
        <w:ind w:left="720"/>
        <w:rPr>
          <w:rFonts w:ascii="Calibri" w:eastAsia="Times New Roman" w:hAnsi="Calibri" w:cs="Times New Roman"/>
          <w:i/>
          <w:szCs w:val="24"/>
        </w:rPr>
      </w:pPr>
      <w:r w:rsidRPr="009639EE">
        <w:rPr>
          <w:rFonts w:ascii="Calibri" w:eastAsia="Times New Roman" w:hAnsi="Calibri" w:cs="Times New Roman"/>
          <w:i/>
          <w:szCs w:val="24"/>
        </w:rPr>
        <w:t xml:space="preserve">For more detail on PBAC’s view, see section </w:t>
      </w:r>
      <w:r w:rsidR="00ED6CF7" w:rsidRPr="009639EE">
        <w:rPr>
          <w:rFonts w:ascii="Calibri" w:eastAsia="Times New Roman" w:hAnsi="Calibri" w:cs="Times New Roman"/>
          <w:i/>
          <w:szCs w:val="24"/>
        </w:rPr>
        <w:t xml:space="preserve">6 </w:t>
      </w:r>
      <w:r w:rsidRPr="009639EE">
        <w:rPr>
          <w:rFonts w:ascii="Calibri" w:eastAsia="Times New Roman" w:hAnsi="Calibri" w:cs="Times New Roman"/>
          <w:i/>
          <w:szCs w:val="24"/>
        </w:rPr>
        <w:t>PBAC outcome</w:t>
      </w:r>
      <w:r w:rsidR="009639EE">
        <w:rPr>
          <w:rFonts w:ascii="Calibri" w:eastAsia="Times New Roman" w:hAnsi="Calibri" w:cs="Times New Roman"/>
          <w:i/>
          <w:szCs w:val="24"/>
        </w:rPr>
        <w:t xml:space="preserve">. </w:t>
      </w:r>
    </w:p>
    <w:p w:rsidR="00C27C1C" w:rsidRPr="009639EE" w:rsidRDefault="00C27C1C" w:rsidP="005F0F0F">
      <w:pPr>
        <w:pStyle w:val="2-SectionHeading"/>
      </w:pPr>
      <w:r w:rsidRPr="009639EE">
        <w:t xml:space="preserve">Comparator </w:t>
      </w:r>
    </w:p>
    <w:p w:rsidR="007C6F3F" w:rsidRPr="009639EE" w:rsidRDefault="007C6F3F" w:rsidP="007E2704">
      <w:pPr>
        <w:pStyle w:val="3-BodyText"/>
        <w:numPr>
          <w:ilvl w:val="1"/>
          <w:numId w:val="1"/>
        </w:numPr>
        <w:ind w:left="720"/>
      </w:pPr>
      <w:r w:rsidRPr="009639EE">
        <w:rPr>
          <w:lang w:eastAsia="en-US"/>
        </w:rPr>
        <w:t>The submission nominated the reference brand of adalimumab, Humira, as the main comparator. This was appropriate</w:t>
      </w:r>
      <w:r w:rsidRPr="009639EE">
        <w:t>.</w:t>
      </w:r>
    </w:p>
    <w:p w:rsidR="0056483D" w:rsidRPr="009639EE" w:rsidRDefault="0056483D" w:rsidP="0056483D">
      <w:pPr>
        <w:pStyle w:val="3Bodytext"/>
        <w:numPr>
          <w:ilvl w:val="0"/>
          <w:numId w:val="0"/>
        </w:numPr>
        <w:ind w:left="720"/>
        <w:rPr>
          <w:rFonts w:ascii="Calibri" w:eastAsia="Times New Roman" w:hAnsi="Calibri" w:cs="Times New Roman"/>
          <w:i/>
          <w:szCs w:val="24"/>
        </w:rPr>
      </w:pPr>
      <w:r w:rsidRPr="009639EE">
        <w:rPr>
          <w:rFonts w:ascii="Calibri" w:eastAsia="Times New Roman" w:hAnsi="Calibri" w:cs="Times New Roman"/>
          <w:i/>
          <w:szCs w:val="24"/>
        </w:rPr>
        <w:t xml:space="preserve">For more detail on PBAC’s view, see section </w:t>
      </w:r>
      <w:r w:rsidR="00ED6CF7" w:rsidRPr="009639EE">
        <w:rPr>
          <w:rFonts w:ascii="Calibri" w:eastAsia="Times New Roman" w:hAnsi="Calibri" w:cs="Times New Roman"/>
          <w:i/>
          <w:szCs w:val="24"/>
        </w:rPr>
        <w:t>6</w:t>
      </w:r>
      <w:r w:rsidRPr="009639EE">
        <w:rPr>
          <w:rFonts w:ascii="Calibri" w:eastAsia="Times New Roman" w:hAnsi="Calibri" w:cs="Times New Roman"/>
          <w:i/>
          <w:szCs w:val="24"/>
        </w:rPr>
        <w:t xml:space="preserve"> PBAC outcome</w:t>
      </w:r>
      <w:r w:rsidR="009639EE">
        <w:rPr>
          <w:rFonts w:ascii="Calibri" w:eastAsia="Times New Roman" w:hAnsi="Calibri" w:cs="Times New Roman"/>
          <w:i/>
          <w:szCs w:val="24"/>
        </w:rPr>
        <w:t xml:space="preserve">. </w:t>
      </w:r>
    </w:p>
    <w:p w:rsidR="00C27C1C" w:rsidRPr="009639EE" w:rsidRDefault="00C27C1C" w:rsidP="007E2704">
      <w:pPr>
        <w:pStyle w:val="Heading1"/>
        <w:keepLines/>
        <w:numPr>
          <w:ilvl w:val="0"/>
          <w:numId w:val="1"/>
        </w:numPr>
        <w:spacing w:before="240"/>
        <w:ind w:left="709" w:hanging="709"/>
        <w:rPr>
          <w:sz w:val="32"/>
          <w:szCs w:val="32"/>
        </w:rPr>
      </w:pPr>
      <w:r w:rsidRPr="009639EE">
        <w:rPr>
          <w:sz w:val="32"/>
          <w:szCs w:val="32"/>
        </w:rPr>
        <w:t>Consideration of the evidence</w:t>
      </w:r>
    </w:p>
    <w:p w:rsidR="00815256" w:rsidRPr="009639EE" w:rsidRDefault="00815256" w:rsidP="00815256">
      <w:pPr>
        <w:pStyle w:val="4-SubsectionHeading"/>
      </w:pPr>
      <w:r w:rsidRPr="009639EE">
        <w:t>Sponsor hearing</w:t>
      </w:r>
    </w:p>
    <w:p w:rsidR="00815256" w:rsidRPr="009639EE" w:rsidRDefault="00815256" w:rsidP="007E2704">
      <w:pPr>
        <w:pStyle w:val="3-BodyText"/>
        <w:numPr>
          <w:ilvl w:val="1"/>
          <w:numId w:val="1"/>
        </w:numPr>
        <w:ind w:left="720"/>
      </w:pPr>
      <w:r w:rsidRPr="009639EE">
        <w:rPr>
          <w:rFonts w:cs="Arial"/>
          <w:bCs/>
        </w:rPr>
        <w:t>There was no hearing for this item as it was a minor submission.</w:t>
      </w:r>
    </w:p>
    <w:p w:rsidR="00815256" w:rsidRPr="009639EE" w:rsidRDefault="00815256" w:rsidP="00815256">
      <w:pPr>
        <w:pStyle w:val="4-SubsectionHeading"/>
      </w:pPr>
      <w:r w:rsidRPr="009639EE">
        <w:t>Consumer comments</w:t>
      </w:r>
    </w:p>
    <w:p w:rsidR="00815256" w:rsidRPr="009639EE" w:rsidRDefault="00815256" w:rsidP="007E2704">
      <w:pPr>
        <w:pStyle w:val="3-BodyText"/>
        <w:numPr>
          <w:ilvl w:val="1"/>
          <w:numId w:val="1"/>
        </w:numPr>
        <w:ind w:left="720"/>
        <w:rPr>
          <w:rFonts w:cstheme="minorHAnsi"/>
        </w:rPr>
      </w:pPr>
      <w:r w:rsidRPr="009639EE">
        <w:rPr>
          <w:rFonts w:cstheme="minorHAnsi"/>
          <w:bCs/>
        </w:rPr>
        <w:t xml:space="preserve">The PBAC noted and welcomed the input from </w:t>
      </w:r>
      <w:r w:rsidR="00687221" w:rsidRPr="009639EE">
        <w:rPr>
          <w:rFonts w:cstheme="minorHAnsi"/>
          <w:bCs/>
        </w:rPr>
        <w:t xml:space="preserve">an organisation (1) </w:t>
      </w:r>
      <w:r w:rsidRPr="009639EE">
        <w:rPr>
          <w:rFonts w:cstheme="minorHAnsi"/>
          <w:bCs/>
        </w:rPr>
        <w:t>via the Consumer Comments facility on the PBS website</w:t>
      </w:r>
      <w:r w:rsidR="008312F0" w:rsidRPr="009639EE">
        <w:rPr>
          <w:rFonts w:cstheme="minorHAnsi"/>
          <w:bCs/>
        </w:rPr>
        <w:t>.</w:t>
      </w:r>
      <w:r w:rsidR="00687221" w:rsidRPr="009639EE">
        <w:rPr>
          <w:rFonts w:cstheme="minorHAnsi"/>
          <w:bCs/>
        </w:rPr>
        <w:t xml:space="preserve"> The </w:t>
      </w:r>
      <w:r w:rsidR="00687221" w:rsidRPr="009639EE">
        <w:rPr>
          <w:rFonts w:eastAsia="Times New Roman" w:cstheme="minorHAnsi"/>
          <w:szCs w:val="24"/>
        </w:rPr>
        <w:t xml:space="preserve">National Paediatric Medicines Forum (NPMF) supported the listing of the </w:t>
      </w:r>
      <w:r w:rsidR="00F61BF5" w:rsidRPr="009639EE">
        <w:rPr>
          <w:rFonts w:eastAsia="Times New Roman" w:cstheme="minorHAnsi"/>
          <w:szCs w:val="24"/>
        </w:rPr>
        <w:t xml:space="preserve">adalimumab </w:t>
      </w:r>
      <w:r w:rsidR="00687221" w:rsidRPr="009639EE">
        <w:rPr>
          <w:rFonts w:eastAsia="Times New Roman" w:cstheme="minorHAnsi"/>
          <w:szCs w:val="24"/>
        </w:rPr>
        <w:t xml:space="preserve">biosimilar </w:t>
      </w:r>
      <w:r w:rsidR="00F61BF5" w:rsidRPr="009639EE">
        <w:rPr>
          <w:rFonts w:eastAsia="Times New Roman" w:cstheme="minorHAnsi"/>
          <w:szCs w:val="24"/>
        </w:rPr>
        <w:t xml:space="preserve">brand </w:t>
      </w:r>
      <w:r w:rsidR="00687221" w:rsidRPr="009639EE">
        <w:rPr>
          <w:rFonts w:eastAsia="Times New Roman" w:cstheme="minorHAnsi"/>
          <w:szCs w:val="24"/>
        </w:rPr>
        <w:t>and noted its importance</w:t>
      </w:r>
      <w:r w:rsidR="00B5545C" w:rsidRPr="009639EE">
        <w:rPr>
          <w:rFonts w:eastAsia="Times New Roman" w:cstheme="minorHAnsi"/>
          <w:szCs w:val="24"/>
        </w:rPr>
        <w:t xml:space="preserve"> in the national paediatric population</w:t>
      </w:r>
      <w:r w:rsidR="00687221" w:rsidRPr="009639EE">
        <w:rPr>
          <w:rFonts w:eastAsia="Times New Roman" w:cstheme="minorHAnsi"/>
          <w:szCs w:val="24"/>
        </w:rPr>
        <w:t>, particularly in the paediatric setting for inflammatory bowel disorders</w:t>
      </w:r>
      <w:r w:rsidR="00B5545C" w:rsidRPr="009639EE">
        <w:rPr>
          <w:rFonts w:eastAsia="Times New Roman" w:cstheme="minorHAnsi"/>
          <w:szCs w:val="24"/>
        </w:rPr>
        <w:t xml:space="preserve"> where adalimumab is highly utilised</w:t>
      </w:r>
      <w:r w:rsidR="00687221" w:rsidRPr="009639EE">
        <w:rPr>
          <w:rFonts w:eastAsia="Times New Roman" w:cstheme="minorHAnsi"/>
          <w:szCs w:val="24"/>
        </w:rPr>
        <w:t xml:space="preserve">. </w:t>
      </w:r>
    </w:p>
    <w:p w:rsidR="00C27C1C" w:rsidRPr="009639EE" w:rsidRDefault="00C27C1C" w:rsidP="00815256">
      <w:pPr>
        <w:pStyle w:val="4-SubsectionHeading"/>
      </w:pPr>
      <w:r w:rsidRPr="009639EE">
        <w:lastRenderedPageBreak/>
        <w:t xml:space="preserve">Clinical trials </w:t>
      </w:r>
    </w:p>
    <w:p w:rsidR="006D0861" w:rsidRPr="009639EE" w:rsidRDefault="006D0861" w:rsidP="007E2704">
      <w:pPr>
        <w:pStyle w:val="3-BodyText"/>
        <w:numPr>
          <w:ilvl w:val="1"/>
          <w:numId w:val="1"/>
        </w:numPr>
        <w:ind w:left="720"/>
        <w:rPr>
          <w:bCs/>
          <w:lang w:eastAsia="en-US"/>
        </w:rPr>
      </w:pPr>
      <w:r w:rsidRPr="009639EE">
        <w:rPr>
          <w:lang w:eastAsia="en-US"/>
        </w:rPr>
        <w:t xml:space="preserve">The submission presented the following </w:t>
      </w:r>
      <w:r w:rsidR="00B531BB" w:rsidRPr="009639EE">
        <w:rPr>
          <w:bCs/>
          <w:lang w:eastAsia="en-US"/>
        </w:rPr>
        <w:t>c</w:t>
      </w:r>
      <w:r w:rsidRPr="009639EE">
        <w:rPr>
          <w:bCs/>
          <w:lang w:eastAsia="en-US"/>
        </w:rPr>
        <w:t xml:space="preserve">linical </w:t>
      </w:r>
      <w:r w:rsidR="00B531BB" w:rsidRPr="009639EE">
        <w:rPr>
          <w:bCs/>
          <w:lang w:eastAsia="en-US"/>
        </w:rPr>
        <w:t>s</w:t>
      </w:r>
      <w:r w:rsidRPr="009639EE">
        <w:rPr>
          <w:bCs/>
          <w:lang w:eastAsia="en-US"/>
        </w:rPr>
        <w:t xml:space="preserve">tudy </w:t>
      </w:r>
      <w:r w:rsidR="00B531BB" w:rsidRPr="009639EE">
        <w:rPr>
          <w:bCs/>
          <w:lang w:eastAsia="en-US"/>
        </w:rPr>
        <w:t>r</w:t>
      </w:r>
      <w:r w:rsidRPr="009639EE">
        <w:rPr>
          <w:bCs/>
          <w:lang w:eastAsia="en-US"/>
        </w:rPr>
        <w:t>eport</w:t>
      </w:r>
      <w:r w:rsidR="00B531BB" w:rsidRPr="009639EE">
        <w:rPr>
          <w:bCs/>
          <w:lang w:eastAsia="en-US"/>
        </w:rPr>
        <w:t>.</w:t>
      </w:r>
    </w:p>
    <w:p w:rsidR="006D0861" w:rsidRPr="009639EE" w:rsidRDefault="006D0861" w:rsidP="006D0861">
      <w:pPr>
        <w:rPr>
          <w:rFonts w:ascii="Arial Narrow" w:hAnsi="Arial Narrow" w:cstheme="minorHAnsi"/>
          <w:b/>
          <w:bCs/>
          <w:sz w:val="20"/>
          <w:szCs w:val="20"/>
        </w:rPr>
      </w:pPr>
      <w:r w:rsidRPr="009639EE">
        <w:rPr>
          <w:rFonts w:ascii="Arial Narrow" w:hAnsi="Arial Narrow" w:cstheme="minorHAnsi"/>
          <w:b/>
          <w:bCs/>
          <w:sz w:val="20"/>
          <w:szCs w:val="20"/>
        </w:rPr>
        <w:t>Table 1. Studies presented in the submission</w:t>
      </w:r>
    </w:p>
    <w:tbl>
      <w:tblPr>
        <w:tblStyle w:val="TableGrid"/>
        <w:tblW w:w="5000" w:type="pct"/>
        <w:tblLook w:val="04A0" w:firstRow="1" w:lastRow="0" w:firstColumn="1" w:lastColumn="0" w:noHBand="0" w:noVBand="1"/>
        <w:tblCaption w:val="Table 1. Studies presented in the submission"/>
      </w:tblPr>
      <w:tblGrid>
        <w:gridCol w:w="1592"/>
        <w:gridCol w:w="5404"/>
        <w:gridCol w:w="2020"/>
      </w:tblGrid>
      <w:tr w:rsidR="006D0861" w:rsidRPr="009639EE" w:rsidTr="00353A63">
        <w:trPr>
          <w:trHeight w:val="154"/>
          <w:tblHeader/>
        </w:trPr>
        <w:tc>
          <w:tcPr>
            <w:tcW w:w="883" w:type="pct"/>
          </w:tcPr>
          <w:p w:rsidR="006D0861" w:rsidRPr="009639EE" w:rsidRDefault="006D0861" w:rsidP="00694C87">
            <w:pPr>
              <w:rPr>
                <w:rFonts w:ascii="Arial Narrow" w:hAnsi="Arial Narrow" w:cstheme="minorHAnsi"/>
                <w:b/>
                <w:bCs/>
                <w:sz w:val="20"/>
                <w:szCs w:val="20"/>
              </w:rPr>
            </w:pPr>
            <w:bookmarkStart w:id="3" w:name="_GoBack" w:colFirst="0" w:colLast="3"/>
            <w:r w:rsidRPr="009639EE">
              <w:rPr>
                <w:rFonts w:ascii="Arial Narrow" w:hAnsi="Arial Narrow" w:cstheme="minorHAnsi"/>
                <w:b/>
                <w:bCs/>
                <w:sz w:val="20"/>
                <w:szCs w:val="20"/>
              </w:rPr>
              <w:t>Trial ID</w:t>
            </w:r>
          </w:p>
        </w:tc>
        <w:tc>
          <w:tcPr>
            <w:tcW w:w="2997" w:type="pct"/>
          </w:tcPr>
          <w:p w:rsidR="006D0861" w:rsidRPr="009639EE" w:rsidRDefault="006D0861" w:rsidP="00694C87">
            <w:pPr>
              <w:rPr>
                <w:rFonts w:ascii="Arial Narrow" w:hAnsi="Arial Narrow" w:cstheme="minorHAnsi"/>
                <w:b/>
                <w:bCs/>
                <w:sz w:val="20"/>
                <w:szCs w:val="20"/>
              </w:rPr>
            </w:pPr>
            <w:r w:rsidRPr="009639EE">
              <w:rPr>
                <w:rFonts w:ascii="Arial Narrow" w:hAnsi="Arial Narrow" w:cstheme="minorHAnsi"/>
                <w:b/>
                <w:bCs/>
                <w:sz w:val="20"/>
                <w:szCs w:val="20"/>
              </w:rPr>
              <w:t>Protocol/Publication Title</w:t>
            </w:r>
          </w:p>
        </w:tc>
        <w:tc>
          <w:tcPr>
            <w:tcW w:w="1120" w:type="pct"/>
          </w:tcPr>
          <w:p w:rsidR="006D0861" w:rsidRPr="009639EE" w:rsidRDefault="006D0861" w:rsidP="00694C87">
            <w:pPr>
              <w:rPr>
                <w:rFonts w:ascii="Arial Narrow" w:hAnsi="Arial Narrow" w:cstheme="minorHAnsi"/>
                <w:b/>
                <w:bCs/>
                <w:sz w:val="20"/>
                <w:szCs w:val="20"/>
              </w:rPr>
            </w:pPr>
            <w:r w:rsidRPr="009639EE">
              <w:rPr>
                <w:rFonts w:ascii="Arial Narrow" w:hAnsi="Arial Narrow" w:cstheme="minorHAnsi"/>
                <w:b/>
                <w:bCs/>
                <w:sz w:val="20"/>
                <w:szCs w:val="20"/>
              </w:rPr>
              <w:t>Publication Citation</w:t>
            </w:r>
          </w:p>
        </w:tc>
      </w:tr>
      <w:bookmarkEnd w:id="3"/>
      <w:tr w:rsidR="006D0861" w:rsidRPr="009639EE" w:rsidTr="00694C87">
        <w:tc>
          <w:tcPr>
            <w:tcW w:w="883" w:type="pct"/>
          </w:tcPr>
          <w:p w:rsidR="006D0861" w:rsidRPr="009639EE" w:rsidRDefault="006D0861" w:rsidP="00694C87">
            <w:pPr>
              <w:rPr>
                <w:rFonts w:ascii="Arial Narrow" w:hAnsi="Arial Narrow" w:cstheme="minorHAnsi"/>
                <w:bCs/>
                <w:sz w:val="20"/>
                <w:szCs w:val="20"/>
              </w:rPr>
            </w:pPr>
            <w:r w:rsidRPr="009639EE">
              <w:rPr>
                <w:rFonts w:ascii="Arial Narrow" w:hAnsi="Arial Narrow" w:cstheme="minorHAnsi"/>
                <w:bCs/>
                <w:sz w:val="20"/>
                <w:szCs w:val="20"/>
              </w:rPr>
              <w:t>B5381002</w:t>
            </w:r>
          </w:p>
        </w:tc>
        <w:tc>
          <w:tcPr>
            <w:tcW w:w="2997" w:type="pct"/>
          </w:tcPr>
          <w:p w:rsidR="006D0861" w:rsidRPr="009639EE" w:rsidRDefault="006D0861" w:rsidP="00694C87">
            <w:pPr>
              <w:rPr>
                <w:rFonts w:ascii="Arial Narrow" w:hAnsi="Arial Narrow" w:cstheme="minorHAnsi"/>
                <w:bCs/>
                <w:sz w:val="20"/>
                <w:szCs w:val="20"/>
              </w:rPr>
            </w:pPr>
            <w:r w:rsidRPr="009639EE">
              <w:rPr>
                <w:rFonts w:ascii="Arial Narrow" w:hAnsi="Arial Narrow" w:cstheme="minorHAnsi"/>
                <w:bCs/>
                <w:sz w:val="20"/>
                <w:szCs w:val="20"/>
              </w:rPr>
              <w:t>A Phase 3 Randomized, Double-Blind Study Assessing the Efficacy and Safety of PF-06410293 and Adalimumab in Combination With Methotrexate in Subjects With Moderately to Severely Active Rheumatoid Arthritis Who Have Had an Inadequate Response to Methotrexate</w:t>
            </w:r>
          </w:p>
        </w:tc>
        <w:tc>
          <w:tcPr>
            <w:tcW w:w="1120" w:type="pct"/>
          </w:tcPr>
          <w:p w:rsidR="006D0861" w:rsidRPr="009639EE" w:rsidRDefault="006D0861" w:rsidP="00694C87">
            <w:pPr>
              <w:rPr>
                <w:rFonts w:ascii="Arial Narrow" w:hAnsi="Arial Narrow" w:cstheme="minorHAnsi"/>
                <w:bCs/>
                <w:sz w:val="20"/>
                <w:szCs w:val="20"/>
              </w:rPr>
            </w:pPr>
            <w:r w:rsidRPr="009639EE">
              <w:rPr>
                <w:rFonts w:ascii="Arial Narrow" w:hAnsi="Arial Narrow" w:cstheme="minorHAnsi"/>
                <w:bCs/>
                <w:sz w:val="20"/>
                <w:szCs w:val="20"/>
              </w:rPr>
              <w:t>Clinical Study Report</w:t>
            </w:r>
          </w:p>
          <w:p w:rsidR="006D0861" w:rsidRPr="009639EE" w:rsidRDefault="006D0861" w:rsidP="00694C87">
            <w:pPr>
              <w:rPr>
                <w:rFonts w:ascii="Arial Narrow" w:hAnsi="Arial Narrow" w:cstheme="minorHAnsi"/>
                <w:bCs/>
                <w:sz w:val="20"/>
                <w:szCs w:val="20"/>
              </w:rPr>
            </w:pPr>
            <w:r w:rsidRPr="009639EE">
              <w:rPr>
                <w:rFonts w:ascii="Arial Narrow" w:hAnsi="Arial Narrow" w:cstheme="minorHAnsi"/>
                <w:bCs/>
                <w:sz w:val="20"/>
                <w:szCs w:val="20"/>
              </w:rPr>
              <w:t>Report Dates: 26 May 2018; 26 July 2018</w:t>
            </w:r>
          </w:p>
        </w:tc>
      </w:tr>
    </w:tbl>
    <w:p w:rsidR="006D0861" w:rsidRPr="009639EE" w:rsidRDefault="00F74220" w:rsidP="00660A11">
      <w:pPr>
        <w:pStyle w:val="3-BodyText"/>
        <w:numPr>
          <w:ilvl w:val="0"/>
          <w:numId w:val="0"/>
        </w:numPr>
        <w:rPr>
          <w:rFonts w:ascii="Arial Narrow" w:hAnsi="Arial Narrow"/>
          <w:bCs/>
          <w:sz w:val="18"/>
          <w:szCs w:val="18"/>
          <w:lang w:eastAsia="en-US"/>
        </w:rPr>
      </w:pPr>
      <w:r w:rsidRPr="009639EE">
        <w:rPr>
          <w:rFonts w:ascii="Arial Narrow" w:hAnsi="Arial Narrow"/>
          <w:bCs/>
          <w:sz w:val="18"/>
          <w:szCs w:val="18"/>
          <w:lang w:eastAsia="en-US"/>
        </w:rPr>
        <w:t>Source: Table 2-1, p10 of the submission</w:t>
      </w:r>
    </w:p>
    <w:p w:rsidR="00D32F8B" w:rsidRPr="009639EE" w:rsidRDefault="001D57C6" w:rsidP="007E2704">
      <w:pPr>
        <w:pStyle w:val="3-BodyText"/>
        <w:numPr>
          <w:ilvl w:val="1"/>
          <w:numId w:val="1"/>
        </w:numPr>
        <w:ind w:left="720"/>
        <w:rPr>
          <w:rFonts w:ascii="Arial Narrow" w:hAnsi="Arial Narrow" w:cstheme="minorHAnsi"/>
          <w:b/>
          <w:bCs/>
          <w:sz w:val="20"/>
          <w:szCs w:val="20"/>
        </w:rPr>
      </w:pPr>
      <w:r w:rsidRPr="009639EE">
        <w:t xml:space="preserve">The submission also cited </w:t>
      </w:r>
      <w:r w:rsidR="00703EAE" w:rsidRPr="009639EE">
        <w:t xml:space="preserve">three other trials </w:t>
      </w:r>
      <w:r w:rsidR="00D85681" w:rsidRPr="009639EE">
        <w:t xml:space="preserve">including </w:t>
      </w:r>
      <w:r w:rsidR="00703EAE" w:rsidRPr="009639EE">
        <w:t>Trial ID B5381001, B5381005 and B5381007</w:t>
      </w:r>
      <w:r w:rsidR="00F050B8" w:rsidRPr="009639EE">
        <w:t xml:space="preserve"> </w:t>
      </w:r>
      <w:r w:rsidR="00D85681" w:rsidRPr="009639EE">
        <w:t>(</w:t>
      </w:r>
      <w:r w:rsidR="00703EAE" w:rsidRPr="009639EE">
        <w:t>p10-11 of the submission)</w:t>
      </w:r>
      <w:r w:rsidR="00DF743E" w:rsidRPr="009639EE">
        <w:t>. H</w:t>
      </w:r>
      <w:r w:rsidR="00703EAE" w:rsidRPr="009639EE">
        <w:t>owever</w:t>
      </w:r>
      <w:r w:rsidR="003633D2" w:rsidRPr="009639EE">
        <w:t>, the</w:t>
      </w:r>
      <w:r w:rsidRPr="009639EE">
        <w:t xml:space="preserve"> </w:t>
      </w:r>
      <w:r w:rsidR="00494397" w:rsidRPr="009639EE">
        <w:t>clinical study reports</w:t>
      </w:r>
      <w:r w:rsidR="00052D51" w:rsidRPr="009639EE">
        <w:t xml:space="preserve"> </w:t>
      </w:r>
      <w:r w:rsidR="00D85681" w:rsidRPr="009639EE">
        <w:t>were</w:t>
      </w:r>
      <w:r w:rsidR="00B86925" w:rsidRPr="009639EE">
        <w:t xml:space="preserve"> not</w:t>
      </w:r>
      <w:r w:rsidR="00D85681" w:rsidRPr="009639EE">
        <w:t xml:space="preserve"> </w:t>
      </w:r>
      <w:r w:rsidR="00703EAE" w:rsidRPr="009639EE">
        <w:t xml:space="preserve">provided. </w:t>
      </w:r>
    </w:p>
    <w:p w:rsidR="00660A11" w:rsidRPr="009639EE" w:rsidRDefault="00D85681" w:rsidP="007E2704">
      <w:pPr>
        <w:pStyle w:val="3-BodyText"/>
        <w:numPr>
          <w:ilvl w:val="1"/>
          <w:numId w:val="1"/>
        </w:numPr>
        <w:ind w:left="720"/>
        <w:rPr>
          <w:rFonts w:ascii="Arial Narrow" w:hAnsi="Arial Narrow" w:cstheme="minorHAnsi"/>
          <w:b/>
          <w:bCs/>
          <w:sz w:val="20"/>
          <w:szCs w:val="20"/>
        </w:rPr>
      </w:pPr>
      <w:r w:rsidRPr="009639EE">
        <w:t xml:space="preserve">The clinical trials presented in the submission formed part of the TGA submission to register Abrilada as a biosimilar to Humira. The TGA Delegate Overview noted that the data presented in TGA submission demonstrated that </w:t>
      </w:r>
      <w:bookmarkStart w:id="4" w:name="_Hlk76058337"/>
      <w:r w:rsidRPr="009639EE">
        <w:t>Abrilada is highly similar to the Australian reference product, Humira, with comparable pharmacokinetics, efficacy, safety, and immunogenicity.</w:t>
      </w:r>
    </w:p>
    <w:bookmarkEnd w:id="4"/>
    <w:p w:rsidR="009E6C9F" w:rsidRPr="009639EE" w:rsidRDefault="00420F96" w:rsidP="007E2704">
      <w:pPr>
        <w:pStyle w:val="3-BodyText"/>
        <w:numPr>
          <w:ilvl w:val="1"/>
          <w:numId w:val="1"/>
        </w:numPr>
        <w:ind w:left="720"/>
      </w:pPr>
      <w:r w:rsidRPr="009639EE">
        <w:rPr>
          <w:lang w:eastAsia="en-US"/>
        </w:rPr>
        <w:t xml:space="preserve">As a </w:t>
      </w:r>
      <w:r w:rsidR="00B531BB" w:rsidRPr="009639EE">
        <w:rPr>
          <w:lang w:eastAsia="en-US"/>
        </w:rPr>
        <w:t xml:space="preserve">Category 3 </w:t>
      </w:r>
      <w:r w:rsidRPr="009639EE">
        <w:rPr>
          <w:lang w:eastAsia="en-US"/>
        </w:rPr>
        <w:t>submission, no evaluation of the clinical evidence was undertaken</w:t>
      </w:r>
      <w:r w:rsidRPr="009639EE">
        <w:t>.</w:t>
      </w:r>
    </w:p>
    <w:p w:rsidR="00C27C1C" w:rsidRPr="009639EE" w:rsidRDefault="00C27C1C" w:rsidP="00C27C1C">
      <w:pPr>
        <w:pStyle w:val="4-SubsectionHeading"/>
      </w:pPr>
      <w:r w:rsidRPr="009639EE">
        <w:t>Clinical claim</w:t>
      </w:r>
    </w:p>
    <w:p w:rsidR="007C6F3F" w:rsidRPr="009639EE" w:rsidRDefault="007C6F3F" w:rsidP="007E2704">
      <w:pPr>
        <w:pStyle w:val="3-BodyText"/>
        <w:numPr>
          <w:ilvl w:val="1"/>
          <w:numId w:val="1"/>
        </w:numPr>
        <w:ind w:left="720"/>
        <w:rPr>
          <w:lang w:eastAsia="en-US"/>
        </w:rPr>
      </w:pPr>
      <w:r w:rsidRPr="009639EE">
        <w:rPr>
          <w:lang w:eastAsia="en-US"/>
        </w:rPr>
        <w:t>The submission claimed that Abri</w:t>
      </w:r>
      <w:r w:rsidR="002B18E1" w:rsidRPr="009639EE">
        <w:rPr>
          <w:lang w:eastAsia="en-US"/>
        </w:rPr>
        <w:t>la</w:t>
      </w:r>
      <w:r w:rsidRPr="009639EE">
        <w:rPr>
          <w:lang w:eastAsia="en-US"/>
        </w:rPr>
        <w:t xml:space="preserve">da was biosimilar to Humira. </w:t>
      </w:r>
    </w:p>
    <w:p w:rsidR="00C27C1C" w:rsidRPr="009639EE" w:rsidRDefault="009E6C9F" w:rsidP="00C27C1C">
      <w:pPr>
        <w:pStyle w:val="4-SubsectionHeading"/>
      </w:pPr>
      <w:r w:rsidRPr="009639EE">
        <w:t>Pricing consideration</w:t>
      </w:r>
      <w:r w:rsidR="00C27C1C" w:rsidRPr="009639EE">
        <w:t xml:space="preserve"> </w:t>
      </w:r>
    </w:p>
    <w:p w:rsidR="005C013E" w:rsidRPr="009639EE" w:rsidRDefault="00660A11" w:rsidP="00C0650D">
      <w:pPr>
        <w:pStyle w:val="3-BodyText"/>
        <w:numPr>
          <w:ilvl w:val="1"/>
          <w:numId w:val="1"/>
        </w:numPr>
        <w:ind w:left="720"/>
      </w:pPr>
      <w:r w:rsidRPr="009639EE">
        <w:t>The submission requested listing Abrilada on a cost-minimisation basis to Humira</w:t>
      </w:r>
      <w:r w:rsidR="004F2C67" w:rsidRPr="009639EE">
        <w:t xml:space="preserve"> </w:t>
      </w:r>
      <w:r w:rsidR="003633D2" w:rsidRPr="009639EE">
        <w:t>at a</w:t>
      </w:r>
      <w:r w:rsidRPr="009639EE">
        <w:t xml:space="preserve"> 1:1 unit equivalence for Abrilada to Humira</w:t>
      </w:r>
      <w:r w:rsidR="00DE072E" w:rsidRPr="009639EE">
        <w:t>.</w:t>
      </w:r>
      <w:r w:rsidR="0000176E" w:rsidRPr="009639EE">
        <w:t xml:space="preserve"> </w:t>
      </w:r>
      <w:r w:rsidR="004F2C67" w:rsidRPr="009639EE">
        <w:t xml:space="preserve">The submission considers Abrilada is expected to substitute </w:t>
      </w:r>
      <w:r w:rsidR="0000176E" w:rsidRPr="009639EE">
        <w:t>directly</w:t>
      </w:r>
      <w:r w:rsidR="006A34AD" w:rsidRPr="009639EE">
        <w:t xml:space="preserve"> with</w:t>
      </w:r>
      <w:r w:rsidR="0000176E" w:rsidRPr="009639EE">
        <w:t xml:space="preserve"> the 20 mg PFS and 40 mg PFS and </w:t>
      </w:r>
      <w:r w:rsidR="00FA5B00" w:rsidRPr="009639EE">
        <w:t xml:space="preserve">40 mg </w:t>
      </w:r>
      <w:r w:rsidR="0000176E" w:rsidRPr="009639EE">
        <w:t xml:space="preserve">PFP </w:t>
      </w:r>
      <w:r w:rsidR="00845404" w:rsidRPr="009639EE">
        <w:t>of Humira</w:t>
      </w:r>
      <w:r w:rsidR="004F2C67" w:rsidRPr="009639EE">
        <w:t xml:space="preserve">. </w:t>
      </w:r>
      <w:r w:rsidR="00845404" w:rsidRPr="009639EE">
        <w:t xml:space="preserve">The </w:t>
      </w:r>
      <w:r w:rsidR="00B531BB" w:rsidRPr="009639EE">
        <w:t>s</w:t>
      </w:r>
      <w:r w:rsidR="00845404" w:rsidRPr="009639EE">
        <w:t xml:space="preserve">ubmission presented no economic </w:t>
      </w:r>
      <w:r w:rsidR="007C1A53" w:rsidRPr="009639EE">
        <w:t xml:space="preserve">or financial </w:t>
      </w:r>
      <w:r w:rsidR="00845404" w:rsidRPr="009639EE">
        <w:t>analysis.</w:t>
      </w:r>
      <w:r w:rsidR="007D4669" w:rsidRPr="009639EE">
        <w:t xml:space="preserve"> It is expected that the listing of Abrilada will not have a financial impact.</w:t>
      </w:r>
    </w:p>
    <w:p w:rsidR="001559AB" w:rsidRDefault="0056483D" w:rsidP="0056483D">
      <w:pPr>
        <w:pStyle w:val="3Bodytext"/>
        <w:numPr>
          <w:ilvl w:val="0"/>
          <w:numId w:val="0"/>
        </w:numPr>
        <w:ind w:left="720"/>
        <w:rPr>
          <w:rFonts w:ascii="Calibri" w:eastAsia="Times New Roman" w:hAnsi="Calibri" w:cs="Times New Roman"/>
          <w:i/>
          <w:szCs w:val="24"/>
        </w:rPr>
      </w:pPr>
      <w:r w:rsidRPr="009639EE">
        <w:rPr>
          <w:rFonts w:ascii="Calibri" w:eastAsia="Times New Roman" w:hAnsi="Calibri" w:cs="Times New Roman"/>
          <w:i/>
          <w:szCs w:val="24"/>
        </w:rPr>
        <w:t xml:space="preserve">For more detail on PBAC’s view, see section </w:t>
      </w:r>
      <w:r w:rsidR="00ED6CF7" w:rsidRPr="009639EE">
        <w:rPr>
          <w:rFonts w:ascii="Calibri" w:eastAsia="Times New Roman" w:hAnsi="Calibri" w:cs="Times New Roman"/>
          <w:i/>
          <w:szCs w:val="24"/>
        </w:rPr>
        <w:t>6</w:t>
      </w:r>
      <w:r w:rsidRPr="009639EE">
        <w:rPr>
          <w:rFonts w:ascii="Calibri" w:eastAsia="Times New Roman" w:hAnsi="Calibri" w:cs="Times New Roman"/>
          <w:i/>
          <w:szCs w:val="24"/>
        </w:rPr>
        <w:t xml:space="preserve"> PBAC outcome</w:t>
      </w:r>
      <w:r w:rsidR="009639EE">
        <w:rPr>
          <w:rFonts w:ascii="Calibri" w:eastAsia="Times New Roman" w:hAnsi="Calibri" w:cs="Times New Roman"/>
          <w:i/>
          <w:szCs w:val="24"/>
        </w:rPr>
        <w:t xml:space="preserve">. </w:t>
      </w:r>
    </w:p>
    <w:p w:rsidR="001559AB" w:rsidRDefault="001559AB">
      <w:pPr>
        <w:jc w:val="left"/>
        <w:rPr>
          <w:i/>
        </w:rPr>
      </w:pPr>
      <w:r>
        <w:rPr>
          <w:i/>
        </w:rPr>
        <w:br w:type="page"/>
      </w:r>
    </w:p>
    <w:p w:rsidR="008312F0" w:rsidRPr="009639EE" w:rsidRDefault="008312F0" w:rsidP="007E2704">
      <w:pPr>
        <w:pStyle w:val="Heading1"/>
        <w:keepLines/>
        <w:numPr>
          <w:ilvl w:val="0"/>
          <w:numId w:val="1"/>
        </w:numPr>
        <w:spacing w:before="240"/>
        <w:ind w:left="709" w:hanging="709"/>
        <w:rPr>
          <w:sz w:val="32"/>
          <w:szCs w:val="32"/>
        </w:rPr>
      </w:pPr>
      <w:r w:rsidRPr="009639EE">
        <w:rPr>
          <w:sz w:val="32"/>
          <w:szCs w:val="32"/>
        </w:rPr>
        <w:t>PBAC Outcome</w:t>
      </w:r>
    </w:p>
    <w:p w:rsidR="00E74C63" w:rsidRPr="009639EE" w:rsidRDefault="00E74C63" w:rsidP="00087AB3">
      <w:pPr>
        <w:pStyle w:val="3-BodyText"/>
        <w:numPr>
          <w:ilvl w:val="1"/>
          <w:numId w:val="1"/>
        </w:numPr>
        <w:ind w:left="720"/>
      </w:pPr>
      <w:bookmarkStart w:id="5" w:name="_Hlk77145337"/>
      <w:r w:rsidRPr="009639EE">
        <w:t xml:space="preserve">The PBAC recommended the Authority Required listing </w:t>
      </w:r>
      <w:r w:rsidR="00087AB3" w:rsidRPr="009639EE">
        <w:t xml:space="preserve">of </w:t>
      </w:r>
      <w:r w:rsidRPr="009639EE">
        <w:t>adalimumab (Abrilada) in the form of 20 mg in 0.4 mL PFS, 40 mg in 0.8 mL PFS and 40 mg in 0.8 mL PFP as a biosimilar brand of Humira on the General Schedule (Section 85) and Section 100 (Highly Specialised Drug Program). The PBAC’s recommendation for listing was based on, among other matters, its assessment that the cost-effectiveness of Abrilada PFP and PFS would be acceptable if it were cost-minimised to Humira for the following indications</w:t>
      </w:r>
      <w:bookmarkEnd w:id="5"/>
      <w:r w:rsidRPr="009639EE">
        <w:t>:</w:t>
      </w:r>
    </w:p>
    <w:p w:rsidR="00E74C63" w:rsidRPr="009639EE" w:rsidRDefault="00E74C63" w:rsidP="00BF1DE6">
      <w:pPr>
        <w:pStyle w:val="3Bodytext"/>
        <w:numPr>
          <w:ilvl w:val="0"/>
          <w:numId w:val="7"/>
        </w:numPr>
        <w:ind w:hanging="447"/>
        <w:jc w:val="both"/>
        <w:rPr>
          <w:rFonts w:eastAsia="Times New Roman" w:cstheme="minorHAnsi"/>
          <w:snapToGrid w:val="0"/>
          <w:szCs w:val="24"/>
        </w:rPr>
      </w:pPr>
      <w:r w:rsidRPr="009639EE">
        <w:rPr>
          <w:rFonts w:eastAsia="Times New Roman" w:cstheme="minorHAnsi"/>
          <w:snapToGrid w:val="0"/>
          <w:szCs w:val="24"/>
        </w:rPr>
        <w:t>Severe Crohn disease</w:t>
      </w:r>
    </w:p>
    <w:p w:rsidR="00E74C63" w:rsidRPr="009639EE" w:rsidRDefault="00E74C63" w:rsidP="00BF1DE6">
      <w:pPr>
        <w:pStyle w:val="3Bodytext"/>
        <w:numPr>
          <w:ilvl w:val="0"/>
          <w:numId w:val="7"/>
        </w:numPr>
        <w:ind w:hanging="447"/>
        <w:jc w:val="both"/>
        <w:rPr>
          <w:rFonts w:eastAsia="Times New Roman" w:cstheme="minorHAnsi"/>
          <w:snapToGrid w:val="0"/>
          <w:szCs w:val="24"/>
        </w:rPr>
      </w:pPr>
      <w:r w:rsidRPr="009639EE">
        <w:rPr>
          <w:rFonts w:eastAsia="Times New Roman" w:cstheme="minorHAnsi"/>
          <w:snapToGrid w:val="0"/>
          <w:szCs w:val="24"/>
        </w:rPr>
        <w:lastRenderedPageBreak/>
        <w:t>Moderate to severe ulcerative colitis</w:t>
      </w:r>
    </w:p>
    <w:p w:rsidR="00E74C63" w:rsidRPr="009639EE" w:rsidRDefault="00E74C63" w:rsidP="00BF1DE6">
      <w:pPr>
        <w:pStyle w:val="3Bodytext"/>
        <w:numPr>
          <w:ilvl w:val="0"/>
          <w:numId w:val="7"/>
        </w:numPr>
        <w:ind w:hanging="447"/>
        <w:jc w:val="both"/>
        <w:rPr>
          <w:rFonts w:eastAsia="Times New Roman" w:cstheme="minorHAnsi"/>
          <w:snapToGrid w:val="0"/>
          <w:szCs w:val="24"/>
        </w:rPr>
      </w:pPr>
      <w:r w:rsidRPr="009639EE">
        <w:rPr>
          <w:rFonts w:eastAsia="Times New Roman" w:cstheme="minorHAnsi"/>
          <w:snapToGrid w:val="0"/>
          <w:szCs w:val="24"/>
        </w:rPr>
        <w:t>Severe active juvenile idiopathic arthritis</w:t>
      </w:r>
    </w:p>
    <w:p w:rsidR="00E74C63" w:rsidRPr="009639EE" w:rsidRDefault="00E74C63" w:rsidP="00BF1DE6">
      <w:pPr>
        <w:pStyle w:val="3Bodytext"/>
        <w:numPr>
          <w:ilvl w:val="0"/>
          <w:numId w:val="7"/>
        </w:numPr>
        <w:ind w:hanging="447"/>
        <w:jc w:val="both"/>
        <w:rPr>
          <w:rFonts w:eastAsia="Times New Roman" w:cstheme="minorHAnsi"/>
          <w:snapToGrid w:val="0"/>
          <w:szCs w:val="24"/>
        </w:rPr>
      </w:pPr>
      <w:r w:rsidRPr="009639EE">
        <w:rPr>
          <w:rFonts w:eastAsia="Times New Roman" w:cstheme="minorHAnsi"/>
          <w:snapToGrid w:val="0"/>
          <w:szCs w:val="24"/>
        </w:rPr>
        <w:t>Complex refractory fistulising Crohn disease</w:t>
      </w:r>
    </w:p>
    <w:p w:rsidR="00E74C63" w:rsidRPr="009639EE" w:rsidRDefault="00E74C63" w:rsidP="00BF1DE6">
      <w:pPr>
        <w:pStyle w:val="3Bodytext"/>
        <w:numPr>
          <w:ilvl w:val="0"/>
          <w:numId w:val="7"/>
        </w:numPr>
        <w:ind w:hanging="447"/>
        <w:jc w:val="both"/>
        <w:rPr>
          <w:rFonts w:eastAsia="Times New Roman" w:cstheme="minorHAnsi"/>
          <w:snapToGrid w:val="0"/>
          <w:szCs w:val="24"/>
        </w:rPr>
      </w:pPr>
      <w:r w:rsidRPr="009639EE">
        <w:rPr>
          <w:rFonts w:eastAsia="Times New Roman" w:cstheme="minorHAnsi"/>
          <w:snapToGrid w:val="0"/>
          <w:szCs w:val="24"/>
        </w:rPr>
        <w:t>Severe active rheumatoid arthritis</w:t>
      </w:r>
    </w:p>
    <w:p w:rsidR="00E74C63" w:rsidRPr="009639EE" w:rsidRDefault="00E74C63" w:rsidP="00BF1DE6">
      <w:pPr>
        <w:pStyle w:val="3Bodytext"/>
        <w:numPr>
          <w:ilvl w:val="0"/>
          <w:numId w:val="7"/>
        </w:numPr>
        <w:ind w:hanging="447"/>
        <w:jc w:val="both"/>
        <w:rPr>
          <w:rFonts w:eastAsia="Times New Roman" w:cstheme="minorHAnsi"/>
          <w:snapToGrid w:val="0"/>
          <w:szCs w:val="24"/>
        </w:rPr>
      </w:pPr>
      <w:r w:rsidRPr="009639EE">
        <w:rPr>
          <w:rFonts w:eastAsia="Times New Roman" w:cstheme="minorHAnsi"/>
          <w:snapToGrid w:val="0"/>
          <w:szCs w:val="24"/>
        </w:rPr>
        <w:t>Severe psoriatic arthritis</w:t>
      </w:r>
    </w:p>
    <w:p w:rsidR="00E74C63" w:rsidRPr="009639EE" w:rsidRDefault="00E74C63" w:rsidP="00BF1DE6">
      <w:pPr>
        <w:pStyle w:val="3Bodytext"/>
        <w:numPr>
          <w:ilvl w:val="0"/>
          <w:numId w:val="7"/>
        </w:numPr>
        <w:ind w:hanging="447"/>
        <w:jc w:val="both"/>
        <w:rPr>
          <w:rFonts w:eastAsia="Times New Roman" w:cstheme="minorHAnsi"/>
          <w:snapToGrid w:val="0"/>
          <w:szCs w:val="24"/>
        </w:rPr>
      </w:pPr>
      <w:r w:rsidRPr="009639EE">
        <w:rPr>
          <w:rFonts w:eastAsia="Times New Roman" w:cstheme="minorHAnsi"/>
          <w:snapToGrid w:val="0"/>
          <w:szCs w:val="24"/>
        </w:rPr>
        <w:t>Ankylosing spondylitis</w:t>
      </w:r>
    </w:p>
    <w:p w:rsidR="00E74C63" w:rsidRPr="009639EE" w:rsidRDefault="00E74C63" w:rsidP="00BF1DE6">
      <w:pPr>
        <w:pStyle w:val="3Bodytext"/>
        <w:numPr>
          <w:ilvl w:val="0"/>
          <w:numId w:val="7"/>
        </w:numPr>
        <w:ind w:hanging="447"/>
        <w:jc w:val="both"/>
        <w:rPr>
          <w:rFonts w:eastAsia="Times New Roman" w:cstheme="minorHAnsi"/>
          <w:snapToGrid w:val="0"/>
          <w:szCs w:val="24"/>
        </w:rPr>
      </w:pPr>
      <w:r w:rsidRPr="009639EE">
        <w:rPr>
          <w:rFonts w:eastAsia="Times New Roman" w:cstheme="minorHAnsi"/>
          <w:snapToGrid w:val="0"/>
          <w:szCs w:val="24"/>
        </w:rPr>
        <w:t>Severe chronic plaque psoriasis</w:t>
      </w:r>
    </w:p>
    <w:p w:rsidR="00E74C63" w:rsidRPr="009639EE" w:rsidRDefault="00E74C63" w:rsidP="00BF1DE6">
      <w:pPr>
        <w:pStyle w:val="3Bodytext"/>
        <w:numPr>
          <w:ilvl w:val="0"/>
          <w:numId w:val="7"/>
        </w:numPr>
        <w:ind w:hanging="447"/>
        <w:jc w:val="both"/>
        <w:rPr>
          <w:rFonts w:eastAsia="Times New Roman" w:cstheme="minorHAnsi"/>
          <w:snapToGrid w:val="0"/>
          <w:szCs w:val="24"/>
        </w:rPr>
      </w:pPr>
      <w:r w:rsidRPr="009639EE">
        <w:rPr>
          <w:rFonts w:eastAsia="Times New Roman" w:cstheme="minorHAnsi"/>
          <w:snapToGrid w:val="0"/>
          <w:szCs w:val="24"/>
        </w:rPr>
        <w:t>Moderate to severe hidradenitis suppurativa.</w:t>
      </w:r>
    </w:p>
    <w:p w:rsidR="00E74C63" w:rsidRPr="009639EE" w:rsidRDefault="00E74C63" w:rsidP="00087AB3">
      <w:pPr>
        <w:pStyle w:val="3-BodyText"/>
        <w:numPr>
          <w:ilvl w:val="1"/>
          <w:numId w:val="1"/>
        </w:numPr>
        <w:ind w:left="720"/>
      </w:pPr>
      <w:r w:rsidRPr="009639EE">
        <w:t xml:space="preserve">The PBAC advised the equi-effective doses to be a 1:1 unit equivalence for Abrilada to Humira and all other biosimilar brands and formulations of adalimumab. </w:t>
      </w:r>
    </w:p>
    <w:p w:rsidR="00ED6CF7" w:rsidRPr="009639EE" w:rsidRDefault="00E74C63" w:rsidP="00BF1DE6">
      <w:pPr>
        <w:pStyle w:val="3-BodyText"/>
        <w:numPr>
          <w:ilvl w:val="1"/>
          <w:numId w:val="1"/>
        </w:numPr>
        <w:ind w:left="720"/>
      </w:pPr>
      <w:r w:rsidRPr="009639EE">
        <w:t>The PBAC considered that the claim of biosimilar</w:t>
      </w:r>
      <w:r w:rsidR="000206F3" w:rsidRPr="009639EE">
        <w:t>ity</w:t>
      </w:r>
      <w:r w:rsidRPr="009639EE">
        <w:t xml:space="preserve"> for Abrilada compared to Humira was </w:t>
      </w:r>
      <w:bookmarkStart w:id="6" w:name="_Hlk76057929"/>
      <w:r w:rsidR="00ED6CF7" w:rsidRPr="009639EE">
        <w:t xml:space="preserve">reasonably supported by the data. </w:t>
      </w:r>
      <w:bookmarkEnd w:id="6"/>
      <w:r w:rsidR="00ED6CF7" w:rsidRPr="009639EE">
        <w:t>The TGA Delegate noted that Abrilada is similar to the Australian reference product Humira with comparable pharmacokinetics, efficacy, safety, and immunogenicity.</w:t>
      </w:r>
    </w:p>
    <w:p w:rsidR="000206F3" w:rsidRPr="009639EE" w:rsidRDefault="008E49B0" w:rsidP="000206F3">
      <w:pPr>
        <w:widowControl w:val="0"/>
        <w:numPr>
          <w:ilvl w:val="1"/>
          <w:numId w:val="1"/>
        </w:numPr>
        <w:spacing w:after="120" w:line="259" w:lineRule="auto"/>
        <w:ind w:left="720"/>
        <w:jc w:val="left"/>
        <w:rPr>
          <w:rFonts w:eastAsia="Calibri" w:cs="Arial"/>
          <w:b/>
          <w:bCs/>
          <w:i/>
          <w:snapToGrid w:val="0"/>
          <w:lang w:eastAsia="en-US"/>
        </w:rPr>
      </w:pPr>
      <w:r w:rsidRPr="009639EE">
        <w:rPr>
          <w:rFonts w:eastAsia="Calibri" w:cs="Arial"/>
          <w:bCs/>
          <w:snapToGrid w:val="0"/>
          <w:lang w:eastAsia="en-US"/>
        </w:rPr>
        <w:t>The PBAC considered that the biosimilar uptake drivers should be applied to Abrilada</w:t>
      </w:r>
      <w:r w:rsidR="00B57A40" w:rsidRPr="009639EE">
        <w:rPr>
          <w:rFonts w:eastAsia="Calibri" w:cs="Arial"/>
          <w:bCs/>
          <w:snapToGrid w:val="0"/>
          <w:lang w:eastAsia="en-US"/>
        </w:rPr>
        <w:t xml:space="preserve"> </w:t>
      </w:r>
      <w:r w:rsidR="000206F3" w:rsidRPr="009639EE">
        <w:rPr>
          <w:rFonts w:eastAsia="Calibri" w:cs="Arial"/>
          <w:bCs/>
          <w:snapToGrid w:val="0"/>
          <w:lang w:eastAsia="en-US"/>
        </w:rPr>
        <w:t>consistent with the current PBS listings fo</w:t>
      </w:r>
      <w:r w:rsidR="002B3DD9" w:rsidRPr="009639EE">
        <w:rPr>
          <w:rFonts w:eastAsia="Calibri" w:cs="Arial"/>
          <w:bCs/>
          <w:snapToGrid w:val="0"/>
          <w:lang w:eastAsia="en-US"/>
        </w:rPr>
        <w:t>r adalimumab biosimilar brands, including:</w:t>
      </w:r>
    </w:p>
    <w:p w:rsidR="000206F3" w:rsidRPr="009639EE" w:rsidRDefault="000206F3" w:rsidP="00BF1DE6">
      <w:pPr>
        <w:pStyle w:val="ListParagraph"/>
        <w:widowControl w:val="0"/>
        <w:numPr>
          <w:ilvl w:val="1"/>
          <w:numId w:val="6"/>
        </w:numPr>
        <w:snapToGrid w:val="0"/>
        <w:ind w:left="1077" w:hanging="357"/>
        <w:jc w:val="both"/>
        <w:rPr>
          <w:lang w:eastAsia="en-US"/>
        </w:rPr>
      </w:pPr>
      <w:r w:rsidRPr="009639EE">
        <w:rPr>
          <w:lang w:eastAsia="en-US"/>
        </w:rPr>
        <w:t xml:space="preserve">Authority Required (Written/digital submission) listing of Abrilada for initial treatment restrictions, first and subsequent continuing treatment restrictions. </w:t>
      </w:r>
    </w:p>
    <w:p w:rsidR="000206F3" w:rsidRPr="009639EE" w:rsidRDefault="000206F3" w:rsidP="00BF1DE6">
      <w:pPr>
        <w:pStyle w:val="ListParagraph"/>
        <w:widowControl w:val="0"/>
        <w:numPr>
          <w:ilvl w:val="1"/>
          <w:numId w:val="6"/>
        </w:numPr>
        <w:snapToGrid w:val="0"/>
        <w:ind w:left="1077" w:hanging="357"/>
        <w:jc w:val="both"/>
        <w:rPr>
          <w:lang w:eastAsia="en-US"/>
        </w:rPr>
      </w:pPr>
      <w:r w:rsidRPr="009639EE">
        <w:rPr>
          <w:lang w:eastAsia="en-US"/>
        </w:rPr>
        <w:t>A separate Authority Required (Streamlined) listing of Abrilada for subsequent continuing treatment restriction.</w:t>
      </w:r>
    </w:p>
    <w:p w:rsidR="000206F3" w:rsidRPr="009639EE" w:rsidRDefault="000206F3" w:rsidP="00BF1DE6">
      <w:pPr>
        <w:pStyle w:val="ListParagraph"/>
        <w:widowControl w:val="0"/>
        <w:numPr>
          <w:ilvl w:val="1"/>
          <w:numId w:val="6"/>
        </w:numPr>
        <w:snapToGrid w:val="0"/>
        <w:ind w:left="1077" w:hanging="357"/>
        <w:jc w:val="both"/>
        <w:rPr>
          <w:rFonts w:eastAsia="Calibri"/>
          <w:b/>
          <w:bCs/>
          <w:i/>
          <w:lang w:eastAsia="en-US"/>
        </w:rPr>
      </w:pPr>
      <w:r w:rsidRPr="009639EE">
        <w:t xml:space="preserve">The application of the ‘Biosimilar prescribing policy’ administrative note encouraging the use of biosimilar brands for treatment naïve patients (this note will need to </w:t>
      </w:r>
      <w:r w:rsidR="000C0435" w:rsidRPr="009639EE">
        <w:t xml:space="preserve">be </w:t>
      </w:r>
      <w:r w:rsidRPr="009639EE">
        <w:t xml:space="preserve">updated </w:t>
      </w:r>
      <w:r w:rsidR="00CC7171" w:rsidRPr="009639EE">
        <w:t xml:space="preserve">for the other biosimilar brands of adalimumab </w:t>
      </w:r>
      <w:r w:rsidRPr="009639EE">
        <w:t>to include Abrilada in</w:t>
      </w:r>
      <w:r w:rsidR="00CC7171" w:rsidRPr="009639EE">
        <w:t xml:space="preserve"> the list</w:t>
      </w:r>
      <w:r w:rsidRPr="009639EE">
        <w:t>):</w:t>
      </w:r>
    </w:p>
    <w:p w:rsidR="00B57A40" w:rsidRPr="009639EE" w:rsidRDefault="00B57A40" w:rsidP="00B57A40">
      <w:pPr>
        <w:widowControl w:val="0"/>
        <w:spacing w:after="120" w:line="259" w:lineRule="auto"/>
        <w:ind w:left="720"/>
        <w:jc w:val="left"/>
        <w:rPr>
          <w:rFonts w:eastAsia="Calibri" w:cs="Arial"/>
          <w:bCs/>
          <w:i/>
          <w:snapToGrid w:val="0"/>
          <w:lang w:eastAsia="en-US"/>
        </w:rPr>
      </w:pPr>
      <w:r w:rsidRPr="009639EE">
        <w:rPr>
          <w:rFonts w:eastAsia="Calibri" w:cs="Arial"/>
          <w:bCs/>
          <w:i/>
          <w:snapToGrid w:val="0"/>
          <w:lang w:eastAsia="en-US"/>
        </w:rPr>
        <w:t xml:space="preserve">Prescribing of the biosimilar brand, </w:t>
      </w:r>
      <w:r w:rsidR="000206F3" w:rsidRPr="009639EE">
        <w:rPr>
          <w:rFonts w:eastAsia="Calibri" w:cs="Arial"/>
          <w:bCs/>
          <w:i/>
          <w:snapToGrid w:val="0"/>
          <w:lang w:eastAsia="en-US"/>
        </w:rPr>
        <w:t>ABRILADA</w:t>
      </w:r>
      <w:r w:rsidRPr="009639EE">
        <w:rPr>
          <w:rFonts w:eastAsia="Calibri" w:cs="Arial"/>
          <w:bCs/>
          <w:i/>
          <w:snapToGrid w:val="0"/>
          <w:lang w:eastAsia="en-US"/>
        </w:rPr>
        <w:t xml:space="preserve">, is encouraged for treatment naïve patients. </w:t>
      </w:r>
    </w:p>
    <w:p w:rsidR="008E49B0" w:rsidRPr="009639EE" w:rsidRDefault="00B57A40" w:rsidP="00B57A40">
      <w:pPr>
        <w:widowControl w:val="0"/>
        <w:spacing w:after="120" w:line="259" w:lineRule="auto"/>
        <w:ind w:left="720"/>
        <w:jc w:val="left"/>
        <w:rPr>
          <w:rFonts w:eastAsia="Calibri" w:cs="Arial"/>
          <w:bCs/>
          <w:snapToGrid w:val="0"/>
          <w:lang w:eastAsia="en-US"/>
        </w:rPr>
      </w:pPr>
      <w:r w:rsidRPr="009639EE">
        <w:rPr>
          <w:rFonts w:eastAsia="Calibri" w:cs="Arial"/>
          <w:bCs/>
          <w:i/>
          <w:snapToGrid w:val="0"/>
          <w:lang w:eastAsia="en-US"/>
        </w:rPr>
        <w:t>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r w:rsidRPr="00200CF2">
        <w:rPr>
          <w:rFonts w:eastAsia="Calibri" w:cs="Arial"/>
          <w:bCs/>
          <w:i/>
          <w:snapToGrid w:val="0"/>
          <w:lang w:eastAsia="en-US"/>
        </w:rPr>
        <w:t>www.health.gov.au/biosimilars</w:t>
      </w:r>
      <w:r w:rsidR="009D5903">
        <w:rPr>
          <w:rStyle w:val="Hyperlink"/>
          <w:rFonts w:eastAsia="Calibri" w:cs="Arial"/>
          <w:bCs/>
          <w:i/>
          <w:snapToGrid w:val="0"/>
          <w:color w:val="auto"/>
          <w:lang w:eastAsia="en-US"/>
        </w:rPr>
        <w:t>)</w:t>
      </w:r>
    </w:p>
    <w:p w:rsidR="008E49B0" w:rsidRPr="009639EE" w:rsidRDefault="008E49B0" w:rsidP="00BF1DE6">
      <w:pPr>
        <w:widowControl w:val="0"/>
        <w:numPr>
          <w:ilvl w:val="1"/>
          <w:numId w:val="1"/>
        </w:numPr>
        <w:spacing w:after="120" w:line="259" w:lineRule="auto"/>
        <w:ind w:left="720"/>
        <w:rPr>
          <w:rFonts w:eastAsia="Calibri" w:cs="Arial"/>
          <w:bCs/>
          <w:snapToGrid w:val="0"/>
          <w:lang w:eastAsia="en-US"/>
        </w:rPr>
      </w:pPr>
      <w:r w:rsidRPr="009639EE">
        <w:rPr>
          <w:rFonts w:eastAsia="Calibri" w:cs="Arial"/>
          <w:bCs/>
          <w:snapToGrid w:val="0"/>
          <w:lang w:eastAsia="en-US"/>
        </w:rPr>
        <w:t xml:space="preserve">The PBAC advised that, under Section 101(4AACD) of the </w:t>
      </w:r>
      <w:r w:rsidRPr="009639EE">
        <w:rPr>
          <w:rFonts w:eastAsia="Calibri" w:cs="Arial"/>
          <w:bCs/>
          <w:i/>
          <w:snapToGrid w:val="0"/>
          <w:lang w:eastAsia="en-US"/>
        </w:rPr>
        <w:t>National Health Act 1953</w:t>
      </w:r>
      <w:r w:rsidRPr="009639EE">
        <w:rPr>
          <w:rFonts w:eastAsia="Calibri" w:cs="Arial"/>
          <w:bCs/>
          <w:snapToGrid w:val="0"/>
          <w:lang w:eastAsia="en-US"/>
        </w:rPr>
        <w:t xml:space="preserve">, in the Schedule of Pharmaceutical Benefits, </w:t>
      </w:r>
      <w:r w:rsidR="00BC467F" w:rsidRPr="009639EE">
        <w:rPr>
          <w:rFonts w:eastAsia="Calibri" w:cs="Arial"/>
          <w:bCs/>
          <w:snapToGrid w:val="0"/>
          <w:lang w:eastAsia="en-US"/>
        </w:rPr>
        <w:t xml:space="preserve">Abrilada, Amgevita, Hadlima, Hyrimoz,  Humira and Idacio </w:t>
      </w:r>
      <w:r w:rsidR="00A41265">
        <w:rPr>
          <w:rFonts w:eastAsia="Calibri" w:cs="Arial"/>
          <w:bCs/>
          <w:snapToGrid w:val="0"/>
          <w:lang w:eastAsia="en-US"/>
        </w:rPr>
        <w:t>PFS</w:t>
      </w:r>
      <w:r w:rsidR="00BC467F" w:rsidRPr="009639EE">
        <w:rPr>
          <w:rFonts w:eastAsia="Calibri" w:cs="Arial"/>
          <w:bCs/>
          <w:snapToGrid w:val="0"/>
          <w:lang w:eastAsia="en-US"/>
        </w:rPr>
        <w:t xml:space="preserve"> should be treated as equivalent to each other; and Abrilada, </w:t>
      </w:r>
      <w:r w:rsidR="00BC467F" w:rsidRPr="009639EE">
        <w:rPr>
          <w:rFonts w:eastAsia="Calibri" w:cs="Arial"/>
          <w:bCs/>
          <w:snapToGrid w:val="0"/>
          <w:lang w:eastAsia="en-US"/>
        </w:rPr>
        <w:lastRenderedPageBreak/>
        <w:t xml:space="preserve">Amgevita, Hadlima, Hyrimoz, Humira and Idacio, </w:t>
      </w:r>
      <w:r w:rsidR="00AE29C0">
        <w:rPr>
          <w:rFonts w:eastAsia="Calibri" w:cs="Arial"/>
          <w:bCs/>
          <w:snapToGrid w:val="0"/>
          <w:lang w:eastAsia="en-US"/>
        </w:rPr>
        <w:t>PFP</w:t>
      </w:r>
      <w:r w:rsidR="00BC467F" w:rsidRPr="009639EE">
        <w:rPr>
          <w:rFonts w:eastAsia="Calibri" w:cs="Arial"/>
          <w:bCs/>
          <w:snapToGrid w:val="0"/>
          <w:lang w:eastAsia="en-US"/>
        </w:rPr>
        <w:t xml:space="preserve"> should be treated as equivalent to each other </w:t>
      </w:r>
      <w:r w:rsidRPr="009639EE">
        <w:rPr>
          <w:rFonts w:eastAsia="Calibri" w:cs="Arial"/>
          <w:bCs/>
          <w:snapToGrid w:val="0"/>
          <w:lang w:eastAsia="en-US"/>
        </w:rPr>
        <w:t xml:space="preserve">for the purpose of substitution (i.e. ‘a’ flagged in Schedule with a NOTE stating PBS of one form and PBS of another form are equivalent for the purpose of substitution). </w:t>
      </w:r>
    </w:p>
    <w:p w:rsidR="00AE7CD8" w:rsidRPr="009639EE" w:rsidRDefault="00AE7CD8" w:rsidP="00BF1DE6">
      <w:pPr>
        <w:widowControl w:val="0"/>
        <w:numPr>
          <w:ilvl w:val="1"/>
          <w:numId w:val="1"/>
        </w:numPr>
        <w:spacing w:after="120" w:line="259" w:lineRule="auto"/>
        <w:ind w:left="720"/>
        <w:rPr>
          <w:rFonts w:eastAsia="Calibri" w:cs="Arial"/>
          <w:bCs/>
          <w:snapToGrid w:val="0"/>
          <w:lang w:eastAsia="en-US"/>
        </w:rPr>
      </w:pPr>
      <w:r w:rsidRPr="009639EE">
        <w:t xml:space="preserve">The PBAC noted that its recommendation was on a cost-minimisation basis and advised that, because Abrilada is not expected to provide a substantial and clinically relevant improvement in efficacy, or reduction of toxicity over Humira, or not expected to address a high and urgent unmet clinical need given the presence of an alternative therapy, the criteria prescribed by the </w:t>
      </w:r>
      <w:r w:rsidRPr="009639EE">
        <w:rPr>
          <w:i/>
        </w:rPr>
        <w:t>National Health (Pharmaceuticals and Vaccines – Cost Recovery) Regulations 2009</w:t>
      </w:r>
      <w:r w:rsidRPr="009639EE">
        <w:t xml:space="preserve"> for Pricing Pathway A were not met.</w:t>
      </w:r>
    </w:p>
    <w:p w:rsidR="008E49B0" w:rsidRPr="009639EE" w:rsidRDefault="008E49B0" w:rsidP="007E2704">
      <w:pPr>
        <w:widowControl w:val="0"/>
        <w:numPr>
          <w:ilvl w:val="1"/>
          <w:numId w:val="1"/>
        </w:numPr>
        <w:spacing w:after="120" w:line="259" w:lineRule="auto"/>
        <w:ind w:left="720"/>
        <w:jc w:val="left"/>
        <w:rPr>
          <w:rFonts w:eastAsia="Calibri" w:cs="Arial"/>
          <w:bCs/>
          <w:snapToGrid w:val="0"/>
          <w:lang w:eastAsia="en-US"/>
        </w:rPr>
      </w:pPr>
      <w:r w:rsidRPr="009639EE">
        <w:rPr>
          <w:rFonts w:eastAsia="Calibri" w:cs="Arial"/>
          <w:bCs/>
          <w:snapToGrid w:val="0"/>
          <w:lang w:eastAsia="en-US"/>
        </w:rPr>
        <w:t xml:space="preserve">The PBAC noted that this submission is not eligible for Independent Review as it received a positive recommendation. </w:t>
      </w:r>
    </w:p>
    <w:p w:rsidR="008E49B0" w:rsidRPr="009639EE" w:rsidRDefault="008E49B0" w:rsidP="008E49B0">
      <w:pPr>
        <w:spacing w:before="240" w:line="259" w:lineRule="auto"/>
        <w:rPr>
          <w:rFonts w:eastAsia="Calibri" w:cs="Arial"/>
          <w:b/>
          <w:bCs/>
          <w:snapToGrid w:val="0"/>
          <w:lang w:eastAsia="en-US"/>
        </w:rPr>
      </w:pPr>
      <w:r w:rsidRPr="009639EE">
        <w:rPr>
          <w:rFonts w:eastAsia="Calibri" w:cs="Arial"/>
          <w:b/>
          <w:bCs/>
          <w:snapToGrid w:val="0"/>
          <w:lang w:eastAsia="en-US"/>
        </w:rPr>
        <w:t>Outcome:</w:t>
      </w:r>
    </w:p>
    <w:p w:rsidR="001559AB" w:rsidRDefault="008E49B0" w:rsidP="008E49B0">
      <w:pPr>
        <w:spacing w:after="160" w:line="259" w:lineRule="auto"/>
        <w:rPr>
          <w:rFonts w:eastAsia="Calibri" w:cs="Arial"/>
          <w:bCs/>
          <w:snapToGrid w:val="0"/>
          <w:lang w:eastAsia="en-US"/>
        </w:rPr>
      </w:pPr>
      <w:r w:rsidRPr="009639EE">
        <w:rPr>
          <w:rFonts w:eastAsia="Calibri" w:cs="Arial"/>
          <w:bCs/>
          <w:snapToGrid w:val="0"/>
          <w:lang w:eastAsia="en-US"/>
        </w:rPr>
        <w:t xml:space="preserve">Recommended </w:t>
      </w:r>
    </w:p>
    <w:p w:rsidR="001559AB" w:rsidRDefault="001559AB">
      <w:pPr>
        <w:jc w:val="left"/>
        <w:rPr>
          <w:rFonts w:eastAsia="Calibri" w:cs="Arial"/>
          <w:bCs/>
          <w:snapToGrid w:val="0"/>
          <w:lang w:eastAsia="en-US"/>
        </w:rPr>
      </w:pPr>
      <w:r>
        <w:rPr>
          <w:rFonts w:eastAsia="Calibri" w:cs="Arial"/>
          <w:bCs/>
          <w:snapToGrid w:val="0"/>
          <w:lang w:eastAsia="en-US"/>
        </w:rPr>
        <w:br w:type="page"/>
      </w:r>
    </w:p>
    <w:p w:rsidR="00B57A40" w:rsidRPr="009639EE" w:rsidRDefault="00B57A40" w:rsidP="007E2704">
      <w:pPr>
        <w:pStyle w:val="Heading1"/>
        <w:keepLines/>
        <w:numPr>
          <w:ilvl w:val="0"/>
          <w:numId w:val="1"/>
        </w:numPr>
        <w:spacing w:before="240"/>
        <w:ind w:left="709" w:hanging="709"/>
        <w:rPr>
          <w:sz w:val="32"/>
          <w:szCs w:val="32"/>
          <w:lang w:eastAsia="en-US"/>
        </w:rPr>
      </w:pPr>
      <w:r w:rsidRPr="009639EE">
        <w:rPr>
          <w:sz w:val="32"/>
          <w:szCs w:val="32"/>
          <w:lang w:eastAsia="en-US"/>
        </w:rPr>
        <w:t>Recommended listing</w:t>
      </w:r>
    </w:p>
    <w:p w:rsidR="00B57A40" w:rsidRPr="009639EE" w:rsidRDefault="00B57A40" w:rsidP="0010221E">
      <w:pPr>
        <w:widowControl w:val="0"/>
        <w:numPr>
          <w:ilvl w:val="1"/>
          <w:numId w:val="1"/>
        </w:numPr>
        <w:spacing w:after="120" w:line="259" w:lineRule="auto"/>
        <w:ind w:left="720"/>
        <w:jc w:val="left"/>
        <w:rPr>
          <w:rFonts w:eastAsia="Calibri"/>
          <w:szCs w:val="22"/>
          <w:lang w:eastAsia="en-US"/>
        </w:rPr>
      </w:pPr>
      <w:r w:rsidRPr="009639EE">
        <w:rPr>
          <w:rFonts w:eastAsia="Calibri" w:cs="Arial"/>
          <w:bCs/>
          <w:snapToGrid w:val="0"/>
          <w:lang w:eastAsia="en-US"/>
        </w:rPr>
        <w:t>Add new adalimumab brand</w:t>
      </w:r>
      <w:r w:rsidR="000C0435" w:rsidRPr="009639EE">
        <w:rPr>
          <w:rFonts w:eastAsia="Calibri" w:cs="Arial"/>
          <w:bCs/>
          <w:snapToGrid w:val="0"/>
          <w:lang w:eastAsia="en-US"/>
        </w:rPr>
        <w:t xml:space="preserve"> (Abrilada)</w:t>
      </w:r>
      <w:r w:rsidRPr="009639EE">
        <w:rPr>
          <w:rFonts w:eastAsia="Calibri" w:cs="Arial"/>
          <w:bCs/>
          <w:snapToGrid w:val="0"/>
          <w:lang w:eastAsia="en-US"/>
        </w:rPr>
        <w:t xml:space="preserve"> with schedule equivalence (‘a’ flag) for the same indications as Humira</w:t>
      </w:r>
      <w:r w:rsidR="0010221E" w:rsidRPr="009639EE">
        <w:rPr>
          <w:rFonts w:eastAsia="Calibri" w:cs="Arial"/>
          <w:bCs/>
          <w:snapToGrid w:val="0"/>
          <w:lang w:eastAsia="en-US"/>
        </w:rPr>
        <w:t xml:space="preserve"> as noted in Section</w:t>
      </w:r>
      <w:r w:rsidR="005B5F33" w:rsidRPr="009639EE">
        <w:rPr>
          <w:rFonts w:eastAsia="Calibri" w:cs="Arial"/>
          <w:bCs/>
          <w:snapToGrid w:val="0"/>
          <w:lang w:eastAsia="en-US"/>
        </w:rPr>
        <w:t xml:space="preserve"> 3</w:t>
      </w:r>
      <w:r w:rsidR="0010221E" w:rsidRPr="009639EE">
        <w:rPr>
          <w:rFonts w:eastAsia="Calibri" w:cs="Arial"/>
          <w:bCs/>
          <w:snapToGrid w:val="0"/>
          <w:lang w:eastAsia="en-US"/>
        </w:rPr>
        <w:t>.</w:t>
      </w:r>
    </w:p>
    <w:p w:rsidR="00B57A40" w:rsidRPr="009639EE" w:rsidRDefault="000C0435" w:rsidP="002B3DD9">
      <w:pPr>
        <w:widowControl w:val="0"/>
        <w:numPr>
          <w:ilvl w:val="1"/>
          <w:numId w:val="1"/>
        </w:numPr>
        <w:spacing w:before="240" w:after="120" w:line="259" w:lineRule="auto"/>
        <w:ind w:left="720"/>
        <w:jc w:val="left"/>
        <w:rPr>
          <w:rFonts w:eastAsia="Calibri" w:cs="Arial"/>
          <w:b/>
          <w:bCs/>
          <w:snapToGrid w:val="0"/>
          <w:lang w:eastAsia="en-US"/>
        </w:rPr>
      </w:pPr>
      <w:r w:rsidRPr="009639EE">
        <w:rPr>
          <w:rFonts w:asciiTheme="minorHAnsi" w:hAnsiTheme="minorHAnsi" w:cs="Arial"/>
          <w:bCs/>
          <w:snapToGrid w:val="0"/>
        </w:rPr>
        <w:t>Amend existing/recommended listing as follows</w:t>
      </w:r>
      <w:r w:rsidR="002B3DD9" w:rsidRPr="009639EE">
        <w:rPr>
          <w:rFonts w:asciiTheme="minorHAnsi" w:hAnsiTheme="minorHAnsi" w:cs="Arial"/>
          <w:bCs/>
          <w:snapToGrid w:val="0"/>
        </w:rPr>
        <w:t>:</w:t>
      </w:r>
    </w:p>
    <w:p w:rsidR="000C0435" w:rsidRPr="009639EE" w:rsidRDefault="000C0435" w:rsidP="000C0435">
      <w:pPr>
        <w:pStyle w:val="ListParagraph"/>
        <w:widowControl w:val="0"/>
        <w:numPr>
          <w:ilvl w:val="1"/>
          <w:numId w:val="6"/>
        </w:numPr>
        <w:snapToGrid w:val="0"/>
        <w:ind w:left="1077" w:hanging="357"/>
        <w:jc w:val="both"/>
        <w:rPr>
          <w:lang w:eastAsia="en-US"/>
        </w:rPr>
      </w:pPr>
      <w:r w:rsidRPr="009639EE">
        <w:rPr>
          <w:lang w:eastAsia="en-US"/>
        </w:rPr>
        <w:t xml:space="preserve">Authority Required (Written/digital submission) listing of Abrilada for initial treatment restrictions, first and subsequent continuing treatment restrictions. </w:t>
      </w:r>
    </w:p>
    <w:p w:rsidR="000C0435" w:rsidRPr="009639EE" w:rsidRDefault="000C0435" w:rsidP="000C0435">
      <w:pPr>
        <w:pStyle w:val="ListParagraph"/>
        <w:widowControl w:val="0"/>
        <w:numPr>
          <w:ilvl w:val="1"/>
          <w:numId w:val="6"/>
        </w:numPr>
        <w:snapToGrid w:val="0"/>
        <w:ind w:left="1077" w:hanging="357"/>
        <w:jc w:val="both"/>
        <w:rPr>
          <w:lang w:eastAsia="en-US"/>
        </w:rPr>
      </w:pPr>
      <w:r w:rsidRPr="009639EE">
        <w:rPr>
          <w:lang w:eastAsia="en-US"/>
        </w:rPr>
        <w:t>A separate Authority Required (Streamlined) listing of Abrilada for subsequent continuing treatment restriction.</w:t>
      </w:r>
    </w:p>
    <w:p w:rsidR="000C0435" w:rsidRPr="009639EE" w:rsidRDefault="000C0435" w:rsidP="000C0435">
      <w:pPr>
        <w:pStyle w:val="ListParagraph"/>
        <w:widowControl w:val="0"/>
        <w:numPr>
          <w:ilvl w:val="1"/>
          <w:numId w:val="6"/>
        </w:numPr>
        <w:snapToGrid w:val="0"/>
        <w:ind w:left="1077" w:hanging="357"/>
        <w:jc w:val="both"/>
        <w:rPr>
          <w:rFonts w:eastAsia="Calibri"/>
          <w:b/>
          <w:bCs/>
          <w:i/>
          <w:lang w:eastAsia="en-US"/>
        </w:rPr>
      </w:pPr>
      <w:r w:rsidRPr="009639EE">
        <w:t xml:space="preserve">The application of the ‘Biosimilar prescribing policy’ administrative note encouraging the use of biosimilar brands for treatment naïve patients </w:t>
      </w:r>
      <w:r w:rsidR="00CC7171" w:rsidRPr="009639EE">
        <w:t>(this note will need to be updated for the other biosimilar brands of adalimumab to include Abrilada in the list):</w:t>
      </w:r>
    </w:p>
    <w:p w:rsidR="000C0435" w:rsidRPr="009639EE" w:rsidRDefault="000C0435" w:rsidP="000C0435">
      <w:pPr>
        <w:widowControl w:val="0"/>
        <w:spacing w:after="120" w:line="259" w:lineRule="auto"/>
        <w:ind w:left="720"/>
        <w:jc w:val="left"/>
        <w:rPr>
          <w:rFonts w:eastAsia="Calibri" w:cs="Arial"/>
          <w:bCs/>
          <w:i/>
          <w:snapToGrid w:val="0"/>
          <w:lang w:eastAsia="en-US"/>
        </w:rPr>
      </w:pPr>
      <w:r w:rsidRPr="009639EE">
        <w:rPr>
          <w:rFonts w:eastAsia="Calibri" w:cs="Arial"/>
          <w:bCs/>
          <w:i/>
          <w:snapToGrid w:val="0"/>
          <w:lang w:eastAsia="en-US"/>
        </w:rPr>
        <w:t xml:space="preserve">Prescribing of the biosimilar brand, ABRILADA, is encouraged for treatment naïve patients. </w:t>
      </w:r>
    </w:p>
    <w:p w:rsidR="000C0435" w:rsidRPr="009639EE" w:rsidRDefault="000C0435" w:rsidP="000C0435">
      <w:pPr>
        <w:widowControl w:val="0"/>
        <w:spacing w:after="120"/>
        <w:ind w:left="720"/>
        <w:rPr>
          <w:rFonts w:eastAsia="Calibri" w:cs="Arial"/>
          <w:b/>
          <w:bCs/>
          <w:snapToGrid w:val="0"/>
          <w:lang w:eastAsia="en-US"/>
        </w:rPr>
      </w:pPr>
      <w:r w:rsidRPr="009639EE">
        <w:rPr>
          <w:rFonts w:eastAsia="Calibri" w:cs="Arial"/>
          <w:bCs/>
          <w:i/>
          <w:snapToGrid w:val="0"/>
          <w:lang w:eastAsia="en-US"/>
        </w:rPr>
        <w:t>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r w:rsidRPr="00200CF2">
        <w:rPr>
          <w:rFonts w:eastAsia="Calibri" w:cs="Arial"/>
          <w:bCs/>
          <w:i/>
          <w:snapToGrid w:val="0"/>
          <w:lang w:eastAsia="en-US"/>
        </w:rPr>
        <w:t>www.health.gov.au/biosimilars</w:t>
      </w:r>
      <w:r w:rsidR="006013EA">
        <w:rPr>
          <w:rFonts w:eastAsia="Calibri" w:cs="Arial"/>
          <w:bCs/>
          <w:i/>
          <w:snapToGrid w:val="0"/>
          <w:lang w:eastAsia="en-US"/>
        </w:rPr>
        <w:t>)</w:t>
      </w:r>
    </w:p>
    <w:p w:rsidR="001B475B" w:rsidRDefault="000C0435" w:rsidP="00B57A40">
      <w:pPr>
        <w:spacing w:after="160" w:line="259" w:lineRule="auto"/>
        <w:jc w:val="left"/>
        <w:rPr>
          <w:rFonts w:eastAsia="Calibri" w:cs="Calibri"/>
          <w:b/>
          <w:i/>
          <w:lang w:eastAsia="en-US"/>
        </w:rPr>
      </w:pPr>
      <w:r w:rsidRPr="009639EE">
        <w:rPr>
          <w:b/>
          <w:i/>
        </w:rPr>
        <w:t>This restriction may be subject to further review. Should there be any changes made to the restriction the Sponsor will be informed.</w:t>
      </w:r>
    </w:p>
    <w:p w:rsidR="007B3DD6" w:rsidRDefault="007B3DD6" w:rsidP="00B57A40">
      <w:pPr>
        <w:spacing w:after="160" w:line="259" w:lineRule="auto"/>
        <w:jc w:val="left"/>
        <w:rPr>
          <w:rFonts w:eastAsia="Calibri" w:cs="Calibri"/>
          <w:b/>
          <w:i/>
          <w:lang w:eastAsia="en-US"/>
        </w:rPr>
      </w:pPr>
    </w:p>
    <w:p w:rsidR="007B3DD6" w:rsidRPr="007B3DD6" w:rsidRDefault="007B3DD6" w:rsidP="007B3DD6">
      <w:pPr>
        <w:pStyle w:val="Heading1"/>
        <w:keepLines/>
        <w:numPr>
          <w:ilvl w:val="0"/>
          <w:numId w:val="1"/>
        </w:numPr>
        <w:spacing w:before="240"/>
        <w:ind w:left="709" w:hanging="709"/>
        <w:rPr>
          <w:sz w:val="32"/>
          <w:szCs w:val="32"/>
          <w:lang w:eastAsia="en-US"/>
        </w:rPr>
      </w:pPr>
      <w:r w:rsidRPr="007B3DD6">
        <w:rPr>
          <w:sz w:val="32"/>
          <w:szCs w:val="32"/>
          <w:lang w:eastAsia="en-US"/>
        </w:rPr>
        <w:t>Context for Decision</w:t>
      </w:r>
    </w:p>
    <w:p w:rsidR="007B3DD6" w:rsidRPr="007129F2" w:rsidRDefault="007B3DD6" w:rsidP="007B3DD6">
      <w:pPr>
        <w:spacing w:after="120"/>
        <w:ind w:left="709"/>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7B3DD6" w:rsidRPr="007B3DD6" w:rsidRDefault="007B3DD6" w:rsidP="007B3DD6">
      <w:pPr>
        <w:pStyle w:val="Heading1"/>
        <w:keepLines/>
        <w:numPr>
          <w:ilvl w:val="0"/>
          <w:numId w:val="1"/>
        </w:numPr>
        <w:spacing w:before="240"/>
        <w:ind w:left="709" w:hanging="709"/>
        <w:rPr>
          <w:sz w:val="32"/>
          <w:szCs w:val="32"/>
          <w:lang w:eastAsia="en-US"/>
        </w:rPr>
      </w:pPr>
      <w:r w:rsidRPr="007B3DD6">
        <w:rPr>
          <w:sz w:val="32"/>
          <w:szCs w:val="32"/>
          <w:lang w:eastAsia="en-US"/>
        </w:rPr>
        <w:t>Sponsor’s Comment</w:t>
      </w:r>
    </w:p>
    <w:p w:rsidR="007B3DD6" w:rsidRPr="007B3DD6" w:rsidRDefault="007B3DD6" w:rsidP="001559AB">
      <w:pPr>
        <w:spacing w:after="120"/>
        <w:ind w:firstLine="709"/>
        <w:rPr>
          <w:rFonts w:eastAsia="Calibri" w:cs="Calibri"/>
          <w:b/>
          <w:i/>
          <w:lang w:eastAsia="en-US"/>
        </w:rPr>
      </w:pPr>
      <w:r w:rsidRPr="00C07617">
        <w:rPr>
          <w:rFonts w:asciiTheme="minorHAnsi" w:hAnsiTheme="minorHAnsi" w:cs="Arial"/>
          <w:bCs/>
        </w:rPr>
        <w:t>The sponsor had no comment.</w:t>
      </w:r>
    </w:p>
    <w:sectPr w:rsidR="007B3DD6" w:rsidRPr="007B3DD6"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CF2" w:rsidRDefault="00200CF2">
      <w:r>
        <w:separator/>
      </w:r>
    </w:p>
    <w:p w:rsidR="00200CF2" w:rsidRDefault="00200CF2"/>
  </w:endnote>
  <w:endnote w:type="continuationSeparator" w:id="0">
    <w:p w:rsidR="00200CF2" w:rsidRDefault="00200CF2">
      <w:r>
        <w:continuationSeparator/>
      </w:r>
    </w:p>
    <w:p w:rsidR="00200CF2" w:rsidRDefault="00200CF2"/>
  </w:endnote>
  <w:endnote w:type="continuationNotice" w:id="1">
    <w:p w:rsidR="00200CF2" w:rsidRDefault="00200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C6FCC" w:rsidTr="005A3173">
      <w:trPr>
        <w:trHeight w:val="151"/>
      </w:trPr>
      <w:tc>
        <w:tcPr>
          <w:tcW w:w="2250" w:type="pct"/>
          <w:tcBorders>
            <w:top w:val="nil"/>
            <w:left w:val="nil"/>
            <w:bottom w:val="single" w:sz="4" w:space="0" w:color="4F81BD"/>
            <w:right w:val="nil"/>
          </w:tcBorders>
        </w:tcPr>
        <w:p w:rsidR="00DC6FCC" w:rsidRPr="005A3173" w:rsidRDefault="00DC6FCC" w:rsidP="005A3173">
          <w:pPr>
            <w:pStyle w:val="Header"/>
            <w:spacing w:line="276" w:lineRule="auto"/>
            <w:rPr>
              <w:rFonts w:eastAsia="MS Gothic"/>
              <w:b/>
              <w:bCs/>
              <w:color w:val="4F81BD"/>
            </w:rPr>
          </w:pPr>
        </w:p>
      </w:tc>
      <w:tc>
        <w:tcPr>
          <w:tcW w:w="500" w:type="pct"/>
          <w:vMerge w:val="restart"/>
          <w:noWrap/>
          <w:vAlign w:val="center"/>
          <w:hideMark/>
        </w:tcPr>
        <w:p w:rsidR="00DC6FCC" w:rsidRPr="005A3173" w:rsidRDefault="00DC6FC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C6FCC" w:rsidRPr="005A3173" w:rsidRDefault="00DC6FCC" w:rsidP="005A3173">
          <w:pPr>
            <w:pStyle w:val="Header"/>
            <w:spacing w:line="276" w:lineRule="auto"/>
            <w:rPr>
              <w:rFonts w:eastAsia="MS Gothic"/>
              <w:b/>
              <w:bCs/>
              <w:color w:val="4F81BD"/>
            </w:rPr>
          </w:pPr>
        </w:p>
      </w:tc>
    </w:tr>
    <w:tr w:rsidR="00DC6FCC" w:rsidTr="005A3173">
      <w:trPr>
        <w:trHeight w:val="150"/>
      </w:trPr>
      <w:tc>
        <w:tcPr>
          <w:tcW w:w="2250" w:type="pct"/>
          <w:tcBorders>
            <w:top w:val="single" w:sz="4" w:space="0" w:color="4F81BD"/>
            <w:left w:val="nil"/>
            <w:bottom w:val="nil"/>
            <w:right w:val="nil"/>
          </w:tcBorders>
        </w:tcPr>
        <w:p w:rsidR="00DC6FCC" w:rsidRPr="005A3173" w:rsidRDefault="00DC6FCC" w:rsidP="005A3173">
          <w:pPr>
            <w:pStyle w:val="Header"/>
            <w:spacing w:line="276" w:lineRule="auto"/>
            <w:rPr>
              <w:rFonts w:eastAsia="MS Gothic"/>
              <w:b/>
              <w:bCs/>
              <w:color w:val="4F81BD"/>
            </w:rPr>
          </w:pPr>
        </w:p>
      </w:tc>
      <w:tc>
        <w:tcPr>
          <w:tcW w:w="0" w:type="auto"/>
          <w:vMerge/>
          <w:vAlign w:val="center"/>
          <w:hideMark/>
        </w:tcPr>
        <w:p w:rsidR="00DC6FCC" w:rsidRPr="005A3173" w:rsidRDefault="00DC6FCC" w:rsidP="005A3173">
          <w:pPr>
            <w:rPr>
              <w:color w:val="365F91"/>
              <w:sz w:val="22"/>
              <w:szCs w:val="22"/>
            </w:rPr>
          </w:pPr>
        </w:p>
      </w:tc>
      <w:tc>
        <w:tcPr>
          <w:tcW w:w="2250" w:type="pct"/>
          <w:tcBorders>
            <w:top w:val="single" w:sz="4" w:space="0" w:color="4F81BD"/>
            <w:left w:val="nil"/>
            <w:bottom w:val="nil"/>
            <w:right w:val="nil"/>
          </w:tcBorders>
        </w:tcPr>
        <w:p w:rsidR="00DC6FCC" w:rsidRPr="005A3173" w:rsidRDefault="00DC6FCC" w:rsidP="005A3173">
          <w:pPr>
            <w:pStyle w:val="Header"/>
            <w:spacing w:line="276" w:lineRule="auto"/>
            <w:rPr>
              <w:rFonts w:eastAsia="MS Gothic"/>
              <w:b/>
              <w:bCs/>
              <w:color w:val="4F81BD"/>
            </w:rPr>
          </w:pPr>
        </w:p>
      </w:tc>
    </w:tr>
  </w:tbl>
  <w:p w:rsidR="00DC6FCC" w:rsidRDefault="00DC6FC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6FCC" w:rsidRDefault="00DC6FCC">
    <w:pPr>
      <w:pStyle w:val="Footer"/>
    </w:pPr>
  </w:p>
  <w:p w:rsidR="00DC6FCC" w:rsidRDefault="00DC6FC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FCC" w:rsidRPr="00D429EC" w:rsidRDefault="00DC6FCC" w:rsidP="00E27234">
    <w:pPr>
      <w:pStyle w:val="PBACFooter"/>
      <w:rPr>
        <w:rFonts w:asciiTheme="minorHAnsi" w:hAnsiTheme="minorHAnsi" w:cstheme="minorHAnsi"/>
        <w:sz w:val="24"/>
      </w:rPr>
    </w:pPr>
  </w:p>
  <w:p w:rsidR="0056483D" w:rsidRPr="0037015C" w:rsidRDefault="0056483D" w:rsidP="0056483D">
    <w:pPr>
      <w:pStyle w:val="Footer"/>
      <w:jc w:val="center"/>
      <w:rPr>
        <w:b/>
        <w:caps/>
        <w:noProof/>
      </w:rPr>
    </w:pPr>
    <w:r w:rsidRPr="0037015C">
      <w:rPr>
        <w:b/>
        <w:caps/>
      </w:rPr>
      <w:fldChar w:fldCharType="begin"/>
    </w:r>
    <w:r w:rsidRPr="0037015C">
      <w:rPr>
        <w:b/>
        <w:caps/>
      </w:rPr>
      <w:instrText xml:space="preserve"> PAGE   \* MERGEFORMAT </w:instrText>
    </w:r>
    <w:r w:rsidRPr="0037015C">
      <w:rPr>
        <w:b/>
        <w:caps/>
      </w:rPr>
      <w:fldChar w:fldCharType="separate"/>
    </w:r>
    <w:r w:rsidR="00353A63">
      <w:rPr>
        <w:b/>
        <w:caps/>
        <w:noProof/>
      </w:rPr>
      <w:t>6</w:t>
    </w:r>
    <w:r w:rsidRPr="0037015C">
      <w:rPr>
        <w:b/>
        <w:caps/>
        <w:noProof/>
      </w:rPr>
      <w:fldChar w:fldCharType="end"/>
    </w:r>
  </w:p>
  <w:p w:rsidR="00DC6FCC" w:rsidRPr="00D429EC" w:rsidRDefault="00DC6FCC" w:rsidP="0056483D">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DC6FCC" w:rsidTr="005A3173">
      <w:trPr>
        <w:trHeight w:val="151"/>
      </w:trPr>
      <w:tc>
        <w:tcPr>
          <w:tcW w:w="2250" w:type="pct"/>
          <w:tcBorders>
            <w:top w:val="nil"/>
            <w:left w:val="nil"/>
            <w:bottom w:val="single" w:sz="4" w:space="0" w:color="4F81BD"/>
            <w:right w:val="nil"/>
          </w:tcBorders>
        </w:tcPr>
        <w:p w:rsidR="00DC6FCC" w:rsidRPr="005A3173" w:rsidRDefault="00DC6FCC" w:rsidP="005A3173">
          <w:pPr>
            <w:pStyle w:val="Header"/>
            <w:spacing w:line="276" w:lineRule="auto"/>
            <w:rPr>
              <w:rFonts w:eastAsia="MS Gothic"/>
              <w:b/>
              <w:bCs/>
              <w:color w:val="4F81BD"/>
            </w:rPr>
          </w:pPr>
        </w:p>
      </w:tc>
      <w:tc>
        <w:tcPr>
          <w:tcW w:w="500" w:type="pct"/>
          <w:vMerge w:val="restart"/>
          <w:noWrap/>
          <w:vAlign w:val="center"/>
          <w:hideMark/>
        </w:tcPr>
        <w:p w:rsidR="00DC6FCC" w:rsidRPr="005A3173" w:rsidRDefault="00DC6FC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C6FCC" w:rsidRPr="005A3173" w:rsidRDefault="00DC6FCC" w:rsidP="005A3173">
          <w:pPr>
            <w:pStyle w:val="Header"/>
            <w:spacing w:line="276" w:lineRule="auto"/>
            <w:rPr>
              <w:rFonts w:eastAsia="MS Gothic"/>
              <w:b/>
              <w:bCs/>
              <w:color w:val="4F81BD"/>
            </w:rPr>
          </w:pPr>
        </w:p>
      </w:tc>
    </w:tr>
    <w:tr w:rsidR="00DC6FCC" w:rsidTr="005A3173">
      <w:trPr>
        <w:trHeight w:val="150"/>
      </w:trPr>
      <w:tc>
        <w:tcPr>
          <w:tcW w:w="2250" w:type="pct"/>
          <w:tcBorders>
            <w:top w:val="single" w:sz="4" w:space="0" w:color="4F81BD"/>
            <w:left w:val="nil"/>
            <w:bottom w:val="nil"/>
            <w:right w:val="nil"/>
          </w:tcBorders>
        </w:tcPr>
        <w:p w:rsidR="00DC6FCC" w:rsidRPr="005A3173" w:rsidRDefault="00DC6FCC" w:rsidP="005A3173">
          <w:pPr>
            <w:pStyle w:val="Header"/>
            <w:spacing w:line="276" w:lineRule="auto"/>
            <w:rPr>
              <w:rFonts w:eastAsia="MS Gothic"/>
              <w:b/>
              <w:bCs/>
              <w:color w:val="4F81BD"/>
            </w:rPr>
          </w:pPr>
        </w:p>
      </w:tc>
      <w:tc>
        <w:tcPr>
          <w:tcW w:w="0" w:type="auto"/>
          <w:vMerge/>
          <w:vAlign w:val="center"/>
          <w:hideMark/>
        </w:tcPr>
        <w:p w:rsidR="00DC6FCC" w:rsidRPr="005A3173" w:rsidRDefault="00DC6FCC" w:rsidP="005A3173">
          <w:pPr>
            <w:rPr>
              <w:color w:val="365F91"/>
              <w:sz w:val="22"/>
              <w:szCs w:val="22"/>
            </w:rPr>
          </w:pPr>
        </w:p>
      </w:tc>
      <w:tc>
        <w:tcPr>
          <w:tcW w:w="2250" w:type="pct"/>
          <w:tcBorders>
            <w:top w:val="single" w:sz="4" w:space="0" w:color="4F81BD"/>
            <w:left w:val="nil"/>
            <w:bottom w:val="nil"/>
            <w:right w:val="nil"/>
          </w:tcBorders>
        </w:tcPr>
        <w:p w:rsidR="00DC6FCC" w:rsidRPr="005A3173" w:rsidRDefault="00DC6FCC"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C6FCC" w:rsidTr="005A3173">
      <w:trPr>
        <w:trHeight w:val="151"/>
      </w:trPr>
      <w:tc>
        <w:tcPr>
          <w:tcW w:w="2250" w:type="pct"/>
          <w:tcBorders>
            <w:top w:val="nil"/>
            <w:left w:val="nil"/>
            <w:bottom w:val="single" w:sz="4" w:space="0" w:color="4F81BD"/>
            <w:right w:val="nil"/>
          </w:tcBorders>
        </w:tcPr>
        <w:p w:rsidR="00DC6FCC" w:rsidRPr="005A3173" w:rsidRDefault="00DC6FCC" w:rsidP="005A3173">
          <w:pPr>
            <w:pStyle w:val="Header"/>
            <w:spacing w:line="276" w:lineRule="auto"/>
            <w:rPr>
              <w:rFonts w:eastAsia="MS Gothic"/>
              <w:b/>
              <w:bCs/>
              <w:color w:val="4F81BD"/>
            </w:rPr>
          </w:pPr>
        </w:p>
      </w:tc>
      <w:tc>
        <w:tcPr>
          <w:tcW w:w="500" w:type="pct"/>
          <w:vMerge w:val="restart"/>
          <w:noWrap/>
          <w:vAlign w:val="center"/>
          <w:hideMark/>
        </w:tcPr>
        <w:p w:rsidR="00DC6FCC" w:rsidRPr="005A3173" w:rsidRDefault="00DC6FC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C6FCC" w:rsidRPr="005A3173" w:rsidRDefault="00DC6FCC" w:rsidP="005A3173">
          <w:pPr>
            <w:pStyle w:val="Header"/>
            <w:spacing w:line="276" w:lineRule="auto"/>
            <w:rPr>
              <w:rFonts w:eastAsia="MS Gothic"/>
              <w:b/>
              <w:bCs/>
              <w:color w:val="4F81BD"/>
            </w:rPr>
          </w:pPr>
        </w:p>
      </w:tc>
    </w:tr>
    <w:tr w:rsidR="00DC6FCC" w:rsidTr="005A3173">
      <w:trPr>
        <w:trHeight w:val="150"/>
      </w:trPr>
      <w:tc>
        <w:tcPr>
          <w:tcW w:w="2250" w:type="pct"/>
          <w:tcBorders>
            <w:top w:val="single" w:sz="4" w:space="0" w:color="4F81BD"/>
            <w:left w:val="nil"/>
            <w:bottom w:val="nil"/>
            <w:right w:val="nil"/>
          </w:tcBorders>
        </w:tcPr>
        <w:p w:rsidR="00DC6FCC" w:rsidRPr="005A3173" w:rsidRDefault="00DC6FCC" w:rsidP="005A3173">
          <w:pPr>
            <w:pStyle w:val="Header"/>
            <w:spacing w:line="276" w:lineRule="auto"/>
            <w:rPr>
              <w:rFonts w:eastAsia="MS Gothic"/>
              <w:b/>
              <w:bCs/>
              <w:color w:val="4F81BD"/>
            </w:rPr>
          </w:pPr>
        </w:p>
      </w:tc>
      <w:tc>
        <w:tcPr>
          <w:tcW w:w="0" w:type="auto"/>
          <w:vMerge/>
          <w:vAlign w:val="center"/>
          <w:hideMark/>
        </w:tcPr>
        <w:p w:rsidR="00DC6FCC" w:rsidRPr="005A3173" w:rsidRDefault="00DC6FCC" w:rsidP="005A3173">
          <w:pPr>
            <w:rPr>
              <w:color w:val="365F91"/>
              <w:sz w:val="22"/>
              <w:szCs w:val="22"/>
            </w:rPr>
          </w:pPr>
        </w:p>
      </w:tc>
      <w:tc>
        <w:tcPr>
          <w:tcW w:w="2250" w:type="pct"/>
          <w:tcBorders>
            <w:top w:val="single" w:sz="4" w:space="0" w:color="4F81BD"/>
            <w:left w:val="nil"/>
            <w:bottom w:val="nil"/>
            <w:right w:val="nil"/>
          </w:tcBorders>
        </w:tcPr>
        <w:p w:rsidR="00DC6FCC" w:rsidRPr="005A3173" w:rsidRDefault="00DC6FCC" w:rsidP="005A3173">
          <w:pPr>
            <w:pStyle w:val="Header"/>
            <w:spacing w:line="276" w:lineRule="auto"/>
            <w:rPr>
              <w:rFonts w:eastAsia="MS Gothic"/>
              <w:b/>
              <w:bCs/>
              <w:color w:val="4F81BD"/>
            </w:rPr>
          </w:pPr>
        </w:p>
      </w:tc>
    </w:tr>
  </w:tbl>
  <w:p w:rsidR="00DC6FCC" w:rsidRPr="0056483D" w:rsidRDefault="00DC6FCC" w:rsidP="007C0F57">
    <w:pPr>
      <w:pStyle w:val="Footer"/>
      <w:jc w:val="center"/>
      <w:rPr>
        <w:sz w:val="20"/>
        <w:szCs w:val="20"/>
      </w:rPr>
    </w:pPr>
    <w:r w:rsidRPr="0056483D">
      <w:rPr>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sidR="001559AB">
      <w:rPr>
        <w:rStyle w:val="PageNumber"/>
        <w:noProof/>
      </w:rPr>
      <w:t>1</w:t>
    </w:r>
    <w:r>
      <w:rPr>
        <w:rStyle w:val="PageNumber"/>
      </w:rPr>
      <w:fldChar w:fldCharType="end"/>
    </w:r>
    <w:r w:rsidRPr="0056483D">
      <w:rPr>
        <w:sz w:val="20"/>
        <w:szCs w:val="20"/>
      </w:rPr>
      <w:t>BAC Meeting</w:t>
    </w:r>
  </w:p>
  <w:p w:rsidR="00DC6FCC" w:rsidRPr="0056483D" w:rsidRDefault="00DC6FCC" w:rsidP="007C0F57">
    <w:pPr>
      <w:pStyle w:val="Footer"/>
      <w:jc w:val="center"/>
      <w:rPr>
        <w:sz w:val="20"/>
        <w:szCs w:val="20"/>
      </w:rPr>
    </w:pPr>
    <w:r w:rsidRPr="0056483D">
      <w:rPr>
        <w:sz w:val="20"/>
        <w:szCs w:val="20"/>
      </w:rPr>
      <w:t>Commercial-in-Confidence</w:t>
    </w:r>
  </w:p>
  <w:p w:rsidR="00DC6FCC" w:rsidRDefault="00DC6FC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CF2" w:rsidRDefault="00200CF2">
      <w:r>
        <w:separator/>
      </w:r>
    </w:p>
    <w:p w:rsidR="00200CF2" w:rsidRDefault="00200CF2"/>
  </w:footnote>
  <w:footnote w:type="continuationSeparator" w:id="0">
    <w:p w:rsidR="00200CF2" w:rsidRDefault="00200CF2">
      <w:r>
        <w:continuationSeparator/>
      </w:r>
    </w:p>
    <w:p w:rsidR="00200CF2" w:rsidRDefault="00200CF2"/>
  </w:footnote>
  <w:footnote w:type="continuationNotice" w:id="1">
    <w:p w:rsidR="00200CF2" w:rsidRDefault="00200CF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DC6FCC" w:rsidRPr="008E0D90" w:rsidTr="00A06225">
      <w:trPr>
        <w:trHeight w:val="151"/>
      </w:trPr>
      <w:tc>
        <w:tcPr>
          <w:tcW w:w="2389" w:type="pct"/>
          <w:tcBorders>
            <w:top w:val="nil"/>
            <w:left w:val="nil"/>
            <w:bottom w:val="single" w:sz="4" w:space="0" w:color="4F81BD"/>
            <w:right w:val="nil"/>
          </w:tcBorders>
        </w:tcPr>
        <w:p w:rsidR="00DC6FCC" w:rsidRPr="00A06225" w:rsidRDefault="00DC6FCC">
          <w:pPr>
            <w:pStyle w:val="Header"/>
            <w:spacing w:line="276" w:lineRule="auto"/>
            <w:rPr>
              <w:rFonts w:ascii="Cambria" w:eastAsia="MS Gothic" w:hAnsi="Cambria"/>
              <w:b/>
              <w:bCs/>
              <w:color w:val="4F81BD"/>
            </w:rPr>
          </w:pPr>
        </w:p>
      </w:tc>
      <w:tc>
        <w:tcPr>
          <w:tcW w:w="333" w:type="pct"/>
          <w:vMerge w:val="restart"/>
          <w:noWrap/>
          <w:vAlign w:val="center"/>
          <w:hideMark/>
        </w:tcPr>
        <w:p w:rsidR="00DC6FCC" w:rsidRPr="00A06225" w:rsidRDefault="00DC6FC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C6FCC" w:rsidRPr="00A06225" w:rsidRDefault="00DC6FCC">
          <w:pPr>
            <w:pStyle w:val="Header"/>
            <w:spacing w:line="276" w:lineRule="auto"/>
            <w:rPr>
              <w:rFonts w:ascii="Cambria" w:eastAsia="MS Gothic" w:hAnsi="Cambria"/>
              <w:b/>
              <w:bCs/>
              <w:color w:val="4F81BD"/>
            </w:rPr>
          </w:pPr>
        </w:p>
      </w:tc>
    </w:tr>
    <w:tr w:rsidR="00DC6FCC" w:rsidRPr="008E0D90" w:rsidTr="00A06225">
      <w:trPr>
        <w:trHeight w:val="150"/>
      </w:trPr>
      <w:tc>
        <w:tcPr>
          <w:tcW w:w="2389" w:type="pct"/>
          <w:tcBorders>
            <w:top w:val="single" w:sz="4" w:space="0" w:color="4F81BD"/>
            <w:left w:val="nil"/>
            <w:bottom w:val="nil"/>
            <w:right w:val="nil"/>
          </w:tcBorders>
        </w:tcPr>
        <w:p w:rsidR="00DC6FCC" w:rsidRPr="00A06225" w:rsidRDefault="00DC6FCC">
          <w:pPr>
            <w:pStyle w:val="Header"/>
            <w:spacing w:line="276" w:lineRule="auto"/>
            <w:rPr>
              <w:rFonts w:ascii="Cambria" w:eastAsia="MS Gothic" w:hAnsi="Cambria"/>
              <w:b/>
              <w:bCs/>
              <w:color w:val="4F81BD"/>
            </w:rPr>
          </w:pPr>
        </w:p>
      </w:tc>
      <w:tc>
        <w:tcPr>
          <w:tcW w:w="0" w:type="auto"/>
          <w:vMerge/>
          <w:vAlign w:val="center"/>
          <w:hideMark/>
        </w:tcPr>
        <w:p w:rsidR="00DC6FCC" w:rsidRPr="00A06225" w:rsidRDefault="00DC6FCC">
          <w:pPr>
            <w:rPr>
              <w:rFonts w:ascii="Cambria" w:hAnsi="Cambria"/>
              <w:color w:val="4F81BD"/>
              <w:sz w:val="22"/>
              <w:szCs w:val="22"/>
            </w:rPr>
          </w:pPr>
        </w:p>
      </w:tc>
      <w:tc>
        <w:tcPr>
          <w:tcW w:w="2278" w:type="pct"/>
          <w:tcBorders>
            <w:top w:val="single" w:sz="4" w:space="0" w:color="4F81BD"/>
            <w:left w:val="nil"/>
            <w:bottom w:val="nil"/>
            <w:right w:val="nil"/>
          </w:tcBorders>
        </w:tcPr>
        <w:p w:rsidR="00DC6FCC" w:rsidRPr="00A06225" w:rsidRDefault="00DC6FCC">
          <w:pPr>
            <w:pStyle w:val="Header"/>
            <w:spacing w:line="276" w:lineRule="auto"/>
            <w:rPr>
              <w:rFonts w:ascii="Cambria" w:eastAsia="MS Gothic" w:hAnsi="Cambria"/>
              <w:b/>
              <w:bCs/>
              <w:color w:val="4F81BD"/>
            </w:rPr>
          </w:pPr>
        </w:p>
      </w:tc>
    </w:tr>
  </w:tbl>
  <w:p w:rsidR="00DC6FCC" w:rsidRDefault="00DC6FCC">
    <w:pPr>
      <w:pStyle w:val="Header"/>
    </w:pPr>
  </w:p>
  <w:p w:rsidR="00DC6FCC" w:rsidRDefault="00DC6FC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83D" w:rsidRDefault="007F1E27" w:rsidP="0056483D">
    <w:pPr>
      <w:pStyle w:val="MinorOVRHeader"/>
      <w:jc w:val="center"/>
      <w:rPr>
        <w:i/>
      </w:rPr>
    </w:pPr>
    <w:r>
      <w:rPr>
        <w:i/>
      </w:rPr>
      <w:t>Public Summary Document</w:t>
    </w:r>
    <w:r w:rsidR="0056483D">
      <w:rPr>
        <w:i/>
      </w:rPr>
      <w:t xml:space="preserve"> – July 2021 PBAC Meeting</w:t>
    </w:r>
  </w:p>
  <w:p w:rsidR="00DC6FCC" w:rsidRDefault="00DC6FCC"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30" w:rsidRDefault="00694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CE720D0"/>
    <w:multiLevelType w:val="multilevel"/>
    <w:tmpl w:val="AC721568"/>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i w:val="0"/>
      </w:rPr>
    </w:lvl>
    <w:lvl w:ilvl="2">
      <w:start w:val="1"/>
      <w:numFmt w:val="bullet"/>
      <w:lvlText w:val="o"/>
      <w:lvlJc w:val="left"/>
      <w:pPr>
        <w:ind w:left="1440" w:hanging="720"/>
      </w:pPr>
      <w:rPr>
        <w:rFonts w:ascii="Courier New" w:hAnsi="Courier New" w:cs="Times New Roman" w:hint="default"/>
      </w:r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4" w15:restartNumberingAfterBreak="0">
    <w:nsid w:val="4F761F0A"/>
    <w:multiLevelType w:val="multilevel"/>
    <w:tmpl w:val="E59C4B9A"/>
    <w:lvl w:ilvl="0">
      <w:start w:val="1"/>
      <w:numFmt w:val="bullet"/>
      <w:lvlText w:val=""/>
      <w:lvlJc w:val="left"/>
      <w:pPr>
        <w:ind w:left="1440" w:hanging="720"/>
      </w:pPr>
      <w:rPr>
        <w:rFonts w:ascii="Symbol" w:hAnsi="Symbol" w:hint="default"/>
        <w:b/>
        <w:color w:val="auto"/>
      </w:rPr>
    </w:lvl>
    <w:lvl w:ilvl="1">
      <w:start w:val="1"/>
      <w:numFmt w:val="bullet"/>
      <w:lvlText w:val=""/>
      <w:lvlJc w:val="left"/>
      <w:pPr>
        <w:ind w:left="6119" w:hanging="720"/>
      </w:pPr>
      <w:rPr>
        <w:rFonts w:ascii="Symbol" w:hAnsi="Symbol" w:hint="default"/>
        <w:b w:val="0"/>
        <w:i w:val="0"/>
        <w:color w:val="auto"/>
        <w:sz w:val="24"/>
        <w:szCs w:val="24"/>
      </w:r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784D033C"/>
    <w:multiLevelType w:val="multilevel"/>
    <w:tmpl w:val="BA68E23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3555" w:hanging="720"/>
      </w:pPr>
      <w:rPr>
        <w:rFonts w:asciiTheme="minorHAnsi" w:hAnsiTheme="minorHAnsi" w:cstheme="minorHAnsi" w:hint="default"/>
        <w:b w:val="0"/>
        <w:i w:val="0"/>
        <w:color w:val="auto"/>
        <w:sz w:val="24"/>
        <w:szCs w:val="24"/>
      </w:rPr>
    </w:lvl>
    <w:lvl w:ilvl="2">
      <w:start w:val="1"/>
      <w:numFmt w:val="decimal"/>
      <w:lvlText w:val="%1.%2.%3"/>
      <w:lvlJc w:val="left"/>
      <w:pPr>
        <w:ind w:left="-273" w:hanging="720"/>
      </w:pPr>
    </w:lvl>
    <w:lvl w:ilvl="3">
      <w:start w:val="1"/>
      <w:numFmt w:val="decimal"/>
      <w:lvlText w:val="%1.%2.%3.%4"/>
      <w:lvlJc w:val="left"/>
      <w:pPr>
        <w:ind w:left="87" w:hanging="1080"/>
      </w:pPr>
    </w:lvl>
    <w:lvl w:ilvl="4">
      <w:start w:val="1"/>
      <w:numFmt w:val="decimal"/>
      <w:lvlText w:val="%1.%2.%3.%4.%5"/>
      <w:lvlJc w:val="left"/>
      <w:pPr>
        <w:ind w:left="87" w:hanging="1080"/>
      </w:pPr>
    </w:lvl>
    <w:lvl w:ilvl="5">
      <w:start w:val="1"/>
      <w:numFmt w:val="decimal"/>
      <w:lvlText w:val="%1.%2.%3.%4.%5.%6"/>
      <w:lvlJc w:val="left"/>
      <w:pPr>
        <w:ind w:left="447" w:hanging="1440"/>
      </w:pPr>
    </w:lvl>
    <w:lvl w:ilvl="6">
      <w:start w:val="1"/>
      <w:numFmt w:val="decimal"/>
      <w:lvlText w:val="%1.%2.%3.%4.%5.%6.%7"/>
      <w:lvlJc w:val="left"/>
      <w:pPr>
        <w:ind w:left="447" w:hanging="1440"/>
      </w:pPr>
    </w:lvl>
    <w:lvl w:ilvl="7">
      <w:start w:val="1"/>
      <w:numFmt w:val="decimal"/>
      <w:lvlText w:val="%1.%2.%3.%4.%5.%6.%7.%8"/>
      <w:lvlJc w:val="left"/>
      <w:pPr>
        <w:ind w:left="807" w:hanging="1800"/>
      </w:pPr>
    </w:lvl>
    <w:lvl w:ilvl="8">
      <w:start w:val="1"/>
      <w:numFmt w:val="decimal"/>
      <w:lvlText w:val="%1.%2.%3.%4.%5.%6.%7.%8.%9"/>
      <w:lvlJc w:val="left"/>
      <w:pPr>
        <w:ind w:left="807" w:hanging="1800"/>
      </w:pPr>
    </w:lvl>
  </w:abstractNum>
  <w:num w:numId="1">
    <w:abstractNumId w:val="6"/>
  </w:num>
  <w:num w:numId="2">
    <w:abstractNumId w:val="0"/>
  </w:num>
  <w:num w:numId="3">
    <w:abstractNumId w:val="5"/>
  </w:num>
  <w:num w:numId="4">
    <w:abstractNumId w:val="3"/>
  </w:num>
  <w:num w:numId="5">
    <w:abstractNumId w:val="1"/>
  </w:num>
  <w:num w:numId="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176E"/>
    <w:rsid w:val="000025AD"/>
    <w:rsid w:val="0000335D"/>
    <w:rsid w:val="00006782"/>
    <w:rsid w:val="00011A59"/>
    <w:rsid w:val="00016A41"/>
    <w:rsid w:val="000206F3"/>
    <w:rsid w:val="000214D1"/>
    <w:rsid w:val="000218EB"/>
    <w:rsid w:val="0002464A"/>
    <w:rsid w:val="00025A04"/>
    <w:rsid w:val="0003050E"/>
    <w:rsid w:val="0003106B"/>
    <w:rsid w:val="00031A92"/>
    <w:rsid w:val="00034905"/>
    <w:rsid w:val="00037199"/>
    <w:rsid w:val="000421A1"/>
    <w:rsid w:val="0004240E"/>
    <w:rsid w:val="00044EC4"/>
    <w:rsid w:val="00045E26"/>
    <w:rsid w:val="000514B5"/>
    <w:rsid w:val="00052D51"/>
    <w:rsid w:val="0005322E"/>
    <w:rsid w:val="00054E2B"/>
    <w:rsid w:val="000577D4"/>
    <w:rsid w:val="00060E64"/>
    <w:rsid w:val="000613E2"/>
    <w:rsid w:val="00066193"/>
    <w:rsid w:val="00066755"/>
    <w:rsid w:val="00071A5B"/>
    <w:rsid w:val="00072730"/>
    <w:rsid w:val="0007337F"/>
    <w:rsid w:val="000763D5"/>
    <w:rsid w:val="00076C38"/>
    <w:rsid w:val="00077143"/>
    <w:rsid w:val="00077DF7"/>
    <w:rsid w:val="0008050C"/>
    <w:rsid w:val="00082169"/>
    <w:rsid w:val="000834BE"/>
    <w:rsid w:val="00083F01"/>
    <w:rsid w:val="00087AB3"/>
    <w:rsid w:val="00087C4C"/>
    <w:rsid w:val="000918CB"/>
    <w:rsid w:val="00091B06"/>
    <w:rsid w:val="000951C4"/>
    <w:rsid w:val="00095ADA"/>
    <w:rsid w:val="000969AD"/>
    <w:rsid w:val="000975FB"/>
    <w:rsid w:val="000A3AA2"/>
    <w:rsid w:val="000A44B2"/>
    <w:rsid w:val="000A52F6"/>
    <w:rsid w:val="000A7011"/>
    <w:rsid w:val="000B061B"/>
    <w:rsid w:val="000B3168"/>
    <w:rsid w:val="000B44C3"/>
    <w:rsid w:val="000B558D"/>
    <w:rsid w:val="000B5A89"/>
    <w:rsid w:val="000B65F6"/>
    <w:rsid w:val="000B7767"/>
    <w:rsid w:val="000C0435"/>
    <w:rsid w:val="000C0E2D"/>
    <w:rsid w:val="000C30B8"/>
    <w:rsid w:val="000C4C36"/>
    <w:rsid w:val="000C530F"/>
    <w:rsid w:val="000C5F95"/>
    <w:rsid w:val="000C6996"/>
    <w:rsid w:val="000C7C46"/>
    <w:rsid w:val="000D09E9"/>
    <w:rsid w:val="000D113F"/>
    <w:rsid w:val="000D23BA"/>
    <w:rsid w:val="000E19B7"/>
    <w:rsid w:val="000E20FC"/>
    <w:rsid w:val="000E3DFB"/>
    <w:rsid w:val="000E5EA1"/>
    <w:rsid w:val="000E681E"/>
    <w:rsid w:val="000E7E52"/>
    <w:rsid w:val="000F0003"/>
    <w:rsid w:val="000F3384"/>
    <w:rsid w:val="000F4E6A"/>
    <w:rsid w:val="000F7354"/>
    <w:rsid w:val="00101ABE"/>
    <w:rsid w:val="00102202"/>
    <w:rsid w:val="0010221E"/>
    <w:rsid w:val="00102700"/>
    <w:rsid w:val="00102A78"/>
    <w:rsid w:val="00103118"/>
    <w:rsid w:val="00104227"/>
    <w:rsid w:val="00110706"/>
    <w:rsid w:val="001107BF"/>
    <w:rsid w:val="00113649"/>
    <w:rsid w:val="00113D5C"/>
    <w:rsid w:val="00117679"/>
    <w:rsid w:val="0012417C"/>
    <w:rsid w:val="00124BF2"/>
    <w:rsid w:val="0012597F"/>
    <w:rsid w:val="0012749D"/>
    <w:rsid w:val="001300AF"/>
    <w:rsid w:val="001306A5"/>
    <w:rsid w:val="00130ACE"/>
    <w:rsid w:val="001311AE"/>
    <w:rsid w:val="00140B74"/>
    <w:rsid w:val="00140D94"/>
    <w:rsid w:val="00142395"/>
    <w:rsid w:val="00142714"/>
    <w:rsid w:val="00142F59"/>
    <w:rsid w:val="00143DF7"/>
    <w:rsid w:val="00144D09"/>
    <w:rsid w:val="001452ED"/>
    <w:rsid w:val="00147D84"/>
    <w:rsid w:val="001549C1"/>
    <w:rsid w:val="001559AB"/>
    <w:rsid w:val="00156C8D"/>
    <w:rsid w:val="00160F4D"/>
    <w:rsid w:val="001612FB"/>
    <w:rsid w:val="00162BDD"/>
    <w:rsid w:val="00162D4E"/>
    <w:rsid w:val="00163329"/>
    <w:rsid w:val="00164623"/>
    <w:rsid w:val="0016466D"/>
    <w:rsid w:val="001652DE"/>
    <w:rsid w:val="00165B64"/>
    <w:rsid w:val="00166456"/>
    <w:rsid w:val="001678FC"/>
    <w:rsid w:val="00176B9D"/>
    <w:rsid w:val="00180713"/>
    <w:rsid w:val="00180720"/>
    <w:rsid w:val="001811F0"/>
    <w:rsid w:val="001830CE"/>
    <w:rsid w:val="001836E3"/>
    <w:rsid w:val="0018643B"/>
    <w:rsid w:val="00195C93"/>
    <w:rsid w:val="00196307"/>
    <w:rsid w:val="00197F03"/>
    <w:rsid w:val="001A0D10"/>
    <w:rsid w:val="001A1343"/>
    <w:rsid w:val="001A33EA"/>
    <w:rsid w:val="001A4413"/>
    <w:rsid w:val="001A4C4F"/>
    <w:rsid w:val="001A5A2B"/>
    <w:rsid w:val="001A76FB"/>
    <w:rsid w:val="001B017F"/>
    <w:rsid w:val="001B0B79"/>
    <w:rsid w:val="001B2BBC"/>
    <w:rsid w:val="001B3A40"/>
    <w:rsid w:val="001B3FFE"/>
    <w:rsid w:val="001B475B"/>
    <w:rsid w:val="001B5129"/>
    <w:rsid w:val="001C0514"/>
    <w:rsid w:val="001C0B4C"/>
    <w:rsid w:val="001C0EC4"/>
    <w:rsid w:val="001C1195"/>
    <w:rsid w:val="001C12AE"/>
    <w:rsid w:val="001C1E84"/>
    <w:rsid w:val="001C2E42"/>
    <w:rsid w:val="001D1F5F"/>
    <w:rsid w:val="001D57C6"/>
    <w:rsid w:val="001D57FD"/>
    <w:rsid w:val="001E06D2"/>
    <w:rsid w:val="001E17C4"/>
    <w:rsid w:val="001F005B"/>
    <w:rsid w:val="001F1850"/>
    <w:rsid w:val="001F1FBF"/>
    <w:rsid w:val="001F2B80"/>
    <w:rsid w:val="001F2F1C"/>
    <w:rsid w:val="001F3189"/>
    <w:rsid w:val="00200CF2"/>
    <w:rsid w:val="00201FB8"/>
    <w:rsid w:val="00203FAC"/>
    <w:rsid w:val="00213CFB"/>
    <w:rsid w:val="0021501A"/>
    <w:rsid w:val="0021553C"/>
    <w:rsid w:val="0021557B"/>
    <w:rsid w:val="002174FD"/>
    <w:rsid w:val="00217BE1"/>
    <w:rsid w:val="00220B6A"/>
    <w:rsid w:val="002214B9"/>
    <w:rsid w:val="00230F63"/>
    <w:rsid w:val="00232C4A"/>
    <w:rsid w:val="00233A69"/>
    <w:rsid w:val="00234252"/>
    <w:rsid w:val="0023466E"/>
    <w:rsid w:val="00237AC6"/>
    <w:rsid w:val="00237EE1"/>
    <w:rsid w:val="00244139"/>
    <w:rsid w:val="00244490"/>
    <w:rsid w:val="00244905"/>
    <w:rsid w:val="00245B9C"/>
    <w:rsid w:val="00253499"/>
    <w:rsid w:val="002551A4"/>
    <w:rsid w:val="00256001"/>
    <w:rsid w:val="00257664"/>
    <w:rsid w:val="00261D3D"/>
    <w:rsid w:val="00265151"/>
    <w:rsid w:val="00265C2C"/>
    <w:rsid w:val="00266509"/>
    <w:rsid w:val="00271098"/>
    <w:rsid w:val="00271BA1"/>
    <w:rsid w:val="00273417"/>
    <w:rsid w:val="00273AC5"/>
    <w:rsid w:val="002762FA"/>
    <w:rsid w:val="00277505"/>
    <w:rsid w:val="00280C65"/>
    <w:rsid w:val="0028158C"/>
    <w:rsid w:val="002823B6"/>
    <w:rsid w:val="00284537"/>
    <w:rsid w:val="00290C03"/>
    <w:rsid w:val="00291D85"/>
    <w:rsid w:val="00294274"/>
    <w:rsid w:val="0029458F"/>
    <w:rsid w:val="0029612B"/>
    <w:rsid w:val="00296DDB"/>
    <w:rsid w:val="002A018F"/>
    <w:rsid w:val="002A0E04"/>
    <w:rsid w:val="002A104C"/>
    <w:rsid w:val="002A1EF7"/>
    <w:rsid w:val="002A494D"/>
    <w:rsid w:val="002A4960"/>
    <w:rsid w:val="002A636A"/>
    <w:rsid w:val="002B0AE0"/>
    <w:rsid w:val="002B17C9"/>
    <w:rsid w:val="002B18E1"/>
    <w:rsid w:val="002B1AE6"/>
    <w:rsid w:val="002B1D51"/>
    <w:rsid w:val="002B2DE8"/>
    <w:rsid w:val="002B30F8"/>
    <w:rsid w:val="002B3798"/>
    <w:rsid w:val="002B388A"/>
    <w:rsid w:val="002B3DD9"/>
    <w:rsid w:val="002B5596"/>
    <w:rsid w:val="002B77D7"/>
    <w:rsid w:val="002C212F"/>
    <w:rsid w:val="002C2F35"/>
    <w:rsid w:val="002C6AA9"/>
    <w:rsid w:val="002C7485"/>
    <w:rsid w:val="002D2641"/>
    <w:rsid w:val="002D283A"/>
    <w:rsid w:val="002D4543"/>
    <w:rsid w:val="002D4B26"/>
    <w:rsid w:val="002E2D5C"/>
    <w:rsid w:val="002E3153"/>
    <w:rsid w:val="002E4A02"/>
    <w:rsid w:val="002E5292"/>
    <w:rsid w:val="002E72CA"/>
    <w:rsid w:val="002E73BF"/>
    <w:rsid w:val="002F1D07"/>
    <w:rsid w:val="002F600D"/>
    <w:rsid w:val="002F6F0F"/>
    <w:rsid w:val="002F7E47"/>
    <w:rsid w:val="00300AD6"/>
    <w:rsid w:val="00300B1B"/>
    <w:rsid w:val="003019D0"/>
    <w:rsid w:val="003027AE"/>
    <w:rsid w:val="003064AF"/>
    <w:rsid w:val="00310A8B"/>
    <w:rsid w:val="00310B68"/>
    <w:rsid w:val="003138CA"/>
    <w:rsid w:val="003160D2"/>
    <w:rsid w:val="003173FC"/>
    <w:rsid w:val="00317C6C"/>
    <w:rsid w:val="00320B80"/>
    <w:rsid w:val="00320CD3"/>
    <w:rsid w:val="00326E79"/>
    <w:rsid w:val="0032748A"/>
    <w:rsid w:val="003301B1"/>
    <w:rsid w:val="00331189"/>
    <w:rsid w:val="003319A0"/>
    <w:rsid w:val="0033263D"/>
    <w:rsid w:val="003345AA"/>
    <w:rsid w:val="0033518A"/>
    <w:rsid w:val="00335535"/>
    <w:rsid w:val="003367EF"/>
    <w:rsid w:val="00341AE4"/>
    <w:rsid w:val="00343D8C"/>
    <w:rsid w:val="003476EE"/>
    <w:rsid w:val="00347B40"/>
    <w:rsid w:val="00353A63"/>
    <w:rsid w:val="003541DD"/>
    <w:rsid w:val="00356CFA"/>
    <w:rsid w:val="00356E5B"/>
    <w:rsid w:val="003633D2"/>
    <w:rsid w:val="003736C9"/>
    <w:rsid w:val="003750F0"/>
    <w:rsid w:val="00383B77"/>
    <w:rsid w:val="00384988"/>
    <w:rsid w:val="003872CF"/>
    <w:rsid w:val="0039782C"/>
    <w:rsid w:val="003A0CDB"/>
    <w:rsid w:val="003A13A6"/>
    <w:rsid w:val="003A2165"/>
    <w:rsid w:val="003A5B4A"/>
    <w:rsid w:val="003A5D95"/>
    <w:rsid w:val="003A7972"/>
    <w:rsid w:val="003B0D3A"/>
    <w:rsid w:val="003B2302"/>
    <w:rsid w:val="003B23C5"/>
    <w:rsid w:val="003B2A75"/>
    <w:rsid w:val="003B49B2"/>
    <w:rsid w:val="003B6124"/>
    <w:rsid w:val="003B7960"/>
    <w:rsid w:val="003C093A"/>
    <w:rsid w:val="003C1ECF"/>
    <w:rsid w:val="003C2FB5"/>
    <w:rsid w:val="003C3384"/>
    <w:rsid w:val="003D03F8"/>
    <w:rsid w:val="003D24C5"/>
    <w:rsid w:val="003D4594"/>
    <w:rsid w:val="003D4AC4"/>
    <w:rsid w:val="003D59A2"/>
    <w:rsid w:val="003D63B7"/>
    <w:rsid w:val="003D74C5"/>
    <w:rsid w:val="003E4374"/>
    <w:rsid w:val="003E468B"/>
    <w:rsid w:val="003E62BD"/>
    <w:rsid w:val="003F044F"/>
    <w:rsid w:val="003F0C3A"/>
    <w:rsid w:val="003F15F0"/>
    <w:rsid w:val="003F3228"/>
    <w:rsid w:val="003F5C8C"/>
    <w:rsid w:val="003F622E"/>
    <w:rsid w:val="003F63CE"/>
    <w:rsid w:val="003F775A"/>
    <w:rsid w:val="00400E55"/>
    <w:rsid w:val="0040128E"/>
    <w:rsid w:val="0040216B"/>
    <w:rsid w:val="0041260A"/>
    <w:rsid w:val="0041527C"/>
    <w:rsid w:val="00420400"/>
    <w:rsid w:val="00420F96"/>
    <w:rsid w:val="004252EC"/>
    <w:rsid w:val="00430D39"/>
    <w:rsid w:val="0043520E"/>
    <w:rsid w:val="00442282"/>
    <w:rsid w:val="00442C91"/>
    <w:rsid w:val="004465BD"/>
    <w:rsid w:val="00446938"/>
    <w:rsid w:val="004528FA"/>
    <w:rsid w:val="00456661"/>
    <w:rsid w:val="00461A44"/>
    <w:rsid w:val="00462D26"/>
    <w:rsid w:val="00462D3D"/>
    <w:rsid w:val="0046385A"/>
    <w:rsid w:val="00466ADA"/>
    <w:rsid w:val="004702BB"/>
    <w:rsid w:val="00473C2B"/>
    <w:rsid w:val="0047494B"/>
    <w:rsid w:val="00474E99"/>
    <w:rsid w:val="00476245"/>
    <w:rsid w:val="00477A9B"/>
    <w:rsid w:val="00483035"/>
    <w:rsid w:val="00485940"/>
    <w:rsid w:val="00486C95"/>
    <w:rsid w:val="004877C2"/>
    <w:rsid w:val="004904B9"/>
    <w:rsid w:val="00494397"/>
    <w:rsid w:val="00496662"/>
    <w:rsid w:val="004A240D"/>
    <w:rsid w:val="004A2484"/>
    <w:rsid w:val="004A2C1C"/>
    <w:rsid w:val="004A42EC"/>
    <w:rsid w:val="004A5959"/>
    <w:rsid w:val="004A5A85"/>
    <w:rsid w:val="004A6B61"/>
    <w:rsid w:val="004A71D1"/>
    <w:rsid w:val="004A7C5B"/>
    <w:rsid w:val="004B1845"/>
    <w:rsid w:val="004B2348"/>
    <w:rsid w:val="004B2E01"/>
    <w:rsid w:val="004B2E98"/>
    <w:rsid w:val="004B3AD0"/>
    <w:rsid w:val="004B5640"/>
    <w:rsid w:val="004B6084"/>
    <w:rsid w:val="004BCF29"/>
    <w:rsid w:val="004C03D0"/>
    <w:rsid w:val="004C1BD7"/>
    <w:rsid w:val="004C239C"/>
    <w:rsid w:val="004C31FE"/>
    <w:rsid w:val="004C524C"/>
    <w:rsid w:val="004C5FFA"/>
    <w:rsid w:val="004C691D"/>
    <w:rsid w:val="004C6C07"/>
    <w:rsid w:val="004C7E15"/>
    <w:rsid w:val="004D2CD1"/>
    <w:rsid w:val="004D4FF6"/>
    <w:rsid w:val="004D54CA"/>
    <w:rsid w:val="004D5ADD"/>
    <w:rsid w:val="004E013B"/>
    <w:rsid w:val="004E692D"/>
    <w:rsid w:val="004E7230"/>
    <w:rsid w:val="004E7D87"/>
    <w:rsid w:val="004F2553"/>
    <w:rsid w:val="004F2B6C"/>
    <w:rsid w:val="004F2C67"/>
    <w:rsid w:val="004F306A"/>
    <w:rsid w:val="00501554"/>
    <w:rsid w:val="00502AFE"/>
    <w:rsid w:val="00502E64"/>
    <w:rsid w:val="00503AD7"/>
    <w:rsid w:val="00504E0C"/>
    <w:rsid w:val="00504E13"/>
    <w:rsid w:val="0050772F"/>
    <w:rsid w:val="00507ED2"/>
    <w:rsid w:val="005109D4"/>
    <w:rsid w:val="00514CD7"/>
    <w:rsid w:val="005167EC"/>
    <w:rsid w:val="005170DA"/>
    <w:rsid w:val="00520D6A"/>
    <w:rsid w:val="00521ED5"/>
    <w:rsid w:val="00522DB6"/>
    <w:rsid w:val="005264A7"/>
    <w:rsid w:val="0052792D"/>
    <w:rsid w:val="005319B2"/>
    <w:rsid w:val="00532402"/>
    <w:rsid w:val="00532C74"/>
    <w:rsid w:val="00534E2E"/>
    <w:rsid w:val="0054064C"/>
    <w:rsid w:val="00543D65"/>
    <w:rsid w:val="00544552"/>
    <w:rsid w:val="00545130"/>
    <w:rsid w:val="00547E1E"/>
    <w:rsid w:val="0055286A"/>
    <w:rsid w:val="00555745"/>
    <w:rsid w:val="00557D4F"/>
    <w:rsid w:val="0056122E"/>
    <w:rsid w:val="00561EB2"/>
    <w:rsid w:val="0056483D"/>
    <w:rsid w:val="0056484E"/>
    <w:rsid w:val="00567D8A"/>
    <w:rsid w:val="005764CD"/>
    <w:rsid w:val="00577C4D"/>
    <w:rsid w:val="00580532"/>
    <w:rsid w:val="00581932"/>
    <w:rsid w:val="00586348"/>
    <w:rsid w:val="005963BB"/>
    <w:rsid w:val="005A3173"/>
    <w:rsid w:val="005A3223"/>
    <w:rsid w:val="005A3DA3"/>
    <w:rsid w:val="005A489E"/>
    <w:rsid w:val="005A52C4"/>
    <w:rsid w:val="005A63A1"/>
    <w:rsid w:val="005B5F33"/>
    <w:rsid w:val="005C013E"/>
    <w:rsid w:val="005C4BAC"/>
    <w:rsid w:val="005C4F73"/>
    <w:rsid w:val="005D03AB"/>
    <w:rsid w:val="005D1A9E"/>
    <w:rsid w:val="005D401D"/>
    <w:rsid w:val="005D5017"/>
    <w:rsid w:val="005D5C5B"/>
    <w:rsid w:val="005D63FA"/>
    <w:rsid w:val="005D73C7"/>
    <w:rsid w:val="005E0C2D"/>
    <w:rsid w:val="005E0D82"/>
    <w:rsid w:val="005E0F59"/>
    <w:rsid w:val="005E1333"/>
    <w:rsid w:val="005E3136"/>
    <w:rsid w:val="005E507D"/>
    <w:rsid w:val="005F0AD0"/>
    <w:rsid w:val="005F0F0F"/>
    <w:rsid w:val="006013EA"/>
    <w:rsid w:val="00601A91"/>
    <w:rsid w:val="00602BA3"/>
    <w:rsid w:val="00605B63"/>
    <w:rsid w:val="00605F9A"/>
    <w:rsid w:val="00606442"/>
    <w:rsid w:val="00606EED"/>
    <w:rsid w:val="00612A95"/>
    <w:rsid w:val="00612E34"/>
    <w:rsid w:val="00614159"/>
    <w:rsid w:val="006158A3"/>
    <w:rsid w:val="00616C5F"/>
    <w:rsid w:val="00616DAC"/>
    <w:rsid w:val="00617725"/>
    <w:rsid w:val="00617C00"/>
    <w:rsid w:val="006263BF"/>
    <w:rsid w:val="0062748A"/>
    <w:rsid w:val="00630A2C"/>
    <w:rsid w:val="0063503C"/>
    <w:rsid w:val="0063682E"/>
    <w:rsid w:val="00640088"/>
    <w:rsid w:val="00642672"/>
    <w:rsid w:val="00642DA8"/>
    <w:rsid w:val="006436CD"/>
    <w:rsid w:val="006460DC"/>
    <w:rsid w:val="00651169"/>
    <w:rsid w:val="00653D69"/>
    <w:rsid w:val="006540F0"/>
    <w:rsid w:val="006552E6"/>
    <w:rsid w:val="00655794"/>
    <w:rsid w:val="00657C63"/>
    <w:rsid w:val="00660A11"/>
    <w:rsid w:val="00661CBC"/>
    <w:rsid w:val="00662B85"/>
    <w:rsid w:val="00665332"/>
    <w:rsid w:val="006670BE"/>
    <w:rsid w:val="006705DD"/>
    <w:rsid w:val="00670A76"/>
    <w:rsid w:val="006711AA"/>
    <w:rsid w:val="00672B57"/>
    <w:rsid w:val="00673F1F"/>
    <w:rsid w:val="00675622"/>
    <w:rsid w:val="00676426"/>
    <w:rsid w:val="0067747D"/>
    <w:rsid w:val="006818D5"/>
    <w:rsid w:val="00681CA4"/>
    <w:rsid w:val="00683FA8"/>
    <w:rsid w:val="00687221"/>
    <w:rsid w:val="0069039D"/>
    <w:rsid w:val="006906DB"/>
    <w:rsid w:val="00691900"/>
    <w:rsid w:val="00691E6C"/>
    <w:rsid w:val="0069342D"/>
    <w:rsid w:val="00693DFB"/>
    <w:rsid w:val="00694530"/>
    <w:rsid w:val="0069501D"/>
    <w:rsid w:val="00696129"/>
    <w:rsid w:val="0069764C"/>
    <w:rsid w:val="00697CF2"/>
    <w:rsid w:val="006A12A5"/>
    <w:rsid w:val="006A2515"/>
    <w:rsid w:val="006A34AD"/>
    <w:rsid w:val="006A5A68"/>
    <w:rsid w:val="006A5E20"/>
    <w:rsid w:val="006B0D94"/>
    <w:rsid w:val="006B0EFD"/>
    <w:rsid w:val="006B392E"/>
    <w:rsid w:val="006B485D"/>
    <w:rsid w:val="006B64D2"/>
    <w:rsid w:val="006C0C45"/>
    <w:rsid w:val="006C334C"/>
    <w:rsid w:val="006C6C10"/>
    <w:rsid w:val="006C708E"/>
    <w:rsid w:val="006D0861"/>
    <w:rsid w:val="006D14E7"/>
    <w:rsid w:val="006D4444"/>
    <w:rsid w:val="006D6493"/>
    <w:rsid w:val="006D6EC7"/>
    <w:rsid w:val="006E1BCD"/>
    <w:rsid w:val="006E2732"/>
    <w:rsid w:val="006E38F3"/>
    <w:rsid w:val="006E59CD"/>
    <w:rsid w:val="006F0A71"/>
    <w:rsid w:val="006F0FBB"/>
    <w:rsid w:val="006F207E"/>
    <w:rsid w:val="006F40C2"/>
    <w:rsid w:val="006F5125"/>
    <w:rsid w:val="006F6F87"/>
    <w:rsid w:val="006F733D"/>
    <w:rsid w:val="00700765"/>
    <w:rsid w:val="00702B6F"/>
    <w:rsid w:val="00703EAE"/>
    <w:rsid w:val="00704069"/>
    <w:rsid w:val="00706A2F"/>
    <w:rsid w:val="0070718E"/>
    <w:rsid w:val="00707E52"/>
    <w:rsid w:val="00710259"/>
    <w:rsid w:val="0071031F"/>
    <w:rsid w:val="00710731"/>
    <w:rsid w:val="00710EE1"/>
    <w:rsid w:val="0071340B"/>
    <w:rsid w:val="0071436D"/>
    <w:rsid w:val="00715BBB"/>
    <w:rsid w:val="007174BB"/>
    <w:rsid w:val="0072025D"/>
    <w:rsid w:val="00723328"/>
    <w:rsid w:val="0073137C"/>
    <w:rsid w:val="007340B9"/>
    <w:rsid w:val="007353D3"/>
    <w:rsid w:val="00736A5E"/>
    <w:rsid w:val="0074156B"/>
    <w:rsid w:val="00741619"/>
    <w:rsid w:val="00747092"/>
    <w:rsid w:val="007477FF"/>
    <w:rsid w:val="007526E6"/>
    <w:rsid w:val="00754DF9"/>
    <w:rsid w:val="007555E8"/>
    <w:rsid w:val="00755CC5"/>
    <w:rsid w:val="00762FBE"/>
    <w:rsid w:val="0076420C"/>
    <w:rsid w:val="00771D07"/>
    <w:rsid w:val="007734A8"/>
    <w:rsid w:val="00773BE3"/>
    <w:rsid w:val="007743DD"/>
    <w:rsid w:val="00774E2C"/>
    <w:rsid w:val="0077518D"/>
    <w:rsid w:val="007753C2"/>
    <w:rsid w:val="007838B8"/>
    <w:rsid w:val="007915BA"/>
    <w:rsid w:val="00791844"/>
    <w:rsid w:val="00793305"/>
    <w:rsid w:val="007979BD"/>
    <w:rsid w:val="007A6A2F"/>
    <w:rsid w:val="007B024E"/>
    <w:rsid w:val="007B0AD7"/>
    <w:rsid w:val="007B3DD6"/>
    <w:rsid w:val="007B3DDC"/>
    <w:rsid w:val="007B72A6"/>
    <w:rsid w:val="007C06D2"/>
    <w:rsid w:val="007C08E0"/>
    <w:rsid w:val="007C0F57"/>
    <w:rsid w:val="007C1A53"/>
    <w:rsid w:val="007C26C8"/>
    <w:rsid w:val="007C40B6"/>
    <w:rsid w:val="007C6F3F"/>
    <w:rsid w:val="007C729F"/>
    <w:rsid w:val="007D4669"/>
    <w:rsid w:val="007D503D"/>
    <w:rsid w:val="007D59E7"/>
    <w:rsid w:val="007D5F2A"/>
    <w:rsid w:val="007E1D28"/>
    <w:rsid w:val="007E2704"/>
    <w:rsid w:val="007E46BD"/>
    <w:rsid w:val="007E490F"/>
    <w:rsid w:val="007F0021"/>
    <w:rsid w:val="007F1E27"/>
    <w:rsid w:val="007F2641"/>
    <w:rsid w:val="007F4130"/>
    <w:rsid w:val="007F7C36"/>
    <w:rsid w:val="008055AF"/>
    <w:rsid w:val="008057CD"/>
    <w:rsid w:val="00806796"/>
    <w:rsid w:val="00810167"/>
    <w:rsid w:val="00811CC0"/>
    <w:rsid w:val="00812346"/>
    <w:rsid w:val="008151D6"/>
    <w:rsid w:val="00815256"/>
    <w:rsid w:val="00815EE7"/>
    <w:rsid w:val="00821527"/>
    <w:rsid w:val="00822696"/>
    <w:rsid w:val="008235A7"/>
    <w:rsid w:val="00824E39"/>
    <w:rsid w:val="00825A6C"/>
    <w:rsid w:val="0082617E"/>
    <w:rsid w:val="008268BB"/>
    <w:rsid w:val="00826F6D"/>
    <w:rsid w:val="008306F3"/>
    <w:rsid w:val="00830E40"/>
    <w:rsid w:val="008312F0"/>
    <w:rsid w:val="00832D9A"/>
    <w:rsid w:val="00835875"/>
    <w:rsid w:val="00835C62"/>
    <w:rsid w:val="00835FA6"/>
    <w:rsid w:val="008368A1"/>
    <w:rsid w:val="008402CE"/>
    <w:rsid w:val="00840EF7"/>
    <w:rsid w:val="00844C0A"/>
    <w:rsid w:val="00845404"/>
    <w:rsid w:val="00846056"/>
    <w:rsid w:val="0084681F"/>
    <w:rsid w:val="00847EC0"/>
    <w:rsid w:val="008504B3"/>
    <w:rsid w:val="008525C3"/>
    <w:rsid w:val="00855FD6"/>
    <w:rsid w:val="008562B2"/>
    <w:rsid w:val="00856DDD"/>
    <w:rsid w:val="00863E68"/>
    <w:rsid w:val="0086407F"/>
    <w:rsid w:val="008647B5"/>
    <w:rsid w:val="00867D64"/>
    <w:rsid w:val="00875DCB"/>
    <w:rsid w:val="0087755A"/>
    <w:rsid w:val="00877FE1"/>
    <w:rsid w:val="00882085"/>
    <w:rsid w:val="00883188"/>
    <w:rsid w:val="00884A0C"/>
    <w:rsid w:val="00886ACA"/>
    <w:rsid w:val="0089031E"/>
    <w:rsid w:val="0089460B"/>
    <w:rsid w:val="00897D58"/>
    <w:rsid w:val="00897F22"/>
    <w:rsid w:val="008A0B39"/>
    <w:rsid w:val="008A17A3"/>
    <w:rsid w:val="008A1956"/>
    <w:rsid w:val="008A1E85"/>
    <w:rsid w:val="008A2419"/>
    <w:rsid w:val="008A3655"/>
    <w:rsid w:val="008A46EE"/>
    <w:rsid w:val="008A47CD"/>
    <w:rsid w:val="008A4937"/>
    <w:rsid w:val="008A50F1"/>
    <w:rsid w:val="008A59D9"/>
    <w:rsid w:val="008A61ED"/>
    <w:rsid w:val="008A643E"/>
    <w:rsid w:val="008A6819"/>
    <w:rsid w:val="008B2EC0"/>
    <w:rsid w:val="008B6604"/>
    <w:rsid w:val="008B6DCF"/>
    <w:rsid w:val="008C4E9B"/>
    <w:rsid w:val="008D0945"/>
    <w:rsid w:val="008D1409"/>
    <w:rsid w:val="008D15CC"/>
    <w:rsid w:val="008D1729"/>
    <w:rsid w:val="008D1B5C"/>
    <w:rsid w:val="008D3C82"/>
    <w:rsid w:val="008D447E"/>
    <w:rsid w:val="008D5649"/>
    <w:rsid w:val="008D5FFD"/>
    <w:rsid w:val="008D6ACF"/>
    <w:rsid w:val="008D75D3"/>
    <w:rsid w:val="008D7A41"/>
    <w:rsid w:val="008E2C72"/>
    <w:rsid w:val="008E3680"/>
    <w:rsid w:val="008E49B0"/>
    <w:rsid w:val="008E5870"/>
    <w:rsid w:val="008E77E4"/>
    <w:rsid w:val="008F0213"/>
    <w:rsid w:val="008F07ED"/>
    <w:rsid w:val="008F11F8"/>
    <w:rsid w:val="008F1434"/>
    <w:rsid w:val="008F2BB9"/>
    <w:rsid w:val="008F3D6A"/>
    <w:rsid w:val="008F484A"/>
    <w:rsid w:val="008F54C3"/>
    <w:rsid w:val="008F7355"/>
    <w:rsid w:val="009023DC"/>
    <w:rsid w:val="009027C5"/>
    <w:rsid w:val="00904413"/>
    <w:rsid w:val="00904FA7"/>
    <w:rsid w:val="009062CD"/>
    <w:rsid w:val="00906368"/>
    <w:rsid w:val="009067B7"/>
    <w:rsid w:val="0090775A"/>
    <w:rsid w:val="00907DFD"/>
    <w:rsid w:val="00911869"/>
    <w:rsid w:val="00913C99"/>
    <w:rsid w:val="00917D69"/>
    <w:rsid w:val="00920B6D"/>
    <w:rsid w:val="00920CDD"/>
    <w:rsid w:val="009234E9"/>
    <w:rsid w:val="00926560"/>
    <w:rsid w:val="00926B15"/>
    <w:rsid w:val="00930291"/>
    <w:rsid w:val="00930937"/>
    <w:rsid w:val="009324A6"/>
    <w:rsid w:val="00933325"/>
    <w:rsid w:val="00933E6C"/>
    <w:rsid w:val="00935A6E"/>
    <w:rsid w:val="00937958"/>
    <w:rsid w:val="009406E5"/>
    <w:rsid w:val="00941602"/>
    <w:rsid w:val="00942160"/>
    <w:rsid w:val="00946921"/>
    <w:rsid w:val="0095146F"/>
    <w:rsid w:val="0095561C"/>
    <w:rsid w:val="00957944"/>
    <w:rsid w:val="009602C5"/>
    <w:rsid w:val="00962223"/>
    <w:rsid w:val="0096252B"/>
    <w:rsid w:val="00962EB7"/>
    <w:rsid w:val="00963537"/>
    <w:rsid w:val="009639EE"/>
    <w:rsid w:val="00964A9F"/>
    <w:rsid w:val="00966D0D"/>
    <w:rsid w:val="00967732"/>
    <w:rsid w:val="0096783C"/>
    <w:rsid w:val="009722B3"/>
    <w:rsid w:val="00973E24"/>
    <w:rsid w:val="00974C21"/>
    <w:rsid w:val="00975948"/>
    <w:rsid w:val="00977570"/>
    <w:rsid w:val="00977BF3"/>
    <w:rsid w:val="009803E4"/>
    <w:rsid w:val="00980B0E"/>
    <w:rsid w:val="00982B39"/>
    <w:rsid w:val="009836A3"/>
    <w:rsid w:val="009855A8"/>
    <w:rsid w:val="00985D1A"/>
    <w:rsid w:val="009913F4"/>
    <w:rsid w:val="00991782"/>
    <w:rsid w:val="009937F7"/>
    <w:rsid w:val="0099465B"/>
    <w:rsid w:val="009951A1"/>
    <w:rsid w:val="00997897"/>
    <w:rsid w:val="00997A44"/>
    <w:rsid w:val="009A0CDD"/>
    <w:rsid w:val="009A3168"/>
    <w:rsid w:val="009A4BDF"/>
    <w:rsid w:val="009A5D04"/>
    <w:rsid w:val="009A61CA"/>
    <w:rsid w:val="009B0C64"/>
    <w:rsid w:val="009B0F67"/>
    <w:rsid w:val="009B1404"/>
    <w:rsid w:val="009B3F8C"/>
    <w:rsid w:val="009C28CF"/>
    <w:rsid w:val="009C703C"/>
    <w:rsid w:val="009D206E"/>
    <w:rsid w:val="009D3084"/>
    <w:rsid w:val="009D3CAA"/>
    <w:rsid w:val="009D41D2"/>
    <w:rsid w:val="009D507A"/>
    <w:rsid w:val="009D5903"/>
    <w:rsid w:val="009D6532"/>
    <w:rsid w:val="009D71FD"/>
    <w:rsid w:val="009E2588"/>
    <w:rsid w:val="009E2E8E"/>
    <w:rsid w:val="009E40E1"/>
    <w:rsid w:val="009E6C9F"/>
    <w:rsid w:val="009F0EFA"/>
    <w:rsid w:val="009F4E46"/>
    <w:rsid w:val="009F5B65"/>
    <w:rsid w:val="009F5F2E"/>
    <w:rsid w:val="00A01432"/>
    <w:rsid w:val="00A05DE3"/>
    <w:rsid w:val="00A06225"/>
    <w:rsid w:val="00A067B7"/>
    <w:rsid w:val="00A110D1"/>
    <w:rsid w:val="00A12587"/>
    <w:rsid w:val="00A128E6"/>
    <w:rsid w:val="00A132B9"/>
    <w:rsid w:val="00A144D3"/>
    <w:rsid w:val="00A22AC3"/>
    <w:rsid w:val="00A23F3F"/>
    <w:rsid w:val="00A24067"/>
    <w:rsid w:val="00A24A4B"/>
    <w:rsid w:val="00A25EBE"/>
    <w:rsid w:val="00A2744D"/>
    <w:rsid w:val="00A30D16"/>
    <w:rsid w:val="00A34E6C"/>
    <w:rsid w:val="00A34FD0"/>
    <w:rsid w:val="00A36398"/>
    <w:rsid w:val="00A37C8D"/>
    <w:rsid w:val="00A4020E"/>
    <w:rsid w:val="00A40FB5"/>
    <w:rsid w:val="00A41265"/>
    <w:rsid w:val="00A42826"/>
    <w:rsid w:val="00A429B3"/>
    <w:rsid w:val="00A44EC1"/>
    <w:rsid w:val="00A510E4"/>
    <w:rsid w:val="00A5273B"/>
    <w:rsid w:val="00A53A9D"/>
    <w:rsid w:val="00A55FEE"/>
    <w:rsid w:val="00A56D59"/>
    <w:rsid w:val="00A57422"/>
    <w:rsid w:val="00A62C1A"/>
    <w:rsid w:val="00A6426D"/>
    <w:rsid w:val="00A665C1"/>
    <w:rsid w:val="00A673A4"/>
    <w:rsid w:val="00A7001A"/>
    <w:rsid w:val="00A70622"/>
    <w:rsid w:val="00A70977"/>
    <w:rsid w:val="00A70D58"/>
    <w:rsid w:val="00A744F9"/>
    <w:rsid w:val="00A77613"/>
    <w:rsid w:val="00A77B87"/>
    <w:rsid w:val="00A80F4D"/>
    <w:rsid w:val="00A81851"/>
    <w:rsid w:val="00A8390C"/>
    <w:rsid w:val="00A86AE0"/>
    <w:rsid w:val="00A91362"/>
    <w:rsid w:val="00A9151C"/>
    <w:rsid w:val="00A91610"/>
    <w:rsid w:val="00A919C6"/>
    <w:rsid w:val="00A92214"/>
    <w:rsid w:val="00A928BD"/>
    <w:rsid w:val="00A97DE9"/>
    <w:rsid w:val="00AA12CD"/>
    <w:rsid w:val="00AA4D1C"/>
    <w:rsid w:val="00AA52FD"/>
    <w:rsid w:val="00AA7006"/>
    <w:rsid w:val="00AB0B87"/>
    <w:rsid w:val="00AB39EF"/>
    <w:rsid w:val="00AB5856"/>
    <w:rsid w:val="00AC193C"/>
    <w:rsid w:val="00AC30C1"/>
    <w:rsid w:val="00AC4DE5"/>
    <w:rsid w:val="00AC5206"/>
    <w:rsid w:val="00AD3106"/>
    <w:rsid w:val="00AD4322"/>
    <w:rsid w:val="00AE11A5"/>
    <w:rsid w:val="00AE13E2"/>
    <w:rsid w:val="00AE22D3"/>
    <w:rsid w:val="00AE29C0"/>
    <w:rsid w:val="00AE5A49"/>
    <w:rsid w:val="00AE5F3A"/>
    <w:rsid w:val="00AE7CD8"/>
    <w:rsid w:val="00AF11D8"/>
    <w:rsid w:val="00AF5867"/>
    <w:rsid w:val="00AF62DF"/>
    <w:rsid w:val="00AF68CC"/>
    <w:rsid w:val="00AF70D7"/>
    <w:rsid w:val="00B01FF4"/>
    <w:rsid w:val="00B0326D"/>
    <w:rsid w:val="00B06478"/>
    <w:rsid w:val="00B07533"/>
    <w:rsid w:val="00B07CFB"/>
    <w:rsid w:val="00B10489"/>
    <w:rsid w:val="00B1059E"/>
    <w:rsid w:val="00B14A36"/>
    <w:rsid w:val="00B16273"/>
    <w:rsid w:val="00B170A5"/>
    <w:rsid w:val="00B17532"/>
    <w:rsid w:val="00B176C8"/>
    <w:rsid w:val="00B17EE5"/>
    <w:rsid w:val="00B205AA"/>
    <w:rsid w:val="00B22E84"/>
    <w:rsid w:val="00B233AD"/>
    <w:rsid w:val="00B23E25"/>
    <w:rsid w:val="00B25F75"/>
    <w:rsid w:val="00B26B3F"/>
    <w:rsid w:val="00B2778F"/>
    <w:rsid w:val="00B327E2"/>
    <w:rsid w:val="00B33635"/>
    <w:rsid w:val="00B42AF4"/>
    <w:rsid w:val="00B4393F"/>
    <w:rsid w:val="00B43E90"/>
    <w:rsid w:val="00B45E32"/>
    <w:rsid w:val="00B467DC"/>
    <w:rsid w:val="00B531BB"/>
    <w:rsid w:val="00B5392A"/>
    <w:rsid w:val="00B5545C"/>
    <w:rsid w:val="00B56118"/>
    <w:rsid w:val="00B565AA"/>
    <w:rsid w:val="00B566E1"/>
    <w:rsid w:val="00B57A40"/>
    <w:rsid w:val="00B648A0"/>
    <w:rsid w:val="00B6773F"/>
    <w:rsid w:val="00B7098D"/>
    <w:rsid w:val="00B70EB3"/>
    <w:rsid w:val="00B72906"/>
    <w:rsid w:val="00B7525E"/>
    <w:rsid w:val="00B760FB"/>
    <w:rsid w:val="00B767AB"/>
    <w:rsid w:val="00B801BA"/>
    <w:rsid w:val="00B812D6"/>
    <w:rsid w:val="00B84D5C"/>
    <w:rsid w:val="00B85AF6"/>
    <w:rsid w:val="00B86925"/>
    <w:rsid w:val="00B92F22"/>
    <w:rsid w:val="00B93616"/>
    <w:rsid w:val="00B956ED"/>
    <w:rsid w:val="00BA2DA8"/>
    <w:rsid w:val="00BA347C"/>
    <w:rsid w:val="00BB3469"/>
    <w:rsid w:val="00BB5C49"/>
    <w:rsid w:val="00BB6240"/>
    <w:rsid w:val="00BB6285"/>
    <w:rsid w:val="00BB69F5"/>
    <w:rsid w:val="00BB7EC3"/>
    <w:rsid w:val="00BC467F"/>
    <w:rsid w:val="00BC470E"/>
    <w:rsid w:val="00BC4B9A"/>
    <w:rsid w:val="00BD02C3"/>
    <w:rsid w:val="00BD5D08"/>
    <w:rsid w:val="00BD7483"/>
    <w:rsid w:val="00BD784C"/>
    <w:rsid w:val="00BE020A"/>
    <w:rsid w:val="00BE13DF"/>
    <w:rsid w:val="00BE25D7"/>
    <w:rsid w:val="00BE29E0"/>
    <w:rsid w:val="00BE3BC6"/>
    <w:rsid w:val="00BE686D"/>
    <w:rsid w:val="00BF092C"/>
    <w:rsid w:val="00BF1DE6"/>
    <w:rsid w:val="00BF27A0"/>
    <w:rsid w:val="00BF4CB6"/>
    <w:rsid w:val="00C00DA7"/>
    <w:rsid w:val="00C04CDE"/>
    <w:rsid w:val="00C0650D"/>
    <w:rsid w:val="00C068A6"/>
    <w:rsid w:val="00C12768"/>
    <w:rsid w:val="00C12D70"/>
    <w:rsid w:val="00C16724"/>
    <w:rsid w:val="00C16FAD"/>
    <w:rsid w:val="00C17B07"/>
    <w:rsid w:val="00C21B09"/>
    <w:rsid w:val="00C2673A"/>
    <w:rsid w:val="00C27B58"/>
    <w:rsid w:val="00C27C1C"/>
    <w:rsid w:val="00C33186"/>
    <w:rsid w:val="00C35996"/>
    <w:rsid w:val="00C36CE4"/>
    <w:rsid w:val="00C36F82"/>
    <w:rsid w:val="00C377F7"/>
    <w:rsid w:val="00C43CC4"/>
    <w:rsid w:val="00C4747E"/>
    <w:rsid w:val="00C5151E"/>
    <w:rsid w:val="00C5342C"/>
    <w:rsid w:val="00C53B2B"/>
    <w:rsid w:val="00C57465"/>
    <w:rsid w:val="00C60272"/>
    <w:rsid w:val="00C603D4"/>
    <w:rsid w:val="00C6256A"/>
    <w:rsid w:val="00C64EBC"/>
    <w:rsid w:val="00C664D2"/>
    <w:rsid w:val="00C710E2"/>
    <w:rsid w:val="00C71C3F"/>
    <w:rsid w:val="00C7409E"/>
    <w:rsid w:val="00C74D6D"/>
    <w:rsid w:val="00C76E76"/>
    <w:rsid w:val="00C77891"/>
    <w:rsid w:val="00C829A9"/>
    <w:rsid w:val="00C87B80"/>
    <w:rsid w:val="00C91449"/>
    <w:rsid w:val="00C92D10"/>
    <w:rsid w:val="00C9341E"/>
    <w:rsid w:val="00CA48D9"/>
    <w:rsid w:val="00CB1193"/>
    <w:rsid w:val="00CB4767"/>
    <w:rsid w:val="00CB493D"/>
    <w:rsid w:val="00CC3B97"/>
    <w:rsid w:val="00CC59A2"/>
    <w:rsid w:val="00CC7171"/>
    <w:rsid w:val="00CD7C0B"/>
    <w:rsid w:val="00CE10C4"/>
    <w:rsid w:val="00CE27B5"/>
    <w:rsid w:val="00CE6DAF"/>
    <w:rsid w:val="00CF410A"/>
    <w:rsid w:val="00D0321E"/>
    <w:rsid w:val="00D069EB"/>
    <w:rsid w:val="00D07A8A"/>
    <w:rsid w:val="00D11199"/>
    <w:rsid w:val="00D1455A"/>
    <w:rsid w:val="00D14A70"/>
    <w:rsid w:val="00D22093"/>
    <w:rsid w:val="00D31150"/>
    <w:rsid w:val="00D3138B"/>
    <w:rsid w:val="00D31FCE"/>
    <w:rsid w:val="00D3280C"/>
    <w:rsid w:val="00D32F8B"/>
    <w:rsid w:val="00D3406A"/>
    <w:rsid w:val="00D40B11"/>
    <w:rsid w:val="00D429EC"/>
    <w:rsid w:val="00D441F1"/>
    <w:rsid w:val="00D4572C"/>
    <w:rsid w:val="00D469B2"/>
    <w:rsid w:val="00D46D3F"/>
    <w:rsid w:val="00D54B09"/>
    <w:rsid w:val="00D6243E"/>
    <w:rsid w:val="00D6545F"/>
    <w:rsid w:val="00D65658"/>
    <w:rsid w:val="00D67EB2"/>
    <w:rsid w:val="00D72B6F"/>
    <w:rsid w:val="00D741EB"/>
    <w:rsid w:val="00D753C3"/>
    <w:rsid w:val="00D7679C"/>
    <w:rsid w:val="00D820F3"/>
    <w:rsid w:val="00D83605"/>
    <w:rsid w:val="00D84934"/>
    <w:rsid w:val="00D85681"/>
    <w:rsid w:val="00D866EB"/>
    <w:rsid w:val="00D867E8"/>
    <w:rsid w:val="00D87D1A"/>
    <w:rsid w:val="00D91271"/>
    <w:rsid w:val="00D919F5"/>
    <w:rsid w:val="00D93956"/>
    <w:rsid w:val="00D945F6"/>
    <w:rsid w:val="00D94A56"/>
    <w:rsid w:val="00D94F03"/>
    <w:rsid w:val="00D95161"/>
    <w:rsid w:val="00DA0A82"/>
    <w:rsid w:val="00DA0D14"/>
    <w:rsid w:val="00DA1FC9"/>
    <w:rsid w:val="00DA21F0"/>
    <w:rsid w:val="00DA2CB5"/>
    <w:rsid w:val="00DA4BAC"/>
    <w:rsid w:val="00DA5870"/>
    <w:rsid w:val="00DB0151"/>
    <w:rsid w:val="00DB50E1"/>
    <w:rsid w:val="00DB591A"/>
    <w:rsid w:val="00DB700F"/>
    <w:rsid w:val="00DC0566"/>
    <w:rsid w:val="00DC1499"/>
    <w:rsid w:val="00DC2C3E"/>
    <w:rsid w:val="00DC3137"/>
    <w:rsid w:val="00DC45BF"/>
    <w:rsid w:val="00DC4880"/>
    <w:rsid w:val="00DC6FCC"/>
    <w:rsid w:val="00DD42AB"/>
    <w:rsid w:val="00DD7095"/>
    <w:rsid w:val="00DE06AF"/>
    <w:rsid w:val="00DE072E"/>
    <w:rsid w:val="00DE6D27"/>
    <w:rsid w:val="00DE7006"/>
    <w:rsid w:val="00DF01F8"/>
    <w:rsid w:val="00DF021D"/>
    <w:rsid w:val="00DF185E"/>
    <w:rsid w:val="00DF217D"/>
    <w:rsid w:val="00DF26A7"/>
    <w:rsid w:val="00DF3277"/>
    <w:rsid w:val="00DF743E"/>
    <w:rsid w:val="00DF77A1"/>
    <w:rsid w:val="00DF7919"/>
    <w:rsid w:val="00E0207E"/>
    <w:rsid w:val="00E0293A"/>
    <w:rsid w:val="00E02AE6"/>
    <w:rsid w:val="00E03912"/>
    <w:rsid w:val="00E04748"/>
    <w:rsid w:val="00E06D2E"/>
    <w:rsid w:val="00E0770C"/>
    <w:rsid w:val="00E078D9"/>
    <w:rsid w:val="00E10293"/>
    <w:rsid w:val="00E103A0"/>
    <w:rsid w:val="00E12370"/>
    <w:rsid w:val="00E13DDF"/>
    <w:rsid w:val="00E13E60"/>
    <w:rsid w:val="00E15627"/>
    <w:rsid w:val="00E164B3"/>
    <w:rsid w:val="00E16910"/>
    <w:rsid w:val="00E239E2"/>
    <w:rsid w:val="00E24E09"/>
    <w:rsid w:val="00E260EE"/>
    <w:rsid w:val="00E27234"/>
    <w:rsid w:val="00E3495C"/>
    <w:rsid w:val="00E42B31"/>
    <w:rsid w:val="00E42BDB"/>
    <w:rsid w:val="00E43424"/>
    <w:rsid w:val="00E465EA"/>
    <w:rsid w:val="00E55220"/>
    <w:rsid w:val="00E5726D"/>
    <w:rsid w:val="00E57EEB"/>
    <w:rsid w:val="00E60282"/>
    <w:rsid w:val="00E62D94"/>
    <w:rsid w:val="00E62ECC"/>
    <w:rsid w:val="00E64F37"/>
    <w:rsid w:val="00E65091"/>
    <w:rsid w:val="00E65E54"/>
    <w:rsid w:val="00E661C7"/>
    <w:rsid w:val="00E732C4"/>
    <w:rsid w:val="00E74C63"/>
    <w:rsid w:val="00E74E41"/>
    <w:rsid w:val="00E80155"/>
    <w:rsid w:val="00E8134B"/>
    <w:rsid w:val="00E81E0D"/>
    <w:rsid w:val="00E81F28"/>
    <w:rsid w:val="00E848C0"/>
    <w:rsid w:val="00E86F92"/>
    <w:rsid w:val="00E91B96"/>
    <w:rsid w:val="00E920CC"/>
    <w:rsid w:val="00E935DA"/>
    <w:rsid w:val="00E93C3E"/>
    <w:rsid w:val="00E93D1E"/>
    <w:rsid w:val="00E941A1"/>
    <w:rsid w:val="00E95CE3"/>
    <w:rsid w:val="00EA0856"/>
    <w:rsid w:val="00EA252F"/>
    <w:rsid w:val="00EA2825"/>
    <w:rsid w:val="00EA6518"/>
    <w:rsid w:val="00EA71A2"/>
    <w:rsid w:val="00EA7466"/>
    <w:rsid w:val="00EA7EDE"/>
    <w:rsid w:val="00EB0B63"/>
    <w:rsid w:val="00EB1936"/>
    <w:rsid w:val="00EB3545"/>
    <w:rsid w:val="00EB37BE"/>
    <w:rsid w:val="00EB4BAE"/>
    <w:rsid w:val="00EB5088"/>
    <w:rsid w:val="00EC15E3"/>
    <w:rsid w:val="00EC2726"/>
    <w:rsid w:val="00EC77B8"/>
    <w:rsid w:val="00ED1644"/>
    <w:rsid w:val="00ED2593"/>
    <w:rsid w:val="00ED6CF7"/>
    <w:rsid w:val="00ED7D55"/>
    <w:rsid w:val="00ED7D9C"/>
    <w:rsid w:val="00EE31A2"/>
    <w:rsid w:val="00EE6E05"/>
    <w:rsid w:val="00EF0069"/>
    <w:rsid w:val="00EF44A0"/>
    <w:rsid w:val="00EF4580"/>
    <w:rsid w:val="00EF4FED"/>
    <w:rsid w:val="00EF5F45"/>
    <w:rsid w:val="00EF6843"/>
    <w:rsid w:val="00EF6FB3"/>
    <w:rsid w:val="00EF760E"/>
    <w:rsid w:val="00F007C6"/>
    <w:rsid w:val="00F0172E"/>
    <w:rsid w:val="00F024AC"/>
    <w:rsid w:val="00F050B8"/>
    <w:rsid w:val="00F050BD"/>
    <w:rsid w:val="00F05257"/>
    <w:rsid w:val="00F05657"/>
    <w:rsid w:val="00F05AB0"/>
    <w:rsid w:val="00F10D37"/>
    <w:rsid w:val="00F12C74"/>
    <w:rsid w:val="00F1559A"/>
    <w:rsid w:val="00F17ED6"/>
    <w:rsid w:val="00F20676"/>
    <w:rsid w:val="00F209E2"/>
    <w:rsid w:val="00F25578"/>
    <w:rsid w:val="00F258E5"/>
    <w:rsid w:val="00F25B9C"/>
    <w:rsid w:val="00F2675A"/>
    <w:rsid w:val="00F26CC6"/>
    <w:rsid w:val="00F300BC"/>
    <w:rsid w:val="00F31773"/>
    <w:rsid w:val="00F3263C"/>
    <w:rsid w:val="00F3334E"/>
    <w:rsid w:val="00F36CCB"/>
    <w:rsid w:val="00F374E5"/>
    <w:rsid w:val="00F37B93"/>
    <w:rsid w:val="00F37BAD"/>
    <w:rsid w:val="00F37ECA"/>
    <w:rsid w:val="00F40A1C"/>
    <w:rsid w:val="00F43AF2"/>
    <w:rsid w:val="00F45216"/>
    <w:rsid w:val="00F5007E"/>
    <w:rsid w:val="00F50EC4"/>
    <w:rsid w:val="00F52232"/>
    <w:rsid w:val="00F52DC2"/>
    <w:rsid w:val="00F550CF"/>
    <w:rsid w:val="00F553D2"/>
    <w:rsid w:val="00F57A6D"/>
    <w:rsid w:val="00F61BF5"/>
    <w:rsid w:val="00F62F19"/>
    <w:rsid w:val="00F638CC"/>
    <w:rsid w:val="00F64C9E"/>
    <w:rsid w:val="00F64CC1"/>
    <w:rsid w:val="00F72317"/>
    <w:rsid w:val="00F730A9"/>
    <w:rsid w:val="00F73DC1"/>
    <w:rsid w:val="00F74220"/>
    <w:rsid w:val="00F75BB8"/>
    <w:rsid w:val="00F80475"/>
    <w:rsid w:val="00F80E6E"/>
    <w:rsid w:val="00F81390"/>
    <w:rsid w:val="00F81F7A"/>
    <w:rsid w:val="00F8247A"/>
    <w:rsid w:val="00F82E5C"/>
    <w:rsid w:val="00F83F58"/>
    <w:rsid w:val="00F85206"/>
    <w:rsid w:val="00F87CEA"/>
    <w:rsid w:val="00F9629A"/>
    <w:rsid w:val="00F9640F"/>
    <w:rsid w:val="00F97EFC"/>
    <w:rsid w:val="00FA0C7C"/>
    <w:rsid w:val="00FA1BDD"/>
    <w:rsid w:val="00FA305C"/>
    <w:rsid w:val="00FA462E"/>
    <w:rsid w:val="00FA4DD5"/>
    <w:rsid w:val="00FA5883"/>
    <w:rsid w:val="00FA5B00"/>
    <w:rsid w:val="00FA6055"/>
    <w:rsid w:val="00FB0B39"/>
    <w:rsid w:val="00FB322F"/>
    <w:rsid w:val="00FB442F"/>
    <w:rsid w:val="00FC118C"/>
    <w:rsid w:val="00FC1929"/>
    <w:rsid w:val="00FC5B46"/>
    <w:rsid w:val="00FD1D4F"/>
    <w:rsid w:val="00FD24BF"/>
    <w:rsid w:val="00FD3B6E"/>
    <w:rsid w:val="00FD57EB"/>
    <w:rsid w:val="00FD6A71"/>
    <w:rsid w:val="00FD6D8E"/>
    <w:rsid w:val="00FE0663"/>
    <w:rsid w:val="00FE0E94"/>
    <w:rsid w:val="00FE369C"/>
    <w:rsid w:val="00FE3CD9"/>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631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3E2"/>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Styl moj,Akapit z listą11,Bullets,列出段落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列出段落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ind w:left="3271"/>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paragraph" w:customStyle="1" w:styleId="MainBodyText">
    <w:name w:val="Main Body Text"/>
    <w:basedOn w:val="Normal"/>
    <w:link w:val="MainBodyTextChar"/>
    <w:rsid w:val="00710731"/>
    <w:pPr>
      <w:spacing w:after="240" w:line="276" w:lineRule="auto"/>
    </w:pPr>
    <w:rPr>
      <w:rFonts w:ascii="Arial" w:hAnsi="Arial"/>
      <w:sz w:val="22"/>
      <w:szCs w:val="22"/>
    </w:rPr>
  </w:style>
  <w:style w:type="character" w:customStyle="1" w:styleId="MainBodyTextChar">
    <w:name w:val="Main Body Text Char"/>
    <w:link w:val="MainBodyText"/>
    <w:rsid w:val="00710731"/>
    <w:rPr>
      <w:rFonts w:ascii="Arial" w:hAnsi="Arial"/>
      <w:sz w:val="22"/>
      <w:szCs w:val="22"/>
    </w:rPr>
  </w:style>
  <w:style w:type="paragraph" w:customStyle="1" w:styleId="TableCaption">
    <w:name w:val="TableCaption"/>
    <w:basedOn w:val="Caption"/>
    <w:next w:val="MainBodyText"/>
    <w:qFormat/>
    <w:rsid w:val="00DE072E"/>
    <w:pPr>
      <w:keepNext/>
      <w:tabs>
        <w:tab w:val="left" w:pos="1701"/>
      </w:tabs>
      <w:spacing w:before="180" w:after="120" w:line="276" w:lineRule="auto"/>
      <w:ind w:left="1701" w:hanging="1701"/>
      <w:jc w:val="left"/>
      <w:outlineLvl w:val="2"/>
    </w:pPr>
    <w:rPr>
      <w:rFonts w:ascii="Arial" w:hAnsi="Arial"/>
      <w:b/>
      <w:bCs/>
      <w:i w:val="0"/>
      <w:iCs w:val="0"/>
      <w:color w:val="auto"/>
      <w:sz w:val="22"/>
      <w:szCs w:val="20"/>
    </w:rPr>
  </w:style>
  <w:style w:type="paragraph" w:customStyle="1" w:styleId="TextUnderTable">
    <w:name w:val="Text Under Table"/>
    <w:basedOn w:val="Normal"/>
    <w:qFormat/>
    <w:rsid w:val="00DE072E"/>
    <w:pPr>
      <w:spacing w:before="120" w:after="120" w:line="276" w:lineRule="auto"/>
      <w:contextualSpacing/>
      <w:jc w:val="left"/>
    </w:pPr>
    <w:rPr>
      <w:rFonts w:ascii="Arial" w:hAnsi="Arial"/>
      <w:i/>
      <w:sz w:val="16"/>
      <w:szCs w:val="22"/>
    </w:rPr>
  </w:style>
  <w:style w:type="character" w:customStyle="1" w:styleId="SmallBold">
    <w:name w:val="Small Bold"/>
    <w:basedOn w:val="DefaultParagraphFont"/>
    <w:uiPriority w:val="4"/>
    <w:qFormat/>
    <w:rsid w:val="00DE072E"/>
    <w:rPr>
      <w:rFonts w:ascii="Candara" w:hAnsi="Candara"/>
      <w:b/>
      <w:sz w:val="20"/>
      <w:lang w:val="en-AU"/>
    </w:rPr>
  </w:style>
  <w:style w:type="character" w:customStyle="1" w:styleId="UnresolvedMention1">
    <w:name w:val="Unresolved Mention1"/>
    <w:basedOn w:val="DefaultParagraphFont"/>
    <w:uiPriority w:val="99"/>
    <w:semiHidden/>
    <w:unhideWhenUsed/>
    <w:rsid w:val="00B57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54776241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FF40F-22D3-4C3E-BDD3-A336638A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1630</Words>
  <Characters>9282</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Purpose of Application </vt:lpstr>
      <vt:lpstr>Background </vt:lpstr>
      <vt:lpstr>    Registration status</vt:lpstr>
      <vt:lpstr>Requested listing </vt:lpstr>
      <vt:lpstr>Comparator </vt:lpstr>
      <vt:lpstr>Consideration of the evidence</vt:lpstr>
      <vt:lpstr>    Sponsor hearing</vt:lpstr>
      <vt:lpstr>    Consumer comments</vt:lpstr>
      <vt:lpstr>    Clinical trials </vt:lpstr>
      <vt:lpstr>    Clinical claim</vt:lpstr>
      <vt:lpstr>    Pricing consideration </vt:lpstr>
      <vt:lpstr>PBAC Outcome</vt:lpstr>
      <vt:lpstr>Recommended listing</vt:lpstr>
      <vt:lpstr>Context for Decision</vt:lpstr>
      <vt:lpstr>Sponsor’s Comment</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2021-10-25T03:51:00Z</dcterms:created>
  <dcterms:modified xsi:type="dcterms:W3CDTF">2021-10-25T03:51:00Z</dcterms:modified>
</cp:coreProperties>
</file>