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A92" w:rsidRPr="007257C1" w:rsidRDefault="00B26A92" w:rsidP="007257C1">
      <w:pPr>
        <w:rPr>
          <w:rFonts w:eastAsia="Calibri"/>
        </w:rPr>
      </w:pPr>
    </w:p>
    <w:p w:rsidR="006C6C10" w:rsidRPr="002B5B38" w:rsidRDefault="006B0CA8" w:rsidP="002B5B38">
      <w:pPr>
        <w:pStyle w:val="1MainTitle"/>
        <w:jc w:val="left"/>
      </w:pPr>
      <w:r w:rsidRPr="002B5B38">
        <w:t>3.01 ABIRATERONE,</w:t>
      </w:r>
      <w:r w:rsidR="006447EF" w:rsidRPr="002B5B38">
        <w:br/>
      </w:r>
      <w:r w:rsidRPr="002B5B38">
        <w:t xml:space="preserve">Tablet </w:t>
      </w:r>
      <w:r w:rsidR="00457AD3" w:rsidRPr="002B5B38">
        <w:t xml:space="preserve">containing abiraterone acetate </w:t>
      </w:r>
      <w:r w:rsidRPr="002B5B38">
        <w:t xml:space="preserve">250 mg, </w:t>
      </w:r>
      <w:r w:rsidR="00A343CA" w:rsidRPr="002B5B38">
        <w:br/>
        <w:t xml:space="preserve">Tablet </w:t>
      </w:r>
      <w:r w:rsidR="00457AD3" w:rsidRPr="002B5B38">
        <w:t xml:space="preserve">containing abiraterone acetate </w:t>
      </w:r>
      <w:r w:rsidRPr="002B5B38">
        <w:t>500 mg</w:t>
      </w:r>
      <w:r w:rsidR="006447EF" w:rsidRPr="002B5B38">
        <w:t>,</w:t>
      </w:r>
      <w:r w:rsidR="006447EF" w:rsidRPr="002B5B38">
        <w:br/>
      </w:r>
      <w:r w:rsidRPr="002B5B38">
        <w:t>Zytiga®,</w:t>
      </w:r>
      <w:r w:rsidR="006447EF" w:rsidRPr="002B5B38">
        <w:br/>
      </w:r>
      <w:r w:rsidRPr="002B5B38">
        <w:t>Janssen-Cilag Pty Ltd</w:t>
      </w:r>
      <w:r w:rsidR="002B5B38">
        <w:br/>
      </w:r>
      <w:r w:rsidR="002B5B38">
        <w:br/>
      </w:r>
      <w:r w:rsidR="00556BD5" w:rsidRPr="002B5B38">
        <w:t>ENZALUTAMIDE</w:t>
      </w:r>
      <w:r w:rsidR="0025308C" w:rsidRPr="002B5B38">
        <w:t>,</w:t>
      </w:r>
      <w:r w:rsidR="00556BD5" w:rsidRPr="002B5B38">
        <w:t xml:space="preserve"> </w:t>
      </w:r>
      <w:r w:rsidR="00556BD5" w:rsidRPr="002B5B38">
        <w:br/>
        <w:t>Capsule</w:t>
      </w:r>
      <w:r w:rsidRPr="002B5B38">
        <w:t xml:space="preserve"> 40 mg</w:t>
      </w:r>
      <w:r w:rsidR="00556BD5" w:rsidRPr="002B5B38">
        <w:t>,</w:t>
      </w:r>
      <w:r w:rsidRPr="002B5B38">
        <w:t xml:space="preserve"> </w:t>
      </w:r>
      <w:r w:rsidRPr="002B5B38">
        <w:br/>
        <w:t>Xtandi®,</w:t>
      </w:r>
      <w:r w:rsidR="006447EF" w:rsidRPr="002B5B38">
        <w:br/>
        <w:t>Astellas Pharma Australia Pty Ltd</w:t>
      </w:r>
    </w:p>
    <w:p w:rsidR="007E490F" w:rsidRPr="001B5292" w:rsidRDefault="007E490F" w:rsidP="00B26A92">
      <w:pPr>
        <w:pStyle w:val="2-SectionHeading"/>
        <w:numPr>
          <w:ilvl w:val="0"/>
          <w:numId w:val="2"/>
        </w:numPr>
      </w:pPr>
      <w:r w:rsidRPr="001B5292">
        <w:t xml:space="preserve">Purpose of </w:t>
      </w:r>
      <w:r w:rsidR="00F5596A" w:rsidRPr="001B5292">
        <w:t>item</w:t>
      </w:r>
    </w:p>
    <w:p w:rsidR="006C6C10" w:rsidRPr="001B5292" w:rsidRDefault="002B2CA6" w:rsidP="006B0CA8">
      <w:pPr>
        <w:pStyle w:val="3Bodytext"/>
        <w:jc w:val="both"/>
        <w:rPr>
          <w:rFonts w:cstheme="minorHAnsi"/>
          <w:szCs w:val="24"/>
        </w:rPr>
      </w:pPr>
      <w:r w:rsidRPr="001B5292">
        <w:rPr>
          <w:rFonts w:cstheme="minorHAnsi"/>
          <w:szCs w:val="24"/>
        </w:rPr>
        <w:t xml:space="preserve">To consider </w:t>
      </w:r>
      <w:r w:rsidR="00F5596A" w:rsidRPr="001B5292">
        <w:rPr>
          <w:rFonts w:cstheme="minorHAnsi"/>
          <w:szCs w:val="24"/>
        </w:rPr>
        <w:t xml:space="preserve">sponsor </w:t>
      </w:r>
      <w:r w:rsidR="000809AE" w:rsidRPr="001B5292">
        <w:rPr>
          <w:rFonts w:cstheme="minorHAnsi"/>
          <w:szCs w:val="24"/>
        </w:rPr>
        <w:t xml:space="preserve">responses </w:t>
      </w:r>
      <w:r w:rsidR="00F5596A" w:rsidRPr="001B5292">
        <w:rPr>
          <w:rFonts w:cstheme="minorHAnsi"/>
          <w:szCs w:val="24"/>
        </w:rPr>
        <w:t xml:space="preserve">to the </w:t>
      </w:r>
      <w:r w:rsidR="006B0CA8" w:rsidRPr="001B5292">
        <w:rPr>
          <w:rFonts w:cstheme="minorHAnsi"/>
          <w:szCs w:val="24"/>
        </w:rPr>
        <w:t xml:space="preserve">PBAC’s </w:t>
      </w:r>
      <w:r w:rsidR="00F5596A" w:rsidRPr="001B5292">
        <w:rPr>
          <w:rFonts w:cstheme="minorHAnsi"/>
          <w:szCs w:val="24"/>
        </w:rPr>
        <w:t xml:space="preserve">March 2021 request for comment </w:t>
      </w:r>
      <w:r w:rsidR="006B0CA8" w:rsidRPr="001B5292">
        <w:rPr>
          <w:rFonts w:cstheme="minorHAnsi"/>
          <w:szCs w:val="24"/>
        </w:rPr>
        <w:t>on amending the existing abiraterone and enzalu</w:t>
      </w:r>
      <w:bookmarkStart w:id="0" w:name="_GoBack"/>
      <w:bookmarkEnd w:id="0"/>
      <w:r w:rsidR="006B0CA8" w:rsidRPr="001B5292">
        <w:rPr>
          <w:rFonts w:cstheme="minorHAnsi"/>
          <w:szCs w:val="24"/>
        </w:rPr>
        <w:t xml:space="preserve">tamide </w:t>
      </w:r>
      <w:r w:rsidR="00070E00" w:rsidRPr="001B5292">
        <w:rPr>
          <w:rFonts w:cstheme="minorHAnsi"/>
          <w:szCs w:val="24"/>
        </w:rPr>
        <w:t xml:space="preserve">listings for </w:t>
      </w:r>
      <w:r w:rsidR="006B0CA8" w:rsidRPr="001B5292">
        <w:rPr>
          <w:rFonts w:cstheme="minorHAnsi"/>
          <w:szCs w:val="24"/>
        </w:rPr>
        <w:t xml:space="preserve">metastatic castration resistant prostate cancer (mCRPC) </w:t>
      </w:r>
      <w:r w:rsidR="00F5596A" w:rsidRPr="001B5292">
        <w:rPr>
          <w:rFonts w:cstheme="minorHAnsi"/>
          <w:szCs w:val="24"/>
        </w:rPr>
        <w:t>to</w:t>
      </w:r>
      <w:r w:rsidR="006447EF" w:rsidRPr="001B5292">
        <w:rPr>
          <w:rFonts w:cstheme="minorHAnsi"/>
          <w:szCs w:val="24"/>
        </w:rPr>
        <w:t xml:space="preserve"> </w:t>
      </w:r>
      <w:r w:rsidR="00E5726E" w:rsidRPr="001B5292">
        <w:rPr>
          <w:rFonts w:cstheme="minorHAnsi"/>
          <w:szCs w:val="24"/>
        </w:rPr>
        <w:t xml:space="preserve">be silent on </w:t>
      </w:r>
      <w:r w:rsidR="006B0CA8" w:rsidRPr="001B5292">
        <w:rPr>
          <w:rFonts w:cstheme="minorHAnsi"/>
          <w:szCs w:val="24"/>
        </w:rPr>
        <w:t xml:space="preserve">the </w:t>
      </w:r>
      <w:r w:rsidR="00F5596A" w:rsidRPr="001B5292">
        <w:rPr>
          <w:rFonts w:cstheme="minorHAnsi"/>
          <w:szCs w:val="24"/>
        </w:rPr>
        <w:t xml:space="preserve">‘metastatic’ </w:t>
      </w:r>
      <w:r w:rsidR="006B0CA8" w:rsidRPr="001B5292">
        <w:rPr>
          <w:rFonts w:cstheme="minorHAnsi"/>
          <w:szCs w:val="24"/>
        </w:rPr>
        <w:t>requirement</w:t>
      </w:r>
      <w:r w:rsidR="00E5726E" w:rsidRPr="001B5292">
        <w:rPr>
          <w:rFonts w:cstheme="minorHAnsi"/>
          <w:szCs w:val="24"/>
        </w:rPr>
        <w:t xml:space="preserve"> in the indication</w:t>
      </w:r>
      <w:r w:rsidR="006B0CA8" w:rsidRPr="001B5292">
        <w:rPr>
          <w:rFonts w:cstheme="minorHAnsi"/>
          <w:szCs w:val="24"/>
        </w:rPr>
        <w:t>.</w:t>
      </w:r>
    </w:p>
    <w:p w:rsidR="007E490F" w:rsidRPr="001B5292" w:rsidRDefault="007E490F" w:rsidP="007257C1">
      <w:pPr>
        <w:pStyle w:val="2-SectionHeading"/>
        <w:numPr>
          <w:ilvl w:val="0"/>
          <w:numId w:val="2"/>
        </w:numPr>
      </w:pPr>
      <w:r w:rsidRPr="001B5292">
        <w:t xml:space="preserve">Background </w:t>
      </w:r>
    </w:p>
    <w:p w:rsidR="007E490F" w:rsidRPr="001B5292" w:rsidRDefault="007E490F" w:rsidP="007257C1">
      <w:pPr>
        <w:pStyle w:val="4-SubsectionHeading"/>
      </w:pPr>
      <w:r w:rsidRPr="001B5292">
        <w:t>Registration status</w:t>
      </w:r>
    </w:p>
    <w:p w:rsidR="006B0CA8" w:rsidRPr="001B5292" w:rsidRDefault="006B0CA8" w:rsidP="007257C1">
      <w:pPr>
        <w:pStyle w:val="3Bodytext"/>
        <w:spacing w:after="0"/>
        <w:jc w:val="both"/>
      </w:pPr>
      <w:r w:rsidRPr="001B5292">
        <w:t>Abiraterone is registered for use in combination with prednisone or prednisolone for the treatment of patients with:</w:t>
      </w:r>
    </w:p>
    <w:p w:rsidR="006B0CA8" w:rsidRPr="001B5292" w:rsidRDefault="006B0CA8" w:rsidP="007257C1">
      <w:pPr>
        <w:pStyle w:val="3Bodytext"/>
        <w:numPr>
          <w:ilvl w:val="0"/>
          <w:numId w:val="9"/>
        </w:numPr>
        <w:spacing w:after="0"/>
        <w:jc w:val="both"/>
      </w:pPr>
      <w:r w:rsidRPr="001B5292">
        <w:t xml:space="preserve">newly diagnosed high-risk metastatic hormone sensitive prostate cancer in combination with </w:t>
      </w:r>
      <w:r w:rsidR="000809AE" w:rsidRPr="001B5292">
        <w:t>androgen deprivation therapy (</w:t>
      </w:r>
      <w:r w:rsidRPr="001B5292">
        <w:t>ADT</w:t>
      </w:r>
      <w:r w:rsidR="000809AE" w:rsidRPr="001B5292">
        <w:t>)</w:t>
      </w:r>
      <w:r w:rsidRPr="001B5292">
        <w:t>;</w:t>
      </w:r>
    </w:p>
    <w:p w:rsidR="006B0CA8" w:rsidRPr="001B5292" w:rsidRDefault="006B0CA8" w:rsidP="007257C1">
      <w:pPr>
        <w:pStyle w:val="3Bodytext"/>
        <w:numPr>
          <w:ilvl w:val="0"/>
          <w:numId w:val="9"/>
        </w:numPr>
        <w:spacing w:after="0"/>
        <w:jc w:val="both"/>
      </w:pPr>
      <w:r w:rsidRPr="001B5292">
        <w:t>mCRPC who are asymptomatic or mildly symptomatic after failure of ADT; and</w:t>
      </w:r>
    </w:p>
    <w:p w:rsidR="006B0CA8" w:rsidRPr="001B5292" w:rsidRDefault="006B0CA8" w:rsidP="007257C1">
      <w:pPr>
        <w:pStyle w:val="3Bodytext"/>
        <w:numPr>
          <w:ilvl w:val="0"/>
          <w:numId w:val="9"/>
        </w:numPr>
        <w:jc w:val="both"/>
      </w:pPr>
      <w:r w:rsidRPr="001B5292">
        <w:t>mCRPC who have received prior chemotherapy containing a taxane.</w:t>
      </w:r>
    </w:p>
    <w:p w:rsidR="006B0CA8" w:rsidRPr="001B5292" w:rsidRDefault="006B0CA8" w:rsidP="007704F3">
      <w:pPr>
        <w:pStyle w:val="3Bodytext"/>
        <w:spacing w:after="0"/>
        <w:jc w:val="both"/>
      </w:pPr>
      <w:r w:rsidRPr="001B5292">
        <w:t xml:space="preserve">Enzalutamide is registered for the treatment of patients with: </w:t>
      </w:r>
    </w:p>
    <w:p w:rsidR="006B0CA8" w:rsidRPr="001B5292" w:rsidRDefault="006B0CA8" w:rsidP="00B26A92">
      <w:pPr>
        <w:pStyle w:val="3Bodytext"/>
        <w:numPr>
          <w:ilvl w:val="0"/>
          <w:numId w:val="8"/>
        </w:numPr>
        <w:spacing w:after="0"/>
        <w:jc w:val="both"/>
      </w:pPr>
      <w:r w:rsidRPr="001B5292">
        <w:t>non-metastatic castration-resistant prostate cancer (m0CRPC);</w:t>
      </w:r>
    </w:p>
    <w:p w:rsidR="006B0CA8" w:rsidRPr="001B5292" w:rsidRDefault="006B0CA8" w:rsidP="00B26A92">
      <w:pPr>
        <w:pStyle w:val="3Bodytext"/>
        <w:numPr>
          <w:ilvl w:val="0"/>
          <w:numId w:val="8"/>
        </w:numPr>
        <w:spacing w:after="0"/>
        <w:jc w:val="both"/>
      </w:pPr>
      <w:r w:rsidRPr="001B5292">
        <w:t>mCRPC following failure of ADT in whom chemotherapy is not yet indicated; and</w:t>
      </w:r>
    </w:p>
    <w:p w:rsidR="006B0CA8" w:rsidRPr="001B5292" w:rsidRDefault="006B0CA8" w:rsidP="00B26A92">
      <w:pPr>
        <w:pStyle w:val="3Bodytext"/>
        <w:numPr>
          <w:ilvl w:val="0"/>
          <w:numId w:val="8"/>
        </w:numPr>
        <w:ind w:left="1077" w:hanging="357"/>
        <w:jc w:val="both"/>
      </w:pPr>
      <w:r w:rsidRPr="001B5292">
        <w:t>mCRPC who have previously received docetaxel.</w:t>
      </w:r>
    </w:p>
    <w:p w:rsidR="007E490F" w:rsidRPr="001B5292" w:rsidRDefault="007E490F" w:rsidP="007E490F">
      <w:pPr>
        <w:pStyle w:val="4-SubsectionHeading"/>
      </w:pPr>
      <w:r w:rsidRPr="001B5292">
        <w:t xml:space="preserve">Previous PBAC consideration </w:t>
      </w:r>
    </w:p>
    <w:p w:rsidR="007E490F" w:rsidRPr="001B5292" w:rsidRDefault="006B0CA8" w:rsidP="007704F3">
      <w:pPr>
        <w:pStyle w:val="3Bodytext"/>
        <w:jc w:val="both"/>
        <w:rPr>
          <w:i/>
        </w:rPr>
      </w:pPr>
      <w:r w:rsidRPr="001B5292">
        <w:t>At the March 2021 PBAC meeting</w:t>
      </w:r>
      <w:r w:rsidR="007704F3" w:rsidRPr="001B5292">
        <w:t>,</w:t>
      </w:r>
      <w:r w:rsidRPr="001B5292">
        <w:t xml:space="preserve"> the PBAC recommended </w:t>
      </w:r>
      <w:r w:rsidR="007704F3" w:rsidRPr="001B5292">
        <w:rPr>
          <w:rFonts w:cs="Arial"/>
          <w:bCs/>
          <w:snapToGrid w:val="0"/>
        </w:rPr>
        <w:t xml:space="preserve">amending the listings of abiraterone and enzalutamide to allow their use in patients with mCRPC prior to receiving docetaxel. The PBAC considered that removal of the requirement for patients to have either received prior docetaxel or to have a predicted intolerance to </w:t>
      </w:r>
      <w:r w:rsidR="007704F3" w:rsidRPr="001B5292">
        <w:rPr>
          <w:rFonts w:cs="Arial"/>
          <w:bCs/>
          <w:snapToGrid w:val="0"/>
        </w:rPr>
        <w:lastRenderedPageBreak/>
        <w:t xml:space="preserve">docetaxel would better align the restrictions for abiraterone and enzalutamide with how these drugs are being used in clinical practice and with their TGA indications (paragraph 5.1, abiraterone and enzalutamide </w:t>
      </w:r>
      <w:r w:rsidR="00507D8D">
        <w:rPr>
          <w:rFonts w:cs="Arial"/>
          <w:bCs/>
          <w:snapToGrid w:val="0"/>
        </w:rPr>
        <w:t>Public Summary Document (</w:t>
      </w:r>
      <w:r w:rsidR="004D09A7" w:rsidRPr="001B5292">
        <w:rPr>
          <w:rFonts w:cs="Arial"/>
          <w:bCs/>
          <w:snapToGrid w:val="0"/>
        </w:rPr>
        <w:t>PSD</w:t>
      </w:r>
      <w:r w:rsidR="00507D8D">
        <w:rPr>
          <w:rFonts w:cs="Arial"/>
          <w:bCs/>
          <w:snapToGrid w:val="0"/>
        </w:rPr>
        <w:t>)</w:t>
      </w:r>
      <w:r w:rsidR="007704F3" w:rsidRPr="001B5292">
        <w:rPr>
          <w:rFonts w:cs="Arial"/>
          <w:bCs/>
          <w:snapToGrid w:val="0"/>
        </w:rPr>
        <w:t>, March 2021).</w:t>
      </w:r>
    </w:p>
    <w:p w:rsidR="00D10CCC" w:rsidRPr="001B5292" w:rsidRDefault="007704F3" w:rsidP="00614563">
      <w:pPr>
        <w:pStyle w:val="3Bodytext"/>
        <w:jc w:val="both"/>
        <w:rPr>
          <w:i/>
        </w:rPr>
      </w:pPr>
      <w:r w:rsidRPr="001B5292">
        <w:rPr>
          <w:rFonts w:cs="Arial"/>
          <w:bCs/>
          <w:snapToGrid w:val="0"/>
        </w:rPr>
        <w:t>At the March 2021 PBAC meeting, the Committee also noted that the availability of more sensitive screening, such as prostate-specific membrane antigen (PSMA) PET scans, ha</w:t>
      </w:r>
      <w:r w:rsidR="00D2608E" w:rsidRPr="001B5292">
        <w:rPr>
          <w:rFonts w:cs="Arial"/>
          <w:bCs/>
          <w:snapToGrid w:val="0"/>
        </w:rPr>
        <w:t>d</w:t>
      </w:r>
      <w:r w:rsidRPr="001B5292">
        <w:rPr>
          <w:rFonts w:cs="Arial"/>
          <w:bCs/>
          <w:snapToGrid w:val="0"/>
        </w:rPr>
        <w:t xml:space="preserve"> resulted in patients previously classified as having m0CRPC on conventional imaging being classified as having metastatic disease. Hence, these patients are eligible to receive abiraterone or enzalutamide through the PBS. The PBAC further considered that if sensitive screening tests are used, the majority of patients with a rapidly rising </w:t>
      </w:r>
      <w:r w:rsidR="000809AE" w:rsidRPr="001B5292">
        <w:t>prostate-specific antigen (</w:t>
      </w:r>
      <w:r w:rsidRPr="001B5292">
        <w:rPr>
          <w:rFonts w:cs="Arial"/>
          <w:bCs/>
          <w:snapToGrid w:val="0"/>
        </w:rPr>
        <w:t>PSA</w:t>
      </w:r>
      <w:r w:rsidR="000809AE" w:rsidRPr="001B5292">
        <w:rPr>
          <w:rFonts w:cs="Arial"/>
          <w:bCs/>
          <w:snapToGrid w:val="0"/>
        </w:rPr>
        <w:t>)</w:t>
      </w:r>
      <w:r w:rsidRPr="001B5292">
        <w:rPr>
          <w:rFonts w:cs="Arial"/>
          <w:bCs/>
          <w:snapToGrid w:val="0"/>
        </w:rPr>
        <w:t xml:space="preserve"> are likely to be diagnosed with, or will soon progress to, mCRPC. Given this, the PBAC foreshadowed that it would like to consider revising the abiraterone and enzalutamide listings further, such that the requirement for the disease to be classified as metastatic </w:t>
      </w:r>
      <w:r w:rsidR="00B37F73" w:rsidRPr="001B5292">
        <w:rPr>
          <w:rFonts w:cs="Arial"/>
          <w:bCs/>
          <w:snapToGrid w:val="0"/>
        </w:rPr>
        <w:t>wa</w:t>
      </w:r>
      <w:r w:rsidRPr="001B5292">
        <w:rPr>
          <w:rFonts w:cs="Arial"/>
          <w:bCs/>
          <w:snapToGrid w:val="0"/>
        </w:rPr>
        <w:t>s removed. The PBAC considered th</w:t>
      </w:r>
      <w:r w:rsidR="004E6F45" w:rsidRPr="001B5292">
        <w:rPr>
          <w:rFonts w:cs="Arial"/>
          <w:bCs/>
          <w:snapToGrid w:val="0"/>
        </w:rPr>
        <w:t>at the</w:t>
      </w:r>
      <w:r w:rsidRPr="001B5292">
        <w:rPr>
          <w:rFonts w:cs="Arial"/>
          <w:bCs/>
          <w:snapToGrid w:val="0"/>
        </w:rPr>
        <w:t xml:space="preserve"> on</w:t>
      </w:r>
      <w:r w:rsidR="00B37F73" w:rsidRPr="001B5292">
        <w:rPr>
          <w:rFonts w:cs="Arial"/>
          <w:bCs/>
          <w:snapToGrid w:val="0"/>
        </w:rPr>
        <w:t>e novel hormonal agent</w:t>
      </w:r>
      <w:r w:rsidR="004E6F45" w:rsidRPr="001B5292">
        <w:rPr>
          <w:rFonts w:cs="Arial"/>
          <w:bCs/>
          <w:snapToGrid w:val="0"/>
        </w:rPr>
        <w:t xml:space="preserve"> (NHA) treatment per patient </w:t>
      </w:r>
      <w:r w:rsidRPr="001B5292">
        <w:rPr>
          <w:rFonts w:cs="Arial"/>
          <w:bCs/>
          <w:snapToGrid w:val="0"/>
        </w:rPr>
        <w:t xml:space="preserve">per lifetime requirement should remain. The PBAC noted that this change to the listing was likely to result in patients being treated earlier, as well as increase the number of patients treated. The PBAC requested that the Department seek comment from the sponsors regarding this proposed listing change (the removal of the word ‘metastatic’ from the PBS indication) and the associated financial impact for consideration at the July 2021 PBAC meeting (paragraph 5.8, abiraterone and enzalutamide </w:t>
      </w:r>
      <w:r w:rsidR="004E6F45" w:rsidRPr="001B5292">
        <w:rPr>
          <w:rFonts w:cs="Arial"/>
          <w:bCs/>
          <w:snapToGrid w:val="0"/>
        </w:rPr>
        <w:t>PSD</w:t>
      </w:r>
      <w:r w:rsidRPr="001B5292">
        <w:rPr>
          <w:rFonts w:cs="Arial"/>
          <w:bCs/>
          <w:snapToGrid w:val="0"/>
        </w:rPr>
        <w:t>, March 2021).</w:t>
      </w:r>
      <w:r w:rsidR="00B52D61">
        <w:rPr>
          <w:rFonts w:cs="Arial"/>
          <w:bCs/>
          <w:noProof/>
          <w:snapToGrid w:val="0"/>
          <w:color w:val="000000"/>
          <w:highlight w:val="black"/>
        </w:rPr>
        <w:t xml:space="preserve"> </w:t>
      </w:r>
    </w:p>
    <w:p w:rsidR="004012FF" w:rsidRDefault="00B26A92" w:rsidP="00B26A92">
      <w:pPr>
        <w:pStyle w:val="3Bodytext"/>
        <w:numPr>
          <w:ilvl w:val="0"/>
          <w:numId w:val="0"/>
        </w:numPr>
        <w:ind w:left="720"/>
        <w:jc w:val="both"/>
        <w:rPr>
          <w:rFonts w:cs="Arial"/>
          <w:bCs/>
          <w:i/>
          <w:snapToGrid w:val="0"/>
        </w:rPr>
      </w:pPr>
      <w:r w:rsidRPr="001B5292">
        <w:rPr>
          <w:rFonts w:cs="Arial"/>
          <w:bCs/>
          <w:i/>
          <w:snapToGrid w:val="0"/>
        </w:rPr>
        <w:t>For more detail on PBAC’s view, see section 5 PBAC outcome.</w:t>
      </w:r>
    </w:p>
    <w:p w:rsidR="004012FF" w:rsidRDefault="004012FF">
      <w:pPr>
        <w:jc w:val="left"/>
        <w:rPr>
          <w:rFonts w:asciiTheme="minorHAnsi" w:eastAsiaTheme="minorHAnsi" w:hAnsiTheme="minorHAnsi" w:cs="Arial"/>
          <w:bCs/>
          <w:i/>
          <w:snapToGrid w:val="0"/>
          <w:szCs w:val="22"/>
        </w:rPr>
      </w:pPr>
      <w:r>
        <w:rPr>
          <w:rFonts w:cs="Arial"/>
          <w:bCs/>
          <w:i/>
          <w:snapToGrid w:val="0"/>
        </w:rPr>
        <w:br w:type="page"/>
      </w:r>
    </w:p>
    <w:p w:rsidR="009019A6" w:rsidRPr="001B5292" w:rsidRDefault="00E5726E" w:rsidP="005238C8">
      <w:pPr>
        <w:pStyle w:val="2-SectionHeading"/>
      </w:pPr>
      <w:r w:rsidRPr="001B5292">
        <w:t xml:space="preserve">Proposed PBS </w:t>
      </w:r>
      <w:r w:rsidR="00964A9F" w:rsidRPr="001B5292">
        <w:t>listing</w:t>
      </w:r>
      <w:r w:rsidRPr="001B5292">
        <w:t xml:space="preserve"> changes</w:t>
      </w:r>
      <w:r w:rsidR="00964A9F" w:rsidRPr="001B5292">
        <w:t xml:space="preserve"> </w:t>
      </w:r>
    </w:p>
    <w:p w:rsidR="00A41A0B" w:rsidRPr="001B5292" w:rsidRDefault="00E5726E" w:rsidP="00A41A0B">
      <w:pPr>
        <w:pStyle w:val="3Bodytext"/>
        <w:jc w:val="both"/>
        <w:rPr>
          <w:lang w:eastAsia="en-US"/>
        </w:rPr>
      </w:pPr>
      <w:r w:rsidRPr="001B5292">
        <w:rPr>
          <w:lang w:eastAsia="en-US"/>
        </w:rPr>
        <w:t xml:space="preserve">In line with the </w:t>
      </w:r>
      <w:r w:rsidR="00507D8D">
        <w:rPr>
          <w:lang w:eastAsia="en-US"/>
        </w:rPr>
        <w:t>March 2021 PBAC meeting PSD</w:t>
      </w:r>
      <w:r w:rsidRPr="001B5292">
        <w:rPr>
          <w:lang w:eastAsia="en-US"/>
        </w:rPr>
        <w:t>, the Secretariat propose</w:t>
      </w:r>
      <w:r w:rsidR="00ED15FB" w:rsidRPr="001B5292">
        <w:rPr>
          <w:lang w:eastAsia="en-US"/>
        </w:rPr>
        <w:t>d</w:t>
      </w:r>
      <w:r w:rsidRPr="001B5292">
        <w:rPr>
          <w:lang w:eastAsia="en-US"/>
        </w:rPr>
        <w:t xml:space="preserve"> a</w:t>
      </w:r>
      <w:r w:rsidR="004A36C5" w:rsidRPr="001B5292">
        <w:rPr>
          <w:lang w:eastAsia="en-US"/>
        </w:rPr>
        <w:t>mend</w:t>
      </w:r>
      <w:r w:rsidRPr="001B5292">
        <w:rPr>
          <w:lang w:eastAsia="en-US"/>
        </w:rPr>
        <w:t>ing</w:t>
      </w:r>
      <w:r w:rsidR="004A36C5" w:rsidRPr="001B5292">
        <w:rPr>
          <w:lang w:eastAsia="en-US"/>
        </w:rPr>
        <w:t xml:space="preserve"> the </w:t>
      </w:r>
      <w:r w:rsidR="0080573C" w:rsidRPr="001B5292">
        <w:rPr>
          <w:lang w:eastAsia="en-US"/>
        </w:rPr>
        <w:t xml:space="preserve">March 2021 PBAC recommended </w:t>
      </w:r>
      <w:r w:rsidR="004A36C5" w:rsidRPr="001B5292">
        <w:rPr>
          <w:lang w:eastAsia="en-US"/>
        </w:rPr>
        <w:t xml:space="preserve">abiraterone </w:t>
      </w:r>
      <w:r w:rsidR="0080573C" w:rsidRPr="001B5292">
        <w:rPr>
          <w:lang w:eastAsia="en-US"/>
        </w:rPr>
        <w:t xml:space="preserve">and enzalutamide </w:t>
      </w:r>
      <w:r w:rsidR="004A36C5" w:rsidRPr="001B5292">
        <w:rPr>
          <w:lang w:eastAsia="en-US"/>
        </w:rPr>
        <w:t>listings</w:t>
      </w:r>
      <w:r w:rsidR="0080573C" w:rsidRPr="001B5292">
        <w:rPr>
          <w:lang w:eastAsia="en-US"/>
        </w:rPr>
        <w:t xml:space="preserve"> (where the PBAC recommended removal of prior docetaxel treatment for each drug)</w:t>
      </w:r>
      <w:r w:rsidR="004A36C5" w:rsidRPr="001B5292">
        <w:rPr>
          <w:lang w:eastAsia="en-US"/>
        </w:rPr>
        <w:t xml:space="preserve">, without any price change to the existing price and subject to sponsor agreement, as follows: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4"/>
        <w:gridCol w:w="1416"/>
        <w:gridCol w:w="1387"/>
        <w:gridCol w:w="1260"/>
        <w:gridCol w:w="981"/>
        <w:gridCol w:w="1228"/>
      </w:tblGrid>
      <w:tr w:rsidR="00A41A0B" w:rsidRPr="00287F21" w:rsidTr="00622409">
        <w:trPr>
          <w:cantSplit/>
          <w:trHeight w:val="471"/>
        </w:trPr>
        <w:tc>
          <w:tcPr>
            <w:tcW w:w="1541" w:type="pct"/>
          </w:tcPr>
          <w:p w:rsidR="00A41A0B" w:rsidRPr="00287F21" w:rsidRDefault="00A41A0B" w:rsidP="00A41A0B">
            <w:pPr>
              <w:pStyle w:val="2-SectionHeading"/>
              <w:numPr>
                <w:ilvl w:val="0"/>
                <w:numId w:val="0"/>
              </w:numPr>
              <w:spacing w:before="0" w:after="0"/>
              <w:rPr>
                <w:rFonts w:ascii="Arial Narrow" w:hAnsi="Arial Narrow"/>
                <w:sz w:val="20"/>
                <w:szCs w:val="20"/>
              </w:rPr>
            </w:pPr>
            <w:r w:rsidRPr="00287F21">
              <w:rPr>
                <w:rFonts w:ascii="Arial Narrow" w:hAnsi="Arial Narrow"/>
                <w:sz w:val="20"/>
                <w:szCs w:val="20"/>
              </w:rPr>
              <w:t>MEDICINAL PRODUCT</w:t>
            </w:r>
          </w:p>
          <w:p w:rsidR="00A41A0B" w:rsidRPr="00287F21" w:rsidRDefault="00A41A0B" w:rsidP="00A41A0B">
            <w:pPr>
              <w:pStyle w:val="2-SectionHeading"/>
              <w:numPr>
                <w:ilvl w:val="0"/>
                <w:numId w:val="0"/>
              </w:numPr>
              <w:spacing w:before="0" w:after="0"/>
              <w:rPr>
                <w:rFonts w:ascii="Arial Narrow" w:hAnsi="Arial Narrow"/>
                <w:sz w:val="20"/>
                <w:szCs w:val="20"/>
              </w:rPr>
            </w:pPr>
            <w:r w:rsidRPr="00287F21">
              <w:rPr>
                <w:rFonts w:ascii="Arial Narrow" w:hAnsi="Arial Narrow"/>
                <w:sz w:val="20"/>
                <w:szCs w:val="20"/>
              </w:rPr>
              <w:t>medicinal product pack</w:t>
            </w:r>
          </w:p>
        </w:tc>
        <w:tc>
          <w:tcPr>
            <w:tcW w:w="781" w:type="pct"/>
          </w:tcPr>
          <w:p w:rsidR="00A41A0B" w:rsidRPr="00287F21" w:rsidRDefault="00A41A0B" w:rsidP="00622409">
            <w:pPr>
              <w:keepNext/>
              <w:ind w:left="-108"/>
              <w:jc w:val="center"/>
              <w:rPr>
                <w:rFonts w:ascii="Arial Narrow" w:hAnsi="Arial Narrow" w:cs="Arial"/>
                <w:b/>
                <w:sz w:val="20"/>
                <w:szCs w:val="20"/>
              </w:rPr>
            </w:pPr>
            <w:r w:rsidRPr="00287F21">
              <w:rPr>
                <w:rFonts w:ascii="Arial Narrow" w:hAnsi="Arial Narrow" w:cs="Arial"/>
                <w:b/>
                <w:sz w:val="20"/>
                <w:szCs w:val="20"/>
              </w:rPr>
              <w:t>PBS item code</w:t>
            </w:r>
          </w:p>
        </w:tc>
        <w:tc>
          <w:tcPr>
            <w:tcW w:w="765" w:type="pct"/>
          </w:tcPr>
          <w:p w:rsidR="00A41A0B" w:rsidRPr="00287F21" w:rsidRDefault="00A41A0B" w:rsidP="00622409">
            <w:pPr>
              <w:keepNext/>
              <w:ind w:left="-108"/>
              <w:jc w:val="center"/>
              <w:rPr>
                <w:rFonts w:ascii="Arial Narrow" w:hAnsi="Arial Narrow" w:cs="Arial"/>
                <w:b/>
                <w:sz w:val="20"/>
                <w:szCs w:val="20"/>
              </w:rPr>
            </w:pPr>
            <w:r w:rsidRPr="00287F21">
              <w:rPr>
                <w:rFonts w:ascii="Arial Narrow" w:hAnsi="Arial Narrow" w:cs="Arial"/>
                <w:b/>
                <w:sz w:val="20"/>
                <w:szCs w:val="20"/>
              </w:rPr>
              <w:t>Max. qty packs</w:t>
            </w:r>
          </w:p>
        </w:tc>
        <w:tc>
          <w:tcPr>
            <w:tcW w:w="695" w:type="pct"/>
          </w:tcPr>
          <w:p w:rsidR="00A41A0B" w:rsidRPr="00287F21" w:rsidRDefault="00A41A0B" w:rsidP="00622409">
            <w:pPr>
              <w:keepNext/>
              <w:ind w:left="-108"/>
              <w:jc w:val="center"/>
              <w:rPr>
                <w:rFonts w:ascii="Arial Narrow" w:hAnsi="Arial Narrow" w:cs="Arial"/>
                <w:b/>
                <w:sz w:val="20"/>
                <w:szCs w:val="20"/>
              </w:rPr>
            </w:pPr>
            <w:r w:rsidRPr="00287F21">
              <w:rPr>
                <w:rFonts w:ascii="Arial Narrow" w:hAnsi="Arial Narrow" w:cs="Arial"/>
                <w:b/>
                <w:sz w:val="20"/>
                <w:szCs w:val="20"/>
              </w:rPr>
              <w:t>Max. qty units</w:t>
            </w:r>
          </w:p>
        </w:tc>
        <w:tc>
          <w:tcPr>
            <w:tcW w:w="541" w:type="pct"/>
          </w:tcPr>
          <w:p w:rsidR="00A41A0B" w:rsidRPr="00287F21" w:rsidRDefault="00A41A0B" w:rsidP="00622409">
            <w:pPr>
              <w:keepNext/>
              <w:ind w:left="-108"/>
              <w:jc w:val="center"/>
              <w:rPr>
                <w:rFonts w:ascii="Arial Narrow" w:hAnsi="Arial Narrow" w:cs="Arial"/>
                <w:b/>
                <w:sz w:val="20"/>
                <w:szCs w:val="20"/>
              </w:rPr>
            </w:pPr>
            <w:r w:rsidRPr="00287F21">
              <w:rPr>
                <w:rFonts w:ascii="Arial Narrow" w:hAnsi="Arial Narrow" w:cs="Arial"/>
                <w:b/>
                <w:sz w:val="20"/>
                <w:szCs w:val="20"/>
              </w:rPr>
              <w:t>№.of</w:t>
            </w:r>
          </w:p>
          <w:p w:rsidR="00A41A0B" w:rsidRPr="00287F21" w:rsidRDefault="00A41A0B" w:rsidP="00622409">
            <w:pPr>
              <w:keepNext/>
              <w:ind w:left="-108"/>
              <w:jc w:val="center"/>
              <w:rPr>
                <w:rFonts w:ascii="Arial Narrow" w:hAnsi="Arial Narrow" w:cs="Arial"/>
                <w:b/>
                <w:sz w:val="20"/>
                <w:szCs w:val="20"/>
              </w:rPr>
            </w:pPr>
            <w:r w:rsidRPr="00287F21">
              <w:rPr>
                <w:rFonts w:ascii="Arial Narrow" w:hAnsi="Arial Narrow" w:cs="Arial"/>
                <w:b/>
                <w:sz w:val="20"/>
                <w:szCs w:val="20"/>
              </w:rPr>
              <w:t>Rpts</w:t>
            </w:r>
          </w:p>
        </w:tc>
        <w:tc>
          <w:tcPr>
            <w:tcW w:w="677" w:type="pct"/>
          </w:tcPr>
          <w:p w:rsidR="00A41A0B" w:rsidRPr="00287F21" w:rsidRDefault="00A41A0B" w:rsidP="00622409">
            <w:pPr>
              <w:keepNext/>
              <w:rPr>
                <w:rFonts w:ascii="Arial Narrow" w:hAnsi="Arial Narrow" w:cs="Arial"/>
                <w:b/>
                <w:sz w:val="20"/>
                <w:szCs w:val="20"/>
              </w:rPr>
            </w:pPr>
            <w:r w:rsidRPr="00287F21">
              <w:rPr>
                <w:rFonts w:ascii="Arial Narrow" w:hAnsi="Arial Narrow" w:cs="Arial"/>
                <w:b/>
                <w:sz w:val="20"/>
                <w:szCs w:val="20"/>
              </w:rPr>
              <w:t>Available brands</w:t>
            </w:r>
          </w:p>
        </w:tc>
      </w:tr>
      <w:tr w:rsidR="00A41A0B" w:rsidRPr="00287F21" w:rsidTr="00622409">
        <w:trPr>
          <w:cantSplit/>
          <w:trHeight w:val="242"/>
        </w:trPr>
        <w:tc>
          <w:tcPr>
            <w:tcW w:w="5000" w:type="pct"/>
            <w:gridSpan w:val="6"/>
          </w:tcPr>
          <w:p w:rsidR="00A41A0B" w:rsidRPr="00287F21" w:rsidRDefault="00A41A0B" w:rsidP="00622409">
            <w:pPr>
              <w:keepNext/>
              <w:ind w:left="-57"/>
              <w:rPr>
                <w:rFonts w:ascii="Arial Narrow" w:hAnsi="Arial Narrow" w:cs="Arial"/>
                <w:sz w:val="20"/>
                <w:szCs w:val="20"/>
              </w:rPr>
            </w:pPr>
            <w:r w:rsidRPr="00287F21">
              <w:rPr>
                <w:rFonts w:ascii="Arial Narrow" w:hAnsi="Arial Narrow" w:cs="Arial"/>
                <w:sz w:val="20"/>
                <w:szCs w:val="20"/>
              </w:rPr>
              <w:t>ABIRATERONE</w:t>
            </w:r>
          </w:p>
        </w:tc>
      </w:tr>
      <w:tr w:rsidR="00A41A0B" w:rsidRPr="00287F21" w:rsidTr="00622409">
        <w:trPr>
          <w:cantSplit/>
          <w:trHeight w:val="281"/>
        </w:trPr>
        <w:tc>
          <w:tcPr>
            <w:tcW w:w="1541" w:type="pct"/>
          </w:tcPr>
          <w:p w:rsidR="00A41A0B" w:rsidRPr="00287F21" w:rsidRDefault="00A41A0B" w:rsidP="00622409">
            <w:pPr>
              <w:keepNext/>
              <w:ind w:left="-57"/>
              <w:rPr>
                <w:rFonts w:ascii="Arial Narrow" w:hAnsi="Arial Narrow" w:cs="Arial"/>
                <w:sz w:val="20"/>
                <w:szCs w:val="20"/>
              </w:rPr>
            </w:pPr>
            <w:r w:rsidRPr="00287F21">
              <w:rPr>
                <w:rFonts w:ascii="Arial Narrow" w:hAnsi="Arial Narrow" w:cs="Arial"/>
                <w:sz w:val="20"/>
                <w:szCs w:val="20"/>
              </w:rPr>
              <w:t>abiraterone acetate 500 mg tablet, 60</w:t>
            </w:r>
          </w:p>
        </w:tc>
        <w:tc>
          <w:tcPr>
            <w:tcW w:w="781" w:type="pct"/>
          </w:tcPr>
          <w:p w:rsidR="00A41A0B" w:rsidRPr="00287F21" w:rsidRDefault="00A41A0B" w:rsidP="00622409">
            <w:pPr>
              <w:keepNext/>
              <w:ind w:left="-108"/>
              <w:jc w:val="center"/>
              <w:rPr>
                <w:rFonts w:ascii="Arial Narrow" w:hAnsi="Arial Narrow" w:cs="Arial"/>
                <w:sz w:val="20"/>
                <w:szCs w:val="20"/>
              </w:rPr>
            </w:pPr>
            <w:r w:rsidRPr="00287F21">
              <w:rPr>
                <w:rFonts w:ascii="Arial Narrow" w:hAnsi="Arial Narrow" w:cs="Arial"/>
                <w:sz w:val="20"/>
                <w:szCs w:val="20"/>
              </w:rPr>
              <w:t>11206T</w:t>
            </w:r>
          </w:p>
        </w:tc>
        <w:tc>
          <w:tcPr>
            <w:tcW w:w="765" w:type="pct"/>
          </w:tcPr>
          <w:p w:rsidR="00A41A0B" w:rsidRPr="00287F21" w:rsidRDefault="00A41A0B" w:rsidP="00622409">
            <w:pPr>
              <w:keepNext/>
              <w:jc w:val="center"/>
              <w:rPr>
                <w:rFonts w:ascii="Arial Narrow" w:hAnsi="Arial Narrow" w:cs="Arial"/>
                <w:sz w:val="20"/>
                <w:szCs w:val="20"/>
              </w:rPr>
            </w:pPr>
            <w:r w:rsidRPr="00287F21">
              <w:rPr>
                <w:rFonts w:ascii="Arial Narrow" w:hAnsi="Arial Narrow" w:cs="Arial"/>
                <w:sz w:val="20"/>
                <w:szCs w:val="20"/>
              </w:rPr>
              <w:t>1</w:t>
            </w:r>
          </w:p>
        </w:tc>
        <w:tc>
          <w:tcPr>
            <w:tcW w:w="695" w:type="pct"/>
          </w:tcPr>
          <w:p w:rsidR="00A41A0B" w:rsidRPr="00287F21" w:rsidRDefault="00A41A0B" w:rsidP="00622409">
            <w:pPr>
              <w:keepNext/>
              <w:ind w:left="-108"/>
              <w:jc w:val="center"/>
              <w:rPr>
                <w:rFonts w:ascii="Arial Narrow" w:hAnsi="Arial Narrow" w:cs="Arial"/>
                <w:sz w:val="20"/>
                <w:szCs w:val="20"/>
              </w:rPr>
            </w:pPr>
            <w:r w:rsidRPr="00287F21">
              <w:rPr>
                <w:rFonts w:ascii="Arial Narrow" w:hAnsi="Arial Narrow" w:cs="Arial"/>
                <w:sz w:val="20"/>
                <w:szCs w:val="20"/>
              </w:rPr>
              <w:t>60</w:t>
            </w:r>
          </w:p>
        </w:tc>
        <w:tc>
          <w:tcPr>
            <w:tcW w:w="541" w:type="pct"/>
          </w:tcPr>
          <w:p w:rsidR="00A41A0B" w:rsidRPr="00287F21" w:rsidRDefault="00A41A0B" w:rsidP="00622409">
            <w:pPr>
              <w:keepNext/>
              <w:ind w:left="-108"/>
              <w:jc w:val="center"/>
              <w:rPr>
                <w:rFonts w:ascii="Arial Narrow" w:hAnsi="Arial Narrow" w:cs="Arial"/>
                <w:sz w:val="20"/>
                <w:szCs w:val="20"/>
              </w:rPr>
            </w:pPr>
            <w:r w:rsidRPr="00287F21">
              <w:rPr>
                <w:rFonts w:ascii="Arial Narrow" w:hAnsi="Arial Narrow" w:cs="Arial"/>
                <w:sz w:val="20"/>
                <w:szCs w:val="20"/>
              </w:rPr>
              <w:t>2</w:t>
            </w:r>
          </w:p>
        </w:tc>
        <w:tc>
          <w:tcPr>
            <w:tcW w:w="677" w:type="pct"/>
          </w:tcPr>
          <w:p w:rsidR="00A41A0B" w:rsidRPr="00287F21" w:rsidRDefault="00A41A0B" w:rsidP="00622409">
            <w:pPr>
              <w:keepNext/>
              <w:rPr>
                <w:rFonts w:ascii="Arial Narrow" w:hAnsi="Arial Narrow" w:cs="Arial"/>
                <w:sz w:val="20"/>
                <w:szCs w:val="20"/>
              </w:rPr>
            </w:pPr>
            <w:r w:rsidRPr="00287F21">
              <w:rPr>
                <w:rFonts w:ascii="Arial Narrow" w:hAnsi="Arial Narrow" w:cs="Arial"/>
                <w:sz w:val="20"/>
                <w:szCs w:val="20"/>
              </w:rPr>
              <w:t>Zytiga</w:t>
            </w:r>
          </w:p>
        </w:tc>
      </w:tr>
      <w:tr w:rsidR="00A41A0B" w:rsidRPr="00287F21" w:rsidTr="00622409">
        <w:trPr>
          <w:cantSplit/>
          <w:trHeight w:val="281"/>
        </w:trPr>
        <w:tc>
          <w:tcPr>
            <w:tcW w:w="1541" w:type="pct"/>
          </w:tcPr>
          <w:p w:rsidR="00A41A0B" w:rsidRPr="00287F21" w:rsidRDefault="00A41A0B" w:rsidP="00622409">
            <w:pPr>
              <w:keepNext/>
              <w:ind w:left="-57"/>
              <w:rPr>
                <w:rFonts w:ascii="Arial Narrow" w:hAnsi="Arial Narrow" w:cs="Arial"/>
                <w:sz w:val="20"/>
                <w:szCs w:val="20"/>
              </w:rPr>
            </w:pPr>
            <w:r w:rsidRPr="00287F21">
              <w:rPr>
                <w:rFonts w:ascii="Arial Narrow" w:hAnsi="Arial Narrow" w:cs="Arial"/>
                <w:sz w:val="20"/>
                <w:szCs w:val="20"/>
              </w:rPr>
              <w:t>abiraterone acetate 250 mg tablet, 120</w:t>
            </w:r>
          </w:p>
        </w:tc>
        <w:tc>
          <w:tcPr>
            <w:tcW w:w="781" w:type="pct"/>
          </w:tcPr>
          <w:p w:rsidR="00A41A0B" w:rsidRPr="00287F21" w:rsidRDefault="00A41A0B" w:rsidP="00622409">
            <w:pPr>
              <w:keepNext/>
              <w:ind w:left="-108"/>
              <w:jc w:val="center"/>
              <w:rPr>
                <w:rFonts w:ascii="Arial Narrow" w:hAnsi="Arial Narrow" w:cs="Arial"/>
                <w:sz w:val="20"/>
                <w:szCs w:val="20"/>
              </w:rPr>
            </w:pPr>
            <w:r w:rsidRPr="00287F21">
              <w:rPr>
                <w:rFonts w:ascii="Arial Narrow" w:hAnsi="Arial Narrow" w:cs="Arial"/>
                <w:sz w:val="20"/>
                <w:szCs w:val="20"/>
              </w:rPr>
              <w:t>2698B</w:t>
            </w:r>
          </w:p>
        </w:tc>
        <w:tc>
          <w:tcPr>
            <w:tcW w:w="765" w:type="pct"/>
          </w:tcPr>
          <w:p w:rsidR="00A41A0B" w:rsidRPr="00287F21" w:rsidRDefault="00A41A0B" w:rsidP="00622409">
            <w:pPr>
              <w:keepNext/>
              <w:jc w:val="center"/>
              <w:rPr>
                <w:rFonts w:ascii="Arial Narrow" w:hAnsi="Arial Narrow" w:cs="Arial"/>
                <w:sz w:val="20"/>
                <w:szCs w:val="20"/>
              </w:rPr>
            </w:pPr>
            <w:r w:rsidRPr="00287F21">
              <w:rPr>
                <w:rFonts w:ascii="Arial Narrow" w:hAnsi="Arial Narrow" w:cs="Arial"/>
                <w:sz w:val="20"/>
                <w:szCs w:val="20"/>
              </w:rPr>
              <w:t>1</w:t>
            </w:r>
          </w:p>
        </w:tc>
        <w:tc>
          <w:tcPr>
            <w:tcW w:w="695" w:type="pct"/>
          </w:tcPr>
          <w:p w:rsidR="00A41A0B" w:rsidRPr="00287F21" w:rsidRDefault="00A41A0B" w:rsidP="00622409">
            <w:pPr>
              <w:keepNext/>
              <w:ind w:left="-108"/>
              <w:jc w:val="center"/>
              <w:rPr>
                <w:rFonts w:ascii="Arial Narrow" w:hAnsi="Arial Narrow" w:cs="Arial"/>
                <w:sz w:val="20"/>
                <w:szCs w:val="20"/>
              </w:rPr>
            </w:pPr>
            <w:r w:rsidRPr="00287F21">
              <w:rPr>
                <w:rFonts w:ascii="Arial Narrow" w:hAnsi="Arial Narrow" w:cs="Arial"/>
                <w:sz w:val="20"/>
                <w:szCs w:val="20"/>
              </w:rPr>
              <w:t>120</w:t>
            </w:r>
          </w:p>
        </w:tc>
        <w:tc>
          <w:tcPr>
            <w:tcW w:w="541" w:type="pct"/>
          </w:tcPr>
          <w:p w:rsidR="00A41A0B" w:rsidRPr="00287F21" w:rsidRDefault="00A41A0B" w:rsidP="00622409">
            <w:pPr>
              <w:keepNext/>
              <w:ind w:left="-108"/>
              <w:jc w:val="center"/>
              <w:rPr>
                <w:rFonts w:ascii="Arial Narrow" w:hAnsi="Arial Narrow" w:cs="Arial"/>
                <w:sz w:val="20"/>
                <w:szCs w:val="20"/>
              </w:rPr>
            </w:pPr>
            <w:r w:rsidRPr="00287F21">
              <w:rPr>
                <w:rFonts w:ascii="Arial Narrow" w:hAnsi="Arial Narrow" w:cs="Arial"/>
                <w:sz w:val="20"/>
                <w:szCs w:val="20"/>
              </w:rPr>
              <w:t>2</w:t>
            </w:r>
          </w:p>
        </w:tc>
        <w:tc>
          <w:tcPr>
            <w:tcW w:w="677" w:type="pct"/>
          </w:tcPr>
          <w:p w:rsidR="00A41A0B" w:rsidRPr="00287F21" w:rsidRDefault="00A41A0B" w:rsidP="00622409">
            <w:pPr>
              <w:keepNext/>
              <w:rPr>
                <w:rFonts w:ascii="Arial Narrow" w:hAnsi="Arial Narrow" w:cs="Arial"/>
                <w:sz w:val="20"/>
                <w:szCs w:val="20"/>
              </w:rPr>
            </w:pPr>
            <w:r w:rsidRPr="00287F21">
              <w:rPr>
                <w:rFonts w:ascii="Arial Narrow" w:hAnsi="Arial Narrow" w:cs="Arial"/>
                <w:sz w:val="20"/>
                <w:szCs w:val="20"/>
              </w:rPr>
              <w:t>Zytiga</w:t>
            </w:r>
          </w:p>
        </w:tc>
      </w:tr>
    </w:tbl>
    <w:tbl>
      <w:tblPr>
        <w:tblStyle w:val="TableGrid"/>
        <w:tblW w:w="9067" w:type="dxa"/>
        <w:tblLayout w:type="fixed"/>
        <w:tblLook w:val="04A0" w:firstRow="1" w:lastRow="0" w:firstColumn="1" w:lastColumn="0" w:noHBand="0" w:noVBand="1"/>
      </w:tblPr>
      <w:tblGrid>
        <w:gridCol w:w="9067"/>
      </w:tblGrid>
      <w:tr w:rsidR="00A41A0B" w:rsidRPr="00287F21" w:rsidTr="00622409">
        <w:tc>
          <w:tcPr>
            <w:tcW w:w="9067" w:type="dxa"/>
          </w:tcPr>
          <w:p w:rsidR="00A41A0B" w:rsidRPr="00287F21" w:rsidRDefault="00A41A0B" w:rsidP="00622409">
            <w:pPr>
              <w:jc w:val="left"/>
              <w:rPr>
                <w:rFonts w:ascii="Arial Narrow" w:hAnsi="Arial Narrow"/>
                <w:b/>
                <w:snapToGrid w:val="0"/>
                <w:sz w:val="20"/>
                <w:szCs w:val="20"/>
              </w:rPr>
            </w:pPr>
          </w:p>
        </w:tc>
      </w:tr>
      <w:tr w:rsidR="002B2CA6" w:rsidRPr="00287F21" w:rsidTr="002B2CA6">
        <w:trPr>
          <w:trHeight w:val="652"/>
        </w:trPr>
        <w:tc>
          <w:tcPr>
            <w:tcW w:w="9067" w:type="dxa"/>
          </w:tcPr>
          <w:p w:rsidR="002B2CA6" w:rsidRPr="00287F21" w:rsidRDefault="002B2CA6" w:rsidP="00622409">
            <w:pPr>
              <w:ind w:left="-57"/>
              <w:jc w:val="left"/>
              <w:rPr>
                <w:rFonts w:ascii="Arial Narrow" w:hAnsi="Arial Narrow"/>
                <w:snapToGrid w:val="0"/>
                <w:sz w:val="20"/>
                <w:szCs w:val="20"/>
              </w:rPr>
            </w:pPr>
            <w:r w:rsidRPr="00287F21">
              <w:rPr>
                <w:rFonts w:ascii="Arial Narrow" w:hAnsi="Arial Narrow"/>
                <w:b/>
                <w:snapToGrid w:val="0"/>
                <w:sz w:val="20"/>
                <w:szCs w:val="20"/>
              </w:rPr>
              <w:t xml:space="preserve">Category/Program: </w:t>
            </w:r>
            <w:r w:rsidRPr="00287F21">
              <w:rPr>
                <w:rFonts w:ascii="Arial Narrow" w:hAnsi="Arial Narrow"/>
                <w:snapToGrid w:val="0"/>
                <w:sz w:val="20"/>
                <w:szCs w:val="20"/>
              </w:rPr>
              <w:t>GENERAL – General Schedule (GE)</w:t>
            </w:r>
          </w:p>
          <w:p w:rsidR="002B2CA6" w:rsidRPr="00287F21" w:rsidRDefault="002B2CA6" w:rsidP="00622409">
            <w:pPr>
              <w:ind w:left="-57"/>
              <w:jc w:val="left"/>
              <w:rPr>
                <w:rFonts w:ascii="Arial Narrow" w:hAnsi="Arial Narrow"/>
                <w:snapToGrid w:val="0"/>
                <w:sz w:val="20"/>
                <w:szCs w:val="20"/>
              </w:rPr>
            </w:pPr>
            <w:r w:rsidRPr="00287F21">
              <w:rPr>
                <w:rFonts w:ascii="Arial Narrow" w:hAnsi="Arial Narrow"/>
                <w:b/>
                <w:snapToGrid w:val="0"/>
                <w:sz w:val="20"/>
                <w:szCs w:val="20"/>
              </w:rPr>
              <w:t xml:space="preserve">Prescriber type: </w:t>
            </w:r>
            <w:r w:rsidRPr="00287F21">
              <w:rPr>
                <w:rFonts w:ascii="Arial Narrow" w:hAnsi="Arial Narrow" w:cs="Arial"/>
                <w:b/>
                <w:snapToGrid w:val="0"/>
                <w:sz w:val="20"/>
                <w:szCs w:val="20"/>
              </w:rPr>
              <w:t xml:space="preserve">   </w:t>
            </w:r>
            <w:r w:rsidRPr="00287F21">
              <w:rPr>
                <w:rFonts w:ascii="Arial Narrow" w:hAnsi="Arial Narrow" w:cs="Arial"/>
                <w:snapToGrid w:val="0"/>
                <w:sz w:val="20"/>
                <w:szCs w:val="20"/>
              </w:rPr>
              <w:fldChar w:fldCharType="begin">
                <w:ffData>
                  <w:name w:val=""/>
                  <w:enabled/>
                  <w:calcOnExit w:val="0"/>
                  <w:checkBox>
                    <w:sizeAuto/>
                    <w:default w:val="1"/>
                  </w:checkBox>
                </w:ffData>
              </w:fldChar>
            </w:r>
            <w:r w:rsidRPr="00287F21">
              <w:rPr>
                <w:rFonts w:ascii="Arial Narrow" w:hAnsi="Arial Narrow" w:cs="Arial"/>
                <w:snapToGrid w:val="0"/>
                <w:sz w:val="20"/>
                <w:szCs w:val="20"/>
              </w:rPr>
              <w:instrText xml:space="preserve"> FORMCHECKBOX </w:instrText>
            </w:r>
            <w:r w:rsidR="004012FF">
              <w:rPr>
                <w:rFonts w:ascii="Arial Narrow" w:hAnsi="Arial Narrow" w:cs="Arial"/>
                <w:snapToGrid w:val="0"/>
                <w:sz w:val="20"/>
                <w:szCs w:val="20"/>
              </w:rPr>
            </w:r>
            <w:r w:rsidR="004012FF">
              <w:rPr>
                <w:rFonts w:ascii="Arial Narrow" w:hAnsi="Arial Narrow" w:cs="Arial"/>
                <w:snapToGrid w:val="0"/>
                <w:sz w:val="20"/>
                <w:szCs w:val="20"/>
              </w:rPr>
              <w:fldChar w:fldCharType="separate"/>
            </w:r>
            <w:r w:rsidRPr="00287F21">
              <w:rPr>
                <w:rFonts w:ascii="Arial Narrow" w:hAnsi="Arial Narrow" w:cs="Arial"/>
                <w:snapToGrid w:val="0"/>
                <w:sz w:val="20"/>
                <w:szCs w:val="20"/>
              </w:rPr>
              <w:fldChar w:fldCharType="end"/>
            </w:r>
            <w:r w:rsidRPr="00287F21">
              <w:rPr>
                <w:rFonts w:ascii="Arial Narrow" w:hAnsi="Arial Narrow" w:cs="Arial"/>
                <w:snapToGrid w:val="0"/>
                <w:sz w:val="20"/>
                <w:szCs w:val="20"/>
              </w:rPr>
              <w:t xml:space="preserve"> Medical Practitioners    </w:t>
            </w:r>
          </w:p>
          <w:p w:rsidR="002B2CA6" w:rsidRPr="00287F21" w:rsidRDefault="002B2CA6" w:rsidP="002B2CA6">
            <w:pPr>
              <w:ind w:left="-57"/>
              <w:jc w:val="left"/>
              <w:rPr>
                <w:rFonts w:ascii="Arial Narrow" w:hAnsi="Arial Narrow"/>
                <w:b/>
                <w:snapToGrid w:val="0"/>
                <w:sz w:val="20"/>
                <w:szCs w:val="20"/>
              </w:rPr>
            </w:pPr>
            <w:r w:rsidRPr="00287F21">
              <w:rPr>
                <w:rFonts w:ascii="Arial Narrow" w:hAnsi="Arial Narrow"/>
                <w:b/>
                <w:snapToGrid w:val="0"/>
                <w:sz w:val="20"/>
                <w:szCs w:val="20"/>
              </w:rPr>
              <w:t xml:space="preserve">Restriction type: </w:t>
            </w:r>
            <w:r w:rsidRPr="00287F21">
              <w:rPr>
                <w:rFonts w:ascii="Arial Narrow" w:hAnsi="Arial Narrow"/>
                <w:snapToGrid w:val="0"/>
                <w:sz w:val="20"/>
                <w:szCs w:val="20"/>
              </w:rPr>
              <w:fldChar w:fldCharType="begin">
                <w:ffData>
                  <w:name w:val=""/>
                  <w:enabled/>
                  <w:calcOnExit w:val="0"/>
                  <w:checkBox>
                    <w:sizeAuto/>
                    <w:default w:val="1"/>
                  </w:checkBox>
                </w:ffData>
              </w:fldChar>
            </w:r>
            <w:r w:rsidRPr="00287F21">
              <w:rPr>
                <w:rFonts w:ascii="Arial Narrow" w:hAnsi="Arial Narrow"/>
                <w:snapToGrid w:val="0"/>
                <w:sz w:val="20"/>
                <w:szCs w:val="20"/>
              </w:rPr>
              <w:instrText xml:space="preserve"> FORMCHECKBOX </w:instrText>
            </w:r>
            <w:r w:rsidR="004012FF">
              <w:rPr>
                <w:rFonts w:ascii="Arial Narrow" w:hAnsi="Arial Narrow"/>
                <w:snapToGrid w:val="0"/>
                <w:sz w:val="20"/>
                <w:szCs w:val="20"/>
              </w:rPr>
            </w:r>
            <w:r w:rsidR="004012FF">
              <w:rPr>
                <w:rFonts w:ascii="Arial Narrow" w:hAnsi="Arial Narrow"/>
                <w:snapToGrid w:val="0"/>
                <w:sz w:val="20"/>
                <w:szCs w:val="20"/>
              </w:rPr>
              <w:fldChar w:fldCharType="separate"/>
            </w:r>
            <w:r w:rsidRPr="00287F21">
              <w:rPr>
                <w:rFonts w:ascii="Arial Narrow" w:hAnsi="Arial Narrow"/>
                <w:snapToGrid w:val="0"/>
                <w:sz w:val="20"/>
                <w:szCs w:val="20"/>
              </w:rPr>
              <w:fldChar w:fldCharType="end"/>
            </w:r>
            <w:r w:rsidRPr="00287F21">
              <w:rPr>
                <w:rFonts w:ascii="Arial Narrow" w:hAnsi="Arial Narrow"/>
                <w:snapToGrid w:val="0"/>
                <w:sz w:val="20"/>
                <w:szCs w:val="20"/>
              </w:rPr>
              <w:t xml:space="preserve"> Authority Required (telephone/online PBS Authorities system)</w:t>
            </w:r>
          </w:p>
        </w:tc>
      </w:tr>
      <w:tr w:rsidR="002B2CA6" w:rsidRPr="00287F21" w:rsidTr="002B2CA6">
        <w:trPr>
          <w:trHeight w:val="704"/>
        </w:trPr>
        <w:tc>
          <w:tcPr>
            <w:tcW w:w="9067" w:type="dxa"/>
          </w:tcPr>
          <w:p w:rsidR="002B2CA6" w:rsidRPr="00287F21" w:rsidRDefault="002B2CA6" w:rsidP="002B2CA6">
            <w:pPr>
              <w:ind w:left="-57"/>
              <w:jc w:val="left"/>
              <w:rPr>
                <w:rFonts w:ascii="Arial Narrow" w:hAnsi="Arial Narrow"/>
                <w:b/>
                <w:snapToGrid w:val="0"/>
                <w:sz w:val="20"/>
                <w:szCs w:val="20"/>
              </w:rPr>
            </w:pPr>
            <w:r w:rsidRPr="00287F21">
              <w:rPr>
                <w:rFonts w:ascii="Arial Narrow" w:hAnsi="Arial Narrow"/>
                <w:b/>
                <w:snapToGrid w:val="0"/>
                <w:sz w:val="20"/>
                <w:szCs w:val="20"/>
              </w:rPr>
              <w:t>Severity:</w:t>
            </w:r>
            <w:r w:rsidRPr="00287F21">
              <w:rPr>
                <w:rFonts w:ascii="Arial Narrow" w:hAnsi="Arial Narrow"/>
                <w:snapToGrid w:val="0"/>
                <w:sz w:val="20"/>
                <w:szCs w:val="20"/>
              </w:rPr>
              <w:t xml:space="preserve"> Castration resistant </w:t>
            </w:r>
            <w:r w:rsidRPr="00287F21">
              <w:rPr>
                <w:rFonts w:ascii="Arial Narrow" w:hAnsi="Arial Narrow"/>
                <w:strike/>
                <w:snapToGrid w:val="0"/>
                <w:sz w:val="20"/>
                <w:szCs w:val="20"/>
              </w:rPr>
              <w:t>metastatic</w:t>
            </w:r>
          </w:p>
          <w:p w:rsidR="002B2CA6" w:rsidRPr="00287F21" w:rsidRDefault="002B2CA6" w:rsidP="002B2CA6">
            <w:pPr>
              <w:ind w:left="-57"/>
              <w:jc w:val="left"/>
              <w:rPr>
                <w:rFonts w:ascii="Arial Narrow" w:hAnsi="Arial Narrow"/>
                <w:snapToGrid w:val="0"/>
                <w:sz w:val="20"/>
                <w:szCs w:val="20"/>
              </w:rPr>
            </w:pPr>
            <w:r w:rsidRPr="00287F21">
              <w:rPr>
                <w:rFonts w:ascii="Arial Narrow" w:hAnsi="Arial Narrow"/>
                <w:b/>
                <w:snapToGrid w:val="0"/>
                <w:sz w:val="20"/>
                <w:szCs w:val="20"/>
              </w:rPr>
              <w:t xml:space="preserve">Condition: </w:t>
            </w:r>
            <w:r w:rsidRPr="00287F21">
              <w:rPr>
                <w:rFonts w:ascii="Arial Narrow" w:hAnsi="Arial Narrow"/>
                <w:snapToGrid w:val="0"/>
                <w:sz w:val="20"/>
                <w:szCs w:val="20"/>
              </w:rPr>
              <w:t>Carcinoma of the prostate</w:t>
            </w:r>
          </w:p>
          <w:p w:rsidR="002B2CA6" w:rsidRPr="00287F21" w:rsidRDefault="002B2CA6" w:rsidP="002B2CA6">
            <w:pPr>
              <w:ind w:left="-57"/>
              <w:jc w:val="left"/>
              <w:rPr>
                <w:rFonts w:ascii="Arial Narrow" w:hAnsi="Arial Narrow"/>
                <w:b/>
                <w:snapToGrid w:val="0"/>
                <w:sz w:val="20"/>
                <w:szCs w:val="20"/>
              </w:rPr>
            </w:pPr>
            <w:r w:rsidRPr="00287F21">
              <w:rPr>
                <w:rFonts w:ascii="Arial Narrow" w:hAnsi="Arial Narrow"/>
                <w:b/>
                <w:snapToGrid w:val="0"/>
                <w:sz w:val="20"/>
                <w:szCs w:val="20"/>
              </w:rPr>
              <w:t xml:space="preserve">PBS indication: </w:t>
            </w:r>
            <w:r w:rsidRPr="00287F21">
              <w:rPr>
                <w:rFonts w:ascii="Arial Narrow" w:hAnsi="Arial Narrow"/>
                <w:snapToGrid w:val="0"/>
                <w:sz w:val="20"/>
                <w:szCs w:val="20"/>
              </w:rPr>
              <w:t xml:space="preserve">Castration resistant </w:t>
            </w:r>
            <w:r w:rsidRPr="00287F21">
              <w:rPr>
                <w:rFonts w:ascii="Arial Narrow" w:hAnsi="Arial Narrow"/>
                <w:strike/>
                <w:snapToGrid w:val="0"/>
                <w:sz w:val="20"/>
                <w:szCs w:val="20"/>
              </w:rPr>
              <w:t>metastatic</w:t>
            </w:r>
            <w:r w:rsidRPr="00287F21">
              <w:rPr>
                <w:rFonts w:ascii="Arial Narrow" w:hAnsi="Arial Narrow"/>
                <w:snapToGrid w:val="0"/>
                <w:sz w:val="20"/>
                <w:szCs w:val="20"/>
              </w:rPr>
              <w:t xml:space="preserve"> carcinoma of the prostate</w:t>
            </w:r>
          </w:p>
        </w:tc>
      </w:tr>
      <w:tr w:rsidR="002B2CA6" w:rsidRPr="00287F21" w:rsidTr="002B2CA6">
        <w:trPr>
          <w:trHeight w:val="2968"/>
        </w:trPr>
        <w:tc>
          <w:tcPr>
            <w:tcW w:w="9067" w:type="dxa"/>
          </w:tcPr>
          <w:p w:rsidR="002B2CA6" w:rsidRPr="00287F21" w:rsidRDefault="002B2CA6" w:rsidP="00622409">
            <w:pPr>
              <w:ind w:left="-57"/>
              <w:jc w:val="left"/>
              <w:rPr>
                <w:rFonts w:ascii="Arial Narrow" w:hAnsi="Arial Narrow"/>
                <w:b/>
                <w:snapToGrid w:val="0"/>
                <w:sz w:val="20"/>
                <w:szCs w:val="20"/>
              </w:rPr>
            </w:pPr>
            <w:r w:rsidRPr="00287F21">
              <w:rPr>
                <w:rFonts w:ascii="Arial Narrow" w:hAnsi="Arial Narrow"/>
                <w:b/>
                <w:snapToGrid w:val="0"/>
                <w:sz w:val="20"/>
                <w:szCs w:val="20"/>
              </w:rPr>
              <w:lastRenderedPageBreak/>
              <w:t>Clinical criteria:</w:t>
            </w:r>
          </w:p>
          <w:p w:rsidR="002B2CA6" w:rsidRPr="00287F21" w:rsidRDefault="002B2CA6" w:rsidP="00622409">
            <w:pPr>
              <w:ind w:left="-57"/>
              <w:jc w:val="left"/>
              <w:rPr>
                <w:rFonts w:ascii="Arial Narrow" w:hAnsi="Arial Narrow"/>
                <w:snapToGrid w:val="0"/>
                <w:sz w:val="20"/>
                <w:szCs w:val="20"/>
              </w:rPr>
            </w:pPr>
            <w:r w:rsidRPr="00287F21">
              <w:rPr>
                <w:rFonts w:ascii="Arial Narrow" w:hAnsi="Arial Narrow"/>
                <w:snapToGrid w:val="0"/>
                <w:sz w:val="20"/>
                <w:szCs w:val="20"/>
              </w:rPr>
              <w:t>The treatment must be used in combination with a corticosteroid</w:t>
            </w:r>
          </w:p>
          <w:p w:rsidR="002B2CA6" w:rsidRPr="00287F21" w:rsidRDefault="002B2CA6" w:rsidP="00622409">
            <w:pPr>
              <w:ind w:left="-57"/>
              <w:jc w:val="left"/>
              <w:rPr>
                <w:rFonts w:ascii="Arial Narrow" w:hAnsi="Arial Narrow"/>
                <w:b/>
                <w:snapToGrid w:val="0"/>
                <w:sz w:val="20"/>
                <w:szCs w:val="20"/>
              </w:rPr>
            </w:pPr>
            <w:r w:rsidRPr="00287F21">
              <w:rPr>
                <w:rFonts w:ascii="Arial Narrow" w:hAnsi="Arial Narrow"/>
                <w:b/>
                <w:snapToGrid w:val="0"/>
                <w:sz w:val="20"/>
                <w:szCs w:val="20"/>
              </w:rPr>
              <w:t>AND</w:t>
            </w:r>
          </w:p>
          <w:p w:rsidR="002B2CA6" w:rsidRPr="00287F21" w:rsidRDefault="002B2CA6" w:rsidP="00622409">
            <w:pPr>
              <w:ind w:left="-57"/>
              <w:jc w:val="left"/>
              <w:rPr>
                <w:rFonts w:ascii="Arial Narrow" w:hAnsi="Arial Narrow"/>
                <w:snapToGrid w:val="0"/>
                <w:sz w:val="20"/>
                <w:szCs w:val="20"/>
              </w:rPr>
            </w:pPr>
            <w:r w:rsidRPr="00287F21">
              <w:rPr>
                <w:rFonts w:ascii="Arial Narrow" w:hAnsi="Arial Narrow"/>
                <w:snapToGrid w:val="0"/>
                <w:sz w:val="20"/>
                <w:szCs w:val="20"/>
              </w:rPr>
              <w:t>The treatment must not be used in combination with chemotherapy</w:t>
            </w:r>
          </w:p>
          <w:p w:rsidR="002B2CA6" w:rsidRPr="00287F21" w:rsidRDefault="002B2CA6" w:rsidP="002B2CA6">
            <w:pPr>
              <w:ind w:left="-57"/>
              <w:jc w:val="left"/>
              <w:rPr>
                <w:rFonts w:ascii="Arial Narrow" w:hAnsi="Arial Narrow"/>
                <w:b/>
                <w:strike/>
                <w:snapToGrid w:val="0"/>
                <w:sz w:val="20"/>
                <w:szCs w:val="20"/>
              </w:rPr>
            </w:pPr>
            <w:r w:rsidRPr="00287F21">
              <w:rPr>
                <w:rFonts w:ascii="Arial Narrow" w:hAnsi="Arial Narrow"/>
                <w:b/>
                <w:snapToGrid w:val="0"/>
                <w:sz w:val="20"/>
                <w:szCs w:val="20"/>
              </w:rPr>
              <w:t>AND</w:t>
            </w:r>
          </w:p>
          <w:p w:rsidR="002B2CA6" w:rsidRPr="00287F21" w:rsidRDefault="002B2CA6" w:rsidP="00622409">
            <w:pPr>
              <w:ind w:left="-57"/>
              <w:jc w:val="left"/>
              <w:rPr>
                <w:rFonts w:ascii="Arial Narrow" w:hAnsi="Arial Narrow"/>
                <w:strike/>
                <w:snapToGrid w:val="0"/>
                <w:sz w:val="20"/>
                <w:szCs w:val="20"/>
              </w:rPr>
            </w:pPr>
            <w:r w:rsidRPr="00287F21">
              <w:rPr>
                <w:rFonts w:ascii="Arial Narrow" w:hAnsi="Arial Narrow"/>
                <w:strike/>
                <w:snapToGrid w:val="0"/>
                <w:sz w:val="20"/>
                <w:szCs w:val="20"/>
              </w:rPr>
              <w:t>Patient must have failed treatment with docetaxel due to resistance or intolerance; or</w:t>
            </w:r>
          </w:p>
          <w:p w:rsidR="002B2CA6" w:rsidRPr="00287F21" w:rsidRDefault="002B2CA6" w:rsidP="00622409">
            <w:pPr>
              <w:ind w:left="-57"/>
              <w:jc w:val="left"/>
              <w:rPr>
                <w:rFonts w:ascii="Arial Narrow" w:hAnsi="Arial Narrow"/>
                <w:strike/>
                <w:snapToGrid w:val="0"/>
                <w:sz w:val="20"/>
                <w:szCs w:val="20"/>
              </w:rPr>
            </w:pPr>
            <w:r w:rsidRPr="00287F21">
              <w:rPr>
                <w:rFonts w:ascii="Arial Narrow" w:hAnsi="Arial Narrow"/>
                <w:strike/>
                <w:snapToGrid w:val="0"/>
                <w:sz w:val="20"/>
                <w:szCs w:val="20"/>
              </w:rPr>
              <w:t>Patient must be unsuitable for docetaxel treatment on the basis of predicted intolerance to docetaxel</w:t>
            </w:r>
          </w:p>
          <w:p w:rsidR="002B2CA6" w:rsidRPr="00287F21" w:rsidRDefault="002B2CA6" w:rsidP="00622409">
            <w:pPr>
              <w:ind w:left="-57"/>
              <w:jc w:val="left"/>
              <w:rPr>
                <w:rFonts w:ascii="Arial Narrow" w:hAnsi="Arial Narrow"/>
                <w:b/>
                <w:snapToGrid w:val="0"/>
                <w:sz w:val="20"/>
                <w:szCs w:val="20"/>
              </w:rPr>
            </w:pPr>
            <w:r w:rsidRPr="00287F21">
              <w:rPr>
                <w:rFonts w:ascii="Arial Narrow" w:hAnsi="Arial Narrow"/>
                <w:b/>
                <w:snapToGrid w:val="0"/>
                <w:sz w:val="20"/>
                <w:szCs w:val="20"/>
              </w:rPr>
              <w:t>AND</w:t>
            </w:r>
          </w:p>
          <w:p w:rsidR="002B2CA6" w:rsidRPr="00287F21" w:rsidRDefault="002B2CA6" w:rsidP="00622409">
            <w:pPr>
              <w:ind w:left="-57"/>
              <w:jc w:val="left"/>
              <w:rPr>
                <w:rFonts w:ascii="Arial Narrow" w:hAnsi="Arial Narrow"/>
                <w:snapToGrid w:val="0"/>
                <w:sz w:val="20"/>
                <w:szCs w:val="20"/>
              </w:rPr>
            </w:pPr>
            <w:r w:rsidRPr="00287F21">
              <w:rPr>
                <w:rFonts w:ascii="Arial Narrow" w:hAnsi="Arial Narrow"/>
                <w:snapToGrid w:val="0"/>
                <w:sz w:val="20"/>
                <w:szCs w:val="20"/>
              </w:rPr>
              <w:t>Patient must have a WHO performance status of 2 or less</w:t>
            </w:r>
          </w:p>
          <w:p w:rsidR="002B2CA6" w:rsidRPr="00287F21" w:rsidRDefault="002B2CA6" w:rsidP="00622409">
            <w:pPr>
              <w:ind w:left="-57"/>
              <w:jc w:val="left"/>
              <w:rPr>
                <w:rFonts w:ascii="Arial Narrow" w:hAnsi="Arial Narrow"/>
                <w:b/>
                <w:snapToGrid w:val="0"/>
                <w:sz w:val="20"/>
                <w:szCs w:val="20"/>
              </w:rPr>
            </w:pPr>
            <w:r w:rsidRPr="00287F21">
              <w:rPr>
                <w:rFonts w:ascii="Arial Narrow" w:hAnsi="Arial Narrow"/>
                <w:b/>
                <w:snapToGrid w:val="0"/>
                <w:sz w:val="20"/>
                <w:szCs w:val="20"/>
              </w:rPr>
              <w:t>AND</w:t>
            </w:r>
          </w:p>
          <w:p w:rsidR="002B2CA6" w:rsidRPr="00287F21" w:rsidRDefault="002B2CA6" w:rsidP="00622409">
            <w:pPr>
              <w:ind w:left="-57"/>
              <w:jc w:val="left"/>
              <w:rPr>
                <w:rFonts w:ascii="Arial Narrow" w:hAnsi="Arial Narrow"/>
                <w:snapToGrid w:val="0"/>
                <w:sz w:val="20"/>
                <w:szCs w:val="20"/>
              </w:rPr>
            </w:pPr>
            <w:r w:rsidRPr="00287F21">
              <w:rPr>
                <w:rFonts w:ascii="Arial Narrow" w:hAnsi="Arial Narrow"/>
                <w:snapToGrid w:val="0"/>
                <w:sz w:val="20"/>
                <w:szCs w:val="20"/>
              </w:rPr>
              <w:t>Patient must not receive PBS-subsidised treatment abiraterone if progressive disease develops while on abiraterone</w:t>
            </w:r>
          </w:p>
          <w:p w:rsidR="002B2CA6" w:rsidRPr="00287F21" w:rsidRDefault="002B2CA6" w:rsidP="00622409">
            <w:pPr>
              <w:ind w:left="-57"/>
              <w:jc w:val="left"/>
              <w:rPr>
                <w:rFonts w:ascii="Arial Narrow" w:hAnsi="Arial Narrow"/>
                <w:b/>
                <w:snapToGrid w:val="0"/>
                <w:sz w:val="20"/>
                <w:szCs w:val="20"/>
              </w:rPr>
            </w:pPr>
            <w:r w:rsidRPr="00287F21">
              <w:rPr>
                <w:rFonts w:ascii="Arial Narrow" w:hAnsi="Arial Narrow"/>
                <w:b/>
                <w:snapToGrid w:val="0"/>
                <w:sz w:val="20"/>
                <w:szCs w:val="20"/>
              </w:rPr>
              <w:t>AND</w:t>
            </w:r>
          </w:p>
          <w:p w:rsidR="002B2CA6" w:rsidRPr="00287F21" w:rsidRDefault="002B2CA6" w:rsidP="00622409">
            <w:pPr>
              <w:ind w:left="-57"/>
              <w:jc w:val="left"/>
              <w:rPr>
                <w:rFonts w:ascii="Arial Narrow" w:hAnsi="Arial Narrow"/>
                <w:snapToGrid w:val="0"/>
                <w:sz w:val="20"/>
                <w:szCs w:val="20"/>
              </w:rPr>
            </w:pPr>
            <w:r w:rsidRPr="00287F21">
              <w:rPr>
                <w:rFonts w:ascii="Arial Narrow" w:hAnsi="Arial Narrow"/>
                <w:snapToGrid w:val="0"/>
                <w:sz w:val="20"/>
                <w:szCs w:val="20"/>
              </w:rPr>
              <w:t>Patient must not have received prior treatment with enzalutamide; or</w:t>
            </w:r>
          </w:p>
          <w:p w:rsidR="002B2CA6" w:rsidRPr="00287F21" w:rsidRDefault="002B2CA6" w:rsidP="002B2CA6">
            <w:pPr>
              <w:ind w:left="-57"/>
              <w:jc w:val="left"/>
              <w:rPr>
                <w:rFonts w:ascii="Arial Narrow" w:hAnsi="Arial Narrow"/>
                <w:snapToGrid w:val="0"/>
                <w:sz w:val="20"/>
                <w:szCs w:val="20"/>
              </w:rPr>
            </w:pPr>
            <w:r w:rsidRPr="00287F21">
              <w:rPr>
                <w:rFonts w:ascii="Arial Narrow" w:hAnsi="Arial Narrow"/>
                <w:snapToGrid w:val="0"/>
                <w:sz w:val="20"/>
                <w:szCs w:val="20"/>
              </w:rPr>
              <w:t>Patient must have developed intolerance to enzalutamide of a severity necessitating permanent treatment withdrawal.</w:t>
            </w:r>
          </w:p>
        </w:tc>
      </w:tr>
      <w:tr w:rsidR="002B2CA6" w:rsidRPr="00287F21" w:rsidTr="00494F1E">
        <w:trPr>
          <w:trHeight w:val="261"/>
        </w:trPr>
        <w:tc>
          <w:tcPr>
            <w:tcW w:w="9067" w:type="dxa"/>
          </w:tcPr>
          <w:p w:rsidR="002B2CA6" w:rsidRPr="00287F21" w:rsidRDefault="002B2CA6" w:rsidP="00622409">
            <w:pPr>
              <w:ind w:left="-57"/>
              <w:jc w:val="left"/>
              <w:rPr>
                <w:rFonts w:ascii="Arial Narrow" w:hAnsi="Arial Narrow"/>
                <w:b/>
                <w:snapToGrid w:val="0"/>
                <w:sz w:val="20"/>
                <w:szCs w:val="20"/>
              </w:rPr>
            </w:pPr>
            <w:r w:rsidRPr="00287F21">
              <w:rPr>
                <w:rFonts w:ascii="Arial Narrow" w:hAnsi="Arial Narrow"/>
                <w:b/>
                <w:snapToGrid w:val="0"/>
                <w:sz w:val="20"/>
                <w:szCs w:val="20"/>
                <w:u w:val="single"/>
              </w:rPr>
              <w:t>NOTE</w:t>
            </w:r>
            <w:r w:rsidRPr="00287F21">
              <w:rPr>
                <w:rFonts w:ascii="Arial Narrow" w:hAnsi="Arial Narrow"/>
                <w:b/>
                <w:snapToGrid w:val="0"/>
                <w:sz w:val="20"/>
                <w:szCs w:val="20"/>
              </w:rPr>
              <w:t>s:</w:t>
            </w:r>
            <w:r w:rsidRPr="00287F21">
              <w:rPr>
                <w:rFonts w:ascii="Arial Narrow" w:hAnsi="Arial Narrow"/>
                <w:snapToGrid w:val="0"/>
                <w:sz w:val="20"/>
                <w:szCs w:val="20"/>
              </w:rPr>
              <w:t xml:space="preserve"> not displayed</w:t>
            </w:r>
          </w:p>
        </w:tc>
      </w:tr>
    </w:tbl>
    <w:p w:rsidR="00A41A0B" w:rsidRPr="00287F21" w:rsidRDefault="00A41A0B" w:rsidP="00A41A0B">
      <w:pPr>
        <w:rPr>
          <w:rFonts w:ascii="Arial Narrow" w:hAnsi="Arial Narrow" w:cstheme="minorHAnsi"/>
          <w:sz w:val="20"/>
          <w:szCs w:val="20"/>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4"/>
        <w:gridCol w:w="1284"/>
        <w:gridCol w:w="1251"/>
        <w:gridCol w:w="1407"/>
        <w:gridCol w:w="988"/>
        <w:gridCol w:w="1182"/>
      </w:tblGrid>
      <w:tr w:rsidR="00A41A0B" w:rsidRPr="00287F21" w:rsidTr="00622409">
        <w:trPr>
          <w:cantSplit/>
          <w:trHeight w:val="471"/>
        </w:trPr>
        <w:tc>
          <w:tcPr>
            <w:tcW w:w="1629" w:type="pct"/>
          </w:tcPr>
          <w:p w:rsidR="00A41A0B" w:rsidRPr="00287F21" w:rsidRDefault="00A41A0B" w:rsidP="00622409">
            <w:pPr>
              <w:keepNext/>
              <w:keepLines/>
              <w:ind w:left="-57"/>
              <w:rPr>
                <w:rFonts w:ascii="Arial Narrow" w:hAnsi="Arial Narrow" w:cs="Arial"/>
                <w:b/>
                <w:bCs/>
                <w:sz w:val="20"/>
                <w:szCs w:val="20"/>
              </w:rPr>
            </w:pPr>
            <w:r w:rsidRPr="00287F21">
              <w:rPr>
                <w:rFonts w:ascii="Arial Narrow" w:hAnsi="Arial Narrow" w:cs="Arial"/>
                <w:b/>
                <w:bCs/>
                <w:sz w:val="20"/>
                <w:szCs w:val="20"/>
              </w:rPr>
              <w:t>MEDICINAL PRODUCT</w:t>
            </w:r>
          </w:p>
          <w:p w:rsidR="00A41A0B" w:rsidRPr="00287F21" w:rsidRDefault="00A41A0B" w:rsidP="00622409">
            <w:pPr>
              <w:keepNext/>
              <w:keepLines/>
              <w:ind w:left="-57"/>
              <w:rPr>
                <w:rFonts w:ascii="Arial Narrow" w:hAnsi="Arial Narrow" w:cs="Arial"/>
                <w:b/>
                <w:sz w:val="20"/>
                <w:szCs w:val="20"/>
              </w:rPr>
            </w:pPr>
            <w:r w:rsidRPr="00287F21">
              <w:rPr>
                <w:rFonts w:ascii="Arial Narrow" w:hAnsi="Arial Narrow" w:cs="Arial"/>
                <w:b/>
                <w:bCs/>
                <w:sz w:val="20"/>
                <w:szCs w:val="20"/>
              </w:rPr>
              <w:t>medicinal product pack</w:t>
            </w:r>
          </w:p>
        </w:tc>
        <w:tc>
          <w:tcPr>
            <w:tcW w:w="708" w:type="pct"/>
          </w:tcPr>
          <w:p w:rsidR="00A41A0B" w:rsidRPr="00287F21" w:rsidRDefault="00A41A0B" w:rsidP="00622409">
            <w:pPr>
              <w:keepNext/>
              <w:keepLines/>
              <w:ind w:left="-108"/>
              <w:jc w:val="center"/>
              <w:rPr>
                <w:rFonts w:ascii="Arial Narrow" w:hAnsi="Arial Narrow" w:cs="Arial"/>
                <w:b/>
                <w:sz w:val="20"/>
                <w:szCs w:val="20"/>
              </w:rPr>
            </w:pPr>
            <w:r w:rsidRPr="00287F21">
              <w:rPr>
                <w:rFonts w:ascii="Arial Narrow" w:hAnsi="Arial Narrow" w:cs="Arial"/>
                <w:b/>
                <w:sz w:val="20"/>
                <w:szCs w:val="20"/>
              </w:rPr>
              <w:t>PBS item code</w:t>
            </w:r>
          </w:p>
        </w:tc>
        <w:tc>
          <w:tcPr>
            <w:tcW w:w="690" w:type="pct"/>
          </w:tcPr>
          <w:p w:rsidR="00A41A0B" w:rsidRPr="00287F21" w:rsidRDefault="00A41A0B" w:rsidP="00622409">
            <w:pPr>
              <w:keepNext/>
              <w:keepLines/>
              <w:ind w:left="-108"/>
              <w:jc w:val="center"/>
              <w:rPr>
                <w:rFonts w:ascii="Arial Narrow" w:hAnsi="Arial Narrow" w:cs="Arial"/>
                <w:b/>
                <w:sz w:val="20"/>
                <w:szCs w:val="20"/>
              </w:rPr>
            </w:pPr>
            <w:r w:rsidRPr="00287F21">
              <w:rPr>
                <w:rFonts w:ascii="Arial Narrow" w:hAnsi="Arial Narrow" w:cs="Arial"/>
                <w:b/>
                <w:sz w:val="20"/>
                <w:szCs w:val="20"/>
              </w:rPr>
              <w:t>Max. qty packs</w:t>
            </w:r>
          </w:p>
        </w:tc>
        <w:tc>
          <w:tcPr>
            <w:tcW w:w="776" w:type="pct"/>
          </w:tcPr>
          <w:p w:rsidR="00A41A0B" w:rsidRPr="00287F21" w:rsidRDefault="00A41A0B" w:rsidP="00622409">
            <w:pPr>
              <w:keepNext/>
              <w:keepLines/>
              <w:ind w:left="-108"/>
              <w:jc w:val="center"/>
              <w:rPr>
                <w:rFonts w:ascii="Arial Narrow" w:hAnsi="Arial Narrow" w:cs="Arial"/>
                <w:b/>
                <w:sz w:val="20"/>
                <w:szCs w:val="20"/>
              </w:rPr>
            </w:pPr>
            <w:r w:rsidRPr="00287F21">
              <w:rPr>
                <w:rFonts w:ascii="Arial Narrow" w:hAnsi="Arial Narrow" w:cs="Arial"/>
                <w:b/>
                <w:sz w:val="20"/>
                <w:szCs w:val="20"/>
              </w:rPr>
              <w:t>Max. qty units</w:t>
            </w:r>
          </w:p>
        </w:tc>
        <w:tc>
          <w:tcPr>
            <w:tcW w:w="545" w:type="pct"/>
          </w:tcPr>
          <w:p w:rsidR="00A41A0B" w:rsidRPr="00287F21" w:rsidRDefault="00A41A0B" w:rsidP="00622409">
            <w:pPr>
              <w:keepNext/>
              <w:keepLines/>
              <w:ind w:left="-108"/>
              <w:jc w:val="center"/>
              <w:rPr>
                <w:rFonts w:ascii="Arial Narrow" w:hAnsi="Arial Narrow" w:cs="Arial"/>
                <w:b/>
                <w:sz w:val="20"/>
                <w:szCs w:val="20"/>
              </w:rPr>
            </w:pPr>
            <w:r w:rsidRPr="00287F21">
              <w:rPr>
                <w:rFonts w:ascii="Arial Narrow" w:hAnsi="Arial Narrow" w:cs="Arial"/>
                <w:b/>
                <w:sz w:val="20"/>
                <w:szCs w:val="20"/>
              </w:rPr>
              <w:t>№.of</w:t>
            </w:r>
          </w:p>
          <w:p w:rsidR="00A41A0B" w:rsidRPr="00287F21" w:rsidRDefault="00A41A0B" w:rsidP="00622409">
            <w:pPr>
              <w:keepNext/>
              <w:keepLines/>
              <w:ind w:left="-108"/>
              <w:jc w:val="center"/>
              <w:rPr>
                <w:rFonts w:ascii="Arial Narrow" w:hAnsi="Arial Narrow" w:cs="Arial"/>
                <w:b/>
                <w:sz w:val="20"/>
                <w:szCs w:val="20"/>
              </w:rPr>
            </w:pPr>
            <w:r w:rsidRPr="00287F21">
              <w:rPr>
                <w:rFonts w:ascii="Arial Narrow" w:hAnsi="Arial Narrow" w:cs="Arial"/>
                <w:b/>
                <w:sz w:val="20"/>
                <w:szCs w:val="20"/>
              </w:rPr>
              <w:t>Rpts</w:t>
            </w:r>
          </w:p>
        </w:tc>
        <w:tc>
          <w:tcPr>
            <w:tcW w:w="652" w:type="pct"/>
          </w:tcPr>
          <w:p w:rsidR="00A41A0B" w:rsidRPr="00287F21" w:rsidRDefault="00A41A0B" w:rsidP="00622409">
            <w:pPr>
              <w:keepNext/>
              <w:keepLines/>
              <w:rPr>
                <w:rFonts w:ascii="Arial Narrow" w:hAnsi="Arial Narrow" w:cs="Arial"/>
                <w:b/>
                <w:sz w:val="20"/>
                <w:szCs w:val="20"/>
              </w:rPr>
            </w:pPr>
            <w:r w:rsidRPr="00287F21">
              <w:rPr>
                <w:rFonts w:ascii="Arial Narrow" w:hAnsi="Arial Narrow" w:cs="Arial"/>
                <w:b/>
                <w:sz w:val="20"/>
                <w:szCs w:val="20"/>
              </w:rPr>
              <w:t>Available brands</w:t>
            </w:r>
          </w:p>
        </w:tc>
      </w:tr>
      <w:tr w:rsidR="00A41A0B" w:rsidRPr="00287F21" w:rsidTr="00622409">
        <w:trPr>
          <w:cantSplit/>
          <w:trHeight w:val="271"/>
        </w:trPr>
        <w:tc>
          <w:tcPr>
            <w:tcW w:w="5000" w:type="pct"/>
            <w:gridSpan w:val="6"/>
          </w:tcPr>
          <w:p w:rsidR="00A41A0B" w:rsidRPr="00287F21" w:rsidRDefault="00A41A0B" w:rsidP="00622409">
            <w:pPr>
              <w:keepNext/>
              <w:keepLines/>
              <w:ind w:left="-57"/>
              <w:rPr>
                <w:rFonts w:ascii="Arial Narrow" w:hAnsi="Arial Narrow" w:cs="Arial"/>
                <w:sz w:val="20"/>
                <w:szCs w:val="20"/>
              </w:rPr>
            </w:pPr>
            <w:r w:rsidRPr="00287F21">
              <w:rPr>
                <w:rFonts w:ascii="Arial Narrow" w:hAnsi="Arial Narrow" w:cs="Arial"/>
                <w:sz w:val="20"/>
                <w:szCs w:val="20"/>
              </w:rPr>
              <w:t>ENZALUTAMIDE</w:t>
            </w:r>
          </w:p>
        </w:tc>
      </w:tr>
      <w:tr w:rsidR="00A41A0B" w:rsidRPr="00287F21" w:rsidTr="00622409">
        <w:trPr>
          <w:cantSplit/>
          <w:trHeight w:val="281"/>
        </w:trPr>
        <w:tc>
          <w:tcPr>
            <w:tcW w:w="1629" w:type="pct"/>
          </w:tcPr>
          <w:p w:rsidR="00A41A0B" w:rsidRPr="00287F21" w:rsidRDefault="00A41A0B" w:rsidP="00622409">
            <w:pPr>
              <w:keepNext/>
              <w:keepLines/>
              <w:ind w:left="-57"/>
              <w:rPr>
                <w:rFonts w:ascii="Arial Narrow" w:hAnsi="Arial Narrow" w:cs="Arial"/>
                <w:sz w:val="20"/>
                <w:szCs w:val="20"/>
              </w:rPr>
            </w:pPr>
            <w:r w:rsidRPr="00287F21">
              <w:rPr>
                <w:rFonts w:ascii="Arial Narrow" w:hAnsi="Arial Narrow" w:cs="Arial"/>
                <w:sz w:val="20"/>
                <w:szCs w:val="20"/>
              </w:rPr>
              <w:t>enzalutamide 40 mg capsule, 112</w:t>
            </w:r>
          </w:p>
        </w:tc>
        <w:tc>
          <w:tcPr>
            <w:tcW w:w="708" w:type="pct"/>
          </w:tcPr>
          <w:p w:rsidR="00A41A0B" w:rsidRPr="00287F21" w:rsidRDefault="00A41A0B" w:rsidP="00622409">
            <w:pPr>
              <w:keepNext/>
              <w:keepLines/>
              <w:ind w:left="-108"/>
              <w:jc w:val="center"/>
              <w:rPr>
                <w:rFonts w:ascii="Arial Narrow" w:hAnsi="Arial Narrow" w:cs="Arial"/>
                <w:sz w:val="20"/>
                <w:szCs w:val="20"/>
              </w:rPr>
            </w:pPr>
            <w:r w:rsidRPr="00287F21">
              <w:rPr>
                <w:rFonts w:ascii="Arial Narrow" w:hAnsi="Arial Narrow" w:cs="Arial"/>
                <w:sz w:val="20"/>
                <w:szCs w:val="20"/>
              </w:rPr>
              <w:t>10174L</w:t>
            </w:r>
          </w:p>
        </w:tc>
        <w:tc>
          <w:tcPr>
            <w:tcW w:w="690" w:type="pct"/>
          </w:tcPr>
          <w:p w:rsidR="00A41A0B" w:rsidRPr="00287F21" w:rsidRDefault="00A41A0B" w:rsidP="00622409">
            <w:pPr>
              <w:keepNext/>
              <w:keepLines/>
              <w:jc w:val="center"/>
              <w:rPr>
                <w:rFonts w:ascii="Arial Narrow" w:hAnsi="Arial Narrow" w:cs="Arial"/>
                <w:sz w:val="20"/>
                <w:szCs w:val="20"/>
              </w:rPr>
            </w:pPr>
            <w:r w:rsidRPr="00287F21">
              <w:rPr>
                <w:rFonts w:ascii="Arial Narrow" w:hAnsi="Arial Narrow" w:cs="Arial"/>
                <w:sz w:val="20"/>
                <w:szCs w:val="20"/>
              </w:rPr>
              <w:t>1</w:t>
            </w:r>
          </w:p>
        </w:tc>
        <w:tc>
          <w:tcPr>
            <w:tcW w:w="776" w:type="pct"/>
          </w:tcPr>
          <w:p w:rsidR="00A41A0B" w:rsidRPr="00287F21" w:rsidRDefault="00A41A0B" w:rsidP="00622409">
            <w:pPr>
              <w:keepNext/>
              <w:keepLines/>
              <w:ind w:left="-108"/>
              <w:jc w:val="center"/>
              <w:rPr>
                <w:rFonts w:ascii="Arial Narrow" w:hAnsi="Arial Narrow" w:cs="Arial"/>
                <w:sz w:val="20"/>
                <w:szCs w:val="20"/>
              </w:rPr>
            </w:pPr>
            <w:r w:rsidRPr="00287F21">
              <w:rPr>
                <w:rFonts w:ascii="Arial Narrow" w:hAnsi="Arial Narrow" w:cs="Arial"/>
                <w:sz w:val="20"/>
                <w:szCs w:val="20"/>
              </w:rPr>
              <w:t>112</w:t>
            </w:r>
          </w:p>
        </w:tc>
        <w:tc>
          <w:tcPr>
            <w:tcW w:w="545" w:type="pct"/>
          </w:tcPr>
          <w:p w:rsidR="00A41A0B" w:rsidRPr="00287F21" w:rsidRDefault="00A41A0B" w:rsidP="00622409">
            <w:pPr>
              <w:keepNext/>
              <w:keepLines/>
              <w:ind w:left="-108"/>
              <w:jc w:val="center"/>
              <w:rPr>
                <w:rFonts w:ascii="Arial Narrow" w:hAnsi="Arial Narrow" w:cs="Arial"/>
                <w:sz w:val="20"/>
                <w:szCs w:val="20"/>
              </w:rPr>
            </w:pPr>
            <w:r w:rsidRPr="00287F21">
              <w:rPr>
                <w:rFonts w:ascii="Arial Narrow" w:hAnsi="Arial Narrow" w:cs="Arial"/>
                <w:sz w:val="20"/>
                <w:szCs w:val="20"/>
              </w:rPr>
              <w:t>2</w:t>
            </w:r>
          </w:p>
        </w:tc>
        <w:tc>
          <w:tcPr>
            <w:tcW w:w="652" w:type="pct"/>
          </w:tcPr>
          <w:p w:rsidR="00A41A0B" w:rsidRPr="00287F21" w:rsidRDefault="00A41A0B" w:rsidP="00622409">
            <w:pPr>
              <w:keepNext/>
              <w:keepLines/>
              <w:rPr>
                <w:rFonts w:ascii="Arial Narrow" w:hAnsi="Arial Narrow" w:cs="Arial"/>
                <w:sz w:val="20"/>
                <w:szCs w:val="20"/>
              </w:rPr>
            </w:pPr>
            <w:r w:rsidRPr="00287F21">
              <w:rPr>
                <w:rFonts w:ascii="Arial Narrow" w:hAnsi="Arial Narrow" w:cs="Arial"/>
                <w:sz w:val="20"/>
                <w:szCs w:val="20"/>
              </w:rPr>
              <w:t>Xtandi</w:t>
            </w:r>
          </w:p>
        </w:tc>
      </w:tr>
    </w:tbl>
    <w:tbl>
      <w:tblPr>
        <w:tblStyle w:val="TableGrid"/>
        <w:tblW w:w="9067" w:type="dxa"/>
        <w:tblLayout w:type="fixed"/>
        <w:tblLook w:val="04A0" w:firstRow="1" w:lastRow="0" w:firstColumn="1" w:lastColumn="0" w:noHBand="0" w:noVBand="1"/>
      </w:tblPr>
      <w:tblGrid>
        <w:gridCol w:w="9067"/>
      </w:tblGrid>
      <w:tr w:rsidR="00A41A0B" w:rsidRPr="00287F21" w:rsidTr="00622409">
        <w:tc>
          <w:tcPr>
            <w:tcW w:w="9067" w:type="dxa"/>
          </w:tcPr>
          <w:p w:rsidR="00A41A0B" w:rsidRPr="00287F21" w:rsidRDefault="00A41A0B" w:rsidP="00622409">
            <w:pPr>
              <w:jc w:val="left"/>
              <w:rPr>
                <w:rFonts w:ascii="Arial Narrow" w:hAnsi="Arial Narrow"/>
                <w:b/>
                <w:snapToGrid w:val="0"/>
                <w:sz w:val="20"/>
                <w:szCs w:val="20"/>
              </w:rPr>
            </w:pPr>
          </w:p>
        </w:tc>
      </w:tr>
      <w:tr w:rsidR="002B2CA6" w:rsidRPr="00287F21" w:rsidTr="006F414B">
        <w:trPr>
          <w:trHeight w:val="640"/>
        </w:trPr>
        <w:tc>
          <w:tcPr>
            <w:tcW w:w="9067" w:type="dxa"/>
          </w:tcPr>
          <w:p w:rsidR="002B2CA6" w:rsidRPr="00287F21" w:rsidRDefault="002B2CA6" w:rsidP="00622409">
            <w:pPr>
              <w:ind w:left="-57"/>
              <w:jc w:val="left"/>
              <w:rPr>
                <w:rFonts w:ascii="Arial Narrow" w:hAnsi="Arial Narrow"/>
                <w:snapToGrid w:val="0"/>
                <w:sz w:val="20"/>
                <w:szCs w:val="20"/>
              </w:rPr>
            </w:pPr>
            <w:r w:rsidRPr="00287F21">
              <w:rPr>
                <w:rFonts w:ascii="Arial Narrow" w:hAnsi="Arial Narrow"/>
                <w:b/>
                <w:snapToGrid w:val="0"/>
                <w:sz w:val="20"/>
                <w:szCs w:val="20"/>
              </w:rPr>
              <w:t xml:space="preserve">Category/Program: </w:t>
            </w:r>
            <w:r w:rsidRPr="00287F21">
              <w:rPr>
                <w:rFonts w:ascii="Arial Narrow" w:hAnsi="Arial Narrow"/>
                <w:snapToGrid w:val="0"/>
                <w:sz w:val="20"/>
                <w:szCs w:val="20"/>
              </w:rPr>
              <w:t>GENERAL – General Schedule (GE)</w:t>
            </w:r>
          </w:p>
          <w:p w:rsidR="002B2CA6" w:rsidRPr="00287F21" w:rsidRDefault="002B2CA6" w:rsidP="00622409">
            <w:pPr>
              <w:ind w:left="-57"/>
              <w:jc w:val="left"/>
              <w:rPr>
                <w:rFonts w:ascii="Arial Narrow" w:hAnsi="Arial Narrow"/>
                <w:snapToGrid w:val="0"/>
                <w:sz w:val="20"/>
                <w:szCs w:val="20"/>
              </w:rPr>
            </w:pPr>
            <w:r w:rsidRPr="00287F21">
              <w:rPr>
                <w:rFonts w:ascii="Arial Narrow" w:hAnsi="Arial Narrow"/>
                <w:b/>
                <w:snapToGrid w:val="0"/>
                <w:sz w:val="20"/>
                <w:szCs w:val="20"/>
              </w:rPr>
              <w:t xml:space="preserve">Prescriber type: </w:t>
            </w:r>
            <w:r w:rsidRPr="00287F21">
              <w:rPr>
                <w:rFonts w:ascii="Arial Narrow" w:hAnsi="Arial Narrow" w:cs="Arial"/>
                <w:b/>
                <w:snapToGrid w:val="0"/>
                <w:sz w:val="20"/>
                <w:szCs w:val="20"/>
              </w:rPr>
              <w:t xml:space="preserve"> </w:t>
            </w:r>
            <w:r w:rsidRPr="00287F21">
              <w:rPr>
                <w:rFonts w:ascii="Arial Narrow" w:hAnsi="Arial Narrow" w:cs="Arial"/>
                <w:snapToGrid w:val="0"/>
                <w:sz w:val="20"/>
                <w:szCs w:val="20"/>
              </w:rPr>
              <w:fldChar w:fldCharType="begin">
                <w:ffData>
                  <w:name w:val=""/>
                  <w:enabled/>
                  <w:calcOnExit w:val="0"/>
                  <w:checkBox>
                    <w:sizeAuto/>
                    <w:default w:val="1"/>
                  </w:checkBox>
                </w:ffData>
              </w:fldChar>
            </w:r>
            <w:r w:rsidRPr="00287F21">
              <w:rPr>
                <w:rFonts w:ascii="Arial Narrow" w:hAnsi="Arial Narrow" w:cs="Arial"/>
                <w:snapToGrid w:val="0"/>
                <w:sz w:val="20"/>
                <w:szCs w:val="20"/>
              </w:rPr>
              <w:instrText xml:space="preserve"> FORMCHECKBOX </w:instrText>
            </w:r>
            <w:r w:rsidR="004012FF">
              <w:rPr>
                <w:rFonts w:ascii="Arial Narrow" w:hAnsi="Arial Narrow" w:cs="Arial"/>
                <w:snapToGrid w:val="0"/>
                <w:sz w:val="20"/>
                <w:szCs w:val="20"/>
              </w:rPr>
            </w:r>
            <w:r w:rsidR="004012FF">
              <w:rPr>
                <w:rFonts w:ascii="Arial Narrow" w:hAnsi="Arial Narrow" w:cs="Arial"/>
                <w:snapToGrid w:val="0"/>
                <w:sz w:val="20"/>
                <w:szCs w:val="20"/>
              </w:rPr>
              <w:fldChar w:fldCharType="separate"/>
            </w:r>
            <w:r w:rsidRPr="00287F21">
              <w:rPr>
                <w:rFonts w:ascii="Arial Narrow" w:hAnsi="Arial Narrow" w:cs="Arial"/>
                <w:snapToGrid w:val="0"/>
                <w:sz w:val="20"/>
                <w:szCs w:val="20"/>
              </w:rPr>
              <w:fldChar w:fldCharType="end"/>
            </w:r>
            <w:r w:rsidRPr="00287F21">
              <w:rPr>
                <w:rFonts w:ascii="Arial Narrow" w:hAnsi="Arial Narrow" w:cs="Arial"/>
                <w:snapToGrid w:val="0"/>
                <w:sz w:val="20"/>
                <w:szCs w:val="20"/>
              </w:rPr>
              <w:t xml:space="preserve"> Medical Practitioners    </w:t>
            </w:r>
          </w:p>
          <w:p w:rsidR="002B2CA6" w:rsidRPr="00287F21" w:rsidRDefault="002B2CA6" w:rsidP="00622409">
            <w:pPr>
              <w:ind w:left="-57"/>
              <w:jc w:val="left"/>
              <w:rPr>
                <w:rFonts w:ascii="Arial Narrow" w:hAnsi="Arial Narrow"/>
                <w:snapToGrid w:val="0"/>
                <w:sz w:val="20"/>
                <w:szCs w:val="20"/>
              </w:rPr>
            </w:pPr>
            <w:r w:rsidRPr="00287F21">
              <w:rPr>
                <w:rFonts w:ascii="Arial Narrow" w:hAnsi="Arial Narrow"/>
                <w:b/>
                <w:snapToGrid w:val="0"/>
                <w:sz w:val="20"/>
                <w:szCs w:val="20"/>
              </w:rPr>
              <w:t xml:space="preserve">Restriction type: </w:t>
            </w:r>
            <w:r w:rsidRPr="00287F21">
              <w:rPr>
                <w:rFonts w:ascii="Arial Narrow" w:hAnsi="Arial Narrow"/>
                <w:snapToGrid w:val="0"/>
                <w:sz w:val="20"/>
                <w:szCs w:val="20"/>
              </w:rPr>
              <w:fldChar w:fldCharType="begin">
                <w:ffData>
                  <w:name w:val=""/>
                  <w:enabled/>
                  <w:calcOnExit w:val="0"/>
                  <w:checkBox>
                    <w:sizeAuto/>
                    <w:default w:val="1"/>
                  </w:checkBox>
                </w:ffData>
              </w:fldChar>
            </w:r>
            <w:r w:rsidRPr="00287F21">
              <w:rPr>
                <w:rFonts w:ascii="Arial Narrow" w:hAnsi="Arial Narrow"/>
                <w:snapToGrid w:val="0"/>
                <w:sz w:val="20"/>
                <w:szCs w:val="20"/>
              </w:rPr>
              <w:instrText xml:space="preserve"> FORMCHECKBOX </w:instrText>
            </w:r>
            <w:r w:rsidR="004012FF">
              <w:rPr>
                <w:rFonts w:ascii="Arial Narrow" w:hAnsi="Arial Narrow"/>
                <w:snapToGrid w:val="0"/>
                <w:sz w:val="20"/>
                <w:szCs w:val="20"/>
              </w:rPr>
            </w:r>
            <w:r w:rsidR="004012FF">
              <w:rPr>
                <w:rFonts w:ascii="Arial Narrow" w:hAnsi="Arial Narrow"/>
                <w:snapToGrid w:val="0"/>
                <w:sz w:val="20"/>
                <w:szCs w:val="20"/>
              </w:rPr>
              <w:fldChar w:fldCharType="separate"/>
            </w:r>
            <w:r w:rsidRPr="00287F21">
              <w:rPr>
                <w:rFonts w:ascii="Arial Narrow" w:hAnsi="Arial Narrow"/>
                <w:snapToGrid w:val="0"/>
                <w:sz w:val="20"/>
                <w:szCs w:val="20"/>
              </w:rPr>
              <w:fldChar w:fldCharType="end"/>
            </w:r>
            <w:r w:rsidRPr="00287F21">
              <w:rPr>
                <w:rFonts w:ascii="Arial Narrow" w:hAnsi="Arial Narrow"/>
                <w:snapToGrid w:val="0"/>
                <w:sz w:val="20"/>
                <w:szCs w:val="20"/>
              </w:rPr>
              <w:t xml:space="preserve"> Authority Required </w:t>
            </w:r>
            <w:r w:rsidR="00C5318E" w:rsidRPr="00287F21">
              <w:rPr>
                <w:rFonts w:ascii="Arial Narrow" w:hAnsi="Arial Narrow"/>
                <w:snapToGrid w:val="0"/>
                <w:sz w:val="20"/>
                <w:szCs w:val="20"/>
              </w:rPr>
              <w:t>(telephone/online PBS Authorities system)</w:t>
            </w:r>
          </w:p>
        </w:tc>
      </w:tr>
      <w:tr w:rsidR="002B2CA6" w:rsidRPr="00287F21" w:rsidTr="00BA5FA2">
        <w:trPr>
          <w:trHeight w:val="640"/>
        </w:trPr>
        <w:tc>
          <w:tcPr>
            <w:tcW w:w="9067" w:type="dxa"/>
          </w:tcPr>
          <w:p w:rsidR="002B2CA6" w:rsidRPr="00287F21" w:rsidRDefault="002B2CA6" w:rsidP="00622409">
            <w:pPr>
              <w:ind w:left="-57"/>
              <w:jc w:val="left"/>
              <w:rPr>
                <w:rFonts w:ascii="Arial Narrow" w:hAnsi="Arial Narrow"/>
                <w:b/>
                <w:snapToGrid w:val="0"/>
                <w:sz w:val="20"/>
                <w:szCs w:val="20"/>
              </w:rPr>
            </w:pPr>
            <w:r w:rsidRPr="00287F21">
              <w:rPr>
                <w:rFonts w:ascii="Arial Narrow" w:hAnsi="Arial Narrow"/>
                <w:b/>
                <w:snapToGrid w:val="0"/>
                <w:sz w:val="20"/>
                <w:szCs w:val="20"/>
              </w:rPr>
              <w:t>Severity:</w:t>
            </w:r>
            <w:r w:rsidRPr="00287F21">
              <w:rPr>
                <w:rFonts w:ascii="Arial Narrow" w:hAnsi="Arial Narrow"/>
                <w:snapToGrid w:val="0"/>
                <w:sz w:val="20"/>
                <w:szCs w:val="20"/>
              </w:rPr>
              <w:t xml:space="preserve"> Castration resistant </w:t>
            </w:r>
            <w:r w:rsidRPr="00287F21">
              <w:rPr>
                <w:rFonts w:ascii="Arial Narrow" w:hAnsi="Arial Narrow"/>
                <w:strike/>
                <w:snapToGrid w:val="0"/>
                <w:sz w:val="20"/>
                <w:szCs w:val="20"/>
              </w:rPr>
              <w:t>metastatic</w:t>
            </w:r>
          </w:p>
          <w:p w:rsidR="002B2CA6" w:rsidRPr="00287F21" w:rsidRDefault="002B2CA6" w:rsidP="00622409">
            <w:pPr>
              <w:ind w:left="-57"/>
              <w:jc w:val="left"/>
              <w:rPr>
                <w:rFonts w:ascii="Arial Narrow" w:hAnsi="Arial Narrow"/>
                <w:snapToGrid w:val="0"/>
                <w:sz w:val="20"/>
                <w:szCs w:val="20"/>
              </w:rPr>
            </w:pPr>
            <w:r w:rsidRPr="00287F21">
              <w:rPr>
                <w:rFonts w:ascii="Arial Narrow" w:hAnsi="Arial Narrow"/>
                <w:b/>
                <w:snapToGrid w:val="0"/>
                <w:sz w:val="20"/>
                <w:szCs w:val="20"/>
              </w:rPr>
              <w:t xml:space="preserve">Condition: </w:t>
            </w:r>
            <w:r w:rsidRPr="00287F21">
              <w:rPr>
                <w:rFonts w:ascii="Arial Narrow" w:hAnsi="Arial Narrow"/>
                <w:snapToGrid w:val="0"/>
                <w:sz w:val="20"/>
                <w:szCs w:val="20"/>
              </w:rPr>
              <w:t>Carcinoma of the prostate</w:t>
            </w:r>
          </w:p>
          <w:p w:rsidR="002B2CA6" w:rsidRPr="00287F21" w:rsidRDefault="002B2CA6" w:rsidP="00622409">
            <w:pPr>
              <w:ind w:left="-57"/>
              <w:jc w:val="left"/>
              <w:rPr>
                <w:rFonts w:ascii="Arial Narrow" w:hAnsi="Arial Narrow"/>
                <w:b/>
                <w:snapToGrid w:val="0"/>
                <w:sz w:val="20"/>
                <w:szCs w:val="20"/>
              </w:rPr>
            </w:pPr>
            <w:r w:rsidRPr="00287F21">
              <w:rPr>
                <w:rFonts w:ascii="Arial Narrow" w:hAnsi="Arial Narrow"/>
                <w:b/>
                <w:snapToGrid w:val="0"/>
                <w:sz w:val="20"/>
                <w:szCs w:val="20"/>
              </w:rPr>
              <w:t xml:space="preserve">PBS indication: </w:t>
            </w:r>
            <w:r w:rsidRPr="00287F21">
              <w:rPr>
                <w:rFonts w:ascii="Arial Narrow" w:hAnsi="Arial Narrow"/>
                <w:snapToGrid w:val="0"/>
                <w:sz w:val="20"/>
                <w:szCs w:val="20"/>
              </w:rPr>
              <w:t xml:space="preserve">Castration resistant </w:t>
            </w:r>
            <w:r w:rsidRPr="00287F21">
              <w:rPr>
                <w:rFonts w:ascii="Arial Narrow" w:hAnsi="Arial Narrow"/>
                <w:strike/>
                <w:snapToGrid w:val="0"/>
                <w:sz w:val="20"/>
                <w:szCs w:val="20"/>
              </w:rPr>
              <w:t>metastatic</w:t>
            </w:r>
            <w:r w:rsidRPr="00287F21">
              <w:rPr>
                <w:rFonts w:ascii="Arial Narrow" w:hAnsi="Arial Narrow"/>
                <w:snapToGrid w:val="0"/>
                <w:sz w:val="20"/>
                <w:szCs w:val="20"/>
              </w:rPr>
              <w:t xml:space="preserve"> carcinoma of the prostate</w:t>
            </w:r>
          </w:p>
        </w:tc>
      </w:tr>
      <w:tr w:rsidR="0050588F" w:rsidRPr="00287F21" w:rsidTr="0050588F">
        <w:trPr>
          <w:trHeight w:val="2605"/>
        </w:trPr>
        <w:tc>
          <w:tcPr>
            <w:tcW w:w="9067" w:type="dxa"/>
          </w:tcPr>
          <w:p w:rsidR="0050588F" w:rsidRPr="00287F21" w:rsidRDefault="0050588F" w:rsidP="00622409">
            <w:pPr>
              <w:ind w:left="-57"/>
              <w:jc w:val="left"/>
              <w:rPr>
                <w:rFonts w:ascii="Arial Narrow" w:hAnsi="Arial Narrow"/>
                <w:b/>
                <w:snapToGrid w:val="0"/>
                <w:sz w:val="20"/>
                <w:szCs w:val="20"/>
              </w:rPr>
            </w:pPr>
            <w:r w:rsidRPr="00287F21">
              <w:rPr>
                <w:rFonts w:ascii="Arial Narrow" w:hAnsi="Arial Narrow"/>
                <w:b/>
                <w:snapToGrid w:val="0"/>
                <w:sz w:val="20"/>
                <w:szCs w:val="20"/>
              </w:rPr>
              <w:t>Clinical criteria:</w:t>
            </w:r>
          </w:p>
          <w:p w:rsidR="0050588F" w:rsidRPr="00287F21" w:rsidRDefault="0050588F" w:rsidP="00622409">
            <w:pPr>
              <w:ind w:left="-57"/>
              <w:jc w:val="left"/>
              <w:rPr>
                <w:rFonts w:ascii="Arial Narrow" w:hAnsi="Arial Narrow"/>
                <w:snapToGrid w:val="0"/>
                <w:sz w:val="20"/>
                <w:szCs w:val="20"/>
              </w:rPr>
            </w:pPr>
            <w:r w:rsidRPr="00287F21">
              <w:rPr>
                <w:rFonts w:ascii="Arial Narrow" w:hAnsi="Arial Narrow"/>
                <w:snapToGrid w:val="0"/>
                <w:sz w:val="20"/>
                <w:szCs w:val="20"/>
              </w:rPr>
              <w:t>The treatment must not be used in combination with chemotherapy</w:t>
            </w:r>
          </w:p>
          <w:p w:rsidR="0050588F" w:rsidRPr="00287F21" w:rsidRDefault="0050588F" w:rsidP="00622409">
            <w:pPr>
              <w:ind w:left="-57"/>
              <w:jc w:val="left"/>
              <w:rPr>
                <w:rFonts w:ascii="Arial Narrow" w:hAnsi="Arial Narrow"/>
                <w:b/>
                <w:snapToGrid w:val="0"/>
                <w:sz w:val="20"/>
                <w:szCs w:val="20"/>
              </w:rPr>
            </w:pPr>
            <w:r w:rsidRPr="00287F21">
              <w:rPr>
                <w:rFonts w:ascii="Arial Narrow" w:hAnsi="Arial Narrow"/>
                <w:b/>
                <w:snapToGrid w:val="0"/>
                <w:sz w:val="20"/>
                <w:szCs w:val="20"/>
              </w:rPr>
              <w:t>AND</w:t>
            </w:r>
          </w:p>
          <w:p w:rsidR="0050588F" w:rsidRPr="00287F21" w:rsidRDefault="0050588F" w:rsidP="00622409">
            <w:pPr>
              <w:ind w:left="-57"/>
              <w:jc w:val="left"/>
              <w:rPr>
                <w:rFonts w:ascii="Arial Narrow" w:hAnsi="Arial Narrow"/>
                <w:b/>
                <w:snapToGrid w:val="0"/>
                <w:sz w:val="20"/>
                <w:szCs w:val="20"/>
              </w:rPr>
            </w:pPr>
            <w:r w:rsidRPr="00287F21">
              <w:rPr>
                <w:rFonts w:ascii="Arial Narrow" w:hAnsi="Arial Narrow"/>
                <w:strike/>
                <w:snapToGrid w:val="0"/>
                <w:sz w:val="20"/>
                <w:szCs w:val="20"/>
              </w:rPr>
              <w:t>Patient must have failed treatment with docetaxel due to resistance or intolerance; or</w:t>
            </w:r>
          </w:p>
          <w:p w:rsidR="0050588F" w:rsidRPr="00287F21" w:rsidRDefault="0050588F" w:rsidP="00622409">
            <w:pPr>
              <w:ind w:left="-57"/>
              <w:jc w:val="left"/>
              <w:rPr>
                <w:rFonts w:ascii="Arial Narrow" w:hAnsi="Arial Narrow"/>
                <w:b/>
                <w:snapToGrid w:val="0"/>
                <w:sz w:val="20"/>
                <w:szCs w:val="20"/>
              </w:rPr>
            </w:pPr>
            <w:r w:rsidRPr="00287F21">
              <w:rPr>
                <w:rFonts w:ascii="Arial Narrow" w:hAnsi="Arial Narrow"/>
                <w:strike/>
                <w:snapToGrid w:val="0"/>
                <w:sz w:val="20"/>
                <w:szCs w:val="20"/>
              </w:rPr>
              <w:t>Patient must be unsuitable for docetaxel treatment on the basis of predicted intolerance to docetaxel</w:t>
            </w:r>
          </w:p>
          <w:p w:rsidR="0050588F" w:rsidRPr="00287F21" w:rsidRDefault="0050588F" w:rsidP="00622409">
            <w:pPr>
              <w:ind w:left="-57"/>
              <w:jc w:val="left"/>
              <w:rPr>
                <w:rFonts w:ascii="Arial Narrow" w:hAnsi="Arial Narrow"/>
                <w:b/>
                <w:snapToGrid w:val="0"/>
                <w:sz w:val="20"/>
                <w:szCs w:val="20"/>
              </w:rPr>
            </w:pPr>
            <w:r w:rsidRPr="00287F21">
              <w:rPr>
                <w:rFonts w:ascii="Arial Narrow" w:hAnsi="Arial Narrow"/>
                <w:b/>
                <w:snapToGrid w:val="0"/>
                <w:sz w:val="20"/>
                <w:szCs w:val="20"/>
              </w:rPr>
              <w:t>AND</w:t>
            </w:r>
          </w:p>
          <w:p w:rsidR="0050588F" w:rsidRPr="00287F21" w:rsidRDefault="0050588F" w:rsidP="00622409">
            <w:pPr>
              <w:ind w:left="-57"/>
              <w:jc w:val="left"/>
              <w:rPr>
                <w:rFonts w:ascii="Arial Narrow" w:hAnsi="Arial Narrow"/>
                <w:snapToGrid w:val="0"/>
                <w:sz w:val="20"/>
                <w:szCs w:val="20"/>
              </w:rPr>
            </w:pPr>
            <w:r w:rsidRPr="00287F21">
              <w:rPr>
                <w:rFonts w:ascii="Arial Narrow" w:hAnsi="Arial Narrow"/>
                <w:snapToGrid w:val="0"/>
                <w:sz w:val="20"/>
                <w:szCs w:val="20"/>
              </w:rPr>
              <w:t>Patient must have a WHO performance status of 2 or less</w:t>
            </w:r>
          </w:p>
          <w:p w:rsidR="0050588F" w:rsidRPr="00287F21" w:rsidRDefault="0050588F" w:rsidP="00622409">
            <w:pPr>
              <w:ind w:left="-57"/>
              <w:jc w:val="left"/>
              <w:rPr>
                <w:rFonts w:ascii="Arial Narrow" w:hAnsi="Arial Narrow"/>
                <w:b/>
                <w:snapToGrid w:val="0"/>
                <w:sz w:val="20"/>
                <w:szCs w:val="20"/>
              </w:rPr>
            </w:pPr>
            <w:r w:rsidRPr="00287F21">
              <w:rPr>
                <w:rFonts w:ascii="Arial Narrow" w:hAnsi="Arial Narrow"/>
                <w:b/>
                <w:snapToGrid w:val="0"/>
                <w:sz w:val="20"/>
                <w:szCs w:val="20"/>
              </w:rPr>
              <w:t>AND</w:t>
            </w:r>
          </w:p>
          <w:p w:rsidR="0050588F" w:rsidRPr="00287F21" w:rsidRDefault="0050588F" w:rsidP="00622409">
            <w:pPr>
              <w:ind w:left="-57"/>
              <w:jc w:val="left"/>
              <w:rPr>
                <w:rFonts w:ascii="Arial Narrow" w:hAnsi="Arial Narrow"/>
                <w:snapToGrid w:val="0"/>
                <w:sz w:val="20"/>
                <w:szCs w:val="20"/>
              </w:rPr>
            </w:pPr>
            <w:r w:rsidRPr="00287F21">
              <w:rPr>
                <w:rFonts w:ascii="Arial Narrow" w:hAnsi="Arial Narrow"/>
                <w:snapToGrid w:val="0"/>
                <w:sz w:val="20"/>
                <w:szCs w:val="20"/>
              </w:rPr>
              <w:t>Patient must not receive PBS-subsidised treatment with this drug if progressive disease develops while on this drug</w:t>
            </w:r>
          </w:p>
          <w:p w:rsidR="0050588F" w:rsidRPr="00287F21" w:rsidRDefault="0050588F" w:rsidP="00622409">
            <w:pPr>
              <w:ind w:left="-57"/>
              <w:jc w:val="left"/>
              <w:rPr>
                <w:rFonts w:ascii="Arial Narrow" w:hAnsi="Arial Narrow"/>
                <w:b/>
                <w:snapToGrid w:val="0"/>
                <w:sz w:val="20"/>
                <w:szCs w:val="20"/>
              </w:rPr>
            </w:pPr>
            <w:r w:rsidRPr="00287F21">
              <w:rPr>
                <w:rFonts w:ascii="Arial Narrow" w:hAnsi="Arial Narrow"/>
                <w:b/>
                <w:snapToGrid w:val="0"/>
                <w:sz w:val="20"/>
                <w:szCs w:val="20"/>
              </w:rPr>
              <w:t>AND</w:t>
            </w:r>
          </w:p>
          <w:p w:rsidR="0050588F" w:rsidRPr="00287F21" w:rsidRDefault="0050588F" w:rsidP="00622409">
            <w:pPr>
              <w:ind w:left="-57"/>
              <w:jc w:val="left"/>
              <w:rPr>
                <w:rFonts w:ascii="Arial Narrow" w:hAnsi="Arial Narrow"/>
                <w:snapToGrid w:val="0"/>
                <w:sz w:val="20"/>
                <w:szCs w:val="20"/>
              </w:rPr>
            </w:pPr>
            <w:r w:rsidRPr="00287F21">
              <w:rPr>
                <w:rFonts w:ascii="Arial Narrow" w:hAnsi="Arial Narrow"/>
                <w:snapToGrid w:val="0"/>
                <w:sz w:val="20"/>
                <w:szCs w:val="20"/>
              </w:rPr>
              <w:t>Patient must not have received prior treatment with abiraterone; or</w:t>
            </w:r>
          </w:p>
          <w:p w:rsidR="0050588F" w:rsidRPr="00287F21" w:rsidRDefault="0050588F" w:rsidP="00622409">
            <w:pPr>
              <w:ind w:left="-57"/>
              <w:jc w:val="left"/>
              <w:rPr>
                <w:rFonts w:ascii="Arial Narrow" w:hAnsi="Arial Narrow"/>
                <w:b/>
                <w:snapToGrid w:val="0"/>
                <w:sz w:val="20"/>
                <w:szCs w:val="20"/>
              </w:rPr>
            </w:pPr>
            <w:r w:rsidRPr="00287F21">
              <w:rPr>
                <w:rFonts w:ascii="Arial Narrow" w:hAnsi="Arial Narrow"/>
                <w:snapToGrid w:val="0"/>
                <w:sz w:val="20"/>
                <w:szCs w:val="20"/>
              </w:rPr>
              <w:t>Patient must have developed intolerance to abiraterone</w:t>
            </w:r>
            <w:r w:rsidRPr="00287F21">
              <w:rPr>
                <w:rFonts w:ascii="Arial Narrow" w:hAnsi="Arial Narrow"/>
                <w:i/>
                <w:snapToGrid w:val="0"/>
                <w:sz w:val="20"/>
                <w:szCs w:val="20"/>
              </w:rPr>
              <w:t xml:space="preserve"> </w:t>
            </w:r>
            <w:r w:rsidRPr="00287F21">
              <w:rPr>
                <w:rFonts w:ascii="Arial Narrow" w:hAnsi="Arial Narrow"/>
                <w:snapToGrid w:val="0"/>
                <w:sz w:val="20"/>
                <w:szCs w:val="20"/>
              </w:rPr>
              <w:t>of a severity necessitating permanent treatment withdrawal.</w:t>
            </w:r>
          </w:p>
        </w:tc>
      </w:tr>
      <w:tr w:rsidR="0050588F" w:rsidRPr="00287F21" w:rsidTr="00494F1E">
        <w:trPr>
          <w:trHeight w:val="275"/>
        </w:trPr>
        <w:tc>
          <w:tcPr>
            <w:tcW w:w="9067" w:type="dxa"/>
          </w:tcPr>
          <w:p w:rsidR="0050588F" w:rsidRPr="00287F21" w:rsidRDefault="0050588F" w:rsidP="0050588F">
            <w:pPr>
              <w:ind w:left="-57"/>
              <w:jc w:val="left"/>
              <w:rPr>
                <w:rFonts w:ascii="Arial Narrow" w:hAnsi="Arial Narrow"/>
                <w:snapToGrid w:val="0"/>
                <w:sz w:val="20"/>
                <w:szCs w:val="20"/>
              </w:rPr>
            </w:pPr>
            <w:r w:rsidRPr="00287F21">
              <w:rPr>
                <w:rFonts w:ascii="Arial Narrow" w:hAnsi="Arial Narrow"/>
                <w:b/>
                <w:snapToGrid w:val="0"/>
                <w:sz w:val="20"/>
                <w:szCs w:val="20"/>
                <w:u w:val="single"/>
              </w:rPr>
              <w:t>NOTE</w:t>
            </w:r>
            <w:r w:rsidRPr="00287F21">
              <w:rPr>
                <w:rFonts w:ascii="Arial Narrow" w:hAnsi="Arial Narrow"/>
                <w:b/>
                <w:snapToGrid w:val="0"/>
                <w:sz w:val="20"/>
                <w:szCs w:val="20"/>
              </w:rPr>
              <w:t>s:</w:t>
            </w:r>
            <w:r w:rsidRPr="00287F21">
              <w:rPr>
                <w:rFonts w:ascii="Arial Narrow" w:hAnsi="Arial Narrow"/>
                <w:snapToGrid w:val="0"/>
                <w:sz w:val="20"/>
                <w:szCs w:val="20"/>
              </w:rPr>
              <w:t xml:space="preserve"> </w:t>
            </w:r>
            <w:r w:rsidR="00494F1E" w:rsidRPr="00287F21">
              <w:rPr>
                <w:rFonts w:ascii="Arial Narrow" w:hAnsi="Arial Narrow"/>
                <w:snapToGrid w:val="0"/>
                <w:sz w:val="20"/>
                <w:szCs w:val="20"/>
              </w:rPr>
              <w:t>not displayed here</w:t>
            </w:r>
          </w:p>
        </w:tc>
      </w:tr>
    </w:tbl>
    <w:p w:rsidR="00A41A0B" w:rsidRPr="001B5292" w:rsidRDefault="00A41A0B" w:rsidP="00A41A0B">
      <w:pPr>
        <w:pStyle w:val="3Bodytext"/>
        <w:numPr>
          <w:ilvl w:val="0"/>
          <w:numId w:val="0"/>
        </w:numPr>
        <w:ind w:left="720"/>
        <w:jc w:val="both"/>
        <w:rPr>
          <w:lang w:eastAsia="en-US"/>
        </w:rPr>
      </w:pPr>
    </w:p>
    <w:p w:rsidR="007D17F2" w:rsidRPr="001B5292" w:rsidRDefault="007D17F2" w:rsidP="004A36C5">
      <w:pPr>
        <w:pStyle w:val="3Bodytext"/>
        <w:jc w:val="both"/>
        <w:rPr>
          <w:lang w:eastAsia="en-US"/>
        </w:rPr>
      </w:pPr>
      <w:r w:rsidRPr="001B5292">
        <w:rPr>
          <w:lang w:eastAsia="en-US"/>
        </w:rPr>
        <w:t>The sponsor for abiraterone stated in its pre-PBAC response that it was not supportive of the proposal to remove the word ‘metastatic’ from the current PBS restriction for abiraterone as:</w:t>
      </w:r>
    </w:p>
    <w:p w:rsidR="007D17F2" w:rsidRPr="001B5292" w:rsidRDefault="00A41A0B" w:rsidP="00A41A0B">
      <w:pPr>
        <w:pStyle w:val="3Bodytext"/>
        <w:numPr>
          <w:ilvl w:val="1"/>
          <w:numId w:val="18"/>
        </w:numPr>
        <w:ind w:left="1077" w:hanging="357"/>
        <w:jc w:val="both"/>
        <w:rPr>
          <w:lang w:eastAsia="en-US"/>
        </w:rPr>
      </w:pPr>
      <w:r w:rsidRPr="001B5292">
        <w:rPr>
          <w:lang w:eastAsia="en-US"/>
        </w:rPr>
        <w:t>a</w:t>
      </w:r>
      <w:r w:rsidR="007D17F2" w:rsidRPr="001B5292">
        <w:rPr>
          <w:lang w:eastAsia="en-US"/>
        </w:rPr>
        <w:t xml:space="preserve">biraterone is not TGA approved for use in patients </w:t>
      </w:r>
      <w:r w:rsidR="00F149A2" w:rsidRPr="001B5292">
        <w:rPr>
          <w:lang w:eastAsia="en-US"/>
        </w:rPr>
        <w:t>with non-metastatic</w:t>
      </w:r>
      <w:r w:rsidR="007D17F2" w:rsidRPr="001B5292">
        <w:rPr>
          <w:lang w:eastAsia="en-US"/>
        </w:rPr>
        <w:t xml:space="preserve"> disease</w:t>
      </w:r>
      <w:r w:rsidRPr="001B5292">
        <w:rPr>
          <w:lang w:eastAsia="en-US"/>
        </w:rPr>
        <w:t>;</w:t>
      </w:r>
    </w:p>
    <w:p w:rsidR="007D17F2" w:rsidRPr="001B5292" w:rsidRDefault="00A41A0B" w:rsidP="00A41A0B">
      <w:pPr>
        <w:pStyle w:val="3Bodytext"/>
        <w:numPr>
          <w:ilvl w:val="1"/>
          <w:numId w:val="18"/>
        </w:numPr>
        <w:ind w:left="1077" w:hanging="357"/>
        <w:jc w:val="both"/>
        <w:rPr>
          <w:lang w:eastAsia="en-US"/>
        </w:rPr>
      </w:pPr>
      <w:r w:rsidRPr="001B5292">
        <w:rPr>
          <w:lang w:eastAsia="en-US"/>
        </w:rPr>
        <w:t>a</w:t>
      </w:r>
      <w:r w:rsidR="007D17F2" w:rsidRPr="001B5292">
        <w:rPr>
          <w:lang w:eastAsia="en-US"/>
        </w:rPr>
        <w:t>biraterone is used in combination with prednisone and use earlier in the disease management algorithm would potentially result in patients being on prednisone for longer periods of time. The sponsor indicated that this might be a concern for clinicians given the longer-term safety profile of prednisone</w:t>
      </w:r>
      <w:r w:rsidRPr="001B5292">
        <w:rPr>
          <w:lang w:eastAsia="en-US"/>
        </w:rPr>
        <w:t>; and</w:t>
      </w:r>
    </w:p>
    <w:p w:rsidR="007D17F2" w:rsidRPr="001B5292" w:rsidRDefault="00A41A0B" w:rsidP="00A41A0B">
      <w:pPr>
        <w:pStyle w:val="3Bodytext"/>
        <w:numPr>
          <w:ilvl w:val="1"/>
          <w:numId w:val="18"/>
        </w:numPr>
        <w:ind w:left="1077" w:hanging="357"/>
        <w:jc w:val="both"/>
        <w:rPr>
          <w:lang w:eastAsia="en-US"/>
        </w:rPr>
      </w:pPr>
      <w:r w:rsidRPr="001B5292">
        <w:rPr>
          <w:lang w:eastAsia="en-US"/>
        </w:rPr>
        <w:lastRenderedPageBreak/>
        <w:t>t</w:t>
      </w:r>
      <w:r w:rsidR="007D17F2" w:rsidRPr="001B5292">
        <w:rPr>
          <w:lang w:eastAsia="en-US"/>
        </w:rPr>
        <w:t>he restriction change could result in inappropriate treatment practices which are not evidence-based</w:t>
      </w:r>
      <w:r w:rsidRPr="001B5292">
        <w:rPr>
          <w:lang w:eastAsia="en-US"/>
        </w:rPr>
        <w:t>, including the use of NHAs in patients with low risk m0CRPC (i.e. PSA doubling time of greater than 10 months)</w:t>
      </w:r>
      <w:r w:rsidR="0061035D" w:rsidRPr="001B5292">
        <w:rPr>
          <w:lang w:eastAsia="en-US"/>
        </w:rPr>
        <w:t xml:space="preserve"> and in patients experiencing biological relapse</w:t>
      </w:r>
      <w:r w:rsidRPr="001B5292">
        <w:rPr>
          <w:lang w:eastAsia="en-US"/>
        </w:rPr>
        <w:t>.</w:t>
      </w:r>
    </w:p>
    <w:p w:rsidR="00B26A92" w:rsidRPr="001B5292" w:rsidRDefault="00B26A92" w:rsidP="00B26A92">
      <w:pPr>
        <w:pStyle w:val="3Bodytext"/>
        <w:numPr>
          <w:ilvl w:val="0"/>
          <w:numId w:val="0"/>
        </w:numPr>
        <w:ind w:left="720"/>
        <w:jc w:val="both"/>
        <w:rPr>
          <w:i/>
        </w:rPr>
      </w:pPr>
      <w:r w:rsidRPr="001B5292">
        <w:rPr>
          <w:rFonts w:cs="Arial"/>
          <w:bCs/>
          <w:i/>
          <w:snapToGrid w:val="0"/>
        </w:rPr>
        <w:t>For more detail on PBAC’s view, see section 5 PBAC outcome.</w:t>
      </w:r>
    </w:p>
    <w:p w:rsidR="00C27C1C" w:rsidRPr="001B5292" w:rsidRDefault="00C27C1C" w:rsidP="00B26A92">
      <w:pPr>
        <w:pStyle w:val="Heading1"/>
        <w:keepNext/>
        <w:keepLines/>
        <w:numPr>
          <w:ilvl w:val="0"/>
          <w:numId w:val="2"/>
        </w:numPr>
        <w:spacing w:before="240"/>
        <w:ind w:left="709" w:hanging="709"/>
        <w:rPr>
          <w:sz w:val="32"/>
          <w:szCs w:val="32"/>
        </w:rPr>
      </w:pPr>
      <w:r w:rsidRPr="001B5292">
        <w:rPr>
          <w:sz w:val="32"/>
          <w:szCs w:val="32"/>
        </w:rPr>
        <w:t>Consideration of the evidence</w:t>
      </w:r>
    </w:p>
    <w:p w:rsidR="002F6F0F" w:rsidRPr="001B5292" w:rsidRDefault="00F85206" w:rsidP="00F63293">
      <w:pPr>
        <w:pStyle w:val="4-SubsectionHeading"/>
        <w:rPr>
          <w:lang w:eastAsia="en-US"/>
        </w:rPr>
      </w:pPr>
      <w:r w:rsidRPr="001B5292">
        <w:rPr>
          <w:lang w:eastAsia="en-US"/>
        </w:rPr>
        <w:t>Estimated PBS u</w:t>
      </w:r>
      <w:r w:rsidR="002F6F0F" w:rsidRPr="001B5292">
        <w:rPr>
          <w:lang w:eastAsia="en-US"/>
        </w:rPr>
        <w:t>tilisation</w:t>
      </w:r>
      <w:r w:rsidRPr="001B5292">
        <w:rPr>
          <w:lang w:eastAsia="en-US"/>
        </w:rPr>
        <w:t xml:space="preserve"> and financial implications</w:t>
      </w:r>
    </w:p>
    <w:p w:rsidR="00B26A92" w:rsidRPr="001B5292" w:rsidRDefault="00946E65" w:rsidP="00B26A92">
      <w:pPr>
        <w:pStyle w:val="3Bodytext"/>
        <w:jc w:val="both"/>
      </w:pPr>
      <w:r w:rsidRPr="001B5292">
        <w:t>The PBAC noted that n</w:t>
      </w:r>
      <w:r w:rsidR="001A010E" w:rsidRPr="001B5292">
        <w:t xml:space="preserve">either sponsor provided information on the financial impact of broadening the current restrictions for abiraterone and enzalutamide to include patients with m0CRPC. </w:t>
      </w:r>
    </w:p>
    <w:p w:rsidR="00B26A92" w:rsidRPr="001B5292" w:rsidRDefault="00B26A92" w:rsidP="00B26A92">
      <w:pPr>
        <w:pStyle w:val="3Bodytext"/>
        <w:numPr>
          <w:ilvl w:val="0"/>
          <w:numId w:val="0"/>
        </w:numPr>
        <w:ind w:left="720"/>
        <w:jc w:val="both"/>
        <w:rPr>
          <w:i/>
        </w:rPr>
      </w:pPr>
      <w:r w:rsidRPr="001B5292">
        <w:rPr>
          <w:i/>
          <w:snapToGrid w:val="0"/>
        </w:rPr>
        <w:t>For more detail on PBAC’s view, see section 5 PBAC outcome.</w:t>
      </w:r>
    </w:p>
    <w:p w:rsidR="00B26A92" w:rsidRPr="001B5292" w:rsidRDefault="00B26A92" w:rsidP="00B26A92">
      <w:pPr>
        <w:pStyle w:val="2-SectionHeading"/>
      </w:pPr>
      <w:bookmarkStart w:id="1" w:name="_Hlk76381249"/>
      <w:r w:rsidRPr="001B5292">
        <w:t>PBAC Outcome</w:t>
      </w:r>
    </w:p>
    <w:p w:rsidR="00E87321" w:rsidRPr="001B5292" w:rsidRDefault="00B26A92" w:rsidP="00B26A92">
      <w:pPr>
        <w:widowControl w:val="0"/>
        <w:numPr>
          <w:ilvl w:val="1"/>
          <w:numId w:val="2"/>
        </w:numPr>
        <w:spacing w:after="120"/>
        <w:rPr>
          <w:rFonts w:asciiTheme="minorHAnsi" w:hAnsiTheme="minorHAnsi" w:cs="Arial"/>
          <w:snapToGrid w:val="0"/>
        </w:rPr>
      </w:pPr>
      <w:r w:rsidRPr="001B5292">
        <w:rPr>
          <w:rFonts w:asciiTheme="minorHAnsi" w:hAnsiTheme="minorHAnsi" w:cs="Arial"/>
          <w:snapToGrid w:val="0"/>
        </w:rPr>
        <w:t>The PBAC did not recommend</w:t>
      </w:r>
      <w:r w:rsidR="0061035D" w:rsidRPr="001B5292">
        <w:rPr>
          <w:rFonts w:asciiTheme="minorHAnsi" w:hAnsiTheme="minorHAnsi" w:cs="Arial"/>
          <w:snapToGrid w:val="0"/>
        </w:rPr>
        <w:t xml:space="preserve"> amending the existing abiraterone and enzalutamide re</w:t>
      </w:r>
      <w:r w:rsidR="00E87321" w:rsidRPr="001B5292">
        <w:rPr>
          <w:rFonts w:asciiTheme="minorHAnsi" w:hAnsiTheme="minorHAnsi" w:cs="Arial"/>
          <w:snapToGrid w:val="0"/>
        </w:rPr>
        <w:t xml:space="preserve">strictions for castration resistant prostate cancer (CRPC) to </w:t>
      </w:r>
      <w:r w:rsidR="009B7A81" w:rsidRPr="001B5292">
        <w:rPr>
          <w:rFonts w:asciiTheme="minorHAnsi" w:hAnsiTheme="minorHAnsi" w:cs="Arial"/>
          <w:snapToGrid w:val="0"/>
        </w:rPr>
        <w:t xml:space="preserve">remove the criteria </w:t>
      </w:r>
      <w:r w:rsidR="00614563" w:rsidRPr="001B5292">
        <w:rPr>
          <w:rFonts w:asciiTheme="minorHAnsi" w:hAnsiTheme="minorHAnsi" w:cs="Arial"/>
          <w:snapToGrid w:val="0"/>
        </w:rPr>
        <w:t>that</w:t>
      </w:r>
      <w:r w:rsidR="009B7A81" w:rsidRPr="001B5292">
        <w:rPr>
          <w:rFonts w:asciiTheme="minorHAnsi" w:hAnsiTheme="minorHAnsi" w:cs="Arial"/>
          <w:snapToGrid w:val="0"/>
        </w:rPr>
        <w:t xml:space="preserve"> the disease be metastatic</w:t>
      </w:r>
      <w:r w:rsidR="0061035D" w:rsidRPr="001B5292">
        <w:rPr>
          <w:rFonts w:asciiTheme="minorHAnsi" w:hAnsiTheme="minorHAnsi" w:cs="Arial"/>
          <w:snapToGrid w:val="0"/>
        </w:rPr>
        <w:t xml:space="preserve">. </w:t>
      </w:r>
    </w:p>
    <w:p w:rsidR="002C5257" w:rsidRPr="001B5292" w:rsidRDefault="0061035D" w:rsidP="009B7A81">
      <w:pPr>
        <w:widowControl w:val="0"/>
        <w:numPr>
          <w:ilvl w:val="1"/>
          <w:numId w:val="2"/>
        </w:numPr>
        <w:spacing w:after="120"/>
        <w:rPr>
          <w:rFonts w:asciiTheme="minorHAnsi" w:hAnsiTheme="minorHAnsi" w:cs="Arial"/>
          <w:snapToGrid w:val="0"/>
        </w:rPr>
      </w:pPr>
      <w:r w:rsidRPr="001B5292">
        <w:rPr>
          <w:rFonts w:asciiTheme="minorHAnsi" w:hAnsiTheme="minorHAnsi" w:cs="Arial"/>
          <w:snapToGrid w:val="0"/>
        </w:rPr>
        <w:t xml:space="preserve">The PBAC </w:t>
      </w:r>
      <w:r w:rsidR="00E87321" w:rsidRPr="001B5292">
        <w:rPr>
          <w:rFonts w:asciiTheme="minorHAnsi" w:hAnsiTheme="minorHAnsi" w:cs="Arial"/>
          <w:snapToGrid w:val="0"/>
        </w:rPr>
        <w:t xml:space="preserve">noted that abiraterone </w:t>
      </w:r>
      <w:r w:rsidR="009B7A81" w:rsidRPr="001B5292">
        <w:rPr>
          <w:rFonts w:asciiTheme="minorHAnsi" w:hAnsiTheme="minorHAnsi" w:cs="Arial"/>
          <w:snapToGrid w:val="0"/>
        </w:rPr>
        <w:t>i</w:t>
      </w:r>
      <w:r w:rsidR="00E87321" w:rsidRPr="001B5292">
        <w:rPr>
          <w:rFonts w:asciiTheme="minorHAnsi" w:hAnsiTheme="minorHAnsi" w:cs="Arial"/>
          <w:snapToGrid w:val="0"/>
        </w:rPr>
        <w:t xml:space="preserve">s not TGA </w:t>
      </w:r>
      <w:r w:rsidR="009B7A81" w:rsidRPr="001B5292">
        <w:rPr>
          <w:rFonts w:asciiTheme="minorHAnsi" w:hAnsiTheme="minorHAnsi" w:cs="Arial"/>
          <w:snapToGrid w:val="0"/>
        </w:rPr>
        <w:t>registered</w:t>
      </w:r>
      <w:r w:rsidR="00E87321" w:rsidRPr="001B5292">
        <w:rPr>
          <w:rFonts w:asciiTheme="minorHAnsi" w:hAnsiTheme="minorHAnsi" w:cs="Arial"/>
          <w:snapToGrid w:val="0"/>
        </w:rPr>
        <w:t xml:space="preserve"> for use in </w:t>
      </w:r>
      <w:r w:rsidR="004C4D89" w:rsidRPr="001B5292">
        <w:rPr>
          <w:rFonts w:asciiTheme="minorHAnsi" w:hAnsiTheme="minorHAnsi" w:cs="Arial"/>
          <w:snapToGrid w:val="0"/>
        </w:rPr>
        <w:t xml:space="preserve">CRPC </w:t>
      </w:r>
      <w:r w:rsidR="00E87321" w:rsidRPr="001B5292">
        <w:rPr>
          <w:rFonts w:asciiTheme="minorHAnsi" w:hAnsiTheme="minorHAnsi" w:cs="Arial"/>
          <w:snapToGrid w:val="0"/>
        </w:rPr>
        <w:t>patients without metastatic disease.</w:t>
      </w:r>
      <w:r w:rsidR="004C4D89" w:rsidRPr="001B5292">
        <w:rPr>
          <w:rFonts w:asciiTheme="minorHAnsi" w:hAnsiTheme="minorHAnsi" w:cs="Arial"/>
          <w:snapToGrid w:val="0"/>
        </w:rPr>
        <w:t xml:space="preserve"> </w:t>
      </w:r>
      <w:r w:rsidR="009B7A81" w:rsidRPr="001B5292">
        <w:rPr>
          <w:rFonts w:asciiTheme="minorHAnsi" w:hAnsiTheme="minorHAnsi" w:cs="Arial"/>
          <w:snapToGrid w:val="0"/>
        </w:rPr>
        <w:t>T</w:t>
      </w:r>
      <w:r w:rsidR="00E70BD4" w:rsidRPr="001B5292">
        <w:rPr>
          <w:rFonts w:asciiTheme="minorHAnsi" w:hAnsiTheme="minorHAnsi" w:cs="Arial"/>
          <w:snapToGrid w:val="0"/>
        </w:rPr>
        <w:t xml:space="preserve">he PBAC noted </w:t>
      </w:r>
      <w:r w:rsidR="009B7A81" w:rsidRPr="001B5292">
        <w:rPr>
          <w:rFonts w:asciiTheme="minorHAnsi" w:hAnsiTheme="minorHAnsi" w:cs="Arial"/>
          <w:snapToGrid w:val="0"/>
        </w:rPr>
        <w:t xml:space="preserve">the sponsor’s comments </w:t>
      </w:r>
      <w:r w:rsidR="009C50B8" w:rsidRPr="001B5292">
        <w:rPr>
          <w:rFonts w:asciiTheme="minorHAnsi" w:hAnsiTheme="minorHAnsi" w:cs="Arial"/>
          <w:snapToGrid w:val="0"/>
        </w:rPr>
        <w:t>that</w:t>
      </w:r>
      <w:r w:rsidR="002C5257" w:rsidRPr="001B5292">
        <w:rPr>
          <w:rFonts w:asciiTheme="minorHAnsi" w:hAnsiTheme="minorHAnsi" w:cs="Arial"/>
          <w:snapToGrid w:val="0"/>
        </w:rPr>
        <w:t>:</w:t>
      </w:r>
      <w:r w:rsidR="009C50B8" w:rsidRPr="001B5292">
        <w:rPr>
          <w:rFonts w:asciiTheme="minorHAnsi" w:hAnsiTheme="minorHAnsi" w:cs="Arial"/>
          <w:snapToGrid w:val="0"/>
        </w:rPr>
        <w:t xml:space="preserve"> </w:t>
      </w:r>
    </w:p>
    <w:p w:rsidR="002C5257" w:rsidRPr="001B5292" w:rsidRDefault="00E70BD4" w:rsidP="00070E00">
      <w:pPr>
        <w:pStyle w:val="ListParagraph"/>
        <w:widowControl w:val="0"/>
        <w:numPr>
          <w:ilvl w:val="0"/>
          <w:numId w:val="19"/>
        </w:numPr>
        <w:ind w:left="1077" w:hanging="357"/>
        <w:jc w:val="both"/>
      </w:pPr>
      <w:r w:rsidRPr="001B5292">
        <w:t xml:space="preserve">abiraterone is used in combination with prednisone and that use earlier in the treatment algorithm may result in patients being treated with prednisone for longer periods of time, </w:t>
      </w:r>
      <w:r w:rsidR="009B7A81" w:rsidRPr="001B5292">
        <w:t>and there are potential</w:t>
      </w:r>
      <w:r w:rsidRPr="001B5292">
        <w:t xml:space="preserve"> </w:t>
      </w:r>
      <w:r w:rsidR="009B7A81" w:rsidRPr="001B5292">
        <w:t xml:space="preserve">safety </w:t>
      </w:r>
      <w:r w:rsidRPr="001B5292">
        <w:t>concern</w:t>
      </w:r>
      <w:r w:rsidR="009B7A81" w:rsidRPr="001B5292">
        <w:t>s with</w:t>
      </w:r>
      <w:r w:rsidRPr="001B5292">
        <w:t xml:space="preserve"> the longer-term </w:t>
      </w:r>
      <w:r w:rsidR="009B7A81" w:rsidRPr="001B5292">
        <w:t>use</w:t>
      </w:r>
      <w:r w:rsidRPr="001B5292">
        <w:t xml:space="preserve"> prednisone</w:t>
      </w:r>
      <w:r w:rsidR="00E77E38" w:rsidRPr="001B5292">
        <w:t xml:space="preserve">; and </w:t>
      </w:r>
    </w:p>
    <w:p w:rsidR="002C5257" w:rsidRPr="001B5292" w:rsidRDefault="00E77E38" w:rsidP="00070E00">
      <w:pPr>
        <w:pStyle w:val="ListParagraph"/>
        <w:widowControl w:val="0"/>
        <w:numPr>
          <w:ilvl w:val="0"/>
          <w:numId w:val="19"/>
        </w:numPr>
        <w:ind w:left="1077" w:hanging="357"/>
        <w:jc w:val="both"/>
      </w:pPr>
      <w:r w:rsidRPr="001B5292">
        <w:t>the</w:t>
      </w:r>
      <w:r w:rsidR="004C4D89" w:rsidRPr="001B5292">
        <w:t>re is no clinical trial evidence to support the</w:t>
      </w:r>
      <w:r w:rsidRPr="001B5292">
        <w:t xml:space="preserve"> use of </w:t>
      </w:r>
      <w:r w:rsidR="003B0470" w:rsidRPr="001B5292">
        <w:t>novel hormonal agents (</w:t>
      </w:r>
      <w:r w:rsidRPr="001B5292">
        <w:t>NHAs</w:t>
      </w:r>
      <w:r w:rsidR="003B0470" w:rsidRPr="001B5292">
        <w:t>)</w:t>
      </w:r>
      <w:r w:rsidRPr="001B5292">
        <w:t xml:space="preserve"> in patients with low risk </w:t>
      </w:r>
      <w:r w:rsidR="00F046D2" w:rsidRPr="001B5292">
        <w:t>non-metastatic castration resistant prostate cancer (m0</w:t>
      </w:r>
      <w:r w:rsidRPr="001B5292">
        <w:t>CRPC</w:t>
      </w:r>
      <w:r w:rsidR="00F046D2" w:rsidRPr="001B5292">
        <w:t>)</w:t>
      </w:r>
      <w:r w:rsidR="000A0BD6" w:rsidRPr="001B5292">
        <w:t xml:space="preserve">, i.e. those with a </w:t>
      </w:r>
      <w:r w:rsidR="003B0470" w:rsidRPr="001B5292">
        <w:t>prostate-specific antigen (</w:t>
      </w:r>
      <w:r w:rsidR="000A0BD6" w:rsidRPr="001B5292">
        <w:t>PSA</w:t>
      </w:r>
      <w:r w:rsidR="003B0470" w:rsidRPr="001B5292">
        <w:t>)</w:t>
      </w:r>
      <w:r w:rsidR="000A0BD6" w:rsidRPr="001B5292">
        <w:t xml:space="preserve"> doubling time of greater than 10 months or patients experiencing biochemical relapse</w:t>
      </w:r>
      <w:r w:rsidR="004C4D89" w:rsidRPr="001B5292">
        <w:t>.</w:t>
      </w:r>
      <w:r w:rsidR="00E70BD4" w:rsidRPr="001B5292">
        <w:t xml:space="preserve"> </w:t>
      </w:r>
    </w:p>
    <w:p w:rsidR="006C2E09" w:rsidRPr="001B5292" w:rsidRDefault="009B7A81" w:rsidP="00614563">
      <w:pPr>
        <w:widowControl w:val="0"/>
        <w:numPr>
          <w:ilvl w:val="1"/>
          <w:numId w:val="2"/>
        </w:numPr>
        <w:spacing w:after="120"/>
        <w:rPr>
          <w:rFonts w:asciiTheme="minorHAnsi" w:hAnsiTheme="minorHAnsi" w:cs="Arial"/>
          <w:snapToGrid w:val="0"/>
        </w:rPr>
      </w:pPr>
      <w:r w:rsidRPr="001B5292">
        <w:rPr>
          <w:rFonts w:asciiTheme="minorHAnsi" w:hAnsiTheme="minorHAnsi" w:cs="Arial"/>
          <w:snapToGrid w:val="0"/>
        </w:rPr>
        <w:t>The PBAC noted that enzalutamide is TGA registered for use in the non-metastatic setting</w:t>
      </w:r>
      <w:r w:rsidR="00614563" w:rsidRPr="001B5292">
        <w:rPr>
          <w:rFonts w:asciiTheme="minorHAnsi" w:hAnsiTheme="minorHAnsi" w:cs="Arial"/>
          <w:snapToGrid w:val="0"/>
        </w:rPr>
        <w:t>;</w:t>
      </w:r>
      <w:r w:rsidRPr="001B5292">
        <w:rPr>
          <w:rFonts w:asciiTheme="minorHAnsi" w:hAnsiTheme="minorHAnsi" w:cs="Arial"/>
          <w:snapToGrid w:val="0"/>
        </w:rPr>
        <w:t xml:space="preserve"> however</w:t>
      </w:r>
      <w:r w:rsidR="00614563" w:rsidRPr="001B5292">
        <w:rPr>
          <w:rFonts w:asciiTheme="minorHAnsi" w:hAnsiTheme="minorHAnsi" w:cs="Arial"/>
          <w:snapToGrid w:val="0"/>
        </w:rPr>
        <w:t>,</w:t>
      </w:r>
      <w:r w:rsidRPr="001B5292">
        <w:rPr>
          <w:rFonts w:asciiTheme="minorHAnsi" w:hAnsiTheme="minorHAnsi" w:cs="Arial"/>
          <w:snapToGrid w:val="0"/>
        </w:rPr>
        <w:t xml:space="preserve"> considered it would be complex to craft a restriction which appropriately target</w:t>
      </w:r>
      <w:r w:rsidR="00614563" w:rsidRPr="001B5292">
        <w:rPr>
          <w:rFonts w:asciiTheme="minorHAnsi" w:hAnsiTheme="minorHAnsi" w:cs="Arial"/>
          <w:snapToGrid w:val="0"/>
        </w:rPr>
        <w:t>ed</w:t>
      </w:r>
      <w:r w:rsidRPr="001B5292">
        <w:rPr>
          <w:rFonts w:asciiTheme="minorHAnsi" w:hAnsiTheme="minorHAnsi" w:cs="Arial"/>
          <w:snapToGrid w:val="0"/>
        </w:rPr>
        <w:t xml:space="preserve"> patients at high risk of progressing based on metastases and/or PSA levels. </w:t>
      </w:r>
    </w:p>
    <w:p w:rsidR="009B7A81" w:rsidRPr="001B5292" w:rsidRDefault="009B7A81" w:rsidP="00614563">
      <w:pPr>
        <w:widowControl w:val="0"/>
        <w:numPr>
          <w:ilvl w:val="1"/>
          <w:numId w:val="2"/>
        </w:numPr>
        <w:spacing w:after="120"/>
        <w:rPr>
          <w:rFonts w:asciiTheme="minorHAnsi" w:hAnsiTheme="minorHAnsi" w:cs="Arial"/>
          <w:snapToGrid w:val="0"/>
        </w:rPr>
      </w:pPr>
      <w:r w:rsidRPr="001B5292">
        <w:rPr>
          <w:rFonts w:asciiTheme="minorHAnsi" w:hAnsiTheme="minorHAnsi" w:cs="Arial"/>
          <w:snapToGrid w:val="0"/>
        </w:rPr>
        <w:t xml:space="preserve">The PBAC noted that </w:t>
      </w:r>
      <w:r w:rsidR="006C2E09" w:rsidRPr="001B5292">
        <w:rPr>
          <w:rFonts w:asciiTheme="minorHAnsi" w:hAnsiTheme="minorHAnsi" w:cs="Arial"/>
          <w:snapToGrid w:val="0"/>
        </w:rPr>
        <w:t>neither</w:t>
      </w:r>
      <w:r w:rsidR="004C4D89" w:rsidRPr="001B5292">
        <w:rPr>
          <w:rFonts w:asciiTheme="minorHAnsi" w:hAnsiTheme="minorHAnsi" w:cs="Arial"/>
          <w:snapToGrid w:val="0"/>
        </w:rPr>
        <w:t xml:space="preserve"> sponsor provide</w:t>
      </w:r>
      <w:r w:rsidR="006C2E09" w:rsidRPr="001B5292">
        <w:rPr>
          <w:rFonts w:asciiTheme="minorHAnsi" w:hAnsiTheme="minorHAnsi" w:cs="Arial"/>
          <w:snapToGrid w:val="0"/>
        </w:rPr>
        <w:t>d</w:t>
      </w:r>
      <w:r w:rsidR="004C4D89" w:rsidRPr="001B5292">
        <w:rPr>
          <w:rFonts w:asciiTheme="minorHAnsi" w:hAnsiTheme="minorHAnsi" w:cs="Arial"/>
          <w:snapToGrid w:val="0"/>
        </w:rPr>
        <w:t xml:space="preserve"> an estimate of the financial implications for revising the listing</w:t>
      </w:r>
      <w:r w:rsidR="006C2E09" w:rsidRPr="001B5292">
        <w:rPr>
          <w:rFonts w:asciiTheme="minorHAnsi" w:hAnsiTheme="minorHAnsi" w:cs="Arial"/>
          <w:snapToGrid w:val="0"/>
        </w:rPr>
        <w:t>s</w:t>
      </w:r>
      <w:r w:rsidR="004C4D89" w:rsidRPr="001B5292">
        <w:rPr>
          <w:rFonts w:asciiTheme="minorHAnsi" w:hAnsiTheme="minorHAnsi" w:cs="Arial"/>
          <w:snapToGrid w:val="0"/>
        </w:rPr>
        <w:t>.</w:t>
      </w:r>
    </w:p>
    <w:p w:rsidR="00B26A92" w:rsidRPr="001B5292" w:rsidRDefault="00D96680" w:rsidP="001357E9">
      <w:pPr>
        <w:widowControl w:val="0"/>
        <w:spacing w:after="120"/>
        <w:ind w:left="720"/>
        <w:rPr>
          <w:rFonts w:asciiTheme="minorHAnsi" w:hAnsiTheme="minorHAnsi" w:cs="Arial"/>
          <w:snapToGrid w:val="0"/>
        </w:rPr>
      </w:pPr>
      <w:r w:rsidRPr="001B5292">
        <w:rPr>
          <w:rFonts w:asciiTheme="minorHAnsi" w:hAnsiTheme="minorHAnsi" w:cs="Arial"/>
          <w:snapToGrid w:val="0"/>
        </w:rPr>
        <w:t xml:space="preserve"> </w:t>
      </w:r>
    </w:p>
    <w:p w:rsidR="00B26A92" w:rsidRPr="001B5292" w:rsidRDefault="00B26A92" w:rsidP="00B26A92">
      <w:pPr>
        <w:spacing w:before="240"/>
        <w:rPr>
          <w:rFonts w:asciiTheme="minorHAnsi" w:hAnsiTheme="minorHAnsi" w:cs="Arial"/>
          <w:b/>
          <w:bCs/>
          <w:snapToGrid w:val="0"/>
        </w:rPr>
      </w:pPr>
      <w:r w:rsidRPr="001B5292">
        <w:rPr>
          <w:rFonts w:asciiTheme="minorHAnsi" w:hAnsiTheme="minorHAnsi" w:cs="Arial"/>
          <w:b/>
          <w:bCs/>
          <w:snapToGrid w:val="0"/>
        </w:rPr>
        <w:t>Outcome:</w:t>
      </w:r>
    </w:p>
    <w:p w:rsidR="00B26A92" w:rsidRPr="001B5292" w:rsidRDefault="00B26A92" w:rsidP="00B26A92">
      <w:pPr>
        <w:rPr>
          <w:rFonts w:asciiTheme="minorHAnsi" w:hAnsiTheme="minorHAnsi" w:cs="Arial"/>
          <w:bCs/>
          <w:snapToGrid w:val="0"/>
        </w:rPr>
      </w:pPr>
      <w:r w:rsidRPr="001B5292">
        <w:rPr>
          <w:rFonts w:asciiTheme="minorHAnsi" w:hAnsiTheme="minorHAnsi" w:cs="Arial"/>
          <w:bCs/>
          <w:snapToGrid w:val="0"/>
        </w:rPr>
        <w:t xml:space="preserve">Not recommended </w:t>
      </w:r>
    </w:p>
    <w:p w:rsidR="00B26A92" w:rsidRPr="001B5292" w:rsidRDefault="00B26A92" w:rsidP="00B26A92">
      <w:pPr>
        <w:widowControl w:val="0"/>
        <w:rPr>
          <w:rFonts w:asciiTheme="minorHAnsi" w:hAnsiTheme="minorHAnsi" w:cs="Arial"/>
          <w:b/>
          <w:bCs/>
          <w:snapToGrid w:val="0"/>
        </w:rPr>
      </w:pPr>
    </w:p>
    <w:bookmarkEnd w:id="1"/>
    <w:p w:rsidR="009F1002" w:rsidRPr="009F1002" w:rsidRDefault="009F1002" w:rsidP="009F1002">
      <w:pPr>
        <w:pStyle w:val="2-SectionHeading"/>
      </w:pPr>
      <w:r w:rsidRPr="00C07617">
        <w:lastRenderedPageBreak/>
        <w:t>Context for Decision</w:t>
      </w:r>
    </w:p>
    <w:p w:rsidR="009F1002" w:rsidRPr="007129F2" w:rsidRDefault="009F1002" w:rsidP="009F1002">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9F1002" w:rsidRPr="009F1002" w:rsidRDefault="009F1002" w:rsidP="009F1002">
      <w:pPr>
        <w:pStyle w:val="2-SectionHeading"/>
      </w:pPr>
      <w:r>
        <w:t>Sponsor’s Comment</w:t>
      </w:r>
    </w:p>
    <w:p w:rsidR="00397B4B" w:rsidRPr="00397B4B" w:rsidRDefault="00397B4B" w:rsidP="00397B4B">
      <w:pPr>
        <w:ind w:left="720"/>
        <w:rPr>
          <w:rFonts w:asciiTheme="minorHAnsi" w:hAnsiTheme="minorHAnsi" w:cs="Arial"/>
          <w:bCs/>
          <w:lang w:val="en-GB"/>
        </w:rPr>
      </w:pPr>
      <w:r w:rsidRPr="00397B4B">
        <w:rPr>
          <w:rFonts w:asciiTheme="minorHAnsi" w:hAnsiTheme="minorHAnsi" w:cs="Arial"/>
          <w:bCs/>
          <w:lang w:val="en-GB"/>
        </w:rPr>
        <w:t>Janssen is supportive of this outcome as it consistent with the clinical evidence available for abiraterone and will continue to ensure its appropriate use.</w:t>
      </w:r>
    </w:p>
    <w:p w:rsidR="00405111" w:rsidRPr="001B5292" w:rsidRDefault="00405111" w:rsidP="00B26A92">
      <w:pPr>
        <w:contextualSpacing/>
        <w:rPr>
          <w:rFonts w:asciiTheme="minorHAnsi" w:hAnsiTheme="minorHAnsi"/>
        </w:rPr>
      </w:pPr>
    </w:p>
    <w:sectPr w:rsidR="00405111" w:rsidRPr="001B5292"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D61" w:rsidRDefault="00B52D61">
      <w:r>
        <w:separator/>
      </w:r>
    </w:p>
    <w:p w:rsidR="00B52D61" w:rsidRDefault="00B52D61"/>
  </w:endnote>
  <w:endnote w:type="continuationSeparator" w:id="0">
    <w:p w:rsidR="00B52D61" w:rsidRDefault="00B52D61">
      <w:r>
        <w:continuationSeparator/>
      </w:r>
    </w:p>
    <w:p w:rsidR="00B52D61" w:rsidRDefault="00B52D61"/>
  </w:endnote>
  <w:endnote w:type="continuationNotice" w:id="1">
    <w:p w:rsidR="00B52D61" w:rsidRDefault="00B52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7D17F2" w:rsidTr="005A3173">
      <w:trPr>
        <w:trHeight w:val="151"/>
      </w:trPr>
      <w:tc>
        <w:tcPr>
          <w:tcW w:w="2250" w:type="pct"/>
          <w:tcBorders>
            <w:top w:val="nil"/>
            <w:left w:val="nil"/>
            <w:bottom w:val="single" w:sz="4" w:space="0" w:color="4F81BD"/>
            <w:right w:val="nil"/>
          </w:tcBorders>
        </w:tcPr>
        <w:p w:rsidR="007D17F2" w:rsidRPr="005A3173" w:rsidRDefault="007D17F2" w:rsidP="005A3173">
          <w:pPr>
            <w:pStyle w:val="Header"/>
            <w:spacing w:line="276" w:lineRule="auto"/>
            <w:rPr>
              <w:rFonts w:eastAsia="MS Gothic"/>
              <w:b/>
              <w:bCs/>
              <w:color w:val="4F81BD"/>
            </w:rPr>
          </w:pPr>
        </w:p>
      </w:tc>
      <w:tc>
        <w:tcPr>
          <w:tcW w:w="500" w:type="pct"/>
          <w:vMerge w:val="restart"/>
          <w:noWrap/>
          <w:vAlign w:val="center"/>
          <w:hideMark/>
        </w:tcPr>
        <w:p w:rsidR="007D17F2" w:rsidRPr="005A3173" w:rsidRDefault="007D17F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D17F2" w:rsidRPr="005A3173" w:rsidRDefault="007D17F2" w:rsidP="005A3173">
          <w:pPr>
            <w:pStyle w:val="Header"/>
            <w:spacing w:line="276" w:lineRule="auto"/>
            <w:rPr>
              <w:rFonts w:eastAsia="MS Gothic"/>
              <w:b/>
              <w:bCs/>
              <w:color w:val="4F81BD"/>
            </w:rPr>
          </w:pPr>
        </w:p>
      </w:tc>
    </w:tr>
    <w:tr w:rsidR="007D17F2" w:rsidTr="005A3173">
      <w:trPr>
        <w:trHeight w:val="150"/>
      </w:trPr>
      <w:tc>
        <w:tcPr>
          <w:tcW w:w="2250" w:type="pct"/>
          <w:tcBorders>
            <w:top w:val="single" w:sz="4" w:space="0" w:color="4F81BD"/>
            <w:left w:val="nil"/>
            <w:bottom w:val="nil"/>
            <w:right w:val="nil"/>
          </w:tcBorders>
        </w:tcPr>
        <w:p w:rsidR="007D17F2" w:rsidRPr="005A3173" w:rsidRDefault="007D17F2" w:rsidP="005A3173">
          <w:pPr>
            <w:pStyle w:val="Header"/>
            <w:spacing w:line="276" w:lineRule="auto"/>
            <w:rPr>
              <w:rFonts w:eastAsia="MS Gothic"/>
              <w:b/>
              <w:bCs/>
              <w:color w:val="4F81BD"/>
            </w:rPr>
          </w:pPr>
        </w:p>
      </w:tc>
      <w:tc>
        <w:tcPr>
          <w:tcW w:w="0" w:type="auto"/>
          <w:vMerge/>
          <w:vAlign w:val="center"/>
          <w:hideMark/>
        </w:tcPr>
        <w:p w:rsidR="007D17F2" w:rsidRPr="005A3173" w:rsidRDefault="007D17F2" w:rsidP="005A3173">
          <w:pPr>
            <w:rPr>
              <w:color w:val="365F91"/>
              <w:sz w:val="22"/>
              <w:szCs w:val="22"/>
            </w:rPr>
          </w:pPr>
        </w:p>
      </w:tc>
      <w:tc>
        <w:tcPr>
          <w:tcW w:w="2250" w:type="pct"/>
          <w:tcBorders>
            <w:top w:val="single" w:sz="4" w:space="0" w:color="4F81BD"/>
            <w:left w:val="nil"/>
            <w:bottom w:val="nil"/>
            <w:right w:val="nil"/>
          </w:tcBorders>
        </w:tcPr>
        <w:p w:rsidR="007D17F2" w:rsidRPr="005A3173" w:rsidRDefault="007D17F2" w:rsidP="005A3173">
          <w:pPr>
            <w:pStyle w:val="Header"/>
            <w:spacing w:line="276" w:lineRule="auto"/>
            <w:rPr>
              <w:rFonts w:eastAsia="MS Gothic"/>
              <w:b/>
              <w:bCs/>
              <w:color w:val="4F81BD"/>
            </w:rPr>
          </w:pPr>
        </w:p>
      </w:tc>
    </w:tr>
  </w:tbl>
  <w:p w:rsidR="007D17F2" w:rsidRDefault="007D17F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17F2" w:rsidRDefault="007D17F2">
    <w:pPr>
      <w:pStyle w:val="Footer"/>
    </w:pPr>
  </w:p>
  <w:p w:rsidR="007D17F2" w:rsidRDefault="007D17F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7F2" w:rsidRDefault="007D17F2">
    <w:pPr>
      <w:pStyle w:val="Footer"/>
      <w:jc w:val="center"/>
    </w:pPr>
  </w:p>
  <w:p w:rsidR="007D17F2" w:rsidRPr="009B2000" w:rsidRDefault="004012FF" w:rsidP="009B2000">
    <w:pPr>
      <w:pStyle w:val="Footer"/>
      <w:jc w:val="center"/>
      <w:rPr>
        <w:b/>
      </w:rPr>
    </w:pPr>
    <w:sdt>
      <w:sdtPr>
        <w:id w:val="-307251957"/>
        <w:docPartObj>
          <w:docPartGallery w:val="Page Numbers (Bottom of Page)"/>
          <w:docPartUnique/>
        </w:docPartObj>
      </w:sdtPr>
      <w:sdtEndPr>
        <w:rPr>
          <w:b/>
          <w:noProof/>
        </w:rPr>
      </w:sdtEndPr>
      <w:sdtContent>
        <w:r w:rsidR="007D17F2" w:rsidRPr="00B26A92">
          <w:rPr>
            <w:b/>
          </w:rPr>
          <w:fldChar w:fldCharType="begin"/>
        </w:r>
        <w:r w:rsidR="007D17F2" w:rsidRPr="00B26A92">
          <w:rPr>
            <w:b/>
          </w:rPr>
          <w:instrText xml:space="preserve"> PAGE   \* MERGEFORMAT </w:instrText>
        </w:r>
        <w:r w:rsidR="007D17F2" w:rsidRPr="00B26A92">
          <w:rPr>
            <w:b/>
          </w:rPr>
          <w:fldChar w:fldCharType="separate"/>
        </w:r>
        <w:r>
          <w:rPr>
            <w:b/>
            <w:noProof/>
          </w:rPr>
          <w:t>5</w:t>
        </w:r>
        <w:r w:rsidR="007D17F2" w:rsidRPr="00B26A92">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D61" w:rsidRDefault="00B52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D61" w:rsidRDefault="00B52D61">
      <w:r>
        <w:separator/>
      </w:r>
    </w:p>
    <w:p w:rsidR="00B52D61" w:rsidRDefault="00B52D61"/>
  </w:footnote>
  <w:footnote w:type="continuationSeparator" w:id="0">
    <w:p w:rsidR="00B52D61" w:rsidRDefault="00B52D61">
      <w:r>
        <w:continuationSeparator/>
      </w:r>
    </w:p>
    <w:p w:rsidR="00B52D61" w:rsidRDefault="00B52D61"/>
  </w:footnote>
  <w:footnote w:type="continuationNotice" w:id="1">
    <w:p w:rsidR="00B52D61" w:rsidRDefault="00B52D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7D17F2" w:rsidRPr="008E0D90" w:rsidTr="00A06225">
      <w:trPr>
        <w:trHeight w:val="151"/>
      </w:trPr>
      <w:tc>
        <w:tcPr>
          <w:tcW w:w="2389" w:type="pct"/>
          <w:tcBorders>
            <w:top w:val="nil"/>
            <w:left w:val="nil"/>
            <w:bottom w:val="single" w:sz="4" w:space="0" w:color="4F81BD"/>
            <w:right w:val="nil"/>
          </w:tcBorders>
        </w:tcPr>
        <w:p w:rsidR="007D17F2" w:rsidRPr="00A06225" w:rsidRDefault="007D17F2">
          <w:pPr>
            <w:pStyle w:val="Header"/>
            <w:spacing w:line="276" w:lineRule="auto"/>
            <w:rPr>
              <w:rFonts w:ascii="Cambria" w:eastAsia="MS Gothic" w:hAnsi="Cambria"/>
              <w:b/>
              <w:bCs/>
              <w:color w:val="4F81BD"/>
            </w:rPr>
          </w:pPr>
        </w:p>
      </w:tc>
      <w:tc>
        <w:tcPr>
          <w:tcW w:w="333" w:type="pct"/>
          <w:vMerge w:val="restart"/>
          <w:noWrap/>
          <w:vAlign w:val="center"/>
          <w:hideMark/>
        </w:tcPr>
        <w:p w:rsidR="007D17F2" w:rsidRPr="00A06225" w:rsidRDefault="007D17F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D17F2" w:rsidRPr="00A06225" w:rsidRDefault="007D17F2">
          <w:pPr>
            <w:pStyle w:val="Header"/>
            <w:spacing w:line="276" w:lineRule="auto"/>
            <w:rPr>
              <w:rFonts w:ascii="Cambria" w:eastAsia="MS Gothic" w:hAnsi="Cambria"/>
              <w:b/>
              <w:bCs/>
              <w:color w:val="4F81BD"/>
            </w:rPr>
          </w:pPr>
        </w:p>
      </w:tc>
    </w:tr>
    <w:tr w:rsidR="007D17F2" w:rsidRPr="008E0D90" w:rsidTr="00A06225">
      <w:trPr>
        <w:trHeight w:val="150"/>
      </w:trPr>
      <w:tc>
        <w:tcPr>
          <w:tcW w:w="2389" w:type="pct"/>
          <w:tcBorders>
            <w:top w:val="single" w:sz="4" w:space="0" w:color="4F81BD"/>
            <w:left w:val="nil"/>
            <w:bottom w:val="nil"/>
            <w:right w:val="nil"/>
          </w:tcBorders>
        </w:tcPr>
        <w:p w:rsidR="007D17F2" w:rsidRPr="00A06225" w:rsidRDefault="007D17F2">
          <w:pPr>
            <w:pStyle w:val="Header"/>
            <w:spacing w:line="276" w:lineRule="auto"/>
            <w:rPr>
              <w:rFonts w:ascii="Cambria" w:eastAsia="MS Gothic" w:hAnsi="Cambria"/>
              <w:b/>
              <w:bCs/>
              <w:color w:val="4F81BD"/>
            </w:rPr>
          </w:pPr>
        </w:p>
      </w:tc>
      <w:tc>
        <w:tcPr>
          <w:tcW w:w="0" w:type="auto"/>
          <w:vMerge/>
          <w:vAlign w:val="center"/>
          <w:hideMark/>
        </w:tcPr>
        <w:p w:rsidR="007D17F2" w:rsidRPr="00A06225" w:rsidRDefault="007D17F2">
          <w:pPr>
            <w:rPr>
              <w:rFonts w:ascii="Cambria" w:hAnsi="Cambria"/>
              <w:color w:val="4F81BD"/>
              <w:sz w:val="22"/>
              <w:szCs w:val="22"/>
            </w:rPr>
          </w:pPr>
        </w:p>
      </w:tc>
      <w:tc>
        <w:tcPr>
          <w:tcW w:w="2278" w:type="pct"/>
          <w:tcBorders>
            <w:top w:val="single" w:sz="4" w:space="0" w:color="4F81BD"/>
            <w:left w:val="nil"/>
            <w:bottom w:val="nil"/>
            <w:right w:val="nil"/>
          </w:tcBorders>
        </w:tcPr>
        <w:p w:rsidR="007D17F2" w:rsidRPr="00A06225" w:rsidRDefault="007D17F2">
          <w:pPr>
            <w:pStyle w:val="Header"/>
            <w:spacing w:line="276" w:lineRule="auto"/>
            <w:rPr>
              <w:rFonts w:ascii="Cambria" w:eastAsia="MS Gothic" w:hAnsi="Cambria"/>
              <w:b/>
              <w:bCs/>
              <w:color w:val="4F81BD"/>
            </w:rPr>
          </w:pPr>
        </w:p>
      </w:tc>
    </w:tr>
  </w:tbl>
  <w:p w:rsidR="007D17F2" w:rsidRDefault="007D17F2">
    <w:pPr>
      <w:pStyle w:val="Header"/>
    </w:pPr>
  </w:p>
  <w:p w:rsidR="007D17F2" w:rsidRDefault="007D17F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7F2" w:rsidRPr="00B26A92" w:rsidRDefault="009F1002" w:rsidP="00B26A92">
    <w:pPr>
      <w:pStyle w:val="MinorOVRHeader"/>
      <w:jc w:val="center"/>
      <w:rPr>
        <w:i/>
      </w:rPr>
    </w:pPr>
    <w:r>
      <w:rPr>
        <w:i/>
      </w:rPr>
      <w:t>Public Summary Document</w:t>
    </w:r>
    <w:r w:rsidR="007D17F2" w:rsidRPr="00B26A92">
      <w:rPr>
        <w:i/>
      </w:rPr>
      <w:t xml:space="preserve"> – July 2021 PBAC Meeting</w:t>
    </w:r>
  </w:p>
  <w:p w:rsidR="007D17F2" w:rsidRDefault="007D17F2"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D61" w:rsidRDefault="00B52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E87AE5"/>
    <w:multiLevelType w:val="hybridMultilevel"/>
    <w:tmpl w:val="E14000F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457D1EAC"/>
    <w:multiLevelType w:val="hybridMultilevel"/>
    <w:tmpl w:val="D00E69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0C640B"/>
    <w:multiLevelType w:val="hybridMultilevel"/>
    <w:tmpl w:val="750A6E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4530E36"/>
    <w:multiLevelType w:val="hybridMultilevel"/>
    <w:tmpl w:val="AD169076"/>
    <w:lvl w:ilvl="0" w:tplc="9AE4AB7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7DB308B1"/>
    <w:multiLevelType w:val="multilevel"/>
    <w:tmpl w:val="4EC8DC9A"/>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8"/>
  </w:num>
  <w:num w:numId="2">
    <w:abstractNumId w:val="17"/>
  </w:num>
  <w:num w:numId="3">
    <w:abstractNumId w:val="0"/>
  </w:num>
  <w:num w:numId="4">
    <w:abstractNumId w:val="13"/>
  </w:num>
  <w:num w:numId="5">
    <w:abstractNumId w:val="9"/>
  </w:num>
  <w:num w:numId="6">
    <w:abstractNumId w:val="1"/>
  </w:num>
  <w:num w:numId="7">
    <w:abstractNumId w:val="17"/>
  </w:num>
  <w:num w:numId="8">
    <w:abstractNumId w:val="10"/>
  </w:num>
  <w:num w:numId="9">
    <w:abstractNumId w:val="12"/>
  </w:num>
  <w:num w:numId="10">
    <w:abstractNumId w:val="11"/>
  </w:num>
  <w:num w:numId="11">
    <w:abstractNumId w:val="3"/>
  </w:num>
  <w:num w:numId="12">
    <w:abstractNumId w:val="2"/>
  </w:num>
  <w:num w:numId="13">
    <w:abstractNumId w:val="5"/>
  </w:num>
  <w:num w:numId="14">
    <w:abstractNumId w:val="6"/>
  </w:num>
  <w:num w:numId="15">
    <w:abstractNumId w:val="4"/>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8"/>
  </w:num>
  <w:num w:numId="19">
    <w:abstractNumId w:val="7"/>
  </w:num>
  <w:num w:numId="20">
    <w:abstractNumId w:val="15"/>
  </w:num>
  <w:num w:numId="21">
    <w:abstractNumId w:val="17"/>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embedSystemFonts/>
  <w:activeWritingStyle w:appName="MSWord" w:lang="en-AU" w:vendorID="64" w:dllVersion="0" w:nlCheck="1" w:checkStyle="1"/>
  <w:activeWritingStyle w:appName="MSWord" w:lang="en-GB" w:vendorID="64" w:dllVersion="0" w:nlCheck="1" w:checkStyle="0"/>
  <w:activeWritingStyle w:appName="MSWord" w:lang="en-US"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6782"/>
    <w:rsid w:val="00011A59"/>
    <w:rsid w:val="00016A41"/>
    <w:rsid w:val="000214D1"/>
    <w:rsid w:val="0002464A"/>
    <w:rsid w:val="00025A04"/>
    <w:rsid w:val="0003050E"/>
    <w:rsid w:val="0003106B"/>
    <w:rsid w:val="00034905"/>
    <w:rsid w:val="000421A1"/>
    <w:rsid w:val="0004240E"/>
    <w:rsid w:val="00044EC4"/>
    <w:rsid w:val="00045E26"/>
    <w:rsid w:val="000514B5"/>
    <w:rsid w:val="0005322E"/>
    <w:rsid w:val="00054E2B"/>
    <w:rsid w:val="00060E64"/>
    <w:rsid w:val="00066193"/>
    <w:rsid w:val="00066755"/>
    <w:rsid w:val="00070E00"/>
    <w:rsid w:val="00071A5B"/>
    <w:rsid w:val="00072730"/>
    <w:rsid w:val="0007337F"/>
    <w:rsid w:val="000763D5"/>
    <w:rsid w:val="00076C38"/>
    <w:rsid w:val="00077143"/>
    <w:rsid w:val="00077DF7"/>
    <w:rsid w:val="0008050C"/>
    <w:rsid w:val="000809AE"/>
    <w:rsid w:val="00082169"/>
    <w:rsid w:val="000834BE"/>
    <w:rsid w:val="00083F01"/>
    <w:rsid w:val="00087C4C"/>
    <w:rsid w:val="000918CB"/>
    <w:rsid w:val="00091B06"/>
    <w:rsid w:val="000951C4"/>
    <w:rsid w:val="00095ADA"/>
    <w:rsid w:val="000969AD"/>
    <w:rsid w:val="000975FB"/>
    <w:rsid w:val="000A0BD6"/>
    <w:rsid w:val="000A2092"/>
    <w:rsid w:val="000A3AA2"/>
    <w:rsid w:val="000A44B2"/>
    <w:rsid w:val="000A52F6"/>
    <w:rsid w:val="000B44C3"/>
    <w:rsid w:val="000B4FBE"/>
    <w:rsid w:val="000B558D"/>
    <w:rsid w:val="000B5A89"/>
    <w:rsid w:val="000B65F6"/>
    <w:rsid w:val="000B7767"/>
    <w:rsid w:val="000C5F95"/>
    <w:rsid w:val="000C6996"/>
    <w:rsid w:val="000C7C46"/>
    <w:rsid w:val="000D09E9"/>
    <w:rsid w:val="000D113F"/>
    <w:rsid w:val="000D23BA"/>
    <w:rsid w:val="000E19B7"/>
    <w:rsid w:val="000E20FC"/>
    <w:rsid w:val="000E3DFB"/>
    <w:rsid w:val="000E5EA1"/>
    <w:rsid w:val="000E681E"/>
    <w:rsid w:val="000E7E52"/>
    <w:rsid w:val="000F0003"/>
    <w:rsid w:val="000F3384"/>
    <w:rsid w:val="000F4E6A"/>
    <w:rsid w:val="000F7354"/>
    <w:rsid w:val="00100852"/>
    <w:rsid w:val="00101ABE"/>
    <w:rsid w:val="00102202"/>
    <w:rsid w:val="00102700"/>
    <w:rsid w:val="00102A78"/>
    <w:rsid w:val="00103118"/>
    <w:rsid w:val="00104227"/>
    <w:rsid w:val="001107BF"/>
    <w:rsid w:val="00113649"/>
    <w:rsid w:val="00113D5C"/>
    <w:rsid w:val="001147B1"/>
    <w:rsid w:val="001179AC"/>
    <w:rsid w:val="0012417C"/>
    <w:rsid w:val="00124BF2"/>
    <w:rsid w:val="0012597F"/>
    <w:rsid w:val="0012749D"/>
    <w:rsid w:val="001306A5"/>
    <w:rsid w:val="001311AE"/>
    <w:rsid w:val="001357E9"/>
    <w:rsid w:val="00140B74"/>
    <w:rsid w:val="00140D94"/>
    <w:rsid w:val="00142395"/>
    <w:rsid w:val="00142714"/>
    <w:rsid w:val="00144D09"/>
    <w:rsid w:val="001452ED"/>
    <w:rsid w:val="00147D84"/>
    <w:rsid w:val="00153F9E"/>
    <w:rsid w:val="001549C1"/>
    <w:rsid w:val="00156C8D"/>
    <w:rsid w:val="00160F4D"/>
    <w:rsid w:val="00162BDD"/>
    <w:rsid w:val="00162D4E"/>
    <w:rsid w:val="00163329"/>
    <w:rsid w:val="00164623"/>
    <w:rsid w:val="001652DE"/>
    <w:rsid w:val="00165B64"/>
    <w:rsid w:val="00167C39"/>
    <w:rsid w:val="00176B9D"/>
    <w:rsid w:val="00180713"/>
    <w:rsid w:val="00180720"/>
    <w:rsid w:val="001830CE"/>
    <w:rsid w:val="001836E3"/>
    <w:rsid w:val="0018643B"/>
    <w:rsid w:val="00196307"/>
    <w:rsid w:val="00197F03"/>
    <w:rsid w:val="001A010E"/>
    <w:rsid w:val="001A0D10"/>
    <w:rsid w:val="001A33EA"/>
    <w:rsid w:val="001A4413"/>
    <w:rsid w:val="001A4C4F"/>
    <w:rsid w:val="001A5A2B"/>
    <w:rsid w:val="001A76FB"/>
    <w:rsid w:val="001B017F"/>
    <w:rsid w:val="001B0B79"/>
    <w:rsid w:val="001B2BBC"/>
    <w:rsid w:val="001B3A40"/>
    <w:rsid w:val="001B3FFE"/>
    <w:rsid w:val="001B5129"/>
    <w:rsid w:val="001B5292"/>
    <w:rsid w:val="001C0B4C"/>
    <w:rsid w:val="001C0EC4"/>
    <w:rsid w:val="001C1195"/>
    <w:rsid w:val="001C12AE"/>
    <w:rsid w:val="001C1E84"/>
    <w:rsid w:val="001C2E42"/>
    <w:rsid w:val="001D1F5F"/>
    <w:rsid w:val="001E06D2"/>
    <w:rsid w:val="001E17C4"/>
    <w:rsid w:val="001F005B"/>
    <w:rsid w:val="001F1850"/>
    <w:rsid w:val="001F1FBF"/>
    <w:rsid w:val="001F2B80"/>
    <w:rsid w:val="001F2F1C"/>
    <w:rsid w:val="001F3189"/>
    <w:rsid w:val="00201FB8"/>
    <w:rsid w:val="00203FAC"/>
    <w:rsid w:val="00213CFB"/>
    <w:rsid w:val="0021553C"/>
    <w:rsid w:val="0021557B"/>
    <w:rsid w:val="002174FD"/>
    <w:rsid w:val="00217BE1"/>
    <w:rsid w:val="002214B9"/>
    <w:rsid w:val="00230F63"/>
    <w:rsid w:val="00234252"/>
    <w:rsid w:val="0023466E"/>
    <w:rsid w:val="00237AC6"/>
    <w:rsid w:val="00244139"/>
    <w:rsid w:val="00244490"/>
    <w:rsid w:val="002459BD"/>
    <w:rsid w:val="00245B9C"/>
    <w:rsid w:val="0025308C"/>
    <w:rsid w:val="00253499"/>
    <w:rsid w:val="002551A4"/>
    <w:rsid w:val="00257664"/>
    <w:rsid w:val="00260165"/>
    <w:rsid w:val="00265151"/>
    <w:rsid w:val="00265C2C"/>
    <w:rsid w:val="00266509"/>
    <w:rsid w:val="00271BA1"/>
    <w:rsid w:val="00273AC5"/>
    <w:rsid w:val="002762FA"/>
    <w:rsid w:val="00277505"/>
    <w:rsid w:val="0028158C"/>
    <w:rsid w:val="002823B6"/>
    <w:rsid w:val="00287F21"/>
    <w:rsid w:val="00290C03"/>
    <w:rsid w:val="00294274"/>
    <w:rsid w:val="0029458F"/>
    <w:rsid w:val="002A018F"/>
    <w:rsid w:val="002A0E04"/>
    <w:rsid w:val="002A104C"/>
    <w:rsid w:val="002A1EF7"/>
    <w:rsid w:val="002A494D"/>
    <w:rsid w:val="002A4960"/>
    <w:rsid w:val="002A636A"/>
    <w:rsid w:val="002B0AE0"/>
    <w:rsid w:val="002B1AE6"/>
    <w:rsid w:val="002B1D51"/>
    <w:rsid w:val="002B2CA6"/>
    <w:rsid w:val="002B2DE8"/>
    <w:rsid w:val="002B30F8"/>
    <w:rsid w:val="002B388A"/>
    <w:rsid w:val="002B5596"/>
    <w:rsid w:val="002B5B38"/>
    <w:rsid w:val="002B77D7"/>
    <w:rsid w:val="002C212F"/>
    <w:rsid w:val="002C2F35"/>
    <w:rsid w:val="002C5257"/>
    <w:rsid w:val="002C6AA9"/>
    <w:rsid w:val="002C7485"/>
    <w:rsid w:val="002D2641"/>
    <w:rsid w:val="002D283A"/>
    <w:rsid w:val="002D4543"/>
    <w:rsid w:val="002E3153"/>
    <w:rsid w:val="002E4A02"/>
    <w:rsid w:val="002E5292"/>
    <w:rsid w:val="002E72CA"/>
    <w:rsid w:val="002F1D07"/>
    <w:rsid w:val="002F600D"/>
    <w:rsid w:val="002F6F0F"/>
    <w:rsid w:val="002F7E47"/>
    <w:rsid w:val="00300AD6"/>
    <w:rsid w:val="00300B1B"/>
    <w:rsid w:val="003019D0"/>
    <w:rsid w:val="003064AF"/>
    <w:rsid w:val="00310A8B"/>
    <w:rsid w:val="00310B68"/>
    <w:rsid w:val="003160D2"/>
    <w:rsid w:val="003173FC"/>
    <w:rsid w:val="00317C6C"/>
    <w:rsid w:val="00320B80"/>
    <w:rsid w:val="00320CD3"/>
    <w:rsid w:val="00326E79"/>
    <w:rsid w:val="0032748A"/>
    <w:rsid w:val="003301B1"/>
    <w:rsid w:val="00331189"/>
    <w:rsid w:val="0033263D"/>
    <w:rsid w:val="0033518A"/>
    <w:rsid w:val="00335535"/>
    <w:rsid w:val="003367EF"/>
    <w:rsid w:val="00341AE4"/>
    <w:rsid w:val="003476EE"/>
    <w:rsid w:val="003541DD"/>
    <w:rsid w:val="00356E5B"/>
    <w:rsid w:val="003736C9"/>
    <w:rsid w:val="00383B77"/>
    <w:rsid w:val="00384988"/>
    <w:rsid w:val="003872CF"/>
    <w:rsid w:val="0039782C"/>
    <w:rsid w:val="00397B4B"/>
    <w:rsid w:val="003A13A6"/>
    <w:rsid w:val="003A2165"/>
    <w:rsid w:val="003A5B4A"/>
    <w:rsid w:val="003A5D95"/>
    <w:rsid w:val="003B0470"/>
    <w:rsid w:val="003B0D3A"/>
    <w:rsid w:val="003B2302"/>
    <w:rsid w:val="003B23C5"/>
    <w:rsid w:val="003B2A75"/>
    <w:rsid w:val="003B49B2"/>
    <w:rsid w:val="003B6124"/>
    <w:rsid w:val="003B7960"/>
    <w:rsid w:val="003C093A"/>
    <w:rsid w:val="003C1ECF"/>
    <w:rsid w:val="003C2FB5"/>
    <w:rsid w:val="003D24C5"/>
    <w:rsid w:val="003D4594"/>
    <w:rsid w:val="003D4AC4"/>
    <w:rsid w:val="003D63B7"/>
    <w:rsid w:val="003D74C5"/>
    <w:rsid w:val="003E0A63"/>
    <w:rsid w:val="003E4374"/>
    <w:rsid w:val="003E468B"/>
    <w:rsid w:val="003E62BD"/>
    <w:rsid w:val="003F044F"/>
    <w:rsid w:val="003F0C3A"/>
    <w:rsid w:val="003F15F0"/>
    <w:rsid w:val="003F3228"/>
    <w:rsid w:val="003F5C8C"/>
    <w:rsid w:val="003F63CE"/>
    <w:rsid w:val="003F775A"/>
    <w:rsid w:val="00400E55"/>
    <w:rsid w:val="0040128E"/>
    <w:rsid w:val="004012FF"/>
    <w:rsid w:val="0040216B"/>
    <w:rsid w:val="00405111"/>
    <w:rsid w:val="00420400"/>
    <w:rsid w:val="00420D4F"/>
    <w:rsid w:val="004252EC"/>
    <w:rsid w:val="00430D39"/>
    <w:rsid w:val="0043247B"/>
    <w:rsid w:val="00442C91"/>
    <w:rsid w:val="004465BD"/>
    <w:rsid w:val="00446938"/>
    <w:rsid w:val="004528FA"/>
    <w:rsid w:val="00454BC8"/>
    <w:rsid w:val="00457AD3"/>
    <w:rsid w:val="00461A44"/>
    <w:rsid w:val="00462D26"/>
    <w:rsid w:val="0046385A"/>
    <w:rsid w:val="00466ADA"/>
    <w:rsid w:val="004702BB"/>
    <w:rsid w:val="0047494B"/>
    <w:rsid w:val="00476245"/>
    <w:rsid w:val="00477A9B"/>
    <w:rsid w:val="00483035"/>
    <w:rsid w:val="00485940"/>
    <w:rsid w:val="00486C95"/>
    <w:rsid w:val="004877C2"/>
    <w:rsid w:val="004904B9"/>
    <w:rsid w:val="00494F1E"/>
    <w:rsid w:val="00496662"/>
    <w:rsid w:val="004A2484"/>
    <w:rsid w:val="004A36C5"/>
    <w:rsid w:val="004A5A85"/>
    <w:rsid w:val="004A71D1"/>
    <w:rsid w:val="004A7C5B"/>
    <w:rsid w:val="004B1845"/>
    <w:rsid w:val="004B2348"/>
    <w:rsid w:val="004B2E01"/>
    <w:rsid w:val="004B2E98"/>
    <w:rsid w:val="004B5640"/>
    <w:rsid w:val="004B6084"/>
    <w:rsid w:val="004BCF29"/>
    <w:rsid w:val="004C03D0"/>
    <w:rsid w:val="004C1BD7"/>
    <w:rsid w:val="004C239C"/>
    <w:rsid w:val="004C31FE"/>
    <w:rsid w:val="004C4D89"/>
    <w:rsid w:val="004C524C"/>
    <w:rsid w:val="004C5FFA"/>
    <w:rsid w:val="004C691D"/>
    <w:rsid w:val="004C6C07"/>
    <w:rsid w:val="004C7E15"/>
    <w:rsid w:val="004D09A7"/>
    <w:rsid w:val="004D2CD1"/>
    <w:rsid w:val="004D40AC"/>
    <w:rsid w:val="004D4FF6"/>
    <w:rsid w:val="004D5ADD"/>
    <w:rsid w:val="004E692D"/>
    <w:rsid w:val="004E6F45"/>
    <w:rsid w:val="004E7230"/>
    <w:rsid w:val="004E7D87"/>
    <w:rsid w:val="004F2553"/>
    <w:rsid w:val="004F306A"/>
    <w:rsid w:val="00501554"/>
    <w:rsid w:val="00502AFE"/>
    <w:rsid w:val="00502E64"/>
    <w:rsid w:val="00502F2C"/>
    <w:rsid w:val="00503AD7"/>
    <w:rsid w:val="00503E89"/>
    <w:rsid w:val="00504E0C"/>
    <w:rsid w:val="00504E13"/>
    <w:rsid w:val="0050588F"/>
    <w:rsid w:val="00507D8D"/>
    <w:rsid w:val="005109D4"/>
    <w:rsid w:val="00514CD7"/>
    <w:rsid w:val="005167EC"/>
    <w:rsid w:val="005170DA"/>
    <w:rsid w:val="00520D6A"/>
    <w:rsid w:val="00522420"/>
    <w:rsid w:val="00522DB6"/>
    <w:rsid w:val="005238C8"/>
    <w:rsid w:val="005264A7"/>
    <w:rsid w:val="0052792D"/>
    <w:rsid w:val="005319B2"/>
    <w:rsid w:val="00532402"/>
    <w:rsid w:val="00532C74"/>
    <w:rsid w:val="00534E2E"/>
    <w:rsid w:val="0054064C"/>
    <w:rsid w:val="00544552"/>
    <w:rsid w:val="00545130"/>
    <w:rsid w:val="0055286A"/>
    <w:rsid w:val="00555745"/>
    <w:rsid w:val="00556B02"/>
    <w:rsid w:val="00556BD5"/>
    <w:rsid w:val="00557D4F"/>
    <w:rsid w:val="0056122E"/>
    <w:rsid w:val="0056484E"/>
    <w:rsid w:val="00567D8A"/>
    <w:rsid w:val="005764CD"/>
    <w:rsid w:val="00577C4D"/>
    <w:rsid w:val="00580532"/>
    <w:rsid w:val="00581932"/>
    <w:rsid w:val="00582ED7"/>
    <w:rsid w:val="00585E02"/>
    <w:rsid w:val="005963BB"/>
    <w:rsid w:val="005A15D2"/>
    <w:rsid w:val="005A3173"/>
    <w:rsid w:val="005A3223"/>
    <w:rsid w:val="005A3DA3"/>
    <w:rsid w:val="005A52C4"/>
    <w:rsid w:val="005A63A1"/>
    <w:rsid w:val="005B6040"/>
    <w:rsid w:val="005C2C61"/>
    <w:rsid w:val="005C3234"/>
    <w:rsid w:val="005C4F73"/>
    <w:rsid w:val="005C527F"/>
    <w:rsid w:val="005D03AB"/>
    <w:rsid w:val="005D0A74"/>
    <w:rsid w:val="005D12E8"/>
    <w:rsid w:val="005D401D"/>
    <w:rsid w:val="005D5017"/>
    <w:rsid w:val="005D63FA"/>
    <w:rsid w:val="005D73C7"/>
    <w:rsid w:val="005E0C2D"/>
    <w:rsid w:val="005E0D82"/>
    <w:rsid w:val="005E0F59"/>
    <w:rsid w:val="005E1333"/>
    <w:rsid w:val="005E3136"/>
    <w:rsid w:val="005E507D"/>
    <w:rsid w:val="005F0AD0"/>
    <w:rsid w:val="00601A91"/>
    <w:rsid w:val="00602BA3"/>
    <w:rsid w:val="00605B63"/>
    <w:rsid w:val="00605F9A"/>
    <w:rsid w:val="00606442"/>
    <w:rsid w:val="00606EED"/>
    <w:rsid w:val="0061035D"/>
    <w:rsid w:val="00612A95"/>
    <w:rsid w:val="00612E34"/>
    <w:rsid w:val="00613936"/>
    <w:rsid w:val="00614159"/>
    <w:rsid w:val="00614563"/>
    <w:rsid w:val="006158A3"/>
    <w:rsid w:val="00616C5F"/>
    <w:rsid w:val="00616DAC"/>
    <w:rsid w:val="00617725"/>
    <w:rsid w:val="00617C00"/>
    <w:rsid w:val="006263BF"/>
    <w:rsid w:val="0062748A"/>
    <w:rsid w:val="00630A2C"/>
    <w:rsid w:val="0063682E"/>
    <w:rsid w:val="00640088"/>
    <w:rsid w:val="00642672"/>
    <w:rsid w:val="00642DA8"/>
    <w:rsid w:val="006436CD"/>
    <w:rsid w:val="006447EF"/>
    <w:rsid w:val="00651169"/>
    <w:rsid w:val="00653D69"/>
    <w:rsid w:val="006552E6"/>
    <w:rsid w:val="00655794"/>
    <w:rsid w:val="00657C63"/>
    <w:rsid w:val="00661CBC"/>
    <w:rsid w:val="00662B85"/>
    <w:rsid w:val="006670BE"/>
    <w:rsid w:val="00670A76"/>
    <w:rsid w:val="006711AA"/>
    <w:rsid w:val="00672B57"/>
    <w:rsid w:val="00673F1F"/>
    <w:rsid w:val="0067409C"/>
    <w:rsid w:val="00675622"/>
    <w:rsid w:val="0067747D"/>
    <w:rsid w:val="006818D5"/>
    <w:rsid w:val="00681CA4"/>
    <w:rsid w:val="0069039D"/>
    <w:rsid w:val="006906DB"/>
    <w:rsid w:val="00691900"/>
    <w:rsid w:val="00691E6C"/>
    <w:rsid w:val="0069342D"/>
    <w:rsid w:val="00693DFB"/>
    <w:rsid w:val="00694FD5"/>
    <w:rsid w:val="0069501D"/>
    <w:rsid w:val="00696129"/>
    <w:rsid w:val="00697CF2"/>
    <w:rsid w:val="006A12A5"/>
    <w:rsid w:val="006A2515"/>
    <w:rsid w:val="006A535F"/>
    <w:rsid w:val="006A5E20"/>
    <w:rsid w:val="006B0CA8"/>
    <w:rsid w:val="006B0D94"/>
    <w:rsid w:val="006B485D"/>
    <w:rsid w:val="006C0C45"/>
    <w:rsid w:val="006C2E09"/>
    <w:rsid w:val="006C334C"/>
    <w:rsid w:val="006C6C10"/>
    <w:rsid w:val="006C708E"/>
    <w:rsid w:val="006D0C0F"/>
    <w:rsid w:val="006D14E7"/>
    <w:rsid w:val="006D4444"/>
    <w:rsid w:val="006D6493"/>
    <w:rsid w:val="006D6EC7"/>
    <w:rsid w:val="006E1BCD"/>
    <w:rsid w:val="006E2732"/>
    <w:rsid w:val="006E59CD"/>
    <w:rsid w:val="006F0A71"/>
    <w:rsid w:val="006F40C2"/>
    <w:rsid w:val="006F5125"/>
    <w:rsid w:val="006F534F"/>
    <w:rsid w:val="006F733D"/>
    <w:rsid w:val="00700765"/>
    <w:rsid w:val="00702B6F"/>
    <w:rsid w:val="00704069"/>
    <w:rsid w:val="00706A2F"/>
    <w:rsid w:val="0070718E"/>
    <w:rsid w:val="00707E52"/>
    <w:rsid w:val="00710259"/>
    <w:rsid w:val="0071031F"/>
    <w:rsid w:val="0071340B"/>
    <w:rsid w:val="0071436D"/>
    <w:rsid w:val="00715BBB"/>
    <w:rsid w:val="007174BB"/>
    <w:rsid w:val="0072025D"/>
    <w:rsid w:val="00723328"/>
    <w:rsid w:val="007257C1"/>
    <w:rsid w:val="0073137C"/>
    <w:rsid w:val="007340B9"/>
    <w:rsid w:val="007353D3"/>
    <w:rsid w:val="00737FFB"/>
    <w:rsid w:val="0074156B"/>
    <w:rsid w:val="00741619"/>
    <w:rsid w:val="00747092"/>
    <w:rsid w:val="007526E6"/>
    <w:rsid w:val="00754DF9"/>
    <w:rsid w:val="007555E8"/>
    <w:rsid w:val="00755CC5"/>
    <w:rsid w:val="0076420C"/>
    <w:rsid w:val="007704F3"/>
    <w:rsid w:val="0077095C"/>
    <w:rsid w:val="00771D07"/>
    <w:rsid w:val="00773BE3"/>
    <w:rsid w:val="007743DD"/>
    <w:rsid w:val="00774E2C"/>
    <w:rsid w:val="0077518D"/>
    <w:rsid w:val="007753C2"/>
    <w:rsid w:val="007838B8"/>
    <w:rsid w:val="007915BA"/>
    <w:rsid w:val="00791844"/>
    <w:rsid w:val="007979BD"/>
    <w:rsid w:val="007A6A2F"/>
    <w:rsid w:val="007B024E"/>
    <w:rsid w:val="007B3DDC"/>
    <w:rsid w:val="007B72A6"/>
    <w:rsid w:val="007C06D2"/>
    <w:rsid w:val="007C08E0"/>
    <w:rsid w:val="007C0F57"/>
    <w:rsid w:val="007C3964"/>
    <w:rsid w:val="007C40B6"/>
    <w:rsid w:val="007C729F"/>
    <w:rsid w:val="007D17F2"/>
    <w:rsid w:val="007D503D"/>
    <w:rsid w:val="007D59E7"/>
    <w:rsid w:val="007D5F2A"/>
    <w:rsid w:val="007E1D28"/>
    <w:rsid w:val="007E490F"/>
    <w:rsid w:val="007E4F99"/>
    <w:rsid w:val="007F0021"/>
    <w:rsid w:val="007F2641"/>
    <w:rsid w:val="007F37B2"/>
    <w:rsid w:val="007F7C36"/>
    <w:rsid w:val="008055AF"/>
    <w:rsid w:val="0080573C"/>
    <w:rsid w:val="008057CD"/>
    <w:rsid w:val="00806796"/>
    <w:rsid w:val="00810167"/>
    <w:rsid w:val="00811CC0"/>
    <w:rsid w:val="008151D6"/>
    <w:rsid w:val="00821527"/>
    <w:rsid w:val="00821C07"/>
    <w:rsid w:val="00822696"/>
    <w:rsid w:val="00825A6C"/>
    <w:rsid w:val="0082617E"/>
    <w:rsid w:val="008268BB"/>
    <w:rsid w:val="00826F6D"/>
    <w:rsid w:val="008306F3"/>
    <w:rsid w:val="00830E40"/>
    <w:rsid w:val="00832D9A"/>
    <w:rsid w:val="00834430"/>
    <w:rsid w:val="00835C62"/>
    <w:rsid w:val="008368A1"/>
    <w:rsid w:val="00840EF7"/>
    <w:rsid w:val="00844C0A"/>
    <w:rsid w:val="00846056"/>
    <w:rsid w:val="0084681F"/>
    <w:rsid w:val="00847EC0"/>
    <w:rsid w:val="00855FD6"/>
    <w:rsid w:val="00856DDD"/>
    <w:rsid w:val="0085734C"/>
    <w:rsid w:val="00863E68"/>
    <w:rsid w:val="008647B5"/>
    <w:rsid w:val="00867D64"/>
    <w:rsid w:val="00875DCB"/>
    <w:rsid w:val="0087755A"/>
    <w:rsid w:val="00882085"/>
    <w:rsid w:val="00883188"/>
    <w:rsid w:val="00884A0C"/>
    <w:rsid w:val="00885F85"/>
    <w:rsid w:val="00886ACA"/>
    <w:rsid w:val="0089031E"/>
    <w:rsid w:val="0089460B"/>
    <w:rsid w:val="00897D58"/>
    <w:rsid w:val="00897F22"/>
    <w:rsid w:val="008A0B39"/>
    <w:rsid w:val="008A17A3"/>
    <w:rsid w:val="008A1956"/>
    <w:rsid w:val="008A1E85"/>
    <w:rsid w:val="008A2419"/>
    <w:rsid w:val="008A3A46"/>
    <w:rsid w:val="008A4937"/>
    <w:rsid w:val="008A50F1"/>
    <w:rsid w:val="008A59D9"/>
    <w:rsid w:val="008A643E"/>
    <w:rsid w:val="008A6819"/>
    <w:rsid w:val="008B2EC0"/>
    <w:rsid w:val="008B6DCF"/>
    <w:rsid w:val="008D0945"/>
    <w:rsid w:val="008D1409"/>
    <w:rsid w:val="008D15CC"/>
    <w:rsid w:val="008D1729"/>
    <w:rsid w:val="008D1B5C"/>
    <w:rsid w:val="008D3C82"/>
    <w:rsid w:val="008D447E"/>
    <w:rsid w:val="008D4EA8"/>
    <w:rsid w:val="008D6ACF"/>
    <w:rsid w:val="008D7A41"/>
    <w:rsid w:val="008E2C72"/>
    <w:rsid w:val="008E3680"/>
    <w:rsid w:val="008E5870"/>
    <w:rsid w:val="008E77E4"/>
    <w:rsid w:val="008F0213"/>
    <w:rsid w:val="008F07ED"/>
    <w:rsid w:val="008F11F8"/>
    <w:rsid w:val="008F1434"/>
    <w:rsid w:val="008F2BB9"/>
    <w:rsid w:val="008F3D6A"/>
    <w:rsid w:val="008F54C3"/>
    <w:rsid w:val="008F7355"/>
    <w:rsid w:val="009019A6"/>
    <w:rsid w:val="009023DC"/>
    <w:rsid w:val="009027C5"/>
    <w:rsid w:val="00904413"/>
    <w:rsid w:val="009067B7"/>
    <w:rsid w:val="0090775A"/>
    <w:rsid w:val="00907DFD"/>
    <w:rsid w:val="00913C99"/>
    <w:rsid w:val="00917D69"/>
    <w:rsid w:val="00920B6D"/>
    <w:rsid w:val="00926560"/>
    <w:rsid w:val="00926B15"/>
    <w:rsid w:val="00930291"/>
    <w:rsid w:val="00930937"/>
    <w:rsid w:val="009324A6"/>
    <w:rsid w:val="00933E6C"/>
    <w:rsid w:val="00935A6E"/>
    <w:rsid w:val="00937958"/>
    <w:rsid w:val="009406E5"/>
    <w:rsid w:val="00941602"/>
    <w:rsid w:val="00942160"/>
    <w:rsid w:val="00946921"/>
    <w:rsid w:val="00946E65"/>
    <w:rsid w:val="0095146F"/>
    <w:rsid w:val="00957944"/>
    <w:rsid w:val="009602C5"/>
    <w:rsid w:val="00962223"/>
    <w:rsid w:val="0096252B"/>
    <w:rsid w:val="00964A9F"/>
    <w:rsid w:val="00966D0D"/>
    <w:rsid w:val="00967732"/>
    <w:rsid w:val="0096783C"/>
    <w:rsid w:val="009722B3"/>
    <w:rsid w:val="00973E24"/>
    <w:rsid w:val="00974C21"/>
    <w:rsid w:val="00975948"/>
    <w:rsid w:val="00977BF3"/>
    <w:rsid w:val="009803E4"/>
    <w:rsid w:val="00980B0E"/>
    <w:rsid w:val="00982B39"/>
    <w:rsid w:val="009836A3"/>
    <w:rsid w:val="009855A8"/>
    <w:rsid w:val="00985D1A"/>
    <w:rsid w:val="009913F4"/>
    <w:rsid w:val="00991782"/>
    <w:rsid w:val="009937F7"/>
    <w:rsid w:val="0099465B"/>
    <w:rsid w:val="009951A1"/>
    <w:rsid w:val="00997724"/>
    <w:rsid w:val="00997A44"/>
    <w:rsid w:val="009A0CDD"/>
    <w:rsid w:val="009A1DC0"/>
    <w:rsid w:val="009A3168"/>
    <w:rsid w:val="009A4BDF"/>
    <w:rsid w:val="009A5D04"/>
    <w:rsid w:val="009A61CA"/>
    <w:rsid w:val="009B0C64"/>
    <w:rsid w:val="009B0F67"/>
    <w:rsid w:val="009B2000"/>
    <w:rsid w:val="009B3F8C"/>
    <w:rsid w:val="009B7A81"/>
    <w:rsid w:val="009C50B8"/>
    <w:rsid w:val="009C60C8"/>
    <w:rsid w:val="009C703C"/>
    <w:rsid w:val="009D206E"/>
    <w:rsid w:val="009D3CAA"/>
    <w:rsid w:val="009D507A"/>
    <w:rsid w:val="009D6532"/>
    <w:rsid w:val="009D71FD"/>
    <w:rsid w:val="009E2588"/>
    <w:rsid w:val="009E2E8E"/>
    <w:rsid w:val="009E40E1"/>
    <w:rsid w:val="009F0EFA"/>
    <w:rsid w:val="009F1002"/>
    <w:rsid w:val="009F4E46"/>
    <w:rsid w:val="009F5B65"/>
    <w:rsid w:val="009F5F2E"/>
    <w:rsid w:val="00A01432"/>
    <w:rsid w:val="00A06225"/>
    <w:rsid w:val="00A110D1"/>
    <w:rsid w:val="00A12587"/>
    <w:rsid w:val="00A128E6"/>
    <w:rsid w:val="00A144D3"/>
    <w:rsid w:val="00A22AC3"/>
    <w:rsid w:val="00A23F3F"/>
    <w:rsid w:val="00A24067"/>
    <w:rsid w:val="00A24A4B"/>
    <w:rsid w:val="00A2744D"/>
    <w:rsid w:val="00A30D16"/>
    <w:rsid w:val="00A343CA"/>
    <w:rsid w:val="00A34E6C"/>
    <w:rsid w:val="00A34FD0"/>
    <w:rsid w:val="00A36398"/>
    <w:rsid w:val="00A37C8D"/>
    <w:rsid w:val="00A4020E"/>
    <w:rsid w:val="00A40FB5"/>
    <w:rsid w:val="00A41A0B"/>
    <w:rsid w:val="00A42826"/>
    <w:rsid w:val="00A429B3"/>
    <w:rsid w:val="00A44EC1"/>
    <w:rsid w:val="00A510E4"/>
    <w:rsid w:val="00A5273B"/>
    <w:rsid w:val="00A53A9D"/>
    <w:rsid w:val="00A55FEE"/>
    <w:rsid w:val="00A57422"/>
    <w:rsid w:val="00A62C1A"/>
    <w:rsid w:val="00A6426D"/>
    <w:rsid w:val="00A665C1"/>
    <w:rsid w:val="00A673A4"/>
    <w:rsid w:val="00A7001A"/>
    <w:rsid w:val="00A70622"/>
    <w:rsid w:val="00A70977"/>
    <w:rsid w:val="00A70D58"/>
    <w:rsid w:val="00A744F9"/>
    <w:rsid w:val="00A77613"/>
    <w:rsid w:val="00A77B87"/>
    <w:rsid w:val="00A81851"/>
    <w:rsid w:val="00A8390C"/>
    <w:rsid w:val="00A86AE0"/>
    <w:rsid w:val="00A91362"/>
    <w:rsid w:val="00A9151C"/>
    <w:rsid w:val="00A919C6"/>
    <w:rsid w:val="00A928BD"/>
    <w:rsid w:val="00A97DE9"/>
    <w:rsid w:val="00AA12CD"/>
    <w:rsid w:val="00AA4D1C"/>
    <w:rsid w:val="00AA52FD"/>
    <w:rsid w:val="00AA53BD"/>
    <w:rsid w:val="00AA7006"/>
    <w:rsid w:val="00AB2B21"/>
    <w:rsid w:val="00AB5856"/>
    <w:rsid w:val="00AC193C"/>
    <w:rsid w:val="00AC30C1"/>
    <w:rsid w:val="00AC4DE5"/>
    <w:rsid w:val="00AC5206"/>
    <w:rsid w:val="00AD3106"/>
    <w:rsid w:val="00AD4322"/>
    <w:rsid w:val="00AE11A5"/>
    <w:rsid w:val="00AE13E2"/>
    <w:rsid w:val="00AE22D3"/>
    <w:rsid w:val="00AE5A49"/>
    <w:rsid w:val="00AF11D8"/>
    <w:rsid w:val="00AF5867"/>
    <w:rsid w:val="00AF5918"/>
    <w:rsid w:val="00AF62DF"/>
    <w:rsid w:val="00AF68CC"/>
    <w:rsid w:val="00AF70D7"/>
    <w:rsid w:val="00B01FF4"/>
    <w:rsid w:val="00B0326D"/>
    <w:rsid w:val="00B06478"/>
    <w:rsid w:val="00B07533"/>
    <w:rsid w:val="00B07CFB"/>
    <w:rsid w:val="00B1059E"/>
    <w:rsid w:val="00B14A36"/>
    <w:rsid w:val="00B16273"/>
    <w:rsid w:val="00B170A5"/>
    <w:rsid w:val="00B176C8"/>
    <w:rsid w:val="00B17EE5"/>
    <w:rsid w:val="00B205AA"/>
    <w:rsid w:val="00B22E84"/>
    <w:rsid w:val="00B233AD"/>
    <w:rsid w:val="00B23E25"/>
    <w:rsid w:val="00B25F75"/>
    <w:rsid w:val="00B26A92"/>
    <w:rsid w:val="00B26B3F"/>
    <w:rsid w:val="00B2778F"/>
    <w:rsid w:val="00B327E2"/>
    <w:rsid w:val="00B33635"/>
    <w:rsid w:val="00B37F73"/>
    <w:rsid w:val="00B42AF4"/>
    <w:rsid w:val="00B43E90"/>
    <w:rsid w:val="00B44FEF"/>
    <w:rsid w:val="00B467DC"/>
    <w:rsid w:val="00B52D61"/>
    <w:rsid w:val="00B5392A"/>
    <w:rsid w:val="00B56118"/>
    <w:rsid w:val="00B566E1"/>
    <w:rsid w:val="00B6773F"/>
    <w:rsid w:val="00B70EB3"/>
    <w:rsid w:val="00B72906"/>
    <w:rsid w:val="00B7525E"/>
    <w:rsid w:val="00B760FB"/>
    <w:rsid w:val="00B767AB"/>
    <w:rsid w:val="00B801BA"/>
    <w:rsid w:val="00B812D6"/>
    <w:rsid w:val="00B84D5C"/>
    <w:rsid w:val="00B85AF6"/>
    <w:rsid w:val="00B956ED"/>
    <w:rsid w:val="00BA2DA8"/>
    <w:rsid w:val="00BA347C"/>
    <w:rsid w:val="00BA4F49"/>
    <w:rsid w:val="00BB3469"/>
    <w:rsid w:val="00BB5C49"/>
    <w:rsid w:val="00BB6240"/>
    <w:rsid w:val="00BB6285"/>
    <w:rsid w:val="00BB69F5"/>
    <w:rsid w:val="00BB7EC3"/>
    <w:rsid w:val="00BC470E"/>
    <w:rsid w:val="00BC4B9A"/>
    <w:rsid w:val="00BD02C3"/>
    <w:rsid w:val="00BD7483"/>
    <w:rsid w:val="00BD784C"/>
    <w:rsid w:val="00BE020A"/>
    <w:rsid w:val="00BE13DF"/>
    <w:rsid w:val="00BE25D7"/>
    <w:rsid w:val="00BF092C"/>
    <w:rsid w:val="00BF27A0"/>
    <w:rsid w:val="00BF3207"/>
    <w:rsid w:val="00BF4CB6"/>
    <w:rsid w:val="00C00DA7"/>
    <w:rsid w:val="00C04CDE"/>
    <w:rsid w:val="00C068A6"/>
    <w:rsid w:val="00C12768"/>
    <w:rsid w:val="00C12D70"/>
    <w:rsid w:val="00C16724"/>
    <w:rsid w:val="00C21B09"/>
    <w:rsid w:val="00C2673A"/>
    <w:rsid w:val="00C275F1"/>
    <w:rsid w:val="00C27B58"/>
    <w:rsid w:val="00C27C1C"/>
    <w:rsid w:val="00C33186"/>
    <w:rsid w:val="00C35996"/>
    <w:rsid w:val="00C4747E"/>
    <w:rsid w:val="00C5151E"/>
    <w:rsid w:val="00C5318E"/>
    <w:rsid w:val="00C5342C"/>
    <w:rsid w:val="00C53B2B"/>
    <w:rsid w:val="00C55483"/>
    <w:rsid w:val="00C57465"/>
    <w:rsid w:val="00C60272"/>
    <w:rsid w:val="00C603D4"/>
    <w:rsid w:val="00C6256A"/>
    <w:rsid w:val="00C64EBC"/>
    <w:rsid w:val="00C664D2"/>
    <w:rsid w:val="00C710E2"/>
    <w:rsid w:val="00C71C3F"/>
    <w:rsid w:val="00C7409E"/>
    <w:rsid w:val="00C74D6D"/>
    <w:rsid w:val="00C76E76"/>
    <w:rsid w:val="00C77891"/>
    <w:rsid w:val="00C829A9"/>
    <w:rsid w:val="00C86197"/>
    <w:rsid w:val="00C87B80"/>
    <w:rsid w:val="00C91449"/>
    <w:rsid w:val="00C92D10"/>
    <w:rsid w:val="00C96EC0"/>
    <w:rsid w:val="00CA48D9"/>
    <w:rsid w:val="00CB1193"/>
    <w:rsid w:val="00CB1455"/>
    <w:rsid w:val="00CB4767"/>
    <w:rsid w:val="00CB493D"/>
    <w:rsid w:val="00CC0AC3"/>
    <w:rsid w:val="00CC3B97"/>
    <w:rsid w:val="00CD7C0B"/>
    <w:rsid w:val="00CE10C4"/>
    <w:rsid w:val="00CE27B5"/>
    <w:rsid w:val="00CE6DAF"/>
    <w:rsid w:val="00CF410A"/>
    <w:rsid w:val="00CF4735"/>
    <w:rsid w:val="00D0321E"/>
    <w:rsid w:val="00D069EB"/>
    <w:rsid w:val="00D07A8A"/>
    <w:rsid w:val="00D10CCC"/>
    <w:rsid w:val="00D11199"/>
    <w:rsid w:val="00D1455A"/>
    <w:rsid w:val="00D14A70"/>
    <w:rsid w:val="00D22093"/>
    <w:rsid w:val="00D2608E"/>
    <w:rsid w:val="00D31150"/>
    <w:rsid w:val="00D3138B"/>
    <w:rsid w:val="00D31FCE"/>
    <w:rsid w:val="00D320B6"/>
    <w:rsid w:val="00D3280C"/>
    <w:rsid w:val="00D3406A"/>
    <w:rsid w:val="00D40B11"/>
    <w:rsid w:val="00D429EC"/>
    <w:rsid w:val="00D441F1"/>
    <w:rsid w:val="00D4572C"/>
    <w:rsid w:val="00D4656B"/>
    <w:rsid w:val="00D469B2"/>
    <w:rsid w:val="00D53F3B"/>
    <w:rsid w:val="00D54B09"/>
    <w:rsid w:val="00D6243E"/>
    <w:rsid w:val="00D65658"/>
    <w:rsid w:val="00D67EB2"/>
    <w:rsid w:val="00D72B6F"/>
    <w:rsid w:val="00D741EB"/>
    <w:rsid w:val="00D7679C"/>
    <w:rsid w:val="00D820F3"/>
    <w:rsid w:val="00D83605"/>
    <w:rsid w:val="00D84758"/>
    <w:rsid w:val="00D84934"/>
    <w:rsid w:val="00D866EB"/>
    <w:rsid w:val="00D87D1A"/>
    <w:rsid w:val="00D91271"/>
    <w:rsid w:val="00D919F5"/>
    <w:rsid w:val="00D945F6"/>
    <w:rsid w:val="00D94680"/>
    <w:rsid w:val="00D94F03"/>
    <w:rsid w:val="00D95161"/>
    <w:rsid w:val="00D96680"/>
    <w:rsid w:val="00DA0A82"/>
    <w:rsid w:val="00DA0D14"/>
    <w:rsid w:val="00DA1FC9"/>
    <w:rsid w:val="00DA2CB5"/>
    <w:rsid w:val="00DA4BAC"/>
    <w:rsid w:val="00DB0151"/>
    <w:rsid w:val="00DB50E1"/>
    <w:rsid w:val="00DB6605"/>
    <w:rsid w:val="00DC0566"/>
    <w:rsid w:val="00DC1499"/>
    <w:rsid w:val="00DC2C3E"/>
    <w:rsid w:val="00DC3137"/>
    <w:rsid w:val="00DC4880"/>
    <w:rsid w:val="00DD13BC"/>
    <w:rsid w:val="00DD42AB"/>
    <w:rsid w:val="00DE06AF"/>
    <w:rsid w:val="00DE6D27"/>
    <w:rsid w:val="00DF01F8"/>
    <w:rsid w:val="00DF021D"/>
    <w:rsid w:val="00DF217D"/>
    <w:rsid w:val="00DF26A7"/>
    <w:rsid w:val="00DF3277"/>
    <w:rsid w:val="00DF6A31"/>
    <w:rsid w:val="00DF77A1"/>
    <w:rsid w:val="00DF7919"/>
    <w:rsid w:val="00E0207E"/>
    <w:rsid w:val="00E025A7"/>
    <w:rsid w:val="00E02AE6"/>
    <w:rsid w:val="00E03912"/>
    <w:rsid w:val="00E04748"/>
    <w:rsid w:val="00E078D9"/>
    <w:rsid w:val="00E10293"/>
    <w:rsid w:val="00E103A0"/>
    <w:rsid w:val="00E13E60"/>
    <w:rsid w:val="00E15627"/>
    <w:rsid w:val="00E164B3"/>
    <w:rsid w:val="00E16910"/>
    <w:rsid w:val="00E239E2"/>
    <w:rsid w:val="00E24E09"/>
    <w:rsid w:val="00E27234"/>
    <w:rsid w:val="00E33649"/>
    <w:rsid w:val="00E3495C"/>
    <w:rsid w:val="00E42BDB"/>
    <w:rsid w:val="00E5726D"/>
    <w:rsid w:val="00E5726E"/>
    <w:rsid w:val="00E57EEB"/>
    <w:rsid w:val="00E62D94"/>
    <w:rsid w:val="00E62ECC"/>
    <w:rsid w:val="00E64F37"/>
    <w:rsid w:val="00E65091"/>
    <w:rsid w:val="00E65E54"/>
    <w:rsid w:val="00E661C7"/>
    <w:rsid w:val="00E70B9D"/>
    <w:rsid w:val="00E70BD4"/>
    <w:rsid w:val="00E71629"/>
    <w:rsid w:val="00E732C4"/>
    <w:rsid w:val="00E74E41"/>
    <w:rsid w:val="00E77E38"/>
    <w:rsid w:val="00E80155"/>
    <w:rsid w:val="00E8134B"/>
    <w:rsid w:val="00E81E0D"/>
    <w:rsid w:val="00E81F28"/>
    <w:rsid w:val="00E848C0"/>
    <w:rsid w:val="00E86F92"/>
    <w:rsid w:val="00E87321"/>
    <w:rsid w:val="00E91B96"/>
    <w:rsid w:val="00E935DA"/>
    <w:rsid w:val="00E93D1E"/>
    <w:rsid w:val="00E941A1"/>
    <w:rsid w:val="00E95CE3"/>
    <w:rsid w:val="00EA0856"/>
    <w:rsid w:val="00EA252F"/>
    <w:rsid w:val="00EA2825"/>
    <w:rsid w:val="00EA6518"/>
    <w:rsid w:val="00EA71A2"/>
    <w:rsid w:val="00EA7466"/>
    <w:rsid w:val="00EA7EDE"/>
    <w:rsid w:val="00EB0B63"/>
    <w:rsid w:val="00EB1936"/>
    <w:rsid w:val="00EB3545"/>
    <w:rsid w:val="00EB37BE"/>
    <w:rsid w:val="00EB4BAE"/>
    <w:rsid w:val="00EB5088"/>
    <w:rsid w:val="00EC2726"/>
    <w:rsid w:val="00ED0105"/>
    <w:rsid w:val="00ED15FB"/>
    <w:rsid w:val="00ED1644"/>
    <w:rsid w:val="00ED2593"/>
    <w:rsid w:val="00ED7D55"/>
    <w:rsid w:val="00ED7D9C"/>
    <w:rsid w:val="00EE31A2"/>
    <w:rsid w:val="00EF0069"/>
    <w:rsid w:val="00EF44A0"/>
    <w:rsid w:val="00EF4580"/>
    <w:rsid w:val="00EF4FED"/>
    <w:rsid w:val="00EF5F45"/>
    <w:rsid w:val="00EF6843"/>
    <w:rsid w:val="00EF6FB3"/>
    <w:rsid w:val="00F007C6"/>
    <w:rsid w:val="00F0172E"/>
    <w:rsid w:val="00F046D2"/>
    <w:rsid w:val="00F050BD"/>
    <w:rsid w:val="00F05657"/>
    <w:rsid w:val="00F05AB0"/>
    <w:rsid w:val="00F07604"/>
    <w:rsid w:val="00F12C74"/>
    <w:rsid w:val="00F149A2"/>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AFD"/>
    <w:rsid w:val="00F37B93"/>
    <w:rsid w:val="00F37BAD"/>
    <w:rsid w:val="00F37ECA"/>
    <w:rsid w:val="00F40A1C"/>
    <w:rsid w:val="00F43AF2"/>
    <w:rsid w:val="00F45216"/>
    <w:rsid w:val="00F5007E"/>
    <w:rsid w:val="00F50EC4"/>
    <w:rsid w:val="00F52232"/>
    <w:rsid w:val="00F52DC2"/>
    <w:rsid w:val="00F550CF"/>
    <w:rsid w:val="00F553D2"/>
    <w:rsid w:val="00F5596A"/>
    <w:rsid w:val="00F57A6D"/>
    <w:rsid w:val="00F6044B"/>
    <w:rsid w:val="00F62F19"/>
    <w:rsid w:val="00F63293"/>
    <w:rsid w:val="00F638CC"/>
    <w:rsid w:val="00F64C9E"/>
    <w:rsid w:val="00F64CC1"/>
    <w:rsid w:val="00F72317"/>
    <w:rsid w:val="00F73DC1"/>
    <w:rsid w:val="00F75BB8"/>
    <w:rsid w:val="00F80475"/>
    <w:rsid w:val="00F80E6E"/>
    <w:rsid w:val="00F81390"/>
    <w:rsid w:val="00F81F7A"/>
    <w:rsid w:val="00F8247A"/>
    <w:rsid w:val="00F82E5C"/>
    <w:rsid w:val="00F83F58"/>
    <w:rsid w:val="00F85206"/>
    <w:rsid w:val="00F87CEA"/>
    <w:rsid w:val="00F9629A"/>
    <w:rsid w:val="00F97EFC"/>
    <w:rsid w:val="00FA0C7C"/>
    <w:rsid w:val="00FA1BDD"/>
    <w:rsid w:val="00FA305C"/>
    <w:rsid w:val="00FA462E"/>
    <w:rsid w:val="00FA4DD5"/>
    <w:rsid w:val="00FA5883"/>
    <w:rsid w:val="00FA6055"/>
    <w:rsid w:val="00FB0B39"/>
    <w:rsid w:val="00FB322F"/>
    <w:rsid w:val="00FB442F"/>
    <w:rsid w:val="00FC118C"/>
    <w:rsid w:val="00FC1929"/>
    <w:rsid w:val="00FC5B46"/>
    <w:rsid w:val="00FD1D4F"/>
    <w:rsid w:val="00FD24BF"/>
    <w:rsid w:val="00FD33FD"/>
    <w:rsid w:val="00FD3B6E"/>
    <w:rsid w:val="00FD57EB"/>
    <w:rsid w:val="00FD6D8E"/>
    <w:rsid w:val="00FE0663"/>
    <w:rsid w:val="00FE0E94"/>
    <w:rsid w:val="00FE2957"/>
    <w:rsid w:val="00FE369C"/>
    <w:rsid w:val="00FE3CD9"/>
    <w:rsid w:val="00FF00BD"/>
    <w:rsid w:val="00FF0B13"/>
    <w:rsid w:val="00FF1ED4"/>
    <w:rsid w:val="00FF2801"/>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72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aliases w:val="- H19"/>
    <w:basedOn w:val="Normal"/>
    <w:link w:val="CommentTextChar"/>
    <w:qFormat/>
    <w:rsid w:val="00BB7EC3"/>
    <w:rPr>
      <w:sz w:val="20"/>
      <w:szCs w:val="20"/>
    </w:rPr>
  </w:style>
  <w:style w:type="character" w:customStyle="1" w:styleId="CommentTextChar">
    <w:name w:val="Comment Text Char"/>
    <w:aliases w:val="- H19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table" w:customStyle="1" w:styleId="TableGrid1">
    <w:name w:val="Table Grid1"/>
    <w:basedOn w:val="TableNormal"/>
    <w:rsid w:val="001A010E"/>
    <w:pPr>
      <w:spacing w:before="360"/>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26329705">
      <w:bodyDiv w:val="1"/>
      <w:marLeft w:val="0"/>
      <w:marRight w:val="0"/>
      <w:marTop w:val="0"/>
      <w:marBottom w:val="0"/>
      <w:divBdr>
        <w:top w:val="none" w:sz="0" w:space="0" w:color="auto"/>
        <w:left w:val="none" w:sz="0" w:space="0" w:color="auto"/>
        <w:bottom w:val="none" w:sz="0" w:space="0" w:color="auto"/>
        <w:right w:val="none" w:sz="0" w:space="0" w:color="auto"/>
      </w:divBdr>
    </w:div>
    <w:div w:id="617101850">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9EF07-9AAA-44AF-86D1-8154ED4D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1402</Words>
  <Characters>8120</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3.01 ABIRATERONE, Tablet containing abiraterone acetate 250 mg,  Tablet containi</vt:lpstr>
      <vt:lpstr>Purpose of item</vt:lpstr>
      <vt:lpstr>Background </vt:lpstr>
      <vt:lpstr>    Registration status</vt:lpstr>
      <vt:lpstr>    Previous PBAC consideration </vt:lpstr>
      <vt:lpstr>Proposed PBS listing changes </vt:lpstr>
      <vt:lpstr>Consideration of the evidence</vt:lpstr>
      <vt:lpstr>    Estimated PBS utilisation and financial implications</vt:lpstr>
      <vt:lpstr>PBAC Outcome</vt:lpstr>
      <vt:lpstr>Context for Decision</vt:lpstr>
      <vt:lpstr>Sponsor’s Comment</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2021-10-28T00:57:00Z</dcterms:created>
  <dcterms:modified xsi:type="dcterms:W3CDTF">2021-10-28T00:58:00Z</dcterms:modified>
</cp:coreProperties>
</file>