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86" w:rsidRPr="00DC0807" w:rsidRDefault="001F7B7D" w:rsidP="00C12C14">
      <w:pPr>
        <w:rPr>
          <w:b/>
          <w:sz w:val="36"/>
          <w:szCs w:val="36"/>
        </w:rPr>
      </w:pPr>
      <w:r w:rsidRPr="00DC0807">
        <w:rPr>
          <w:b/>
          <w:sz w:val="36"/>
          <w:szCs w:val="36"/>
        </w:rPr>
        <w:t>6.13</w:t>
      </w:r>
      <w:r w:rsidR="00B60939" w:rsidRPr="00DC0807">
        <w:rPr>
          <w:b/>
          <w:sz w:val="36"/>
          <w:szCs w:val="36"/>
        </w:rPr>
        <w:tab/>
      </w:r>
      <w:r w:rsidR="00A6593A" w:rsidRPr="00DC0807">
        <w:rPr>
          <w:b/>
          <w:sz w:val="36"/>
          <w:szCs w:val="36"/>
        </w:rPr>
        <w:t>USTEKINUMAB</w:t>
      </w:r>
      <w:r w:rsidR="00B60939" w:rsidRPr="00DC0807">
        <w:rPr>
          <w:b/>
          <w:sz w:val="36"/>
          <w:szCs w:val="36"/>
        </w:rPr>
        <w:t xml:space="preserve">, </w:t>
      </w:r>
    </w:p>
    <w:p w:rsidR="005A0586" w:rsidRPr="00DC0807" w:rsidRDefault="005A0586" w:rsidP="00454811">
      <w:pPr>
        <w:ind w:left="720"/>
        <w:rPr>
          <w:b/>
          <w:sz w:val="36"/>
          <w:szCs w:val="36"/>
        </w:rPr>
      </w:pPr>
      <w:r w:rsidRPr="00DC0807">
        <w:rPr>
          <w:b/>
          <w:sz w:val="36"/>
          <w:szCs w:val="36"/>
        </w:rPr>
        <w:t>I</w:t>
      </w:r>
      <w:r w:rsidR="00A6593A" w:rsidRPr="00DC0807">
        <w:rPr>
          <w:b/>
          <w:sz w:val="36"/>
          <w:szCs w:val="36"/>
        </w:rPr>
        <w:t>njection</w:t>
      </w:r>
      <w:r w:rsidR="00B60939" w:rsidRPr="00DC0807">
        <w:rPr>
          <w:b/>
          <w:sz w:val="36"/>
          <w:szCs w:val="36"/>
        </w:rPr>
        <w:t xml:space="preserve"> </w:t>
      </w:r>
      <w:r w:rsidR="00A6593A" w:rsidRPr="00DC0807">
        <w:rPr>
          <w:b/>
          <w:sz w:val="36"/>
          <w:szCs w:val="36"/>
        </w:rPr>
        <w:t>45</w:t>
      </w:r>
      <w:r w:rsidRPr="00DC0807">
        <w:rPr>
          <w:b/>
          <w:sz w:val="36"/>
          <w:szCs w:val="36"/>
        </w:rPr>
        <w:t xml:space="preserve"> </w:t>
      </w:r>
      <w:r w:rsidR="00A6593A" w:rsidRPr="00DC0807">
        <w:rPr>
          <w:b/>
          <w:sz w:val="36"/>
          <w:szCs w:val="36"/>
        </w:rPr>
        <w:t>mg</w:t>
      </w:r>
      <w:r w:rsidRPr="00DC0807">
        <w:rPr>
          <w:b/>
          <w:sz w:val="36"/>
          <w:szCs w:val="36"/>
        </w:rPr>
        <w:t xml:space="preserve"> in 0.5 mL</w:t>
      </w:r>
      <w:r w:rsidR="00B60939" w:rsidRPr="00DC0807">
        <w:rPr>
          <w:b/>
          <w:sz w:val="36"/>
          <w:szCs w:val="36"/>
        </w:rPr>
        <w:t xml:space="preserve">, </w:t>
      </w:r>
    </w:p>
    <w:p w:rsidR="005A0586" w:rsidRPr="00DC0807" w:rsidRDefault="00A6593A" w:rsidP="00454811">
      <w:pPr>
        <w:ind w:left="720"/>
        <w:rPr>
          <w:b/>
          <w:sz w:val="36"/>
          <w:szCs w:val="36"/>
        </w:rPr>
      </w:pPr>
      <w:r w:rsidRPr="00DC0807">
        <w:rPr>
          <w:b/>
          <w:sz w:val="36"/>
          <w:szCs w:val="36"/>
        </w:rPr>
        <w:t>Stelara</w:t>
      </w:r>
      <w:r w:rsidR="00B60939" w:rsidRPr="00DC0807">
        <w:rPr>
          <w:b/>
          <w:sz w:val="36"/>
          <w:szCs w:val="36"/>
          <w:vertAlign w:val="superscript"/>
        </w:rPr>
        <w:t>®</w:t>
      </w:r>
      <w:r w:rsidR="00B60939" w:rsidRPr="00DC0807">
        <w:rPr>
          <w:b/>
          <w:sz w:val="36"/>
          <w:szCs w:val="36"/>
        </w:rPr>
        <w:t>,</w:t>
      </w:r>
    </w:p>
    <w:p w:rsidR="00B60939" w:rsidRPr="00DC0807" w:rsidRDefault="00A6593A" w:rsidP="00454811">
      <w:pPr>
        <w:ind w:left="720"/>
        <w:rPr>
          <w:b/>
          <w:sz w:val="36"/>
          <w:szCs w:val="36"/>
        </w:rPr>
      </w:pPr>
      <w:r w:rsidRPr="00DC0807">
        <w:rPr>
          <w:b/>
          <w:sz w:val="36"/>
          <w:szCs w:val="36"/>
        </w:rPr>
        <w:t>Janssen-Cilag Pty Ltd</w:t>
      </w:r>
    </w:p>
    <w:p w:rsidR="004C3AC1" w:rsidRPr="00DC0807" w:rsidRDefault="004C3AC1" w:rsidP="00D809F2">
      <w:pPr>
        <w:pStyle w:val="PBACHeading1"/>
        <w:spacing w:before="120" w:after="120"/>
      </w:pPr>
      <w:bookmarkStart w:id="0" w:name="_Toc62032230"/>
      <w:r w:rsidRPr="00DC0807">
        <w:t>Purpose of Application</w:t>
      </w:r>
      <w:bookmarkEnd w:id="0"/>
    </w:p>
    <w:p w:rsidR="004C3AC1" w:rsidRPr="00DC0807" w:rsidRDefault="00EF710B" w:rsidP="00A927F1">
      <w:pPr>
        <w:pStyle w:val="ListParagraph"/>
        <w:widowControl/>
        <w:numPr>
          <w:ilvl w:val="1"/>
          <w:numId w:val="1"/>
        </w:numPr>
        <w:rPr>
          <w:iCs/>
        </w:rPr>
      </w:pPr>
      <w:r w:rsidRPr="00DC0807">
        <w:t xml:space="preserve">The submission requested an </w:t>
      </w:r>
      <w:r w:rsidR="004C3AC1" w:rsidRPr="00DC0807">
        <w:t xml:space="preserve">Authority Required </w:t>
      </w:r>
      <w:r w:rsidR="00F32B3C" w:rsidRPr="00DC0807">
        <w:t xml:space="preserve">General Schedule </w:t>
      </w:r>
      <w:r w:rsidR="004C3AC1" w:rsidRPr="00DC0807">
        <w:t>listing for ustekinumab for the treatment of paediatric</w:t>
      </w:r>
      <w:r w:rsidR="00FA2E31" w:rsidRPr="00DC0807">
        <w:t xml:space="preserve"> patients with severe</w:t>
      </w:r>
      <w:r w:rsidR="004C3AC1" w:rsidRPr="00DC0807">
        <w:t xml:space="preserve"> chronic plaque psoriasis (CPP). This was the first consideration of ustekinumab by the PBAC for this indication. Ustekinumab is currently listed on the PBS for the treatment of</w:t>
      </w:r>
      <w:r w:rsidR="00FA2E31" w:rsidRPr="00DC0807">
        <w:t xml:space="preserve"> severe</w:t>
      </w:r>
      <w:r w:rsidR="004C3AC1" w:rsidRPr="00DC0807">
        <w:t xml:space="preserve"> CPP, severe Crohn disease, and severe psoriatic arthritis in patients 18 years of age and over.</w:t>
      </w:r>
    </w:p>
    <w:p w:rsidR="004C3AC1" w:rsidRPr="00DC0807" w:rsidRDefault="004C3AC1" w:rsidP="00A927F1">
      <w:pPr>
        <w:pStyle w:val="ListParagraph"/>
        <w:widowControl/>
        <w:numPr>
          <w:ilvl w:val="1"/>
          <w:numId w:val="1"/>
        </w:numPr>
        <w:spacing w:after="120"/>
      </w:pPr>
      <w:r w:rsidRPr="00DC0807">
        <w:t>The requested basis for listing was a cost per responder analysis versus etanercept</w:t>
      </w:r>
      <w:r w:rsidR="00F36055" w:rsidRPr="00DC0807">
        <w:t>.</w:t>
      </w:r>
    </w:p>
    <w:p w:rsidR="004C3AC1" w:rsidRPr="00DC0807" w:rsidRDefault="00DF1FA9" w:rsidP="00324549">
      <w:pPr>
        <w:keepNext/>
        <w:rPr>
          <w:rStyle w:val="CommentReference"/>
        </w:rPr>
      </w:pPr>
      <w:r w:rsidRPr="00DC0807">
        <w:rPr>
          <w:rStyle w:val="CommentReference"/>
        </w:rPr>
        <w:t xml:space="preserve">Table </w:t>
      </w:r>
      <w:r w:rsidR="00AE572A" w:rsidRPr="00DC0807">
        <w:rPr>
          <w:rStyle w:val="CommentReference"/>
        </w:rPr>
        <w:t>1</w:t>
      </w:r>
      <w:r w:rsidRPr="00DC0807">
        <w:rPr>
          <w:rStyle w:val="CommentReference"/>
        </w:rPr>
        <w:t xml:space="preserve">: </w:t>
      </w:r>
      <w:r w:rsidR="004C3AC1" w:rsidRPr="00DC0807">
        <w:rPr>
          <w:rStyle w:val="CommentReference"/>
        </w:rPr>
        <w:t>Key components of the clinical issue addressed by the submission</w:t>
      </w:r>
      <w:r w:rsidR="00324549" w:rsidRPr="00DC0807">
        <w:rPr>
          <w:rStyle w:val="CommentReference"/>
        </w:rPr>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8029"/>
      </w:tblGrid>
      <w:tr w:rsidR="004C3AC1" w:rsidRPr="00DC0807" w:rsidTr="00F36055">
        <w:tc>
          <w:tcPr>
            <w:tcW w:w="562" w:type="dxa"/>
            <w:vAlign w:val="center"/>
          </w:tcPr>
          <w:p w:rsidR="004C3AC1" w:rsidRPr="00DC0807" w:rsidRDefault="004C3AC1" w:rsidP="00324549">
            <w:pPr>
              <w:pStyle w:val="Tabletext"/>
              <w:keepNext/>
              <w:rPr>
                <w:b/>
              </w:rPr>
            </w:pPr>
            <w:r w:rsidRPr="00DC0807">
              <w:rPr>
                <w:b/>
              </w:rPr>
              <w:t>Component</w:t>
            </w:r>
          </w:p>
        </w:tc>
        <w:tc>
          <w:tcPr>
            <w:tcW w:w="8594" w:type="dxa"/>
            <w:vAlign w:val="center"/>
          </w:tcPr>
          <w:p w:rsidR="004C3AC1" w:rsidRPr="00DC0807" w:rsidRDefault="004C3AC1" w:rsidP="00324549">
            <w:pPr>
              <w:pStyle w:val="Tabletext"/>
              <w:keepNext/>
              <w:jc w:val="center"/>
              <w:rPr>
                <w:b/>
              </w:rPr>
            </w:pPr>
            <w:r w:rsidRPr="00DC0807">
              <w:rPr>
                <w:b/>
              </w:rPr>
              <w:t>Description</w:t>
            </w:r>
          </w:p>
        </w:tc>
      </w:tr>
      <w:tr w:rsidR="004C3AC1" w:rsidRPr="00DC0807" w:rsidTr="00F36055">
        <w:tc>
          <w:tcPr>
            <w:tcW w:w="562" w:type="dxa"/>
            <w:vAlign w:val="center"/>
          </w:tcPr>
          <w:p w:rsidR="004C3AC1" w:rsidRPr="00DC0807" w:rsidRDefault="004C3AC1" w:rsidP="00324549">
            <w:pPr>
              <w:pStyle w:val="Tabletext"/>
              <w:keepNext/>
            </w:pPr>
            <w:r w:rsidRPr="00DC0807">
              <w:t>Population</w:t>
            </w:r>
          </w:p>
        </w:tc>
        <w:tc>
          <w:tcPr>
            <w:tcW w:w="8594" w:type="dxa"/>
          </w:tcPr>
          <w:p w:rsidR="004C3AC1" w:rsidRPr="00DC0807" w:rsidRDefault="004C3AC1" w:rsidP="00F36055">
            <w:pPr>
              <w:pStyle w:val="Tabletext"/>
              <w:keepNext/>
              <w:rPr>
                <w:szCs w:val="20"/>
              </w:rPr>
            </w:pPr>
            <w:r w:rsidRPr="00DC0807">
              <w:rPr>
                <w:szCs w:val="20"/>
              </w:rPr>
              <w:t>Paediatric patients with severe chronic plaque psoriasis (CPP) defined as a PASI score of greater than 15. Patients must have failed treatment with two of three systemic treatments including methotrexate and/or acitretin and/or phototherapy (UVB or PUVA).</w:t>
            </w:r>
          </w:p>
        </w:tc>
      </w:tr>
      <w:tr w:rsidR="004C3AC1" w:rsidRPr="00DC0807" w:rsidTr="00F36055">
        <w:tc>
          <w:tcPr>
            <w:tcW w:w="562" w:type="dxa"/>
            <w:vAlign w:val="center"/>
          </w:tcPr>
          <w:p w:rsidR="004C3AC1" w:rsidRPr="00DC0807" w:rsidRDefault="004C3AC1" w:rsidP="00324549">
            <w:pPr>
              <w:pStyle w:val="Tabletext"/>
              <w:keepNext/>
            </w:pPr>
            <w:r w:rsidRPr="00DC0807">
              <w:t>Intervention</w:t>
            </w:r>
          </w:p>
        </w:tc>
        <w:tc>
          <w:tcPr>
            <w:tcW w:w="8594" w:type="dxa"/>
          </w:tcPr>
          <w:p w:rsidR="004C3AC1" w:rsidRPr="00DC0807" w:rsidRDefault="004C3AC1" w:rsidP="00F36055">
            <w:pPr>
              <w:pStyle w:val="Tabletext"/>
              <w:keepNext/>
              <w:rPr>
                <w:szCs w:val="20"/>
              </w:rPr>
            </w:pPr>
            <w:r w:rsidRPr="00DC0807">
              <w:rPr>
                <w:szCs w:val="20"/>
              </w:rPr>
              <w:t>Ustekinumab is administered subcutaneously at a dose of 0.75 mg/kg (for patients &lt;60 kg), 45 mg (for patients ≥60</w:t>
            </w:r>
            <w:r w:rsidR="00F32B3C" w:rsidRPr="00DC0807">
              <w:rPr>
                <w:szCs w:val="20"/>
              </w:rPr>
              <w:t xml:space="preserve"> </w:t>
            </w:r>
            <w:r w:rsidRPr="00DC0807">
              <w:rPr>
                <w:szCs w:val="20"/>
              </w:rPr>
              <w:t>kg to ≤100</w:t>
            </w:r>
            <w:r w:rsidR="00F32B3C" w:rsidRPr="00DC0807">
              <w:rPr>
                <w:szCs w:val="20"/>
              </w:rPr>
              <w:t xml:space="preserve"> </w:t>
            </w:r>
            <w:r w:rsidRPr="00DC0807">
              <w:rPr>
                <w:szCs w:val="20"/>
              </w:rPr>
              <w:t xml:space="preserve">kg), or 90 mg (for patients &gt;100 kg) at </w:t>
            </w:r>
            <w:r w:rsidR="00F36055" w:rsidRPr="00DC0807">
              <w:rPr>
                <w:szCs w:val="20"/>
              </w:rPr>
              <w:t xml:space="preserve">Wk </w:t>
            </w:r>
            <w:r w:rsidRPr="00DC0807">
              <w:rPr>
                <w:szCs w:val="20"/>
              </w:rPr>
              <w:t xml:space="preserve">0, 4 and every 12 </w:t>
            </w:r>
            <w:r w:rsidR="00F36055" w:rsidRPr="00DC0807">
              <w:rPr>
                <w:szCs w:val="20"/>
              </w:rPr>
              <w:t xml:space="preserve">wks </w:t>
            </w:r>
            <w:r w:rsidRPr="00DC0807">
              <w:rPr>
                <w:szCs w:val="20"/>
              </w:rPr>
              <w:t>thereafter (q12w).</w:t>
            </w:r>
          </w:p>
        </w:tc>
      </w:tr>
      <w:tr w:rsidR="004C3AC1" w:rsidRPr="00DC0807" w:rsidTr="00F36055">
        <w:tc>
          <w:tcPr>
            <w:tcW w:w="562" w:type="dxa"/>
            <w:vAlign w:val="center"/>
          </w:tcPr>
          <w:p w:rsidR="004C3AC1" w:rsidRPr="00DC0807" w:rsidRDefault="004C3AC1" w:rsidP="00324549">
            <w:pPr>
              <w:pStyle w:val="Tabletext"/>
              <w:keepNext/>
            </w:pPr>
            <w:r w:rsidRPr="00DC0807">
              <w:t>Comparator</w:t>
            </w:r>
          </w:p>
        </w:tc>
        <w:tc>
          <w:tcPr>
            <w:tcW w:w="8594" w:type="dxa"/>
          </w:tcPr>
          <w:p w:rsidR="004C3AC1" w:rsidRPr="00DC0807" w:rsidRDefault="004C3AC1" w:rsidP="00324549">
            <w:pPr>
              <w:pStyle w:val="Tabletext"/>
              <w:keepNext/>
              <w:rPr>
                <w:szCs w:val="20"/>
              </w:rPr>
            </w:pPr>
            <w:r w:rsidRPr="00DC0807">
              <w:rPr>
                <w:szCs w:val="20"/>
              </w:rPr>
              <w:t>Etanercept</w:t>
            </w:r>
          </w:p>
        </w:tc>
      </w:tr>
      <w:tr w:rsidR="004C3AC1" w:rsidRPr="00DC0807" w:rsidTr="00F36055">
        <w:tc>
          <w:tcPr>
            <w:tcW w:w="562" w:type="dxa"/>
            <w:vAlign w:val="center"/>
          </w:tcPr>
          <w:p w:rsidR="004C3AC1" w:rsidRPr="00DC0807" w:rsidRDefault="004C3AC1" w:rsidP="00324549">
            <w:pPr>
              <w:pStyle w:val="Tabletext"/>
              <w:keepNext/>
            </w:pPr>
            <w:r w:rsidRPr="00DC0807">
              <w:t>Outcomes</w:t>
            </w:r>
          </w:p>
        </w:tc>
        <w:tc>
          <w:tcPr>
            <w:tcW w:w="8594" w:type="dxa"/>
          </w:tcPr>
          <w:p w:rsidR="004C3AC1" w:rsidRPr="00DC0807" w:rsidRDefault="004C3AC1" w:rsidP="00324549">
            <w:pPr>
              <w:pStyle w:val="Tabletext"/>
              <w:keepNext/>
              <w:rPr>
                <w:szCs w:val="20"/>
              </w:rPr>
            </w:pPr>
            <w:r w:rsidRPr="00DC0807">
              <w:rPr>
                <w:szCs w:val="20"/>
              </w:rPr>
              <w:t>PASI response rates (PASI 7</w:t>
            </w:r>
            <w:r w:rsidR="00443961" w:rsidRPr="00DC0807">
              <w:rPr>
                <w:szCs w:val="20"/>
              </w:rPr>
              <w:t>5 and PASI 90), quality of life, and adverse events</w:t>
            </w:r>
            <w:r w:rsidRPr="00DC0807">
              <w:rPr>
                <w:szCs w:val="20"/>
              </w:rPr>
              <w:t xml:space="preserve">. </w:t>
            </w:r>
          </w:p>
        </w:tc>
      </w:tr>
      <w:tr w:rsidR="004C3AC1" w:rsidRPr="00DC0807" w:rsidTr="00F36055">
        <w:tc>
          <w:tcPr>
            <w:tcW w:w="562" w:type="dxa"/>
            <w:vAlign w:val="center"/>
          </w:tcPr>
          <w:p w:rsidR="004C3AC1" w:rsidRPr="00DC0807" w:rsidRDefault="004C3AC1" w:rsidP="00324549">
            <w:pPr>
              <w:pStyle w:val="Tabletext"/>
              <w:keepNext/>
            </w:pPr>
            <w:r w:rsidRPr="00DC0807">
              <w:t>Clinical claim</w:t>
            </w:r>
          </w:p>
        </w:tc>
        <w:tc>
          <w:tcPr>
            <w:tcW w:w="8594" w:type="dxa"/>
          </w:tcPr>
          <w:p w:rsidR="004C3AC1" w:rsidRPr="00DC0807" w:rsidRDefault="004C3AC1" w:rsidP="00324549">
            <w:pPr>
              <w:keepNext/>
              <w:rPr>
                <w:rFonts w:ascii="Arial Narrow" w:hAnsi="Arial Narrow"/>
                <w:sz w:val="20"/>
                <w:szCs w:val="20"/>
              </w:rPr>
            </w:pPr>
            <w:r w:rsidRPr="00DC0807">
              <w:rPr>
                <w:rFonts w:ascii="Arial Narrow" w:hAnsi="Arial Narrow"/>
                <w:sz w:val="20"/>
                <w:szCs w:val="20"/>
              </w:rPr>
              <w:t>In paediatric patients with severe CPP, ustekinumab demonstrates superior effectiveness compared with etanercept as assessed by statistically and clinically significant improvements in PASI</w:t>
            </w:r>
            <w:r w:rsidR="00FB63A5" w:rsidRPr="00DC0807">
              <w:rPr>
                <w:rFonts w:ascii="Arial Narrow" w:hAnsi="Arial Narrow"/>
                <w:sz w:val="20"/>
                <w:szCs w:val="20"/>
              </w:rPr>
              <w:t xml:space="preserve"> </w:t>
            </w:r>
            <w:r w:rsidRPr="00DC0807">
              <w:rPr>
                <w:rFonts w:ascii="Arial Narrow" w:hAnsi="Arial Narrow"/>
                <w:sz w:val="20"/>
                <w:szCs w:val="20"/>
              </w:rPr>
              <w:t>75 and PASI</w:t>
            </w:r>
            <w:r w:rsidR="00FB63A5" w:rsidRPr="00DC0807">
              <w:rPr>
                <w:rFonts w:ascii="Arial Narrow" w:hAnsi="Arial Narrow"/>
                <w:sz w:val="20"/>
                <w:szCs w:val="20"/>
              </w:rPr>
              <w:t xml:space="preserve"> </w:t>
            </w:r>
            <w:r w:rsidRPr="00DC0807">
              <w:rPr>
                <w:rFonts w:ascii="Arial Narrow" w:hAnsi="Arial Narrow"/>
                <w:sz w:val="20"/>
                <w:szCs w:val="20"/>
              </w:rPr>
              <w:t>90 response rates.</w:t>
            </w:r>
          </w:p>
          <w:p w:rsidR="004C3AC1" w:rsidRPr="00DC0807" w:rsidRDefault="004C3AC1" w:rsidP="00324549">
            <w:pPr>
              <w:pStyle w:val="Tabletext"/>
              <w:keepNext/>
              <w:rPr>
                <w:szCs w:val="20"/>
              </w:rPr>
            </w:pPr>
            <w:r w:rsidRPr="00DC0807">
              <w:rPr>
                <w:szCs w:val="20"/>
              </w:rPr>
              <w:t xml:space="preserve">Ustekinumab is associated with a non-inferior safety profile compared with etanercept and demonstrates a safety profile consistent with its well established and accepted </w:t>
            </w:r>
            <w:r w:rsidR="00B8612B" w:rsidRPr="00DC0807">
              <w:rPr>
                <w:szCs w:val="20"/>
              </w:rPr>
              <w:t>long-term</w:t>
            </w:r>
            <w:r w:rsidRPr="00DC0807">
              <w:rPr>
                <w:szCs w:val="20"/>
              </w:rPr>
              <w:t xml:space="preserve"> safety profile in adults.</w:t>
            </w:r>
          </w:p>
        </w:tc>
      </w:tr>
    </w:tbl>
    <w:p w:rsidR="00324549" w:rsidRPr="00DC0807" w:rsidRDefault="00324549" w:rsidP="00324549">
      <w:pPr>
        <w:pStyle w:val="TableFooter"/>
      </w:pPr>
      <w:r w:rsidRPr="00DC0807">
        <w:t>Source: Table 1-1, p14 of the submission.</w:t>
      </w:r>
    </w:p>
    <w:p w:rsidR="004C3AC1" w:rsidRPr="00DC0807" w:rsidRDefault="004C3AC1" w:rsidP="00324549">
      <w:pPr>
        <w:pStyle w:val="TableFooter"/>
        <w:keepNext/>
      </w:pPr>
      <w:r w:rsidRPr="00DC0807">
        <w:t>PASI = Psoriasis Area and Severity Index;</w:t>
      </w:r>
      <w:r w:rsidRPr="00DC0807">
        <w:rPr>
          <w:szCs w:val="20"/>
        </w:rPr>
        <w:t xml:space="preserve"> PUVA = psoralen and ultraviolet A; UVB = ultraviolet B</w:t>
      </w:r>
      <w:r w:rsidR="00F36055" w:rsidRPr="00DC0807">
        <w:rPr>
          <w:szCs w:val="20"/>
        </w:rPr>
        <w:t>; wk = week</w:t>
      </w:r>
    </w:p>
    <w:p w:rsidR="00D809F2" w:rsidRPr="00DC0807" w:rsidRDefault="00D809F2" w:rsidP="004C3AC1">
      <w:pPr>
        <w:pStyle w:val="TableFooter"/>
      </w:pPr>
    </w:p>
    <w:p w:rsidR="00A94205" w:rsidRPr="00DC0807" w:rsidRDefault="00A94205" w:rsidP="00A94205">
      <w:pPr>
        <w:pStyle w:val="PBACHeading1"/>
        <w:spacing w:after="240"/>
      </w:pPr>
      <w:bookmarkStart w:id="1" w:name="_Toc62032232"/>
      <w:bookmarkStart w:id="2" w:name="_Toc62032231"/>
      <w:r w:rsidRPr="00DC0807">
        <w:t>Background</w:t>
      </w:r>
      <w:bookmarkEnd w:id="1"/>
    </w:p>
    <w:p w:rsidR="00A94205" w:rsidRPr="00DC0807" w:rsidRDefault="00A94205" w:rsidP="00F36055">
      <w:pPr>
        <w:spacing w:after="240"/>
        <w:rPr>
          <w:b/>
          <w:i/>
          <w:sz w:val="28"/>
          <w:szCs w:val="28"/>
        </w:rPr>
      </w:pPr>
      <w:r w:rsidRPr="00DC0807">
        <w:rPr>
          <w:b/>
          <w:i/>
          <w:sz w:val="28"/>
          <w:szCs w:val="28"/>
        </w:rPr>
        <w:t>Registration status</w:t>
      </w:r>
    </w:p>
    <w:p w:rsidR="00A94205" w:rsidRPr="00DC0807" w:rsidRDefault="00A94205" w:rsidP="00A94205">
      <w:pPr>
        <w:pStyle w:val="ListParagraph"/>
        <w:widowControl/>
        <w:numPr>
          <w:ilvl w:val="1"/>
          <w:numId w:val="1"/>
        </w:numPr>
      </w:pPr>
      <w:r w:rsidRPr="00DC0807">
        <w:t xml:space="preserve">Ustekinumab was registered by the TGA for moderate to severe plaque psoriasis in children and adolescent patients from 6 years of age on 16 November 2020. </w:t>
      </w:r>
    </w:p>
    <w:p w:rsidR="004C3AC1" w:rsidRPr="00DC0807" w:rsidRDefault="004C3AC1" w:rsidP="00A94205">
      <w:pPr>
        <w:pStyle w:val="PBACHeading1"/>
        <w:keepNext/>
        <w:keepLines/>
        <w:spacing w:after="240"/>
      </w:pPr>
      <w:r w:rsidRPr="00DC0807">
        <w:t>Requested listing</w:t>
      </w:r>
      <w:bookmarkEnd w:id="2"/>
    </w:p>
    <w:p w:rsidR="00FD2257" w:rsidRPr="00DC0807" w:rsidRDefault="00FD2257" w:rsidP="001C05D5">
      <w:pPr>
        <w:pStyle w:val="ListParagraph"/>
        <w:numPr>
          <w:ilvl w:val="1"/>
          <w:numId w:val="1"/>
        </w:numPr>
        <w:rPr>
          <w:iCs/>
        </w:rPr>
      </w:pPr>
      <w:r w:rsidRPr="00DC0807">
        <w:t>The requested abridged listing</w:t>
      </w:r>
      <w:r w:rsidR="007934BD" w:rsidRPr="00DC0807">
        <w:t xml:space="preserve"> for</w:t>
      </w:r>
      <w:r w:rsidR="00AE5627">
        <w:t xml:space="preserve"> ustekin</w:t>
      </w:r>
      <w:r w:rsidRPr="00DC0807">
        <w:t>umab is provided</w:t>
      </w:r>
      <w:r w:rsidRPr="00DC0807">
        <w:rPr>
          <w:rFonts w:cstheme="minorHAnsi"/>
        </w:rPr>
        <w:t xml:space="preserve"> below</w:t>
      </w:r>
      <w:r w:rsidR="007934BD" w:rsidRPr="00DC0807">
        <w:rPr>
          <w:rFonts w:cstheme="minorHAnsi"/>
        </w:rPr>
        <w:t xml:space="preserve"> (for initial phase patients with no prior biologic treatment, and for continuing phase treatment)</w:t>
      </w:r>
      <w:r w:rsidRPr="00DC0807">
        <w:rPr>
          <w:rFonts w:cstheme="minorHAnsi"/>
        </w:rPr>
        <w:t xml:space="preserve">. </w:t>
      </w:r>
      <w:r w:rsidR="007934BD" w:rsidRPr="00DC0807">
        <w:t xml:space="preserve">The submission also requested </w:t>
      </w:r>
      <w:r w:rsidR="00D97955" w:rsidRPr="00DC0807">
        <w:t>a</w:t>
      </w:r>
      <w:r w:rsidR="007934BD" w:rsidRPr="00DC0807">
        <w:t xml:space="preserve"> restriction for change or recommencement of treatment, a balance of supply restriction for both initial treatment and continuing treatment, and a grandfathering provision for an estimated </w:t>
      </w:r>
      <w:r w:rsidR="00284C42">
        <w:t>&lt; 500</w:t>
      </w:r>
      <w:r w:rsidR="007934BD" w:rsidRPr="00DC0807">
        <w:t xml:space="preserve">patients treated as part of the </w:t>
      </w:r>
      <w:r w:rsidR="007934BD" w:rsidRPr="00DC0807">
        <w:lastRenderedPageBreak/>
        <w:t xml:space="preserve">sponsor’s compassionate access program. </w:t>
      </w:r>
      <w:r w:rsidR="001C05D5" w:rsidRPr="00DC0807">
        <w:t>The submission requested a Special Pricing Arrangement.</w:t>
      </w:r>
    </w:p>
    <w:tbl>
      <w:tblPr>
        <w:tblW w:w="4963" w:type="pct"/>
        <w:tblInd w:w="28" w:type="dxa"/>
        <w:tblCellMar>
          <w:left w:w="28" w:type="dxa"/>
          <w:right w:w="28" w:type="dxa"/>
        </w:tblCellMar>
        <w:tblLook w:val="0000" w:firstRow="0" w:lastRow="0" w:firstColumn="0" w:lastColumn="0" w:noHBand="0" w:noVBand="0"/>
      </w:tblPr>
      <w:tblGrid>
        <w:gridCol w:w="2232"/>
        <w:gridCol w:w="550"/>
        <w:gridCol w:w="593"/>
        <w:gridCol w:w="1134"/>
        <w:gridCol w:w="1091"/>
        <w:gridCol w:w="1184"/>
        <w:gridCol w:w="697"/>
        <w:gridCol w:w="1478"/>
      </w:tblGrid>
      <w:tr w:rsidR="004C3AC1" w:rsidRPr="00DC0807" w:rsidTr="009C311D">
        <w:trPr>
          <w:cantSplit/>
          <w:trHeight w:val="463"/>
        </w:trPr>
        <w:tc>
          <w:tcPr>
            <w:tcW w:w="1552" w:type="pct"/>
            <w:gridSpan w:val="2"/>
            <w:tcBorders>
              <w:top w:val="single" w:sz="4" w:space="0" w:color="auto"/>
              <w:bottom w:val="single" w:sz="4" w:space="0" w:color="auto"/>
            </w:tcBorders>
            <w:vAlign w:val="center"/>
          </w:tcPr>
          <w:p w:rsidR="004C3AC1" w:rsidRPr="00DC0807" w:rsidRDefault="004C3AC1" w:rsidP="009A0E75">
            <w:pPr>
              <w:keepNext/>
              <w:keepLines/>
              <w:jc w:val="left"/>
              <w:rPr>
                <w:rFonts w:ascii="Arial Narrow" w:hAnsi="Arial Narrow"/>
                <w:b/>
                <w:sz w:val="20"/>
              </w:rPr>
            </w:pPr>
            <w:r w:rsidRPr="00DC0807">
              <w:rPr>
                <w:rFonts w:ascii="Arial Narrow" w:hAnsi="Arial Narrow"/>
                <w:b/>
                <w:sz w:val="20"/>
              </w:rPr>
              <w:t>Name, Restriction,</w:t>
            </w:r>
          </w:p>
          <w:p w:rsidR="004C3AC1" w:rsidRPr="00DC0807" w:rsidRDefault="004C3AC1" w:rsidP="009A0E75">
            <w:pPr>
              <w:keepNext/>
              <w:keepLines/>
              <w:jc w:val="left"/>
              <w:rPr>
                <w:rFonts w:ascii="Arial Narrow" w:hAnsi="Arial Narrow"/>
                <w:b/>
                <w:sz w:val="20"/>
              </w:rPr>
            </w:pPr>
            <w:r w:rsidRPr="00DC0807">
              <w:rPr>
                <w:rFonts w:ascii="Arial Narrow" w:hAnsi="Arial Narrow"/>
                <w:b/>
                <w:sz w:val="20"/>
              </w:rPr>
              <w:t>Manner of administration and form</w:t>
            </w:r>
          </w:p>
        </w:tc>
        <w:tc>
          <w:tcPr>
            <w:tcW w:w="331" w:type="pct"/>
            <w:tcBorders>
              <w:top w:val="single" w:sz="4" w:space="0" w:color="auto"/>
              <w:bottom w:val="single" w:sz="4" w:space="0" w:color="auto"/>
            </w:tcBorders>
            <w:vAlign w:val="center"/>
          </w:tcPr>
          <w:p w:rsidR="004C3AC1" w:rsidRPr="00DC0807" w:rsidRDefault="004C3AC1" w:rsidP="009A0E75">
            <w:pPr>
              <w:keepNext/>
              <w:keepLines/>
              <w:jc w:val="center"/>
              <w:rPr>
                <w:rFonts w:ascii="Arial Narrow" w:hAnsi="Arial Narrow"/>
                <w:b/>
                <w:sz w:val="20"/>
              </w:rPr>
            </w:pPr>
            <w:r w:rsidRPr="00DC0807">
              <w:rPr>
                <w:rFonts w:ascii="Arial Narrow" w:hAnsi="Arial Narrow"/>
                <w:b/>
                <w:sz w:val="20"/>
              </w:rPr>
              <w:t>Max.</w:t>
            </w:r>
          </w:p>
          <w:p w:rsidR="004C3AC1" w:rsidRPr="00DC0807" w:rsidRDefault="004C3AC1" w:rsidP="009A0E75">
            <w:pPr>
              <w:keepNext/>
              <w:keepLines/>
              <w:jc w:val="center"/>
              <w:rPr>
                <w:rFonts w:ascii="Arial Narrow" w:hAnsi="Arial Narrow"/>
                <w:b/>
                <w:sz w:val="20"/>
              </w:rPr>
            </w:pPr>
            <w:r w:rsidRPr="00DC0807">
              <w:rPr>
                <w:rFonts w:ascii="Arial Narrow" w:hAnsi="Arial Narrow"/>
                <w:b/>
                <w:sz w:val="20"/>
              </w:rPr>
              <w:t xml:space="preserve">Qty </w:t>
            </w:r>
          </w:p>
        </w:tc>
        <w:tc>
          <w:tcPr>
            <w:tcW w:w="633" w:type="pct"/>
            <w:tcBorders>
              <w:top w:val="single" w:sz="4" w:space="0" w:color="auto"/>
              <w:bottom w:val="single" w:sz="4" w:space="0" w:color="auto"/>
            </w:tcBorders>
            <w:vAlign w:val="center"/>
          </w:tcPr>
          <w:p w:rsidR="004C3AC1" w:rsidRPr="00DC0807" w:rsidRDefault="004C3AC1" w:rsidP="009A0E75">
            <w:pPr>
              <w:keepNext/>
              <w:keepLines/>
              <w:jc w:val="center"/>
              <w:rPr>
                <w:rFonts w:ascii="Arial Narrow" w:hAnsi="Arial Narrow"/>
                <w:b/>
                <w:sz w:val="20"/>
              </w:rPr>
            </w:pPr>
            <w:r w:rsidRPr="00DC0807">
              <w:rPr>
                <w:rFonts w:ascii="Arial Narrow" w:hAnsi="Arial Narrow" w:cs="Times New Roman"/>
                <w:b/>
                <w:sz w:val="20"/>
              </w:rPr>
              <w:t>№</w:t>
            </w:r>
            <w:r w:rsidRPr="00DC0807">
              <w:rPr>
                <w:rFonts w:ascii="Arial Narrow" w:hAnsi="Arial Narrow"/>
                <w:b/>
                <w:sz w:val="20"/>
              </w:rPr>
              <w:t>.of</w:t>
            </w:r>
          </w:p>
          <w:p w:rsidR="004C3AC1" w:rsidRPr="00DC0807" w:rsidRDefault="004C3AC1" w:rsidP="009A0E75">
            <w:pPr>
              <w:keepNext/>
              <w:keepLines/>
              <w:jc w:val="center"/>
              <w:rPr>
                <w:rFonts w:ascii="Arial Narrow" w:hAnsi="Arial Narrow"/>
                <w:b/>
                <w:sz w:val="20"/>
              </w:rPr>
            </w:pPr>
            <w:r w:rsidRPr="00DC0807">
              <w:rPr>
                <w:rFonts w:ascii="Arial Narrow" w:hAnsi="Arial Narrow"/>
                <w:b/>
                <w:sz w:val="20"/>
              </w:rPr>
              <w:t>Rpts</w:t>
            </w:r>
          </w:p>
        </w:tc>
        <w:tc>
          <w:tcPr>
            <w:tcW w:w="1270" w:type="pct"/>
            <w:gridSpan w:val="2"/>
            <w:tcBorders>
              <w:top w:val="single" w:sz="4" w:space="0" w:color="auto"/>
              <w:bottom w:val="single" w:sz="4" w:space="0" w:color="auto"/>
            </w:tcBorders>
            <w:vAlign w:val="center"/>
          </w:tcPr>
          <w:p w:rsidR="004C3AC1" w:rsidRPr="00DC0807" w:rsidRDefault="004C3AC1" w:rsidP="009A0E75">
            <w:pPr>
              <w:keepNext/>
              <w:keepLines/>
              <w:jc w:val="center"/>
              <w:rPr>
                <w:rFonts w:ascii="Arial Narrow" w:hAnsi="Arial Narrow"/>
                <w:b/>
                <w:sz w:val="20"/>
              </w:rPr>
            </w:pPr>
            <w:r w:rsidRPr="00DC0807">
              <w:rPr>
                <w:rFonts w:ascii="Arial Narrow" w:hAnsi="Arial Narrow"/>
                <w:b/>
                <w:sz w:val="20"/>
              </w:rPr>
              <w:t>Dispensed Price for Max. Qty</w:t>
            </w:r>
            <w:r w:rsidR="00924222" w:rsidRPr="00DC0807">
              <w:rPr>
                <w:rFonts w:ascii="Arial Narrow" w:hAnsi="Arial Narrow"/>
                <w:b/>
                <w:sz w:val="20"/>
                <w:vertAlign w:val="superscript"/>
              </w:rPr>
              <w:t>a</w:t>
            </w:r>
            <w:r w:rsidRPr="00DC0807">
              <w:rPr>
                <w:rFonts w:ascii="Arial Narrow" w:hAnsi="Arial Narrow"/>
                <w:b/>
                <w:sz w:val="20"/>
              </w:rPr>
              <w:t xml:space="preserve"> </w:t>
            </w:r>
          </w:p>
        </w:tc>
        <w:tc>
          <w:tcPr>
            <w:tcW w:w="1213" w:type="pct"/>
            <w:gridSpan w:val="2"/>
            <w:tcBorders>
              <w:top w:val="single" w:sz="4" w:space="0" w:color="auto"/>
              <w:bottom w:val="single" w:sz="4" w:space="0" w:color="auto"/>
            </w:tcBorders>
            <w:vAlign w:val="center"/>
          </w:tcPr>
          <w:p w:rsidR="004C3AC1" w:rsidRPr="00DC0807" w:rsidRDefault="004C3AC1" w:rsidP="009A0E75">
            <w:pPr>
              <w:keepNext/>
              <w:keepLines/>
              <w:jc w:val="center"/>
              <w:rPr>
                <w:rFonts w:ascii="Arial Narrow" w:hAnsi="Arial Narrow"/>
                <w:b/>
                <w:sz w:val="20"/>
              </w:rPr>
            </w:pPr>
            <w:r w:rsidRPr="00DC0807">
              <w:rPr>
                <w:rFonts w:ascii="Arial Narrow" w:hAnsi="Arial Narrow"/>
                <w:b/>
                <w:sz w:val="20"/>
              </w:rPr>
              <w:t>Proprietary Name and Manufacturer</w:t>
            </w:r>
          </w:p>
        </w:tc>
      </w:tr>
      <w:tr w:rsidR="004C3AC1" w:rsidRPr="00DC0807" w:rsidTr="009C311D">
        <w:trPr>
          <w:cantSplit/>
          <w:trHeight w:val="567"/>
        </w:trPr>
        <w:tc>
          <w:tcPr>
            <w:tcW w:w="1552" w:type="pct"/>
            <w:gridSpan w:val="2"/>
            <w:vAlign w:val="center"/>
          </w:tcPr>
          <w:p w:rsidR="004C3AC1" w:rsidRPr="00DC0807" w:rsidRDefault="004C3AC1" w:rsidP="009A0E75">
            <w:pPr>
              <w:keepNext/>
              <w:keepLines/>
              <w:widowControl/>
              <w:jc w:val="left"/>
              <w:rPr>
                <w:rFonts w:ascii="Arial Narrow" w:hAnsi="Arial Narrow" w:cs="Times New Roman"/>
                <w:snapToGrid/>
                <w:sz w:val="20"/>
                <w:szCs w:val="20"/>
              </w:rPr>
            </w:pPr>
            <w:r w:rsidRPr="00DC0807">
              <w:rPr>
                <w:rFonts w:ascii="Arial Narrow" w:hAnsi="Arial Narrow" w:cs="Times New Roman"/>
                <w:snapToGrid/>
                <w:sz w:val="20"/>
                <w:szCs w:val="20"/>
              </w:rPr>
              <w:t>USTEKINUMAB</w:t>
            </w:r>
          </w:p>
          <w:p w:rsidR="004C3AC1" w:rsidRPr="00DC0807" w:rsidRDefault="004C3AC1" w:rsidP="009A0E75">
            <w:pPr>
              <w:keepNext/>
              <w:keepLines/>
              <w:jc w:val="left"/>
              <w:rPr>
                <w:rFonts w:ascii="Arial Narrow" w:hAnsi="Arial Narrow"/>
                <w:sz w:val="20"/>
              </w:rPr>
            </w:pPr>
            <w:r w:rsidRPr="00DC0807">
              <w:rPr>
                <w:rFonts w:ascii="Arial Narrow" w:hAnsi="Arial Narrow"/>
                <w:sz w:val="20"/>
                <w:szCs w:val="20"/>
              </w:rPr>
              <w:t>Subcutaneous injection, 45</w:t>
            </w:r>
            <w:r w:rsidR="00F32B3C" w:rsidRPr="00DC0807">
              <w:rPr>
                <w:rFonts w:ascii="Arial Narrow" w:hAnsi="Arial Narrow"/>
                <w:sz w:val="20"/>
                <w:szCs w:val="20"/>
              </w:rPr>
              <w:t xml:space="preserve"> </w:t>
            </w:r>
            <w:r w:rsidRPr="00DC0807">
              <w:rPr>
                <w:rFonts w:ascii="Arial Narrow" w:hAnsi="Arial Narrow"/>
                <w:sz w:val="20"/>
                <w:szCs w:val="20"/>
              </w:rPr>
              <w:t>mg</w:t>
            </w:r>
          </w:p>
        </w:tc>
        <w:tc>
          <w:tcPr>
            <w:tcW w:w="331" w:type="pct"/>
            <w:vAlign w:val="center"/>
          </w:tcPr>
          <w:p w:rsidR="004C3AC1" w:rsidRPr="00DC0807" w:rsidRDefault="004C3AC1" w:rsidP="009A0E75">
            <w:pPr>
              <w:keepNext/>
              <w:keepLines/>
              <w:jc w:val="center"/>
              <w:rPr>
                <w:rFonts w:ascii="Arial Narrow" w:hAnsi="Arial Narrow"/>
                <w:sz w:val="20"/>
              </w:rPr>
            </w:pPr>
          </w:p>
          <w:p w:rsidR="004C3AC1" w:rsidRPr="00DC0807" w:rsidRDefault="004C3AC1" w:rsidP="009A0E75">
            <w:pPr>
              <w:keepNext/>
              <w:keepLines/>
              <w:jc w:val="center"/>
              <w:rPr>
                <w:rFonts w:ascii="Arial Narrow" w:hAnsi="Arial Narrow"/>
                <w:sz w:val="20"/>
              </w:rPr>
            </w:pPr>
            <w:r w:rsidRPr="00DC0807">
              <w:rPr>
                <w:rFonts w:ascii="Arial Narrow" w:hAnsi="Arial Narrow"/>
                <w:sz w:val="20"/>
              </w:rPr>
              <w:t>1</w:t>
            </w:r>
          </w:p>
        </w:tc>
        <w:tc>
          <w:tcPr>
            <w:tcW w:w="633" w:type="pct"/>
            <w:vAlign w:val="center"/>
          </w:tcPr>
          <w:p w:rsidR="004C3AC1" w:rsidRPr="00DC0807" w:rsidRDefault="004C3AC1" w:rsidP="009A0E75">
            <w:pPr>
              <w:pStyle w:val="Tabletext"/>
              <w:keepNext/>
              <w:keepLines/>
              <w:jc w:val="center"/>
              <w:rPr>
                <w:szCs w:val="20"/>
              </w:rPr>
            </w:pPr>
            <w:r w:rsidRPr="00DC0807">
              <w:rPr>
                <w:szCs w:val="20"/>
              </w:rPr>
              <w:t>2 (initial)</w:t>
            </w:r>
          </w:p>
          <w:p w:rsidR="004C3AC1" w:rsidRPr="00DC0807" w:rsidRDefault="004C3AC1" w:rsidP="009A0E75">
            <w:pPr>
              <w:keepNext/>
              <w:keepLines/>
              <w:jc w:val="center"/>
              <w:rPr>
                <w:rFonts w:ascii="Arial Narrow" w:hAnsi="Arial Narrow"/>
                <w:sz w:val="20"/>
                <w:szCs w:val="20"/>
              </w:rPr>
            </w:pPr>
            <w:r w:rsidRPr="00DC0807">
              <w:rPr>
                <w:rFonts w:ascii="Arial Narrow" w:hAnsi="Arial Narrow"/>
                <w:sz w:val="20"/>
                <w:szCs w:val="20"/>
              </w:rPr>
              <w:t>1 (continuing)</w:t>
            </w:r>
          </w:p>
        </w:tc>
        <w:tc>
          <w:tcPr>
            <w:tcW w:w="1270" w:type="pct"/>
            <w:gridSpan w:val="2"/>
            <w:vAlign w:val="center"/>
          </w:tcPr>
          <w:p w:rsidR="004C3AC1" w:rsidRPr="00DC0807" w:rsidRDefault="004C3AC1" w:rsidP="009A0E75">
            <w:pPr>
              <w:pStyle w:val="Tabletext"/>
              <w:keepNext/>
              <w:keepLines/>
              <w:jc w:val="center"/>
              <w:rPr>
                <w:szCs w:val="20"/>
              </w:rPr>
            </w:pPr>
            <w:r w:rsidRPr="00DC0807">
              <w:rPr>
                <w:szCs w:val="20"/>
              </w:rPr>
              <w:t>$3</w:t>
            </w:r>
            <w:r w:rsidR="009C311D" w:rsidRPr="00DC0807">
              <w:rPr>
                <w:szCs w:val="20"/>
              </w:rPr>
              <w:t>,</w:t>
            </w:r>
            <w:r w:rsidRPr="00DC0807">
              <w:rPr>
                <w:szCs w:val="20"/>
              </w:rPr>
              <w:t xml:space="preserve">951.07 </w:t>
            </w:r>
            <w:r w:rsidR="000F52CA" w:rsidRPr="00DC0807">
              <w:rPr>
                <w:szCs w:val="20"/>
              </w:rPr>
              <w:t>(</w:t>
            </w:r>
            <w:r w:rsidRPr="00DC0807">
              <w:rPr>
                <w:szCs w:val="20"/>
              </w:rPr>
              <w:t>published</w:t>
            </w:r>
            <w:r w:rsidR="000F52CA" w:rsidRPr="00DC0807">
              <w:rPr>
                <w:szCs w:val="20"/>
              </w:rPr>
              <w:t>)</w:t>
            </w:r>
          </w:p>
          <w:p w:rsidR="004C3AC1" w:rsidRPr="00DC0807" w:rsidRDefault="004C3AC1" w:rsidP="009A0E75">
            <w:pPr>
              <w:keepNext/>
              <w:keepLines/>
              <w:jc w:val="center"/>
              <w:rPr>
                <w:rFonts w:ascii="Arial Narrow" w:hAnsi="Arial Narrow"/>
                <w:sz w:val="20"/>
                <w:szCs w:val="20"/>
              </w:rPr>
            </w:pPr>
            <w:r w:rsidRPr="00DC0807">
              <w:rPr>
                <w:rFonts w:ascii="Arial Narrow" w:hAnsi="Arial Narrow"/>
                <w:sz w:val="20"/>
                <w:szCs w:val="20"/>
              </w:rPr>
              <w:t>$</w:t>
            </w:r>
            <w:r w:rsidR="006B6F2B">
              <w:rPr>
                <w:rFonts w:ascii="Arial Narrow" w:hAnsi="Arial Narrow"/>
                <w:noProof/>
                <w:color w:val="000000"/>
                <w:sz w:val="20"/>
                <w:szCs w:val="20"/>
                <w:highlight w:val="black"/>
              </w:rPr>
              <w:t>'''''''''''''''''''''</w:t>
            </w:r>
            <w:r w:rsidRPr="00DC0807">
              <w:rPr>
                <w:rFonts w:ascii="Arial Narrow" w:hAnsi="Arial Narrow"/>
                <w:sz w:val="20"/>
                <w:szCs w:val="20"/>
              </w:rPr>
              <w:t xml:space="preserve"> </w:t>
            </w:r>
            <w:r w:rsidR="000F52CA" w:rsidRPr="00DC0807">
              <w:rPr>
                <w:rFonts w:ascii="Arial Narrow" w:hAnsi="Arial Narrow"/>
                <w:sz w:val="20"/>
                <w:szCs w:val="20"/>
              </w:rPr>
              <w:t>(</w:t>
            </w:r>
            <w:r w:rsidRPr="00DC0807">
              <w:rPr>
                <w:rFonts w:ascii="Arial Narrow" w:hAnsi="Arial Narrow"/>
                <w:sz w:val="20"/>
                <w:szCs w:val="20"/>
              </w:rPr>
              <w:t>effective</w:t>
            </w:r>
            <w:r w:rsidR="000F52CA" w:rsidRPr="00DC0807">
              <w:rPr>
                <w:rFonts w:ascii="Arial Narrow" w:hAnsi="Arial Narrow"/>
                <w:sz w:val="20"/>
                <w:szCs w:val="20"/>
              </w:rPr>
              <w:t>)</w:t>
            </w:r>
          </w:p>
        </w:tc>
        <w:tc>
          <w:tcPr>
            <w:tcW w:w="389" w:type="pct"/>
            <w:vAlign w:val="center"/>
          </w:tcPr>
          <w:p w:rsidR="004C3AC1" w:rsidRPr="00DC0807" w:rsidRDefault="004C3AC1" w:rsidP="009A0E75">
            <w:pPr>
              <w:keepNext/>
              <w:keepLines/>
              <w:jc w:val="center"/>
              <w:rPr>
                <w:rFonts w:ascii="Arial Narrow" w:hAnsi="Arial Narrow"/>
                <w:sz w:val="20"/>
              </w:rPr>
            </w:pPr>
            <w:r w:rsidRPr="00DC0807">
              <w:rPr>
                <w:rFonts w:ascii="Arial Narrow" w:hAnsi="Arial Narrow"/>
                <w:sz w:val="20"/>
              </w:rPr>
              <w:t>Stelara®</w:t>
            </w:r>
          </w:p>
        </w:tc>
        <w:tc>
          <w:tcPr>
            <w:tcW w:w="824" w:type="pct"/>
            <w:vAlign w:val="bottom"/>
          </w:tcPr>
          <w:p w:rsidR="004C3AC1" w:rsidRPr="00DC0807" w:rsidRDefault="004C3AC1" w:rsidP="009A0E75">
            <w:pPr>
              <w:keepNext/>
              <w:keepLines/>
              <w:jc w:val="center"/>
              <w:rPr>
                <w:rFonts w:ascii="Arial Narrow" w:hAnsi="Arial Narrow"/>
                <w:sz w:val="20"/>
              </w:rPr>
            </w:pPr>
            <w:r w:rsidRPr="00DC0807">
              <w:rPr>
                <w:rFonts w:ascii="Arial Narrow" w:hAnsi="Arial Narrow"/>
                <w:sz w:val="20"/>
              </w:rPr>
              <w:t>Janssen-Cilag Pty Ltd</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rsidR="004C3AC1" w:rsidRPr="00DC0807" w:rsidRDefault="004C3AC1" w:rsidP="009A0E75">
            <w:pPr>
              <w:pStyle w:val="Tabletext"/>
              <w:keepNext/>
              <w:keepLines/>
              <w:rPr>
                <w:lang w:eastAsia="en-AU"/>
              </w:rPr>
            </w:pPr>
            <w:r w:rsidRPr="00DC0807">
              <w:rPr>
                <w:lang w:eastAsia="en-AU"/>
              </w:rPr>
              <w:t>Category/Program:</w:t>
            </w:r>
          </w:p>
        </w:tc>
        <w:tc>
          <w:tcPr>
            <w:tcW w:w="3755" w:type="pct"/>
            <w:gridSpan w:val="7"/>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rPr>
                <w:lang w:eastAsia="en-AU"/>
              </w:rPr>
              <w:t>General Schedule</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rsidR="004C3AC1" w:rsidRPr="00DC0807" w:rsidRDefault="004C3AC1" w:rsidP="009A0E75">
            <w:pPr>
              <w:pStyle w:val="Tabletext"/>
              <w:keepNext/>
              <w:keepLines/>
              <w:rPr>
                <w:lang w:eastAsia="en-AU"/>
              </w:rPr>
            </w:pPr>
            <w:r w:rsidRPr="00DC0807">
              <w:rPr>
                <w:lang w:eastAsia="en-AU"/>
              </w:rPr>
              <w:t>PBS indication:</w:t>
            </w:r>
          </w:p>
        </w:tc>
        <w:tc>
          <w:tcPr>
            <w:tcW w:w="3755" w:type="pct"/>
            <w:gridSpan w:val="7"/>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rPr>
                <w:lang w:eastAsia="en-AU"/>
              </w:rPr>
              <w:t>Paediatric severe chronic plaque psoriasis</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rsidR="004C3AC1" w:rsidRPr="00DC0807" w:rsidRDefault="004C3AC1" w:rsidP="009A0E75">
            <w:pPr>
              <w:pStyle w:val="Tabletext"/>
              <w:keepNext/>
              <w:keepLines/>
              <w:rPr>
                <w:lang w:eastAsia="en-AU"/>
              </w:rPr>
            </w:pPr>
            <w:r w:rsidRPr="00DC0807">
              <w:rPr>
                <w:lang w:eastAsia="en-AU"/>
              </w:rPr>
              <w:t>Restriction:</w:t>
            </w:r>
          </w:p>
        </w:tc>
        <w:tc>
          <w:tcPr>
            <w:tcW w:w="3755" w:type="pct"/>
            <w:gridSpan w:val="7"/>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rPr>
                <w:lang w:eastAsia="en-AU"/>
              </w:rPr>
              <w:t>Authority required</w:t>
            </w:r>
            <w:r w:rsidR="00070DFF" w:rsidRPr="00DC0807">
              <w:rPr>
                <w:lang w:eastAsia="en-AU"/>
              </w:rPr>
              <w:t xml:space="preserve"> - written</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rsidR="004C3AC1" w:rsidRPr="00DC0807" w:rsidRDefault="004C3AC1" w:rsidP="009A0E75">
            <w:pPr>
              <w:pStyle w:val="Tabletext"/>
              <w:keepNext/>
              <w:keepLines/>
              <w:rPr>
                <w:lang w:eastAsia="en-AU"/>
              </w:rPr>
            </w:pPr>
            <w:r w:rsidRPr="00DC0807">
              <w:rPr>
                <w:lang w:eastAsia="en-AU"/>
              </w:rPr>
              <w:t>Treatment criteria:</w:t>
            </w:r>
          </w:p>
        </w:tc>
        <w:tc>
          <w:tcPr>
            <w:tcW w:w="3755" w:type="pct"/>
            <w:gridSpan w:val="7"/>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t>Must be treated by a dermatologist</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rPr>
                <w:lang w:eastAsia="en-AU"/>
              </w:rPr>
              <w:t>Population criteria:</w:t>
            </w:r>
          </w:p>
        </w:tc>
        <w:tc>
          <w:tcPr>
            <w:tcW w:w="3755" w:type="pct"/>
            <w:gridSpan w:val="7"/>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color w:val="000000"/>
                <w:szCs w:val="24"/>
                <w:lang w:eastAsia="en-AU"/>
              </w:rPr>
            </w:pPr>
            <w:r w:rsidRPr="00DC0807">
              <w:t>Patient must be under 18 years of age and a parent or authorised guardian must have signed a patient acknowledgement</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rPr>
                <w:lang w:eastAsia="en-AU"/>
              </w:rPr>
              <w:t>Treatment phase</w:t>
            </w:r>
          </w:p>
        </w:tc>
        <w:tc>
          <w:tcPr>
            <w:tcW w:w="1880" w:type="pct"/>
            <w:gridSpan w:val="4"/>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rPr>
                <w:lang w:eastAsia="en-AU"/>
              </w:rPr>
              <w:t>Initial treatment [Initial 1, Face, hand, foot (New patients – No prior biological agent)]</w:t>
            </w:r>
          </w:p>
        </w:tc>
        <w:tc>
          <w:tcPr>
            <w:tcW w:w="1875" w:type="pct"/>
            <w:gridSpan w:val="3"/>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rPr>
                <w:lang w:eastAsia="en-AU"/>
              </w:rPr>
              <w:t>Initial treatment [Initial 1, Whole body (New patients – No prior biological agent)]</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r w:rsidRPr="00DC0807">
              <w:rPr>
                <w:lang w:eastAsia="en-AU"/>
              </w:rPr>
              <w:t>Clinical criteria</w:t>
            </w:r>
          </w:p>
        </w:tc>
        <w:tc>
          <w:tcPr>
            <w:tcW w:w="3755" w:type="pct"/>
            <w:gridSpan w:val="7"/>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0"/>
              <w:keepLines/>
            </w:pPr>
            <w:r w:rsidRPr="00DC0807">
              <w:t>The treatment must be as systemic monotherapy; OR The treatment must be in combination with methotrexate, AND</w:t>
            </w: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14"/>
              <w:gridCol w:w="3316"/>
            </w:tblGrid>
            <w:tr w:rsidR="004C3AC1" w:rsidRPr="00DC0807" w:rsidTr="00E77FA7">
              <w:trPr>
                <w:trHeight w:val="20"/>
              </w:trPr>
              <w:tc>
                <w:tcPr>
                  <w:tcW w:w="1875" w:type="pct"/>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0"/>
                    <w:keepLines/>
                    <w:rPr>
                      <w:lang w:eastAsia="en-AU"/>
                    </w:rPr>
                  </w:pPr>
                  <w:r w:rsidRPr="00DC0807">
                    <w:t>Patient must have severe chronic plaque psoriasis of the face, or palm of a hand or sole of a foot where the plaque or plaques have been present for at least 6 months from the time of initial diagnosis, AND</w:t>
                  </w:r>
                </w:p>
              </w:tc>
              <w:tc>
                <w:tcPr>
                  <w:tcW w:w="1876" w:type="pct"/>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0"/>
                    <w:keepLines/>
                  </w:pPr>
                  <w:r w:rsidRPr="00DC0807">
                    <w:t>Patient must have lesions present for at least 6 months from the time of initial diagnosis,</w:t>
                  </w:r>
                </w:p>
                <w:p w:rsidR="004C3AC1" w:rsidRPr="00DC0807" w:rsidRDefault="004C3AC1" w:rsidP="009A0E75">
                  <w:pPr>
                    <w:pStyle w:val="TableText0"/>
                    <w:keepLines/>
                    <w:rPr>
                      <w:lang w:eastAsia="en-AU"/>
                    </w:rPr>
                  </w:pPr>
                  <w:r w:rsidRPr="00DC0807">
                    <w:t>AND</w:t>
                  </w:r>
                </w:p>
              </w:tc>
            </w:tr>
          </w:tbl>
          <w:p w:rsidR="004C3AC1" w:rsidRPr="00DC0807" w:rsidRDefault="004C3AC1" w:rsidP="009A0E75">
            <w:pPr>
              <w:pStyle w:val="TableText0"/>
              <w:keepLines/>
            </w:pPr>
            <w:r w:rsidRPr="00DC0807">
              <w:t>Patient must not have received any prior PBS-subsidised treatment with ustekinumab for this condition, AND</w:t>
            </w:r>
          </w:p>
          <w:p w:rsidR="004C3AC1" w:rsidRPr="00DC0807" w:rsidRDefault="004C3AC1" w:rsidP="009A0E75">
            <w:pPr>
              <w:pStyle w:val="TableText0"/>
              <w:keepLines/>
            </w:pPr>
            <w:r w:rsidRPr="00DC0807">
              <w:t>Patient must have failed to achieve an adequate response, as demonstrated by a Psoriasis Area and Severity Index (PASI) assessment, to at least 2 of the following 3 treatments: (i) phototherapy (UVB or PUVA) for 3 treatments per week for at least 6 weeks; and/or (ii) methotrexate at a dose of at least 10 mg or 10 mg per square metre weekly (whichever is lowest) for at least 6 weeks; and/or (iii) acitretin at a dose of at least 0.4 mg per kg per day for at least 6 weeks, AND</w:t>
            </w:r>
          </w:p>
          <w:p w:rsidR="004C3AC1" w:rsidRPr="00DC0807" w:rsidRDefault="004C3AC1" w:rsidP="009A0E75">
            <w:pPr>
              <w:pStyle w:val="TableText0"/>
              <w:keepLines/>
            </w:pPr>
            <w:r w:rsidRPr="00DC0807">
              <w:t>Patient must not receive more than 28 weeks of treatment under this restriction</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nil"/>
              <w:right w:val="single" w:sz="4" w:space="0" w:color="auto"/>
            </w:tcBorders>
          </w:tcPr>
          <w:p w:rsidR="004C3AC1" w:rsidRPr="00DC0807" w:rsidRDefault="004C3AC1" w:rsidP="009A0E75">
            <w:pPr>
              <w:pStyle w:val="Tabletext"/>
              <w:keepNext/>
              <w:keepLines/>
              <w:rPr>
                <w:lang w:eastAsia="en-AU"/>
              </w:rPr>
            </w:pPr>
            <w:r w:rsidRPr="00DC0807">
              <w:rPr>
                <w:lang w:eastAsia="en-AU"/>
              </w:rPr>
              <w:t>Treatment phase</w:t>
            </w:r>
          </w:p>
        </w:tc>
        <w:tc>
          <w:tcPr>
            <w:tcW w:w="1880" w:type="pct"/>
            <w:gridSpan w:val="4"/>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0"/>
              <w:keepLines/>
            </w:pPr>
            <w:r w:rsidRPr="00DC0807">
              <w:rPr>
                <w:lang w:eastAsia="en-AU"/>
              </w:rPr>
              <w:t>Continuing treatment [Face, hand, foot]</w:t>
            </w:r>
          </w:p>
        </w:tc>
        <w:tc>
          <w:tcPr>
            <w:tcW w:w="1875" w:type="pct"/>
            <w:gridSpan w:val="3"/>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0"/>
              <w:keepLines/>
            </w:pPr>
            <w:r w:rsidRPr="00DC0807">
              <w:rPr>
                <w:lang w:eastAsia="en-AU"/>
              </w:rPr>
              <w:t>Continuing treatment [Whole body]</w:t>
            </w:r>
          </w:p>
        </w:tc>
      </w:tr>
      <w:tr w:rsidR="004C3AC1" w:rsidRPr="00DC0807" w:rsidTr="009C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nil"/>
              <w:left w:val="single" w:sz="4" w:space="0" w:color="auto"/>
              <w:bottom w:val="single" w:sz="4" w:space="0" w:color="auto"/>
              <w:right w:val="single" w:sz="4" w:space="0" w:color="auto"/>
            </w:tcBorders>
          </w:tcPr>
          <w:p w:rsidR="004C3AC1" w:rsidRPr="00DC0807" w:rsidRDefault="004C3AC1" w:rsidP="009A0E75">
            <w:pPr>
              <w:pStyle w:val="Tabletext"/>
              <w:keepNext/>
              <w:keepLines/>
              <w:rPr>
                <w:lang w:eastAsia="en-AU"/>
              </w:rPr>
            </w:pPr>
          </w:p>
        </w:tc>
        <w:tc>
          <w:tcPr>
            <w:tcW w:w="3755" w:type="pct"/>
            <w:gridSpan w:val="7"/>
            <w:tcBorders>
              <w:top w:val="single" w:sz="4" w:space="0" w:color="auto"/>
              <w:left w:val="single" w:sz="4" w:space="0" w:color="auto"/>
              <w:bottom w:val="single" w:sz="4" w:space="0" w:color="auto"/>
              <w:right w:val="single" w:sz="4" w:space="0" w:color="auto"/>
            </w:tcBorders>
          </w:tcPr>
          <w:p w:rsidR="004C3AC1" w:rsidRPr="00DC0807" w:rsidRDefault="004C3AC1" w:rsidP="009A0E75">
            <w:pPr>
              <w:pStyle w:val="TableText0"/>
              <w:keepLines/>
            </w:pPr>
            <w:r w:rsidRPr="00DC0807">
              <w:t>Patient must have received this drug as their most recent course of PBS-subsidised treatment with a biological agent for this condition, AND</w:t>
            </w:r>
          </w:p>
          <w:p w:rsidR="004C3AC1" w:rsidRPr="00DC0807" w:rsidRDefault="004C3AC1" w:rsidP="009A0E75">
            <w:pPr>
              <w:pStyle w:val="TableText0"/>
              <w:keepLines/>
            </w:pPr>
            <w:r w:rsidRPr="00DC0807">
              <w:t>Patient must have demonstrated an adequate response to their most recent course of treatment with this drug, AND</w:t>
            </w:r>
          </w:p>
          <w:p w:rsidR="004C3AC1" w:rsidRPr="00DC0807" w:rsidRDefault="004C3AC1" w:rsidP="009A0E75">
            <w:pPr>
              <w:pStyle w:val="TableText0"/>
              <w:keepLines/>
            </w:pPr>
            <w:r w:rsidRPr="00DC0807">
              <w:t>The treatment must be as systemic monotherapy (other than methotrexate), AND</w:t>
            </w:r>
          </w:p>
          <w:p w:rsidR="004C3AC1" w:rsidRPr="00DC0807" w:rsidRDefault="004C3AC1" w:rsidP="009A0E75">
            <w:pPr>
              <w:pStyle w:val="TableText0"/>
              <w:keepLines/>
              <w:rPr>
                <w:lang w:eastAsia="en-AU"/>
              </w:rPr>
            </w:pPr>
            <w:r w:rsidRPr="00DC0807">
              <w:t>Patient must not receive more than 24 weeks of treatment per continuing treatment course authorised under this restriction</w:t>
            </w:r>
          </w:p>
        </w:tc>
      </w:tr>
    </w:tbl>
    <w:p w:rsidR="004C3AC1" w:rsidRPr="00DC0807" w:rsidRDefault="004C3AC1" w:rsidP="00DF1FA9">
      <w:pPr>
        <w:keepNext/>
        <w:keepLines/>
        <w:rPr>
          <w:rFonts w:ascii="Arial Narrow" w:hAnsi="Arial Narrow"/>
          <w:sz w:val="18"/>
          <w:szCs w:val="18"/>
        </w:rPr>
      </w:pPr>
      <w:r w:rsidRPr="00DC0807">
        <w:rPr>
          <w:rFonts w:ascii="Arial Narrow" w:hAnsi="Arial Narrow"/>
          <w:sz w:val="18"/>
          <w:szCs w:val="18"/>
        </w:rPr>
        <w:t xml:space="preserve">Source: </w:t>
      </w:r>
      <w:r w:rsidR="00AE0BB8" w:rsidRPr="00DC0807">
        <w:rPr>
          <w:rFonts w:ascii="Arial Narrow" w:hAnsi="Arial Narrow"/>
          <w:sz w:val="18"/>
          <w:szCs w:val="18"/>
        </w:rPr>
        <w:t xml:space="preserve">adapted from </w:t>
      </w:r>
      <w:r w:rsidRPr="00DC0807">
        <w:rPr>
          <w:rFonts w:ascii="Arial Narrow" w:hAnsi="Arial Narrow"/>
          <w:sz w:val="18"/>
          <w:szCs w:val="18"/>
        </w:rPr>
        <w:t>Appendix 1 to the submission.</w:t>
      </w:r>
    </w:p>
    <w:p w:rsidR="00B113A7" w:rsidRPr="00DC0807" w:rsidRDefault="00924222" w:rsidP="00173762">
      <w:pPr>
        <w:keepNext/>
        <w:keepLines/>
        <w:spacing w:after="240"/>
        <w:rPr>
          <w:rFonts w:ascii="Arial Narrow" w:hAnsi="Arial Narrow"/>
          <w:sz w:val="18"/>
          <w:szCs w:val="18"/>
        </w:rPr>
      </w:pPr>
      <w:r w:rsidRPr="00DC0807">
        <w:rPr>
          <w:rFonts w:ascii="Arial Narrow" w:hAnsi="Arial Narrow"/>
          <w:sz w:val="18"/>
          <w:szCs w:val="18"/>
          <w:vertAlign w:val="superscript"/>
        </w:rPr>
        <w:t>a</w:t>
      </w:r>
      <w:r w:rsidR="00B113A7" w:rsidRPr="00DC0807">
        <w:rPr>
          <w:rFonts w:ascii="Arial Narrow" w:hAnsi="Arial Narrow"/>
          <w:sz w:val="18"/>
          <w:szCs w:val="18"/>
          <w:vertAlign w:val="superscript"/>
        </w:rPr>
        <w:t xml:space="preserve"> </w:t>
      </w:r>
      <w:r w:rsidR="00B113A7" w:rsidRPr="00DC0807">
        <w:rPr>
          <w:rFonts w:ascii="Arial Narrow" w:hAnsi="Arial Narrow"/>
          <w:sz w:val="18"/>
          <w:szCs w:val="18"/>
        </w:rPr>
        <w:t>The submission requested the same current effective price as the ustekinumab 45 mg vial price in adults with severe CPP. This price was updated on 1 January 2021</w:t>
      </w:r>
      <w:r w:rsidR="0068787C" w:rsidRPr="00DC0807">
        <w:rPr>
          <w:rFonts w:ascii="Arial Narrow" w:hAnsi="Arial Narrow"/>
          <w:sz w:val="18"/>
          <w:szCs w:val="18"/>
        </w:rPr>
        <w:t xml:space="preserve"> (to an effective DPMQ of $</w:t>
      </w:r>
      <w:r w:rsidR="006B6F2B">
        <w:rPr>
          <w:rFonts w:ascii="Arial Narrow" w:hAnsi="Arial Narrow"/>
          <w:noProof/>
          <w:color w:val="000000"/>
          <w:sz w:val="18"/>
          <w:szCs w:val="18"/>
          <w:highlight w:val="black"/>
        </w:rPr>
        <w:t>'''''''''''''''''''''''</w:t>
      </w:r>
      <w:r w:rsidR="0068787C" w:rsidRPr="00DC0807">
        <w:rPr>
          <w:rFonts w:ascii="Arial Narrow" w:hAnsi="Arial Narrow"/>
          <w:sz w:val="18"/>
          <w:szCs w:val="18"/>
        </w:rPr>
        <w:t>)</w:t>
      </w:r>
      <w:r w:rsidR="00B113A7" w:rsidRPr="00DC0807">
        <w:rPr>
          <w:rFonts w:ascii="Arial Narrow" w:hAnsi="Arial Narrow"/>
          <w:sz w:val="18"/>
          <w:szCs w:val="18"/>
        </w:rPr>
        <w:t xml:space="preserve">, and the </w:t>
      </w:r>
      <w:r w:rsidR="00434619" w:rsidRPr="00DC0807">
        <w:rPr>
          <w:rFonts w:ascii="Arial Narrow" w:hAnsi="Arial Narrow"/>
          <w:sz w:val="18"/>
          <w:szCs w:val="18"/>
        </w:rPr>
        <w:t>evaluation updated financial implications for the PBS/RPBS and the Government health budget accordingly.</w:t>
      </w:r>
    </w:p>
    <w:p w:rsidR="00D97955" w:rsidRPr="00DC0807" w:rsidRDefault="00953898" w:rsidP="00D90C08">
      <w:pPr>
        <w:pStyle w:val="ListParagraph"/>
        <w:widowControl/>
        <w:numPr>
          <w:ilvl w:val="1"/>
          <w:numId w:val="1"/>
        </w:numPr>
      </w:pPr>
      <w:bookmarkStart w:id="3" w:name="_Ref61681426"/>
      <w:r w:rsidRPr="00DC0807">
        <w:t>The proposed duration of initial therapy supply for ustekinumab patients is 28 weeks, with assessment of response for continuing treatment no later than 24 weeks (</w:t>
      </w:r>
      <w:r w:rsidR="001C05D5" w:rsidRPr="00DC0807">
        <w:t>as per</w:t>
      </w:r>
      <w:r w:rsidRPr="00DC0807">
        <w:t xml:space="preserve"> the restriction for ustekinumab in adult severe CPP).</w:t>
      </w:r>
      <w:bookmarkEnd w:id="3"/>
      <w:r w:rsidR="001C05D5" w:rsidRPr="00DC0807">
        <w:t xml:space="preserve"> </w:t>
      </w:r>
    </w:p>
    <w:p w:rsidR="004C3AC1" w:rsidRPr="00DC0807" w:rsidRDefault="004C3AC1" w:rsidP="00D90C08">
      <w:pPr>
        <w:pStyle w:val="ListParagraph"/>
        <w:widowControl/>
        <w:numPr>
          <w:ilvl w:val="1"/>
          <w:numId w:val="1"/>
        </w:numPr>
      </w:pPr>
      <w:r w:rsidRPr="00DC0807">
        <w:t xml:space="preserve">The maximum </w:t>
      </w:r>
      <w:r w:rsidR="00DF1FA9" w:rsidRPr="00DC0807">
        <w:t>requested quantity wa</w:t>
      </w:r>
      <w:r w:rsidRPr="00DC0807">
        <w:t>s not sufficient to allow for</w:t>
      </w:r>
      <w:r w:rsidR="009C311D" w:rsidRPr="00DC0807">
        <w:t xml:space="preserve"> the recommended 90</w:t>
      </w:r>
      <w:r w:rsidR="008514BC" w:rsidRPr="00DC0807">
        <w:t xml:space="preserve"> </w:t>
      </w:r>
      <w:r w:rsidRPr="00DC0807">
        <w:t>mg dose in paediatric patients who weigh more than 100 kg.</w:t>
      </w:r>
      <w:r w:rsidR="00DF1FA9" w:rsidRPr="00DC0807">
        <w:t xml:space="preserve"> It was noted that </w:t>
      </w:r>
      <w:r w:rsidR="004A2BA0" w:rsidRPr="00DC0807">
        <w:t>3/110</w:t>
      </w:r>
      <w:r w:rsidR="00DF1FA9" w:rsidRPr="00DC0807">
        <w:t xml:space="preserve"> (2</w:t>
      </w:r>
      <w:r w:rsidR="004A2BA0" w:rsidRPr="00DC0807">
        <w:t>.7</w:t>
      </w:r>
      <w:r w:rsidR="00DF1FA9" w:rsidRPr="00DC0807">
        <w:t xml:space="preserve">%) </w:t>
      </w:r>
      <w:r w:rsidR="004A2BA0" w:rsidRPr="00DC0807">
        <w:t xml:space="preserve">of </w:t>
      </w:r>
      <w:r w:rsidR="00DF1FA9" w:rsidRPr="00DC0807">
        <w:t xml:space="preserve">patients </w:t>
      </w:r>
      <w:r w:rsidR="004A2BA0" w:rsidRPr="00DC0807">
        <w:t xml:space="preserve">enrolled in CADMUS, the pivotal trial which enrolled patients aged </w:t>
      </w:r>
      <w:r w:rsidR="004A2BA0" w:rsidRPr="00DC0807">
        <w:rPr>
          <w:rFonts w:cs="Calibri"/>
        </w:rPr>
        <w:t>≥</w:t>
      </w:r>
      <w:r w:rsidR="004A2BA0" w:rsidRPr="00DC0807">
        <w:t xml:space="preserve">12 years and &lt;18 years, </w:t>
      </w:r>
      <w:r w:rsidR="00DF1FA9" w:rsidRPr="00DC0807">
        <w:t xml:space="preserve">weighed over 100 kg, but it was unclear if this was representative of the proposed PBS population. </w:t>
      </w:r>
      <w:r w:rsidR="004A2BA0" w:rsidRPr="00DC0807">
        <w:t>Based on ABS data, in 2014-2015 7.4% of children or adolescent</w:t>
      </w:r>
      <w:r w:rsidR="009C311D" w:rsidRPr="00DC0807">
        <w:t>s</w:t>
      </w:r>
      <w:r w:rsidR="004A2BA0" w:rsidRPr="00DC0807">
        <w:t xml:space="preserve"> aged 5-17 were obese (BMI &gt;35</w:t>
      </w:r>
      <w:r w:rsidR="009C311D" w:rsidRPr="00DC0807">
        <w:t xml:space="preserve"> </w:t>
      </w:r>
      <w:r w:rsidR="004A2BA0" w:rsidRPr="00DC0807">
        <w:t>kg/m</w:t>
      </w:r>
      <w:r w:rsidR="004A2BA0" w:rsidRPr="00DC0807">
        <w:rPr>
          <w:vertAlign w:val="superscript"/>
        </w:rPr>
        <w:t>2</w:t>
      </w:r>
      <w:r w:rsidR="004A2BA0" w:rsidRPr="00DC0807">
        <w:t>)</w:t>
      </w:r>
      <w:r w:rsidR="0006743F" w:rsidRPr="00DC0807">
        <w:t>.</w:t>
      </w:r>
      <w:r w:rsidR="00DF1FA9" w:rsidRPr="00DC0807">
        <w:t xml:space="preserve"> </w:t>
      </w:r>
    </w:p>
    <w:p w:rsidR="000B1E6A" w:rsidRPr="00DC0807" w:rsidRDefault="00070DFF" w:rsidP="006F3C48">
      <w:pPr>
        <w:pStyle w:val="ListParagraph"/>
        <w:widowControl/>
        <w:numPr>
          <w:ilvl w:val="1"/>
          <w:numId w:val="1"/>
        </w:numPr>
      </w:pPr>
      <w:r w:rsidRPr="00DC0807">
        <w:t xml:space="preserve">The proposed PBS population </w:t>
      </w:r>
      <w:r w:rsidR="0023109F" w:rsidRPr="00DC0807">
        <w:t>wa</w:t>
      </w:r>
      <w:r w:rsidRPr="00DC0807">
        <w:t xml:space="preserve">s wider than the approved TGA population with respect to patient age, as the requested PBS population </w:t>
      </w:r>
      <w:r w:rsidR="00BB2FD6" w:rsidRPr="00DC0807">
        <w:t xml:space="preserve">is </w:t>
      </w:r>
      <w:r w:rsidRPr="00DC0807">
        <w:t>&lt;18 years</w:t>
      </w:r>
      <w:r w:rsidR="00BB2FD6" w:rsidRPr="00DC0807">
        <w:t>, while the TGA indication limits treatment to patients aged ≥6 years</w:t>
      </w:r>
      <w:r w:rsidR="00DC0807">
        <w:t xml:space="preserve">. </w:t>
      </w:r>
      <w:r w:rsidR="000B1E6A" w:rsidRPr="00DC0807">
        <w:t xml:space="preserve">The age of the PBS population for the comparator, etanercept, is also &lt;18 years, while the </w:t>
      </w:r>
      <w:r w:rsidR="00BB2FD6" w:rsidRPr="00DC0807">
        <w:t>TGA indication</w:t>
      </w:r>
      <w:r w:rsidR="000B1E6A" w:rsidRPr="00DC0807">
        <w:t xml:space="preserve"> for etanercept limits treatment to patients aged ≥4 years.</w:t>
      </w:r>
      <w:r w:rsidRPr="00DC0807">
        <w:t xml:space="preserve"> </w:t>
      </w:r>
    </w:p>
    <w:p w:rsidR="007A07D0" w:rsidRPr="00DC0807" w:rsidRDefault="00070DFF" w:rsidP="006F3C48">
      <w:pPr>
        <w:pStyle w:val="ListParagraph"/>
        <w:widowControl/>
        <w:numPr>
          <w:ilvl w:val="1"/>
          <w:numId w:val="1"/>
        </w:numPr>
      </w:pPr>
      <w:r w:rsidRPr="00DC0807">
        <w:t>The proposed PBS population</w:t>
      </w:r>
      <w:r w:rsidR="000B1E6A" w:rsidRPr="00DC0807">
        <w:t xml:space="preserve"> for ustekinumab</w:t>
      </w:r>
      <w:r w:rsidRPr="00DC0807">
        <w:t xml:space="preserve"> is limited to severe disease, compared to the wider moderate to severe disease approved by the TGA.</w:t>
      </w:r>
    </w:p>
    <w:p w:rsidR="00214EDA" w:rsidRPr="00DC0807" w:rsidRDefault="00214EDA" w:rsidP="00214EDA">
      <w:pPr>
        <w:pStyle w:val="ListParagraph"/>
        <w:widowControl/>
      </w:pPr>
      <w:r w:rsidRPr="00DC0807">
        <w:rPr>
          <w:rFonts w:asciiTheme="minorHAnsi" w:hAnsiTheme="minorHAnsi"/>
          <w:i/>
        </w:rPr>
        <w:t>For more detail on PBAC’s view, see section 7 PBAC outcome.</w:t>
      </w:r>
    </w:p>
    <w:p w:rsidR="004C3AC1" w:rsidRPr="00DC0807" w:rsidRDefault="004C3AC1" w:rsidP="004C3AC1">
      <w:pPr>
        <w:pStyle w:val="PBACHeading1"/>
      </w:pPr>
      <w:bookmarkStart w:id="4" w:name="_Toc62032233"/>
      <w:r w:rsidRPr="00DC0807">
        <w:t>Population and disease</w:t>
      </w:r>
      <w:bookmarkEnd w:id="4"/>
    </w:p>
    <w:p w:rsidR="004C3AC1" w:rsidRPr="00DC0807" w:rsidRDefault="004C3AC1" w:rsidP="004C3AC1"/>
    <w:p w:rsidR="004C3AC1" w:rsidRPr="00DC0807" w:rsidRDefault="004C3AC1" w:rsidP="00A927F1">
      <w:pPr>
        <w:pStyle w:val="ListParagraph"/>
        <w:widowControl/>
        <w:numPr>
          <w:ilvl w:val="1"/>
          <w:numId w:val="1"/>
        </w:numPr>
      </w:pPr>
      <w:r w:rsidRPr="00DC0807">
        <w:t xml:space="preserve">Psoriasis is a chronic disease with predominantly skin and joint manifestations affecting approximately 2% of the population. Overall, almost one third of psoriasis cases in the population begin in the patient’s paediatric years (i.e. &lt;18 years old) and incidence rates of psoriasis in children have more than doubled since 1970. As a result, it is now estimated that psoriasis affects approximately 1% of children globally, with a median age of onset between 7 and 10 years. Plaque psoriasis is the most common form affecting approximately 80 to 90% of patients. The major manifestation is chronic inflammation of the skin characterised by disfiguring, scaling and erythematous plaques that may be painful or </w:t>
      </w:r>
      <w:r w:rsidR="00B8612B" w:rsidRPr="00DC0807">
        <w:t>pruritic</w:t>
      </w:r>
      <w:r w:rsidRPr="00DC0807">
        <w:t xml:space="preserve">. </w:t>
      </w:r>
    </w:p>
    <w:p w:rsidR="009562A7" w:rsidRPr="00DC0807" w:rsidRDefault="009562A7" w:rsidP="00A927F1">
      <w:pPr>
        <w:pStyle w:val="ListParagraph"/>
        <w:widowControl/>
        <w:numPr>
          <w:ilvl w:val="1"/>
          <w:numId w:val="1"/>
        </w:numPr>
      </w:pPr>
      <w:r w:rsidRPr="00DC0807">
        <w:t>Patients diagnosed with mild disease are treated with topic</w:t>
      </w:r>
      <w:r w:rsidR="009D074A" w:rsidRPr="00DC0807">
        <w:t>al</w:t>
      </w:r>
      <w:r w:rsidRPr="00DC0807">
        <w:t xml:space="preserve"> treatments. Patients with moderate to severe disease are treated with non-biologic systemic ther</w:t>
      </w:r>
      <w:r w:rsidR="00AE5627">
        <w:t>apies including methotrexate, ci</w:t>
      </w:r>
      <w:r w:rsidRPr="00DC0807">
        <w:t xml:space="preserve">closporin and acitretin and/or phototherapy. </w:t>
      </w:r>
      <w:r w:rsidR="00026CC3" w:rsidRPr="00DC0807">
        <w:t>After failing two of methotrexate, acitretin and phototherapy, patients may become eligible for PBS-subsidised etanercept. Etanercept is administered either as monotherapy or in combination with methotrexate.</w:t>
      </w:r>
    </w:p>
    <w:p w:rsidR="0065399B" w:rsidRPr="00DC0807" w:rsidRDefault="00026CC3" w:rsidP="00A927F1">
      <w:pPr>
        <w:pStyle w:val="ListParagraph"/>
        <w:widowControl/>
        <w:numPr>
          <w:ilvl w:val="1"/>
          <w:numId w:val="1"/>
        </w:numPr>
      </w:pPr>
      <w:bookmarkStart w:id="5" w:name="_Ref61624241"/>
      <w:r w:rsidRPr="00DC0807">
        <w:t>The submission positioned u</w:t>
      </w:r>
      <w:r w:rsidR="004C3AC1" w:rsidRPr="00DC0807">
        <w:t xml:space="preserve">stekinumab </w:t>
      </w:r>
      <w:r w:rsidRPr="00DC0807">
        <w:t>(</w:t>
      </w:r>
      <w:r w:rsidR="004C3AC1" w:rsidRPr="00DC0807">
        <w:t>a monoclonal antibody that binds to human IL-12 and IL-23</w:t>
      </w:r>
      <w:r w:rsidRPr="00DC0807">
        <w:t xml:space="preserve">) </w:t>
      </w:r>
      <w:r w:rsidR="004C3AC1" w:rsidRPr="00DC0807">
        <w:t>as an alternative to etanercept</w:t>
      </w:r>
      <w:r w:rsidR="003C115D" w:rsidRPr="00DC0807">
        <w:t xml:space="preserve">. </w:t>
      </w:r>
      <w:r w:rsidR="00AA2CA0" w:rsidRPr="00DC0807">
        <w:t>The restrictions proposed would allow</w:t>
      </w:r>
      <w:r w:rsidR="00CD6FF6" w:rsidRPr="00DC0807">
        <w:t xml:space="preserve"> that</w:t>
      </w:r>
      <w:r w:rsidR="00B807FE" w:rsidRPr="00DC0807">
        <w:t xml:space="preserve"> </w:t>
      </w:r>
      <w:r w:rsidR="003C115D" w:rsidRPr="00DC0807">
        <w:t xml:space="preserve">ustekinumab may be used before or after etanercept and patients </w:t>
      </w:r>
      <w:r w:rsidR="00F059F6" w:rsidRPr="00DC0807">
        <w:t xml:space="preserve">may switch between the two </w:t>
      </w:r>
      <w:r w:rsidR="00434B0F" w:rsidRPr="00DC0807">
        <w:t>biologics</w:t>
      </w:r>
      <w:r w:rsidR="003C115D" w:rsidRPr="00DC0807">
        <w:t xml:space="preserve">. </w:t>
      </w:r>
      <w:r w:rsidR="00604303" w:rsidRPr="00DC0807">
        <w:t>The choice</w:t>
      </w:r>
      <w:r w:rsidR="003C115D" w:rsidRPr="00DC0807">
        <w:t xml:space="preserve"> and/or order of </w:t>
      </w:r>
      <w:r w:rsidR="00434B0F" w:rsidRPr="00DC0807">
        <w:t xml:space="preserve">biologic use </w:t>
      </w:r>
      <w:r w:rsidR="003C115D" w:rsidRPr="00DC0807">
        <w:t xml:space="preserve">will likely </w:t>
      </w:r>
      <w:r w:rsidR="0023109F" w:rsidRPr="00DC0807">
        <w:t xml:space="preserve">depend on </w:t>
      </w:r>
      <w:r w:rsidR="003C115D" w:rsidRPr="00DC0807">
        <w:t xml:space="preserve">clinician </w:t>
      </w:r>
      <w:r w:rsidR="0023109F" w:rsidRPr="00DC0807">
        <w:t xml:space="preserve">discretion </w:t>
      </w:r>
      <w:r w:rsidR="003C115D" w:rsidRPr="00DC0807">
        <w:t>and patient</w:t>
      </w:r>
      <w:r w:rsidR="0023109F" w:rsidRPr="00DC0807">
        <w:t xml:space="preserve"> preference</w:t>
      </w:r>
      <w:r w:rsidR="003C115D" w:rsidRPr="00DC0807">
        <w:t>.</w:t>
      </w:r>
      <w:r w:rsidRPr="00DC0807">
        <w:t xml:space="preserve"> </w:t>
      </w:r>
      <w:bookmarkEnd w:id="5"/>
    </w:p>
    <w:p w:rsidR="0065399B" w:rsidRPr="00DC0807" w:rsidRDefault="00A227BE" w:rsidP="00A927F1">
      <w:pPr>
        <w:pStyle w:val="ListParagraph"/>
        <w:widowControl/>
        <w:numPr>
          <w:ilvl w:val="1"/>
          <w:numId w:val="1"/>
        </w:numPr>
      </w:pPr>
      <w:r w:rsidRPr="00DC0807">
        <w:t xml:space="preserve">The proposed population for treatment with ustekinumab </w:t>
      </w:r>
      <w:r w:rsidR="00FE55F1" w:rsidRPr="00DC0807">
        <w:t>wa</w:t>
      </w:r>
      <w:r w:rsidRPr="00DC0807">
        <w:t xml:space="preserve">s </w:t>
      </w:r>
      <w:r w:rsidR="00FE55F1" w:rsidRPr="00DC0807">
        <w:t xml:space="preserve">broadly </w:t>
      </w:r>
      <w:r w:rsidRPr="00DC0807">
        <w:t xml:space="preserve">consistent with the PBS population </w:t>
      </w:r>
      <w:r w:rsidR="00FE55F1" w:rsidRPr="00DC0807">
        <w:t xml:space="preserve">eligible for treatment with </w:t>
      </w:r>
      <w:r w:rsidRPr="00DC0807">
        <w:t>etanercept</w:t>
      </w:r>
      <w:r w:rsidR="00DF1552" w:rsidRPr="00DC0807">
        <w:t xml:space="preserve"> except for</w:t>
      </w:r>
      <w:r w:rsidR="0065399B" w:rsidRPr="00DC0807">
        <w:t>:</w:t>
      </w:r>
    </w:p>
    <w:p w:rsidR="0065399B" w:rsidRPr="00DC0807" w:rsidRDefault="0065399B" w:rsidP="00A927F1">
      <w:pPr>
        <w:pStyle w:val="ListParagraph"/>
        <w:widowControl/>
        <w:numPr>
          <w:ilvl w:val="0"/>
          <w:numId w:val="11"/>
        </w:numPr>
        <w:ind w:left="993" w:hanging="284"/>
      </w:pPr>
      <w:r w:rsidRPr="00DC0807">
        <w:t xml:space="preserve">Time of </w:t>
      </w:r>
      <w:r w:rsidR="00D30BAC" w:rsidRPr="00DC0807">
        <w:t>Psoriasis Area and Severity Index (</w:t>
      </w:r>
      <w:r w:rsidRPr="00DC0807">
        <w:t>PASI</w:t>
      </w:r>
      <w:r w:rsidR="00D30BAC" w:rsidRPr="00DC0807">
        <w:t>)</w:t>
      </w:r>
      <w:r w:rsidRPr="00DC0807">
        <w:t xml:space="preserve"> response assessment. PASI response assessment with etanercept was expected to be conducted between 12</w:t>
      </w:r>
      <w:r w:rsidR="008514BC" w:rsidRPr="00DC0807">
        <w:t xml:space="preserve"> and</w:t>
      </w:r>
      <w:r w:rsidR="00A76A65" w:rsidRPr="00DC0807">
        <w:t xml:space="preserve"> </w:t>
      </w:r>
      <w:r w:rsidRPr="00DC0807">
        <w:t xml:space="preserve">16 weeks after treatment initiation. With ustekinumab, PASI response assessment </w:t>
      </w:r>
      <w:r w:rsidR="0002535A" w:rsidRPr="00DC0807">
        <w:t xml:space="preserve">is </w:t>
      </w:r>
      <w:r w:rsidRPr="00DC0807">
        <w:t xml:space="preserve">conducted </w:t>
      </w:r>
      <w:r w:rsidR="008E2728" w:rsidRPr="00DC0807">
        <w:t xml:space="preserve">no later than </w:t>
      </w:r>
      <w:r w:rsidRPr="00DC0807">
        <w:t>24 weeks after treatment initiation; and</w:t>
      </w:r>
    </w:p>
    <w:p w:rsidR="00026CC3" w:rsidRPr="00DC0807" w:rsidRDefault="0065399B" w:rsidP="00A927F1">
      <w:pPr>
        <w:pStyle w:val="ListParagraph"/>
        <w:widowControl/>
        <w:numPr>
          <w:ilvl w:val="0"/>
          <w:numId w:val="11"/>
        </w:numPr>
        <w:ind w:left="993" w:hanging="284"/>
      </w:pPr>
      <w:r w:rsidRPr="00DC0807">
        <w:t>T</w:t>
      </w:r>
      <w:r w:rsidR="00DF1552" w:rsidRPr="00DC0807">
        <w:t xml:space="preserve">he maximum </w:t>
      </w:r>
      <w:r w:rsidRPr="00DC0807">
        <w:t xml:space="preserve">allowed </w:t>
      </w:r>
      <w:r w:rsidR="00DF1552" w:rsidRPr="00DC0807">
        <w:t>duration of therapy</w:t>
      </w:r>
      <w:r w:rsidRPr="00DC0807">
        <w:t>.</w:t>
      </w:r>
      <w:r w:rsidR="00FE55F1" w:rsidRPr="00DC0807">
        <w:t xml:space="preserve"> </w:t>
      </w:r>
      <w:r w:rsidRPr="00DC0807">
        <w:t>P</w:t>
      </w:r>
      <w:r w:rsidR="00A227BE" w:rsidRPr="00DC0807">
        <w:t xml:space="preserve">atients </w:t>
      </w:r>
      <w:r w:rsidR="00DF1552" w:rsidRPr="00DC0807">
        <w:t xml:space="preserve">may only </w:t>
      </w:r>
      <w:r w:rsidR="00A227BE" w:rsidRPr="00DC0807">
        <w:t xml:space="preserve">receive a maximum </w:t>
      </w:r>
      <w:r w:rsidR="00DF1552" w:rsidRPr="00DC0807">
        <w:t xml:space="preserve">of </w:t>
      </w:r>
      <w:r w:rsidR="00A227BE" w:rsidRPr="00DC0807">
        <w:t>24-week</w:t>
      </w:r>
      <w:r w:rsidR="00DF1552" w:rsidRPr="00DC0807">
        <w:t xml:space="preserve">s of </w:t>
      </w:r>
      <w:r w:rsidR="00A227BE" w:rsidRPr="00DC0807">
        <w:t xml:space="preserve">treatment </w:t>
      </w:r>
      <w:r w:rsidR="00DF1552" w:rsidRPr="00DC0807">
        <w:t xml:space="preserve">per </w:t>
      </w:r>
      <w:r w:rsidR="00A227BE" w:rsidRPr="00DC0807">
        <w:t xml:space="preserve">course </w:t>
      </w:r>
      <w:r w:rsidR="00DF1552" w:rsidRPr="00DC0807">
        <w:t>of etanercept</w:t>
      </w:r>
      <w:r w:rsidRPr="00DC0807">
        <w:t xml:space="preserve"> ba</w:t>
      </w:r>
      <w:r w:rsidR="00DF1552" w:rsidRPr="00DC0807">
        <w:t>s</w:t>
      </w:r>
      <w:r w:rsidRPr="00DC0807">
        <w:t>e</w:t>
      </w:r>
      <w:r w:rsidR="00DF1552" w:rsidRPr="00DC0807">
        <w:t>d on the current restriction</w:t>
      </w:r>
      <w:r w:rsidRPr="00DC0807">
        <w:t>.</w:t>
      </w:r>
      <w:r w:rsidR="00DF1552" w:rsidRPr="00DC0807">
        <w:t xml:space="preserve"> </w:t>
      </w:r>
      <w:r w:rsidRPr="00DC0807">
        <w:t xml:space="preserve">They </w:t>
      </w:r>
      <w:r w:rsidR="00DF1552" w:rsidRPr="00DC0807">
        <w:t xml:space="preserve">cannot be retreated with etanercept </w:t>
      </w:r>
      <w:r w:rsidRPr="00DC0807">
        <w:t>unless symptoms worsen</w:t>
      </w:r>
      <w:r w:rsidR="00DF1552" w:rsidRPr="00DC0807">
        <w:t xml:space="preserve">, and any patient who failed to respond to treatment two times </w:t>
      </w:r>
      <w:r w:rsidRPr="00DC0807">
        <w:t xml:space="preserve">must </w:t>
      </w:r>
      <w:r w:rsidR="00DF1552" w:rsidRPr="00DC0807">
        <w:t xml:space="preserve">have </w:t>
      </w:r>
      <w:r w:rsidR="00A227BE" w:rsidRPr="00DC0807">
        <w:t>a break of at least 12 months before retreatment.</w:t>
      </w:r>
      <w:r w:rsidR="00E57DA0" w:rsidRPr="00DC0807">
        <w:t xml:space="preserve"> With ustekinumab, a responding patient may receive continuous therapy.</w:t>
      </w:r>
      <w:r w:rsidR="00A227BE" w:rsidRPr="00DC0807">
        <w:t xml:space="preserve"> </w:t>
      </w:r>
    </w:p>
    <w:p w:rsidR="003B357B" w:rsidRPr="00DC0807" w:rsidRDefault="00214EDA" w:rsidP="00FE4716">
      <w:pPr>
        <w:widowControl/>
        <w:ind w:left="709"/>
      </w:pPr>
      <w:r w:rsidRPr="00DC0807">
        <w:rPr>
          <w:rFonts w:asciiTheme="minorHAnsi" w:hAnsiTheme="minorHAnsi"/>
          <w:i/>
        </w:rPr>
        <w:t>For more detail on PBAC’s view, see section 7 PBAC outcome.</w:t>
      </w:r>
    </w:p>
    <w:p w:rsidR="004C3AC1" w:rsidRPr="00DC0807" w:rsidRDefault="004C3AC1" w:rsidP="008F42BE">
      <w:pPr>
        <w:pStyle w:val="PBACHeading1"/>
        <w:spacing w:before="240"/>
      </w:pPr>
      <w:bookmarkStart w:id="6" w:name="_Toc62032234"/>
      <w:r w:rsidRPr="00DC0807">
        <w:t>Comparator</w:t>
      </w:r>
      <w:bookmarkEnd w:id="6"/>
    </w:p>
    <w:p w:rsidR="004C3AC1" w:rsidRPr="00DC0807" w:rsidRDefault="004C3AC1" w:rsidP="004C3AC1"/>
    <w:p w:rsidR="003803B5" w:rsidRPr="00DC0807" w:rsidRDefault="004C3AC1" w:rsidP="008F42BE">
      <w:pPr>
        <w:pStyle w:val="ListParagraph"/>
        <w:numPr>
          <w:ilvl w:val="1"/>
          <w:numId w:val="1"/>
        </w:numPr>
        <w:rPr>
          <w:rFonts w:cs="Calibri"/>
          <w:szCs w:val="24"/>
          <w:lang w:eastAsia="en-AU"/>
        </w:rPr>
      </w:pPr>
      <w:r w:rsidRPr="00DC0807">
        <w:rPr>
          <w:rFonts w:cs="Calibri"/>
          <w:snapToGrid/>
          <w:szCs w:val="24"/>
          <w:lang w:eastAsia="en-AU"/>
        </w:rPr>
        <w:t>The submission nominated etanercept as the main comparator. The main arguments provided in support of this nomination were that in paediatric patients with severe CPP, etanercept is the only biologic currently PBS listed for this indication, and that etanercept is the only active treatment option for the paediatric severe CPP population after inadequate response to conventional therapies such as methotrexate, acitretin and/or phototherapy. As such, etanercept will be replaced by ustekinumab if listed on the PBS.</w:t>
      </w:r>
    </w:p>
    <w:p w:rsidR="00ED5260" w:rsidRPr="00DC0807" w:rsidRDefault="003803B5" w:rsidP="008F42BE">
      <w:pPr>
        <w:pStyle w:val="ListParagraph"/>
        <w:numPr>
          <w:ilvl w:val="1"/>
          <w:numId w:val="1"/>
        </w:numPr>
        <w:rPr>
          <w:rFonts w:cs="Calibri"/>
          <w:szCs w:val="24"/>
          <w:lang w:eastAsia="en-AU"/>
        </w:rPr>
      </w:pPr>
      <w:r w:rsidRPr="00DC0807">
        <w:rPr>
          <w:rFonts w:cs="Calibri"/>
          <w:snapToGrid/>
          <w:szCs w:val="24"/>
          <w:lang w:eastAsia="en-AU"/>
        </w:rPr>
        <w:t>B</w:t>
      </w:r>
      <w:r w:rsidR="009F5633" w:rsidRPr="00DC0807">
        <w:rPr>
          <w:rFonts w:cs="Calibri"/>
          <w:snapToGrid/>
          <w:szCs w:val="24"/>
          <w:lang w:eastAsia="en-AU"/>
        </w:rPr>
        <w:t>est supportive care (BSC) would be an appropriate comparator for patients who had failed to respond to all other treatment options,</w:t>
      </w:r>
      <w:r w:rsidR="00301C0D" w:rsidRPr="00DC0807">
        <w:rPr>
          <w:rFonts w:cs="Calibri"/>
          <w:snapToGrid/>
          <w:szCs w:val="24"/>
          <w:lang w:eastAsia="en-AU"/>
        </w:rPr>
        <w:t xml:space="preserve"> including etanercept,</w:t>
      </w:r>
      <w:r w:rsidR="009F5633" w:rsidRPr="00DC0807">
        <w:rPr>
          <w:rFonts w:cs="Calibri"/>
          <w:snapToGrid/>
          <w:szCs w:val="24"/>
          <w:lang w:eastAsia="en-AU"/>
        </w:rPr>
        <w:t xml:space="preserve"> </w:t>
      </w:r>
      <w:r w:rsidRPr="00DC0807">
        <w:rPr>
          <w:rFonts w:cs="Calibri"/>
          <w:snapToGrid/>
          <w:szCs w:val="24"/>
          <w:lang w:eastAsia="en-AU"/>
        </w:rPr>
        <w:t>or were unable or unwilling to be treated with etanercept due to safety concerns or treatment duration restrictions. However, the E</w:t>
      </w:r>
      <w:r w:rsidR="00BF0934" w:rsidRPr="00DC0807">
        <w:rPr>
          <w:rFonts w:cs="Calibri"/>
          <w:snapToGrid/>
          <w:szCs w:val="24"/>
          <w:lang w:eastAsia="en-AU"/>
        </w:rPr>
        <w:t xml:space="preserve">conomics </w:t>
      </w:r>
      <w:r w:rsidRPr="00DC0807">
        <w:rPr>
          <w:rFonts w:cs="Calibri"/>
          <w:snapToGrid/>
          <w:szCs w:val="24"/>
          <w:lang w:eastAsia="en-AU"/>
        </w:rPr>
        <w:t>S</w:t>
      </w:r>
      <w:r w:rsidR="00BF0934" w:rsidRPr="00DC0807">
        <w:rPr>
          <w:rFonts w:cs="Calibri"/>
          <w:snapToGrid/>
          <w:szCs w:val="24"/>
          <w:lang w:eastAsia="en-AU"/>
        </w:rPr>
        <w:t>ub-</w:t>
      </w:r>
      <w:r w:rsidRPr="00DC0807">
        <w:rPr>
          <w:rFonts w:cs="Calibri"/>
          <w:snapToGrid/>
          <w:szCs w:val="24"/>
          <w:lang w:eastAsia="en-AU"/>
        </w:rPr>
        <w:t>C</w:t>
      </w:r>
      <w:r w:rsidR="00BF0934" w:rsidRPr="00DC0807">
        <w:rPr>
          <w:rFonts w:cs="Calibri"/>
          <w:snapToGrid/>
          <w:szCs w:val="24"/>
          <w:lang w:eastAsia="en-AU"/>
        </w:rPr>
        <w:t>ommittee (ESC)</w:t>
      </w:r>
      <w:r w:rsidRPr="00DC0807">
        <w:rPr>
          <w:rFonts w:cs="Calibri"/>
          <w:snapToGrid/>
          <w:szCs w:val="24"/>
          <w:lang w:eastAsia="en-AU"/>
        </w:rPr>
        <w:t xml:space="preserve"> considered this additional comparison would be complicated and clinical evidence would be limited.</w:t>
      </w:r>
      <w:r w:rsidR="00ED5260" w:rsidRPr="00DC0807">
        <w:rPr>
          <w:rFonts w:cs="Calibri"/>
          <w:snapToGrid/>
          <w:szCs w:val="24"/>
          <w:lang w:eastAsia="en-AU"/>
        </w:rPr>
        <w:t xml:space="preserve"> </w:t>
      </w:r>
    </w:p>
    <w:p w:rsidR="00C2798B" w:rsidRDefault="00214EDA" w:rsidP="00214EDA">
      <w:pPr>
        <w:pStyle w:val="ListParagraph"/>
        <w:widowControl/>
        <w:rPr>
          <w:rFonts w:asciiTheme="minorHAnsi" w:hAnsiTheme="minorHAnsi"/>
          <w:i/>
        </w:rPr>
      </w:pPr>
      <w:r w:rsidRPr="00DC0807">
        <w:rPr>
          <w:rFonts w:asciiTheme="minorHAnsi" w:hAnsiTheme="minorHAnsi"/>
          <w:i/>
        </w:rPr>
        <w:t>For more detail on PBAC’s view, see section 7 PBAC outcome.</w:t>
      </w:r>
    </w:p>
    <w:p w:rsidR="00C2798B" w:rsidRDefault="00C2798B">
      <w:pPr>
        <w:widowControl/>
        <w:jc w:val="left"/>
        <w:rPr>
          <w:rFonts w:asciiTheme="minorHAnsi" w:hAnsiTheme="minorHAnsi"/>
          <w:i/>
        </w:rPr>
      </w:pPr>
      <w:r>
        <w:rPr>
          <w:rFonts w:asciiTheme="minorHAnsi" w:hAnsiTheme="minorHAnsi"/>
          <w:i/>
        </w:rPr>
        <w:br w:type="page"/>
      </w:r>
    </w:p>
    <w:p w:rsidR="004C3AC1" w:rsidRPr="00DC0807" w:rsidRDefault="004C3AC1" w:rsidP="00045205">
      <w:pPr>
        <w:pStyle w:val="PBACHeading1"/>
        <w:spacing w:after="240"/>
      </w:pPr>
      <w:bookmarkStart w:id="7" w:name="_Toc62032235"/>
      <w:r w:rsidRPr="00DC0807">
        <w:t>Consideration of the evidence</w:t>
      </w:r>
      <w:bookmarkEnd w:id="7"/>
    </w:p>
    <w:p w:rsidR="00150FF6" w:rsidRPr="00DC0807" w:rsidRDefault="00150FF6" w:rsidP="00150FF6">
      <w:pPr>
        <w:pStyle w:val="Heading2"/>
        <w:spacing w:after="120"/>
      </w:pPr>
      <w:r w:rsidRPr="00DC0807">
        <w:t>Sponsor hearing</w:t>
      </w:r>
    </w:p>
    <w:p w:rsidR="00150FF6" w:rsidRPr="00DC0807" w:rsidRDefault="00AC5BE4" w:rsidP="00AC5BE4">
      <w:pPr>
        <w:numPr>
          <w:ilvl w:val="1"/>
          <w:numId w:val="1"/>
        </w:numPr>
        <w:spacing w:after="120"/>
        <w:rPr>
          <w:rFonts w:asciiTheme="minorHAnsi" w:hAnsiTheme="minorHAnsi"/>
          <w:bCs/>
        </w:rPr>
      </w:pPr>
      <w:r w:rsidRPr="00DC0807">
        <w:rPr>
          <w:rFonts w:asciiTheme="minorHAnsi" w:hAnsiTheme="minorHAnsi"/>
          <w:bCs/>
        </w:rPr>
        <w:t>The</w:t>
      </w:r>
      <w:r w:rsidR="00F1362F" w:rsidRPr="00DC0807">
        <w:rPr>
          <w:rFonts w:asciiTheme="minorHAnsi" w:hAnsiTheme="minorHAnsi"/>
          <w:bCs/>
        </w:rPr>
        <w:t>re was no hearing for this item</w:t>
      </w:r>
      <w:r w:rsidRPr="00DC0807">
        <w:rPr>
          <w:rFonts w:asciiTheme="minorHAnsi" w:hAnsiTheme="minorHAnsi"/>
          <w:bCs/>
        </w:rPr>
        <w:t>.</w:t>
      </w:r>
    </w:p>
    <w:p w:rsidR="00150FF6" w:rsidRPr="00DC0807" w:rsidRDefault="00150FF6" w:rsidP="00F07536">
      <w:pPr>
        <w:pStyle w:val="Heading2"/>
        <w:keepNext/>
        <w:keepLines/>
        <w:spacing w:after="120"/>
      </w:pPr>
      <w:r w:rsidRPr="00DC0807">
        <w:t>Consumer comments</w:t>
      </w:r>
    </w:p>
    <w:p w:rsidR="00AC5BE4" w:rsidRPr="00DC0807" w:rsidRDefault="00AC5BE4" w:rsidP="00F07536">
      <w:pPr>
        <w:keepNext/>
        <w:keepLines/>
        <w:numPr>
          <w:ilvl w:val="1"/>
          <w:numId w:val="1"/>
        </w:numPr>
        <w:spacing w:after="120"/>
        <w:rPr>
          <w:rFonts w:asciiTheme="minorHAnsi" w:hAnsiTheme="minorHAnsi"/>
          <w:bCs/>
        </w:rPr>
      </w:pPr>
      <w:r w:rsidRPr="00DC0807">
        <w:rPr>
          <w:rFonts w:asciiTheme="minorHAnsi" w:hAnsiTheme="minorHAnsi"/>
          <w:bCs/>
        </w:rPr>
        <w:t>The PBAC noted and welcomed the input from</w:t>
      </w:r>
      <w:r w:rsidR="00EA04C9" w:rsidRPr="00DC0807">
        <w:rPr>
          <w:rFonts w:asciiTheme="minorHAnsi" w:hAnsiTheme="minorHAnsi"/>
          <w:bCs/>
        </w:rPr>
        <w:t xml:space="preserve"> an individual (1</w:t>
      </w:r>
      <w:r w:rsidRPr="00DC0807">
        <w:rPr>
          <w:rFonts w:asciiTheme="minorHAnsi" w:hAnsiTheme="minorHAnsi"/>
          <w:bCs/>
        </w:rPr>
        <w:t>), health care profess</w:t>
      </w:r>
      <w:r w:rsidR="00EA04C9" w:rsidRPr="00DC0807">
        <w:rPr>
          <w:rFonts w:asciiTheme="minorHAnsi" w:hAnsiTheme="minorHAnsi"/>
          <w:bCs/>
        </w:rPr>
        <w:t>ionals (23</w:t>
      </w:r>
      <w:r w:rsidRPr="00DC0807">
        <w:rPr>
          <w:rFonts w:asciiTheme="minorHAnsi" w:hAnsiTheme="minorHAnsi"/>
          <w:bCs/>
        </w:rPr>
        <w:t>) and</w:t>
      </w:r>
      <w:r w:rsidR="00EA04C9" w:rsidRPr="00DC0807">
        <w:rPr>
          <w:rFonts w:asciiTheme="minorHAnsi" w:hAnsiTheme="minorHAnsi"/>
          <w:bCs/>
        </w:rPr>
        <w:t xml:space="preserve"> an organisation</w:t>
      </w:r>
      <w:r w:rsidRPr="00DC0807">
        <w:rPr>
          <w:rFonts w:asciiTheme="minorHAnsi" w:hAnsiTheme="minorHAnsi"/>
          <w:bCs/>
        </w:rPr>
        <w:t xml:space="preserve"> (1) via the Consumer Commen</w:t>
      </w:r>
      <w:r w:rsidR="00EA04C9" w:rsidRPr="00DC0807">
        <w:rPr>
          <w:rFonts w:asciiTheme="minorHAnsi" w:hAnsiTheme="minorHAnsi"/>
          <w:bCs/>
        </w:rPr>
        <w:t>ts facility on the PBS website.</w:t>
      </w:r>
      <w:r w:rsidRPr="00DC0807">
        <w:rPr>
          <w:rFonts w:asciiTheme="minorHAnsi" w:hAnsiTheme="minorHAnsi"/>
          <w:bCs/>
        </w:rPr>
        <w:t xml:space="preserve"> The comments described a range of benefits of treatment with </w:t>
      </w:r>
      <w:r w:rsidR="00EA04C9" w:rsidRPr="00DC0807">
        <w:rPr>
          <w:rFonts w:asciiTheme="minorHAnsi" w:hAnsiTheme="minorHAnsi"/>
          <w:bCs/>
        </w:rPr>
        <w:t>ustekinumab</w:t>
      </w:r>
      <w:r w:rsidRPr="00DC0807">
        <w:rPr>
          <w:rFonts w:asciiTheme="minorHAnsi" w:hAnsiTheme="minorHAnsi"/>
          <w:bCs/>
        </w:rPr>
        <w:t xml:space="preserve"> including</w:t>
      </w:r>
      <w:r w:rsidR="00EC6C83" w:rsidRPr="00DC0807">
        <w:rPr>
          <w:rFonts w:asciiTheme="minorHAnsi" w:hAnsiTheme="minorHAnsi"/>
          <w:bCs/>
        </w:rPr>
        <w:t xml:space="preserve"> fewer injections (3-monthly) compared to etanercept (weekly) and uninterrupted treatment. The health care professionals (HCPs) particularly emphasised the </w:t>
      </w:r>
      <w:r w:rsidR="00CE2372" w:rsidRPr="00DC0807">
        <w:rPr>
          <w:rFonts w:asciiTheme="minorHAnsi" w:hAnsiTheme="minorHAnsi"/>
          <w:bCs/>
        </w:rPr>
        <w:t>considerable</w:t>
      </w:r>
      <w:r w:rsidR="00EC6C83" w:rsidRPr="00DC0807">
        <w:rPr>
          <w:rFonts w:asciiTheme="minorHAnsi" w:hAnsiTheme="minorHAnsi"/>
          <w:bCs/>
        </w:rPr>
        <w:t xml:space="preserve"> psychosocial i</w:t>
      </w:r>
      <w:r w:rsidR="00F07536" w:rsidRPr="00DC0807">
        <w:rPr>
          <w:rFonts w:asciiTheme="minorHAnsi" w:hAnsiTheme="minorHAnsi"/>
          <w:bCs/>
        </w:rPr>
        <w:t xml:space="preserve">mplications of severe CPP in </w:t>
      </w:r>
      <w:r w:rsidR="009C01ED" w:rsidRPr="00DC0807">
        <w:rPr>
          <w:rFonts w:asciiTheme="minorHAnsi" w:hAnsiTheme="minorHAnsi"/>
          <w:bCs/>
        </w:rPr>
        <w:t>the paediatric</w:t>
      </w:r>
      <w:r w:rsidR="00F07536" w:rsidRPr="00DC0807">
        <w:rPr>
          <w:rFonts w:asciiTheme="minorHAnsi" w:hAnsiTheme="minorHAnsi"/>
          <w:bCs/>
        </w:rPr>
        <w:t xml:space="preserve"> age group due to</w:t>
      </w:r>
      <w:r w:rsidR="00EC6C83" w:rsidRPr="00DC0807">
        <w:rPr>
          <w:rFonts w:asciiTheme="minorHAnsi" w:hAnsiTheme="minorHAnsi"/>
          <w:bCs/>
        </w:rPr>
        <w:t xml:space="preserve"> disfigurement in sensitive areas</w:t>
      </w:r>
      <w:r w:rsidR="005B6AAD" w:rsidRPr="00DC0807">
        <w:rPr>
          <w:rFonts w:asciiTheme="minorHAnsi" w:hAnsiTheme="minorHAnsi"/>
          <w:bCs/>
        </w:rPr>
        <w:t>,</w:t>
      </w:r>
      <w:r w:rsidR="00EC6C83" w:rsidRPr="00DC0807">
        <w:rPr>
          <w:rFonts w:asciiTheme="minorHAnsi" w:hAnsiTheme="minorHAnsi"/>
          <w:bCs/>
        </w:rPr>
        <w:t xml:space="preserve"> such as the face and limbs/genital area.</w:t>
      </w:r>
      <w:r w:rsidR="00F07536" w:rsidRPr="00DC0807">
        <w:rPr>
          <w:rFonts w:asciiTheme="minorHAnsi" w:hAnsiTheme="minorHAnsi"/>
          <w:bCs/>
        </w:rPr>
        <w:t xml:space="preserve"> The HCPs commented on the significant improvement in</w:t>
      </w:r>
      <w:r w:rsidR="00D94789" w:rsidRPr="00DC0807">
        <w:rPr>
          <w:rFonts w:asciiTheme="minorHAnsi" w:hAnsiTheme="minorHAnsi"/>
          <w:bCs/>
        </w:rPr>
        <w:t xml:space="preserve"> patients’</w:t>
      </w:r>
      <w:r w:rsidR="00F07536" w:rsidRPr="00DC0807">
        <w:rPr>
          <w:rFonts w:asciiTheme="minorHAnsi" w:hAnsiTheme="minorHAnsi"/>
          <w:bCs/>
        </w:rPr>
        <w:t xml:space="preserve"> quality of life</w:t>
      </w:r>
      <w:r w:rsidR="00626306" w:rsidRPr="00DC0807">
        <w:rPr>
          <w:rFonts w:asciiTheme="minorHAnsi" w:hAnsiTheme="minorHAnsi"/>
          <w:bCs/>
        </w:rPr>
        <w:t xml:space="preserve"> with ustekinumab</w:t>
      </w:r>
      <w:r w:rsidR="00F07536" w:rsidRPr="00DC0807">
        <w:rPr>
          <w:rFonts w:asciiTheme="minorHAnsi" w:hAnsiTheme="minorHAnsi"/>
          <w:bCs/>
        </w:rPr>
        <w:t>, and several clinicians described</w:t>
      </w:r>
      <w:r w:rsidR="00D94789" w:rsidRPr="00DC0807">
        <w:rPr>
          <w:rFonts w:asciiTheme="minorHAnsi" w:hAnsiTheme="minorHAnsi"/>
          <w:bCs/>
        </w:rPr>
        <w:t xml:space="preserve"> patients’</w:t>
      </w:r>
      <w:r w:rsidR="00F07536" w:rsidRPr="00DC0807">
        <w:rPr>
          <w:rFonts w:asciiTheme="minorHAnsi" w:hAnsiTheme="minorHAnsi"/>
          <w:bCs/>
        </w:rPr>
        <w:t xml:space="preserve"> treatment as life-changing. The HCPs considered there is a</w:t>
      </w:r>
      <w:r w:rsidR="00F1362F" w:rsidRPr="00DC0807">
        <w:rPr>
          <w:rFonts w:asciiTheme="minorHAnsi" w:hAnsiTheme="minorHAnsi"/>
          <w:bCs/>
        </w:rPr>
        <w:t>n unmet clinical need</w:t>
      </w:r>
      <w:r w:rsidR="00F07536" w:rsidRPr="00DC0807">
        <w:rPr>
          <w:rFonts w:asciiTheme="minorHAnsi" w:hAnsiTheme="minorHAnsi"/>
          <w:bCs/>
        </w:rPr>
        <w:t xml:space="preserve"> in childhood psoriasis treatment and strongly supported </w:t>
      </w:r>
      <w:r w:rsidR="00C532A3" w:rsidRPr="00DC0807">
        <w:rPr>
          <w:rFonts w:asciiTheme="minorHAnsi" w:hAnsiTheme="minorHAnsi"/>
          <w:bCs/>
        </w:rPr>
        <w:t>the PBS listing of</w:t>
      </w:r>
      <w:r w:rsidR="00F07536" w:rsidRPr="00DC0807">
        <w:rPr>
          <w:rFonts w:asciiTheme="minorHAnsi" w:hAnsiTheme="minorHAnsi"/>
          <w:bCs/>
        </w:rPr>
        <w:t xml:space="preserve"> ustekinumab</w:t>
      </w:r>
      <w:r w:rsidR="00DC0807">
        <w:rPr>
          <w:rFonts w:asciiTheme="minorHAnsi" w:hAnsiTheme="minorHAnsi"/>
          <w:bCs/>
        </w:rPr>
        <w:t xml:space="preserve">. </w:t>
      </w:r>
    </w:p>
    <w:p w:rsidR="00150FF6" w:rsidRPr="00DC0807" w:rsidRDefault="00AC5BE4" w:rsidP="00AC5BE4">
      <w:pPr>
        <w:numPr>
          <w:ilvl w:val="1"/>
          <w:numId w:val="1"/>
        </w:numPr>
        <w:spacing w:after="120"/>
        <w:rPr>
          <w:rFonts w:asciiTheme="minorHAnsi" w:hAnsiTheme="minorHAnsi"/>
          <w:bCs/>
        </w:rPr>
      </w:pPr>
      <w:r w:rsidRPr="00DC0807">
        <w:rPr>
          <w:rFonts w:asciiTheme="minorHAnsi" w:hAnsiTheme="minorHAnsi"/>
          <w:bCs/>
        </w:rPr>
        <w:t xml:space="preserve">The PBAC noted the advice received from </w:t>
      </w:r>
      <w:r w:rsidR="00D94789" w:rsidRPr="00DC0807">
        <w:rPr>
          <w:rFonts w:asciiTheme="minorHAnsi" w:hAnsiTheme="minorHAnsi"/>
          <w:bCs/>
        </w:rPr>
        <w:t>the Australasian College of Dermatologists</w:t>
      </w:r>
      <w:r w:rsidR="006C03B6" w:rsidRPr="00DC0807">
        <w:rPr>
          <w:rFonts w:asciiTheme="minorHAnsi" w:hAnsiTheme="minorHAnsi"/>
          <w:bCs/>
        </w:rPr>
        <w:t xml:space="preserve">, </w:t>
      </w:r>
      <w:r w:rsidRPr="00DC0807">
        <w:rPr>
          <w:rFonts w:asciiTheme="minorHAnsi" w:hAnsiTheme="minorHAnsi"/>
          <w:bCs/>
        </w:rPr>
        <w:t>specifically that the</w:t>
      </w:r>
      <w:r w:rsidR="00D94789" w:rsidRPr="00DC0807">
        <w:rPr>
          <w:rFonts w:asciiTheme="minorHAnsi" w:hAnsiTheme="minorHAnsi"/>
          <w:bCs/>
        </w:rPr>
        <w:t xml:space="preserve">re is a </w:t>
      </w:r>
      <w:r w:rsidR="00173762" w:rsidRPr="00DC0807">
        <w:rPr>
          <w:rFonts w:asciiTheme="minorHAnsi" w:hAnsiTheme="minorHAnsi"/>
          <w:bCs/>
        </w:rPr>
        <w:t>substantial</w:t>
      </w:r>
      <w:r w:rsidR="00D94789" w:rsidRPr="00DC0807">
        <w:rPr>
          <w:rFonts w:asciiTheme="minorHAnsi" w:hAnsiTheme="minorHAnsi"/>
          <w:bCs/>
        </w:rPr>
        <w:t xml:space="preserve"> unmet need for an alternative class of medication for the paediatric</w:t>
      </w:r>
      <w:r w:rsidR="00992317" w:rsidRPr="00DC0807">
        <w:rPr>
          <w:rFonts w:asciiTheme="minorHAnsi" w:hAnsiTheme="minorHAnsi"/>
          <w:bCs/>
        </w:rPr>
        <w:t xml:space="preserve"> CPP</w:t>
      </w:r>
      <w:r w:rsidR="00D94789" w:rsidRPr="00DC0807">
        <w:rPr>
          <w:rFonts w:asciiTheme="minorHAnsi" w:hAnsiTheme="minorHAnsi"/>
          <w:bCs/>
        </w:rPr>
        <w:t xml:space="preserve"> population</w:t>
      </w:r>
      <w:r w:rsidR="006C03B6" w:rsidRPr="00DC0807">
        <w:rPr>
          <w:rFonts w:asciiTheme="minorHAnsi" w:hAnsiTheme="minorHAnsi"/>
          <w:bCs/>
        </w:rPr>
        <w:t>. The College noted that</w:t>
      </w:r>
      <w:r w:rsidR="00D94789" w:rsidRPr="00DC0807">
        <w:rPr>
          <w:rFonts w:asciiTheme="minorHAnsi" w:hAnsiTheme="minorHAnsi"/>
          <w:bCs/>
        </w:rPr>
        <w:t xml:space="preserve"> etanercept is the only biological agent available on the PBS</w:t>
      </w:r>
      <w:r w:rsidR="006C03B6" w:rsidRPr="00DC0807">
        <w:rPr>
          <w:rFonts w:asciiTheme="minorHAnsi" w:hAnsiTheme="minorHAnsi"/>
          <w:bCs/>
        </w:rPr>
        <w:t>,</w:t>
      </w:r>
      <w:r w:rsidR="00D94789" w:rsidRPr="00DC0807">
        <w:rPr>
          <w:rFonts w:asciiTheme="minorHAnsi" w:hAnsiTheme="minorHAnsi"/>
          <w:bCs/>
        </w:rPr>
        <w:t xml:space="preserve"> </w:t>
      </w:r>
      <w:r w:rsidR="00CD6FF6" w:rsidRPr="00DC0807">
        <w:rPr>
          <w:rFonts w:asciiTheme="minorHAnsi" w:hAnsiTheme="minorHAnsi"/>
          <w:bCs/>
        </w:rPr>
        <w:t>and there are limitations to its use</w:t>
      </w:r>
      <w:r w:rsidR="00D94789" w:rsidRPr="00DC0807">
        <w:rPr>
          <w:rFonts w:asciiTheme="minorHAnsi" w:hAnsiTheme="minorHAnsi"/>
          <w:bCs/>
        </w:rPr>
        <w:t>.</w:t>
      </w:r>
      <w:r w:rsidR="00CD6FF6" w:rsidRPr="00DC0807">
        <w:rPr>
          <w:rFonts w:asciiTheme="minorHAnsi" w:hAnsiTheme="minorHAnsi"/>
          <w:bCs/>
        </w:rPr>
        <w:t xml:space="preserve"> It further noted the well-established safety profile of ustekinumab.</w:t>
      </w:r>
      <w:r w:rsidR="003046A0" w:rsidRPr="00DC0807">
        <w:rPr>
          <w:rFonts w:asciiTheme="minorHAnsi" w:hAnsiTheme="minorHAnsi"/>
          <w:bCs/>
        </w:rPr>
        <w:t xml:space="preserve"> </w:t>
      </w:r>
      <w:r w:rsidRPr="00DC0807">
        <w:rPr>
          <w:rFonts w:asciiTheme="minorHAnsi" w:hAnsiTheme="minorHAnsi"/>
          <w:bCs/>
        </w:rPr>
        <w:t>The PBAC noted</w:t>
      </w:r>
      <w:r w:rsidR="00D94789" w:rsidRPr="00DC0807">
        <w:rPr>
          <w:rFonts w:asciiTheme="minorHAnsi" w:hAnsiTheme="minorHAnsi"/>
          <w:bCs/>
        </w:rPr>
        <w:t xml:space="preserve"> that this advice was </w:t>
      </w:r>
      <w:r w:rsidRPr="00DC0807">
        <w:rPr>
          <w:rFonts w:asciiTheme="minorHAnsi" w:hAnsiTheme="minorHAnsi"/>
          <w:bCs/>
        </w:rPr>
        <w:t>supportive of the evidence provided in the submission.</w:t>
      </w:r>
    </w:p>
    <w:p w:rsidR="004C3AC1" w:rsidRPr="00DC0807" w:rsidRDefault="004C3AC1" w:rsidP="00150FF6">
      <w:pPr>
        <w:pStyle w:val="Heading2"/>
        <w:spacing w:after="120"/>
      </w:pPr>
      <w:bookmarkStart w:id="8" w:name="_Toc62032236"/>
      <w:r w:rsidRPr="00DC0807">
        <w:t>Clinical trials</w:t>
      </w:r>
      <w:bookmarkEnd w:id="8"/>
    </w:p>
    <w:p w:rsidR="004C3AC1" w:rsidRPr="00DC0807" w:rsidRDefault="004C3AC1" w:rsidP="00A927F1">
      <w:pPr>
        <w:pStyle w:val="ListParagraph"/>
        <w:widowControl/>
        <w:numPr>
          <w:ilvl w:val="1"/>
          <w:numId w:val="1"/>
        </w:numPr>
      </w:pPr>
      <w:r w:rsidRPr="00DC0807">
        <w:rPr>
          <w:rFonts w:cs="Calibri"/>
          <w:snapToGrid/>
          <w:szCs w:val="24"/>
          <w:lang w:eastAsia="en-AU"/>
        </w:rPr>
        <w:t xml:space="preserve">The submission was based on an indirect treatment comparison (ITC) of ustekinumab to etanercept via the common reference of placebo. For ustekinumab, the submission identified one trial of ustekinumab versus placebo in patients aged </w:t>
      </w:r>
      <w:r w:rsidR="008A0E59" w:rsidRPr="00DC0807">
        <w:rPr>
          <w:rFonts w:cs="Calibri"/>
          <w:snapToGrid/>
          <w:szCs w:val="24"/>
          <w:lang w:eastAsia="en-AU"/>
        </w:rPr>
        <w:t>≥12 and &lt;18</w:t>
      </w:r>
      <w:r w:rsidRPr="00DC0807">
        <w:rPr>
          <w:rFonts w:cs="Calibri"/>
          <w:snapToGrid/>
          <w:szCs w:val="24"/>
          <w:lang w:eastAsia="en-AU"/>
        </w:rPr>
        <w:t xml:space="preserve"> years (CADMUS) and one non-comparative trial of ustekinumab in patients aged </w:t>
      </w:r>
      <w:r w:rsidR="008A0E59" w:rsidRPr="00DC0807">
        <w:rPr>
          <w:rFonts w:cs="Calibri"/>
          <w:snapToGrid/>
          <w:szCs w:val="24"/>
          <w:lang w:eastAsia="en-AU"/>
        </w:rPr>
        <w:t>≥</w:t>
      </w:r>
      <w:r w:rsidRPr="00DC0807">
        <w:rPr>
          <w:rFonts w:cs="Calibri"/>
          <w:snapToGrid/>
          <w:szCs w:val="24"/>
          <w:lang w:eastAsia="en-AU"/>
        </w:rPr>
        <w:t>6 to &lt;12 years (CADMUS J</w:t>
      </w:r>
      <w:r w:rsidR="008A0E59" w:rsidRPr="00DC0807">
        <w:rPr>
          <w:rFonts w:cs="Calibri"/>
          <w:snapToGrid/>
          <w:szCs w:val="24"/>
          <w:lang w:eastAsia="en-AU"/>
        </w:rPr>
        <w:t>R</w:t>
      </w:r>
      <w:r w:rsidRPr="00DC0807">
        <w:rPr>
          <w:rFonts w:cs="Calibri"/>
          <w:snapToGrid/>
          <w:szCs w:val="24"/>
          <w:lang w:eastAsia="en-AU"/>
        </w:rPr>
        <w:t xml:space="preserve">). For etanercept, the submission identified one randomised trial of etanercept versus placebo in patients aged </w:t>
      </w:r>
      <w:r w:rsidR="006F116F" w:rsidRPr="00DC0807">
        <w:rPr>
          <w:rFonts w:cs="Calibri"/>
          <w:snapToGrid/>
          <w:szCs w:val="24"/>
          <w:lang w:eastAsia="en-AU"/>
        </w:rPr>
        <w:t>≥4 and</w:t>
      </w:r>
      <w:r w:rsidRPr="00DC0807">
        <w:rPr>
          <w:rFonts w:cs="Calibri"/>
          <w:snapToGrid/>
          <w:szCs w:val="24"/>
          <w:lang w:eastAsia="en-AU"/>
        </w:rPr>
        <w:t xml:space="preserve"> </w:t>
      </w:r>
      <w:r w:rsidR="006F116F" w:rsidRPr="00DC0807">
        <w:rPr>
          <w:rFonts w:cs="Calibri"/>
          <w:snapToGrid/>
          <w:szCs w:val="24"/>
          <w:lang w:eastAsia="en-AU"/>
        </w:rPr>
        <w:t>&lt;18</w:t>
      </w:r>
      <w:r w:rsidRPr="00DC0807">
        <w:rPr>
          <w:rFonts w:cs="Calibri"/>
          <w:snapToGrid/>
          <w:szCs w:val="24"/>
          <w:lang w:eastAsia="en-AU"/>
        </w:rPr>
        <w:t xml:space="preserve"> years (Paller 2008).</w:t>
      </w:r>
      <w:r w:rsidR="00FB433D" w:rsidRPr="00DC0807">
        <w:rPr>
          <w:rFonts w:cs="Calibri"/>
          <w:snapToGrid/>
          <w:szCs w:val="24"/>
          <w:lang w:eastAsia="en-AU"/>
        </w:rPr>
        <w:t xml:space="preserve"> </w:t>
      </w:r>
      <w:r w:rsidR="0066238B" w:rsidRPr="00DC0807">
        <w:rPr>
          <w:rFonts w:cs="Calibri"/>
          <w:snapToGrid/>
          <w:szCs w:val="24"/>
          <w:lang w:eastAsia="en-AU"/>
        </w:rPr>
        <w:t xml:space="preserve">The </w:t>
      </w:r>
      <w:r w:rsidR="00FB433D" w:rsidRPr="00DC0807">
        <w:rPr>
          <w:rFonts w:cs="Calibri"/>
          <w:snapToGrid/>
          <w:szCs w:val="24"/>
          <w:lang w:eastAsia="en-AU"/>
        </w:rPr>
        <w:t>Paller 2008</w:t>
      </w:r>
      <w:r w:rsidR="0066238B" w:rsidRPr="00DC0807">
        <w:rPr>
          <w:rFonts w:cs="Calibri"/>
          <w:snapToGrid/>
          <w:szCs w:val="24"/>
          <w:lang w:eastAsia="en-AU"/>
        </w:rPr>
        <w:t xml:space="preserve"> trial</w:t>
      </w:r>
      <w:r w:rsidR="00FB433D" w:rsidRPr="00DC0807">
        <w:rPr>
          <w:rFonts w:cs="Calibri"/>
          <w:snapToGrid/>
          <w:szCs w:val="24"/>
          <w:lang w:eastAsia="en-AU"/>
        </w:rPr>
        <w:t xml:space="preserve"> ha</w:t>
      </w:r>
      <w:r w:rsidR="002058D5" w:rsidRPr="00DC0807">
        <w:rPr>
          <w:rFonts w:cs="Calibri"/>
          <w:snapToGrid/>
          <w:szCs w:val="24"/>
          <w:lang w:eastAsia="en-AU"/>
        </w:rPr>
        <w:t>d</w:t>
      </w:r>
      <w:r w:rsidR="00FB433D" w:rsidRPr="00DC0807">
        <w:rPr>
          <w:rFonts w:cs="Calibri"/>
          <w:snapToGrid/>
          <w:szCs w:val="24"/>
          <w:lang w:eastAsia="en-AU"/>
        </w:rPr>
        <w:t xml:space="preserve"> previously been considered by the PBAC (etanercept for paediatric CPP, March 2012). </w:t>
      </w:r>
    </w:p>
    <w:p w:rsidR="004C3AC1" w:rsidRPr="00DC0807" w:rsidRDefault="004C3AC1" w:rsidP="00A927F1">
      <w:pPr>
        <w:pStyle w:val="ListParagraph"/>
        <w:widowControl/>
        <w:numPr>
          <w:ilvl w:val="1"/>
          <w:numId w:val="1"/>
        </w:numPr>
      </w:pPr>
      <w:r w:rsidRPr="00DC0807">
        <w:rPr>
          <w:rFonts w:cs="Calibri"/>
          <w:snapToGrid/>
          <w:szCs w:val="24"/>
          <w:lang w:eastAsia="en-AU"/>
        </w:rPr>
        <w:t>Details of the trials presented in the submission are provided in</w:t>
      </w:r>
      <w:r w:rsidR="006F116F" w:rsidRPr="00DC0807">
        <w:rPr>
          <w:rFonts w:cs="Calibri"/>
          <w:snapToGrid/>
          <w:szCs w:val="24"/>
          <w:lang w:eastAsia="en-AU"/>
        </w:rPr>
        <w:t xml:space="preserve"> </w:t>
      </w:r>
      <w:r w:rsidR="005D7D2A" w:rsidRPr="00DC0807">
        <w:rPr>
          <w:rFonts w:cs="Calibri"/>
          <w:snapToGrid/>
          <w:szCs w:val="24"/>
          <w:lang w:eastAsia="en-AU"/>
        </w:rPr>
        <w:t>Table 2</w:t>
      </w:r>
      <w:r w:rsidR="00DC0807">
        <w:rPr>
          <w:rFonts w:cs="Calibri"/>
          <w:snapToGrid/>
          <w:szCs w:val="24"/>
          <w:lang w:eastAsia="en-AU"/>
        </w:rPr>
        <w:t xml:space="preserve">. </w:t>
      </w:r>
    </w:p>
    <w:p w:rsidR="004C3AC1" w:rsidRPr="00DC0807" w:rsidRDefault="006F116F" w:rsidP="006F116F">
      <w:pPr>
        <w:keepNext/>
        <w:keepLines/>
        <w:rPr>
          <w:rStyle w:val="CommentReference"/>
        </w:rPr>
      </w:pPr>
      <w:bookmarkStart w:id="9" w:name="_Ref61118941"/>
      <w:r w:rsidRPr="00DC0807">
        <w:rPr>
          <w:rStyle w:val="CommentReference"/>
        </w:rPr>
        <w:t xml:space="preserve">Table </w:t>
      </w:r>
      <w:r w:rsidR="00AE572A" w:rsidRPr="00DC0807">
        <w:rPr>
          <w:rStyle w:val="CommentReference"/>
        </w:rPr>
        <w:t>2</w:t>
      </w:r>
      <w:bookmarkEnd w:id="9"/>
      <w:r w:rsidR="004C3AC1" w:rsidRPr="00DC0807">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6"/>
        <w:gridCol w:w="5105"/>
        <w:gridCol w:w="3065"/>
      </w:tblGrid>
      <w:tr w:rsidR="004C3AC1" w:rsidRPr="00DC0807" w:rsidTr="00173762">
        <w:trPr>
          <w:tblHeader/>
        </w:trPr>
        <w:tc>
          <w:tcPr>
            <w:tcW w:w="469" w:type="pct"/>
            <w:vAlign w:val="center"/>
          </w:tcPr>
          <w:p w:rsidR="004C3AC1" w:rsidRPr="00DC0807" w:rsidRDefault="004C3AC1" w:rsidP="006F116F">
            <w:pPr>
              <w:pStyle w:val="Tabletext"/>
              <w:keepNext/>
              <w:keepLines/>
              <w:rPr>
                <w:b/>
                <w:szCs w:val="20"/>
              </w:rPr>
            </w:pPr>
            <w:r w:rsidRPr="00DC0807">
              <w:rPr>
                <w:b/>
                <w:szCs w:val="20"/>
              </w:rPr>
              <w:t>Trial ID</w:t>
            </w:r>
          </w:p>
        </w:tc>
        <w:tc>
          <w:tcPr>
            <w:tcW w:w="2831" w:type="pct"/>
            <w:vAlign w:val="center"/>
          </w:tcPr>
          <w:p w:rsidR="004C3AC1" w:rsidRPr="00DC0807" w:rsidRDefault="004C3AC1" w:rsidP="006F116F">
            <w:pPr>
              <w:pStyle w:val="Tabletext"/>
              <w:keepNext/>
              <w:keepLines/>
              <w:jc w:val="center"/>
              <w:rPr>
                <w:b/>
                <w:szCs w:val="20"/>
              </w:rPr>
            </w:pPr>
            <w:r w:rsidRPr="00DC0807">
              <w:rPr>
                <w:b/>
                <w:szCs w:val="20"/>
              </w:rPr>
              <w:t>Protocol title/ Publication title</w:t>
            </w:r>
          </w:p>
        </w:tc>
        <w:tc>
          <w:tcPr>
            <w:tcW w:w="1701" w:type="pct"/>
            <w:vAlign w:val="center"/>
          </w:tcPr>
          <w:p w:rsidR="004C3AC1" w:rsidRPr="00DC0807" w:rsidRDefault="004C3AC1" w:rsidP="006F116F">
            <w:pPr>
              <w:pStyle w:val="Tabletext"/>
              <w:keepNext/>
              <w:keepLines/>
              <w:jc w:val="center"/>
              <w:rPr>
                <w:b/>
                <w:szCs w:val="20"/>
              </w:rPr>
            </w:pPr>
            <w:r w:rsidRPr="00DC0807">
              <w:rPr>
                <w:b/>
                <w:szCs w:val="20"/>
              </w:rPr>
              <w:t>Publication citation</w:t>
            </w:r>
          </w:p>
        </w:tc>
      </w:tr>
      <w:tr w:rsidR="004C3AC1" w:rsidRPr="00DC0807" w:rsidTr="00E77FA7">
        <w:tc>
          <w:tcPr>
            <w:tcW w:w="5000" w:type="pct"/>
            <w:gridSpan w:val="3"/>
            <w:tcBorders>
              <w:bottom w:val="nil"/>
            </w:tcBorders>
            <w:vAlign w:val="center"/>
          </w:tcPr>
          <w:p w:rsidR="004C3AC1" w:rsidRPr="00DC0807" w:rsidRDefault="004C3AC1" w:rsidP="006252A0">
            <w:pPr>
              <w:pStyle w:val="Tabletext"/>
              <w:keepNext/>
              <w:keepLines/>
              <w:rPr>
                <w:b/>
                <w:szCs w:val="20"/>
              </w:rPr>
            </w:pPr>
            <w:r w:rsidRPr="00DC0807">
              <w:rPr>
                <w:b/>
                <w:szCs w:val="20"/>
              </w:rPr>
              <w:t xml:space="preserve">Ustekinumab </w:t>
            </w:r>
            <w:r w:rsidR="006252A0" w:rsidRPr="00DC0807">
              <w:rPr>
                <w:b/>
                <w:szCs w:val="20"/>
              </w:rPr>
              <w:t xml:space="preserve">vs. </w:t>
            </w:r>
            <w:r w:rsidRPr="00DC0807">
              <w:rPr>
                <w:b/>
                <w:szCs w:val="20"/>
              </w:rPr>
              <w:t>placebo</w:t>
            </w:r>
          </w:p>
        </w:tc>
      </w:tr>
      <w:tr w:rsidR="004C3AC1" w:rsidRPr="00DC0807" w:rsidTr="00173762">
        <w:tc>
          <w:tcPr>
            <w:tcW w:w="469" w:type="pct"/>
            <w:tcBorders>
              <w:bottom w:val="nil"/>
            </w:tcBorders>
            <w:vAlign w:val="center"/>
          </w:tcPr>
          <w:p w:rsidR="004C3AC1" w:rsidRPr="00DC0807" w:rsidRDefault="004C3AC1" w:rsidP="006F116F">
            <w:pPr>
              <w:pStyle w:val="Tabletext"/>
              <w:keepNext/>
              <w:keepLines/>
              <w:rPr>
                <w:szCs w:val="20"/>
              </w:rPr>
            </w:pPr>
          </w:p>
        </w:tc>
        <w:tc>
          <w:tcPr>
            <w:tcW w:w="2831" w:type="pct"/>
            <w:tcBorders>
              <w:bottom w:val="nil"/>
            </w:tcBorders>
          </w:tcPr>
          <w:p w:rsidR="004C3AC1" w:rsidRPr="00DC0807" w:rsidRDefault="004C3AC1" w:rsidP="006252A0">
            <w:pPr>
              <w:pStyle w:val="Tabletext"/>
              <w:keepNext/>
              <w:keepLines/>
              <w:rPr>
                <w:szCs w:val="20"/>
              </w:rPr>
            </w:pPr>
            <w:r w:rsidRPr="00DC0807">
              <w:rPr>
                <w:szCs w:val="20"/>
              </w:rPr>
              <w:t>A Phase 3 Multicenter, Randomized, Double-blind, Placebo-controlled Study Evaluating the Efficacy and Safety of Ustekinumab in the Treatment of Adolescent Subjects With Moderate to Severe Plaque-type Psoriasis</w:t>
            </w:r>
            <w:r w:rsidR="00ED5231" w:rsidRPr="00DC0807">
              <w:rPr>
                <w:szCs w:val="20"/>
              </w:rPr>
              <w:t>.</w:t>
            </w:r>
          </w:p>
        </w:tc>
        <w:tc>
          <w:tcPr>
            <w:tcW w:w="1701" w:type="pct"/>
            <w:tcBorders>
              <w:bottom w:val="nil"/>
            </w:tcBorders>
          </w:tcPr>
          <w:p w:rsidR="004C3AC1" w:rsidRPr="00DC0807" w:rsidRDefault="004C3AC1" w:rsidP="006252A0">
            <w:pPr>
              <w:pStyle w:val="Tabletext"/>
              <w:keepNext/>
              <w:keepLines/>
              <w:rPr>
                <w:szCs w:val="20"/>
              </w:rPr>
            </w:pPr>
            <w:r w:rsidRPr="00DC0807">
              <w:rPr>
                <w:szCs w:val="20"/>
              </w:rPr>
              <w:t>2014</w:t>
            </w:r>
          </w:p>
        </w:tc>
      </w:tr>
      <w:tr w:rsidR="004C3AC1" w:rsidRPr="00DC0807" w:rsidTr="00173762">
        <w:tc>
          <w:tcPr>
            <w:tcW w:w="469" w:type="pct"/>
            <w:tcBorders>
              <w:top w:val="nil"/>
              <w:bottom w:val="nil"/>
            </w:tcBorders>
            <w:vAlign w:val="center"/>
          </w:tcPr>
          <w:p w:rsidR="004C3AC1" w:rsidRPr="00DC0807" w:rsidRDefault="006F116F" w:rsidP="006F116F">
            <w:pPr>
              <w:pStyle w:val="Tabletext"/>
              <w:keepNext/>
              <w:keepLines/>
              <w:rPr>
                <w:szCs w:val="20"/>
              </w:rPr>
            </w:pPr>
            <w:r w:rsidRPr="00DC0807">
              <w:rPr>
                <w:szCs w:val="20"/>
              </w:rPr>
              <w:t>CADMUS</w:t>
            </w:r>
          </w:p>
        </w:tc>
        <w:tc>
          <w:tcPr>
            <w:tcW w:w="2831" w:type="pct"/>
            <w:tcBorders>
              <w:top w:val="nil"/>
              <w:bottom w:val="nil"/>
            </w:tcBorders>
          </w:tcPr>
          <w:p w:rsidR="004C3AC1" w:rsidRPr="00DC0807" w:rsidRDefault="004C3AC1" w:rsidP="006252A0">
            <w:pPr>
              <w:keepNext/>
              <w:keepLines/>
              <w:widowControl/>
              <w:jc w:val="left"/>
              <w:rPr>
                <w:rFonts w:ascii="Arial Narrow" w:hAnsi="Arial Narrow"/>
                <w:sz w:val="20"/>
                <w:szCs w:val="20"/>
                <w:lang w:eastAsia="en-AU"/>
              </w:rPr>
            </w:pPr>
            <w:r w:rsidRPr="00DC0807">
              <w:rPr>
                <w:rFonts w:ascii="Arial Narrow" w:eastAsia="Calibri" w:hAnsi="Arial Narrow" w:cs="Times New Roman"/>
                <w:sz w:val="20"/>
                <w:szCs w:val="20"/>
              </w:rPr>
              <w:t xml:space="preserve">Landells I, Marano C, Hsu M et al. Ustekinumab in adolescent patients age 12 to 17 years with moderate-to-severe plaque psoriasis: results of the randomized phase 3 CADMUS study. </w:t>
            </w:r>
          </w:p>
        </w:tc>
        <w:tc>
          <w:tcPr>
            <w:tcW w:w="1701" w:type="pct"/>
            <w:tcBorders>
              <w:top w:val="nil"/>
              <w:bottom w:val="nil"/>
            </w:tcBorders>
          </w:tcPr>
          <w:p w:rsidR="004C3AC1" w:rsidRPr="00DC0807" w:rsidRDefault="004C3AC1" w:rsidP="006252A0">
            <w:pPr>
              <w:pStyle w:val="Tabletext"/>
              <w:keepNext/>
              <w:keepLines/>
              <w:rPr>
                <w:szCs w:val="20"/>
                <w:lang w:eastAsia="en-AU"/>
              </w:rPr>
            </w:pPr>
            <w:r w:rsidRPr="00DC0807">
              <w:rPr>
                <w:rFonts w:eastAsia="Calibri"/>
                <w:i/>
                <w:szCs w:val="20"/>
              </w:rPr>
              <w:t>J Am Acad Dermatol</w:t>
            </w:r>
            <w:r w:rsidRPr="00DC0807">
              <w:rPr>
                <w:rFonts w:eastAsia="Calibri"/>
                <w:szCs w:val="20"/>
              </w:rPr>
              <w:t xml:space="preserve"> 2015; Oct; 73(4):</w:t>
            </w:r>
            <w:r w:rsidR="00ED5231" w:rsidRPr="00DC0807">
              <w:rPr>
                <w:rFonts w:eastAsia="Calibri"/>
                <w:szCs w:val="20"/>
              </w:rPr>
              <w:t xml:space="preserve"> </w:t>
            </w:r>
            <w:r w:rsidRPr="00DC0807">
              <w:rPr>
                <w:rFonts w:eastAsia="Calibri"/>
                <w:szCs w:val="20"/>
              </w:rPr>
              <w:t>594-603.</w:t>
            </w:r>
          </w:p>
        </w:tc>
      </w:tr>
      <w:tr w:rsidR="004C3AC1" w:rsidRPr="00DC0807" w:rsidTr="00173762">
        <w:tc>
          <w:tcPr>
            <w:tcW w:w="469" w:type="pct"/>
            <w:tcBorders>
              <w:top w:val="nil"/>
              <w:bottom w:val="nil"/>
            </w:tcBorders>
            <w:vAlign w:val="center"/>
          </w:tcPr>
          <w:p w:rsidR="004C3AC1" w:rsidRPr="00DC0807" w:rsidRDefault="004C3AC1" w:rsidP="006F116F">
            <w:pPr>
              <w:pStyle w:val="Tabletext"/>
              <w:keepNext/>
              <w:keepLines/>
              <w:rPr>
                <w:szCs w:val="20"/>
              </w:rPr>
            </w:pPr>
          </w:p>
        </w:tc>
        <w:tc>
          <w:tcPr>
            <w:tcW w:w="2831" w:type="pct"/>
            <w:tcBorders>
              <w:top w:val="nil"/>
              <w:bottom w:val="nil"/>
            </w:tcBorders>
          </w:tcPr>
          <w:p w:rsidR="004C3AC1" w:rsidRPr="00DC0807" w:rsidRDefault="004C3AC1" w:rsidP="006252A0">
            <w:pPr>
              <w:pStyle w:val="Tabletext"/>
              <w:keepNext/>
              <w:keepLines/>
              <w:rPr>
                <w:szCs w:val="20"/>
                <w:lang w:eastAsia="en-AU"/>
              </w:rPr>
            </w:pPr>
            <w:r w:rsidRPr="00DC0807">
              <w:rPr>
                <w:rFonts w:eastAsia="Calibri"/>
                <w:szCs w:val="20"/>
              </w:rPr>
              <w:t>Landells I, Marano C, Hsu M et al. Safety and efficacy of ustekinumab in adolescent patients with moderate to severe plaque psoriasis: Results through 1 year of the phase 3 CADMUS trial.</w:t>
            </w:r>
          </w:p>
        </w:tc>
        <w:tc>
          <w:tcPr>
            <w:tcW w:w="1701" w:type="pct"/>
            <w:tcBorders>
              <w:top w:val="nil"/>
              <w:bottom w:val="nil"/>
            </w:tcBorders>
          </w:tcPr>
          <w:p w:rsidR="004C3AC1" w:rsidRPr="00DC0807" w:rsidRDefault="004C3AC1" w:rsidP="006252A0">
            <w:pPr>
              <w:pStyle w:val="Tabletext"/>
              <w:keepNext/>
              <w:keepLines/>
              <w:rPr>
                <w:szCs w:val="20"/>
                <w:lang w:eastAsia="en-AU"/>
              </w:rPr>
            </w:pPr>
            <w:r w:rsidRPr="00DC0807">
              <w:rPr>
                <w:szCs w:val="20"/>
                <w:lang w:eastAsia="en-AU"/>
              </w:rPr>
              <w:t>73</w:t>
            </w:r>
            <w:r w:rsidRPr="00DC0807">
              <w:rPr>
                <w:szCs w:val="20"/>
                <w:vertAlign w:val="superscript"/>
                <w:lang w:eastAsia="en-AU"/>
              </w:rPr>
              <w:t>rd</w:t>
            </w:r>
            <w:r w:rsidRPr="00DC0807">
              <w:rPr>
                <w:szCs w:val="20"/>
                <w:lang w:eastAsia="en-AU"/>
              </w:rPr>
              <w:t xml:space="preserve"> Annual Meeting of the American Academy of Dermatology. </w:t>
            </w:r>
            <w:r w:rsidRPr="00DC0807">
              <w:rPr>
                <w:i/>
                <w:szCs w:val="20"/>
                <w:lang w:eastAsia="en-AU"/>
              </w:rPr>
              <w:t>J Am Acad Dermatol</w:t>
            </w:r>
            <w:r w:rsidRPr="00DC0807">
              <w:rPr>
                <w:szCs w:val="20"/>
                <w:lang w:eastAsia="en-AU"/>
              </w:rPr>
              <w:t xml:space="preserve"> 2015; 72(5 SUPPL.1), AB202.</w:t>
            </w:r>
          </w:p>
        </w:tc>
      </w:tr>
      <w:tr w:rsidR="004C3AC1" w:rsidRPr="00DC0807" w:rsidTr="00173762">
        <w:tc>
          <w:tcPr>
            <w:tcW w:w="469" w:type="pct"/>
            <w:tcBorders>
              <w:bottom w:val="nil"/>
            </w:tcBorders>
            <w:vAlign w:val="center"/>
          </w:tcPr>
          <w:p w:rsidR="004C3AC1" w:rsidRPr="00DC0807" w:rsidRDefault="004C3AC1" w:rsidP="006F116F">
            <w:pPr>
              <w:pStyle w:val="Tabletext"/>
              <w:keepNext/>
              <w:keepLines/>
              <w:rPr>
                <w:szCs w:val="20"/>
              </w:rPr>
            </w:pPr>
          </w:p>
        </w:tc>
        <w:tc>
          <w:tcPr>
            <w:tcW w:w="2831" w:type="pct"/>
            <w:tcBorders>
              <w:bottom w:val="nil"/>
            </w:tcBorders>
          </w:tcPr>
          <w:p w:rsidR="004C3AC1" w:rsidRPr="00DC0807" w:rsidRDefault="004C3AC1" w:rsidP="006252A0">
            <w:pPr>
              <w:keepNext/>
              <w:keepLines/>
              <w:widowControl/>
              <w:jc w:val="left"/>
              <w:rPr>
                <w:rFonts w:ascii="Arial Narrow" w:hAnsi="Arial Narrow"/>
                <w:sz w:val="20"/>
                <w:szCs w:val="20"/>
              </w:rPr>
            </w:pPr>
            <w:r w:rsidRPr="00DC0807">
              <w:rPr>
                <w:rFonts w:ascii="Arial Narrow" w:eastAsia="Calibri" w:hAnsi="Arial Narrow" w:cs="Times New Roman"/>
                <w:sz w:val="20"/>
                <w:szCs w:val="20"/>
              </w:rPr>
              <w:t>A Phase 3 Open-label Study to Assess the Efficacy, Safety, and Pharmacokinetics of Subcutaneously Administered Ustekinumab in the Treatment of Moderate to Severe Chronic Plaque Psoriasis in Pediatric Subjects ≥6 to &lt;12 Years of Age.</w:t>
            </w:r>
          </w:p>
        </w:tc>
        <w:tc>
          <w:tcPr>
            <w:tcW w:w="1701" w:type="pct"/>
            <w:tcBorders>
              <w:bottom w:val="nil"/>
            </w:tcBorders>
          </w:tcPr>
          <w:p w:rsidR="004C3AC1" w:rsidRPr="00DC0807" w:rsidRDefault="004C3AC1" w:rsidP="006252A0">
            <w:pPr>
              <w:pStyle w:val="Tabletext"/>
              <w:keepNext/>
              <w:keepLines/>
              <w:rPr>
                <w:szCs w:val="20"/>
              </w:rPr>
            </w:pPr>
            <w:r w:rsidRPr="00DC0807">
              <w:rPr>
                <w:szCs w:val="20"/>
              </w:rPr>
              <w:t>2018</w:t>
            </w:r>
          </w:p>
        </w:tc>
      </w:tr>
      <w:tr w:rsidR="004C3AC1" w:rsidRPr="00DC0807" w:rsidTr="00173762">
        <w:tc>
          <w:tcPr>
            <w:tcW w:w="469" w:type="pct"/>
            <w:tcBorders>
              <w:top w:val="nil"/>
              <w:bottom w:val="nil"/>
            </w:tcBorders>
            <w:vAlign w:val="center"/>
          </w:tcPr>
          <w:p w:rsidR="004C3AC1" w:rsidRPr="00DC0807" w:rsidRDefault="006F116F" w:rsidP="006F116F">
            <w:pPr>
              <w:pStyle w:val="Tabletext"/>
              <w:keepNext/>
              <w:keepLines/>
              <w:rPr>
                <w:szCs w:val="20"/>
              </w:rPr>
            </w:pPr>
            <w:r w:rsidRPr="00DC0807">
              <w:rPr>
                <w:szCs w:val="20"/>
              </w:rPr>
              <w:t>CADMUS Junior (JR)</w:t>
            </w:r>
          </w:p>
        </w:tc>
        <w:tc>
          <w:tcPr>
            <w:tcW w:w="2831" w:type="pct"/>
            <w:tcBorders>
              <w:top w:val="nil"/>
              <w:bottom w:val="nil"/>
            </w:tcBorders>
          </w:tcPr>
          <w:p w:rsidR="004C3AC1" w:rsidRPr="00DC0807" w:rsidRDefault="004C3AC1" w:rsidP="006252A0">
            <w:pPr>
              <w:pStyle w:val="Tabletext"/>
              <w:keepNext/>
              <w:keepLines/>
              <w:rPr>
                <w:szCs w:val="20"/>
              </w:rPr>
            </w:pPr>
            <w:r w:rsidRPr="00DC0807">
              <w:rPr>
                <w:rFonts w:eastAsia="Calibri"/>
                <w:szCs w:val="20"/>
              </w:rPr>
              <w:t>Philipp S, Menter A, Nikkels A et al. Ustekinumab for the treatment of moderate</w:t>
            </w:r>
            <w:r w:rsidRPr="00DC0807">
              <w:rPr>
                <w:rFonts w:ascii="Cambria Math" w:eastAsia="Calibri" w:hAnsi="Cambria Math" w:cs="Cambria Math"/>
                <w:szCs w:val="20"/>
              </w:rPr>
              <w:t>‐</w:t>
            </w:r>
            <w:r w:rsidRPr="00DC0807">
              <w:rPr>
                <w:rFonts w:eastAsia="Calibri"/>
                <w:szCs w:val="20"/>
              </w:rPr>
              <w:t>to</w:t>
            </w:r>
            <w:r w:rsidRPr="00DC0807">
              <w:rPr>
                <w:rFonts w:ascii="Cambria Math" w:eastAsia="Calibri" w:hAnsi="Cambria Math" w:cs="Cambria Math"/>
                <w:szCs w:val="20"/>
              </w:rPr>
              <w:t>‐</w:t>
            </w:r>
            <w:r w:rsidRPr="00DC0807">
              <w:rPr>
                <w:rFonts w:eastAsia="Calibri"/>
                <w:szCs w:val="20"/>
              </w:rPr>
              <w:t>severe plaque psoriasis in pediatric patients (</w:t>
            </w:r>
            <w:r w:rsidRPr="00DC0807">
              <w:rPr>
                <w:rFonts w:eastAsia="Calibri" w:cs="Arial Narrow"/>
                <w:szCs w:val="20"/>
              </w:rPr>
              <w:t>≥</w:t>
            </w:r>
            <w:r w:rsidRPr="00DC0807">
              <w:rPr>
                <w:rFonts w:eastAsia="Calibri"/>
                <w:szCs w:val="20"/>
              </w:rPr>
              <w:t xml:space="preserve"> 6 to</w:t>
            </w:r>
            <w:r w:rsidR="00ED5231" w:rsidRPr="00DC0807">
              <w:rPr>
                <w:rFonts w:eastAsia="Calibri"/>
                <w:szCs w:val="20"/>
              </w:rPr>
              <w:t xml:space="preserve"> </w:t>
            </w:r>
            <w:r w:rsidRPr="00DC0807">
              <w:rPr>
                <w:rFonts w:eastAsia="Calibri"/>
                <w:szCs w:val="20"/>
              </w:rPr>
              <w:t>&lt; 12 years of age): efficacy, safety, pharmacokinetic, and biomarker results from the open</w:t>
            </w:r>
            <w:r w:rsidRPr="00DC0807">
              <w:rPr>
                <w:rFonts w:ascii="Cambria Math" w:eastAsia="Calibri" w:hAnsi="Cambria Math" w:cs="Cambria Math"/>
                <w:szCs w:val="20"/>
              </w:rPr>
              <w:t>‐</w:t>
            </w:r>
            <w:r w:rsidRPr="00DC0807">
              <w:rPr>
                <w:rFonts w:eastAsia="Calibri"/>
                <w:szCs w:val="20"/>
              </w:rPr>
              <w:t>label CADMUS Jr study.</w:t>
            </w:r>
          </w:p>
        </w:tc>
        <w:tc>
          <w:tcPr>
            <w:tcW w:w="1701" w:type="pct"/>
            <w:tcBorders>
              <w:top w:val="nil"/>
              <w:bottom w:val="nil"/>
            </w:tcBorders>
          </w:tcPr>
          <w:p w:rsidR="004C3AC1" w:rsidRPr="00DC0807" w:rsidRDefault="00274FB1" w:rsidP="006252A0">
            <w:pPr>
              <w:pStyle w:val="Tabletext"/>
              <w:keepNext/>
              <w:keepLines/>
              <w:rPr>
                <w:szCs w:val="20"/>
              </w:rPr>
            </w:pPr>
            <w:r w:rsidRPr="00DC0807">
              <w:rPr>
                <w:i/>
                <w:szCs w:val="20"/>
              </w:rPr>
              <w:t>Br J Dermatol</w:t>
            </w:r>
            <w:r w:rsidRPr="00DC0807" w:rsidDel="00274FB1">
              <w:rPr>
                <w:i/>
                <w:szCs w:val="20"/>
              </w:rPr>
              <w:t xml:space="preserve"> </w:t>
            </w:r>
            <w:r w:rsidR="004C3AC1" w:rsidRPr="00DC0807">
              <w:rPr>
                <w:szCs w:val="20"/>
              </w:rPr>
              <w:t>2020; 183: 664-672.</w:t>
            </w:r>
          </w:p>
        </w:tc>
      </w:tr>
      <w:tr w:rsidR="004C3AC1" w:rsidRPr="00DC0807" w:rsidTr="00173762">
        <w:tc>
          <w:tcPr>
            <w:tcW w:w="469" w:type="pct"/>
            <w:tcBorders>
              <w:top w:val="nil"/>
              <w:bottom w:val="nil"/>
            </w:tcBorders>
            <w:vAlign w:val="center"/>
          </w:tcPr>
          <w:p w:rsidR="004C3AC1" w:rsidRPr="00DC0807" w:rsidRDefault="004C3AC1" w:rsidP="006F116F">
            <w:pPr>
              <w:pStyle w:val="Tabletext"/>
              <w:keepNext/>
              <w:keepLines/>
              <w:rPr>
                <w:szCs w:val="20"/>
              </w:rPr>
            </w:pPr>
          </w:p>
        </w:tc>
        <w:tc>
          <w:tcPr>
            <w:tcW w:w="2831" w:type="pct"/>
            <w:tcBorders>
              <w:top w:val="nil"/>
              <w:bottom w:val="nil"/>
            </w:tcBorders>
          </w:tcPr>
          <w:p w:rsidR="004C3AC1" w:rsidRPr="00DC0807" w:rsidRDefault="004C3AC1" w:rsidP="006252A0">
            <w:pPr>
              <w:pStyle w:val="Tabletext"/>
              <w:keepNext/>
              <w:keepLines/>
              <w:rPr>
                <w:szCs w:val="20"/>
              </w:rPr>
            </w:pPr>
            <w:r w:rsidRPr="00DC0807">
              <w:rPr>
                <w:szCs w:val="20"/>
              </w:rPr>
              <w:t>Philipp S, Menter A, Nikkels A et al. Ustekinumab for the treatment of moderate-to-severe plaque psoriasis in pediatric patients (&gt;6 to &lt;12 year of age): Results from CADMUS Jr.</w:t>
            </w:r>
          </w:p>
        </w:tc>
        <w:tc>
          <w:tcPr>
            <w:tcW w:w="1701" w:type="pct"/>
            <w:tcBorders>
              <w:top w:val="nil"/>
              <w:bottom w:val="nil"/>
            </w:tcBorders>
          </w:tcPr>
          <w:p w:rsidR="004C3AC1" w:rsidRPr="00DC0807" w:rsidRDefault="004C3AC1" w:rsidP="006252A0">
            <w:pPr>
              <w:pStyle w:val="Tabletext"/>
              <w:keepNext/>
              <w:keepLines/>
              <w:rPr>
                <w:szCs w:val="20"/>
              </w:rPr>
            </w:pPr>
            <w:r w:rsidRPr="00DC0807">
              <w:rPr>
                <w:szCs w:val="20"/>
              </w:rPr>
              <w:t>6</w:t>
            </w:r>
            <w:r w:rsidRPr="00DC0807">
              <w:rPr>
                <w:szCs w:val="20"/>
                <w:vertAlign w:val="superscript"/>
              </w:rPr>
              <w:t>th</w:t>
            </w:r>
            <w:r w:rsidRPr="00DC0807">
              <w:rPr>
                <w:szCs w:val="20"/>
              </w:rPr>
              <w:t xml:space="preserve"> Congress of the Skin Inflammation and Psoriasis International Network. </w:t>
            </w:r>
            <w:r w:rsidR="00274FB1" w:rsidRPr="00DC0807">
              <w:rPr>
                <w:i/>
                <w:szCs w:val="20"/>
              </w:rPr>
              <w:t>J Eur Acad Dermatol Venereol</w:t>
            </w:r>
            <w:r w:rsidR="00274FB1" w:rsidRPr="00DC0807" w:rsidDel="00274FB1">
              <w:rPr>
                <w:i/>
                <w:szCs w:val="20"/>
              </w:rPr>
              <w:t xml:space="preserve"> </w:t>
            </w:r>
            <w:r w:rsidRPr="00DC0807">
              <w:rPr>
                <w:szCs w:val="20"/>
              </w:rPr>
              <w:t>2019; 33 (S3): 18.</w:t>
            </w:r>
          </w:p>
        </w:tc>
      </w:tr>
      <w:tr w:rsidR="004C3AC1" w:rsidRPr="00DC0807" w:rsidTr="006252A0">
        <w:tc>
          <w:tcPr>
            <w:tcW w:w="5000" w:type="pct"/>
            <w:gridSpan w:val="3"/>
            <w:tcBorders>
              <w:bottom w:val="nil"/>
            </w:tcBorders>
          </w:tcPr>
          <w:p w:rsidR="004C3AC1" w:rsidRPr="00DC0807" w:rsidRDefault="004C3AC1" w:rsidP="006252A0">
            <w:pPr>
              <w:pStyle w:val="Tabletext"/>
              <w:keepNext/>
              <w:keepLines/>
              <w:rPr>
                <w:b/>
                <w:szCs w:val="20"/>
              </w:rPr>
            </w:pPr>
            <w:r w:rsidRPr="00DC0807">
              <w:rPr>
                <w:b/>
                <w:szCs w:val="20"/>
              </w:rPr>
              <w:t xml:space="preserve">Etanercept </w:t>
            </w:r>
            <w:r w:rsidR="006252A0" w:rsidRPr="00DC0807">
              <w:rPr>
                <w:b/>
                <w:szCs w:val="20"/>
              </w:rPr>
              <w:t xml:space="preserve">vs. </w:t>
            </w:r>
            <w:r w:rsidRPr="00DC0807">
              <w:rPr>
                <w:b/>
                <w:szCs w:val="20"/>
              </w:rPr>
              <w:t>placebo</w:t>
            </w:r>
          </w:p>
        </w:tc>
      </w:tr>
      <w:tr w:rsidR="004C3AC1" w:rsidRPr="00DC0807" w:rsidTr="00173762">
        <w:tc>
          <w:tcPr>
            <w:tcW w:w="469" w:type="pct"/>
            <w:tcBorders>
              <w:bottom w:val="nil"/>
            </w:tcBorders>
            <w:vAlign w:val="center"/>
          </w:tcPr>
          <w:p w:rsidR="004C3AC1" w:rsidRPr="00DC0807" w:rsidRDefault="004C3AC1" w:rsidP="006F116F">
            <w:pPr>
              <w:pStyle w:val="Tabletext"/>
              <w:keepNext/>
              <w:keepLines/>
              <w:rPr>
                <w:szCs w:val="20"/>
              </w:rPr>
            </w:pPr>
          </w:p>
        </w:tc>
        <w:tc>
          <w:tcPr>
            <w:tcW w:w="2831" w:type="pct"/>
            <w:tcBorders>
              <w:bottom w:val="nil"/>
              <w:right w:val="single" w:sz="4" w:space="0" w:color="auto"/>
            </w:tcBorders>
          </w:tcPr>
          <w:p w:rsidR="004C3AC1" w:rsidRPr="00DC0807" w:rsidRDefault="004C3AC1" w:rsidP="006252A0">
            <w:pPr>
              <w:pStyle w:val="Tabletext"/>
              <w:keepNext/>
              <w:keepLines/>
              <w:rPr>
                <w:szCs w:val="20"/>
              </w:rPr>
            </w:pPr>
            <w:r w:rsidRPr="00DC0807">
              <w:rPr>
                <w:szCs w:val="20"/>
              </w:rPr>
              <w:t xml:space="preserve">Paller A et al. </w:t>
            </w:r>
            <w:r w:rsidRPr="00DC0807">
              <w:rPr>
                <w:rFonts w:cs="Segoe UI"/>
                <w:szCs w:val="20"/>
              </w:rPr>
              <w:t>Etanercept treatment for children and adolescents with plaque psoriasis.</w:t>
            </w:r>
          </w:p>
        </w:tc>
        <w:tc>
          <w:tcPr>
            <w:tcW w:w="1701" w:type="pct"/>
            <w:tcBorders>
              <w:left w:val="single" w:sz="4" w:space="0" w:color="auto"/>
              <w:bottom w:val="nil"/>
            </w:tcBorders>
          </w:tcPr>
          <w:p w:rsidR="004C3AC1" w:rsidRPr="00DC0807" w:rsidRDefault="004C3AC1" w:rsidP="006252A0">
            <w:pPr>
              <w:pStyle w:val="Tabletext"/>
              <w:keepNext/>
              <w:keepLines/>
              <w:rPr>
                <w:szCs w:val="20"/>
              </w:rPr>
            </w:pPr>
            <w:r w:rsidRPr="00DC0807">
              <w:rPr>
                <w:i/>
                <w:szCs w:val="20"/>
              </w:rPr>
              <w:t>NEJM</w:t>
            </w:r>
            <w:r w:rsidRPr="00DC0807">
              <w:rPr>
                <w:szCs w:val="20"/>
              </w:rPr>
              <w:t xml:space="preserve"> 2008; 358(3):</w:t>
            </w:r>
            <w:r w:rsidR="00ED5231" w:rsidRPr="00DC0807">
              <w:rPr>
                <w:szCs w:val="20"/>
              </w:rPr>
              <w:t xml:space="preserve"> </w:t>
            </w:r>
            <w:r w:rsidRPr="00DC0807">
              <w:rPr>
                <w:szCs w:val="20"/>
              </w:rPr>
              <w:t>241-21.</w:t>
            </w:r>
          </w:p>
        </w:tc>
      </w:tr>
      <w:tr w:rsidR="004C3AC1" w:rsidRPr="00DC0807" w:rsidTr="00173762">
        <w:tc>
          <w:tcPr>
            <w:tcW w:w="469" w:type="pct"/>
            <w:tcBorders>
              <w:top w:val="nil"/>
              <w:bottom w:val="nil"/>
            </w:tcBorders>
            <w:vAlign w:val="center"/>
          </w:tcPr>
          <w:p w:rsidR="004C3AC1" w:rsidRPr="00DC0807" w:rsidRDefault="004C3AC1" w:rsidP="006F116F">
            <w:pPr>
              <w:pStyle w:val="Tabletext"/>
              <w:keepNext/>
              <w:keepLines/>
              <w:rPr>
                <w:szCs w:val="20"/>
              </w:rPr>
            </w:pPr>
          </w:p>
        </w:tc>
        <w:tc>
          <w:tcPr>
            <w:tcW w:w="2831" w:type="pct"/>
            <w:tcBorders>
              <w:top w:val="nil"/>
              <w:bottom w:val="nil"/>
              <w:right w:val="single" w:sz="4" w:space="0" w:color="auto"/>
            </w:tcBorders>
          </w:tcPr>
          <w:p w:rsidR="004C3AC1" w:rsidRPr="00DC0807" w:rsidRDefault="004C3AC1" w:rsidP="006252A0">
            <w:pPr>
              <w:pStyle w:val="Tabletext"/>
              <w:keepNext/>
              <w:keepLines/>
              <w:rPr>
                <w:szCs w:val="20"/>
              </w:rPr>
            </w:pPr>
            <w:r w:rsidRPr="00DC0807">
              <w:rPr>
                <w:rFonts w:cs="Segoe UI"/>
                <w:szCs w:val="20"/>
              </w:rPr>
              <w:t>Siegfried E et al. Intermittent etanercept therapy in pediatric patients with psoriasis.</w:t>
            </w:r>
          </w:p>
        </w:tc>
        <w:tc>
          <w:tcPr>
            <w:tcW w:w="1701" w:type="pct"/>
            <w:tcBorders>
              <w:top w:val="nil"/>
              <w:left w:val="single" w:sz="4" w:space="0" w:color="auto"/>
              <w:bottom w:val="nil"/>
            </w:tcBorders>
          </w:tcPr>
          <w:p w:rsidR="004C3AC1" w:rsidRPr="00DC0807" w:rsidRDefault="00274FB1" w:rsidP="006252A0">
            <w:pPr>
              <w:pStyle w:val="Tabletext"/>
              <w:keepNext/>
              <w:keepLines/>
              <w:rPr>
                <w:szCs w:val="20"/>
              </w:rPr>
            </w:pPr>
            <w:r w:rsidRPr="00DC0807">
              <w:rPr>
                <w:i/>
                <w:szCs w:val="20"/>
                <w:lang w:eastAsia="en-AU"/>
              </w:rPr>
              <w:t>J Am Acad Dermatol</w:t>
            </w:r>
            <w:r w:rsidRPr="00DC0807" w:rsidDel="00274FB1">
              <w:rPr>
                <w:rFonts w:cs="Segoe UI"/>
                <w:i/>
                <w:szCs w:val="20"/>
              </w:rPr>
              <w:t xml:space="preserve"> </w:t>
            </w:r>
            <w:r w:rsidR="00ED5231" w:rsidRPr="00DC0807">
              <w:rPr>
                <w:rFonts w:cs="Segoe UI"/>
                <w:szCs w:val="20"/>
              </w:rPr>
              <w:t>2010</w:t>
            </w:r>
            <w:r w:rsidRPr="00DC0807">
              <w:rPr>
                <w:rFonts w:cs="Segoe UI"/>
                <w:szCs w:val="20"/>
              </w:rPr>
              <w:t>;</w:t>
            </w:r>
            <w:r w:rsidR="004C3AC1" w:rsidRPr="00DC0807">
              <w:rPr>
                <w:rFonts w:cs="Segoe UI"/>
                <w:szCs w:val="20"/>
              </w:rPr>
              <w:t xml:space="preserve"> 63(5): 769-774.</w:t>
            </w:r>
          </w:p>
        </w:tc>
      </w:tr>
      <w:tr w:rsidR="004C3AC1" w:rsidRPr="00DC0807" w:rsidTr="00173762">
        <w:tc>
          <w:tcPr>
            <w:tcW w:w="469" w:type="pct"/>
            <w:tcBorders>
              <w:top w:val="nil"/>
              <w:bottom w:val="nil"/>
            </w:tcBorders>
            <w:vAlign w:val="center"/>
          </w:tcPr>
          <w:p w:rsidR="004C3AC1" w:rsidRPr="00DC0807" w:rsidRDefault="004C3AC1" w:rsidP="006F116F">
            <w:pPr>
              <w:pStyle w:val="Tabletext"/>
              <w:keepNext/>
              <w:keepLines/>
              <w:rPr>
                <w:szCs w:val="20"/>
              </w:rPr>
            </w:pPr>
          </w:p>
        </w:tc>
        <w:tc>
          <w:tcPr>
            <w:tcW w:w="2831" w:type="pct"/>
            <w:tcBorders>
              <w:top w:val="nil"/>
              <w:bottom w:val="nil"/>
              <w:right w:val="single" w:sz="4" w:space="0" w:color="auto"/>
            </w:tcBorders>
          </w:tcPr>
          <w:p w:rsidR="004C3AC1" w:rsidRPr="00DC0807" w:rsidRDefault="004C3AC1" w:rsidP="006252A0">
            <w:pPr>
              <w:pStyle w:val="Tabletext"/>
              <w:keepNext/>
              <w:keepLines/>
              <w:rPr>
                <w:szCs w:val="20"/>
              </w:rPr>
            </w:pPr>
            <w:r w:rsidRPr="00DC0807">
              <w:rPr>
                <w:rFonts w:cs="Segoe UI"/>
                <w:szCs w:val="20"/>
              </w:rPr>
              <w:t>Langley R et al. Patient-reported outcomes in pediatric patients with psoriasis undergoing etanercept treatment: 12-week results from a phase III randomized controlled trial/</w:t>
            </w:r>
          </w:p>
        </w:tc>
        <w:tc>
          <w:tcPr>
            <w:tcW w:w="1701" w:type="pct"/>
            <w:tcBorders>
              <w:top w:val="nil"/>
              <w:left w:val="single" w:sz="4" w:space="0" w:color="auto"/>
              <w:bottom w:val="nil"/>
            </w:tcBorders>
          </w:tcPr>
          <w:p w:rsidR="004C3AC1" w:rsidRPr="00DC0807" w:rsidRDefault="00274FB1" w:rsidP="006252A0">
            <w:pPr>
              <w:pStyle w:val="Tabletext"/>
              <w:keepNext/>
              <w:keepLines/>
              <w:rPr>
                <w:szCs w:val="20"/>
              </w:rPr>
            </w:pPr>
            <w:r w:rsidRPr="00DC0807">
              <w:rPr>
                <w:i/>
                <w:szCs w:val="20"/>
                <w:lang w:eastAsia="en-AU"/>
              </w:rPr>
              <w:t>J Am Acad Dermatol</w:t>
            </w:r>
            <w:r w:rsidRPr="00DC0807" w:rsidDel="00274FB1">
              <w:rPr>
                <w:rFonts w:cs="Segoe UI"/>
                <w:i/>
                <w:szCs w:val="20"/>
              </w:rPr>
              <w:t xml:space="preserve"> </w:t>
            </w:r>
            <w:r w:rsidR="00ED5231" w:rsidRPr="00DC0807">
              <w:rPr>
                <w:rFonts w:cs="Segoe UI"/>
                <w:szCs w:val="20"/>
              </w:rPr>
              <w:t xml:space="preserve">2011; </w:t>
            </w:r>
            <w:r w:rsidR="004C3AC1" w:rsidRPr="00DC0807">
              <w:rPr>
                <w:rFonts w:cs="Segoe UI"/>
                <w:szCs w:val="20"/>
              </w:rPr>
              <w:t>64(1): 64-70.</w:t>
            </w:r>
          </w:p>
        </w:tc>
      </w:tr>
      <w:tr w:rsidR="004C3AC1" w:rsidRPr="00DC0807" w:rsidTr="00173762">
        <w:tc>
          <w:tcPr>
            <w:tcW w:w="469" w:type="pct"/>
            <w:tcBorders>
              <w:top w:val="nil"/>
              <w:bottom w:val="nil"/>
            </w:tcBorders>
            <w:vAlign w:val="center"/>
          </w:tcPr>
          <w:p w:rsidR="004C3AC1" w:rsidRPr="00DC0807" w:rsidRDefault="004C3AC1" w:rsidP="006F116F">
            <w:pPr>
              <w:pStyle w:val="Tabletext"/>
              <w:keepNext/>
              <w:keepLines/>
              <w:rPr>
                <w:szCs w:val="20"/>
              </w:rPr>
            </w:pPr>
          </w:p>
        </w:tc>
        <w:tc>
          <w:tcPr>
            <w:tcW w:w="2831" w:type="pct"/>
            <w:tcBorders>
              <w:top w:val="nil"/>
              <w:bottom w:val="nil"/>
              <w:right w:val="single" w:sz="4" w:space="0" w:color="auto"/>
            </w:tcBorders>
          </w:tcPr>
          <w:p w:rsidR="004C3AC1" w:rsidRPr="00DC0807" w:rsidRDefault="004C3AC1" w:rsidP="006252A0">
            <w:pPr>
              <w:pStyle w:val="Tabletext"/>
              <w:keepNext/>
              <w:keepLines/>
              <w:rPr>
                <w:szCs w:val="20"/>
              </w:rPr>
            </w:pPr>
            <w:r w:rsidRPr="00DC0807">
              <w:rPr>
                <w:rFonts w:cs="Segoe UI"/>
                <w:szCs w:val="20"/>
              </w:rPr>
              <w:t>Landells I et al. Efficacy and safety of etanercept in children and adolescents aged≥ 8 years with severe plaque psoriasis</w:t>
            </w:r>
          </w:p>
        </w:tc>
        <w:tc>
          <w:tcPr>
            <w:tcW w:w="1701" w:type="pct"/>
            <w:tcBorders>
              <w:top w:val="nil"/>
              <w:left w:val="single" w:sz="4" w:space="0" w:color="auto"/>
              <w:bottom w:val="nil"/>
            </w:tcBorders>
          </w:tcPr>
          <w:p w:rsidR="004C3AC1" w:rsidRPr="00DC0807" w:rsidRDefault="004C3AC1" w:rsidP="006252A0">
            <w:pPr>
              <w:pStyle w:val="Tabletext"/>
              <w:keepNext/>
              <w:keepLines/>
              <w:rPr>
                <w:szCs w:val="20"/>
              </w:rPr>
            </w:pPr>
            <w:r w:rsidRPr="00DC0807">
              <w:rPr>
                <w:rFonts w:cs="Segoe UI"/>
                <w:i/>
                <w:szCs w:val="20"/>
              </w:rPr>
              <w:t>Eur J</w:t>
            </w:r>
            <w:r w:rsidR="00274FB1" w:rsidRPr="00DC0807">
              <w:rPr>
                <w:rFonts w:cs="Segoe UI"/>
                <w:i/>
                <w:szCs w:val="20"/>
              </w:rPr>
              <w:t xml:space="preserve"> </w:t>
            </w:r>
            <w:r w:rsidRPr="00DC0807">
              <w:rPr>
                <w:rFonts w:cs="Segoe UI"/>
                <w:i/>
                <w:szCs w:val="20"/>
              </w:rPr>
              <w:t>Dermatol</w:t>
            </w:r>
            <w:r w:rsidR="00ED5231" w:rsidRPr="00DC0807">
              <w:rPr>
                <w:rFonts w:cs="Segoe UI"/>
                <w:szCs w:val="20"/>
              </w:rPr>
              <w:t xml:space="preserve"> 2010;</w:t>
            </w:r>
            <w:r w:rsidRPr="00DC0807">
              <w:rPr>
                <w:rFonts w:cs="Segoe UI"/>
                <w:szCs w:val="20"/>
              </w:rPr>
              <w:t xml:space="preserve"> 20(3): 323-328.</w:t>
            </w:r>
          </w:p>
        </w:tc>
      </w:tr>
      <w:tr w:rsidR="004C3AC1" w:rsidRPr="00DC0807" w:rsidTr="00173762">
        <w:tc>
          <w:tcPr>
            <w:tcW w:w="469" w:type="pct"/>
            <w:tcBorders>
              <w:top w:val="nil"/>
              <w:bottom w:val="nil"/>
            </w:tcBorders>
            <w:vAlign w:val="center"/>
          </w:tcPr>
          <w:p w:rsidR="004C3AC1" w:rsidRPr="00DC0807" w:rsidRDefault="006F116F" w:rsidP="006F116F">
            <w:pPr>
              <w:pStyle w:val="Tabletext"/>
              <w:keepNext/>
              <w:keepLines/>
              <w:rPr>
                <w:szCs w:val="20"/>
              </w:rPr>
            </w:pPr>
            <w:r w:rsidRPr="00DC0807">
              <w:rPr>
                <w:szCs w:val="20"/>
              </w:rPr>
              <w:t>Paller 2008</w:t>
            </w:r>
          </w:p>
        </w:tc>
        <w:tc>
          <w:tcPr>
            <w:tcW w:w="2831" w:type="pct"/>
            <w:tcBorders>
              <w:top w:val="nil"/>
              <w:bottom w:val="nil"/>
              <w:right w:val="single" w:sz="4" w:space="0" w:color="auto"/>
            </w:tcBorders>
          </w:tcPr>
          <w:p w:rsidR="004C3AC1" w:rsidRPr="00DC0807" w:rsidRDefault="004C3AC1" w:rsidP="006252A0">
            <w:pPr>
              <w:pStyle w:val="Tabletext"/>
              <w:keepNext/>
              <w:keepLines/>
              <w:rPr>
                <w:szCs w:val="20"/>
              </w:rPr>
            </w:pPr>
            <w:r w:rsidRPr="00DC0807">
              <w:rPr>
                <w:szCs w:val="20"/>
              </w:rPr>
              <w:t xml:space="preserve">Paller A et al. Subgroup analyses of etanercept in pediatric patients with psoriasis. </w:t>
            </w:r>
          </w:p>
        </w:tc>
        <w:tc>
          <w:tcPr>
            <w:tcW w:w="1701" w:type="pct"/>
            <w:tcBorders>
              <w:top w:val="nil"/>
              <w:left w:val="single" w:sz="4" w:space="0" w:color="auto"/>
              <w:bottom w:val="nil"/>
            </w:tcBorders>
          </w:tcPr>
          <w:p w:rsidR="004C3AC1" w:rsidRPr="00DC0807" w:rsidRDefault="00274FB1" w:rsidP="006252A0">
            <w:pPr>
              <w:pStyle w:val="Tabletext"/>
              <w:keepNext/>
              <w:keepLines/>
              <w:rPr>
                <w:szCs w:val="20"/>
              </w:rPr>
            </w:pPr>
            <w:r w:rsidRPr="00DC0807">
              <w:rPr>
                <w:i/>
                <w:szCs w:val="20"/>
                <w:lang w:eastAsia="en-AU"/>
              </w:rPr>
              <w:t>J Am Acad Dermatol</w:t>
            </w:r>
            <w:r w:rsidRPr="00DC0807" w:rsidDel="00274FB1">
              <w:rPr>
                <w:rFonts w:cs="Segoe UI"/>
                <w:i/>
                <w:szCs w:val="20"/>
              </w:rPr>
              <w:t xml:space="preserve"> </w:t>
            </w:r>
            <w:r w:rsidR="00ED5231" w:rsidRPr="00DC0807">
              <w:rPr>
                <w:rFonts w:cs="Segoe UI"/>
                <w:szCs w:val="20"/>
              </w:rPr>
              <w:t xml:space="preserve">2010; </w:t>
            </w:r>
            <w:r w:rsidR="004C3AC1" w:rsidRPr="00DC0807">
              <w:rPr>
                <w:rFonts w:cs="Segoe UI"/>
                <w:szCs w:val="20"/>
              </w:rPr>
              <w:t>63(2): e38-e41.</w:t>
            </w:r>
          </w:p>
        </w:tc>
      </w:tr>
      <w:tr w:rsidR="004C3AC1" w:rsidRPr="00DC0807" w:rsidTr="00173762">
        <w:tc>
          <w:tcPr>
            <w:tcW w:w="469" w:type="pct"/>
            <w:tcBorders>
              <w:top w:val="nil"/>
              <w:bottom w:val="nil"/>
            </w:tcBorders>
            <w:vAlign w:val="center"/>
          </w:tcPr>
          <w:p w:rsidR="004C3AC1" w:rsidRPr="00DC0807" w:rsidRDefault="004C3AC1" w:rsidP="006F116F">
            <w:pPr>
              <w:pStyle w:val="Tabletext"/>
              <w:keepNext/>
              <w:keepLines/>
              <w:rPr>
                <w:szCs w:val="20"/>
              </w:rPr>
            </w:pPr>
          </w:p>
        </w:tc>
        <w:tc>
          <w:tcPr>
            <w:tcW w:w="2831" w:type="pct"/>
            <w:tcBorders>
              <w:top w:val="nil"/>
              <w:bottom w:val="nil"/>
              <w:right w:val="single" w:sz="4" w:space="0" w:color="auto"/>
            </w:tcBorders>
          </w:tcPr>
          <w:p w:rsidR="004C3AC1" w:rsidRPr="00DC0807" w:rsidRDefault="004C3AC1" w:rsidP="006252A0">
            <w:pPr>
              <w:pStyle w:val="Tabletext"/>
              <w:keepNext/>
              <w:keepLines/>
              <w:rPr>
                <w:szCs w:val="20"/>
              </w:rPr>
            </w:pPr>
            <w:r w:rsidRPr="00DC0807">
              <w:rPr>
                <w:szCs w:val="20"/>
              </w:rPr>
              <w:t>Paller A et al. Long-term etanercept in pediatric patients with plaque psoriasis.</w:t>
            </w:r>
          </w:p>
        </w:tc>
        <w:tc>
          <w:tcPr>
            <w:tcW w:w="1701" w:type="pct"/>
            <w:tcBorders>
              <w:top w:val="nil"/>
              <w:left w:val="single" w:sz="4" w:space="0" w:color="auto"/>
              <w:bottom w:val="nil"/>
            </w:tcBorders>
          </w:tcPr>
          <w:p w:rsidR="004C3AC1" w:rsidRPr="00DC0807" w:rsidRDefault="00274FB1" w:rsidP="006252A0">
            <w:pPr>
              <w:pStyle w:val="Tabletext"/>
              <w:keepNext/>
              <w:keepLines/>
              <w:rPr>
                <w:szCs w:val="20"/>
              </w:rPr>
            </w:pPr>
            <w:r w:rsidRPr="00DC0807">
              <w:rPr>
                <w:i/>
                <w:szCs w:val="20"/>
                <w:lang w:eastAsia="en-AU"/>
              </w:rPr>
              <w:t>J Am Acad Dermatol</w:t>
            </w:r>
            <w:r w:rsidRPr="00DC0807" w:rsidDel="00274FB1">
              <w:rPr>
                <w:rFonts w:cs="Segoe UI"/>
                <w:i/>
                <w:szCs w:val="20"/>
              </w:rPr>
              <w:t xml:space="preserve"> </w:t>
            </w:r>
            <w:r w:rsidR="00ED5231" w:rsidRPr="00DC0807">
              <w:rPr>
                <w:rFonts w:cs="Segoe UI"/>
                <w:szCs w:val="20"/>
              </w:rPr>
              <w:t xml:space="preserve">2010; </w:t>
            </w:r>
            <w:r w:rsidR="004C3AC1" w:rsidRPr="00DC0807">
              <w:rPr>
                <w:rFonts w:cs="Segoe UI"/>
                <w:szCs w:val="20"/>
              </w:rPr>
              <w:t>63(5): 762-768.</w:t>
            </w:r>
          </w:p>
        </w:tc>
      </w:tr>
      <w:tr w:rsidR="004C3AC1" w:rsidRPr="00DC0807" w:rsidTr="00173762">
        <w:tc>
          <w:tcPr>
            <w:tcW w:w="469" w:type="pct"/>
            <w:tcBorders>
              <w:top w:val="nil"/>
              <w:bottom w:val="nil"/>
            </w:tcBorders>
            <w:vAlign w:val="center"/>
          </w:tcPr>
          <w:p w:rsidR="004C3AC1" w:rsidRPr="00DC0807" w:rsidRDefault="004C3AC1" w:rsidP="006F116F">
            <w:pPr>
              <w:pStyle w:val="Tabletext"/>
              <w:keepNext/>
              <w:keepLines/>
              <w:rPr>
                <w:szCs w:val="20"/>
              </w:rPr>
            </w:pPr>
          </w:p>
        </w:tc>
        <w:tc>
          <w:tcPr>
            <w:tcW w:w="2831" w:type="pct"/>
            <w:tcBorders>
              <w:top w:val="nil"/>
              <w:bottom w:val="nil"/>
              <w:right w:val="single" w:sz="4" w:space="0" w:color="auto"/>
            </w:tcBorders>
          </w:tcPr>
          <w:p w:rsidR="004C3AC1" w:rsidRPr="00DC0807" w:rsidRDefault="004C3AC1" w:rsidP="006252A0">
            <w:pPr>
              <w:pStyle w:val="Tabletext"/>
              <w:keepNext/>
              <w:keepLines/>
              <w:rPr>
                <w:szCs w:val="20"/>
              </w:rPr>
            </w:pPr>
            <w:r w:rsidRPr="00DC0807">
              <w:rPr>
                <w:szCs w:val="20"/>
              </w:rPr>
              <w:t>Paller A et al. Long-term safety and efficacy of etanercept in children and adolescents with plaque psoriasis.</w:t>
            </w:r>
          </w:p>
        </w:tc>
        <w:tc>
          <w:tcPr>
            <w:tcW w:w="1701" w:type="pct"/>
            <w:tcBorders>
              <w:top w:val="nil"/>
              <w:left w:val="single" w:sz="4" w:space="0" w:color="auto"/>
              <w:bottom w:val="nil"/>
            </w:tcBorders>
          </w:tcPr>
          <w:p w:rsidR="004C3AC1" w:rsidRPr="00DC0807" w:rsidRDefault="00274FB1" w:rsidP="006252A0">
            <w:pPr>
              <w:pStyle w:val="Tabletext"/>
              <w:keepNext/>
              <w:keepLines/>
              <w:rPr>
                <w:rFonts w:cs="Segoe UI"/>
                <w:szCs w:val="20"/>
              </w:rPr>
            </w:pPr>
            <w:r w:rsidRPr="00DC0807">
              <w:rPr>
                <w:i/>
                <w:szCs w:val="20"/>
                <w:lang w:eastAsia="en-AU"/>
              </w:rPr>
              <w:t>J Am Acad Dermatol</w:t>
            </w:r>
            <w:r w:rsidRPr="00DC0807" w:rsidDel="00274FB1">
              <w:rPr>
                <w:rFonts w:cs="Segoe UI"/>
                <w:szCs w:val="20"/>
              </w:rPr>
              <w:t xml:space="preserve"> </w:t>
            </w:r>
            <w:r w:rsidR="00ED5231" w:rsidRPr="00DC0807">
              <w:rPr>
                <w:rFonts w:cs="Segoe UI"/>
                <w:szCs w:val="20"/>
              </w:rPr>
              <w:t xml:space="preserve">2016; </w:t>
            </w:r>
            <w:r w:rsidR="004C3AC1" w:rsidRPr="00DC0807">
              <w:rPr>
                <w:rFonts w:cs="Segoe UI"/>
                <w:szCs w:val="20"/>
              </w:rPr>
              <w:t>74(2): 280-287. e283.</w:t>
            </w:r>
          </w:p>
        </w:tc>
      </w:tr>
      <w:tr w:rsidR="004C3AC1" w:rsidRPr="00DC0807" w:rsidTr="00173762">
        <w:tc>
          <w:tcPr>
            <w:tcW w:w="469" w:type="pct"/>
            <w:tcBorders>
              <w:top w:val="nil"/>
              <w:bottom w:val="single" w:sz="4" w:space="0" w:color="auto"/>
            </w:tcBorders>
            <w:vAlign w:val="center"/>
          </w:tcPr>
          <w:p w:rsidR="004C3AC1" w:rsidRPr="00DC0807" w:rsidRDefault="004C3AC1" w:rsidP="006F116F">
            <w:pPr>
              <w:pStyle w:val="Tabletext"/>
              <w:keepNext/>
              <w:keepLines/>
              <w:rPr>
                <w:szCs w:val="20"/>
              </w:rPr>
            </w:pPr>
          </w:p>
        </w:tc>
        <w:tc>
          <w:tcPr>
            <w:tcW w:w="2831" w:type="pct"/>
            <w:tcBorders>
              <w:top w:val="nil"/>
              <w:bottom w:val="single" w:sz="4" w:space="0" w:color="auto"/>
              <w:right w:val="single" w:sz="4" w:space="0" w:color="auto"/>
            </w:tcBorders>
          </w:tcPr>
          <w:p w:rsidR="004C3AC1" w:rsidRPr="00DC0807" w:rsidRDefault="004C3AC1" w:rsidP="006252A0">
            <w:pPr>
              <w:pStyle w:val="Tabletext"/>
              <w:keepNext/>
              <w:keepLines/>
              <w:rPr>
                <w:szCs w:val="20"/>
              </w:rPr>
            </w:pPr>
            <w:r w:rsidRPr="00DC0807">
              <w:rPr>
                <w:szCs w:val="20"/>
              </w:rPr>
              <w:t xml:space="preserve">Langley R et al. Pharmacokinetics, immunogenicity, and efficacy of etanercept in pediatric patients with moderate to severe plaque psoriasis. </w:t>
            </w:r>
          </w:p>
        </w:tc>
        <w:tc>
          <w:tcPr>
            <w:tcW w:w="1701" w:type="pct"/>
            <w:tcBorders>
              <w:top w:val="nil"/>
              <w:left w:val="single" w:sz="4" w:space="0" w:color="auto"/>
              <w:bottom w:val="single" w:sz="4" w:space="0" w:color="auto"/>
            </w:tcBorders>
          </w:tcPr>
          <w:p w:rsidR="004C3AC1" w:rsidRPr="00DC0807" w:rsidRDefault="004C3AC1" w:rsidP="006252A0">
            <w:pPr>
              <w:pStyle w:val="Tabletext"/>
              <w:keepNext/>
              <w:keepLines/>
              <w:rPr>
                <w:szCs w:val="20"/>
              </w:rPr>
            </w:pPr>
            <w:r w:rsidRPr="00DC0807">
              <w:rPr>
                <w:rFonts w:cs="Segoe UI"/>
                <w:i/>
                <w:szCs w:val="20"/>
              </w:rPr>
              <w:t>J Clin Pharmacol</w:t>
            </w:r>
            <w:r w:rsidRPr="00DC0807">
              <w:rPr>
                <w:rFonts w:cs="Segoe UI"/>
                <w:szCs w:val="20"/>
              </w:rPr>
              <w:t xml:space="preserve"> </w:t>
            </w:r>
            <w:r w:rsidR="00ED5231" w:rsidRPr="00DC0807">
              <w:rPr>
                <w:rFonts w:cs="Segoe UI"/>
                <w:szCs w:val="20"/>
              </w:rPr>
              <w:t xml:space="preserve">2018; </w:t>
            </w:r>
            <w:r w:rsidRPr="00DC0807">
              <w:rPr>
                <w:rFonts w:cs="Segoe UI"/>
                <w:szCs w:val="20"/>
              </w:rPr>
              <w:t>58(3): 340-346.</w:t>
            </w:r>
          </w:p>
        </w:tc>
      </w:tr>
    </w:tbl>
    <w:p w:rsidR="00C2798B" w:rsidRDefault="004C3AC1" w:rsidP="006F116F">
      <w:pPr>
        <w:pStyle w:val="TableFooter"/>
        <w:keepNext/>
        <w:keepLines/>
      </w:pPr>
      <w:r w:rsidRPr="00DC0807">
        <w:t>Source: Table 2.5, pp43-44 of the submission.</w:t>
      </w:r>
    </w:p>
    <w:p w:rsidR="00C2798B" w:rsidRDefault="00C2798B">
      <w:pPr>
        <w:widowControl/>
        <w:jc w:val="left"/>
        <w:rPr>
          <w:rFonts w:ascii="Arial Narrow" w:hAnsi="Arial Narrow"/>
          <w:sz w:val="18"/>
        </w:rPr>
      </w:pPr>
      <w:r>
        <w:br w:type="page"/>
      </w:r>
    </w:p>
    <w:p w:rsidR="004C3AC1" w:rsidRPr="00DC0807" w:rsidRDefault="004C3AC1" w:rsidP="00A927F1">
      <w:pPr>
        <w:pStyle w:val="ListParagraph"/>
        <w:widowControl/>
        <w:numPr>
          <w:ilvl w:val="1"/>
          <w:numId w:val="1"/>
        </w:numPr>
      </w:pPr>
      <w:r w:rsidRPr="00DC0807">
        <w:t xml:space="preserve">The key features of the trials and studies are summarised in the </w:t>
      </w:r>
      <w:r w:rsidR="00173762" w:rsidRPr="00DC0807">
        <w:t>table below</w:t>
      </w:r>
      <w:r w:rsidR="00DC0807">
        <w:t xml:space="preserve">. </w:t>
      </w:r>
    </w:p>
    <w:p w:rsidR="004C3AC1" w:rsidRPr="00DC0807" w:rsidRDefault="006F116F" w:rsidP="00274FB1">
      <w:pPr>
        <w:keepNext/>
        <w:rPr>
          <w:rStyle w:val="CommentReference"/>
        </w:rPr>
      </w:pPr>
      <w:bookmarkStart w:id="10" w:name="_Ref61119031"/>
      <w:r w:rsidRPr="00DC0807">
        <w:rPr>
          <w:rStyle w:val="CommentReference"/>
        </w:rPr>
        <w:t xml:space="preserve">Table </w:t>
      </w:r>
      <w:r w:rsidR="00AE572A" w:rsidRPr="00DC0807">
        <w:rPr>
          <w:rStyle w:val="CommentReference"/>
        </w:rPr>
        <w:t>3</w:t>
      </w:r>
      <w:bookmarkEnd w:id="10"/>
      <w:r w:rsidR="004C3AC1" w:rsidRPr="00DC0807">
        <w:rPr>
          <w:rStyle w:val="CommentReference"/>
        </w:rPr>
        <w:t>: Key features of the included evidence</w:t>
      </w:r>
      <w:r w:rsidR="002058D5" w:rsidRPr="00DC0807">
        <w:rPr>
          <w:rStyle w:val="CommentReference"/>
        </w:rPr>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7"/>
        <w:gridCol w:w="566"/>
        <w:gridCol w:w="1985"/>
        <w:gridCol w:w="709"/>
        <w:gridCol w:w="2097"/>
        <w:gridCol w:w="1122"/>
        <w:gridCol w:w="1690"/>
      </w:tblGrid>
      <w:tr w:rsidR="004C3AC1" w:rsidRPr="00DC0807" w:rsidTr="006252A0">
        <w:tc>
          <w:tcPr>
            <w:tcW w:w="470" w:type="pct"/>
            <w:shd w:val="clear" w:color="auto" w:fill="auto"/>
            <w:vAlign w:val="center"/>
          </w:tcPr>
          <w:p w:rsidR="004C3AC1" w:rsidRPr="00DC0807" w:rsidRDefault="004C3AC1" w:rsidP="00274FB1">
            <w:pPr>
              <w:pStyle w:val="Tabletext"/>
              <w:keepNext/>
              <w:rPr>
                <w:b/>
              </w:rPr>
            </w:pPr>
            <w:r w:rsidRPr="00DC0807">
              <w:rPr>
                <w:b/>
              </w:rPr>
              <w:t>Trial</w:t>
            </w:r>
          </w:p>
        </w:tc>
        <w:tc>
          <w:tcPr>
            <w:tcW w:w="314" w:type="pct"/>
            <w:shd w:val="clear" w:color="auto" w:fill="auto"/>
            <w:vAlign w:val="center"/>
          </w:tcPr>
          <w:p w:rsidR="004C3AC1" w:rsidRPr="00DC0807" w:rsidRDefault="004C3AC1" w:rsidP="00274FB1">
            <w:pPr>
              <w:pStyle w:val="Tabletext"/>
              <w:keepNext/>
              <w:jc w:val="center"/>
              <w:rPr>
                <w:b/>
              </w:rPr>
            </w:pPr>
            <w:r w:rsidRPr="00DC0807">
              <w:rPr>
                <w:b/>
              </w:rPr>
              <w:t>N</w:t>
            </w:r>
          </w:p>
        </w:tc>
        <w:tc>
          <w:tcPr>
            <w:tcW w:w="1101" w:type="pct"/>
            <w:shd w:val="clear" w:color="auto" w:fill="auto"/>
            <w:vAlign w:val="center"/>
          </w:tcPr>
          <w:p w:rsidR="004C3AC1" w:rsidRPr="00DC0807" w:rsidRDefault="004C3AC1" w:rsidP="00274FB1">
            <w:pPr>
              <w:pStyle w:val="Tabletext"/>
              <w:keepNext/>
              <w:jc w:val="center"/>
              <w:rPr>
                <w:b/>
              </w:rPr>
            </w:pPr>
            <w:r w:rsidRPr="00DC0807">
              <w:rPr>
                <w:b/>
              </w:rPr>
              <w:t>Design/ duration</w:t>
            </w:r>
          </w:p>
        </w:tc>
        <w:tc>
          <w:tcPr>
            <w:tcW w:w="393" w:type="pct"/>
            <w:shd w:val="clear" w:color="auto" w:fill="auto"/>
            <w:vAlign w:val="center"/>
          </w:tcPr>
          <w:p w:rsidR="004C3AC1" w:rsidRPr="00DC0807" w:rsidRDefault="004C3AC1" w:rsidP="00274FB1">
            <w:pPr>
              <w:pStyle w:val="Tabletext"/>
              <w:keepNext/>
              <w:jc w:val="center"/>
              <w:rPr>
                <w:b/>
              </w:rPr>
            </w:pPr>
            <w:r w:rsidRPr="00DC0807">
              <w:rPr>
                <w:b/>
              </w:rPr>
              <w:t>Risk of bias</w:t>
            </w:r>
          </w:p>
        </w:tc>
        <w:tc>
          <w:tcPr>
            <w:tcW w:w="1163" w:type="pct"/>
            <w:shd w:val="clear" w:color="auto" w:fill="auto"/>
            <w:vAlign w:val="center"/>
          </w:tcPr>
          <w:p w:rsidR="004C3AC1" w:rsidRPr="00DC0807" w:rsidRDefault="004C3AC1" w:rsidP="00274FB1">
            <w:pPr>
              <w:pStyle w:val="Tabletext"/>
              <w:keepNext/>
              <w:jc w:val="center"/>
              <w:rPr>
                <w:b/>
              </w:rPr>
            </w:pPr>
            <w:r w:rsidRPr="00DC0807">
              <w:rPr>
                <w:b/>
              </w:rPr>
              <w:t>Patient population</w:t>
            </w:r>
          </w:p>
        </w:tc>
        <w:tc>
          <w:tcPr>
            <w:tcW w:w="622" w:type="pct"/>
            <w:shd w:val="clear" w:color="auto" w:fill="auto"/>
            <w:vAlign w:val="center"/>
          </w:tcPr>
          <w:p w:rsidR="004C3AC1" w:rsidRPr="00DC0807" w:rsidRDefault="004C3AC1" w:rsidP="00274FB1">
            <w:pPr>
              <w:pStyle w:val="Tabletext"/>
              <w:keepNext/>
              <w:jc w:val="center"/>
              <w:rPr>
                <w:b/>
              </w:rPr>
            </w:pPr>
            <w:r w:rsidRPr="00DC0807">
              <w:rPr>
                <w:b/>
              </w:rPr>
              <w:t>Outcome(s)</w:t>
            </w:r>
          </w:p>
        </w:tc>
        <w:tc>
          <w:tcPr>
            <w:tcW w:w="938" w:type="pct"/>
            <w:shd w:val="clear" w:color="auto" w:fill="auto"/>
            <w:vAlign w:val="center"/>
          </w:tcPr>
          <w:p w:rsidR="004C3AC1" w:rsidRPr="00DC0807" w:rsidRDefault="004C3AC1" w:rsidP="00274FB1">
            <w:pPr>
              <w:pStyle w:val="Tabletext"/>
              <w:keepNext/>
              <w:jc w:val="center"/>
              <w:rPr>
                <w:b/>
              </w:rPr>
            </w:pPr>
            <w:r w:rsidRPr="00DC0807">
              <w:rPr>
                <w:b/>
              </w:rPr>
              <w:t>Use in cost per responder analysis</w:t>
            </w:r>
          </w:p>
        </w:tc>
      </w:tr>
      <w:tr w:rsidR="004C3AC1" w:rsidRPr="00DC0807" w:rsidTr="00E77FA7">
        <w:tc>
          <w:tcPr>
            <w:tcW w:w="5000" w:type="pct"/>
            <w:gridSpan w:val="7"/>
            <w:shd w:val="clear" w:color="auto" w:fill="auto"/>
            <w:vAlign w:val="center"/>
          </w:tcPr>
          <w:p w:rsidR="004C3AC1" w:rsidRPr="00DC0807" w:rsidRDefault="004C3AC1" w:rsidP="00274FB1">
            <w:pPr>
              <w:pStyle w:val="Tabletext"/>
              <w:keepNext/>
              <w:rPr>
                <w:b/>
              </w:rPr>
            </w:pPr>
            <w:r w:rsidRPr="00DC0807">
              <w:rPr>
                <w:b/>
              </w:rPr>
              <w:t>Ustekinumab vs. placebo</w:t>
            </w:r>
          </w:p>
        </w:tc>
      </w:tr>
      <w:tr w:rsidR="004C3AC1" w:rsidRPr="00DC0807" w:rsidTr="006252A0">
        <w:tc>
          <w:tcPr>
            <w:tcW w:w="470" w:type="pct"/>
            <w:shd w:val="clear" w:color="auto" w:fill="auto"/>
            <w:vAlign w:val="center"/>
          </w:tcPr>
          <w:p w:rsidR="004C3AC1" w:rsidRPr="00DC0807" w:rsidRDefault="005F54DD" w:rsidP="00274FB1">
            <w:pPr>
              <w:pStyle w:val="Tabletext"/>
              <w:keepNext/>
            </w:pPr>
            <w:r w:rsidRPr="00DC0807">
              <w:t>CADMUS</w:t>
            </w:r>
            <w:r w:rsidRPr="00DC0807">
              <w:rPr>
                <w:vertAlign w:val="superscript"/>
              </w:rPr>
              <w:t>a</w:t>
            </w:r>
          </w:p>
        </w:tc>
        <w:tc>
          <w:tcPr>
            <w:tcW w:w="314" w:type="pct"/>
            <w:shd w:val="clear" w:color="auto" w:fill="auto"/>
            <w:vAlign w:val="center"/>
          </w:tcPr>
          <w:p w:rsidR="004C3AC1" w:rsidRPr="00DC0807" w:rsidRDefault="004C3AC1" w:rsidP="00274FB1">
            <w:pPr>
              <w:pStyle w:val="Tabletext"/>
              <w:keepNext/>
              <w:jc w:val="center"/>
            </w:pPr>
            <w:r w:rsidRPr="00DC0807">
              <w:t>110</w:t>
            </w:r>
          </w:p>
        </w:tc>
        <w:tc>
          <w:tcPr>
            <w:tcW w:w="1101" w:type="pct"/>
            <w:shd w:val="clear" w:color="auto" w:fill="auto"/>
            <w:vAlign w:val="center"/>
          </w:tcPr>
          <w:p w:rsidR="004C3AC1" w:rsidRPr="00DC0807" w:rsidRDefault="004C3AC1" w:rsidP="00274FB1">
            <w:pPr>
              <w:pStyle w:val="Tabletext"/>
              <w:keepNext/>
              <w:jc w:val="center"/>
            </w:pPr>
            <w:r w:rsidRPr="00DC0807">
              <w:t>R, DB</w:t>
            </w:r>
            <w:r w:rsidR="00E92B0F" w:rsidRPr="00DC0807">
              <w:t>, MC</w:t>
            </w:r>
            <w:r w:rsidRPr="00DC0807">
              <w:t xml:space="preserve"> up to 12 weeks, then crossover to OL ustekinumab with duration up to 60 weeks total</w:t>
            </w:r>
          </w:p>
        </w:tc>
        <w:tc>
          <w:tcPr>
            <w:tcW w:w="393" w:type="pct"/>
            <w:shd w:val="clear" w:color="auto" w:fill="auto"/>
            <w:vAlign w:val="center"/>
          </w:tcPr>
          <w:p w:rsidR="004C3AC1" w:rsidRPr="00DC0807" w:rsidRDefault="004C3AC1" w:rsidP="00274FB1">
            <w:pPr>
              <w:pStyle w:val="Tabletext"/>
              <w:keepNext/>
              <w:jc w:val="center"/>
            </w:pPr>
            <w:r w:rsidRPr="00DC0807">
              <w:t>Low</w:t>
            </w:r>
          </w:p>
        </w:tc>
        <w:tc>
          <w:tcPr>
            <w:tcW w:w="1163" w:type="pct"/>
            <w:shd w:val="clear" w:color="auto" w:fill="auto"/>
            <w:vAlign w:val="center"/>
          </w:tcPr>
          <w:p w:rsidR="004C3AC1" w:rsidRPr="00DC0807" w:rsidRDefault="004C3AC1" w:rsidP="00274FB1">
            <w:pPr>
              <w:pStyle w:val="Tabletext"/>
              <w:keepNext/>
              <w:jc w:val="center"/>
            </w:pPr>
            <w:r w:rsidRPr="00DC0807">
              <w:t>Moderate to severe CPP</w:t>
            </w:r>
            <w:r w:rsidR="00D30BAC" w:rsidRPr="00DC0807">
              <w:rPr>
                <w:vertAlign w:val="superscript"/>
              </w:rPr>
              <w:t>b</w:t>
            </w:r>
            <w:r w:rsidRPr="00DC0807">
              <w:t>, poorly controlled on topical therapy.</w:t>
            </w:r>
          </w:p>
          <w:p w:rsidR="004C3AC1" w:rsidRPr="00DC0807" w:rsidRDefault="004C3AC1" w:rsidP="00274FB1">
            <w:pPr>
              <w:pStyle w:val="Tabletext"/>
              <w:keepNext/>
              <w:jc w:val="center"/>
            </w:pPr>
            <w:r w:rsidRPr="00DC0807">
              <w:t>Age</w:t>
            </w:r>
            <w:r w:rsidR="00ED5231" w:rsidRPr="00DC0807">
              <w:t xml:space="preserve"> </w:t>
            </w:r>
            <w:r w:rsidRPr="00DC0807">
              <w:t>12 to 17 years</w:t>
            </w:r>
          </w:p>
        </w:tc>
        <w:tc>
          <w:tcPr>
            <w:tcW w:w="622" w:type="pct"/>
            <w:shd w:val="clear" w:color="auto" w:fill="auto"/>
            <w:vAlign w:val="center"/>
          </w:tcPr>
          <w:p w:rsidR="004C3AC1" w:rsidRPr="00DC0807" w:rsidRDefault="00C92D23" w:rsidP="00274FB1">
            <w:pPr>
              <w:pStyle w:val="Tabletext"/>
              <w:keepNext/>
              <w:jc w:val="center"/>
            </w:pPr>
            <w:r w:rsidRPr="00DC0807">
              <w:t>PASI 75</w:t>
            </w:r>
            <w:r w:rsidR="004C3AC1" w:rsidRPr="00DC0807">
              <w:t xml:space="preserve">, </w:t>
            </w:r>
            <w:r w:rsidRPr="00DC0807">
              <w:t>PASI 90</w:t>
            </w:r>
            <w:r w:rsidR="004C3AC1" w:rsidRPr="00DC0807">
              <w:t>, PGA, CDLQI</w:t>
            </w:r>
          </w:p>
        </w:tc>
        <w:tc>
          <w:tcPr>
            <w:tcW w:w="938" w:type="pct"/>
            <w:shd w:val="clear" w:color="auto" w:fill="auto"/>
            <w:vAlign w:val="center"/>
          </w:tcPr>
          <w:p w:rsidR="004C3AC1" w:rsidRPr="00DC0807" w:rsidRDefault="004C3AC1" w:rsidP="006252A0">
            <w:pPr>
              <w:pStyle w:val="Tabletext"/>
              <w:keepNext/>
              <w:jc w:val="center"/>
            </w:pPr>
            <w:r w:rsidRPr="00DC0807">
              <w:t xml:space="preserve">Pooled </w:t>
            </w:r>
            <w:r w:rsidR="00C92D23" w:rsidRPr="00DC0807">
              <w:t>PASI 75</w:t>
            </w:r>
            <w:r w:rsidRPr="00DC0807">
              <w:t xml:space="preserve"> responders at Week 24 with CADMUS JR Week 28</w:t>
            </w:r>
          </w:p>
        </w:tc>
      </w:tr>
      <w:tr w:rsidR="004C3AC1" w:rsidRPr="00DC0807" w:rsidTr="006252A0">
        <w:tc>
          <w:tcPr>
            <w:tcW w:w="470" w:type="pct"/>
            <w:shd w:val="clear" w:color="auto" w:fill="auto"/>
            <w:vAlign w:val="center"/>
          </w:tcPr>
          <w:p w:rsidR="004C3AC1" w:rsidRPr="00DC0807" w:rsidRDefault="004C3AC1" w:rsidP="00274FB1">
            <w:pPr>
              <w:pStyle w:val="Tabletext"/>
              <w:keepNext/>
            </w:pPr>
            <w:r w:rsidRPr="00DC0807">
              <w:t>CADMUS Junior</w:t>
            </w:r>
            <w:r w:rsidR="00E92B0F" w:rsidRPr="00DC0807">
              <w:t xml:space="preserve"> (JR)</w:t>
            </w:r>
          </w:p>
        </w:tc>
        <w:tc>
          <w:tcPr>
            <w:tcW w:w="314" w:type="pct"/>
            <w:shd w:val="clear" w:color="auto" w:fill="auto"/>
            <w:vAlign w:val="center"/>
          </w:tcPr>
          <w:p w:rsidR="004C3AC1" w:rsidRPr="00DC0807" w:rsidRDefault="004C3AC1" w:rsidP="00274FB1">
            <w:pPr>
              <w:pStyle w:val="Tabletext"/>
              <w:keepNext/>
              <w:jc w:val="center"/>
            </w:pPr>
            <w:r w:rsidRPr="00DC0807">
              <w:t>44</w:t>
            </w:r>
          </w:p>
        </w:tc>
        <w:tc>
          <w:tcPr>
            <w:tcW w:w="1101" w:type="pct"/>
            <w:shd w:val="clear" w:color="auto" w:fill="auto"/>
            <w:vAlign w:val="center"/>
          </w:tcPr>
          <w:p w:rsidR="004C3AC1" w:rsidRPr="00DC0807" w:rsidRDefault="004C3AC1" w:rsidP="00274FB1">
            <w:pPr>
              <w:pStyle w:val="Tabletext"/>
              <w:keepNext/>
              <w:jc w:val="center"/>
            </w:pPr>
            <w:r w:rsidRPr="00DC0807">
              <w:t>Single-arm, up to 56 months</w:t>
            </w:r>
          </w:p>
        </w:tc>
        <w:tc>
          <w:tcPr>
            <w:tcW w:w="393" w:type="pct"/>
            <w:shd w:val="clear" w:color="auto" w:fill="auto"/>
            <w:vAlign w:val="center"/>
          </w:tcPr>
          <w:p w:rsidR="004C3AC1" w:rsidRPr="00DC0807" w:rsidRDefault="004C3AC1" w:rsidP="00274FB1">
            <w:pPr>
              <w:pStyle w:val="Tabletext"/>
              <w:keepNext/>
              <w:jc w:val="center"/>
            </w:pPr>
            <w:r w:rsidRPr="00DC0807">
              <w:t>High</w:t>
            </w:r>
          </w:p>
        </w:tc>
        <w:tc>
          <w:tcPr>
            <w:tcW w:w="1163" w:type="pct"/>
            <w:shd w:val="clear" w:color="auto" w:fill="auto"/>
            <w:vAlign w:val="center"/>
          </w:tcPr>
          <w:p w:rsidR="004C3AC1" w:rsidRPr="00DC0807" w:rsidRDefault="004C3AC1" w:rsidP="00274FB1">
            <w:pPr>
              <w:pStyle w:val="Tabletext"/>
              <w:keepNext/>
              <w:jc w:val="center"/>
            </w:pPr>
            <w:r w:rsidRPr="00DC0807">
              <w:t>Moderate to severe CPP</w:t>
            </w:r>
            <w:r w:rsidR="00D30BAC" w:rsidRPr="00DC0807">
              <w:rPr>
                <w:vertAlign w:val="superscript"/>
              </w:rPr>
              <w:t>b</w:t>
            </w:r>
            <w:r w:rsidRPr="00DC0807">
              <w:t xml:space="preserve">, poorly controlled on topical therapy. </w:t>
            </w:r>
          </w:p>
          <w:p w:rsidR="004C3AC1" w:rsidRPr="00DC0807" w:rsidRDefault="004C3AC1" w:rsidP="00274FB1">
            <w:pPr>
              <w:pStyle w:val="Tabletext"/>
              <w:keepNext/>
              <w:jc w:val="center"/>
            </w:pPr>
            <w:r w:rsidRPr="00DC0807">
              <w:t>Age 6 to 11 years</w:t>
            </w:r>
          </w:p>
        </w:tc>
        <w:tc>
          <w:tcPr>
            <w:tcW w:w="622" w:type="pct"/>
            <w:shd w:val="clear" w:color="auto" w:fill="auto"/>
            <w:vAlign w:val="center"/>
          </w:tcPr>
          <w:p w:rsidR="004C3AC1" w:rsidRPr="00DC0807" w:rsidRDefault="00C92D23" w:rsidP="00274FB1">
            <w:pPr>
              <w:pStyle w:val="Tabletext"/>
              <w:keepNext/>
              <w:jc w:val="center"/>
            </w:pPr>
            <w:r w:rsidRPr="00DC0807">
              <w:t>PASI 75</w:t>
            </w:r>
            <w:r w:rsidR="004C3AC1" w:rsidRPr="00DC0807">
              <w:t xml:space="preserve">, </w:t>
            </w:r>
            <w:r w:rsidRPr="00DC0807">
              <w:t>PASI 90</w:t>
            </w:r>
            <w:r w:rsidR="004C3AC1" w:rsidRPr="00DC0807">
              <w:t>, PGA, CDLQI</w:t>
            </w:r>
          </w:p>
        </w:tc>
        <w:tc>
          <w:tcPr>
            <w:tcW w:w="938" w:type="pct"/>
            <w:shd w:val="clear" w:color="auto" w:fill="auto"/>
            <w:vAlign w:val="center"/>
          </w:tcPr>
          <w:p w:rsidR="004C3AC1" w:rsidRPr="00DC0807" w:rsidRDefault="004C3AC1" w:rsidP="00274FB1">
            <w:pPr>
              <w:pStyle w:val="Tabletext"/>
              <w:keepNext/>
              <w:jc w:val="center"/>
            </w:pPr>
            <w:r w:rsidRPr="00DC0807">
              <w:t xml:space="preserve">Pooled </w:t>
            </w:r>
            <w:r w:rsidR="00C92D23" w:rsidRPr="00DC0807">
              <w:t>PASI 75</w:t>
            </w:r>
            <w:r w:rsidRPr="00DC0807">
              <w:t xml:space="preserve"> responders at Week 28 with CADMUS Week 24</w:t>
            </w:r>
          </w:p>
        </w:tc>
      </w:tr>
      <w:tr w:rsidR="004C3AC1" w:rsidRPr="00DC0807" w:rsidTr="00E77FA7">
        <w:tc>
          <w:tcPr>
            <w:tcW w:w="5000" w:type="pct"/>
            <w:gridSpan w:val="7"/>
            <w:shd w:val="clear" w:color="auto" w:fill="auto"/>
            <w:vAlign w:val="center"/>
          </w:tcPr>
          <w:p w:rsidR="004C3AC1" w:rsidRPr="00DC0807" w:rsidRDefault="004C3AC1" w:rsidP="00274FB1">
            <w:pPr>
              <w:pStyle w:val="Tabletext"/>
              <w:keepNext/>
              <w:rPr>
                <w:b/>
              </w:rPr>
            </w:pPr>
            <w:r w:rsidRPr="00DC0807">
              <w:rPr>
                <w:b/>
              </w:rPr>
              <w:t>Etanercept vs</w:t>
            </w:r>
            <w:r w:rsidR="002058D5" w:rsidRPr="00DC0807">
              <w:rPr>
                <w:b/>
              </w:rPr>
              <w:t>.</w:t>
            </w:r>
            <w:r w:rsidRPr="00DC0807">
              <w:rPr>
                <w:b/>
              </w:rPr>
              <w:t xml:space="preserve"> placebo</w:t>
            </w:r>
          </w:p>
        </w:tc>
      </w:tr>
      <w:tr w:rsidR="004C3AC1" w:rsidRPr="00DC0807" w:rsidTr="006252A0">
        <w:tc>
          <w:tcPr>
            <w:tcW w:w="470" w:type="pct"/>
            <w:shd w:val="clear" w:color="auto" w:fill="auto"/>
            <w:vAlign w:val="center"/>
          </w:tcPr>
          <w:p w:rsidR="004C3AC1" w:rsidRPr="00DC0807" w:rsidRDefault="004C3AC1" w:rsidP="00274FB1">
            <w:pPr>
              <w:pStyle w:val="Tabletext"/>
              <w:keepNext/>
            </w:pPr>
            <w:r w:rsidRPr="00DC0807">
              <w:t>Paller 2008</w:t>
            </w:r>
          </w:p>
        </w:tc>
        <w:tc>
          <w:tcPr>
            <w:tcW w:w="314" w:type="pct"/>
            <w:shd w:val="clear" w:color="auto" w:fill="auto"/>
            <w:vAlign w:val="center"/>
          </w:tcPr>
          <w:p w:rsidR="004C3AC1" w:rsidRPr="00DC0807" w:rsidRDefault="004C3AC1" w:rsidP="00274FB1">
            <w:pPr>
              <w:pStyle w:val="Tabletext"/>
              <w:keepNext/>
              <w:jc w:val="center"/>
            </w:pPr>
            <w:r w:rsidRPr="00DC0807">
              <w:t>211</w:t>
            </w:r>
          </w:p>
        </w:tc>
        <w:tc>
          <w:tcPr>
            <w:tcW w:w="1101" w:type="pct"/>
            <w:shd w:val="clear" w:color="auto" w:fill="auto"/>
            <w:vAlign w:val="center"/>
          </w:tcPr>
          <w:p w:rsidR="004C3AC1" w:rsidRPr="00DC0807" w:rsidRDefault="004C3AC1" w:rsidP="00274FB1">
            <w:pPr>
              <w:pStyle w:val="Tabletext"/>
              <w:keepNext/>
              <w:jc w:val="center"/>
            </w:pPr>
            <w:r w:rsidRPr="00DC0807">
              <w:t>R, DB up to 12 weeks, then crossover to OL etanercept for a total of 36 weeks and then 12 weeks of withdrawal</w:t>
            </w:r>
          </w:p>
        </w:tc>
        <w:tc>
          <w:tcPr>
            <w:tcW w:w="393" w:type="pct"/>
            <w:shd w:val="clear" w:color="auto" w:fill="auto"/>
            <w:vAlign w:val="center"/>
          </w:tcPr>
          <w:p w:rsidR="004C3AC1" w:rsidRPr="00DC0807" w:rsidRDefault="004C3AC1" w:rsidP="00274FB1">
            <w:pPr>
              <w:pStyle w:val="Tabletext"/>
              <w:keepNext/>
              <w:jc w:val="center"/>
            </w:pPr>
            <w:r w:rsidRPr="00DC0807">
              <w:t>Low</w:t>
            </w:r>
          </w:p>
        </w:tc>
        <w:tc>
          <w:tcPr>
            <w:tcW w:w="1163" w:type="pct"/>
            <w:shd w:val="clear" w:color="auto" w:fill="auto"/>
            <w:vAlign w:val="center"/>
          </w:tcPr>
          <w:p w:rsidR="004C3AC1" w:rsidRPr="00DC0807" w:rsidRDefault="004C3AC1" w:rsidP="00274FB1">
            <w:pPr>
              <w:pStyle w:val="Tabletext"/>
              <w:keepNext/>
              <w:jc w:val="center"/>
            </w:pPr>
            <w:r w:rsidRPr="00DC0807">
              <w:t>Moderate to severe CPP</w:t>
            </w:r>
            <w:r w:rsidR="00D30BAC" w:rsidRPr="00DC0807">
              <w:rPr>
                <w:vertAlign w:val="superscript"/>
              </w:rPr>
              <w:t>b</w:t>
            </w:r>
            <w:r w:rsidRPr="00DC0807">
              <w:t>, poorly controlled on topical therapy. Age 4 to 17 years</w:t>
            </w:r>
          </w:p>
        </w:tc>
        <w:tc>
          <w:tcPr>
            <w:tcW w:w="622" w:type="pct"/>
            <w:shd w:val="clear" w:color="auto" w:fill="auto"/>
            <w:vAlign w:val="center"/>
          </w:tcPr>
          <w:p w:rsidR="004C3AC1" w:rsidRPr="00DC0807" w:rsidRDefault="00C92D23" w:rsidP="00274FB1">
            <w:pPr>
              <w:pStyle w:val="Tabletext"/>
              <w:keepNext/>
              <w:jc w:val="center"/>
            </w:pPr>
            <w:r w:rsidRPr="00DC0807">
              <w:t>PASI 75</w:t>
            </w:r>
            <w:r w:rsidR="004C3AC1" w:rsidRPr="00DC0807">
              <w:t xml:space="preserve">, </w:t>
            </w:r>
            <w:r w:rsidRPr="00DC0807">
              <w:t>PASI 90</w:t>
            </w:r>
            <w:r w:rsidR="004C3AC1" w:rsidRPr="00DC0807">
              <w:t>, PGA, CDLQI</w:t>
            </w:r>
          </w:p>
        </w:tc>
        <w:tc>
          <w:tcPr>
            <w:tcW w:w="938" w:type="pct"/>
            <w:shd w:val="clear" w:color="auto" w:fill="auto"/>
            <w:vAlign w:val="center"/>
          </w:tcPr>
          <w:p w:rsidR="004C3AC1" w:rsidRPr="00DC0807" w:rsidRDefault="00C92D23" w:rsidP="006252A0">
            <w:pPr>
              <w:pStyle w:val="Tabletext"/>
              <w:keepNext/>
              <w:jc w:val="center"/>
            </w:pPr>
            <w:r w:rsidRPr="00DC0807">
              <w:t>PASI 75</w:t>
            </w:r>
            <w:r w:rsidR="004C3AC1" w:rsidRPr="00DC0807">
              <w:t xml:space="preserve"> response rate at Week 12 applied to Week 16 </w:t>
            </w:r>
            <w:r w:rsidR="00B8612B" w:rsidRPr="00DC0807">
              <w:t>time point</w:t>
            </w:r>
          </w:p>
        </w:tc>
      </w:tr>
    </w:tbl>
    <w:p w:rsidR="00324549" w:rsidRPr="00DC0807" w:rsidRDefault="00324549" w:rsidP="00274FB1">
      <w:pPr>
        <w:pStyle w:val="TableFooter"/>
        <w:keepNext/>
        <w:rPr>
          <w:sz w:val="20"/>
        </w:rPr>
      </w:pPr>
      <w:r w:rsidRPr="00DC0807">
        <w:t>Source: Compiled during the evaluation from Section 2 of the submission.</w:t>
      </w:r>
    </w:p>
    <w:p w:rsidR="004C3AC1" w:rsidRPr="00DC0807" w:rsidRDefault="004C3AC1" w:rsidP="00274FB1">
      <w:pPr>
        <w:pStyle w:val="TableFooter"/>
        <w:keepNext/>
      </w:pPr>
      <w:r w:rsidRPr="00DC0807">
        <w:t xml:space="preserve">DB=double blind; </w:t>
      </w:r>
      <w:r w:rsidR="00E92B0F" w:rsidRPr="00DC0807">
        <w:t xml:space="preserve">CDLQI=Children’s Dermatology Life Quality Index; CPP=chronic plaque psoriasis; MC=multi-centre; </w:t>
      </w:r>
      <w:r w:rsidRPr="00DC0807">
        <w:t xml:space="preserve">OL=open label; PASI=Psoriasis Area and Severity Index; </w:t>
      </w:r>
      <w:r w:rsidR="00D30BAC" w:rsidRPr="00DC0807">
        <w:t>PGA= Physician’s Global Assessment</w:t>
      </w:r>
      <w:r w:rsidR="00E92B0F" w:rsidRPr="00DC0807">
        <w:t>; R=randomised.</w:t>
      </w:r>
    </w:p>
    <w:p w:rsidR="004C3AC1" w:rsidRPr="00DC0807" w:rsidRDefault="005F54DD" w:rsidP="00274FB1">
      <w:pPr>
        <w:pStyle w:val="TableFooter"/>
        <w:keepNext/>
      </w:pPr>
      <w:r w:rsidRPr="00DC0807">
        <w:rPr>
          <w:vertAlign w:val="superscript"/>
        </w:rPr>
        <w:t xml:space="preserve">a </w:t>
      </w:r>
      <w:r w:rsidR="004C3AC1" w:rsidRPr="00DC0807">
        <w:t>Including the 37 patients who received the ustekinumab half standard dose</w:t>
      </w:r>
    </w:p>
    <w:p w:rsidR="00D30BAC" w:rsidRPr="00DC0807" w:rsidRDefault="00D30BAC" w:rsidP="00274FB1">
      <w:pPr>
        <w:pStyle w:val="TableFooter"/>
        <w:keepNext/>
      </w:pPr>
      <w:r w:rsidRPr="00DC0807">
        <w:rPr>
          <w:vertAlign w:val="superscript"/>
        </w:rPr>
        <w:t xml:space="preserve">b </w:t>
      </w:r>
      <w:r w:rsidRPr="00DC0807">
        <w:t>Defined by a PASI ≥12, PGA ≥3, and BSA involvement ≥10%</w:t>
      </w:r>
    </w:p>
    <w:p w:rsidR="004C3AC1" w:rsidRPr="00DC0807" w:rsidRDefault="004C3AC1" w:rsidP="004C3AC1"/>
    <w:p w:rsidR="00473BCA" w:rsidRPr="00DC0807" w:rsidRDefault="00E92B0F" w:rsidP="00D30BAC">
      <w:pPr>
        <w:pStyle w:val="ListParagraph"/>
        <w:widowControl/>
        <w:numPr>
          <w:ilvl w:val="1"/>
          <w:numId w:val="1"/>
        </w:numPr>
        <w:rPr>
          <w:iCs/>
        </w:rPr>
      </w:pPr>
      <w:r w:rsidRPr="00DC0807">
        <w:t>In CADMUS, p</w:t>
      </w:r>
      <w:r w:rsidR="006F116F" w:rsidRPr="00DC0807">
        <w:t xml:space="preserve">atients were randomised in a 1:1:1 ratio to ustekinumab standard dose (n=36), ustekinumab half-standard dose (n=37) and placebo (n=37). The submission </w:t>
      </w:r>
      <w:r w:rsidR="00D30BAC" w:rsidRPr="00DC0807">
        <w:t>sought</w:t>
      </w:r>
      <w:r w:rsidR="006F116F" w:rsidRPr="00DC0807">
        <w:t xml:space="preserve"> listing only for the ustekinumab standard dose</w:t>
      </w:r>
      <w:r w:rsidR="00473BCA" w:rsidRPr="00DC0807">
        <w:t xml:space="preserve"> (</w:t>
      </w:r>
      <w:r w:rsidR="004C3AC1" w:rsidRPr="00DC0807">
        <w:t>at Week 0, 4, and every 12 weeks</w:t>
      </w:r>
      <w:r w:rsidR="00541EDB" w:rsidRPr="00DC0807">
        <w:t xml:space="preserve"> thereafter</w:t>
      </w:r>
      <w:r w:rsidR="00473BCA" w:rsidRPr="00DC0807">
        <w:t>)</w:t>
      </w:r>
      <w:r w:rsidR="003E3ADC" w:rsidRPr="00DC0807">
        <w:t>,</w:t>
      </w:r>
      <w:r w:rsidR="006F116F" w:rsidRPr="00DC0807">
        <w:t xml:space="preserve"> which was consistent with the TGA approved dosage</w:t>
      </w:r>
      <w:r w:rsidR="004C3AC1" w:rsidRPr="00DC0807">
        <w:t>.</w:t>
      </w:r>
      <w:r w:rsidR="00473BCA" w:rsidRPr="00DC0807">
        <w:t xml:space="preserve"> CADMUS was considered to have a low risk of bias, but was r</w:t>
      </w:r>
      <w:r w:rsidR="008226A0" w:rsidRPr="00DC0807">
        <w:t xml:space="preserve">estricted by small sample size </w:t>
      </w:r>
      <w:r w:rsidR="00473BCA" w:rsidRPr="00DC0807">
        <w:t xml:space="preserve">with only 73 patients (36 </w:t>
      </w:r>
      <w:r w:rsidRPr="00DC0807">
        <w:t>at</w:t>
      </w:r>
      <w:r w:rsidR="003E3ADC" w:rsidRPr="00DC0807">
        <w:t xml:space="preserve"> standard dose</w:t>
      </w:r>
      <w:r w:rsidR="00473BCA" w:rsidRPr="00DC0807">
        <w:t xml:space="preserve"> and 37 </w:t>
      </w:r>
      <w:r w:rsidRPr="00DC0807">
        <w:t xml:space="preserve">in </w:t>
      </w:r>
      <w:r w:rsidR="00473BCA" w:rsidRPr="00DC0807">
        <w:t>placebo</w:t>
      </w:r>
      <w:r w:rsidRPr="00DC0807">
        <w:t xml:space="preserve"> arm</w:t>
      </w:r>
      <w:r w:rsidR="00473BCA" w:rsidRPr="00DC0807">
        <w:t>) analysed in the current submission.</w:t>
      </w:r>
    </w:p>
    <w:p w:rsidR="00F83D16" w:rsidRPr="00DC0807" w:rsidRDefault="00473BCA" w:rsidP="00A927F1">
      <w:pPr>
        <w:pStyle w:val="ListParagraph"/>
        <w:widowControl/>
        <w:numPr>
          <w:ilvl w:val="1"/>
          <w:numId w:val="1"/>
        </w:numPr>
      </w:pPr>
      <w:r w:rsidRPr="00DC0807">
        <w:t xml:space="preserve">In CADMUS, patients were treated with their randomised therapy at </w:t>
      </w:r>
      <w:r w:rsidR="008534C9" w:rsidRPr="00DC0807">
        <w:t>W</w:t>
      </w:r>
      <w:r w:rsidRPr="00DC0807">
        <w:t xml:space="preserve">eek 0 and 4, and at </w:t>
      </w:r>
      <w:r w:rsidR="008534C9" w:rsidRPr="00DC0807">
        <w:t>W</w:t>
      </w:r>
      <w:r w:rsidRPr="00DC0807">
        <w:t xml:space="preserve">eek </w:t>
      </w:r>
      <w:r w:rsidR="00094255" w:rsidRPr="00DC0807">
        <w:t xml:space="preserve">12, with clinical assessments occurring at </w:t>
      </w:r>
      <w:r w:rsidR="008534C9" w:rsidRPr="00DC0807">
        <w:t>W</w:t>
      </w:r>
      <w:r w:rsidR="00094255" w:rsidRPr="00DC0807">
        <w:t>eeks 12, 28 and 52</w:t>
      </w:r>
      <w:r w:rsidRPr="00DC0807">
        <w:t xml:space="preserve">. Patients who experienced a worsening of symptoms as measured by PASI ≥50% increase from baseline were allowed to enter ‘early escape’ and be treated with moderate to high potency topical steroid through </w:t>
      </w:r>
      <w:r w:rsidR="008534C9" w:rsidRPr="00DC0807">
        <w:t>W</w:t>
      </w:r>
      <w:r w:rsidRPr="00DC0807">
        <w:t xml:space="preserve">eek 12, which was supposed to be discontinued by </w:t>
      </w:r>
      <w:r w:rsidR="008534C9" w:rsidRPr="00DC0807">
        <w:t>W</w:t>
      </w:r>
      <w:r w:rsidRPr="00DC0807">
        <w:t xml:space="preserve">eek 16. At </w:t>
      </w:r>
      <w:r w:rsidR="008534C9" w:rsidRPr="00DC0807">
        <w:t>W</w:t>
      </w:r>
      <w:r w:rsidRPr="00DC0807">
        <w:t>eek 12, patients randomised to placebo were re-randomised to either ustekinumab standard dose (n=18) or ustekinumab half-standard dose (n</w:t>
      </w:r>
      <w:r w:rsidR="008534C9" w:rsidRPr="00DC0807">
        <w:t>=19), with follow-up for up to W</w:t>
      </w:r>
      <w:r w:rsidRPr="00DC0807">
        <w:t>eek 52. Patients randomised to ustekinumab r</w:t>
      </w:r>
      <w:r w:rsidR="008534C9" w:rsidRPr="00DC0807">
        <w:t xml:space="preserve">eceived a placebo </w:t>
      </w:r>
      <w:r w:rsidR="008534C9" w:rsidRPr="00DC0807">
        <w:rPr>
          <w:rFonts w:asciiTheme="minorHAnsi" w:hAnsiTheme="minorHAnsi" w:cstheme="minorHAnsi"/>
          <w:szCs w:val="24"/>
        </w:rPr>
        <w:t>injection at W</w:t>
      </w:r>
      <w:r w:rsidRPr="00DC0807">
        <w:rPr>
          <w:rFonts w:asciiTheme="minorHAnsi" w:hAnsiTheme="minorHAnsi" w:cstheme="minorHAnsi"/>
          <w:szCs w:val="24"/>
        </w:rPr>
        <w:t xml:space="preserve">eek 12 to maintain blinding. </w:t>
      </w:r>
    </w:p>
    <w:p w:rsidR="00473BCA" w:rsidRPr="00DC0807" w:rsidRDefault="00E92B0F" w:rsidP="00A927F1">
      <w:pPr>
        <w:pStyle w:val="ListParagraph"/>
        <w:widowControl/>
        <w:numPr>
          <w:ilvl w:val="1"/>
          <w:numId w:val="1"/>
        </w:numPr>
      </w:pPr>
      <w:r w:rsidRPr="00DC0807">
        <w:t>In CADMUS JR, patients</w:t>
      </w:r>
      <w:r w:rsidR="00473BCA" w:rsidRPr="00DC0807">
        <w:t xml:space="preserve"> were treated with ustekinumab with a dosage identical to the ustekinumab standard dosage in CADMUS. </w:t>
      </w:r>
      <w:r w:rsidRPr="00DC0807">
        <w:t>B</w:t>
      </w:r>
      <w:r w:rsidR="004C3AC1" w:rsidRPr="00DC0807">
        <w:t xml:space="preserve">eing a </w:t>
      </w:r>
      <w:r w:rsidR="006F116F" w:rsidRPr="00DC0807">
        <w:t xml:space="preserve">single arm </w:t>
      </w:r>
      <w:r w:rsidR="004C3AC1" w:rsidRPr="00DC0807">
        <w:t>non-randomised and non-comparative study</w:t>
      </w:r>
      <w:r w:rsidR="003E3ADC" w:rsidRPr="00DC0807">
        <w:t>,</w:t>
      </w:r>
      <w:r w:rsidR="006F116F" w:rsidRPr="00DC0807">
        <w:t xml:space="preserve"> </w:t>
      </w:r>
      <w:r w:rsidRPr="00DC0807">
        <w:t xml:space="preserve">it </w:t>
      </w:r>
      <w:r w:rsidR="004C3AC1" w:rsidRPr="00DC0807">
        <w:t>was considered to have a high risk of bias.</w:t>
      </w:r>
    </w:p>
    <w:p w:rsidR="00D30BAC" w:rsidRPr="00DC0807" w:rsidRDefault="00E92B0F" w:rsidP="00F83D16">
      <w:pPr>
        <w:pStyle w:val="ListParagraph"/>
        <w:widowControl/>
        <w:numPr>
          <w:ilvl w:val="1"/>
          <w:numId w:val="1"/>
        </w:numPr>
      </w:pPr>
      <w:r w:rsidRPr="00DC0807">
        <w:t>In Paller 2008, p</w:t>
      </w:r>
      <w:r w:rsidR="00473BCA" w:rsidRPr="00DC0807">
        <w:t>atients were randomised to be treated with etanercept (n=106) or pla</w:t>
      </w:r>
      <w:r w:rsidR="008534C9" w:rsidRPr="00DC0807">
        <w:t>cebo (n=105) at baseline until W</w:t>
      </w:r>
      <w:r w:rsidR="00473BCA" w:rsidRPr="00DC0807">
        <w:t>eek 12. Patients who experienced a worsening of symptoms (≥50% increase from baseline PASI and ≥4 point increase at any visit or ≥25% increase from baseline PASI and ≥4 point increase at two consecutive visits) could enter an</w:t>
      </w:r>
      <w:r w:rsidR="00813161" w:rsidRPr="00DC0807">
        <w:t xml:space="preserve"> </w:t>
      </w:r>
      <w:r w:rsidR="00473BCA" w:rsidRPr="00DC0807">
        <w:t>early escape group in which all patients received etanercept. A</w:t>
      </w:r>
      <w:r w:rsidR="008534C9" w:rsidRPr="00DC0807">
        <w:t>fter W</w:t>
      </w:r>
      <w:r w:rsidR="00473BCA" w:rsidRPr="00DC0807">
        <w:t xml:space="preserve">eek 12, patients initially randomised to placebo crossed over and all patients received etanercept treatment. </w:t>
      </w:r>
      <w:r w:rsidR="007B6891" w:rsidRPr="00DC0807">
        <w:t xml:space="preserve">Clinical assessments were made at </w:t>
      </w:r>
      <w:r w:rsidR="008534C9" w:rsidRPr="00DC0807">
        <w:t>W</w:t>
      </w:r>
      <w:r w:rsidR="007B6891" w:rsidRPr="00DC0807">
        <w:t xml:space="preserve">eeks 12, 24, 36 and 48. </w:t>
      </w:r>
      <w:r w:rsidR="00473BCA" w:rsidRPr="00DC0807">
        <w:t xml:space="preserve">Patients who did </w:t>
      </w:r>
      <w:r w:rsidR="008534C9" w:rsidRPr="00DC0807">
        <w:t>not achieve PASI</w:t>
      </w:r>
      <w:r w:rsidR="008344E4" w:rsidRPr="00DC0807">
        <w:t xml:space="preserve"> </w:t>
      </w:r>
      <w:r w:rsidR="008534C9" w:rsidRPr="00DC0807">
        <w:t>50 response at W</w:t>
      </w:r>
      <w:r w:rsidR="00473BCA" w:rsidRPr="00DC0807">
        <w:t xml:space="preserve">eek 24 and </w:t>
      </w:r>
      <w:r w:rsidR="00C92D23" w:rsidRPr="00DC0807">
        <w:t>PASI 75</w:t>
      </w:r>
      <w:r w:rsidR="008534C9" w:rsidRPr="00DC0807">
        <w:t xml:space="preserve"> response at W</w:t>
      </w:r>
      <w:r w:rsidR="00473BCA" w:rsidRPr="00DC0807">
        <w:t xml:space="preserve">eek 36 were eligible for </w:t>
      </w:r>
      <w:r w:rsidR="008534C9" w:rsidRPr="00DC0807">
        <w:t>additional topical therapy. At W</w:t>
      </w:r>
      <w:r w:rsidR="00473BCA" w:rsidRPr="00DC0807">
        <w:t xml:space="preserve">eek 36, patients who achieved </w:t>
      </w:r>
      <w:r w:rsidR="00C92D23" w:rsidRPr="00DC0807">
        <w:t>PASI 75</w:t>
      </w:r>
      <w:r w:rsidR="00473BCA" w:rsidRPr="00DC0807">
        <w:t xml:space="preserve"> were re-randomised to etanercept (n=69) or placeb</w:t>
      </w:r>
      <w:r w:rsidR="008534C9" w:rsidRPr="00DC0807">
        <w:t>o (n=69) and followed up until W</w:t>
      </w:r>
      <w:r w:rsidR="00473BCA" w:rsidRPr="00DC0807">
        <w:t>eek 48.</w:t>
      </w:r>
    </w:p>
    <w:p w:rsidR="00D30BAC" w:rsidRPr="00DC0807" w:rsidRDefault="00D30BAC" w:rsidP="00D30BAC">
      <w:pPr>
        <w:pStyle w:val="ListParagraph"/>
        <w:widowControl/>
        <w:numPr>
          <w:ilvl w:val="1"/>
          <w:numId w:val="1"/>
        </w:numPr>
      </w:pPr>
      <w:r w:rsidRPr="00DC0807">
        <w:t>CADMUS and CADMUS JR did not allow concomitant use of methotrexate, although the proposed restriction allows use in combination with methotrexate.</w:t>
      </w:r>
      <w:r w:rsidR="00556900">
        <w:t xml:space="preserve"> In general, PBS listings for biologics leave the choice of using concomitant methotrexate to clinic</w:t>
      </w:r>
      <w:r w:rsidR="00AE5627">
        <w:t>i</w:t>
      </w:r>
      <w:r w:rsidR="00556900">
        <w:t xml:space="preserve">an discretion. </w:t>
      </w:r>
    </w:p>
    <w:p w:rsidR="00473BCA" w:rsidRPr="00DC0807" w:rsidRDefault="004C3AC1" w:rsidP="00D958A1">
      <w:pPr>
        <w:pStyle w:val="ListParagraph"/>
        <w:widowControl/>
        <w:numPr>
          <w:ilvl w:val="1"/>
          <w:numId w:val="1"/>
        </w:numPr>
        <w:rPr>
          <w:iCs/>
        </w:rPr>
      </w:pPr>
      <w:r w:rsidRPr="00DC0807">
        <w:t>Generally, baseline characteristics across CADMUS, CADMUS JR and Paller 2008 were relatively similar</w:t>
      </w:r>
      <w:r w:rsidR="007B6891" w:rsidRPr="00DC0807">
        <w:t xml:space="preserve"> with the exception of the age of patients which varied according to the enrolment criteria</w:t>
      </w:r>
      <w:r w:rsidRPr="00DC0807">
        <w:t xml:space="preserve">. There was a potential difference in prior use of biologics, as a small proportion of patients enrolled in CADMUS and CADMUS JR were treated with biologics, but Paller 2008 excluded patients who had previously received anti-TNFα inhibitors. </w:t>
      </w:r>
      <w:r w:rsidR="00E92B0F" w:rsidRPr="00DC0807">
        <w:t>P</w:t>
      </w:r>
      <w:r w:rsidRPr="00DC0807">
        <w:t xml:space="preserve">atients in the CADMUS trial were also older than patients in Paller 2008. </w:t>
      </w:r>
      <w:r w:rsidR="003046A0" w:rsidRPr="00DC0807">
        <w:t>T</w:t>
      </w:r>
      <w:r w:rsidR="00473BCA" w:rsidRPr="00DC0807">
        <w:t>here was a large discrepancy in the proportion of patients randomised to placebo who entered the early escape group in CADMUS (0/37, 0%) and Paller 2008 (27/105, 25.7%). This may indicate that there were other unobserved differences between patients enrolled in CADMUS and Paller 2008 and that the transitivity assumption between CADMUS and Paller 2008 may not hold</w:t>
      </w:r>
      <w:r w:rsidR="0093483A" w:rsidRPr="00DC0807">
        <w:t xml:space="preserve"> (see paragraph 6.27)</w:t>
      </w:r>
      <w:r w:rsidR="00473BCA" w:rsidRPr="00DC0807">
        <w:t>.</w:t>
      </w:r>
      <w:r w:rsidR="00F83D16" w:rsidRPr="00DC0807" w:rsidDel="00F83D16">
        <w:t xml:space="preserve"> </w:t>
      </w:r>
    </w:p>
    <w:p w:rsidR="004C3AC1" w:rsidRPr="00DC0807" w:rsidRDefault="004C3AC1" w:rsidP="00810FA8">
      <w:pPr>
        <w:pStyle w:val="ListParagraph"/>
        <w:widowControl/>
        <w:numPr>
          <w:ilvl w:val="1"/>
          <w:numId w:val="1"/>
        </w:numPr>
      </w:pPr>
      <w:r w:rsidRPr="00DC0807">
        <w:t xml:space="preserve">CADMUS, CADMUS JR and Paller 2008 </w:t>
      </w:r>
      <w:r w:rsidR="006F116F" w:rsidRPr="00DC0807">
        <w:t xml:space="preserve">all </w:t>
      </w:r>
      <w:r w:rsidRPr="00DC0807">
        <w:t xml:space="preserve">enrolled patients with less severe CPP </w:t>
      </w:r>
      <w:r w:rsidR="00810FA8" w:rsidRPr="00DC0807">
        <w:t xml:space="preserve"> (baseline PASI ≥12) </w:t>
      </w:r>
      <w:r w:rsidRPr="00DC0807">
        <w:t xml:space="preserve">compared to the proposed PBS population </w:t>
      </w:r>
      <w:r w:rsidR="00810FA8" w:rsidRPr="00DC0807">
        <w:t>(baseline ≥15), and who were more treatment naïve (t</w:t>
      </w:r>
      <w:r w:rsidRPr="00DC0807">
        <w:t>he trials and study did not require patients to have failed to achieve an adequate response to two of phototherapy, methotrexate or acitretin, as proposed in the requested listings</w:t>
      </w:r>
      <w:r w:rsidR="00810FA8" w:rsidRPr="00DC0807">
        <w:t>)</w:t>
      </w:r>
      <w:r w:rsidRPr="00DC0807">
        <w:t>.</w:t>
      </w:r>
    </w:p>
    <w:p w:rsidR="006F116F" w:rsidRPr="00DC0807" w:rsidRDefault="006F116F" w:rsidP="00A927F1">
      <w:pPr>
        <w:pStyle w:val="ListParagraph"/>
        <w:widowControl/>
        <w:numPr>
          <w:ilvl w:val="1"/>
          <w:numId w:val="1"/>
        </w:numPr>
      </w:pPr>
      <w:r w:rsidRPr="00DC0807">
        <w:t xml:space="preserve">The submission did not provide a </w:t>
      </w:r>
      <w:r w:rsidR="00810FA8" w:rsidRPr="00DC0807">
        <w:t xml:space="preserve">specific </w:t>
      </w:r>
      <w:r w:rsidRPr="00DC0807">
        <w:t>subgroup analys</w:t>
      </w:r>
      <w:r w:rsidR="00810FA8" w:rsidRPr="00DC0807">
        <w:t>i</w:t>
      </w:r>
      <w:r w:rsidRPr="00DC0807">
        <w:t xml:space="preserve">s </w:t>
      </w:r>
      <w:r w:rsidR="00810FA8" w:rsidRPr="00DC0807">
        <w:t>reflective of the proposed PBS population</w:t>
      </w:r>
      <w:r w:rsidRPr="00DC0807">
        <w:t xml:space="preserve">. </w:t>
      </w:r>
      <w:r w:rsidR="007B6891" w:rsidRPr="00DC0807">
        <w:t>While</w:t>
      </w:r>
      <w:r w:rsidRPr="00DC0807">
        <w:t xml:space="preserve"> baseline PASI did not appear to be a treatment effect modifier for CADMUS (baseline PASI &lt;20 vs </w:t>
      </w:r>
      <w:r w:rsidRPr="00DC0807">
        <w:rPr>
          <w:rFonts w:cs="Calibri"/>
        </w:rPr>
        <w:t>≥</w:t>
      </w:r>
      <w:r w:rsidRPr="00DC0807">
        <w:t>20), given the small sample size of CADMUS</w:t>
      </w:r>
      <w:r w:rsidR="008F5518" w:rsidRPr="00DC0807">
        <w:t>,</w:t>
      </w:r>
      <w:r w:rsidR="008226A0" w:rsidRPr="00DC0807">
        <w:t xml:space="preserve"> </w:t>
      </w:r>
      <w:r w:rsidR="00810FA8" w:rsidRPr="00DC0807">
        <w:t>the</w:t>
      </w:r>
      <w:r w:rsidR="008226A0" w:rsidRPr="00DC0807">
        <w:t xml:space="preserve"> subgroup analyses </w:t>
      </w:r>
      <w:r w:rsidR="00810FA8" w:rsidRPr="00DC0807">
        <w:t xml:space="preserve">that were presented </w:t>
      </w:r>
      <w:r w:rsidR="008226A0" w:rsidRPr="00DC0807">
        <w:t xml:space="preserve">were likely biased </w:t>
      </w:r>
      <w:r w:rsidR="007B6891" w:rsidRPr="00DC0807">
        <w:t>towards showing no treatment effect modification</w:t>
      </w:r>
      <w:r w:rsidR="008226A0" w:rsidRPr="00DC0807">
        <w:t>.</w:t>
      </w:r>
    </w:p>
    <w:p w:rsidR="006F116F" w:rsidRPr="00DC0807" w:rsidRDefault="00810FA8" w:rsidP="00A927F1">
      <w:pPr>
        <w:pStyle w:val="ListParagraph"/>
        <w:widowControl/>
        <w:numPr>
          <w:ilvl w:val="1"/>
          <w:numId w:val="1"/>
        </w:numPr>
      </w:pPr>
      <w:r w:rsidRPr="00DC0807">
        <w:t>T</w:t>
      </w:r>
      <w:r w:rsidR="006F116F" w:rsidRPr="00DC0807">
        <w:t>he PBAC ha</w:t>
      </w:r>
      <w:r w:rsidRPr="00DC0807">
        <w:t>d</w:t>
      </w:r>
      <w:r w:rsidR="006F116F" w:rsidRPr="00DC0807">
        <w:t xml:space="preserve"> previously considered results from a post-hoc subgroup analysis of patients in Paller 2008 with a PASI score &gt;15 and prior therapy as per the PBS restriction. The PBAC noted that </w:t>
      </w:r>
      <w:r w:rsidRPr="00DC0807">
        <w:t>this</w:t>
      </w:r>
      <w:r w:rsidR="006F116F" w:rsidRPr="00DC0807">
        <w:t xml:space="preserve"> subgroup demonstrated a similar response rate to the ITT population (</w:t>
      </w:r>
      <w:r w:rsidR="00FC2956" w:rsidRPr="00DC0807">
        <w:t>p</w:t>
      </w:r>
      <w:r w:rsidR="006F116F" w:rsidRPr="00DC0807">
        <w:t>ara</w:t>
      </w:r>
      <w:r w:rsidRPr="00DC0807">
        <w:t xml:space="preserve"> 8.3 and</w:t>
      </w:r>
      <w:r w:rsidR="006F116F" w:rsidRPr="00DC0807">
        <w:t xml:space="preserve"> 12.3, etanercept </w:t>
      </w:r>
      <w:r w:rsidRPr="00DC0807">
        <w:t>Public Summary Document</w:t>
      </w:r>
      <w:r w:rsidR="00FC2956" w:rsidRPr="00DC0807">
        <w:t>,</w:t>
      </w:r>
      <w:r w:rsidR="006F116F" w:rsidRPr="00DC0807">
        <w:t xml:space="preserve"> March 2012).</w:t>
      </w:r>
      <w:r w:rsidR="00025C51" w:rsidRPr="00DC0807">
        <w:t xml:space="preserve"> </w:t>
      </w:r>
      <w:r w:rsidR="007D6C76" w:rsidRPr="00DC0807">
        <w:t xml:space="preserve">For this submission, </w:t>
      </w:r>
      <w:r w:rsidR="00025C51" w:rsidRPr="00DC0807">
        <w:t>the Pre-Sub-Committee Response (PSCR)</w:t>
      </w:r>
      <w:r w:rsidR="007D6C76" w:rsidRPr="00DC0807">
        <w:t xml:space="preserve"> analysed </w:t>
      </w:r>
      <w:r w:rsidR="00025C51" w:rsidRPr="00DC0807">
        <w:t>a subgroup of patients</w:t>
      </w:r>
      <w:r w:rsidR="00EF553F" w:rsidRPr="00DC0807">
        <w:t xml:space="preserve"> from </w:t>
      </w:r>
      <w:r w:rsidR="002B4DA3" w:rsidRPr="00DC0807">
        <w:t xml:space="preserve">the </w:t>
      </w:r>
      <w:r w:rsidR="00EF553F" w:rsidRPr="00DC0807">
        <w:t>CADMUS and CADMUS JR</w:t>
      </w:r>
      <w:r w:rsidR="002B4DA3" w:rsidRPr="00DC0807">
        <w:t xml:space="preserve"> trials</w:t>
      </w:r>
      <w:r w:rsidR="00025C51" w:rsidRPr="00DC0807">
        <w:t xml:space="preserve"> with a </w:t>
      </w:r>
      <w:r w:rsidR="00C050FC" w:rsidRPr="00DC0807">
        <w:rPr>
          <w:bCs/>
        </w:rPr>
        <w:t xml:space="preserve">baseline PASI score &gt;15 </w:t>
      </w:r>
      <w:r w:rsidR="00C050FC" w:rsidRPr="00DC0807">
        <w:rPr>
          <w:bCs/>
          <w:u w:val="single"/>
        </w:rPr>
        <w:t>or</w:t>
      </w:r>
      <w:r w:rsidR="00C050FC" w:rsidRPr="00DC0807">
        <w:rPr>
          <w:bCs/>
        </w:rPr>
        <w:t xml:space="preserve"> who received at least 2 of the 3 prior therapies of methotrexate, phototherapy or acitretin.</w:t>
      </w:r>
      <w:r w:rsidR="00C050FC" w:rsidRPr="00DC0807">
        <w:t xml:space="preserve"> The </w:t>
      </w:r>
      <w:r w:rsidR="00AB6ADE" w:rsidRPr="00DC0807">
        <w:t>s</w:t>
      </w:r>
      <w:r w:rsidR="00C050FC" w:rsidRPr="00DC0807">
        <w:t>ponsor argued that the</w:t>
      </w:r>
      <w:r w:rsidR="00025C51" w:rsidRPr="00DC0807">
        <w:t xml:space="preserve"> </w:t>
      </w:r>
      <w:r w:rsidR="00C050FC" w:rsidRPr="00DC0807">
        <w:t>results of the subgroup analysis were consistent with the ITT population</w:t>
      </w:r>
      <w:r w:rsidR="0091025C" w:rsidRPr="00DC0807">
        <w:t>.</w:t>
      </w:r>
      <w:r w:rsidR="00C050FC" w:rsidRPr="00DC0807">
        <w:t xml:space="preserve"> </w:t>
      </w:r>
      <w:r w:rsidR="0091025C" w:rsidRPr="00DC0807">
        <w:t>T</w:t>
      </w:r>
      <w:r w:rsidR="00C050FC" w:rsidRPr="00DC0807">
        <w:t>he</w:t>
      </w:r>
      <w:r w:rsidR="001417D6" w:rsidRPr="00DC0807">
        <w:t xml:space="preserve"> ESC noted that the</w:t>
      </w:r>
      <w:r w:rsidR="00C050FC" w:rsidRPr="00DC0807">
        <w:t xml:space="preserve"> subgroup</w:t>
      </w:r>
      <w:r w:rsidR="00EF553F" w:rsidRPr="00DC0807">
        <w:t>s comprised small patient numbers and</w:t>
      </w:r>
      <w:r w:rsidR="002B4DA3" w:rsidRPr="00DC0807">
        <w:t xml:space="preserve"> </w:t>
      </w:r>
      <w:r w:rsidR="0091025C" w:rsidRPr="00DC0807">
        <w:t>did not specify patients</w:t>
      </w:r>
      <w:r w:rsidR="00C050FC" w:rsidRPr="00DC0807">
        <w:t xml:space="preserve"> who failed to respond to (not just received) at least 2 of the 3 specified prior therapies. </w:t>
      </w:r>
      <w:r w:rsidR="00EF553F" w:rsidRPr="00DC0807">
        <w:t>Notwithstanding, the ESC considered the results supported that the findings in the trials were likely applicable to the requested</w:t>
      </w:r>
      <w:r w:rsidR="007D6C76" w:rsidRPr="00DC0807">
        <w:t xml:space="preserve"> PBS</w:t>
      </w:r>
      <w:r w:rsidR="00EF553F" w:rsidRPr="00DC0807">
        <w:t xml:space="preserve"> population.</w:t>
      </w:r>
    </w:p>
    <w:p w:rsidR="004C3AC1" w:rsidRPr="00DC0807" w:rsidRDefault="004C3AC1" w:rsidP="004C3AC1">
      <w:pPr>
        <w:pStyle w:val="Heading2"/>
      </w:pPr>
      <w:bookmarkStart w:id="11" w:name="_Toc62032237"/>
      <w:r w:rsidRPr="00DC0807">
        <w:t>Comparative effectiveness</w:t>
      </w:r>
      <w:bookmarkEnd w:id="11"/>
    </w:p>
    <w:p w:rsidR="004C3AC1" w:rsidRPr="00DC0807" w:rsidRDefault="004C3AC1" w:rsidP="004C3AC1"/>
    <w:p w:rsidR="00001ECD" w:rsidRPr="00DC0807" w:rsidRDefault="004C3AC1" w:rsidP="00A927F1">
      <w:pPr>
        <w:pStyle w:val="ListParagraph"/>
        <w:widowControl/>
        <w:numPr>
          <w:ilvl w:val="1"/>
          <w:numId w:val="1"/>
        </w:numPr>
        <w:rPr>
          <w:rFonts w:cs="Calibri"/>
          <w:snapToGrid/>
          <w:szCs w:val="24"/>
          <w:lang w:eastAsia="en-AU"/>
        </w:rPr>
      </w:pPr>
      <w:r w:rsidRPr="00DC0807">
        <w:rPr>
          <w:rFonts w:cs="Calibri"/>
          <w:snapToGrid/>
          <w:szCs w:val="24"/>
          <w:lang w:eastAsia="en-AU"/>
        </w:rPr>
        <w:t xml:space="preserve">The submission </w:t>
      </w:r>
      <w:r w:rsidR="0067559F" w:rsidRPr="00DC0807">
        <w:rPr>
          <w:rFonts w:cs="Calibri"/>
          <w:snapToGrid/>
          <w:szCs w:val="24"/>
          <w:lang w:eastAsia="en-AU"/>
        </w:rPr>
        <w:t xml:space="preserve">proposed that </w:t>
      </w:r>
      <w:r w:rsidR="008226A0" w:rsidRPr="00DC0807">
        <w:rPr>
          <w:rFonts w:cs="Calibri"/>
          <w:snapToGrid/>
          <w:szCs w:val="24"/>
          <w:lang w:eastAsia="en-AU"/>
        </w:rPr>
        <w:t>a 75% improvement (</w:t>
      </w:r>
      <w:r w:rsidR="00C92D23" w:rsidRPr="00DC0807">
        <w:rPr>
          <w:rFonts w:cs="Calibri"/>
          <w:snapToGrid/>
          <w:szCs w:val="24"/>
          <w:lang w:eastAsia="en-AU"/>
        </w:rPr>
        <w:t>PASI 75</w:t>
      </w:r>
      <w:r w:rsidR="008226A0" w:rsidRPr="00DC0807">
        <w:rPr>
          <w:rFonts w:cs="Calibri"/>
          <w:snapToGrid/>
          <w:szCs w:val="24"/>
          <w:lang w:eastAsia="en-AU"/>
        </w:rPr>
        <w:t>) or 90% improvement (</w:t>
      </w:r>
      <w:r w:rsidR="00C92D23" w:rsidRPr="00DC0807">
        <w:rPr>
          <w:rFonts w:cs="Calibri"/>
          <w:snapToGrid/>
          <w:szCs w:val="24"/>
          <w:lang w:eastAsia="en-AU"/>
        </w:rPr>
        <w:t>PASI 90</w:t>
      </w:r>
      <w:r w:rsidR="008226A0" w:rsidRPr="00DC0807">
        <w:rPr>
          <w:rFonts w:cs="Calibri"/>
          <w:snapToGrid/>
          <w:szCs w:val="24"/>
          <w:lang w:eastAsia="en-AU"/>
        </w:rPr>
        <w:t>) in the PASI score from baseline</w:t>
      </w:r>
      <w:r w:rsidR="00E800C4" w:rsidRPr="00DC0807">
        <w:rPr>
          <w:rFonts w:cs="Calibri"/>
          <w:snapToGrid/>
          <w:szCs w:val="24"/>
          <w:lang w:eastAsia="en-AU"/>
        </w:rPr>
        <w:t xml:space="preserve"> were relevant outcomes</w:t>
      </w:r>
      <w:r w:rsidRPr="00DC0807">
        <w:rPr>
          <w:rFonts w:cs="Calibri"/>
          <w:snapToGrid/>
          <w:szCs w:val="24"/>
          <w:lang w:eastAsia="en-AU"/>
        </w:rPr>
        <w:t xml:space="preserve">, with this being well established in clinical practice </w:t>
      </w:r>
      <w:r w:rsidR="00FC2956" w:rsidRPr="00DC0807">
        <w:rPr>
          <w:rFonts w:cs="Calibri"/>
          <w:snapToGrid/>
          <w:szCs w:val="24"/>
          <w:lang w:eastAsia="en-AU"/>
        </w:rPr>
        <w:t xml:space="preserve">and </w:t>
      </w:r>
      <w:r w:rsidRPr="00DC0807">
        <w:rPr>
          <w:rFonts w:cs="Calibri"/>
          <w:snapToGrid/>
          <w:szCs w:val="24"/>
          <w:lang w:eastAsia="en-AU"/>
        </w:rPr>
        <w:t>measured using the same scoring system across trials, and having been the basis for the PBAC’s assessment of the effectiveness of etanercept in paediatric patients with CPP</w:t>
      </w:r>
      <w:r w:rsidR="00E61D73" w:rsidRPr="00DC0807">
        <w:rPr>
          <w:rFonts w:cs="Calibri"/>
          <w:snapToGrid/>
          <w:szCs w:val="24"/>
          <w:lang w:eastAsia="en-AU"/>
        </w:rPr>
        <w:t xml:space="preserve"> [which was acceptable in the context of high clinical need]</w:t>
      </w:r>
      <w:r w:rsidRPr="00DC0807">
        <w:rPr>
          <w:rFonts w:cs="Calibri"/>
          <w:snapToGrid/>
          <w:szCs w:val="24"/>
          <w:lang w:eastAsia="en-AU"/>
        </w:rPr>
        <w:t xml:space="preserve"> </w:t>
      </w:r>
      <w:r w:rsidR="00FC2956" w:rsidRPr="00DC0807">
        <w:t xml:space="preserve"> </w:t>
      </w:r>
      <w:r w:rsidR="00C43207">
        <w:t>(</w:t>
      </w:r>
      <w:r w:rsidR="00FC2956" w:rsidRPr="00DC0807">
        <w:t>e</w:t>
      </w:r>
      <w:r w:rsidR="0067559F" w:rsidRPr="00DC0807">
        <w:t xml:space="preserve">tanercept </w:t>
      </w:r>
      <w:r w:rsidR="00C43207">
        <w:t>Public Summary Document (</w:t>
      </w:r>
      <w:r w:rsidR="0067559F" w:rsidRPr="00DC0807">
        <w:t>PSD</w:t>
      </w:r>
      <w:r w:rsidR="00C43207">
        <w:t>)</w:t>
      </w:r>
      <w:r w:rsidR="00FC2956" w:rsidRPr="00DC0807">
        <w:t>,</w:t>
      </w:r>
      <w:r w:rsidR="0067559F" w:rsidRPr="00DC0807">
        <w:t xml:space="preserve"> March 2012</w:t>
      </w:r>
      <w:r w:rsidRPr="00DC0807">
        <w:rPr>
          <w:rFonts w:cs="Calibri"/>
          <w:snapToGrid/>
          <w:szCs w:val="24"/>
          <w:lang w:eastAsia="en-AU"/>
        </w:rPr>
        <w:t>).</w:t>
      </w:r>
    </w:p>
    <w:p w:rsidR="004C3AC1" w:rsidRPr="00DC0807" w:rsidRDefault="004C3AC1" w:rsidP="007958BE">
      <w:pPr>
        <w:pStyle w:val="ListParagraph"/>
        <w:widowControl/>
        <w:numPr>
          <w:ilvl w:val="1"/>
          <w:numId w:val="1"/>
        </w:numPr>
      </w:pPr>
      <w:r w:rsidRPr="00DC0807">
        <w:rPr>
          <w:rFonts w:cs="Calibri"/>
          <w:snapToGrid/>
          <w:szCs w:val="24"/>
          <w:lang w:eastAsia="en-AU"/>
        </w:rPr>
        <w:t xml:space="preserve">Results from the whole trial populations from CADMUS </w:t>
      </w:r>
      <w:r w:rsidR="0067559F" w:rsidRPr="00DC0807">
        <w:rPr>
          <w:rFonts w:cs="Calibri"/>
          <w:snapToGrid/>
          <w:szCs w:val="24"/>
          <w:lang w:eastAsia="en-AU"/>
        </w:rPr>
        <w:t>(</w:t>
      </w:r>
      <w:r w:rsidR="005D7D2A" w:rsidRPr="00DC0807">
        <w:rPr>
          <w:rFonts w:cs="Calibri"/>
          <w:snapToGrid/>
          <w:szCs w:val="24"/>
          <w:lang w:eastAsia="en-AU"/>
        </w:rPr>
        <w:t>Table 4</w:t>
      </w:r>
      <w:r w:rsidR="0067559F" w:rsidRPr="00DC0807">
        <w:rPr>
          <w:rFonts w:cs="Calibri"/>
          <w:snapToGrid/>
          <w:szCs w:val="24"/>
          <w:lang w:eastAsia="en-AU"/>
        </w:rPr>
        <w:t xml:space="preserve">), CADMUS JR </w:t>
      </w:r>
      <w:r w:rsidR="002A7D1F" w:rsidRPr="00DC0807">
        <w:rPr>
          <w:rFonts w:cs="Calibri"/>
          <w:snapToGrid/>
          <w:szCs w:val="24"/>
          <w:lang w:eastAsia="en-AU"/>
        </w:rPr>
        <w:t>(</w:t>
      </w:r>
      <w:r w:rsidR="008F0DE0" w:rsidRPr="00DC0807">
        <w:t>Table</w:t>
      </w:r>
      <w:r w:rsidR="008A23D8" w:rsidRPr="00DC0807">
        <w:t> </w:t>
      </w:r>
      <w:r w:rsidR="002A7D1F" w:rsidRPr="00DC0807">
        <w:t>5</w:t>
      </w:r>
      <w:r w:rsidR="002A7D1F" w:rsidRPr="00DC0807">
        <w:rPr>
          <w:rFonts w:cs="Calibri"/>
          <w:snapToGrid/>
          <w:szCs w:val="24"/>
          <w:lang w:eastAsia="en-AU"/>
        </w:rPr>
        <w:t xml:space="preserve">) and </w:t>
      </w:r>
      <w:r w:rsidRPr="00DC0807">
        <w:rPr>
          <w:rFonts w:cs="Calibri"/>
          <w:snapToGrid/>
          <w:szCs w:val="24"/>
          <w:lang w:eastAsia="en-AU"/>
        </w:rPr>
        <w:t xml:space="preserve">Paller 2008 </w:t>
      </w:r>
      <w:r w:rsidR="00477815" w:rsidRPr="00DC0807">
        <w:rPr>
          <w:rFonts w:cs="Calibri"/>
          <w:snapToGrid/>
          <w:szCs w:val="24"/>
          <w:lang w:eastAsia="en-AU"/>
        </w:rPr>
        <w:t>(</w:t>
      </w:r>
      <w:r w:rsidR="00477815" w:rsidRPr="00DC0807">
        <w:t>Table 6</w:t>
      </w:r>
      <w:r w:rsidR="00477815" w:rsidRPr="00DC0807">
        <w:rPr>
          <w:rFonts w:cs="Calibri"/>
          <w:snapToGrid/>
          <w:szCs w:val="24"/>
          <w:lang w:eastAsia="en-AU"/>
        </w:rPr>
        <w:t xml:space="preserve">) </w:t>
      </w:r>
      <w:r w:rsidRPr="00DC0807">
        <w:rPr>
          <w:rFonts w:cs="Calibri"/>
          <w:snapToGrid/>
          <w:szCs w:val="24"/>
          <w:lang w:eastAsia="en-AU"/>
        </w:rPr>
        <w:t>are summarised below.</w:t>
      </w:r>
    </w:p>
    <w:p w:rsidR="004C3AC1" w:rsidRPr="00DC0807" w:rsidRDefault="0067559F" w:rsidP="0067559F">
      <w:pPr>
        <w:keepNext/>
        <w:keepLines/>
        <w:widowControl/>
        <w:rPr>
          <w:rFonts w:ascii="Arial Narrow" w:hAnsi="Arial Narrow"/>
          <w:b/>
          <w:sz w:val="20"/>
          <w:szCs w:val="20"/>
        </w:rPr>
      </w:pPr>
      <w:bookmarkStart w:id="12" w:name="_Ref61123588"/>
      <w:r w:rsidRPr="00DC0807">
        <w:rPr>
          <w:rFonts w:ascii="Arial Narrow" w:hAnsi="Arial Narrow"/>
          <w:b/>
          <w:sz w:val="20"/>
          <w:szCs w:val="20"/>
        </w:rPr>
        <w:t xml:space="preserve">Table </w:t>
      </w:r>
      <w:r w:rsidR="00AE572A" w:rsidRPr="00DC0807">
        <w:rPr>
          <w:rFonts w:ascii="Arial Narrow" w:hAnsi="Arial Narrow"/>
          <w:b/>
          <w:sz w:val="20"/>
          <w:szCs w:val="20"/>
        </w:rPr>
        <w:t>4</w:t>
      </w:r>
      <w:bookmarkEnd w:id="12"/>
      <w:r w:rsidR="004C3AC1" w:rsidRPr="00DC0807">
        <w:rPr>
          <w:rFonts w:ascii="Arial Narrow" w:hAnsi="Arial Narrow"/>
          <w:b/>
          <w:sz w:val="20"/>
          <w:szCs w:val="20"/>
        </w:rPr>
        <w:t>: Results of primary and secondary endpoints at Week 12 and 52 in CADMUS</w:t>
      </w:r>
    </w:p>
    <w:tbl>
      <w:tblPr>
        <w:tblStyle w:val="TableGrid"/>
        <w:tblW w:w="0" w:type="auto"/>
        <w:tblLook w:val="04A0" w:firstRow="1" w:lastRow="0" w:firstColumn="1" w:lastColumn="0" w:noHBand="0" w:noVBand="1"/>
        <w:tblCaption w:val="Table 4: Results of primary and secondary endpoints at Week 12 and 52 in CADMUS"/>
      </w:tblPr>
      <w:tblGrid>
        <w:gridCol w:w="3823"/>
        <w:gridCol w:w="1134"/>
        <w:gridCol w:w="1275"/>
        <w:gridCol w:w="1538"/>
        <w:gridCol w:w="1246"/>
      </w:tblGrid>
      <w:tr w:rsidR="0067559F" w:rsidRPr="00DC0807" w:rsidTr="00CD1F63">
        <w:trPr>
          <w:tblHeader/>
        </w:trPr>
        <w:tc>
          <w:tcPr>
            <w:tcW w:w="3823" w:type="dxa"/>
          </w:tcPr>
          <w:p w:rsidR="0067559F" w:rsidRPr="00DC0807" w:rsidRDefault="0067559F" w:rsidP="0067559F">
            <w:pPr>
              <w:keepNext/>
              <w:keepLines/>
              <w:widowControl/>
              <w:rPr>
                <w:rFonts w:ascii="Arial Narrow" w:hAnsi="Arial Narrow"/>
                <w:sz w:val="20"/>
                <w:szCs w:val="20"/>
              </w:rPr>
            </w:pPr>
          </w:p>
        </w:tc>
        <w:tc>
          <w:tcPr>
            <w:tcW w:w="3947" w:type="dxa"/>
            <w:gridSpan w:val="3"/>
          </w:tcPr>
          <w:p w:rsidR="0067559F" w:rsidRPr="00DC0807" w:rsidRDefault="0067559F" w:rsidP="0067559F">
            <w:pPr>
              <w:keepNext/>
              <w:keepLines/>
              <w:widowControl/>
              <w:jc w:val="center"/>
              <w:rPr>
                <w:rFonts w:ascii="Arial Narrow" w:hAnsi="Arial Narrow"/>
                <w:b/>
                <w:sz w:val="20"/>
                <w:szCs w:val="20"/>
              </w:rPr>
            </w:pPr>
            <w:r w:rsidRPr="00DC0807">
              <w:rPr>
                <w:rFonts w:ascii="Arial Narrow" w:hAnsi="Arial Narrow"/>
                <w:b/>
                <w:sz w:val="20"/>
                <w:szCs w:val="20"/>
              </w:rPr>
              <w:t>Week 12</w:t>
            </w:r>
          </w:p>
        </w:tc>
        <w:tc>
          <w:tcPr>
            <w:tcW w:w="1246" w:type="dxa"/>
          </w:tcPr>
          <w:p w:rsidR="0067559F" w:rsidRPr="00DC0807" w:rsidRDefault="0067559F" w:rsidP="0067559F">
            <w:pPr>
              <w:keepNext/>
              <w:keepLines/>
              <w:widowControl/>
              <w:jc w:val="center"/>
              <w:rPr>
                <w:rFonts w:ascii="Arial Narrow" w:hAnsi="Arial Narrow"/>
                <w:b/>
                <w:sz w:val="20"/>
                <w:szCs w:val="20"/>
              </w:rPr>
            </w:pPr>
            <w:r w:rsidRPr="00DC0807">
              <w:rPr>
                <w:rFonts w:ascii="Arial Narrow" w:hAnsi="Arial Narrow"/>
                <w:b/>
                <w:sz w:val="20"/>
                <w:szCs w:val="20"/>
              </w:rPr>
              <w:t>Week 52</w:t>
            </w:r>
          </w:p>
        </w:tc>
      </w:tr>
      <w:tr w:rsidR="0067559F" w:rsidRPr="00DC0807" w:rsidTr="001D6EF4">
        <w:tc>
          <w:tcPr>
            <w:tcW w:w="3823" w:type="dxa"/>
          </w:tcPr>
          <w:p w:rsidR="0067559F" w:rsidRPr="00DC0807" w:rsidRDefault="0067559F" w:rsidP="0067559F">
            <w:pPr>
              <w:keepNext/>
              <w:keepLines/>
              <w:widowControl/>
              <w:rPr>
                <w:rFonts w:ascii="Arial Narrow" w:hAnsi="Arial Narrow"/>
                <w:sz w:val="20"/>
                <w:szCs w:val="20"/>
              </w:rPr>
            </w:pPr>
          </w:p>
        </w:tc>
        <w:tc>
          <w:tcPr>
            <w:tcW w:w="1134" w:type="dxa"/>
            <w:vAlign w:val="center"/>
          </w:tcPr>
          <w:p w:rsidR="0067559F" w:rsidRPr="00DC0807" w:rsidRDefault="0067559F" w:rsidP="002A7D1F">
            <w:pPr>
              <w:keepNext/>
              <w:keepLines/>
              <w:widowControl/>
              <w:jc w:val="center"/>
              <w:rPr>
                <w:rFonts w:ascii="Arial Narrow" w:hAnsi="Arial Narrow"/>
                <w:b/>
                <w:bCs/>
                <w:sz w:val="20"/>
                <w:szCs w:val="20"/>
              </w:rPr>
            </w:pPr>
            <w:r w:rsidRPr="00DC0807">
              <w:rPr>
                <w:rFonts w:ascii="Arial Narrow" w:hAnsi="Arial Narrow"/>
                <w:b/>
                <w:bCs/>
                <w:sz w:val="20"/>
                <w:szCs w:val="20"/>
              </w:rPr>
              <w:t>Placebo</w:t>
            </w:r>
          </w:p>
        </w:tc>
        <w:tc>
          <w:tcPr>
            <w:tcW w:w="1275" w:type="dxa"/>
            <w:vAlign w:val="center"/>
          </w:tcPr>
          <w:p w:rsidR="0067559F" w:rsidRPr="00DC0807" w:rsidRDefault="0067559F" w:rsidP="002A7D1F">
            <w:pPr>
              <w:keepNext/>
              <w:keepLines/>
              <w:widowControl/>
              <w:jc w:val="center"/>
              <w:rPr>
                <w:rFonts w:ascii="Arial Narrow" w:hAnsi="Arial Narrow"/>
                <w:b/>
                <w:bCs/>
                <w:sz w:val="20"/>
                <w:szCs w:val="20"/>
              </w:rPr>
            </w:pPr>
            <w:r w:rsidRPr="00DC0807">
              <w:rPr>
                <w:rFonts w:ascii="Arial Narrow" w:hAnsi="Arial Narrow"/>
                <w:b/>
                <w:bCs/>
                <w:sz w:val="20"/>
                <w:szCs w:val="20"/>
              </w:rPr>
              <w:t>Ustekinumab</w:t>
            </w:r>
          </w:p>
        </w:tc>
        <w:tc>
          <w:tcPr>
            <w:tcW w:w="1538" w:type="dxa"/>
            <w:vAlign w:val="center"/>
          </w:tcPr>
          <w:p w:rsidR="003F2FEC" w:rsidRPr="00DC0807" w:rsidRDefault="0067559F" w:rsidP="002A7D1F">
            <w:pPr>
              <w:keepNext/>
              <w:keepLines/>
              <w:widowControl/>
              <w:jc w:val="center"/>
              <w:rPr>
                <w:rFonts w:ascii="Arial Narrow" w:hAnsi="Arial Narrow"/>
                <w:b/>
                <w:bCs/>
                <w:sz w:val="20"/>
                <w:szCs w:val="20"/>
              </w:rPr>
            </w:pPr>
            <w:r w:rsidRPr="00DC0807">
              <w:rPr>
                <w:rFonts w:ascii="Arial Narrow" w:hAnsi="Arial Narrow"/>
                <w:b/>
                <w:bCs/>
                <w:sz w:val="20"/>
                <w:szCs w:val="20"/>
              </w:rPr>
              <w:t xml:space="preserve">Difference </w:t>
            </w:r>
          </w:p>
          <w:p w:rsidR="0067559F" w:rsidRPr="00DC0807" w:rsidRDefault="0067559F" w:rsidP="002A7D1F">
            <w:pPr>
              <w:keepNext/>
              <w:keepLines/>
              <w:widowControl/>
              <w:jc w:val="center"/>
              <w:rPr>
                <w:rFonts w:ascii="Arial Narrow" w:hAnsi="Arial Narrow"/>
                <w:b/>
                <w:bCs/>
                <w:sz w:val="20"/>
                <w:szCs w:val="20"/>
              </w:rPr>
            </w:pPr>
            <w:r w:rsidRPr="00DC0807">
              <w:rPr>
                <w:rFonts w:ascii="Arial Narrow" w:hAnsi="Arial Narrow"/>
                <w:b/>
                <w:bCs/>
                <w:sz w:val="20"/>
                <w:szCs w:val="20"/>
              </w:rPr>
              <w:t>RD</w:t>
            </w:r>
            <w:r w:rsidR="003F2FEC" w:rsidRPr="00DC0807">
              <w:rPr>
                <w:rFonts w:ascii="Arial Narrow" w:hAnsi="Arial Narrow"/>
                <w:b/>
                <w:bCs/>
                <w:sz w:val="20"/>
                <w:szCs w:val="20"/>
              </w:rPr>
              <w:t xml:space="preserve"> </w:t>
            </w:r>
            <w:r w:rsidRPr="00DC0807">
              <w:rPr>
                <w:rFonts w:ascii="Arial Narrow" w:hAnsi="Arial Narrow"/>
                <w:b/>
                <w:bCs/>
                <w:sz w:val="20"/>
                <w:szCs w:val="20"/>
              </w:rPr>
              <w:t>(95%CI)</w:t>
            </w:r>
          </w:p>
        </w:tc>
        <w:tc>
          <w:tcPr>
            <w:tcW w:w="1246" w:type="dxa"/>
            <w:vAlign w:val="center"/>
          </w:tcPr>
          <w:p w:rsidR="0067559F" w:rsidRPr="00DC0807" w:rsidRDefault="0067559F" w:rsidP="002A7D1F">
            <w:pPr>
              <w:keepNext/>
              <w:keepLines/>
              <w:widowControl/>
              <w:jc w:val="center"/>
              <w:rPr>
                <w:rFonts w:ascii="Arial Narrow" w:hAnsi="Arial Narrow"/>
                <w:b/>
                <w:bCs/>
                <w:sz w:val="20"/>
                <w:szCs w:val="20"/>
              </w:rPr>
            </w:pPr>
            <w:r w:rsidRPr="00DC0807">
              <w:rPr>
                <w:rFonts w:ascii="Arial Narrow" w:hAnsi="Arial Narrow"/>
                <w:b/>
                <w:bCs/>
                <w:sz w:val="20"/>
                <w:szCs w:val="20"/>
              </w:rPr>
              <w:t>Ustekinumab</w:t>
            </w:r>
          </w:p>
        </w:tc>
      </w:tr>
      <w:tr w:rsidR="0067559F" w:rsidRPr="00DC0807" w:rsidTr="001D6EF4">
        <w:tc>
          <w:tcPr>
            <w:tcW w:w="3823" w:type="dxa"/>
            <w:vAlign w:val="center"/>
          </w:tcPr>
          <w:p w:rsidR="0067559F" w:rsidRPr="00DC0807" w:rsidRDefault="0067559F" w:rsidP="002A7D1F">
            <w:pPr>
              <w:keepNext/>
              <w:keepLines/>
              <w:widowControl/>
              <w:jc w:val="left"/>
              <w:rPr>
                <w:rFonts w:ascii="Arial Narrow" w:hAnsi="Arial Narrow"/>
                <w:sz w:val="20"/>
                <w:szCs w:val="20"/>
              </w:rPr>
            </w:pPr>
            <w:r w:rsidRPr="00DC0807">
              <w:rPr>
                <w:rFonts w:ascii="Arial Narrow" w:hAnsi="Arial Narrow"/>
                <w:sz w:val="20"/>
                <w:szCs w:val="20"/>
              </w:rPr>
              <w:t>Patients randomised, N</w:t>
            </w:r>
          </w:p>
        </w:tc>
        <w:tc>
          <w:tcPr>
            <w:tcW w:w="1134"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37</w:t>
            </w:r>
          </w:p>
        </w:tc>
        <w:tc>
          <w:tcPr>
            <w:tcW w:w="1275"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36</w:t>
            </w:r>
          </w:p>
        </w:tc>
        <w:tc>
          <w:tcPr>
            <w:tcW w:w="1538"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w:t>
            </w:r>
          </w:p>
        </w:tc>
        <w:tc>
          <w:tcPr>
            <w:tcW w:w="1246"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35</w:t>
            </w:r>
          </w:p>
        </w:tc>
      </w:tr>
      <w:tr w:rsidR="0067559F" w:rsidRPr="00DC0807" w:rsidTr="001D6EF4">
        <w:tc>
          <w:tcPr>
            <w:tcW w:w="3823" w:type="dxa"/>
            <w:vAlign w:val="center"/>
          </w:tcPr>
          <w:p w:rsidR="0067559F" w:rsidRPr="00DC0807" w:rsidRDefault="00A03127" w:rsidP="009A18E9">
            <w:pPr>
              <w:keepNext/>
              <w:keepLines/>
              <w:widowControl/>
              <w:jc w:val="left"/>
              <w:rPr>
                <w:rFonts w:ascii="Arial Narrow" w:hAnsi="Arial Narrow"/>
                <w:sz w:val="20"/>
                <w:szCs w:val="20"/>
              </w:rPr>
            </w:pPr>
            <w:r w:rsidRPr="00DC0807">
              <w:rPr>
                <w:rFonts w:ascii="Arial Narrow" w:hAnsi="Arial Narrow"/>
                <w:sz w:val="20"/>
                <w:szCs w:val="20"/>
              </w:rPr>
              <w:t>P</w:t>
            </w:r>
            <w:r w:rsidR="0067559F" w:rsidRPr="00DC0807">
              <w:rPr>
                <w:rFonts w:ascii="Arial Narrow" w:hAnsi="Arial Narrow"/>
                <w:sz w:val="20"/>
                <w:szCs w:val="20"/>
              </w:rPr>
              <w:t>atients who achieved a PGA score of cleared (0) or minimal (1)</w:t>
            </w:r>
            <w:r w:rsidR="009A18E9" w:rsidRPr="00DC0807">
              <w:rPr>
                <w:rFonts w:ascii="Arial Narrow" w:hAnsi="Arial Narrow"/>
                <w:sz w:val="20"/>
                <w:szCs w:val="20"/>
                <w:vertAlign w:val="superscript"/>
              </w:rPr>
              <w:t>a</w:t>
            </w:r>
            <w:r w:rsidR="0067559F" w:rsidRPr="00DC0807">
              <w:rPr>
                <w:rFonts w:ascii="Arial Narrow" w:hAnsi="Arial Narrow"/>
                <w:sz w:val="20"/>
                <w:szCs w:val="20"/>
              </w:rPr>
              <w:t>, n(%)</w:t>
            </w:r>
          </w:p>
        </w:tc>
        <w:tc>
          <w:tcPr>
            <w:tcW w:w="1134"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2 (5.</w:t>
            </w:r>
            <w:r w:rsidR="002A7D1F" w:rsidRPr="00DC0807">
              <w:rPr>
                <w:rFonts w:ascii="Arial Narrow" w:hAnsi="Arial Narrow"/>
                <w:sz w:val="20"/>
                <w:szCs w:val="20"/>
              </w:rPr>
              <w:t>4</w:t>
            </w:r>
            <w:r w:rsidRPr="00DC0807">
              <w:rPr>
                <w:rFonts w:ascii="Arial Narrow" w:hAnsi="Arial Narrow"/>
                <w:sz w:val="20"/>
                <w:szCs w:val="20"/>
              </w:rPr>
              <w:t>)</w:t>
            </w:r>
          </w:p>
        </w:tc>
        <w:tc>
          <w:tcPr>
            <w:tcW w:w="1275"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25 (69.4)</w:t>
            </w:r>
          </w:p>
        </w:tc>
        <w:tc>
          <w:tcPr>
            <w:tcW w:w="1538" w:type="dxa"/>
            <w:vAlign w:val="center"/>
          </w:tcPr>
          <w:p w:rsidR="0067559F" w:rsidRPr="00DC0807" w:rsidRDefault="002A7D1F" w:rsidP="00D92155">
            <w:pPr>
              <w:keepNext/>
              <w:keepLines/>
              <w:widowControl/>
              <w:jc w:val="center"/>
              <w:rPr>
                <w:rFonts w:ascii="Arial Narrow" w:hAnsi="Arial Narrow"/>
                <w:iCs/>
                <w:sz w:val="20"/>
                <w:szCs w:val="20"/>
              </w:rPr>
            </w:pPr>
            <w:r w:rsidRPr="00DC0807">
              <w:rPr>
                <w:rFonts w:ascii="Arial Narrow" w:hAnsi="Arial Narrow"/>
                <w:b/>
                <w:iCs/>
                <w:sz w:val="20"/>
                <w:szCs w:val="20"/>
              </w:rPr>
              <w:t>0.64 (0.45, 0.78)</w:t>
            </w:r>
            <w:r w:rsidR="00D92155" w:rsidRPr="00DC0807">
              <w:rPr>
                <w:rFonts w:ascii="Arial Narrow" w:hAnsi="Arial Narrow"/>
                <w:b/>
                <w:iCs/>
                <w:sz w:val="20"/>
                <w:szCs w:val="20"/>
                <w:vertAlign w:val="superscript"/>
              </w:rPr>
              <w:t>b</w:t>
            </w:r>
          </w:p>
        </w:tc>
        <w:tc>
          <w:tcPr>
            <w:tcW w:w="1246"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20 (57.1%)</w:t>
            </w:r>
          </w:p>
        </w:tc>
      </w:tr>
      <w:tr w:rsidR="0067559F" w:rsidRPr="00DC0807" w:rsidTr="001D6EF4">
        <w:tc>
          <w:tcPr>
            <w:tcW w:w="3823" w:type="dxa"/>
            <w:vAlign w:val="center"/>
          </w:tcPr>
          <w:p w:rsidR="0067559F" w:rsidRPr="00DC0807" w:rsidRDefault="00C92D23" w:rsidP="002A7D1F">
            <w:pPr>
              <w:keepNext/>
              <w:keepLines/>
              <w:widowControl/>
              <w:jc w:val="left"/>
              <w:rPr>
                <w:rFonts w:ascii="Arial Narrow" w:hAnsi="Arial Narrow"/>
                <w:sz w:val="20"/>
                <w:szCs w:val="20"/>
              </w:rPr>
            </w:pPr>
            <w:r w:rsidRPr="00DC0807">
              <w:rPr>
                <w:rFonts w:ascii="Arial Narrow" w:hAnsi="Arial Narrow"/>
                <w:sz w:val="20"/>
                <w:szCs w:val="20"/>
              </w:rPr>
              <w:t>PASI 75</w:t>
            </w:r>
            <w:r w:rsidR="0067559F" w:rsidRPr="00DC0807">
              <w:rPr>
                <w:rFonts w:ascii="Arial Narrow" w:hAnsi="Arial Narrow"/>
                <w:sz w:val="20"/>
                <w:szCs w:val="20"/>
              </w:rPr>
              <w:t xml:space="preserve"> responders</w:t>
            </w:r>
            <w:r w:rsidR="002A7D1F" w:rsidRPr="00DC0807">
              <w:rPr>
                <w:rFonts w:ascii="Arial Narrow" w:hAnsi="Arial Narrow"/>
                <w:sz w:val="20"/>
                <w:szCs w:val="20"/>
              </w:rPr>
              <w:t>, n(%)</w:t>
            </w:r>
          </w:p>
        </w:tc>
        <w:tc>
          <w:tcPr>
            <w:tcW w:w="1134"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4 (10.8%)</w:t>
            </w:r>
          </w:p>
        </w:tc>
        <w:tc>
          <w:tcPr>
            <w:tcW w:w="1275"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29 (80.6%)</w:t>
            </w:r>
          </w:p>
        </w:tc>
        <w:tc>
          <w:tcPr>
            <w:tcW w:w="1538" w:type="dxa"/>
            <w:vAlign w:val="center"/>
          </w:tcPr>
          <w:p w:rsidR="0067559F" w:rsidRPr="00DC0807" w:rsidRDefault="0067559F" w:rsidP="00A03127">
            <w:pPr>
              <w:keepNext/>
              <w:keepLines/>
              <w:widowControl/>
              <w:jc w:val="center"/>
              <w:rPr>
                <w:rFonts w:ascii="Arial Narrow" w:hAnsi="Arial Narrow"/>
                <w:b/>
                <w:sz w:val="20"/>
                <w:szCs w:val="20"/>
              </w:rPr>
            </w:pPr>
            <w:r w:rsidRPr="00DC0807">
              <w:rPr>
                <w:rFonts w:ascii="Arial Narrow" w:hAnsi="Arial Narrow"/>
                <w:b/>
                <w:sz w:val="20"/>
                <w:szCs w:val="20"/>
              </w:rPr>
              <w:t>0.70 (0.53, 0.86)</w:t>
            </w:r>
          </w:p>
        </w:tc>
        <w:tc>
          <w:tcPr>
            <w:tcW w:w="1246"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28 (80.0%)</w:t>
            </w:r>
          </w:p>
        </w:tc>
      </w:tr>
      <w:tr w:rsidR="0067559F" w:rsidRPr="00DC0807" w:rsidTr="001D6EF4">
        <w:tc>
          <w:tcPr>
            <w:tcW w:w="3823" w:type="dxa"/>
            <w:vAlign w:val="center"/>
          </w:tcPr>
          <w:p w:rsidR="0067559F" w:rsidRPr="00DC0807" w:rsidRDefault="00C92D23" w:rsidP="002A7D1F">
            <w:pPr>
              <w:keepNext/>
              <w:keepLines/>
              <w:widowControl/>
              <w:jc w:val="left"/>
              <w:rPr>
                <w:rFonts w:ascii="Arial Narrow" w:hAnsi="Arial Narrow"/>
                <w:sz w:val="20"/>
                <w:szCs w:val="20"/>
              </w:rPr>
            </w:pPr>
            <w:r w:rsidRPr="00DC0807">
              <w:rPr>
                <w:rFonts w:ascii="Arial Narrow" w:hAnsi="Arial Narrow"/>
                <w:sz w:val="20"/>
                <w:szCs w:val="20"/>
              </w:rPr>
              <w:t>PASI 90</w:t>
            </w:r>
            <w:r w:rsidR="0067559F" w:rsidRPr="00DC0807">
              <w:rPr>
                <w:rFonts w:ascii="Arial Narrow" w:hAnsi="Arial Narrow"/>
                <w:sz w:val="20"/>
                <w:szCs w:val="20"/>
              </w:rPr>
              <w:t xml:space="preserve"> responders</w:t>
            </w:r>
            <w:r w:rsidR="002A7D1F" w:rsidRPr="00DC0807">
              <w:rPr>
                <w:rFonts w:ascii="Arial Narrow" w:hAnsi="Arial Narrow"/>
                <w:sz w:val="20"/>
                <w:szCs w:val="20"/>
              </w:rPr>
              <w:t>, n(%)</w:t>
            </w:r>
          </w:p>
        </w:tc>
        <w:tc>
          <w:tcPr>
            <w:tcW w:w="1134"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2 (5.4%)</w:t>
            </w:r>
          </w:p>
        </w:tc>
        <w:tc>
          <w:tcPr>
            <w:tcW w:w="1275"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22 (61.1%)</w:t>
            </w:r>
          </w:p>
        </w:tc>
        <w:tc>
          <w:tcPr>
            <w:tcW w:w="1538" w:type="dxa"/>
            <w:vAlign w:val="center"/>
          </w:tcPr>
          <w:p w:rsidR="0067559F" w:rsidRPr="00DC0807" w:rsidRDefault="0067559F" w:rsidP="00A03127">
            <w:pPr>
              <w:keepNext/>
              <w:keepLines/>
              <w:widowControl/>
              <w:jc w:val="center"/>
              <w:rPr>
                <w:rFonts w:ascii="Arial Narrow" w:hAnsi="Arial Narrow"/>
                <w:b/>
                <w:sz w:val="20"/>
                <w:szCs w:val="20"/>
              </w:rPr>
            </w:pPr>
            <w:r w:rsidRPr="00DC0807">
              <w:rPr>
                <w:rFonts w:ascii="Arial Narrow" w:hAnsi="Arial Narrow"/>
                <w:b/>
                <w:sz w:val="20"/>
                <w:szCs w:val="20"/>
              </w:rPr>
              <w:t>0.56 (0.38, 0.73)</w:t>
            </w:r>
          </w:p>
        </w:tc>
        <w:tc>
          <w:tcPr>
            <w:tcW w:w="1246"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23 (65.7%)</w:t>
            </w:r>
          </w:p>
        </w:tc>
      </w:tr>
      <w:tr w:rsidR="0067559F" w:rsidRPr="00DC0807" w:rsidTr="001D6EF4">
        <w:tc>
          <w:tcPr>
            <w:tcW w:w="3823" w:type="dxa"/>
            <w:vAlign w:val="center"/>
          </w:tcPr>
          <w:p w:rsidR="0067559F" w:rsidRPr="00DC0807" w:rsidRDefault="0067559F" w:rsidP="002A7D1F">
            <w:pPr>
              <w:keepNext/>
              <w:keepLines/>
              <w:widowControl/>
              <w:jc w:val="left"/>
              <w:rPr>
                <w:rFonts w:ascii="Arial Narrow" w:hAnsi="Arial Narrow"/>
                <w:sz w:val="20"/>
                <w:szCs w:val="20"/>
              </w:rPr>
            </w:pPr>
            <w:r w:rsidRPr="00DC0807">
              <w:rPr>
                <w:rFonts w:ascii="Arial Narrow" w:hAnsi="Arial Narrow"/>
                <w:sz w:val="20"/>
                <w:szCs w:val="20"/>
              </w:rPr>
              <w:t>PedsQL</w:t>
            </w:r>
            <w:r w:rsidR="001D6EF4" w:rsidRPr="00DC0807">
              <w:rPr>
                <w:rFonts w:ascii="Arial Narrow" w:hAnsi="Arial Narrow"/>
                <w:sz w:val="20"/>
                <w:szCs w:val="20"/>
              </w:rPr>
              <w:t xml:space="preserve"> </w:t>
            </w:r>
            <w:r w:rsidRPr="00DC0807">
              <w:rPr>
                <w:rFonts w:ascii="Arial Narrow" w:hAnsi="Arial Narrow"/>
                <w:sz w:val="20"/>
                <w:szCs w:val="20"/>
              </w:rPr>
              <w:t>Mean change from baseline</w:t>
            </w:r>
            <w:r w:rsidR="002A7D1F" w:rsidRPr="00DC0807">
              <w:rPr>
                <w:rFonts w:ascii="Arial Narrow" w:hAnsi="Arial Narrow"/>
                <w:sz w:val="20"/>
                <w:szCs w:val="20"/>
              </w:rPr>
              <w:t>, m</w:t>
            </w:r>
            <w:r w:rsidRPr="00DC0807">
              <w:rPr>
                <w:rFonts w:ascii="Arial Narrow" w:hAnsi="Arial Narrow"/>
                <w:sz w:val="20"/>
                <w:szCs w:val="20"/>
              </w:rPr>
              <w:t>ean (SD)</w:t>
            </w:r>
          </w:p>
        </w:tc>
        <w:tc>
          <w:tcPr>
            <w:tcW w:w="1134"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3.35 (10.04)</w:t>
            </w:r>
          </w:p>
        </w:tc>
        <w:tc>
          <w:tcPr>
            <w:tcW w:w="1275"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8.03 (10.44)</w:t>
            </w:r>
          </w:p>
        </w:tc>
        <w:tc>
          <w:tcPr>
            <w:tcW w:w="1538" w:type="dxa"/>
            <w:vAlign w:val="center"/>
          </w:tcPr>
          <w:p w:rsidR="0067559F" w:rsidRPr="00DC0807" w:rsidRDefault="002A7D1F" w:rsidP="009A18E9">
            <w:pPr>
              <w:keepNext/>
              <w:keepLines/>
              <w:widowControl/>
              <w:jc w:val="center"/>
              <w:rPr>
                <w:rFonts w:ascii="Arial Narrow" w:hAnsi="Arial Narrow"/>
                <w:b/>
                <w:sz w:val="20"/>
                <w:szCs w:val="20"/>
              </w:rPr>
            </w:pPr>
            <w:r w:rsidRPr="00DC0807">
              <w:rPr>
                <w:rFonts w:ascii="Arial Narrow" w:hAnsi="Arial Narrow"/>
                <w:b/>
                <w:sz w:val="20"/>
                <w:szCs w:val="20"/>
              </w:rPr>
              <w:t>4.68 (NR)</w:t>
            </w:r>
            <w:r w:rsidR="009A18E9" w:rsidRPr="00DC0807">
              <w:rPr>
                <w:rFonts w:ascii="Arial Narrow" w:hAnsi="Arial Narrow"/>
                <w:b/>
                <w:sz w:val="20"/>
                <w:szCs w:val="20"/>
                <w:vertAlign w:val="superscript"/>
              </w:rPr>
              <w:t>c</w:t>
            </w:r>
          </w:p>
        </w:tc>
        <w:tc>
          <w:tcPr>
            <w:tcW w:w="1246" w:type="dxa"/>
            <w:vAlign w:val="center"/>
          </w:tcPr>
          <w:p w:rsidR="0067559F" w:rsidRPr="00DC0807" w:rsidRDefault="0067559F" w:rsidP="002A7D1F">
            <w:pPr>
              <w:keepNext/>
              <w:keepLines/>
              <w:widowControl/>
              <w:jc w:val="center"/>
              <w:rPr>
                <w:rFonts w:ascii="Arial Narrow" w:hAnsi="Arial Narrow"/>
                <w:sz w:val="20"/>
                <w:szCs w:val="20"/>
              </w:rPr>
            </w:pPr>
            <w:r w:rsidRPr="00DC0807">
              <w:rPr>
                <w:rFonts w:ascii="Arial Narrow" w:hAnsi="Arial Narrow"/>
                <w:sz w:val="20"/>
                <w:szCs w:val="20"/>
              </w:rPr>
              <w:t>7.26 (10.92)</w:t>
            </w:r>
          </w:p>
        </w:tc>
      </w:tr>
      <w:tr w:rsidR="0067559F" w:rsidRPr="00DC0807" w:rsidTr="001D6EF4">
        <w:tc>
          <w:tcPr>
            <w:tcW w:w="3823" w:type="dxa"/>
            <w:vAlign w:val="center"/>
          </w:tcPr>
          <w:p w:rsidR="0067559F" w:rsidRPr="00DC0807" w:rsidRDefault="00FF6672" w:rsidP="002A7D1F">
            <w:pPr>
              <w:keepNext/>
              <w:keepLines/>
              <w:widowControl/>
              <w:jc w:val="left"/>
              <w:rPr>
                <w:rFonts w:ascii="Arial Narrow" w:hAnsi="Arial Narrow"/>
                <w:sz w:val="20"/>
                <w:szCs w:val="20"/>
              </w:rPr>
            </w:pPr>
            <w:r w:rsidRPr="00DC0807">
              <w:rPr>
                <w:rFonts w:ascii="Arial Narrow" w:hAnsi="Arial Narrow"/>
                <w:sz w:val="20"/>
                <w:szCs w:val="20"/>
              </w:rPr>
              <w:t>Change from baseline C</w:t>
            </w:r>
            <w:r w:rsidR="002A7D1F" w:rsidRPr="00DC0807">
              <w:rPr>
                <w:rFonts w:ascii="Arial Narrow" w:hAnsi="Arial Narrow"/>
                <w:sz w:val="20"/>
                <w:szCs w:val="20"/>
              </w:rPr>
              <w:t>D</w:t>
            </w:r>
            <w:r w:rsidRPr="00DC0807">
              <w:rPr>
                <w:rFonts w:ascii="Arial Narrow" w:hAnsi="Arial Narrow"/>
                <w:sz w:val="20"/>
                <w:szCs w:val="20"/>
              </w:rPr>
              <w:t>L</w:t>
            </w:r>
            <w:r w:rsidR="002A7D1F" w:rsidRPr="00DC0807">
              <w:rPr>
                <w:rFonts w:ascii="Arial Narrow" w:hAnsi="Arial Narrow"/>
                <w:sz w:val="20"/>
                <w:szCs w:val="20"/>
              </w:rPr>
              <w:t>QI, mean (SD)</w:t>
            </w:r>
          </w:p>
        </w:tc>
        <w:tc>
          <w:tcPr>
            <w:tcW w:w="1134" w:type="dxa"/>
            <w:vAlign w:val="center"/>
          </w:tcPr>
          <w:p w:rsidR="0067559F" w:rsidRPr="00DC0807" w:rsidRDefault="002A7D1F" w:rsidP="002A7D1F">
            <w:pPr>
              <w:keepNext/>
              <w:keepLines/>
              <w:widowControl/>
              <w:jc w:val="center"/>
              <w:rPr>
                <w:rFonts w:ascii="Arial Narrow" w:hAnsi="Arial Narrow"/>
                <w:sz w:val="20"/>
                <w:szCs w:val="20"/>
              </w:rPr>
            </w:pPr>
            <w:r w:rsidRPr="00DC0807">
              <w:rPr>
                <w:rFonts w:ascii="Arial Narrow" w:hAnsi="Arial Narrow"/>
                <w:sz w:val="20"/>
                <w:szCs w:val="20"/>
              </w:rPr>
              <w:t>-1.5 (3.18)</w:t>
            </w:r>
          </w:p>
        </w:tc>
        <w:tc>
          <w:tcPr>
            <w:tcW w:w="1275" w:type="dxa"/>
            <w:vAlign w:val="center"/>
          </w:tcPr>
          <w:p w:rsidR="0067559F" w:rsidRPr="00DC0807" w:rsidRDefault="002A7D1F" w:rsidP="002A7D1F">
            <w:pPr>
              <w:keepNext/>
              <w:keepLines/>
              <w:widowControl/>
              <w:jc w:val="center"/>
              <w:rPr>
                <w:rFonts w:ascii="Arial Narrow" w:hAnsi="Arial Narrow"/>
                <w:sz w:val="20"/>
                <w:szCs w:val="20"/>
              </w:rPr>
            </w:pPr>
            <w:r w:rsidRPr="00DC0807">
              <w:rPr>
                <w:rFonts w:ascii="Arial Narrow" w:hAnsi="Arial Narrow"/>
                <w:sz w:val="20"/>
                <w:szCs w:val="20"/>
              </w:rPr>
              <w:t>-6.7 (5.63)</w:t>
            </w:r>
          </w:p>
        </w:tc>
        <w:tc>
          <w:tcPr>
            <w:tcW w:w="1538" w:type="dxa"/>
            <w:vAlign w:val="center"/>
          </w:tcPr>
          <w:p w:rsidR="0067559F" w:rsidRPr="00DC0807" w:rsidRDefault="00F25C01" w:rsidP="00A03127">
            <w:pPr>
              <w:keepNext/>
              <w:keepLines/>
              <w:widowControl/>
              <w:jc w:val="center"/>
              <w:rPr>
                <w:rFonts w:ascii="Arial Narrow" w:hAnsi="Arial Narrow"/>
                <w:b/>
                <w:sz w:val="20"/>
                <w:szCs w:val="20"/>
              </w:rPr>
            </w:pPr>
            <w:r w:rsidRPr="00DC0807">
              <w:rPr>
                <w:rFonts w:ascii="Arial Narrow" w:hAnsi="Arial Narrow"/>
                <w:b/>
                <w:sz w:val="20"/>
                <w:szCs w:val="20"/>
              </w:rPr>
              <w:t>-</w:t>
            </w:r>
            <w:r w:rsidR="002A7D1F" w:rsidRPr="00DC0807">
              <w:rPr>
                <w:rFonts w:ascii="Arial Narrow" w:hAnsi="Arial Narrow"/>
                <w:b/>
                <w:sz w:val="20"/>
                <w:szCs w:val="20"/>
              </w:rPr>
              <w:t>5.2 (-7.44,-2.96)</w:t>
            </w:r>
          </w:p>
        </w:tc>
        <w:tc>
          <w:tcPr>
            <w:tcW w:w="1246" w:type="dxa"/>
            <w:vAlign w:val="center"/>
          </w:tcPr>
          <w:p w:rsidR="0067559F" w:rsidRPr="00DC0807" w:rsidRDefault="00FF6672" w:rsidP="002A7D1F">
            <w:pPr>
              <w:keepNext/>
              <w:keepLines/>
              <w:widowControl/>
              <w:jc w:val="center"/>
              <w:rPr>
                <w:rFonts w:ascii="Arial Narrow" w:hAnsi="Arial Narrow"/>
                <w:sz w:val="20"/>
                <w:szCs w:val="20"/>
              </w:rPr>
            </w:pPr>
            <w:r w:rsidRPr="00DC0807">
              <w:rPr>
                <w:rFonts w:ascii="Arial Narrow" w:hAnsi="Arial Narrow"/>
                <w:sz w:val="20"/>
                <w:szCs w:val="20"/>
              </w:rPr>
              <w:t>-7.6 (6.96)</w:t>
            </w:r>
          </w:p>
        </w:tc>
      </w:tr>
    </w:tbl>
    <w:p w:rsidR="00324549" w:rsidRPr="00DC0807" w:rsidRDefault="00324549" w:rsidP="00324549">
      <w:pPr>
        <w:keepNext/>
        <w:keepLines/>
        <w:widowControl/>
        <w:rPr>
          <w:rFonts w:ascii="Arial Narrow" w:hAnsi="Arial Narrow"/>
          <w:sz w:val="18"/>
          <w:szCs w:val="18"/>
        </w:rPr>
      </w:pPr>
      <w:r w:rsidRPr="00DC0807">
        <w:rPr>
          <w:rFonts w:ascii="Arial Narrow" w:hAnsi="Arial Narrow"/>
          <w:sz w:val="18"/>
          <w:szCs w:val="18"/>
        </w:rPr>
        <w:t>Source: Table 11, p79 CADMUS CSR, Table 2-59, p129 and Table 2-75, p144 of the submission, Table 10, p78 and TEFPASI07A, p192-193, CADMUS CSR</w:t>
      </w:r>
    </w:p>
    <w:p w:rsidR="004C3AC1" w:rsidRPr="00DC0807" w:rsidRDefault="004C3AC1" w:rsidP="0067559F">
      <w:pPr>
        <w:keepNext/>
        <w:keepLines/>
        <w:widowControl/>
        <w:rPr>
          <w:rFonts w:ascii="Arial Narrow" w:hAnsi="Arial Narrow"/>
          <w:sz w:val="18"/>
          <w:szCs w:val="18"/>
        </w:rPr>
      </w:pPr>
      <w:r w:rsidRPr="00DC0807">
        <w:rPr>
          <w:rFonts w:ascii="Arial Narrow" w:hAnsi="Arial Narrow"/>
          <w:sz w:val="18"/>
          <w:szCs w:val="18"/>
        </w:rPr>
        <w:t>Bold indicates a statistically significant difference</w:t>
      </w:r>
    </w:p>
    <w:p w:rsidR="004C3AC1" w:rsidRPr="00DC0807" w:rsidRDefault="004C3AC1" w:rsidP="0067559F">
      <w:pPr>
        <w:pStyle w:val="TableFooter"/>
        <w:keepNext/>
        <w:keepLines/>
      </w:pPr>
      <w:r w:rsidRPr="00DC0807">
        <w:rPr>
          <w:szCs w:val="18"/>
        </w:rPr>
        <w:t>PGA = physician’s global assessment; CDLQI = children’s dermatology life quality index;</w:t>
      </w:r>
      <w:r w:rsidRPr="00DC0807">
        <w:t xml:space="preserve"> PASI = Ps</w:t>
      </w:r>
      <w:r w:rsidR="00FF6672" w:rsidRPr="00DC0807">
        <w:t xml:space="preserve">oriasis Area and Severity Index, </w:t>
      </w:r>
      <w:r w:rsidR="00D92155" w:rsidRPr="00DC0807">
        <w:t xml:space="preserve">PedsQL = Pediatric Quality of Life Inventory; </w:t>
      </w:r>
      <w:r w:rsidR="00FF6672" w:rsidRPr="00DC0807">
        <w:t>NR = not reported</w:t>
      </w:r>
      <w:r w:rsidR="00A03127" w:rsidRPr="00DC0807">
        <w:t>, RD = risk difference</w:t>
      </w:r>
    </w:p>
    <w:p w:rsidR="0067559F" w:rsidRPr="00DC0807" w:rsidRDefault="009A18E9" w:rsidP="0067559F">
      <w:pPr>
        <w:keepNext/>
        <w:keepLines/>
        <w:widowControl/>
        <w:rPr>
          <w:rFonts w:ascii="Arial Narrow" w:hAnsi="Arial Narrow"/>
          <w:sz w:val="18"/>
          <w:szCs w:val="18"/>
        </w:rPr>
      </w:pPr>
      <w:r w:rsidRPr="00DC0807">
        <w:rPr>
          <w:rFonts w:ascii="Arial Narrow" w:hAnsi="Arial Narrow"/>
          <w:sz w:val="18"/>
          <w:szCs w:val="18"/>
          <w:vertAlign w:val="superscript"/>
        </w:rPr>
        <w:t>a</w:t>
      </w:r>
      <w:r w:rsidRPr="00DC0807">
        <w:rPr>
          <w:rFonts w:ascii="Arial Narrow" w:hAnsi="Arial Narrow"/>
          <w:sz w:val="18"/>
          <w:szCs w:val="18"/>
        </w:rPr>
        <w:t xml:space="preserve"> </w:t>
      </w:r>
      <w:r w:rsidR="0067559F" w:rsidRPr="00DC0807">
        <w:rPr>
          <w:rFonts w:ascii="Arial Narrow" w:hAnsi="Arial Narrow"/>
          <w:sz w:val="18"/>
          <w:szCs w:val="18"/>
        </w:rPr>
        <w:t xml:space="preserve">Primary outcomes </w:t>
      </w:r>
    </w:p>
    <w:p w:rsidR="002A7D1F" w:rsidRPr="00DC0807" w:rsidRDefault="009A18E9" w:rsidP="002A7D1F">
      <w:pPr>
        <w:pStyle w:val="TableFigureFootnote"/>
        <w:keepNext/>
        <w:keepLines/>
        <w:spacing w:before="0" w:after="0"/>
        <w:rPr>
          <w:rFonts w:ascii="Arial Narrow" w:hAnsi="Arial Narrow"/>
          <w:sz w:val="18"/>
          <w:szCs w:val="18"/>
        </w:rPr>
      </w:pPr>
      <w:r w:rsidRPr="00DC0807">
        <w:rPr>
          <w:rFonts w:ascii="Arial Narrow" w:hAnsi="Arial Narrow"/>
          <w:sz w:val="18"/>
          <w:szCs w:val="18"/>
          <w:vertAlign w:val="superscript"/>
        </w:rPr>
        <w:t>b</w:t>
      </w:r>
      <w:r w:rsidR="002A7D1F" w:rsidRPr="00DC0807">
        <w:rPr>
          <w:rFonts w:ascii="Arial Narrow" w:hAnsi="Arial Narrow"/>
          <w:sz w:val="18"/>
          <w:szCs w:val="18"/>
        </w:rPr>
        <w:t xml:space="preserve"> Reported as 0.64 (0.81, 18.25) in Table 2-40 in submission, </w:t>
      </w:r>
      <w:r w:rsidR="002A7D1F" w:rsidRPr="00DC0807">
        <w:rPr>
          <w:rFonts w:ascii="Arial Narrow" w:hAnsi="Arial Narrow"/>
          <w:iCs/>
          <w:sz w:val="18"/>
          <w:szCs w:val="18"/>
        </w:rPr>
        <w:t>which appeared to be incorrect and could not be repr</w:t>
      </w:r>
      <w:r w:rsidR="00B8612B" w:rsidRPr="00DC0807">
        <w:rPr>
          <w:rFonts w:ascii="Arial Narrow" w:hAnsi="Arial Narrow"/>
          <w:iCs/>
          <w:sz w:val="18"/>
          <w:szCs w:val="18"/>
        </w:rPr>
        <w:t>oduced. Value calculated using StatsD</w:t>
      </w:r>
      <w:r w:rsidR="002A7D1F" w:rsidRPr="00DC0807">
        <w:rPr>
          <w:rFonts w:ascii="Arial Narrow" w:hAnsi="Arial Narrow"/>
          <w:iCs/>
          <w:sz w:val="18"/>
          <w:szCs w:val="18"/>
        </w:rPr>
        <w:t>irect during evaluation reported here</w:t>
      </w:r>
      <w:r w:rsidR="00DA2FFF" w:rsidRPr="00DC0807">
        <w:rPr>
          <w:rFonts w:ascii="Arial Narrow" w:hAnsi="Arial Narrow"/>
          <w:iCs/>
          <w:sz w:val="18"/>
          <w:szCs w:val="18"/>
        </w:rPr>
        <w:t>.</w:t>
      </w:r>
    </w:p>
    <w:p w:rsidR="002A7D1F" w:rsidRPr="00DC0807" w:rsidRDefault="009A18E9" w:rsidP="0067559F">
      <w:pPr>
        <w:keepNext/>
        <w:keepLines/>
        <w:widowControl/>
        <w:rPr>
          <w:rFonts w:ascii="Arial Narrow" w:hAnsi="Arial Narrow"/>
          <w:sz w:val="18"/>
          <w:szCs w:val="18"/>
        </w:rPr>
      </w:pPr>
      <w:r w:rsidRPr="00DC0807">
        <w:rPr>
          <w:rFonts w:ascii="Arial Narrow" w:hAnsi="Arial Narrow"/>
          <w:sz w:val="18"/>
          <w:szCs w:val="18"/>
          <w:vertAlign w:val="superscript"/>
        </w:rPr>
        <w:t>c</w:t>
      </w:r>
      <w:r w:rsidRPr="00DC0807">
        <w:rPr>
          <w:rFonts w:ascii="Arial Narrow" w:hAnsi="Arial Narrow"/>
          <w:sz w:val="18"/>
          <w:szCs w:val="18"/>
        </w:rPr>
        <w:t xml:space="preserve"> </w:t>
      </w:r>
      <w:r w:rsidR="002A7D1F" w:rsidRPr="00DC0807">
        <w:rPr>
          <w:rFonts w:ascii="Arial Narrow" w:hAnsi="Arial Narrow"/>
          <w:sz w:val="18"/>
          <w:szCs w:val="18"/>
        </w:rPr>
        <w:t>p=0.028</w:t>
      </w:r>
    </w:p>
    <w:p w:rsidR="004C3AC1" w:rsidRPr="00DC0807" w:rsidRDefault="004C3AC1" w:rsidP="004C3AC1">
      <w:pPr>
        <w:widowControl/>
        <w:rPr>
          <w:rFonts w:ascii="Arial Narrow" w:hAnsi="Arial Narrow"/>
          <w:sz w:val="18"/>
          <w:szCs w:val="18"/>
        </w:rPr>
      </w:pPr>
    </w:p>
    <w:p w:rsidR="004C3AC1" w:rsidRPr="00DC0807" w:rsidRDefault="002A7D1F" w:rsidP="00A927F1">
      <w:pPr>
        <w:pStyle w:val="ListParagraph"/>
        <w:widowControl/>
        <w:numPr>
          <w:ilvl w:val="1"/>
          <w:numId w:val="1"/>
        </w:numPr>
      </w:pPr>
      <w:r w:rsidRPr="00DC0807">
        <w:rPr>
          <w:rFonts w:cs="Calibri"/>
          <w:snapToGrid/>
          <w:szCs w:val="24"/>
          <w:lang w:eastAsia="en-AU"/>
        </w:rPr>
        <w:t xml:space="preserve">In CADMUS, a statistically significantly higher proportion of patients randomised to ustekinumab reported a PGA of 0 or 1, </w:t>
      </w:r>
      <w:r w:rsidR="00C92D23" w:rsidRPr="00DC0807">
        <w:rPr>
          <w:rFonts w:cs="Calibri"/>
          <w:snapToGrid/>
          <w:szCs w:val="24"/>
          <w:lang w:eastAsia="en-AU"/>
        </w:rPr>
        <w:t>PASI 75</w:t>
      </w:r>
      <w:r w:rsidRPr="00DC0807">
        <w:rPr>
          <w:rFonts w:cs="Calibri"/>
          <w:snapToGrid/>
          <w:szCs w:val="24"/>
          <w:lang w:eastAsia="en-AU"/>
        </w:rPr>
        <w:t xml:space="preserve"> and </w:t>
      </w:r>
      <w:r w:rsidR="00C92D23" w:rsidRPr="00DC0807">
        <w:rPr>
          <w:rFonts w:cs="Calibri"/>
          <w:snapToGrid/>
          <w:szCs w:val="24"/>
          <w:lang w:eastAsia="en-AU"/>
        </w:rPr>
        <w:t>PASI 90</w:t>
      </w:r>
      <w:r w:rsidRPr="00DC0807">
        <w:rPr>
          <w:rFonts w:cs="Calibri"/>
          <w:snapToGrid/>
          <w:szCs w:val="24"/>
          <w:lang w:eastAsia="en-AU"/>
        </w:rPr>
        <w:t xml:space="preserve"> response, and also reported higher quality of life, compared to patients randomised to placebo after 12 weeks of treatment. </w:t>
      </w:r>
      <w:r w:rsidR="00C92D23" w:rsidRPr="00DC0807">
        <w:rPr>
          <w:rFonts w:cs="Calibri"/>
          <w:snapToGrid/>
          <w:szCs w:val="24"/>
          <w:lang w:eastAsia="en-AU"/>
        </w:rPr>
        <w:t>PASI 75</w:t>
      </w:r>
      <w:r w:rsidRPr="00DC0807">
        <w:rPr>
          <w:rFonts w:cs="Calibri"/>
          <w:snapToGrid/>
          <w:szCs w:val="24"/>
          <w:lang w:eastAsia="en-AU"/>
        </w:rPr>
        <w:t xml:space="preserve"> and PASI 90 also appeared to be </w:t>
      </w:r>
      <w:r w:rsidR="004C3AC1" w:rsidRPr="00DC0807">
        <w:rPr>
          <w:rFonts w:cs="Calibri"/>
          <w:snapToGrid/>
          <w:szCs w:val="24"/>
          <w:lang w:eastAsia="en-AU"/>
        </w:rPr>
        <w:t>maintained through to Week 52.</w:t>
      </w:r>
    </w:p>
    <w:p w:rsidR="004C3AC1" w:rsidRPr="00DC0807" w:rsidRDefault="002A7D1F" w:rsidP="00477815">
      <w:pPr>
        <w:keepNext/>
        <w:keepLines/>
        <w:widowControl/>
        <w:rPr>
          <w:rFonts w:ascii="Arial Narrow" w:hAnsi="Arial Narrow"/>
          <w:b/>
          <w:sz w:val="20"/>
          <w:szCs w:val="20"/>
        </w:rPr>
      </w:pPr>
      <w:bookmarkStart w:id="13" w:name="_Ref61124502"/>
      <w:r w:rsidRPr="00DC0807">
        <w:rPr>
          <w:rFonts w:ascii="Arial Narrow" w:hAnsi="Arial Narrow"/>
          <w:b/>
          <w:sz w:val="20"/>
          <w:szCs w:val="20"/>
        </w:rPr>
        <w:t xml:space="preserve">Table </w:t>
      </w:r>
      <w:r w:rsidR="00AE572A" w:rsidRPr="00DC0807">
        <w:rPr>
          <w:rFonts w:ascii="Arial Narrow" w:hAnsi="Arial Narrow"/>
          <w:b/>
          <w:sz w:val="20"/>
          <w:szCs w:val="20"/>
        </w:rPr>
        <w:t>5</w:t>
      </w:r>
      <w:bookmarkEnd w:id="13"/>
      <w:r w:rsidR="004C3AC1" w:rsidRPr="00DC0807">
        <w:rPr>
          <w:rFonts w:ascii="Arial Narrow" w:hAnsi="Arial Narrow"/>
          <w:b/>
          <w:sz w:val="20"/>
          <w:szCs w:val="20"/>
        </w:rPr>
        <w:t>: Results of primary and secondary endpoints at Week 12 and 52 in CADMUS JR</w:t>
      </w:r>
    </w:p>
    <w:tbl>
      <w:tblPr>
        <w:tblStyle w:val="TableGrid"/>
        <w:tblW w:w="0" w:type="auto"/>
        <w:tblLook w:val="04A0" w:firstRow="1" w:lastRow="0" w:firstColumn="1" w:lastColumn="0" w:noHBand="0" w:noVBand="1"/>
        <w:tblCaption w:val="Table 5: Results of primary and secondary endpoints at Week 12 and 52 in CADMUS JR"/>
      </w:tblPr>
      <w:tblGrid>
        <w:gridCol w:w="6232"/>
        <w:gridCol w:w="1392"/>
        <w:gridCol w:w="1392"/>
      </w:tblGrid>
      <w:tr w:rsidR="004C3AC1" w:rsidRPr="00DC0807" w:rsidTr="00CD1F63">
        <w:trPr>
          <w:tblHeader/>
        </w:trPr>
        <w:tc>
          <w:tcPr>
            <w:tcW w:w="6232" w:type="dxa"/>
          </w:tcPr>
          <w:p w:rsidR="004C3AC1" w:rsidRPr="00DC0807" w:rsidRDefault="004C3AC1" w:rsidP="00477815">
            <w:pPr>
              <w:keepNext/>
              <w:keepLines/>
              <w:widowControl/>
              <w:rPr>
                <w:rFonts w:ascii="Arial Narrow" w:hAnsi="Arial Narrow"/>
                <w:sz w:val="20"/>
                <w:szCs w:val="20"/>
              </w:rPr>
            </w:pPr>
          </w:p>
        </w:tc>
        <w:tc>
          <w:tcPr>
            <w:tcW w:w="1392" w:type="dxa"/>
          </w:tcPr>
          <w:p w:rsidR="004C3AC1" w:rsidRPr="00DC0807" w:rsidRDefault="004C3AC1" w:rsidP="00477815">
            <w:pPr>
              <w:keepNext/>
              <w:keepLines/>
              <w:widowControl/>
              <w:jc w:val="center"/>
              <w:rPr>
                <w:rFonts w:ascii="Arial Narrow" w:hAnsi="Arial Narrow"/>
                <w:b/>
                <w:sz w:val="20"/>
                <w:szCs w:val="20"/>
              </w:rPr>
            </w:pPr>
            <w:r w:rsidRPr="00DC0807">
              <w:rPr>
                <w:rFonts w:ascii="Arial Narrow" w:hAnsi="Arial Narrow"/>
                <w:b/>
                <w:sz w:val="20"/>
                <w:szCs w:val="20"/>
              </w:rPr>
              <w:t>Week 12</w:t>
            </w:r>
          </w:p>
        </w:tc>
        <w:tc>
          <w:tcPr>
            <w:tcW w:w="1392" w:type="dxa"/>
          </w:tcPr>
          <w:p w:rsidR="004C3AC1" w:rsidRPr="00DC0807" w:rsidRDefault="004C3AC1" w:rsidP="00477815">
            <w:pPr>
              <w:keepNext/>
              <w:keepLines/>
              <w:widowControl/>
              <w:jc w:val="center"/>
              <w:rPr>
                <w:rFonts w:ascii="Arial Narrow" w:hAnsi="Arial Narrow"/>
                <w:b/>
                <w:sz w:val="20"/>
                <w:szCs w:val="20"/>
              </w:rPr>
            </w:pPr>
            <w:r w:rsidRPr="00DC0807">
              <w:rPr>
                <w:rFonts w:ascii="Arial Narrow" w:hAnsi="Arial Narrow"/>
                <w:b/>
                <w:sz w:val="20"/>
                <w:szCs w:val="20"/>
              </w:rPr>
              <w:t>Week 52</w:t>
            </w:r>
          </w:p>
        </w:tc>
      </w:tr>
      <w:tr w:rsidR="004C3AC1" w:rsidRPr="00DC0807" w:rsidTr="00F25C01">
        <w:tc>
          <w:tcPr>
            <w:tcW w:w="6232" w:type="dxa"/>
          </w:tcPr>
          <w:p w:rsidR="004C3AC1" w:rsidRPr="00DC0807" w:rsidRDefault="004C3AC1" w:rsidP="00477815">
            <w:pPr>
              <w:keepNext/>
              <w:keepLines/>
              <w:widowControl/>
              <w:rPr>
                <w:rFonts w:ascii="Arial Narrow" w:hAnsi="Arial Narrow"/>
                <w:sz w:val="20"/>
                <w:szCs w:val="20"/>
              </w:rPr>
            </w:pPr>
            <w:r w:rsidRPr="00DC0807">
              <w:rPr>
                <w:rFonts w:ascii="Arial Narrow" w:hAnsi="Arial Narrow"/>
                <w:sz w:val="20"/>
                <w:szCs w:val="20"/>
              </w:rPr>
              <w:t>Patients enrolled at Week 0</w:t>
            </w:r>
            <w:r w:rsidR="00477815" w:rsidRPr="00DC0807">
              <w:rPr>
                <w:rFonts w:ascii="Arial Narrow" w:hAnsi="Arial Narrow"/>
                <w:sz w:val="20"/>
                <w:szCs w:val="20"/>
              </w:rPr>
              <w:t>, N</w:t>
            </w:r>
          </w:p>
        </w:tc>
        <w:tc>
          <w:tcPr>
            <w:tcW w:w="1392" w:type="dxa"/>
          </w:tcPr>
          <w:p w:rsidR="004C3AC1" w:rsidRPr="00DC0807" w:rsidRDefault="004C3AC1" w:rsidP="00477815">
            <w:pPr>
              <w:keepNext/>
              <w:keepLines/>
              <w:widowControl/>
              <w:jc w:val="center"/>
              <w:rPr>
                <w:rFonts w:ascii="Arial Narrow" w:hAnsi="Arial Narrow"/>
                <w:sz w:val="20"/>
                <w:szCs w:val="20"/>
              </w:rPr>
            </w:pPr>
            <w:r w:rsidRPr="00DC0807">
              <w:rPr>
                <w:rFonts w:ascii="Arial Narrow" w:hAnsi="Arial Narrow"/>
                <w:sz w:val="20"/>
                <w:szCs w:val="20"/>
              </w:rPr>
              <w:t>44</w:t>
            </w:r>
          </w:p>
        </w:tc>
        <w:tc>
          <w:tcPr>
            <w:tcW w:w="1392" w:type="dxa"/>
          </w:tcPr>
          <w:p w:rsidR="004C3AC1" w:rsidRPr="00DC0807" w:rsidRDefault="004C3AC1" w:rsidP="00477815">
            <w:pPr>
              <w:keepNext/>
              <w:keepLines/>
              <w:widowControl/>
              <w:jc w:val="center"/>
              <w:rPr>
                <w:rFonts w:ascii="Arial Narrow" w:hAnsi="Arial Narrow"/>
                <w:sz w:val="20"/>
                <w:szCs w:val="20"/>
              </w:rPr>
            </w:pPr>
            <w:r w:rsidRPr="00DC0807">
              <w:rPr>
                <w:rFonts w:ascii="Arial Narrow" w:hAnsi="Arial Narrow"/>
                <w:sz w:val="20"/>
                <w:szCs w:val="20"/>
              </w:rPr>
              <w:t>41</w:t>
            </w:r>
          </w:p>
        </w:tc>
      </w:tr>
      <w:tr w:rsidR="004C3AC1" w:rsidRPr="00DC0807" w:rsidTr="00F25C01">
        <w:tc>
          <w:tcPr>
            <w:tcW w:w="6232" w:type="dxa"/>
          </w:tcPr>
          <w:p w:rsidR="004C3AC1" w:rsidRPr="00DC0807" w:rsidRDefault="00A03127" w:rsidP="00F9056B">
            <w:pPr>
              <w:keepNext/>
              <w:keepLines/>
              <w:widowControl/>
              <w:rPr>
                <w:rFonts w:ascii="Arial Narrow" w:hAnsi="Arial Narrow"/>
                <w:sz w:val="20"/>
                <w:szCs w:val="20"/>
              </w:rPr>
            </w:pPr>
            <w:r w:rsidRPr="00DC0807">
              <w:rPr>
                <w:rFonts w:ascii="Arial Narrow" w:hAnsi="Arial Narrow"/>
                <w:sz w:val="20"/>
                <w:szCs w:val="20"/>
              </w:rPr>
              <w:t>P</w:t>
            </w:r>
            <w:r w:rsidR="004C3AC1" w:rsidRPr="00DC0807">
              <w:rPr>
                <w:rFonts w:ascii="Arial Narrow" w:hAnsi="Arial Narrow"/>
                <w:sz w:val="20"/>
                <w:szCs w:val="20"/>
              </w:rPr>
              <w:t>atients who achieved a PGA score of cleared (0) or minimal (1)</w:t>
            </w:r>
            <w:r w:rsidR="00F9056B" w:rsidRPr="00DC0807">
              <w:rPr>
                <w:rFonts w:ascii="Arial Narrow" w:hAnsi="Arial Narrow"/>
                <w:sz w:val="20"/>
                <w:szCs w:val="20"/>
                <w:vertAlign w:val="superscript"/>
              </w:rPr>
              <w:t>a</w:t>
            </w:r>
            <w:r w:rsidR="00477815" w:rsidRPr="00DC0807">
              <w:rPr>
                <w:rFonts w:ascii="Arial Narrow" w:hAnsi="Arial Narrow"/>
                <w:sz w:val="20"/>
                <w:szCs w:val="20"/>
              </w:rPr>
              <w:t>, n(%)</w:t>
            </w:r>
          </w:p>
        </w:tc>
        <w:tc>
          <w:tcPr>
            <w:tcW w:w="1392" w:type="dxa"/>
            <w:vAlign w:val="center"/>
          </w:tcPr>
          <w:p w:rsidR="004C3AC1" w:rsidRPr="00DC0807" w:rsidRDefault="004C3AC1" w:rsidP="00477815">
            <w:pPr>
              <w:keepNext/>
              <w:keepLines/>
              <w:widowControl/>
              <w:jc w:val="center"/>
              <w:rPr>
                <w:rFonts w:ascii="Arial Narrow" w:hAnsi="Arial Narrow"/>
                <w:sz w:val="20"/>
                <w:szCs w:val="20"/>
              </w:rPr>
            </w:pPr>
            <w:r w:rsidRPr="00DC0807">
              <w:rPr>
                <w:rFonts w:ascii="Arial Narrow" w:hAnsi="Arial Narrow"/>
                <w:sz w:val="20"/>
                <w:szCs w:val="20"/>
              </w:rPr>
              <w:t>34 (77.3%)</w:t>
            </w:r>
          </w:p>
        </w:tc>
        <w:tc>
          <w:tcPr>
            <w:tcW w:w="1392" w:type="dxa"/>
            <w:vAlign w:val="center"/>
          </w:tcPr>
          <w:p w:rsidR="004C3AC1" w:rsidRPr="00DC0807" w:rsidRDefault="004C3AC1" w:rsidP="00477815">
            <w:pPr>
              <w:keepNext/>
              <w:keepLines/>
              <w:widowControl/>
              <w:jc w:val="center"/>
              <w:rPr>
                <w:rFonts w:ascii="Arial Narrow" w:hAnsi="Arial Narrow"/>
                <w:sz w:val="20"/>
                <w:szCs w:val="20"/>
              </w:rPr>
            </w:pPr>
            <w:r w:rsidRPr="00DC0807">
              <w:rPr>
                <w:rFonts w:ascii="Arial Narrow" w:hAnsi="Arial Narrow"/>
                <w:sz w:val="20"/>
                <w:szCs w:val="20"/>
              </w:rPr>
              <w:t>31 (75.6%)</w:t>
            </w:r>
          </w:p>
        </w:tc>
      </w:tr>
      <w:tr w:rsidR="004C3AC1" w:rsidRPr="00DC0807" w:rsidTr="00F25C01">
        <w:tc>
          <w:tcPr>
            <w:tcW w:w="6232" w:type="dxa"/>
          </w:tcPr>
          <w:p w:rsidR="004C3AC1" w:rsidRPr="00DC0807" w:rsidRDefault="00C92D23" w:rsidP="00477815">
            <w:pPr>
              <w:keepNext/>
              <w:keepLines/>
              <w:widowControl/>
              <w:rPr>
                <w:rFonts w:ascii="Arial Narrow" w:hAnsi="Arial Narrow"/>
                <w:sz w:val="20"/>
                <w:szCs w:val="20"/>
              </w:rPr>
            </w:pPr>
            <w:r w:rsidRPr="00DC0807">
              <w:rPr>
                <w:rFonts w:ascii="Arial Narrow" w:hAnsi="Arial Narrow"/>
                <w:sz w:val="20"/>
                <w:szCs w:val="20"/>
              </w:rPr>
              <w:t>PASI 75</w:t>
            </w:r>
            <w:r w:rsidR="00FF6672" w:rsidRPr="00DC0807">
              <w:rPr>
                <w:rFonts w:ascii="Arial Narrow" w:hAnsi="Arial Narrow"/>
                <w:sz w:val="20"/>
                <w:szCs w:val="20"/>
              </w:rPr>
              <w:t xml:space="preserve"> responders</w:t>
            </w:r>
            <w:r w:rsidR="00477815" w:rsidRPr="00DC0807">
              <w:rPr>
                <w:rFonts w:ascii="Arial Narrow" w:hAnsi="Arial Narrow"/>
                <w:sz w:val="20"/>
                <w:szCs w:val="20"/>
              </w:rPr>
              <w:t>, n(%)</w:t>
            </w:r>
          </w:p>
        </w:tc>
        <w:tc>
          <w:tcPr>
            <w:tcW w:w="1392" w:type="dxa"/>
          </w:tcPr>
          <w:p w:rsidR="004C3AC1" w:rsidRPr="00DC0807" w:rsidRDefault="004C3AC1" w:rsidP="00477815">
            <w:pPr>
              <w:keepNext/>
              <w:keepLines/>
              <w:widowControl/>
              <w:jc w:val="center"/>
              <w:rPr>
                <w:rFonts w:ascii="Arial Narrow" w:hAnsi="Arial Narrow"/>
                <w:sz w:val="20"/>
                <w:szCs w:val="20"/>
              </w:rPr>
            </w:pPr>
            <w:r w:rsidRPr="00DC0807">
              <w:rPr>
                <w:rFonts w:ascii="Arial Narrow" w:hAnsi="Arial Narrow"/>
                <w:sz w:val="20"/>
                <w:szCs w:val="20"/>
              </w:rPr>
              <w:t>37 (84.1%)</w:t>
            </w:r>
          </w:p>
        </w:tc>
        <w:tc>
          <w:tcPr>
            <w:tcW w:w="1392" w:type="dxa"/>
          </w:tcPr>
          <w:p w:rsidR="004C3AC1" w:rsidRPr="00DC0807" w:rsidRDefault="00F40495" w:rsidP="00477815">
            <w:pPr>
              <w:keepNext/>
              <w:keepLines/>
              <w:widowControl/>
              <w:jc w:val="center"/>
              <w:rPr>
                <w:rFonts w:ascii="Arial Narrow" w:hAnsi="Arial Narrow"/>
                <w:sz w:val="20"/>
                <w:szCs w:val="20"/>
              </w:rPr>
            </w:pPr>
            <w:r w:rsidRPr="00DC0807">
              <w:rPr>
                <w:rFonts w:ascii="Arial Narrow" w:hAnsi="Arial Narrow"/>
                <w:iCs/>
                <w:sz w:val="20"/>
                <w:szCs w:val="20"/>
              </w:rPr>
              <w:t>36</w:t>
            </w:r>
            <w:r w:rsidRPr="00DC0807">
              <w:rPr>
                <w:rFonts w:ascii="Arial Narrow" w:hAnsi="Arial Narrow"/>
                <w:sz w:val="20"/>
                <w:szCs w:val="20"/>
              </w:rPr>
              <w:t xml:space="preserve"> </w:t>
            </w:r>
            <w:r w:rsidR="004C3AC1" w:rsidRPr="00DC0807">
              <w:rPr>
                <w:rFonts w:ascii="Arial Narrow" w:hAnsi="Arial Narrow"/>
                <w:sz w:val="20"/>
                <w:szCs w:val="20"/>
              </w:rPr>
              <w:t>(87.8%)</w:t>
            </w:r>
          </w:p>
        </w:tc>
      </w:tr>
      <w:tr w:rsidR="004C3AC1" w:rsidRPr="00DC0807" w:rsidTr="00F25C01">
        <w:tc>
          <w:tcPr>
            <w:tcW w:w="6232" w:type="dxa"/>
          </w:tcPr>
          <w:p w:rsidR="004C3AC1" w:rsidRPr="00DC0807" w:rsidRDefault="00C92D23" w:rsidP="00477815">
            <w:pPr>
              <w:keepNext/>
              <w:keepLines/>
              <w:widowControl/>
              <w:rPr>
                <w:rFonts w:ascii="Arial Narrow" w:hAnsi="Arial Narrow"/>
                <w:sz w:val="20"/>
                <w:szCs w:val="20"/>
              </w:rPr>
            </w:pPr>
            <w:r w:rsidRPr="00DC0807">
              <w:rPr>
                <w:rFonts w:ascii="Arial Narrow" w:hAnsi="Arial Narrow"/>
                <w:sz w:val="20"/>
                <w:szCs w:val="20"/>
              </w:rPr>
              <w:t>PASI 90</w:t>
            </w:r>
            <w:r w:rsidR="00FF6672" w:rsidRPr="00DC0807">
              <w:rPr>
                <w:rFonts w:ascii="Arial Narrow" w:hAnsi="Arial Narrow"/>
                <w:sz w:val="20"/>
                <w:szCs w:val="20"/>
              </w:rPr>
              <w:t xml:space="preserve"> responders</w:t>
            </w:r>
            <w:r w:rsidR="00477815" w:rsidRPr="00DC0807">
              <w:rPr>
                <w:rFonts w:ascii="Arial Narrow" w:hAnsi="Arial Narrow"/>
                <w:sz w:val="20"/>
                <w:szCs w:val="20"/>
              </w:rPr>
              <w:t>, n(%)</w:t>
            </w:r>
          </w:p>
        </w:tc>
        <w:tc>
          <w:tcPr>
            <w:tcW w:w="1392" w:type="dxa"/>
          </w:tcPr>
          <w:p w:rsidR="004C3AC1" w:rsidRPr="00DC0807" w:rsidRDefault="004C3AC1" w:rsidP="00477815">
            <w:pPr>
              <w:keepNext/>
              <w:keepLines/>
              <w:widowControl/>
              <w:jc w:val="center"/>
              <w:rPr>
                <w:rFonts w:ascii="Arial Narrow" w:hAnsi="Arial Narrow"/>
                <w:sz w:val="20"/>
                <w:szCs w:val="20"/>
              </w:rPr>
            </w:pPr>
            <w:r w:rsidRPr="00DC0807">
              <w:rPr>
                <w:rFonts w:ascii="Arial Narrow" w:hAnsi="Arial Narrow"/>
                <w:sz w:val="20"/>
                <w:szCs w:val="20"/>
              </w:rPr>
              <w:t>28 (63.6%)</w:t>
            </w:r>
          </w:p>
        </w:tc>
        <w:tc>
          <w:tcPr>
            <w:tcW w:w="1392" w:type="dxa"/>
          </w:tcPr>
          <w:p w:rsidR="004C3AC1" w:rsidRPr="00DC0807" w:rsidRDefault="004C3AC1" w:rsidP="00477815">
            <w:pPr>
              <w:keepNext/>
              <w:keepLines/>
              <w:widowControl/>
              <w:jc w:val="center"/>
              <w:rPr>
                <w:rFonts w:ascii="Arial Narrow" w:hAnsi="Arial Narrow"/>
                <w:sz w:val="20"/>
                <w:szCs w:val="20"/>
              </w:rPr>
            </w:pPr>
            <w:r w:rsidRPr="00DC0807">
              <w:rPr>
                <w:rFonts w:ascii="Arial Narrow" w:hAnsi="Arial Narrow"/>
                <w:sz w:val="20"/>
                <w:szCs w:val="20"/>
              </w:rPr>
              <w:t>29 (70.7%)</w:t>
            </w:r>
          </w:p>
        </w:tc>
      </w:tr>
      <w:tr w:rsidR="002A7D1F" w:rsidRPr="00DC0807" w:rsidTr="00F25C01">
        <w:tc>
          <w:tcPr>
            <w:tcW w:w="6232" w:type="dxa"/>
          </w:tcPr>
          <w:p w:rsidR="002A7D1F" w:rsidRPr="00DC0807" w:rsidRDefault="002A7D1F" w:rsidP="00477815">
            <w:pPr>
              <w:keepNext/>
              <w:keepLines/>
              <w:widowControl/>
              <w:rPr>
                <w:rFonts w:ascii="Arial Narrow" w:hAnsi="Arial Narrow"/>
                <w:sz w:val="20"/>
                <w:szCs w:val="20"/>
              </w:rPr>
            </w:pPr>
            <w:r w:rsidRPr="00DC0807">
              <w:rPr>
                <w:rFonts w:ascii="Arial Narrow" w:hAnsi="Arial Narrow"/>
                <w:sz w:val="20"/>
                <w:szCs w:val="20"/>
              </w:rPr>
              <w:t>Change from baseline CLDQI, mean (SD)</w:t>
            </w:r>
          </w:p>
        </w:tc>
        <w:tc>
          <w:tcPr>
            <w:tcW w:w="1392" w:type="dxa"/>
          </w:tcPr>
          <w:p w:rsidR="002A7D1F" w:rsidRPr="00DC0807" w:rsidRDefault="00FF6672" w:rsidP="00477815">
            <w:pPr>
              <w:keepNext/>
              <w:keepLines/>
              <w:widowControl/>
              <w:jc w:val="center"/>
              <w:rPr>
                <w:rFonts w:ascii="Arial Narrow" w:hAnsi="Arial Narrow"/>
                <w:sz w:val="20"/>
                <w:szCs w:val="20"/>
              </w:rPr>
            </w:pPr>
            <w:r w:rsidRPr="00DC0807">
              <w:rPr>
                <w:rFonts w:ascii="Arial Narrow" w:hAnsi="Arial Narrow"/>
                <w:sz w:val="20"/>
                <w:szCs w:val="20"/>
              </w:rPr>
              <w:t>-6.3 (6.43)</w:t>
            </w:r>
          </w:p>
        </w:tc>
        <w:tc>
          <w:tcPr>
            <w:tcW w:w="1392" w:type="dxa"/>
          </w:tcPr>
          <w:p w:rsidR="002A7D1F" w:rsidRPr="00DC0807" w:rsidRDefault="00FF6672" w:rsidP="00477815">
            <w:pPr>
              <w:keepNext/>
              <w:keepLines/>
              <w:widowControl/>
              <w:jc w:val="center"/>
              <w:rPr>
                <w:rFonts w:ascii="Arial Narrow" w:hAnsi="Arial Narrow"/>
                <w:sz w:val="20"/>
                <w:szCs w:val="20"/>
              </w:rPr>
            </w:pPr>
            <w:r w:rsidRPr="00DC0807">
              <w:rPr>
                <w:rFonts w:ascii="Arial Narrow" w:hAnsi="Arial Narrow"/>
                <w:sz w:val="20"/>
                <w:szCs w:val="20"/>
              </w:rPr>
              <w:t>-6.4 (6.10)</w:t>
            </w:r>
          </w:p>
        </w:tc>
      </w:tr>
    </w:tbl>
    <w:p w:rsidR="00324549" w:rsidRPr="00DC0807" w:rsidRDefault="00324549" w:rsidP="00324549">
      <w:pPr>
        <w:keepNext/>
        <w:keepLines/>
        <w:widowControl/>
        <w:rPr>
          <w:rFonts w:ascii="Arial Narrow" w:hAnsi="Arial Narrow"/>
          <w:sz w:val="18"/>
          <w:szCs w:val="18"/>
        </w:rPr>
      </w:pPr>
      <w:r w:rsidRPr="00DC0807">
        <w:rPr>
          <w:rFonts w:ascii="Arial Narrow" w:hAnsi="Arial Narrow"/>
          <w:sz w:val="18"/>
          <w:szCs w:val="18"/>
        </w:rPr>
        <w:t>Source: Table 2-59, p129 and Table 2-75, p144 of the submission,Table 7, p56 CADMUS JR CSR</w:t>
      </w:r>
    </w:p>
    <w:p w:rsidR="004C3AC1" w:rsidRPr="00DC0807" w:rsidRDefault="004C3AC1" w:rsidP="00477815">
      <w:pPr>
        <w:pStyle w:val="TableFooter"/>
        <w:keepNext/>
        <w:keepLines/>
      </w:pPr>
      <w:r w:rsidRPr="00DC0807">
        <w:rPr>
          <w:szCs w:val="18"/>
        </w:rPr>
        <w:t xml:space="preserve">PGA = physician’s global assessment; CDLQI = children’ dermatology life quality index; </w:t>
      </w:r>
      <w:r w:rsidRPr="00DC0807">
        <w:t>PASI = Psoriasis Area and Severity Index.</w:t>
      </w:r>
    </w:p>
    <w:p w:rsidR="004C3AC1" w:rsidRPr="00DC0807" w:rsidRDefault="00F9056B" w:rsidP="00477815">
      <w:pPr>
        <w:keepNext/>
        <w:keepLines/>
        <w:widowControl/>
        <w:rPr>
          <w:rFonts w:ascii="Arial Narrow" w:hAnsi="Arial Narrow"/>
          <w:sz w:val="18"/>
          <w:szCs w:val="18"/>
        </w:rPr>
      </w:pPr>
      <w:r w:rsidRPr="00DC0807">
        <w:rPr>
          <w:rFonts w:ascii="Arial Narrow" w:hAnsi="Arial Narrow"/>
          <w:sz w:val="18"/>
          <w:szCs w:val="18"/>
          <w:vertAlign w:val="superscript"/>
        </w:rPr>
        <w:t>a</w:t>
      </w:r>
      <w:r w:rsidRPr="00DC0807">
        <w:rPr>
          <w:rFonts w:ascii="Arial Narrow" w:hAnsi="Arial Narrow"/>
          <w:sz w:val="18"/>
          <w:szCs w:val="18"/>
        </w:rPr>
        <w:t xml:space="preserve"> </w:t>
      </w:r>
      <w:r w:rsidR="004C3AC1" w:rsidRPr="00DC0807">
        <w:rPr>
          <w:rFonts w:ascii="Arial Narrow" w:hAnsi="Arial Narrow"/>
          <w:sz w:val="18"/>
          <w:szCs w:val="18"/>
        </w:rPr>
        <w:t>Primary outcomes</w:t>
      </w:r>
    </w:p>
    <w:p w:rsidR="004C3AC1" w:rsidRPr="00DC0807" w:rsidRDefault="004C3AC1" w:rsidP="004C3AC1">
      <w:pPr>
        <w:widowControl/>
        <w:rPr>
          <w:highlight w:val="yellow"/>
        </w:rPr>
      </w:pPr>
    </w:p>
    <w:p w:rsidR="00477815" w:rsidRPr="00DC0807" w:rsidRDefault="00477815" w:rsidP="00A927F1">
      <w:pPr>
        <w:pStyle w:val="ListParagraph"/>
        <w:widowControl/>
        <w:numPr>
          <w:ilvl w:val="1"/>
          <w:numId w:val="1"/>
        </w:numPr>
      </w:pPr>
      <w:r w:rsidRPr="00DC0807">
        <w:rPr>
          <w:rFonts w:cs="Calibri"/>
          <w:snapToGrid/>
          <w:szCs w:val="24"/>
          <w:lang w:eastAsia="en-AU"/>
        </w:rPr>
        <w:t xml:space="preserve">Due to the lack of a comparator, interpretation of CADMUS JR was limited. Ustekinumab appeared to be effective and the proportion of PGA, </w:t>
      </w:r>
      <w:r w:rsidR="00C92D23" w:rsidRPr="00DC0807">
        <w:rPr>
          <w:rFonts w:cs="Calibri"/>
          <w:snapToGrid/>
          <w:szCs w:val="24"/>
          <w:lang w:eastAsia="en-AU"/>
        </w:rPr>
        <w:t>PASI 75</w:t>
      </w:r>
      <w:r w:rsidRPr="00DC0807">
        <w:rPr>
          <w:rFonts w:cs="Calibri"/>
          <w:snapToGrid/>
          <w:szCs w:val="24"/>
          <w:lang w:eastAsia="en-AU"/>
        </w:rPr>
        <w:t xml:space="preserve"> and </w:t>
      </w:r>
      <w:r w:rsidR="00C92D23" w:rsidRPr="00DC0807">
        <w:rPr>
          <w:rFonts w:cs="Calibri"/>
          <w:snapToGrid/>
          <w:szCs w:val="24"/>
          <w:lang w:eastAsia="en-AU"/>
        </w:rPr>
        <w:t>PASI 90</w:t>
      </w:r>
      <w:r w:rsidRPr="00DC0807">
        <w:rPr>
          <w:rFonts w:cs="Calibri"/>
          <w:snapToGrid/>
          <w:szCs w:val="24"/>
          <w:lang w:eastAsia="en-AU"/>
        </w:rPr>
        <w:t xml:space="preserve"> responders as well as CDLQI improvement appeared similar to CADMUS.</w:t>
      </w:r>
    </w:p>
    <w:p w:rsidR="004C3AC1" w:rsidRPr="00DC0807" w:rsidRDefault="00477815" w:rsidP="00477815">
      <w:pPr>
        <w:keepNext/>
        <w:keepLines/>
        <w:widowControl/>
        <w:rPr>
          <w:rFonts w:ascii="Arial Narrow" w:hAnsi="Arial Narrow"/>
          <w:b/>
          <w:sz w:val="20"/>
          <w:szCs w:val="20"/>
        </w:rPr>
      </w:pPr>
      <w:bookmarkStart w:id="14" w:name="_Ref61125413"/>
      <w:r w:rsidRPr="00DC0807">
        <w:rPr>
          <w:rFonts w:ascii="Arial Narrow" w:hAnsi="Arial Narrow"/>
          <w:b/>
          <w:sz w:val="20"/>
          <w:szCs w:val="20"/>
        </w:rPr>
        <w:t xml:space="preserve">Table </w:t>
      </w:r>
      <w:r w:rsidR="00AE572A" w:rsidRPr="00DC0807">
        <w:rPr>
          <w:rFonts w:ascii="Arial Narrow" w:hAnsi="Arial Narrow"/>
          <w:b/>
          <w:sz w:val="20"/>
          <w:szCs w:val="20"/>
        </w:rPr>
        <w:t>6</w:t>
      </w:r>
      <w:bookmarkEnd w:id="14"/>
      <w:r w:rsidR="004C3AC1" w:rsidRPr="00DC0807">
        <w:rPr>
          <w:rFonts w:ascii="Arial Narrow" w:hAnsi="Arial Narrow"/>
          <w:b/>
          <w:sz w:val="20"/>
          <w:szCs w:val="20"/>
        </w:rPr>
        <w:t>: Results of primary and secondary endpoints at Week 12 and Weeks 24 in Paller 2008</w:t>
      </w:r>
    </w:p>
    <w:tbl>
      <w:tblPr>
        <w:tblStyle w:val="TableGrid"/>
        <w:tblW w:w="0" w:type="auto"/>
        <w:tblLook w:val="04A0" w:firstRow="1" w:lastRow="0" w:firstColumn="1" w:lastColumn="0" w:noHBand="0" w:noVBand="1"/>
        <w:tblCaption w:val="Table 6: Results of primary and secondary endpoints at Week 12 and Weeks 24 in Paller 2008"/>
      </w:tblPr>
      <w:tblGrid>
        <w:gridCol w:w="3823"/>
        <w:gridCol w:w="1275"/>
        <w:gridCol w:w="1140"/>
        <w:gridCol w:w="1554"/>
        <w:gridCol w:w="1224"/>
      </w:tblGrid>
      <w:tr w:rsidR="00477815" w:rsidRPr="00DC0807" w:rsidTr="00CD1F63">
        <w:trPr>
          <w:tblHeader/>
        </w:trPr>
        <w:tc>
          <w:tcPr>
            <w:tcW w:w="3823" w:type="dxa"/>
            <w:vMerge w:val="restart"/>
          </w:tcPr>
          <w:p w:rsidR="00477815" w:rsidRPr="00DC0807" w:rsidRDefault="00477815" w:rsidP="00477815">
            <w:pPr>
              <w:keepNext/>
              <w:keepLines/>
              <w:widowControl/>
              <w:rPr>
                <w:rFonts w:ascii="Arial Narrow" w:hAnsi="Arial Narrow"/>
                <w:sz w:val="20"/>
                <w:szCs w:val="20"/>
              </w:rPr>
            </w:pPr>
          </w:p>
        </w:tc>
        <w:tc>
          <w:tcPr>
            <w:tcW w:w="3969" w:type="dxa"/>
            <w:gridSpan w:val="3"/>
          </w:tcPr>
          <w:p w:rsidR="00477815" w:rsidRPr="00DC0807" w:rsidRDefault="00477815" w:rsidP="00477815">
            <w:pPr>
              <w:keepNext/>
              <w:keepLines/>
              <w:widowControl/>
              <w:jc w:val="center"/>
              <w:rPr>
                <w:rFonts w:ascii="Arial Narrow" w:hAnsi="Arial Narrow"/>
                <w:b/>
                <w:sz w:val="20"/>
                <w:szCs w:val="20"/>
              </w:rPr>
            </w:pPr>
            <w:r w:rsidRPr="00DC0807">
              <w:rPr>
                <w:rFonts w:ascii="Arial Narrow" w:hAnsi="Arial Narrow"/>
                <w:b/>
                <w:sz w:val="20"/>
                <w:szCs w:val="20"/>
              </w:rPr>
              <w:t>Week 12</w:t>
            </w:r>
          </w:p>
        </w:tc>
        <w:tc>
          <w:tcPr>
            <w:tcW w:w="1224" w:type="dxa"/>
          </w:tcPr>
          <w:p w:rsidR="00477815" w:rsidRPr="00DC0807" w:rsidRDefault="00477815" w:rsidP="00477815">
            <w:pPr>
              <w:keepNext/>
              <w:keepLines/>
              <w:widowControl/>
              <w:jc w:val="center"/>
              <w:rPr>
                <w:rFonts w:ascii="Arial Narrow" w:hAnsi="Arial Narrow"/>
                <w:b/>
                <w:sz w:val="20"/>
                <w:szCs w:val="20"/>
              </w:rPr>
            </w:pPr>
            <w:r w:rsidRPr="00DC0807">
              <w:rPr>
                <w:rFonts w:ascii="Arial Narrow" w:hAnsi="Arial Narrow"/>
                <w:b/>
                <w:sz w:val="20"/>
                <w:szCs w:val="20"/>
              </w:rPr>
              <w:t>Week 24</w:t>
            </w:r>
          </w:p>
        </w:tc>
      </w:tr>
      <w:tr w:rsidR="00477815" w:rsidRPr="00DC0807" w:rsidTr="00CD1F63">
        <w:trPr>
          <w:tblHeader/>
        </w:trPr>
        <w:tc>
          <w:tcPr>
            <w:tcW w:w="3823" w:type="dxa"/>
            <w:vMerge/>
          </w:tcPr>
          <w:p w:rsidR="00477815" w:rsidRPr="00DC0807" w:rsidRDefault="00477815" w:rsidP="00477815">
            <w:pPr>
              <w:keepNext/>
              <w:keepLines/>
              <w:widowControl/>
              <w:rPr>
                <w:rFonts w:ascii="Arial Narrow" w:hAnsi="Arial Narrow"/>
                <w:sz w:val="20"/>
                <w:szCs w:val="20"/>
              </w:rPr>
            </w:pPr>
          </w:p>
        </w:tc>
        <w:tc>
          <w:tcPr>
            <w:tcW w:w="1275" w:type="dxa"/>
            <w:vAlign w:val="center"/>
          </w:tcPr>
          <w:p w:rsidR="00477815" w:rsidRPr="00DC0807" w:rsidRDefault="00477815" w:rsidP="00E800C4">
            <w:pPr>
              <w:keepNext/>
              <w:keepLines/>
              <w:widowControl/>
              <w:jc w:val="center"/>
              <w:rPr>
                <w:rFonts w:ascii="Arial Narrow" w:hAnsi="Arial Narrow"/>
                <w:b/>
                <w:bCs/>
                <w:sz w:val="20"/>
                <w:szCs w:val="20"/>
              </w:rPr>
            </w:pPr>
            <w:r w:rsidRPr="00DC0807">
              <w:rPr>
                <w:rFonts w:ascii="Arial Narrow" w:hAnsi="Arial Narrow"/>
                <w:b/>
                <w:bCs/>
                <w:sz w:val="20"/>
                <w:szCs w:val="20"/>
              </w:rPr>
              <w:t>Placebo</w:t>
            </w:r>
          </w:p>
        </w:tc>
        <w:tc>
          <w:tcPr>
            <w:tcW w:w="1140" w:type="dxa"/>
            <w:vAlign w:val="center"/>
          </w:tcPr>
          <w:p w:rsidR="00477815" w:rsidRPr="00DC0807" w:rsidRDefault="00477815" w:rsidP="00E800C4">
            <w:pPr>
              <w:keepNext/>
              <w:keepLines/>
              <w:widowControl/>
              <w:jc w:val="center"/>
              <w:rPr>
                <w:rFonts w:ascii="Arial Narrow" w:hAnsi="Arial Narrow"/>
                <w:b/>
                <w:bCs/>
                <w:sz w:val="20"/>
                <w:szCs w:val="20"/>
              </w:rPr>
            </w:pPr>
            <w:r w:rsidRPr="00DC0807">
              <w:rPr>
                <w:rFonts w:ascii="Arial Narrow" w:hAnsi="Arial Narrow"/>
                <w:b/>
                <w:bCs/>
                <w:sz w:val="20"/>
                <w:szCs w:val="20"/>
              </w:rPr>
              <w:t>Etanercept</w:t>
            </w:r>
          </w:p>
        </w:tc>
        <w:tc>
          <w:tcPr>
            <w:tcW w:w="1554" w:type="dxa"/>
            <w:vAlign w:val="center"/>
          </w:tcPr>
          <w:p w:rsidR="00477815" w:rsidRPr="00DC0807" w:rsidRDefault="00477815" w:rsidP="00E800C4">
            <w:pPr>
              <w:keepNext/>
              <w:keepLines/>
              <w:widowControl/>
              <w:jc w:val="center"/>
              <w:rPr>
                <w:rFonts w:ascii="Arial Narrow" w:hAnsi="Arial Narrow"/>
                <w:b/>
                <w:bCs/>
                <w:sz w:val="20"/>
                <w:szCs w:val="20"/>
              </w:rPr>
            </w:pPr>
            <w:r w:rsidRPr="00DC0807">
              <w:rPr>
                <w:rFonts w:ascii="Arial Narrow" w:hAnsi="Arial Narrow"/>
                <w:b/>
                <w:bCs/>
                <w:sz w:val="20"/>
                <w:szCs w:val="20"/>
              </w:rPr>
              <w:t>Difference RD</w:t>
            </w:r>
            <w:r w:rsidR="00E800C4" w:rsidRPr="00DC0807">
              <w:rPr>
                <w:rFonts w:ascii="Arial Narrow" w:hAnsi="Arial Narrow"/>
                <w:b/>
                <w:bCs/>
                <w:sz w:val="20"/>
                <w:szCs w:val="20"/>
              </w:rPr>
              <w:t xml:space="preserve"> </w:t>
            </w:r>
            <w:r w:rsidRPr="00DC0807">
              <w:rPr>
                <w:rFonts w:ascii="Arial Narrow" w:hAnsi="Arial Narrow"/>
                <w:b/>
                <w:bCs/>
                <w:sz w:val="20"/>
                <w:szCs w:val="20"/>
              </w:rPr>
              <w:t>(95%CI)</w:t>
            </w:r>
          </w:p>
        </w:tc>
        <w:tc>
          <w:tcPr>
            <w:tcW w:w="1224" w:type="dxa"/>
            <w:vAlign w:val="center"/>
          </w:tcPr>
          <w:p w:rsidR="00477815" w:rsidRPr="00DC0807" w:rsidRDefault="00477815" w:rsidP="00E800C4">
            <w:pPr>
              <w:keepNext/>
              <w:keepLines/>
              <w:widowControl/>
              <w:jc w:val="center"/>
              <w:rPr>
                <w:rFonts w:ascii="Arial Narrow" w:hAnsi="Arial Narrow"/>
                <w:b/>
                <w:bCs/>
                <w:sz w:val="20"/>
                <w:szCs w:val="20"/>
              </w:rPr>
            </w:pPr>
            <w:r w:rsidRPr="00DC0807">
              <w:rPr>
                <w:rFonts w:ascii="Arial Narrow" w:hAnsi="Arial Narrow"/>
                <w:b/>
                <w:bCs/>
                <w:sz w:val="20"/>
                <w:szCs w:val="20"/>
              </w:rPr>
              <w:t>Etanercept</w:t>
            </w:r>
          </w:p>
        </w:tc>
      </w:tr>
      <w:tr w:rsidR="00477815" w:rsidRPr="00DC0807" w:rsidTr="00A03127">
        <w:tc>
          <w:tcPr>
            <w:tcW w:w="3823" w:type="dxa"/>
            <w:vAlign w:val="center"/>
          </w:tcPr>
          <w:p w:rsidR="00477815" w:rsidRPr="00DC0807" w:rsidRDefault="00477815" w:rsidP="00A03127">
            <w:pPr>
              <w:keepNext/>
              <w:keepLines/>
              <w:widowControl/>
              <w:jc w:val="left"/>
              <w:rPr>
                <w:rFonts w:ascii="Arial Narrow" w:hAnsi="Arial Narrow"/>
                <w:sz w:val="20"/>
                <w:szCs w:val="20"/>
              </w:rPr>
            </w:pPr>
            <w:r w:rsidRPr="00DC0807">
              <w:rPr>
                <w:rFonts w:ascii="Arial Narrow" w:hAnsi="Arial Narrow"/>
                <w:sz w:val="20"/>
                <w:szCs w:val="20"/>
              </w:rPr>
              <w:t>Patients randomised</w:t>
            </w:r>
          </w:p>
        </w:tc>
        <w:tc>
          <w:tcPr>
            <w:tcW w:w="1275"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105</w:t>
            </w:r>
          </w:p>
        </w:tc>
        <w:tc>
          <w:tcPr>
            <w:tcW w:w="1140"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106</w:t>
            </w:r>
          </w:p>
        </w:tc>
        <w:tc>
          <w:tcPr>
            <w:tcW w:w="1554"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w:t>
            </w:r>
          </w:p>
        </w:tc>
        <w:tc>
          <w:tcPr>
            <w:tcW w:w="1224"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106</w:t>
            </w:r>
          </w:p>
        </w:tc>
      </w:tr>
      <w:tr w:rsidR="00477815" w:rsidRPr="00DC0807" w:rsidTr="00A03127">
        <w:tc>
          <w:tcPr>
            <w:tcW w:w="3823" w:type="dxa"/>
            <w:vAlign w:val="center"/>
          </w:tcPr>
          <w:p w:rsidR="00477815" w:rsidRPr="00DC0807" w:rsidRDefault="00A03127" w:rsidP="00A03127">
            <w:pPr>
              <w:keepNext/>
              <w:keepLines/>
              <w:widowControl/>
              <w:jc w:val="left"/>
              <w:rPr>
                <w:rFonts w:ascii="Arial Narrow" w:hAnsi="Arial Narrow"/>
                <w:sz w:val="20"/>
                <w:szCs w:val="20"/>
              </w:rPr>
            </w:pPr>
            <w:r w:rsidRPr="00DC0807">
              <w:rPr>
                <w:rFonts w:ascii="Arial Narrow" w:hAnsi="Arial Narrow"/>
                <w:sz w:val="20"/>
                <w:szCs w:val="20"/>
              </w:rPr>
              <w:t>P</w:t>
            </w:r>
            <w:r w:rsidR="00477815" w:rsidRPr="00DC0807">
              <w:rPr>
                <w:rFonts w:ascii="Arial Narrow" w:hAnsi="Arial Narrow"/>
                <w:sz w:val="20"/>
                <w:szCs w:val="20"/>
              </w:rPr>
              <w:t>atients who achieved a PGA score of cleared (0) or minimal (1)</w:t>
            </w:r>
            <w:r w:rsidRPr="00DC0807">
              <w:rPr>
                <w:rFonts w:ascii="Arial Narrow" w:hAnsi="Arial Narrow"/>
                <w:sz w:val="20"/>
                <w:szCs w:val="20"/>
              </w:rPr>
              <w:t>, n(%)</w:t>
            </w:r>
          </w:p>
        </w:tc>
        <w:tc>
          <w:tcPr>
            <w:tcW w:w="1275"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14 (13.3%)</w:t>
            </w:r>
          </w:p>
        </w:tc>
        <w:tc>
          <w:tcPr>
            <w:tcW w:w="1140"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56 (52.8%)</w:t>
            </w:r>
          </w:p>
        </w:tc>
        <w:tc>
          <w:tcPr>
            <w:tcW w:w="1554" w:type="dxa"/>
            <w:vAlign w:val="center"/>
          </w:tcPr>
          <w:p w:rsidR="00477815" w:rsidRPr="00DC0807" w:rsidRDefault="00A03127" w:rsidP="00261509">
            <w:pPr>
              <w:keepNext/>
              <w:keepLines/>
              <w:widowControl/>
              <w:jc w:val="center"/>
              <w:rPr>
                <w:rFonts w:ascii="Arial Narrow" w:hAnsi="Arial Narrow"/>
                <w:sz w:val="20"/>
                <w:szCs w:val="20"/>
              </w:rPr>
            </w:pPr>
            <w:r w:rsidRPr="00DC0807">
              <w:rPr>
                <w:rFonts w:ascii="Arial Narrow" w:hAnsi="Arial Narrow"/>
                <w:b/>
                <w:sz w:val="20"/>
                <w:szCs w:val="20"/>
              </w:rPr>
              <w:t>0.40 (0.20, 0.51)</w:t>
            </w:r>
            <w:r w:rsidR="00261509" w:rsidRPr="00DC0807">
              <w:rPr>
                <w:rFonts w:ascii="Arial Narrow" w:hAnsi="Arial Narrow"/>
                <w:b/>
                <w:sz w:val="20"/>
                <w:szCs w:val="20"/>
                <w:vertAlign w:val="superscript"/>
              </w:rPr>
              <w:t>b</w:t>
            </w:r>
          </w:p>
        </w:tc>
        <w:tc>
          <w:tcPr>
            <w:tcW w:w="1224"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60 (55.0%)</w:t>
            </w:r>
          </w:p>
        </w:tc>
      </w:tr>
      <w:tr w:rsidR="005D30F8" w:rsidRPr="00DC0807" w:rsidTr="00F40495">
        <w:trPr>
          <w:trHeight w:val="187"/>
        </w:trPr>
        <w:tc>
          <w:tcPr>
            <w:tcW w:w="3823" w:type="dxa"/>
            <w:vAlign w:val="center"/>
          </w:tcPr>
          <w:p w:rsidR="00477815" w:rsidRPr="00DC0807" w:rsidRDefault="00C92D23" w:rsidP="00261509">
            <w:pPr>
              <w:keepNext/>
              <w:keepLines/>
              <w:widowControl/>
              <w:jc w:val="left"/>
              <w:rPr>
                <w:rFonts w:ascii="Arial Narrow" w:hAnsi="Arial Narrow"/>
                <w:sz w:val="20"/>
                <w:szCs w:val="20"/>
              </w:rPr>
            </w:pPr>
            <w:r w:rsidRPr="00DC0807">
              <w:rPr>
                <w:rFonts w:ascii="Arial Narrow" w:hAnsi="Arial Narrow"/>
                <w:sz w:val="20"/>
                <w:szCs w:val="20"/>
              </w:rPr>
              <w:t>PASI 75</w:t>
            </w:r>
            <w:r w:rsidR="00477815" w:rsidRPr="00DC0807">
              <w:rPr>
                <w:rFonts w:ascii="Arial Narrow" w:hAnsi="Arial Narrow"/>
                <w:sz w:val="20"/>
                <w:szCs w:val="20"/>
              </w:rPr>
              <w:t xml:space="preserve"> responders</w:t>
            </w:r>
            <w:r w:rsidR="00261509" w:rsidRPr="00DC0807">
              <w:rPr>
                <w:rFonts w:ascii="Arial Narrow" w:hAnsi="Arial Narrow"/>
                <w:sz w:val="20"/>
                <w:szCs w:val="20"/>
                <w:vertAlign w:val="superscript"/>
              </w:rPr>
              <w:t>a</w:t>
            </w:r>
            <w:r w:rsidR="00A03127" w:rsidRPr="00DC0807">
              <w:rPr>
                <w:rFonts w:ascii="Arial Narrow" w:hAnsi="Arial Narrow"/>
                <w:sz w:val="20"/>
                <w:szCs w:val="20"/>
              </w:rPr>
              <w:t>, n(%)</w:t>
            </w:r>
          </w:p>
        </w:tc>
        <w:tc>
          <w:tcPr>
            <w:tcW w:w="1275"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12 (11.4%)</w:t>
            </w:r>
          </w:p>
        </w:tc>
        <w:tc>
          <w:tcPr>
            <w:tcW w:w="1140"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60 (56.6%)</w:t>
            </w:r>
          </w:p>
        </w:tc>
        <w:tc>
          <w:tcPr>
            <w:tcW w:w="1554" w:type="dxa"/>
            <w:vAlign w:val="center"/>
          </w:tcPr>
          <w:p w:rsidR="00477815" w:rsidRPr="00DC0807" w:rsidRDefault="00A03127" w:rsidP="00A03127">
            <w:pPr>
              <w:keepNext/>
              <w:keepLines/>
              <w:widowControl/>
              <w:jc w:val="center"/>
              <w:rPr>
                <w:rFonts w:ascii="Arial Narrow" w:hAnsi="Arial Narrow"/>
                <w:b/>
                <w:sz w:val="20"/>
                <w:szCs w:val="20"/>
              </w:rPr>
            </w:pPr>
            <w:r w:rsidRPr="00DC0807">
              <w:rPr>
                <w:rFonts w:ascii="Arial Narrow" w:hAnsi="Arial Narrow"/>
                <w:b/>
                <w:sz w:val="20"/>
                <w:szCs w:val="20"/>
              </w:rPr>
              <w:t>0.45 (0.34, 0.56)</w:t>
            </w:r>
          </w:p>
        </w:tc>
        <w:tc>
          <w:tcPr>
            <w:tcW w:w="1224"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72 (67.9%)</w:t>
            </w:r>
          </w:p>
        </w:tc>
      </w:tr>
      <w:tr w:rsidR="00477815" w:rsidRPr="00DC0807" w:rsidTr="00A03127">
        <w:tc>
          <w:tcPr>
            <w:tcW w:w="3823" w:type="dxa"/>
            <w:vAlign w:val="center"/>
          </w:tcPr>
          <w:p w:rsidR="00477815" w:rsidRPr="00DC0807" w:rsidRDefault="00C92D23" w:rsidP="00A03127">
            <w:pPr>
              <w:keepNext/>
              <w:keepLines/>
              <w:widowControl/>
              <w:jc w:val="left"/>
              <w:rPr>
                <w:rFonts w:ascii="Arial Narrow" w:hAnsi="Arial Narrow"/>
                <w:sz w:val="20"/>
                <w:szCs w:val="20"/>
              </w:rPr>
            </w:pPr>
            <w:r w:rsidRPr="00DC0807">
              <w:rPr>
                <w:rFonts w:ascii="Arial Narrow" w:hAnsi="Arial Narrow"/>
                <w:sz w:val="20"/>
                <w:szCs w:val="20"/>
              </w:rPr>
              <w:t>PASI 90</w:t>
            </w:r>
            <w:r w:rsidR="00477815" w:rsidRPr="00DC0807">
              <w:rPr>
                <w:rFonts w:ascii="Arial Narrow" w:hAnsi="Arial Narrow"/>
                <w:sz w:val="20"/>
                <w:szCs w:val="20"/>
              </w:rPr>
              <w:t xml:space="preserve"> responders</w:t>
            </w:r>
            <w:r w:rsidR="00261509" w:rsidRPr="00DC0807">
              <w:rPr>
                <w:rFonts w:ascii="Arial Narrow" w:hAnsi="Arial Narrow"/>
                <w:sz w:val="20"/>
                <w:szCs w:val="20"/>
                <w:vertAlign w:val="superscript"/>
              </w:rPr>
              <w:t>a</w:t>
            </w:r>
            <w:r w:rsidR="00A03127" w:rsidRPr="00DC0807">
              <w:rPr>
                <w:rFonts w:ascii="Arial Narrow" w:hAnsi="Arial Narrow"/>
                <w:sz w:val="20"/>
                <w:szCs w:val="20"/>
              </w:rPr>
              <w:t>, n(%)</w:t>
            </w:r>
          </w:p>
        </w:tc>
        <w:tc>
          <w:tcPr>
            <w:tcW w:w="1275"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7 (6.7%)</w:t>
            </w:r>
          </w:p>
        </w:tc>
        <w:tc>
          <w:tcPr>
            <w:tcW w:w="1140"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29 (27.4%)</w:t>
            </w:r>
          </w:p>
        </w:tc>
        <w:tc>
          <w:tcPr>
            <w:tcW w:w="1554" w:type="dxa"/>
            <w:vAlign w:val="center"/>
          </w:tcPr>
          <w:p w:rsidR="00477815" w:rsidRPr="00DC0807" w:rsidRDefault="00A03127" w:rsidP="00A03127">
            <w:pPr>
              <w:keepNext/>
              <w:keepLines/>
              <w:widowControl/>
              <w:jc w:val="center"/>
              <w:rPr>
                <w:rFonts w:ascii="Arial Narrow" w:hAnsi="Arial Narrow"/>
                <w:b/>
                <w:sz w:val="20"/>
                <w:szCs w:val="20"/>
              </w:rPr>
            </w:pPr>
            <w:r w:rsidRPr="00DC0807">
              <w:rPr>
                <w:rFonts w:ascii="Arial Narrow" w:hAnsi="Arial Narrow"/>
                <w:b/>
                <w:sz w:val="20"/>
                <w:szCs w:val="20"/>
              </w:rPr>
              <w:t>0.21 (0.11, 0.3)</w:t>
            </w:r>
          </w:p>
        </w:tc>
        <w:tc>
          <w:tcPr>
            <w:tcW w:w="1224"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39 (36.8%)</w:t>
            </w:r>
          </w:p>
        </w:tc>
      </w:tr>
      <w:tr w:rsidR="00477815" w:rsidRPr="00DC0807" w:rsidTr="00A03127">
        <w:tc>
          <w:tcPr>
            <w:tcW w:w="3823" w:type="dxa"/>
            <w:vAlign w:val="center"/>
          </w:tcPr>
          <w:p w:rsidR="00477815" w:rsidRPr="00DC0807" w:rsidRDefault="00477815" w:rsidP="00A03127">
            <w:pPr>
              <w:keepNext/>
              <w:keepLines/>
              <w:widowControl/>
              <w:jc w:val="left"/>
              <w:rPr>
                <w:rFonts w:ascii="Arial Narrow" w:hAnsi="Arial Narrow"/>
                <w:sz w:val="20"/>
                <w:szCs w:val="20"/>
              </w:rPr>
            </w:pPr>
            <w:r w:rsidRPr="00DC0807">
              <w:rPr>
                <w:rFonts w:ascii="Arial Narrow" w:hAnsi="Arial Narrow"/>
                <w:sz w:val="20"/>
                <w:szCs w:val="20"/>
              </w:rPr>
              <w:t>PedsQL Mean change from baseline</w:t>
            </w:r>
            <w:r w:rsidR="00A03127" w:rsidRPr="00DC0807">
              <w:rPr>
                <w:rFonts w:ascii="Arial Narrow" w:hAnsi="Arial Narrow"/>
                <w:sz w:val="20"/>
                <w:szCs w:val="20"/>
              </w:rPr>
              <w:t>, m</w:t>
            </w:r>
            <w:r w:rsidRPr="00DC0807">
              <w:rPr>
                <w:rFonts w:ascii="Arial Narrow" w:hAnsi="Arial Narrow"/>
                <w:sz w:val="20"/>
                <w:szCs w:val="20"/>
              </w:rPr>
              <w:t>ean (SD)</w:t>
            </w:r>
          </w:p>
        </w:tc>
        <w:tc>
          <w:tcPr>
            <w:tcW w:w="1275"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3.8 (10.1)</w:t>
            </w:r>
          </w:p>
        </w:tc>
        <w:tc>
          <w:tcPr>
            <w:tcW w:w="1140"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6.8 (17.6)</w:t>
            </w:r>
          </w:p>
        </w:tc>
        <w:tc>
          <w:tcPr>
            <w:tcW w:w="1554"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3.0 (NR)</w:t>
            </w:r>
          </w:p>
        </w:tc>
        <w:tc>
          <w:tcPr>
            <w:tcW w:w="1224"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NR</w:t>
            </w:r>
          </w:p>
        </w:tc>
      </w:tr>
      <w:tr w:rsidR="00477815" w:rsidRPr="00DC0807" w:rsidTr="00A03127">
        <w:tc>
          <w:tcPr>
            <w:tcW w:w="3823" w:type="dxa"/>
            <w:vAlign w:val="center"/>
          </w:tcPr>
          <w:p w:rsidR="00477815" w:rsidRPr="00DC0807" w:rsidRDefault="00477815" w:rsidP="00A03127">
            <w:pPr>
              <w:keepNext/>
              <w:keepLines/>
              <w:widowControl/>
              <w:jc w:val="left"/>
              <w:rPr>
                <w:rFonts w:ascii="Arial Narrow" w:hAnsi="Arial Narrow"/>
                <w:sz w:val="20"/>
                <w:szCs w:val="20"/>
              </w:rPr>
            </w:pPr>
            <w:r w:rsidRPr="00DC0807">
              <w:rPr>
                <w:rFonts w:ascii="Arial Narrow" w:hAnsi="Arial Narrow"/>
                <w:sz w:val="20"/>
                <w:szCs w:val="20"/>
              </w:rPr>
              <w:t>Change from baseline CLDQI, mean (SD)</w:t>
            </w:r>
          </w:p>
        </w:tc>
        <w:tc>
          <w:tcPr>
            <w:tcW w:w="1275"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-3.</w:t>
            </w:r>
            <w:r w:rsidR="005D30F8" w:rsidRPr="00DC0807">
              <w:rPr>
                <w:rFonts w:ascii="Arial Narrow" w:hAnsi="Arial Narrow"/>
                <w:iCs/>
                <w:sz w:val="20"/>
                <w:szCs w:val="20"/>
              </w:rPr>
              <w:t>1</w:t>
            </w:r>
            <w:r w:rsidR="005D30F8" w:rsidRPr="00DC0807">
              <w:rPr>
                <w:rFonts w:ascii="Arial Narrow" w:hAnsi="Arial Narrow"/>
                <w:sz w:val="20"/>
                <w:szCs w:val="20"/>
              </w:rPr>
              <w:t xml:space="preserve"> </w:t>
            </w:r>
            <w:r w:rsidRPr="00DC0807">
              <w:rPr>
                <w:rFonts w:ascii="Arial Narrow" w:hAnsi="Arial Narrow"/>
                <w:sz w:val="20"/>
                <w:szCs w:val="20"/>
              </w:rPr>
              <w:t>(5.</w:t>
            </w:r>
            <w:r w:rsidR="005D30F8" w:rsidRPr="00DC0807">
              <w:rPr>
                <w:rFonts w:ascii="Arial Narrow" w:hAnsi="Arial Narrow"/>
                <w:iCs/>
                <w:sz w:val="20"/>
                <w:szCs w:val="20"/>
              </w:rPr>
              <w:t>1</w:t>
            </w:r>
            <w:r w:rsidRPr="00DC0807">
              <w:rPr>
                <w:rFonts w:ascii="Arial Narrow" w:hAnsi="Arial Narrow"/>
                <w:sz w:val="20"/>
                <w:szCs w:val="20"/>
              </w:rPr>
              <w:t>)</w:t>
            </w:r>
          </w:p>
        </w:tc>
        <w:tc>
          <w:tcPr>
            <w:tcW w:w="1140"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sz w:val="20"/>
                <w:szCs w:val="20"/>
              </w:rPr>
              <w:t>-5.4 (5.6)</w:t>
            </w:r>
          </w:p>
        </w:tc>
        <w:tc>
          <w:tcPr>
            <w:tcW w:w="1554" w:type="dxa"/>
            <w:vAlign w:val="center"/>
          </w:tcPr>
          <w:p w:rsidR="00477815" w:rsidRPr="00DC0807" w:rsidRDefault="00477815" w:rsidP="00A03127">
            <w:pPr>
              <w:keepNext/>
              <w:keepLines/>
              <w:widowControl/>
              <w:jc w:val="center"/>
              <w:rPr>
                <w:rFonts w:ascii="Arial Narrow" w:hAnsi="Arial Narrow"/>
                <w:sz w:val="20"/>
                <w:szCs w:val="20"/>
              </w:rPr>
            </w:pPr>
            <w:r w:rsidRPr="00DC0807">
              <w:rPr>
                <w:rFonts w:ascii="Arial Narrow" w:hAnsi="Arial Narrow"/>
                <w:b/>
                <w:sz w:val="20"/>
                <w:szCs w:val="20"/>
              </w:rPr>
              <w:t>-2</w:t>
            </w:r>
            <w:r w:rsidR="00A03127" w:rsidRPr="00DC0807">
              <w:rPr>
                <w:rFonts w:ascii="Arial Narrow" w:hAnsi="Arial Narrow"/>
                <w:b/>
                <w:sz w:val="20"/>
                <w:szCs w:val="20"/>
              </w:rPr>
              <w:t xml:space="preserve"> </w:t>
            </w:r>
            <w:r w:rsidRPr="00DC0807">
              <w:rPr>
                <w:rFonts w:ascii="Arial Narrow" w:hAnsi="Arial Narrow"/>
                <w:b/>
                <w:sz w:val="20"/>
                <w:szCs w:val="20"/>
              </w:rPr>
              <w:t>(-3.48, 0.52)</w:t>
            </w:r>
          </w:p>
        </w:tc>
        <w:tc>
          <w:tcPr>
            <w:tcW w:w="1224" w:type="dxa"/>
            <w:vAlign w:val="center"/>
          </w:tcPr>
          <w:p w:rsidR="00477815" w:rsidRPr="00DC0807" w:rsidRDefault="001D6EF4" w:rsidP="00A03127">
            <w:pPr>
              <w:keepNext/>
              <w:keepLines/>
              <w:widowControl/>
              <w:jc w:val="center"/>
              <w:rPr>
                <w:rFonts w:ascii="Arial Narrow" w:hAnsi="Arial Narrow"/>
                <w:sz w:val="20"/>
                <w:szCs w:val="20"/>
              </w:rPr>
            </w:pPr>
            <w:r w:rsidRPr="00DC0807">
              <w:rPr>
                <w:rFonts w:ascii="Arial Narrow" w:hAnsi="Arial Narrow"/>
                <w:sz w:val="20"/>
                <w:szCs w:val="20"/>
              </w:rPr>
              <w:t>NR</w:t>
            </w:r>
          </w:p>
        </w:tc>
      </w:tr>
    </w:tbl>
    <w:p w:rsidR="00324549" w:rsidRPr="00DC0807" w:rsidRDefault="00324549" w:rsidP="00324549">
      <w:pPr>
        <w:keepNext/>
        <w:keepLines/>
        <w:widowControl/>
        <w:rPr>
          <w:rFonts w:ascii="Arial Narrow" w:hAnsi="Arial Narrow"/>
          <w:sz w:val="18"/>
          <w:szCs w:val="18"/>
        </w:rPr>
      </w:pPr>
      <w:r w:rsidRPr="00DC0807">
        <w:rPr>
          <w:rFonts w:ascii="Arial Narrow" w:hAnsi="Arial Narrow"/>
          <w:sz w:val="18"/>
          <w:szCs w:val="18"/>
        </w:rPr>
        <w:t>Source: Langley 2011. Table 2-30, p98, Table 2-32, p101, Table 2-34, p102, Table 2-41, p113 and Table 2-75, p144 of the submission.</w:t>
      </w:r>
    </w:p>
    <w:p w:rsidR="004C3AC1" w:rsidRPr="00DC0807" w:rsidRDefault="004C3AC1" w:rsidP="00477815">
      <w:pPr>
        <w:keepNext/>
        <w:keepLines/>
        <w:widowControl/>
        <w:rPr>
          <w:rFonts w:ascii="Arial Narrow" w:hAnsi="Arial Narrow"/>
          <w:sz w:val="18"/>
          <w:szCs w:val="18"/>
        </w:rPr>
      </w:pPr>
      <w:r w:rsidRPr="00DC0807">
        <w:rPr>
          <w:rFonts w:ascii="Arial Narrow" w:hAnsi="Arial Narrow"/>
          <w:sz w:val="18"/>
          <w:szCs w:val="18"/>
        </w:rPr>
        <w:t>Bold indicates a statistically significant difference</w:t>
      </w:r>
      <w:r w:rsidR="00A03127" w:rsidRPr="00DC0807">
        <w:rPr>
          <w:rFonts w:ascii="Arial Narrow" w:hAnsi="Arial Narrow"/>
          <w:sz w:val="18"/>
          <w:szCs w:val="18"/>
        </w:rPr>
        <w:t>, values in italics indicate estimated during evaluation</w:t>
      </w:r>
    </w:p>
    <w:p w:rsidR="004C3AC1" w:rsidRPr="00DC0807" w:rsidRDefault="004C3AC1" w:rsidP="00477815">
      <w:pPr>
        <w:pStyle w:val="TableFooter"/>
        <w:keepNext/>
        <w:keepLines/>
      </w:pPr>
      <w:r w:rsidRPr="00DC0807">
        <w:rPr>
          <w:szCs w:val="18"/>
        </w:rPr>
        <w:t xml:space="preserve">PGA = physician’s global assessment; CDLQI = children’s dermatology life quality index; SD = standard deviation; </w:t>
      </w:r>
      <w:r w:rsidRPr="00DC0807">
        <w:t>PASI = Pso</w:t>
      </w:r>
      <w:r w:rsidR="00477815" w:rsidRPr="00DC0807">
        <w:t xml:space="preserve">riasis </w:t>
      </w:r>
      <w:r w:rsidR="0072676B" w:rsidRPr="00DC0807">
        <w:t>Area and</w:t>
      </w:r>
      <w:r w:rsidR="00477815" w:rsidRPr="00DC0807">
        <w:t xml:space="preserve"> Severity Index, </w:t>
      </w:r>
      <w:r w:rsidR="00D92155" w:rsidRPr="00DC0807">
        <w:t xml:space="preserve">PedsQL = Pediatric Quality of Life Inventory; </w:t>
      </w:r>
      <w:r w:rsidR="00477815" w:rsidRPr="00DC0807">
        <w:t>NR = not reported</w:t>
      </w:r>
      <w:r w:rsidR="00A03127" w:rsidRPr="00DC0807">
        <w:t>, RD = risk difference</w:t>
      </w:r>
    </w:p>
    <w:p w:rsidR="00A03127" w:rsidRPr="00DC0807" w:rsidRDefault="00261509" w:rsidP="00A03127">
      <w:pPr>
        <w:pStyle w:val="TableFooter"/>
        <w:keepNext/>
        <w:keepLines/>
      </w:pPr>
      <w:r w:rsidRPr="00DC0807">
        <w:rPr>
          <w:vertAlign w:val="superscript"/>
        </w:rPr>
        <w:t xml:space="preserve">a </w:t>
      </w:r>
      <w:r w:rsidR="004C3AC1" w:rsidRPr="00DC0807">
        <w:t>Primary outcomes</w:t>
      </w:r>
    </w:p>
    <w:p w:rsidR="00A03127" w:rsidRPr="00DC0807" w:rsidRDefault="00261509" w:rsidP="00A03127">
      <w:pPr>
        <w:pStyle w:val="TableFooter"/>
        <w:keepNext/>
        <w:keepLines/>
      </w:pPr>
      <w:r w:rsidRPr="00DC0807">
        <w:rPr>
          <w:vertAlign w:val="superscript"/>
        </w:rPr>
        <w:t>b</w:t>
      </w:r>
      <w:r w:rsidR="00A03127" w:rsidRPr="00DC0807">
        <w:rPr>
          <w:szCs w:val="18"/>
        </w:rPr>
        <w:t xml:space="preserve"> Reported as 0.39 (0.51, 52.75) in Table 2-41 in submission, which appeared to be incorrect and could not be reproduced. Value calculated using </w:t>
      </w:r>
      <w:r w:rsidR="00B8612B" w:rsidRPr="00DC0807">
        <w:rPr>
          <w:szCs w:val="18"/>
        </w:rPr>
        <w:t>StatsDirect</w:t>
      </w:r>
      <w:r w:rsidR="00A03127" w:rsidRPr="00DC0807">
        <w:rPr>
          <w:szCs w:val="18"/>
        </w:rPr>
        <w:t xml:space="preserve"> during evaluation reported here</w:t>
      </w:r>
      <w:r w:rsidRPr="00DC0807">
        <w:rPr>
          <w:szCs w:val="18"/>
        </w:rPr>
        <w:t>.</w:t>
      </w:r>
    </w:p>
    <w:p w:rsidR="004C3AC1" w:rsidRPr="00DC0807" w:rsidRDefault="004C3AC1" w:rsidP="004C3AC1">
      <w:pPr>
        <w:widowControl/>
        <w:rPr>
          <w:highlight w:val="yellow"/>
        </w:rPr>
      </w:pPr>
    </w:p>
    <w:p w:rsidR="001E5A3A" w:rsidRPr="00DC0807" w:rsidRDefault="001E5A3A" w:rsidP="00A927F1">
      <w:pPr>
        <w:pStyle w:val="ListParagraph"/>
        <w:widowControl/>
        <w:numPr>
          <w:ilvl w:val="1"/>
          <w:numId w:val="1"/>
        </w:numPr>
      </w:pPr>
      <w:r w:rsidRPr="00DC0807">
        <w:rPr>
          <w:rFonts w:cs="Calibri"/>
          <w:snapToGrid/>
          <w:szCs w:val="24"/>
          <w:lang w:eastAsia="en-AU"/>
        </w:rPr>
        <w:t xml:space="preserve">In Paller 2008, a statistically significantly higher proportion of patients randomised to etanercept reported a PGA of 0 or 1, </w:t>
      </w:r>
      <w:r w:rsidR="00C92D23" w:rsidRPr="00DC0807">
        <w:rPr>
          <w:rFonts w:cs="Calibri"/>
          <w:snapToGrid/>
          <w:szCs w:val="24"/>
          <w:lang w:eastAsia="en-AU"/>
        </w:rPr>
        <w:t>PASI 75</w:t>
      </w:r>
      <w:r w:rsidRPr="00DC0807">
        <w:rPr>
          <w:rFonts w:cs="Calibri"/>
          <w:snapToGrid/>
          <w:szCs w:val="24"/>
          <w:lang w:eastAsia="en-AU"/>
        </w:rPr>
        <w:t xml:space="preserve"> and </w:t>
      </w:r>
      <w:r w:rsidR="00C92D23" w:rsidRPr="00DC0807">
        <w:rPr>
          <w:rFonts w:cs="Calibri"/>
          <w:snapToGrid/>
          <w:szCs w:val="24"/>
          <w:lang w:eastAsia="en-AU"/>
        </w:rPr>
        <w:t>PASI 90</w:t>
      </w:r>
      <w:r w:rsidRPr="00DC0807">
        <w:rPr>
          <w:rFonts w:cs="Calibri"/>
          <w:snapToGrid/>
          <w:szCs w:val="24"/>
          <w:lang w:eastAsia="en-AU"/>
        </w:rPr>
        <w:t xml:space="preserve"> response, and also reported higher quality of life, compared to patients randomised to placebo after 12 weeks of treatment. However</w:t>
      </w:r>
      <w:r w:rsidR="00E800C4" w:rsidRPr="00DC0807">
        <w:rPr>
          <w:rFonts w:cs="Calibri"/>
          <w:snapToGrid/>
          <w:szCs w:val="24"/>
          <w:lang w:eastAsia="en-AU"/>
        </w:rPr>
        <w:t>,</w:t>
      </w:r>
      <w:r w:rsidRPr="00DC0807">
        <w:rPr>
          <w:rFonts w:cs="Calibri"/>
          <w:snapToGrid/>
          <w:szCs w:val="24"/>
          <w:lang w:eastAsia="en-AU"/>
        </w:rPr>
        <w:t xml:space="preserve"> the incremental benefit of etanercept over placebo </w:t>
      </w:r>
      <w:r w:rsidR="005E6030" w:rsidRPr="00DC0807">
        <w:rPr>
          <w:rFonts w:cs="Calibri"/>
          <w:snapToGrid/>
          <w:szCs w:val="24"/>
          <w:lang w:eastAsia="en-AU"/>
        </w:rPr>
        <w:t xml:space="preserve">was </w:t>
      </w:r>
      <w:r w:rsidRPr="00DC0807">
        <w:rPr>
          <w:rFonts w:cs="Calibri"/>
          <w:snapToGrid/>
          <w:szCs w:val="24"/>
          <w:lang w:eastAsia="en-AU"/>
        </w:rPr>
        <w:t>numerically lower than reported for ustekinumab in CADMUS.</w:t>
      </w:r>
    </w:p>
    <w:p w:rsidR="004C3AC1" w:rsidRPr="00DC0807" w:rsidRDefault="004C3AC1" w:rsidP="00001ECD">
      <w:pPr>
        <w:pStyle w:val="ListParagraph"/>
        <w:widowControl/>
        <w:numPr>
          <w:ilvl w:val="1"/>
          <w:numId w:val="1"/>
        </w:numPr>
      </w:pPr>
      <w:r w:rsidRPr="00DC0807">
        <w:t xml:space="preserve">In the absence of direct head-to-head trials, </w:t>
      </w:r>
      <w:r w:rsidR="004B377E" w:rsidRPr="00DC0807">
        <w:t>ITCs</w:t>
      </w:r>
      <w:r w:rsidRPr="00DC0807">
        <w:t xml:space="preserve"> were conducted using the Bucher method (Mantel-Haenszel, fixed effect model) to compare ustekinumab and etanercept in the ITT populations at the </w:t>
      </w:r>
      <w:r w:rsidR="00F630E6" w:rsidRPr="00DC0807">
        <w:t>end of i</w:t>
      </w:r>
      <w:r w:rsidR="001D6EF4" w:rsidRPr="00DC0807">
        <w:t xml:space="preserve">nduction </w:t>
      </w:r>
      <w:r w:rsidR="00B8612B" w:rsidRPr="00DC0807">
        <w:t>time points</w:t>
      </w:r>
      <w:r w:rsidRPr="00DC0807">
        <w:t xml:space="preserve"> (i.e., Week 24/28 </w:t>
      </w:r>
      <w:r w:rsidR="004B377E" w:rsidRPr="00DC0807">
        <w:t xml:space="preserve">for ustekinumab </w:t>
      </w:r>
      <w:r w:rsidRPr="00DC0807">
        <w:t>and Week 12</w:t>
      </w:r>
      <w:r w:rsidR="004B377E" w:rsidRPr="00DC0807">
        <w:t xml:space="preserve"> for etanercept</w:t>
      </w:r>
      <w:r w:rsidR="001F49E2" w:rsidRPr="00DC0807">
        <w:t>, the timepoints at which PASI assessment following initial treatment should be conducted based on the proposed and current PBS restrictions, respectively</w:t>
      </w:r>
      <w:r w:rsidRPr="00DC0807">
        <w:t xml:space="preserve">) via a common placebo reference arm. </w:t>
      </w:r>
      <w:r w:rsidR="005A5C93" w:rsidRPr="00DC0807">
        <w:t>(ITCs based on outcomes at the</w:t>
      </w:r>
      <w:r w:rsidR="00AE5627">
        <w:t xml:space="preserve"> end of Week 12 for both etaner</w:t>
      </w:r>
      <w:r w:rsidR="005A5C93" w:rsidRPr="00DC0807">
        <w:t>cept and ustekinumab were presented as supporting analyses).</w:t>
      </w:r>
    </w:p>
    <w:p w:rsidR="004C3AC1" w:rsidRPr="00DC0807" w:rsidRDefault="004C3AC1" w:rsidP="00A927F1">
      <w:pPr>
        <w:pStyle w:val="ListParagraph"/>
        <w:widowControl/>
        <w:numPr>
          <w:ilvl w:val="1"/>
          <w:numId w:val="1"/>
        </w:numPr>
      </w:pPr>
      <w:r w:rsidRPr="00DC0807">
        <w:t xml:space="preserve">A summary of the submission’s ITC results, </w:t>
      </w:r>
      <w:r w:rsidRPr="00DC0807">
        <w:rPr>
          <w:iCs/>
        </w:rPr>
        <w:t xml:space="preserve">and the evaluation’s recalculated results after excluding </w:t>
      </w:r>
      <w:r w:rsidR="0080369E" w:rsidRPr="00DC0807">
        <w:rPr>
          <w:iCs/>
        </w:rPr>
        <w:t xml:space="preserve">the single-arm </w:t>
      </w:r>
      <w:r w:rsidRPr="00DC0807">
        <w:rPr>
          <w:iCs/>
        </w:rPr>
        <w:t>CADMUS JR</w:t>
      </w:r>
      <w:r w:rsidRPr="00DC0807">
        <w:t>, are presented below for the key outcomes of PASI</w:t>
      </w:r>
      <w:r w:rsidR="001C01FF" w:rsidRPr="00DC0807">
        <w:t> </w:t>
      </w:r>
      <w:r w:rsidRPr="00DC0807">
        <w:t xml:space="preserve">75 </w:t>
      </w:r>
      <w:r w:rsidR="00C35317" w:rsidRPr="00DC0807">
        <w:t>(</w:t>
      </w:r>
      <w:r w:rsidR="005D7D2A" w:rsidRPr="00DC0807">
        <w:t>Table 7</w:t>
      </w:r>
      <w:r w:rsidR="00C35317" w:rsidRPr="00DC0807">
        <w:t xml:space="preserve">) </w:t>
      </w:r>
      <w:r w:rsidRPr="00DC0807">
        <w:t xml:space="preserve">and PASI 90 </w:t>
      </w:r>
      <w:r w:rsidR="00C35317" w:rsidRPr="00DC0807">
        <w:t>(</w:t>
      </w:r>
      <w:r w:rsidR="005D7D2A" w:rsidRPr="00DC0807">
        <w:t>Table 8</w:t>
      </w:r>
      <w:r w:rsidR="00C35317" w:rsidRPr="00DC0807">
        <w:t xml:space="preserve">) </w:t>
      </w:r>
      <w:r w:rsidRPr="00DC0807">
        <w:t>responders</w:t>
      </w:r>
      <w:r w:rsidR="00C35317" w:rsidRPr="00DC0807">
        <w:t xml:space="preserve"> and non-responders.</w:t>
      </w:r>
    </w:p>
    <w:p w:rsidR="004C3AC1" w:rsidRPr="00DC0807" w:rsidRDefault="007D1F6A" w:rsidP="007D1F6A">
      <w:pPr>
        <w:keepNext/>
        <w:widowControl/>
        <w:rPr>
          <w:rStyle w:val="CommentReference"/>
        </w:rPr>
      </w:pPr>
      <w:bookmarkStart w:id="15" w:name="_Ref61128994"/>
      <w:r w:rsidRPr="00DC0807">
        <w:rPr>
          <w:rStyle w:val="CommentReference"/>
        </w:rPr>
        <w:t xml:space="preserve">Table </w:t>
      </w:r>
      <w:r w:rsidR="00AE572A" w:rsidRPr="00DC0807">
        <w:rPr>
          <w:rStyle w:val="CommentReference"/>
        </w:rPr>
        <w:t>7</w:t>
      </w:r>
      <w:bookmarkEnd w:id="15"/>
      <w:r w:rsidR="004C3AC1" w:rsidRPr="00DC0807">
        <w:rPr>
          <w:rStyle w:val="CommentReference"/>
        </w:rPr>
        <w:t xml:space="preserve">: Results of PASI </w:t>
      </w:r>
      <w:r w:rsidRPr="00DC0807">
        <w:rPr>
          <w:rStyle w:val="CommentReference"/>
        </w:rPr>
        <w:t xml:space="preserve">75 </w:t>
      </w:r>
      <w:r w:rsidR="004C3AC1" w:rsidRPr="00DC0807">
        <w:rPr>
          <w:rStyle w:val="CommentReference"/>
        </w:rPr>
        <w:t xml:space="preserve">response </w:t>
      </w:r>
      <w:r w:rsidRPr="00DC0807">
        <w:rPr>
          <w:rStyle w:val="CommentReference"/>
        </w:rPr>
        <w:t>and non</w:t>
      </w:r>
      <w:r w:rsidR="00CB3DE4" w:rsidRPr="00DC0807">
        <w:rPr>
          <w:rStyle w:val="CommentReference"/>
        </w:rPr>
        <w:t>-</w:t>
      </w:r>
      <w:r w:rsidRPr="00DC0807">
        <w:rPr>
          <w:rStyle w:val="CommentReference"/>
        </w:rPr>
        <w:t xml:space="preserve">response </w:t>
      </w:r>
      <w:r w:rsidR="004C3AC1" w:rsidRPr="00DC0807">
        <w:rPr>
          <w:rStyle w:val="CommentReference"/>
        </w:rPr>
        <w:t>rates for ustekinumab at Week 12 and Week 24/28 compared to etanercept at Week 12</w:t>
      </w:r>
      <w:r w:rsidR="00DD092B">
        <w:rPr>
          <w:rStyle w:val="CommentReference"/>
        </w:rPr>
        <w:t>*</w:t>
      </w:r>
    </w:p>
    <w:tbl>
      <w:tblPr>
        <w:tblStyle w:val="TableStyle"/>
        <w:tblW w:w="5000" w:type="pct"/>
        <w:shd w:val="clear" w:color="auto" w:fill="FFFFFF" w:themeFill="background1"/>
        <w:tblLayout w:type="fixed"/>
        <w:tblLook w:val="04A0" w:firstRow="1" w:lastRow="0" w:firstColumn="1" w:lastColumn="0" w:noHBand="0" w:noVBand="1"/>
        <w:tblCaption w:val="Table 7: Results of PASI 75 response and non-response rates for ustekinumab at Week 12 and Week 24/28 compared to etanercept at Week 12*"/>
      </w:tblPr>
      <w:tblGrid>
        <w:gridCol w:w="1161"/>
        <w:gridCol w:w="444"/>
        <w:gridCol w:w="1167"/>
        <w:gridCol w:w="1051"/>
        <w:gridCol w:w="1569"/>
        <w:gridCol w:w="1691"/>
        <w:gridCol w:w="1933"/>
      </w:tblGrid>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44" w:type="pct"/>
            <w:shd w:val="clear" w:color="auto" w:fill="FFFFFF" w:themeFill="background1"/>
          </w:tcPr>
          <w:p w:rsidR="007D1F6A" w:rsidRPr="00DC0807" w:rsidRDefault="007D1F6A" w:rsidP="00C35317">
            <w:pPr>
              <w:keepNext/>
              <w:keepLines/>
              <w:spacing w:before="0" w:after="0"/>
              <w:rPr>
                <w:rFonts w:ascii="Arial Narrow" w:hAnsi="Arial Narrow"/>
                <w:b w:val="0"/>
                <w:sz w:val="20"/>
                <w:szCs w:val="20"/>
                <w:lang w:val="en-AU"/>
              </w:rPr>
            </w:pPr>
          </w:p>
        </w:tc>
        <w:tc>
          <w:tcPr>
            <w:tcW w:w="893" w:type="pct"/>
            <w:gridSpan w:val="2"/>
            <w:shd w:val="clear" w:color="auto" w:fill="FFFFFF" w:themeFill="background1"/>
          </w:tcPr>
          <w:p w:rsidR="007D1F6A" w:rsidRPr="00DC0807" w:rsidRDefault="007D1F6A" w:rsidP="00C35317">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Biologic</w:t>
            </w:r>
          </w:p>
        </w:tc>
        <w:tc>
          <w:tcPr>
            <w:tcW w:w="583" w:type="pct"/>
            <w:shd w:val="clear" w:color="auto" w:fill="FFFFFF" w:themeFill="background1"/>
          </w:tcPr>
          <w:p w:rsidR="007D1F6A" w:rsidRPr="00DC0807" w:rsidRDefault="007D1F6A" w:rsidP="00C35317">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PBO</w:t>
            </w:r>
          </w:p>
        </w:tc>
        <w:tc>
          <w:tcPr>
            <w:tcW w:w="2880" w:type="pct"/>
            <w:gridSpan w:val="3"/>
            <w:shd w:val="clear" w:color="auto" w:fill="FFFFFF" w:themeFill="background1"/>
          </w:tcPr>
          <w:p w:rsidR="007D1F6A" w:rsidRPr="00DC0807" w:rsidRDefault="007D1F6A" w:rsidP="00C35317">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Results</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44" w:type="pct"/>
            <w:shd w:val="clear" w:color="auto" w:fill="FFFFFF" w:themeFill="background1"/>
          </w:tcPr>
          <w:p w:rsidR="007D1F6A" w:rsidRPr="00DC0807" w:rsidRDefault="007D1F6A" w:rsidP="00C35317">
            <w:pPr>
              <w:keepNext/>
              <w:keepLines/>
              <w:spacing w:before="0" w:after="0"/>
              <w:rPr>
                <w:rFonts w:ascii="Arial Narrow" w:hAnsi="Arial Narrow"/>
                <w:sz w:val="20"/>
                <w:szCs w:val="20"/>
                <w:lang w:val="en-AU"/>
              </w:rPr>
            </w:pPr>
            <w:r w:rsidRPr="00DC0807">
              <w:rPr>
                <w:rFonts w:ascii="Arial Narrow" w:hAnsi="Arial Narrow"/>
                <w:sz w:val="20"/>
                <w:szCs w:val="20"/>
                <w:lang w:val="en-AU"/>
              </w:rPr>
              <w:t>Trial</w:t>
            </w:r>
          </w:p>
        </w:tc>
        <w:tc>
          <w:tcPr>
            <w:tcW w:w="246" w:type="pct"/>
            <w:shd w:val="clear" w:color="auto" w:fill="FFFFFF" w:themeFill="background1"/>
          </w:tcPr>
          <w:p w:rsidR="007D1F6A" w:rsidRPr="00DC0807" w:rsidRDefault="005709E1" w:rsidP="005709E1">
            <w:pPr>
              <w:keepNext/>
              <w:keepLines/>
              <w:spacing w:before="0" w:after="0"/>
              <w:ind w:right="-54"/>
              <w:jc w:val="left"/>
              <w:rPr>
                <w:rFonts w:ascii="Arial Narrow" w:hAnsi="Arial Narrow"/>
                <w:sz w:val="20"/>
                <w:szCs w:val="20"/>
                <w:lang w:val="en-AU"/>
              </w:rPr>
            </w:pPr>
            <w:r w:rsidRPr="00DC0807">
              <w:rPr>
                <w:rFonts w:ascii="Arial Narrow" w:hAnsi="Arial Narrow"/>
                <w:sz w:val="20"/>
                <w:szCs w:val="20"/>
                <w:lang w:val="en-AU"/>
              </w:rPr>
              <w:t>Wk</w:t>
            </w:r>
          </w:p>
        </w:tc>
        <w:tc>
          <w:tcPr>
            <w:tcW w:w="647" w:type="pct"/>
            <w:shd w:val="clear" w:color="auto" w:fill="FFFFFF" w:themeFill="background1"/>
          </w:tcPr>
          <w:p w:rsidR="007D1F6A" w:rsidRPr="00DC0807" w:rsidRDefault="007D1F6A" w:rsidP="00C35317">
            <w:pPr>
              <w:keepNext/>
              <w:keepLines/>
              <w:spacing w:before="0" w:after="0"/>
              <w:jc w:val="center"/>
              <w:rPr>
                <w:rFonts w:ascii="Arial Narrow" w:hAnsi="Arial Narrow"/>
                <w:b w:val="0"/>
                <w:sz w:val="20"/>
                <w:szCs w:val="20"/>
                <w:lang w:val="en-AU"/>
              </w:rPr>
            </w:pPr>
            <w:r w:rsidRPr="00DC0807">
              <w:rPr>
                <w:rFonts w:ascii="Arial Narrow" w:hAnsi="Arial Narrow"/>
                <w:sz w:val="20"/>
                <w:szCs w:val="20"/>
                <w:lang w:val="en-AU"/>
              </w:rPr>
              <w:t>n/N (%)</w:t>
            </w:r>
          </w:p>
        </w:tc>
        <w:tc>
          <w:tcPr>
            <w:tcW w:w="583" w:type="pct"/>
            <w:shd w:val="clear" w:color="auto" w:fill="FFFFFF" w:themeFill="background1"/>
          </w:tcPr>
          <w:p w:rsidR="007D1F6A" w:rsidRPr="00DC0807" w:rsidRDefault="007D1F6A" w:rsidP="005709E1">
            <w:pPr>
              <w:keepNext/>
              <w:keepLines/>
              <w:spacing w:before="0" w:after="0"/>
              <w:ind w:right="-44"/>
              <w:jc w:val="center"/>
              <w:rPr>
                <w:rFonts w:ascii="Arial Narrow" w:hAnsi="Arial Narrow"/>
                <w:b w:val="0"/>
                <w:sz w:val="20"/>
                <w:szCs w:val="20"/>
                <w:lang w:val="en-AU"/>
              </w:rPr>
            </w:pPr>
            <w:r w:rsidRPr="00DC0807">
              <w:rPr>
                <w:rFonts w:ascii="Arial Narrow" w:hAnsi="Arial Narrow"/>
                <w:sz w:val="20"/>
                <w:szCs w:val="20"/>
                <w:lang w:val="en-AU"/>
              </w:rPr>
              <w:t>n/N (%)</w:t>
            </w:r>
          </w:p>
        </w:tc>
        <w:tc>
          <w:tcPr>
            <w:tcW w:w="870" w:type="pct"/>
            <w:shd w:val="clear" w:color="auto" w:fill="FFFFFF" w:themeFill="background1"/>
          </w:tcPr>
          <w:p w:rsidR="007D1F6A" w:rsidRPr="00DC0807" w:rsidRDefault="007D1F6A" w:rsidP="00C35317">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RD (95% CI)</w:t>
            </w:r>
          </w:p>
        </w:tc>
        <w:tc>
          <w:tcPr>
            <w:tcW w:w="938" w:type="pct"/>
            <w:shd w:val="clear" w:color="auto" w:fill="FFFFFF" w:themeFill="background1"/>
          </w:tcPr>
          <w:p w:rsidR="007D1F6A" w:rsidRPr="00DC0807" w:rsidRDefault="007D1F6A" w:rsidP="00C35317">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RR (95% CI)</w:t>
            </w:r>
          </w:p>
        </w:tc>
        <w:tc>
          <w:tcPr>
            <w:tcW w:w="1072" w:type="pct"/>
            <w:shd w:val="clear" w:color="auto" w:fill="FFFFFF" w:themeFill="background1"/>
          </w:tcPr>
          <w:p w:rsidR="007D1F6A" w:rsidRPr="00DC0807" w:rsidRDefault="007D1F6A" w:rsidP="00C35317">
            <w:pPr>
              <w:keepNext/>
              <w:keepLines/>
              <w:spacing w:before="0" w:after="0"/>
              <w:jc w:val="center"/>
              <w:rPr>
                <w:rFonts w:ascii="Arial Narrow" w:hAnsi="Arial Narrow"/>
                <w:b w:val="0"/>
                <w:sz w:val="20"/>
                <w:szCs w:val="20"/>
                <w:lang w:val="en-AU"/>
              </w:rPr>
            </w:pPr>
            <w:r w:rsidRPr="00DC0807">
              <w:rPr>
                <w:rFonts w:ascii="Arial Narrow" w:hAnsi="Arial Narrow"/>
                <w:sz w:val="20"/>
                <w:szCs w:val="20"/>
                <w:lang w:val="en-AU"/>
              </w:rPr>
              <w:t>OR (95% CI)</w:t>
            </w:r>
          </w:p>
        </w:tc>
      </w:tr>
      <w:tr w:rsidR="007D1F6A"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7D1F6A" w:rsidRPr="00DC0807" w:rsidRDefault="007D1F6A" w:rsidP="005709E1">
            <w:pPr>
              <w:keepNext/>
              <w:keepLines/>
              <w:spacing w:before="0" w:after="0"/>
              <w:ind w:right="-44"/>
              <w:rPr>
                <w:rFonts w:ascii="Arial Narrow" w:eastAsia="Times New Roman" w:hAnsi="Arial Narrow" w:cs="Calibri"/>
                <w:color w:val="000000"/>
                <w:sz w:val="20"/>
                <w:szCs w:val="20"/>
                <w:lang w:val="en-AU" w:eastAsia="en-AU"/>
              </w:rPr>
            </w:pPr>
            <w:r w:rsidRPr="00DC0807">
              <w:rPr>
                <w:rFonts w:ascii="Arial Narrow" w:hAnsi="Arial Narrow"/>
                <w:sz w:val="20"/>
                <w:szCs w:val="20"/>
                <w:lang w:val="en-AU"/>
              </w:rPr>
              <w:t>Week 12</w:t>
            </w:r>
          </w:p>
        </w:tc>
      </w:tr>
      <w:tr w:rsidR="007D1F6A"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7D1F6A" w:rsidRPr="00DC0807" w:rsidRDefault="007D1F6A" w:rsidP="005709E1">
            <w:pPr>
              <w:keepNext/>
              <w:keepLines/>
              <w:spacing w:before="0" w:after="0"/>
              <w:ind w:right="-44"/>
              <w:rPr>
                <w:rFonts w:ascii="Arial Narrow" w:eastAsia="Times New Roman" w:hAnsi="Arial Narrow" w:cs="Calibri"/>
                <w:b w:val="0"/>
                <w:color w:val="000000"/>
                <w:sz w:val="20"/>
                <w:szCs w:val="20"/>
                <w:lang w:val="en-AU" w:eastAsia="en-AU"/>
              </w:rPr>
            </w:pPr>
            <w:r w:rsidRPr="00DC0807">
              <w:rPr>
                <w:rFonts w:ascii="Arial Narrow" w:hAnsi="Arial Narrow"/>
                <w:b w:val="0"/>
                <w:sz w:val="20"/>
                <w:szCs w:val="20"/>
                <w:lang w:val="en-AU"/>
              </w:rPr>
              <w:t>Ustekinumab</w:t>
            </w:r>
            <w:r w:rsidR="00D914C6" w:rsidRPr="00DC0807">
              <w:rPr>
                <w:rFonts w:ascii="Arial Narrow" w:hAnsi="Arial Narrow"/>
                <w:b w:val="0"/>
                <w:sz w:val="20"/>
                <w:szCs w:val="20"/>
                <w:vertAlign w:val="superscript"/>
                <w:lang w:val="en-AU"/>
              </w:rPr>
              <w:t>a</w:t>
            </w:r>
            <w:r w:rsidRPr="00DC0807">
              <w:rPr>
                <w:rFonts w:ascii="Arial Narrow" w:hAnsi="Arial Narrow"/>
                <w:b w:val="0"/>
                <w:sz w:val="20"/>
                <w:szCs w:val="20"/>
                <w:lang w:val="en-AU"/>
              </w:rPr>
              <w:t xml:space="preserve"> versus placebo</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44" w:type="pct"/>
            <w:shd w:val="clear" w:color="auto" w:fill="FFFFFF" w:themeFill="background1"/>
            <w:vAlign w:val="center"/>
          </w:tcPr>
          <w:p w:rsidR="007D1F6A" w:rsidRPr="00DC0807" w:rsidRDefault="007D1F6A" w:rsidP="007D1F6A">
            <w:pPr>
              <w:keepNext/>
              <w:keepLines/>
              <w:spacing w:before="0" w:after="0"/>
              <w:rPr>
                <w:rFonts w:ascii="Arial Narrow" w:hAnsi="Arial Narrow"/>
                <w:b w:val="0"/>
                <w:bCs/>
                <w:sz w:val="20"/>
                <w:szCs w:val="20"/>
                <w:lang w:val="en-AU"/>
              </w:rPr>
            </w:pPr>
            <w:r w:rsidRPr="00DC0807">
              <w:rPr>
                <w:rFonts w:ascii="Arial Narrow" w:hAnsi="Arial Narrow"/>
                <w:b w:val="0"/>
                <w:bCs/>
                <w:sz w:val="20"/>
                <w:szCs w:val="20"/>
                <w:lang w:val="en-AU"/>
              </w:rPr>
              <w:t>CADMUS</w:t>
            </w:r>
          </w:p>
        </w:tc>
        <w:tc>
          <w:tcPr>
            <w:tcW w:w="246" w:type="pct"/>
            <w:shd w:val="clear" w:color="auto" w:fill="FFFFFF" w:themeFill="background1"/>
            <w:vAlign w:val="center"/>
          </w:tcPr>
          <w:p w:rsidR="007D1F6A" w:rsidRPr="00DC0807" w:rsidRDefault="007D1F6A" w:rsidP="005709E1">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12</w:t>
            </w:r>
          </w:p>
        </w:tc>
        <w:tc>
          <w:tcPr>
            <w:tcW w:w="647" w:type="pct"/>
            <w:shd w:val="clear" w:color="auto" w:fill="FFFFFF" w:themeFill="background1"/>
            <w:vAlign w:val="center"/>
          </w:tcPr>
          <w:p w:rsidR="007D1F6A" w:rsidRPr="00DC0807" w:rsidRDefault="007D1F6A" w:rsidP="005709E1">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b w:val="0"/>
                <w:bCs/>
                <w:sz w:val="20"/>
                <w:szCs w:val="20"/>
                <w:lang w:val="en-AU"/>
              </w:rPr>
              <w:t>29/36 (80.6)</w:t>
            </w:r>
          </w:p>
        </w:tc>
        <w:tc>
          <w:tcPr>
            <w:tcW w:w="583" w:type="pct"/>
            <w:shd w:val="clear" w:color="auto" w:fill="FFFFFF" w:themeFill="background1"/>
            <w:vAlign w:val="center"/>
          </w:tcPr>
          <w:p w:rsidR="007D1F6A" w:rsidRPr="00DC0807" w:rsidRDefault="007D1F6A" w:rsidP="005709E1">
            <w:pPr>
              <w:keepNext/>
              <w:keepLines/>
              <w:spacing w:before="0" w:after="0"/>
              <w:ind w:right="-44"/>
              <w:jc w:val="center"/>
              <w:rPr>
                <w:rFonts w:ascii="Arial Narrow" w:hAnsi="Arial Narrow"/>
                <w:b w:val="0"/>
                <w:bCs/>
                <w:sz w:val="20"/>
                <w:szCs w:val="20"/>
                <w:lang w:val="en-AU"/>
              </w:rPr>
            </w:pPr>
            <w:r w:rsidRPr="00DC0807">
              <w:rPr>
                <w:rFonts w:ascii="Arial Narrow" w:hAnsi="Arial Narrow"/>
                <w:b w:val="0"/>
                <w:bCs/>
                <w:sz w:val="20"/>
                <w:szCs w:val="20"/>
                <w:lang w:val="en-AU"/>
              </w:rPr>
              <w:t>4/37</w:t>
            </w:r>
            <w:r w:rsidRPr="00DC0807">
              <w:rPr>
                <w:rFonts w:ascii="Arial Narrow" w:hAnsi="Arial Narrow"/>
                <w:bCs/>
                <w:sz w:val="20"/>
                <w:szCs w:val="20"/>
                <w:lang w:val="en-AU"/>
              </w:rPr>
              <w:t xml:space="preserve"> </w:t>
            </w:r>
            <w:r w:rsidRPr="00DC0807">
              <w:rPr>
                <w:rFonts w:ascii="Arial Narrow" w:hAnsi="Arial Narrow"/>
                <w:b w:val="0"/>
                <w:sz w:val="20"/>
                <w:szCs w:val="20"/>
                <w:lang w:val="en-AU"/>
              </w:rPr>
              <w:t>(10.8)</w:t>
            </w:r>
          </w:p>
        </w:tc>
        <w:tc>
          <w:tcPr>
            <w:tcW w:w="870"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0.7 (0.53,0.86)</w:t>
            </w:r>
          </w:p>
        </w:tc>
        <w:tc>
          <w:tcPr>
            <w:tcW w:w="938" w:type="pct"/>
            <w:shd w:val="clear" w:color="auto" w:fill="FFFFFF" w:themeFill="background1"/>
            <w:vAlign w:val="center"/>
          </w:tcPr>
          <w:p w:rsidR="007D1F6A" w:rsidRPr="00DC0807" w:rsidRDefault="007D1F6A" w:rsidP="001C01FF">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7.45 (2.91, 19.06)</w:t>
            </w:r>
          </w:p>
        </w:tc>
        <w:tc>
          <w:tcPr>
            <w:tcW w:w="1072"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34.18 (9.08, 128.7)</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44" w:type="pct"/>
            <w:shd w:val="clear" w:color="auto" w:fill="FFFFFF" w:themeFill="background1"/>
            <w:vAlign w:val="center"/>
          </w:tcPr>
          <w:p w:rsidR="007D1F6A" w:rsidRPr="00DC0807" w:rsidRDefault="007D1F6A" w:rsidP="005709E1">
            <w:pPr>
              <w:keepNext/>
              <w:keepLines/>
              <w:spacing w:before="0" w:after="0"/>
              <w:ind w:right="-113"/>
              <w:rPr>
                <w:rFonts w:ascii="Arial Narrow" w:hAnsi="Arial Narrow"/>
                <w:b w:val="0"/>
                <w:bCs/>
                <w:sz w:val="20"/>
                <w:szCs w:val="20"/>
                <w:lang w:val="en-AU"/>
              </w:rPr>
            </w:pPr>
            <w:r w:rsidRPr="00DC0807">
              <w:rPr>
                <w:rFonts w:ascii="Arial Narrow" w:hAnsi="Arial Narrow"/>
                <w:b w:val="0"/>
                <w:bCs/>
                <w:sz w:val="20"/>
                <w:szCs w:val="20"/>
                <w:lang w:val="en-AU"/>
              </w:rPr>
              <w:t>CADMUS JR</w:t>
            </w:r>
          </w:p>
        </w:tc>
        <w:tc>
          <w:tcPr>
            <w:tcW w:w="246" w:type="pct"/>
            <w:shd w:val="clear" w:color="auto" w:fill="FFFFFF" w:themeFill="background1"/>
            <w:vAlign w:val="center"/>
          </w:tcPr>
          <w:p w:rsidR="007D1F6A" w:rsidRPr="00DC0807" w:rsidRDefault="007D1F6A" w:rsidP="005709E1">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12</w:t>
            </w:r>
          </w:p>
        </w:tc>
        <w:tc>
          <w:tcPr>
            <w:tcW w:w="647" w:type="pct"/>
            <w:shd w:val="clear" w:color="auto" w:fill="FFFFFF" w:themeFill="background1"/>
          </w:tcPr>
          <w:p w:rsidR="007D1F6A" w:rsidRPr="00DC0807" w:rsidRDefault="007D1F6A" w:rsidP="005709E1">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b w:val="0"/>
                <w:bCs/>
                <w:sz w:val="20"/>
                <w:szCs w:val="20"/>
                <w:lang w:val="en-AU"/>
              </w:rPr>
              <w:t>37/44 (84.1)</w:t>
            </w:r>
          </w:p>
        </w:tc>
        <w:tc>
          <w:tcPr>
            <w:tcW w:w="583" w:type="pct"/>
            <w:shd w:val="clear" w:color="auto" w:fill="FFFFFF" w:themeFill="background1"/>
            <w:vAlign w:val="center"/>
          </w:tcPr>
          <w:p w:rsidR="007D1F6A" w:rsidRPr="00DC0807" w:rsidRDefault="007D1F6A" w:rsidP="005709E1">
            <w:pPr>
              <w:keepNext/>
              <w:keepLines/>
              <w:spacing w:before="0" w:after="0"/>
              <w:ind w:right="-44"/>
              <w:jc w:val="center"/>
              <w:rPr>
                <w:rFonts w:ascii="Arial Narrow" w:hAnsi="Arial Narrow"/>
                <w:b w:val="0"/>
                <w:bCs/>
                <w:sz w:val="20"/>
                <w:szCs w:val="20"/>
                <w:lang w:val="en-AU"/>
              </w:rPr>
            </w:pPr>
            <w:r w:rsidRPr="00DC0807">
              <w:rPr>
                <w:rFonts w:ascii="Arial Narrow" w:hAnsi="Arial Narrow"/>
                <w:b w:val="0"/>
                <w:bCs/>
                <w:sz w:val="20"/>
                <w:szCs w:val="20"/>
                <w:lang w:val="en-AU"/>
              </w:rPr>
              <w:t>N/A</w:t>
            </w:r>
          </w:p>
        </w:tc>
        <w:tc>
          <w:tcPr>
            <w:tcW w:w="870"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b w:val="0"/>
                <w:bCs/>
                <w:sz w:val="20"/>
                <w:szCs w:val="20"/>
                <w:lang w:val="en-AU"/>
              </w:rPr>
              <w:t>N/A</w:t>
            </w:r>
          </w:p>
        </w:tc>
        <w:tc>
          <w:tcPr>
            <w:tcW w:w="938"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b w:val="0"/>
                <w:bCs/>
                <w:sz w:val="20"/>
                <w:szCs w:val="20"/>
                <w:lang w:val="en-AU"/>
              </w:rPr>
              <w:t>N/A</w:t>
            </w:r>
          </w:p>
        </w:tc>
        <w:tc>
          <w:tcPr>
            <w:tcW w:w="1072"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b w:val="0"/>
                <w:bCs/>
                <w:sz w:val="20"/>
                <w:szCs w:val="20"/>
                <w:lang w:val="en-AU"/>
              </w:rPr>
              <w:t>N/A</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890" w:type="pct"/>
            <w:gridSpan w:val="2"/>
            <w:shd w:val="clear" w:color="auto" w:fill="FFFFFF" w:themeFill="background1"/>
            <w:vAlign w:val="center"/>
          </w:tcPr>
          <w:p w:rsidR="007D1F6A" w:rsidRPr="00DC0807" w:rsidRDefault="007D1F6A" w:rsidP="007D1F6A">
            <w:pPr>
              <w:keepNext/>
              <w:keepLines/>
              <w:spacing w:before="0" w:after="0"/>
              <w:jc w:val="left"/>
              <w:rPr>
                <w:rFonts w:ascii="Arial Narrow" w:hAnsi="Arial Narrow"/>
                <w:b w:val="0"/>
                <w:bCs/>
                <w:sz w:val="20"/>
                <w:szCs w:val="20"/>
                <w:lang w:val="en-AU"/>
              </w:rPr>
            </w:pPr>
            <w:r w:rsidRPr="00DC0807">
              <w:rPr>
                <w:rFonts w:ascii="Arial Narrow" w:hAnsi="Arial Narrow"/>
                <w:b w:val="0"/>
                <w:bCs/>
                <w:sz w:val="20"/>
                <w:szCs w:val="20"/>
                <w:lang w:val="en-AU"/>
              </w:rPr>
              <w:t xml:space="preserve">Pooled </w:t>
            </w:r>
          </w:p>
        </w:tc>
        <w:tc>
          <w:tcPr>
            <w:tcW w:w="647" w:type="pct"/>
            <w:shd w:val="clear" w:color="auto" w:fill="FFFFFF" w:themeFill="background1"/>
          </w:tcPr>
          <w:p w:rsidR="007D1F6A" w:rsidRPr="00DC0807" w:rsidRDefault="007D1F6A" w:rsidP="005709E1">
            <w:pPr>
              <w:keepNext/>
              <w:keepLines/>
              <w:spacing w:before="0" w:after="0"/>
              <w:ind w:right="-44"/>
              <w:jc w:val="center"/>
              <w:rPr>
                <w:rFonts w:ascii="Arial Narrow" w:hAnsi="Arial Narrow" w:cs="Calibri"/>
                <w:b w:val="0"/>
                <w:bCs/>
                <w:color w:val="000000"/>
                <w:sz w:val="20"/>
                <w:szCs w:val="20"/>
                <w:lang w:val="en-AU" w:eastAsia="en-AU"/>
              </w:rPr>
            </w:pPr>
            <w:r w:rsidRPr="00DC0807">
              <w:rPr>
                <w:rFonts w:ascii="Arial Narrow" w:hAnsi="Arial Narrow"/>
                <w:b w:val="0"/>
                <w:bCs/>
                <w:sz w:val="20"/>
                <w:szCs w:val="20"/>
                <w:lang w:val="en-AU"/>
              </w:rPr>
              <w:t>66/80 (82.5)</w:t>
            </w:r>
          </w:p>
        </w:tc>
        <w:tc>
          <w:tcPr>
            <w:tcW w:w="583" w:type="pct"/>
            <w:shd w:val="clear" w:color="auto" w:fill="FFFFFF" w:themeFill="background1"/>
          </w:tcPr>
          <w:p w:rsidR="007D1F6A" w:rsidRPr="00DC0807" w:rsidRDefault="007D1F6A" w:rsidP="005709E1">
            <w:pPr>
              <w:keepNext/>
              <w:keepLines/>
              <w:spacing w:before="0" w:after="0"/>
              <w:ind w:right="-44"/>
              <w:jc w:val="center"/>
              <w:rPr>
                <w:rFonts w:ascii="Arial Narrow" w:hAnsi="Arial Narrow"/>
                <w:b w:val="0"/>
                <w:bCs/>
                <w:sz w:val="20"/>
                <w:szCs w:val="20"/>
                <w:lang w:val="en-AU"/>
              </w:rPr>
            </w:pPr>
            <w:r w:rsidRPr="00DC0807">
              <w:rPr>
                <w:rFonts w:ascii="Arial Narrow" w:hAnsi="Arial Narrow"/>
                <w:b w:val="0"/>
                <w:bCs/>
                <w:sz w:val="20"/>
                <w:szCs w:val="20"/>
                <w:lang w:val="en-AU"/>
              </w:rPr>
              <w:t>4/37 (10.8)</w:t>
            </w:r>
          </w:p>
        </w:tc>
        <w:tc>
          <w:tcPr>
            <w:tcW w:w="870" w:type="pct"/>
            <w:shd w:val="clear" w:color="auto" w:fill="FFFFFF" w:themeFill="background1"/>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bCs/>
                <w:sz w:val="20"/>
                <w:szCs w:val="20"/>
                <w:lang w:val="en-AU"/>
              </w:rPr>
              <w:t>0.72 (0.59, 0.85)</w:t>
            </w:r>
          </w:p>
        </w:tc>
        <w:tc>
          <w:tcPr>
            <w:tcW w:w="938" w:type="pct"/>
            <w:shd w:val="clear" w:color="auto" w:fill="FFFFFF" w:themeFill="background1"/>
          </w:tcPr>
          <w:p w:rsidR="007D1F6A" w:rsidRPr="00DC0807" w:rsidRDefault="007D1F6A" w:rsidP="001C01FF">
            <w:pPr>
              <w:keepNext/>
              <w:keepLines/>
              <w:spacing w:before="0" w:after="0"/>
              <w:jc w:val="center"/>
              <w:rPr>
                <w:rFonts w:ascii="Arial Narrow" w:hAnsi="Arial Narrow"/>
                <w:bCs/>
                <w:sz w:val="20"/>
                <w:szCs w:val="20"/>
                <w:lang w:val="en-AU"/>
              </w:rPr>
            </w:pPr>
            <w:r w:rsidRPr="00DC0807">
              <w:rPr>
                <w:rFonts w:ascii="Arial Narrow" w:hAnsi="Arial Narrow"/>
                <w:bCs/>
                <w:sz w:val="20"/>
                <w:szCs w:val="20"/>
                <w:lang w:val="en-AU"/>
              </w:rPr>
              <w:t xml:space="preserve">7.63 </w:t>
            </w:r>
            <w:r w:rsidR="001C01FF" w:rsidRPr="00DC0807">
              <w:rPr>
                <w:rFonts w:ascii="Arial Narrow" w:hAnsi="Arial Narrow"/>
                <w:bCs/>
                <w:sz w:val="20"/>
                <w:szCs w:val="20"/>
                <w:lang w:val="en-AU"/>
              </w:rPr>
              <w:t xml:space="preserve"> </w:t>
            </w:r>
            <w:r w:rsidRPr="00DC0807">
              <w:rPr>
                <w:rFonts w:ascii="Arial Narrow" w:hAnsi="Arial Narrow"/>
                <w:bCs/>
                <w:sz w:val="20"/>
                <w:szCs w:val="20"/>
                <w:lang w:val="en-AU"/>
              </w:rPr>
              <w:t>(3.01, 19.36)</w:t>
            </w:r>
          </w:p>
        </w:tc>
        <w:tc>
          <w:tcPr>
            <w:tcW w:w="1072" w:type="pct"/>
            <w:shd w:val="clear" w:color="auto" w:fill="FFFFFF" w:themeFill="background1"/>
          </w:tcPr>
          <w:p w:rsidR="007D1F6A" w:rsidRPr="00DC0807" w:rsidRDefault="007D1F6A" w:rsidP="001C01FF">
            <w:pPr>
              <w:keepNext/>
              <w:keepLines/>
              <w:spacing w:before="0" w:after="0"/>
              <w:jc w:val="center"/>
              <w:rPr>
                <w:rFonts w:ascii="Arial Narrow" w:hAnsi="Arial Narrow" w:cs="Calibri"/>
                <w:bCs/>
                <w:color w:val="000000"/>
                <w:sz w:val="20"/>
                <w:szCs w:val="20"/>
                <w:lang w:val="en-AU"/>
              </w:rPr>
            </w:pPr>
            <w:r w:rsidRPr="00DC0807">
              <w:rPr>
                <w:rFonts w:ascii="Arial Narrow" w:hAnsi="Arial Narrow" w:cs="Calibri"/>
                <w:bCs/>
                <w:color w:val="000000"/>
                <w:sz w:val="20"/>
                <w:szCs w:val="20"/>
                <w:lang w:val="en-AU"/>
              </w:rPr>
              <w:t xml:space="preserve">38.89 </w:t>
            </w:r>
            <w:r w:rsidR="001C01FF" w:rsidRPr="00DC0807">
              <w:rPr>
                <w:rFonts w:ascii="Arial Narrow" w:hAnsi="Arial Narrow" w:cs="Calibri"/>
                <w:bCs/>
                <w:color w:val="000000"/>
                <w:sz w:val="20"/>
                <w:szCs w:val="20"/>
                <w:lang w:val="en-AU"/>
              </w:rPr>
              <w:t xml:space="preserve"> </w:t>
            </w:r>
            <w:r w:rsidRPr="00DC0807">
              <w:rPr>
                <w:rFonts w:ascii="Arial Narrow" w:hAnsi="Arial Narrow" w:cs="Calibri"/>
                <w:bCs/>
                <w:color w:val="000000"/>
                <w:sz w:val="20"/>
                <w:szCs w:val="20"/>
                <w:lang w:val="en-AU"/>
              </w:rPr>
              <w:t>(11.87, 127.48)</w:t>
            </w:r>
          </w:p>
        </w:tc>
      </w:tr>
      <w:tr w:rsidR="007D1F6A"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7D1F6A" w:rsidRPr="00DC0807" w:rsidRDefault="007D1F6A" w:rsidP="005709E1">
            <w:pPr>
              <w:keepNext/>
              <w:keepLines/>
              <w:spacing w:before="0" w:after="0"/>
              <w:ind w:right="-44"/>
              <w:jc w:val="left"/>
              <w:rPr>
                <w:rFonts w:ascii="Arial Narrow" w:hAnsi="Arial Narrow" w:cs="Calibri"/>
                <w:b w:val="0"/>
                <w:bCs/>
                <w:color w:val="000000"/>
                <w:sz w:val="20"/>
                <w:szCs w:val="20"/>
                <w:lang w:val="en-AU" w:eastAsia="en-AU"/>
              </w:rPr>
            </w:pPr>
            <w:r w:rsidRPr="00DC0807">
              <w:rPr>
                <w:rFonts w:ascii="Arial Narrow" w:eastAsia="Times New Roman" w:hAnsi="Arial Narrow" w:cs="Calibri"/>
                <w:b w:val="0"/>
                <w:color w:val="000000"/>
                <w:sz w:val="20"/>
                <w:szCs w:val="20"/>
                <w:lang w:val="en-AU" w:eastAsia="en-AU"/>
              </w:rPr>
              <w:t>Etanercept versus placebo</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44" w:type="pct"/>
            <w:shd w:val="clear" w:color="auto" w:fill="FFFFFF" w:themeFill="background1"/>
            <w:vAlign w:val="center"/>
          </w:tcPr>
          <w:p w:rsidR="007D1F6A" w:rsidRPr="00DC0807" w:rsidRDefault="007D1F6A" w:rsidP="007D1F6A">
            <w:pPr>
              <w:keepNext/>
              <w:keepLines/>
              <w:spacing w:before="0" w:after="0"/>
              <w:rPr>
                <w:rFonts w:ascii="Arial Narrow" w:hAnsi="Arial Narrow"/>
                <w:b w:val="0"/>
                <w:bCs/>
                <w:sz w:val="20"/>
                <w:szCs w:val="20"/>
                <w:lang w:val="en-AU"/>
              </w:rPr>
            </w:pPr>
            <w:r w:rsidRPr="00DC0807">
              <w:rPr>
                <w:rFonts w:ascii="Arial Narrow" w:hAnsi="Arial Narrow"/>
                <w:b w:val="0"/>
                <w:sz w:val="20"/>
                <w:szCs w:val="20"/>
                <w:lang w:val="en-AU"/>
              </w:rPr>
              <w:t>Paller 2008</w:t>
            </w:r>
          </w:p>
        </w:tc>
        <w:tc>
          <w:tcPr>
            <w:tcW w:w="246"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b w:val="0"/>
                <w:bCs/>
                <w:sz w:val="20"/>
                <w:szCs w:val="20"/>
                <w:lang w:val="en-AU"/>
              </w:rPr>
            </w:pPr>
            <w:r w:rsidRPr="00DC0807">
              <w:rPr>
                <w:rFonts w:ascii="Arial Narrow" w:hAnsi="Arial Narrow"/>
                <w:b w:val="0"/>
                <w:sz w:val="20"/>
                <w:szCs w:val="20"/>
                <w:lang w:val="en-AU"/>
              </w:rPr>
              <w:t>12</w:t>
            </w:r>
          </w:p>
        </w:tc>
        <w:tc>
          <w:tcPr>
            <w:tcW w:w="647" w:type="pct"/>
            <w:shd w:val="clear" w:color="auto" w:fill="FFFFFF" w:themeFill="background1"/>
            <w:vAlign w:val="center"/>
          </w:tcPr>
          <w:p w:rsidR="007D1F6A" w:rsidRPr="00DC0807" w:rsidRDefault="005709E1" w:rsidP="005709E1">
            <w:pPr>
              <w:keepNext/>
              <w:keepLines/>
              <w:spacing w:before="0" w:after="0"/>
              <w:ind w:right="-166"/>
              <w:jc w:val="left"/>
              <w:rPr>
                <w:rFonts w:ascii="Arial Narrow" w:hAnsi="Arial Narrow" w:cs="Calibri"/>
                <w:b w:val="0"/>
                <w:bCs/>
                <w:color w:val="000000"/>
                <w:sz w:val="20"/>
                <w:szCs w:val="20"/>
                <w:lang w:val="en-AU" w:eastAsia="en-AU"/>
              </w:rPr>
            </w:pPr>
            <w:r w:rsidRPr="00DC0807">
              <w:rPr>
                <w:rFonts w:ascii="Arial Narrow" w:hAnsi="Arial Narrow"/>
                <w:b w:val="0"/>
                <w:sz w:val="20"/>
                <w:szCs w:val="20"/>
                <w:lang w:val="en-AU"/>
              </w:rPr>
              <w:t xml:space="preserve">60/106 </w:t>
            </w:r>
            <w:r w:rsidR="007D1F6A" w:rsidRPr="00DC0807">
              <w:rPr>
                <w:rFonts w:ascii="Arial Narrow" w:hAnsi="Arial Narrow"/>
                <w:b w:val="0"/>
                <w:sz w:val="20"/>
                <w:szCs w:val="20"/>
                <w:lang w:val="en-AU"/>
              </w:rPr>
              <w:t>(56.6)</w:t>
            </w:r>
          </w:p>
        </w:tc>
        <w:tc>
          <w:tcPr>
            <w:tcW w:w="583" w:type="pct"/>
            <w:shd w:val="clear" w:color="auto" w:fill="FFFFFF" w:themeFill="background1"/>
            <w:vAlign w:val="center"/>
          </w:tcPr>
          <w:p w:rsidR="007D1F6A" w:rsidRPr="00DC0807" w:rsidRDefault="007D1F6A" w:rsidP="005709E1">
            <w:pPr>
              <w:keepNext/>
              <w:keepLines/>
              <w:spacing w:before="0" w:after="0"/>
              <w:ind w:left="-57" w:right="-108"/>
              <w:jc w:val="center"/>
              <w:rPr>
                <w:rFonts w:ascii="Arial Narrow" w:hAnsi="Arial Narrow"/>
                <w:b w:val="0"/>
                <w:bCs/>
                <w:sz w:val="20"/>
                <w:szCs w:val="20"/>
                <w:lang w:val="en-AU"/>
              </w:rPr>
            </w:pPr>
            <w:r w:rsidRPr="00DC0807">
              <w:rPr>
                <w:rFonts w:ascii="Arial Narrow" w:hAnsi="Arial Narrow"/>
                <w:b w:val="0"/>
                <w:sz w:val="20"/>
                <w:szCs w:val="20"/>
                <w:lang w:val="en-AU"/>
              </w:rPr>
              <w:t>12/10</w:t>
            </w:r>
            <w:r w:rsidR="005E6030" w:rsidRPr="00DC0807">
              <w:rPr>
                <w:rFonts w:ascii="Arial Narrow" w:hAnsi="Arial Narrow"/>
                <w:b w:val="0"/>
                <w:sz w:val="20"/>
                <w:szCs w:val="20"/>
                <w:lang w:val="en-AU"/>
              </w:rPr>
              <w:t>5</w:t>
            </w:r>
            <w:r w:rsidR="005709E1" w:rsidRPr="00DC0807">
              <w:rPr>
                <w:rFonts w:ascii="Arial Narrow" w:hAnsi="Arial Narrow"/>
                <w:b w:val="0"/>
                <w:sz w:val="20"/>
                <w:szCs w:val="20"/>
                <w:lang w:val="en-AU"/>
              </w:rPr>
              <w:t xml:space="preserve"> </w:t>
            </w:r>
            <w:r w:rsidRPr="00DC0807">
              <w:rPr>
                <w:rFonts w:ascii="Arial Narrow" w:hAnsi="Arial Narrow"/>
                <w:b w:val="0"/>
                <w:sz w:val="20"/>
                <w:szCs w:val="20"/>
                <w:lang w:val="en-AU"/>
              </w:rPr>
              <w:t>(11.4)</w:t>
            </w:r>
          </w:p>
        </w:tc>
        <w:tc>
          <w:tcPr>
            <w:tcW w:w="870"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0.45 (0.34, 0.56)</w:t>
            </w:r>
          </w:p>
        </w:tc>
        <w:tc>
          <w:tcPr>
            <w:tcW w:w="938"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4.95 (2.83, 8.65)</w:t>
            </w:r>
          </w:p>
        </w:tc>
        <w:tc>
          <w:tcPr>
            <w:tcW w:w="1072"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10.11 (4.95, 20.63)</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20" w:type="pct"/>
            <w:gridSpan w:val="4"/>
            <w:shd w:val="clear" w:color="auto" w:fill="FFFFFF" w:themeFill="background1"/>
            <w:vAlign w:val="center"/>
          </w:tcPr>
          <w:p w:rsidR="008B234A" w:rsidRPr="00DC0807" w:rsidRDefault="007D1F6A" w:rsidP="005709E1">
            <w:pPr>
              <w:keepNext/>
              <w:keepLines/>
              <w:spacing w:before="0" w:after="0"/>
              <w:jc w:val="left"/>
              <w:rPr>
                <w:rFonts w:ascii="Arial Narrow" w:hAnsi="Arial Narrow"/>
                <w:sz w:val="20"/>
                <w:szCs w:val="20"/>
                <w:lang w:val="en-AU"/>
              </w:rPr>
            </w:pPr>
            <w:r w:rsidRPr="00DC0807">
              <w:rPr>
                <w:rFonts w:ascii="Arial Narrow" w:hAnsi="Arial Narrow"/>
                <w:sz w:val="20"/>
                <w:szCs w:val="20"/>
                <w:lang w:val="en-AU"/>
              </w:rPr>
              <w:t>Indirect analysis UST vs ETN</w:t>
            </w:r>
            <w:r w:rsidR="008B234A" w:rsidRPr="00DC0807">
              <w:rPr>
                <w:rFonts w:ascii="Arial Narrow" w:hAnsi="Arial Narrow"/>
                <w:sz w:val="20"/>
                <w:szCs w:val="20"/>
                <w:lang w:val="en-AU"/>
              </w:rPr>
              <w:t xml:space="preserve"> </w:t>
            </w:r>
          </w:p>
          <w:p w:rsidR="007D1F6A" w:rsidRPr="00DC0807" w:rsidRDefault="008B234A" w:rsidP="005709E1">
            <w:pPr>
              <w:keepNext/>
              <w:keepLines/>
              <w:spacing w:before="0" w:after="0"/>
              <w:jc w:val="left"/>
              <w:rPr>
                <w:rFonts w:ascii="Arial Narrow" w:hAnsi="Arial Narrow"/>
                <w:b w:val="0"/>
                <w:bCs/>
                <w:sz w:val="20"/>
                <w:szCs w:val="20"/>
                <w:lang w:val="en-AU"/>
              </w:rPr>
            </w:pPr>
            <w:r w:rsidRPr="00DC0807">
              <w:rPr>
                <w:rFonts w:ascii="Arial Narrow" w:hAnsi="Arial Narrow"/>
                <w:sz w:val="20"/>
                <w:szCs w:val="20"/>
                <w:lang w:val="en-AU"/>
              </w:rPr>
              <w:t>(response rate)</w:t>
            </w:r>
          </w:p>
        </w:tc>
        <w:tc>
          <w:tcPr>
            <w:tcW w:w="870"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sz w:val="20"/>
                <w:szCs w:val="20"/>
                <w:lang w:val="en-AU"/>
              </w:rPr>
              <w:t>0.27 (0.09, 0.44)</w:t>
            </w:r>
          </w:p>
        </w:tc>
        <w:tc>
          <w:tcPr>
            <w:tcW w:w="938"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b w:val="0"/>
                <w:bCs/>
                <w:sz w:val="20"/>
                <w:szCs w:val="20"/>
                <w:lang w:val="en-AU"/>
              </w:rPr>
              <w:t>1.54 (0.52, 4.56)</w:t>
            </w:r>
          </w:p>
        </w:tc>
        <w:tc>
          <w:tcPr>
            <w:tcW w:w="1072"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cs="Calibri"/>
                <w:b w:val="0"/>
                <w:bCs/>
                <w:color w:val="000000"/>
                <w:sz w:val="20"/>
                <w:szCs w:val="20"/>
                <w:lang w:val="en-AU"/>
              </w:rPr>
              <w:t>3.85 (0.96, 15.37)</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20" w:type="pct"/>
            <w:gridSpan w:val="4"/>
            <w:shd w:val="clear" w:color="auto" w:fill="FFFFFF" w:themeFill="background1"/>
            <w:vAlign w:val="center"/>
          </w:tcPr>
          <w:p w:rsidR="007D1F6A" w:rsidRPr="00DC0807" w:rsidRDefault="007D1F6A" w:rsidP="005709E1">
            <w:pPr>
              <w:keepNext/>
              <w:keepLines/>
              <w:spacing w:before="0" w:after="0"/>
              <w:jc w:val="left"/>
              <w:rPr>
                <w:rFonts w:ascii="Arial Narrow" w:hAnsi="Arial Narrow"/>
                <w:sz w:val="20"/>
                <w:szCs w:val="20"/>
                <w:lang w:val="en-AU"/>
              </w:rPr>
            </w:pPr>
            <w:r w:rsidRPr="00DC0807">
              <w:rPr>
                <w:rFonts w:ascii="Arial Narrow" w:hAnsi="Arial Narrow"/>
                <w:sz w:val="20"/>
                <w:szCs w:val="20"/>
                <w:lang w:val="en-AU"/>
              </w:rPr>
              <w:t>Indirect analysis CADMUS vs Paller 2008</w:t>
            </w:r>
            <w:r w:rsidR="008B234A" w:rsidRPr="00DC0807">
              <w:rPr>
                <w:rFonts w:ascii="Arial Narrow" w:hAnsi="Arial Narrow"/>
                <w:sz w:val="20"/>
                <w:szCs w:val="20"/>
                <w:lang w:val="en-AU"/>
              </w:rPr>
              <w:t xml:space="preserve"> (response rate</w:t>
            </w:r>
            <w:r w:rsidR="004E295D" w:rsidRPr="00DC0807">
              <w:rPr>
                <w:rFonts w:ascii="Arial Narrow" w:hAnsi="Arial Narrow"/>
                <w:sz w:val="20"/>
                <w:szCs w:val="20"/>
                <w:lang w:val="en-AU"/>
              </w:rPr>
              <w:t>; excludes CADMUS JR</w:t>
            </w:r>
            <w:r w:rsidR="008B234A" w:rsidRPr="00DC0807">
              <w:rPr>
                <w:rFonts w:ascii="Arial Narrow" w:hAnsi="Arial Narrow"/>
                <w:sz w:val="20"/>
                <w:szCs w:val="20"/>
                <w:lang w:val="en-AU"/>
              </w:rPr>
              <w:t>)</w:t>
            </w:r>
          </w:p>
        </w:tc>
        <w:tc>
          <w:tcPr>
            <w:tcW w:w="870"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0.25 (0.05, 0.45)</w:t>
            </w:r>
          </w:p>
        </w:tc>
        <w:tc>
          <w:tcPr>
            <w:tcW w:w="938"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1.51 (0.50, 4.49)</w:t>
            </w:r>
          </w:p>
        </w:tc>
        <w:tc>
          <w:tcPr>
            <w:tcW w:w="1072" w:type="pct"/>
            <w:shd w:val="clear" w:color="auto" w:fill="FFFFFF" w:themeFill="background1"/>
            <w:vAlign w:val="center"/>
          </w:tcPr>
          <w:p w:rsidR="007D1F6A" w:rsidRPr="00DC0807" w:rsidRDefault="007D1F6A" w:rsidP="007D1F6A">
            <w:pPr>
              <w:keepNext/>
              <w:keepLines/>
              <w:spacing w:before="0" w:after="0"/>
              <w:jc w:val="center"/>
              <w:rPr>
                <w:rFonts w:ascii="Arial Narrow" w:hAnsi="Arial Narrow" w:cs="Calibri"/>
                <w:b w:val="0"/>
                <w:bCs/>
                <w:color w:val="000000"/>
                <w:sz w:val="20"/>
                <w:szCs w:val="20"/>
                <w:lang w:val="en-AU"/>
              </w:rPr>
            </w:pPr>
            <w:r w:rsidRPr="00DC0807">
              <w:rPr>
                <w:rFonts w:ascii="Arial Narrow" w:hAnsi="Arial Narrow" w:cs="Calibri"/>
                <w:b w:val="0"/>
                <w:bCs/>
                <w:color w:val="000000"/>
                <w:sz w:val="20"/>
                <w:szCs w:val="20"/>
                <w:lang w:val="en-AU"/>
              </w:rPr>
              <w:t>3.38 (0.75, 15.23)</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20" w:type="pct"/>
            <w:gridSpan w:val="4"/>
            <w:shd w:val="clear" w:color="auto" w:fill="FFFFFF" w:themeFill="background1"/>
            <w:vAlign w:val="center"/>
          </w:tcPr>
          <w:p w:rsidR="00737877" w:rsidRPr="00DC0807" w:rsidRDefault="007D1F6A" w:rsidP="005709E1">
            <w:pPr>
              <w:keepNext/>
              <w:keepLines/>
              <w:spacing w:before="0" w:after="0"/>
              <w:jc w:val="left"/>
              <w:rPr>
                <w:rFonts w:ascii="Arial Narrow" w:hAnsi="Arial Narrow"/>
                <w:sz w:val="20"/>
                <w:szCs w:val="20"/>
                <w:lang w:val="en-AU"/>
              </w:rPr>
            </w:pPr>
            <w:r w:rsidRPr="00DC0807">
              <w:rPr>
                <w:rFonts w:ascii="Arial Narrow" w:hAnsi="Arial Narrow"/>
                <w:sz w:val="20"/>
                <w:szCs w:val="20"/>
                <w:lang w:val="en-AU"/>
              </w:rPr>
              <w:t xml:space="preserve">Indirect analysis UST vs ETN </w:t>
            </w:r>
          </w:p>
          <w:p w:rsidR="007D1F6A" w:rsidRPr="00DC0807" w:rsidRDefault="007D1F6A" w:rsidP="005709E1">
            <w:pPr>
              <w:keepNext/>
              <w:keepLines/>
              <w:spacing w:before="0" w:after="0"/>
              <w:jc w:val="left"/>
              <w:rPr>
                <w:rFonts w:ascii="Arial Narrow" w:hAnsi="Arial Narrow"/>
                <w:sz w:val="20"/>
                <w:szCs w:val="20"/>
                <w:lang w:val="en-AU"/>
              </w:rPr>
            </w:pPr>
            <w:r w:rsidRPr="00DC0807">
              <w:rPr>
                <w:rFonts w:ascii="Arial Narrow" w:hAnsi="Arial Narrow"/>
                <w:sz w:val="20"/>
                <w:szCs w:val="20"/>
                <w:lang w:val="en-AU"/>
              </w:rPr>
              <w:t>(non-response rate)</w:t>
            </w:r>
            <w:r w:rsidR="001D6EF4" w:rsidRPr="00DC0807">
              <w:rPr>
                <w:rFonts w:ascii="Arial Narrow" w:hAnsi="Arial Narrow"/>
                <w:sz w:val="20"/>
                <w:szCs w:val="20"/>
                <w:lang w:val="en-AU"/>
              </w:rPr>
              <w:t xml:space="preserve"> </w:t>
            </w:r>
            <w:r w:rsidR="00D914C6" w:rsidRPr="00DC0807">
              <w:rPr>
                <w:rFonts w:ascii="Arial Narrow" w:hAnsi="Arial Narrow"/>
                <w:sz w:val="20"/>
                <w:szCs w:val="20"/>
                <w:vertAlign w:val="superscript"/>
                <w:lang w:val="en-AU"/>
              </w:rPr>
              <w:t>c</w:t>
            </w:r>
          </w:p>
        </w:tc>
        <w:tc>
          <w:tcPr>
            <w:tcW w:w="870" w:type="pct"/>
            <w:shd w:val="clear" w:color="auto" w:fill="FFFFFF" w:themeFill="background1"/>
            <w:vAlign w:val="center"/>
          </w:tcPr>
          <w:p w:rsidR="007D1F6A" w:rsidRPr="00DC0807" w:rsidRDefault="00737877" w:rsidP="00467100">
            <w:pPr>
              <w:keepNext/>
              <w:keepLines/>
              <w:ind w:right="-102"/>
              <w:jc w:val="center"/>
              <w:rPr>
                <w:rFonts w:ascii="Arial Narrow" w:hAnsi="Arial Narrow" w:cs="Calibri"/>
                <w:bCs/>
                <w:color w:val="000000"/>
                <w:sz w:val="20"/>
                <w:szCs w:val="20"/>
                <w:lang w:val="en-AU" w:eastAsia="en-AU"/>
              </w:rPr>
            </w:pPr>
            <w:r w:rsidRPr="00DC0807">
              <w:rPr>
                <w:rFonts w:ascii="Arial Narrow" w:hAnsi="Arial Narrow" w:cs="Calibri"/>
                <w:bCs/>
                <w:color w:val="000000"/>
                <w:sz w:val="20"/>
                <w:szCs w:val="20"/>
                <w:lang w:val="en-AU" w:eastAsia="en-AU"/>
              </w:rPr>
              <w:t>-0.27</w:t>
            </w:r>
            <w:r w:rsidR="005709E1" w:rsidRPr="00DC0807">
              <w:rPr>
                <w:rFonts w:ascii="Arial Narrow" w:hAnsi="Arial Narrow" w:cs="Calibri"/>
                <w:bCs/>
                <w:color w:val="000000"/>
                <w:sz w:val="20"/>
                <w:szCs w:val="20"/>
                <w:lang w:val="en-AU" w:eastAsia="en-AU"/>
              </w:rPr>
              <w:t xml:space="preserve"> </w:t>
            </w:r>
            <w:r w:rsidRPr="00DC0807">
              <w:rPr>
                <w:rFonts w:ascii="Arial Narrow" w:hAnsi="Arial Narrow" w:cs="Calibri"/>
                <w:bCs/>
                <w:color w:val="000000"/>
                <w:sz w:val="20"/>
                <w:szCs w:val="20"/>
                <w:lang w:val="en-AU" w:eastAsia="en-AU"/>
              </w:rPr>
              <w:t>(-0.44,</w:t>
            </w:r>
            <w:r w:rsidR="005709E1" w:rsidRPr="00DC0807">
              <w:rPr>
                <w:rFonts w:ascii="Arial Narrow" w:hAnsi="Arial Narrow" w:cs="Calibri"/>
                <w:bCs/>
                <w:color w:val="000000"/>
                <w:sz w:val="20"/>
                <w:szCs w:val="20"/>
                <w:lang w:val="en-AU" w:eastAsia="en-AU"/>
              </w:rPr>
              <w:t xml:space="preserve"> </w:t>
            </w:r>
            <w:r w:rsidRPr="00DC0807">
              <w:rPr>
                <w:rFonts w:ascii="Arial Narrow" w:hAnsi="Arial Narrow" w:cs="Calibri"/>
                <w:bCs/>
                <w:color w:val="000000"/>
                <w:sz w:val="20"/>
                <w:szCs w:val="20"/>
                <w:lang w:val="en-AU" w:eastAsia="en-AU"/>
              </w:rPr>
              <w:noBreakHyphen/>
            </w:r>
            <w:r w:rsidR="007D1F6A" w:rsidRPr="00DC0807">
              <w:rPr>
                <w:rFonts w:ascii="Arial Narrow" w:hAnsi="Arial Narrow" w:cs="Calibri"/>
                <w:bCs/>
                <w:color w:val="000000"/>
                <w:sz w:val="20"/>
                <w:szCs w:val="20"/>
                <w:lang w:val="en-AU" w:eastAsia="en-AU"/>
              </w:rPr>
              <w:t>0.10)</w:t>
            </w:r>
          </w:p>
        </w:tc>
        <w:tc>
          <w:tcPr>
            <w:tcW w:w="938" w:type="pct"/>
            <w:shd w:val="clear" w:color="auto" w:fill="FFFFFF" w:themeFill="background1"/>
            <w:vAlign w:val="center"/>
          </w:tcPr>
          <w:p w:rsidR="007D1F6A" w:rsidRPr="00DC0807" w:rsidRDefault="007D1F6A" w:rsidP="007D1F6A">
            <w:pPr>
              <w:keepNext/>
              <w:keepLines/>
              <w:jc w:val="center"/>
              <w:rPr>
                <w:rFonts w:ascii="Arial Narrow" w:hAnsi="Arial Narrow"/>
                <w:b w:val="0"/>
                <w:bCs/>
                <w:sz w:val="20"/>
                <w:szCs w:val="20"/>
                <w:lang w:val="en-AU"/>
              </w:rPr>
            </w:pPr>
            <w:r w:rsidRPr="00DC0807">
              <w:rPr>
                <w:rFonts w:ascii="Arial Narrow" w:hAnsi="Arial Narrow" w:cs="Calibri"/>
                <w:bCs/>
                <w:color w:val="000000"/>
                <w:sz w:val="20"/>
                <w:szCs w:val="20"/>
                <w:lang w:val="en-AU" w:eastAsia="en-AU"/>
              </w:rPr>
              <w:t>0.41 (0.24, 0.70)</w:t>
            </w:r>
          </w:p>
        </w:tc>
        <w:tc>
          <w:tcPr>
            <w:tcW w:w="1072" w:type="pct"/>
            <w:shd w:val="clear" w:color="auto" w:fill="FFFFFF" w:themeFill="background1"/>
            <w:vAlign w:val="center"/>
          </w:tcPr>
          <w:p w:rsidR="007D1F6A" w:rsidRPr="00DC0807" w:rsidRDefault="007D1F6A" w:rsidP="007D1F6A">
            <w:pPr>
              <w:keepNext/>
              <w:keepLines/>
              <w:jc w:val="center"/>
              <w:rPr>
                <w:rFonts w:ascii="Arial Narrow" w:hAnsi="Arial Narrow" w:cs="Calibri"/>
                <w:b w:val="0"/>
                <w:bCs/>
                <w:color w:val="000000"/>
                <w:sz w:val="20"/>
                <w:szCs w:val="20"/>
                <w:lang w:val="en-AU"/>
              </w:rPr>
            </w:pPr>
            <w:r w:rsidRPr="00DC0807">
              <w:rPr>
                <w:rFonts w:ascii="Arial Narrow" w:hAnsi="Arial Narrow" w:cs="Calibri"/>
                <w:bCs/>
                <w:color w:val="000000"/>
                <w:sz w:val="20"/>
                <w:szCs w:val="20"/>
                <w:lang w:val="en-AU" w:eastAsia="en-AU"/>
              </w:rPr>
              <w:t>0.3 (0.10, 0.93)</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20" w:type="pct"/>
            <w:gridSpan w:val="4"/>
            <w:shd w:val="clear" w:color="auto" w:fill="FFFFFF" w:themeFill="background1"/>
            <w:vAlign w:val="center"/>
          </w:tcPr>
          <w:p w:rsidR="007D1F6A" w:rsidRPr="00DC0807" w:rsidRDefault="007D1F6A" w:rsidP="00556074">
            <w:pPr>
              <w:keepNext/>
              <w:keepLines/>
              <w:spacing w:before="0" w:after="0"/>
              <w:jc w:val="left"/>
              <w:rPr>
                <w:rFonts w:ascii="Arial Narrow" w:hAnsi="Arial Narrow"/>
                <w:sz w:val="20"/>
                <w:szCs w:val="20"/>
                <w:lang w:val="en-AU"/>
              </w:rPr>
            </w:pPr>
            <w:r w:rsidRPr="00DC0807">
              <w:rPr>
                <w:rFonts w:ascii="Arial Narrow" w:hAnsi="Arial Narrow"/>
                <w:sz w:val="20"/>
                <w:szCs w:val="20"/>
                <w:lang w:val="en-AU"/>
              </w:rPr>
              <w:t>Indirect analysis CADMUS vs Paller 2008 (non-response rate</w:t>
            </w:r>
            <w:r w:rsidR="004E295D" w:rsidRPr="00DC0807">
              <w:rPr>
                <w:rFonts w:ascii="Arial Narrow" w:hAnsi="Arial Narrow"/>
                <w:sz w:val="20"/>
                <w:szCs w:val="20"/>
                <w:lang w:val="en-AU"/>
              </w:rPr>
              <w:t>; excludes CADMUS JR</w:t>
            </w:r>
            <w:r w:rsidRPr="00DC0807">
              <w:rPr>
                <w:rFonts w:ascii="Arial Narrow" w:hAnsi="Arial Narrow"/>
                <w:sz w:val="20"/>
                <w:szCs w:val="20"/>
                <w:lang w:val="en-AU"/>
              </w:rPr>
              <w:t>)</w:t>
            </w:r>
            <w:r w:rsidR="001D6EF4" w:rsidRPr="00DC0807">
              <w:rPr>
                <w:rFonts w:ascii="Arial Narrow" w:hAnsi="Arial Narrow"/>
                <w:sz w:val="20"/>
                <w:szCs w:val="20"/>
                <w:lang w:val="en-AU"/>
              </w:rPr>
              <w:t xml:space="preserve"> </w:t>
            </w:r>
          </w:p>
        </w:tc>
        <w:tc>
          <w:tcPr>
            <w:tcW w:w="870" w:type="pct"/>
            <w:shd w:val="clear" w:color="auto" w:fill="FFFFFF" w:themeFill="background1"/>
            <w:vAlign w:val="center"/>
          </w:tcPr>
          <w:p w:rsidR="007D1F6A" w:rsidRPr="00DC0807" w:rsidRDefault="007D1F6A" w:rsidP="005709E1">
            <w:pPr>
              <w:keepNext/>
              <w:keepLines/>
              <w:ind w:left="-70" w:right="-104" w:firstLine="70"/>
              <w:jc w:val="center"/>
              <w:rPr>
                <w:rFonts w:ascii="Arial Narrow" w:hAnsi="Arial Narrow"/>
                <w:sz w:val="20"/>
                <w:szCs w:val="20"/>
                <w:lang w:val="en-AU"/>
              </w:rPr>
            </w:pPr>
            <w:r w:rsidRPr="00DC0807">
              <w:rPr>
                <w:rFonts w:ascii="Arial Narrow" w:hAnsi="Arial Narrow"/>
                <w:sz w:val="20"/>
                <w:szCs w:val="20"/>
                <w:lang w:val="en-AU"/>
              </w:rPr>
              <w:t>-0.25 (-0.45, -0.05)</w:t>
            </w:r>
          </w:p>
        </w:tc>
        <w:tc>
          <w:tcPr>
            <w:tcW w:w="938" w:type="pct"/>
            <w:shd w:val="clear" w:color="auto" w:fill="FFFFFF" w:themeFill="background1"/>
            <w:vAlign w:val="center"/>
          </w:tcPr>
          <w:p w:rsidR="007D1F6A" w:rsidRPr="00DC0807" w:rsidRDefault="007D1F6A" w:rsidP="007D1F6A">
            <w:pPr>
              <w:keepNext/>
              <w:keepLines/>
              <w:jc w:val="center"/>
              <w:rPr>
                <w:rFonts w:ascii="Arial Narrow" w:hAnsi="Arial Narrow"/>
                <w:b w:val="0"/>
                <w:bCs/>
                <w:sz w:val="20"/>
                <w:szCs w:val="20"/>
                <w:lang w:val="en-AU"/>
              </w:rPr>
            </w:pPr>
            <w:r w:rsidRPr="00DC0807">
              <w:rPr>
                <w:rFonts w:ascii="Arial Narrow" w:hAnsi="Arial Narrow"/>
                <w:sz w:val="20"/>
                <w:szCs w:val="20"/>
                <w:lang w:val="en-AU"/>
              </w:rPr>
              <w:t>0.45 (0.22, 0.92)</w:t>
            </w:r>
          </w:p>
        </w:tc>
        <w:tc>
          <w:tcPr>
            <w:tcW w:w="1072" w:type="pct"/>
            <w:shd w:val="clear" w:color="auto" w:fill="FFFFFF" w:themeFill="background1"/>
            <w:vAlign w:val="center"/>
          </w:tcPr>
          <w:p w:rsidR="007D1F6A" w:rsidRPr="00DC0807" w:rsidRDefault="007D1F6A" w:rsidP="007D1F6A">
            <w:pPr>
              <w:keepNext/>
              <w:keepLines/>
              <w:jc w:val="center"/>
              <w:rPr>
                <w:rFonts w:ascii="Arial Narrow" w:hAnsi="Arial Narrow" w:cs="Calibri"/>
                <w:b w:val="0"/>
                <w:bCs/>
                <w:color w:val="000000"/>
                <w:sz w:val="20"/>
                <w:szCs w:val="20"/>
                <w:lang w:val="en-AU"/>
              </w:rPr>
            </w:pPr>
            <w:r w:rsidRPr="00DC0807">
              <w:rPr>
                <w:rFonts w:ascii="Arial Narrow" w:hAnsi="Arial Narrow" w:cs="Calibri"/>
                <w:b w:val="0"/>
                <w:color w:val="000000"/>
                <w:sz w:val="20"/>
                <w:szCs w:val="20"/>
                <w:lang w:val="en-AU"/>
              </w:rPr>
              <w:t>0.3 (0.08, 1.10)</w:t>
            </w:r>
          </w:p>
        </w:tc>
      </w:tr>
      <w:tr w:rsidR="007D1F6A"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7D1F6A" w:rsidRPr="00DC0807" w:rsidRDefault="007D1F6A" w:rsidP="007D1F6A">
            <w:pPr>
              <w:keepNext/>
              <w:keepLines/>
              <w:spacing w:before="0" w:after="0"/>
              <w:jc w:val="left"/>
              <w:rPr>
                <w:rFonts w:ascii="Arial Narrow" w:hAnsi="Arial Narrow" w:cs="Calibri"/>
                <w:bCs/>
                <w:color w:val="000000"/>
                <w:sz w:val="20"/>
                <w:szCs w:val="20"/>
                <w:lang w:val="en-AU" w:eastAsia="en-AU"/>
              </w:rPr>
            </w:pPr>
            <w:r w:rsidRPr="00DC0807">
              <w:rPr>
                <w:rFonts w:ascii="Arial Narrow" w:hAnsi="Arial Narrow"/>
                <w:sz w:val="20"/>
                <w:szCs w:val="20"/>
                <w:lang w:val="en-AU"/>
              </w:rPr>
              <w:t>Week 24 or 28</w:t>
            </w:r>
          </w:p>
        </w:tc>
      </w:tr>
      <w:tr w:rsidR="007D1F6A"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7D1F6A" w:rsidRPr="00DC0807" w:rsidRDefault="007D1F6A" w:rsidP="00D914C6">
            <w:pPr>
              <w:keepNext/>
              <w:keepLines/>
              <w:spacing w:before="0" w:after="0"/>
              <w:jc w:val="left"/>
              <w:rPr>
                <w:rFonts w:ascii="Arial Narrow" w:hAnsi="Arial Narrow" w:cs="Calibri"/>
                <w:bCs/>
                <w:color w:val="000000"/>
                <w:sz w:val="20"/>
                <w:szCs w:val="20"/>
                <w:lang w:val="en-AU" w:eastAsia="en-AU"/>
              </w:rPr>
            </w:pPr>
            <w:r w:rsidRPr="00DC0807">
              <w:rPr>
                <w:rFonts w:ascii="Arial Narrow" w:hAnsi="Arial Narrow"/>
                <w:b w:val="0"/>
                <w:sz w:val="20"/>
                <w:szCs w:val="20"/>
                <w:lang w:val="en-AU"/>
              </w:rPr>
              <w:t>Ustekinumab</w:t>
            </w:r>
            <w:r w:rsidR="00D914C6" w:rsidRPr="00DC0807">
              <w:rPr>
                <w:rFonts w:ascii="Arial Narrow" w:hAnsi="Arial Narrow"/>
                <w:b w:val="0"/>
                <w:sz w:val="20"/>
                <w:szCs w:val="20"/>
                <w:vertAlign w:val="superscript"/>
                <w:lang w:val="en-AU"/>
              </w:rPr>
              <w:t>a</w:t>
            </w:r>
            <w:r w:rsidRPr="00DC0807">
              <w:rPr>
                <w:rFonts w:ascii="Arial Narrow" w:hAnsi="Arial Narrow"/>
                <w:b w:val="0"/>
                <w:sz w:val="20"/>
                <w:szCs w:val="20"/>
                <w:lang w:val="en-AU"/>
              </w:rPr>
              <w:t xml:space="preserve"> versus placebo</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44" w:type="pct"/>
            <w:shd w:val="clear" w:color="auto" w:fill="FFFFFF" w:themeFill="background1"/>
            <w:vAlign w:val="center"/>
          </w:tcPr>
          <w:p w:rsidR="00C35317" w:rsidRPr="00DC0807" w:rsidRDefault="00C35317" w:rsidP="00C35317">
            <w:pPr>
              <w:keepNext/>
              <w:keepLines/>
              <w:spacing w:before="0" w:after="0"/>
              <w:rPr>
                <w:rFonts w:ascii="Arial Narrow" w:hAnsi="Arial Narrow"/>
                <w:b w:val="0"/>
                <w:bCs/>
                <w:sz w:val="20"/>
                <w:szCs w:val="20"/>
                <w:lang w:val="en-AU"/>
              </w:rPr>
            </w:pPr>
            <w:r w:rsidRPr="00DC0807">
              <w:rPr>
                <w:rFonts w:ascii="Arial Narrow" w:hAnsi="Arial Narrow"/>
                <w:b w:val="0"/>
                <w:bCs/>
                <w:sz w:val="20"/>
                <w:szCs w:val="20"/>
                <w:lang w:val="en-AU"/>
              </w:rPr>
              <w:t>CADMUS</w:t>
            </w:r>
          </w:p>
        </w:tc>
        <w:tc>
          <w:tcPr>
            <w:tcW w:w="246" w:type="pct"/>
            <w:shd w:val="clear" w:color="auto" w:fill="FFFFFF" w:themeFill="background1"/>
            <w:vAlign w:val="center"/>
          </w:tcPr>
          <w:p w:rsidR="00C35317" w:rsidRPr="00DC0807" w:rsidRDefault="00C35317" w:rsidP="00C35317">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24</w:t>
            </w:r>
          </w:p>
        </w:tc>
        <w:tc>
          <w:tcPr>
            <w:tcW w:w="647" w:type="pct"/>
            <w:shd w:val="clear" w:color="auto" w:fill="FFFFFF" w:themeFill="background1"/>
            <w:vAlign w:val="center"/>
          </w:tcPr>
          <w:p w:rsidR="00C35317" w:rsidRPr="00DC0807" w:rsidRDefault="00C35317" w:rsidP="00C35317">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29/36 (80.6)</w:t>
            </w:r>
          </w:p>
        </w:tc>
        <w:tc>
          <w:tcPr>
            <w:tcW w:w="583" w:type="pct"/>
            <w:shd w:val="clear" w:color="auto" w:fill="FFFFFF" w:themeFill="background1"/>
            <w:vAlign w:val="center"/>
          </w:tcPr>
          <w:p w:rsidR="00C35317" w:rsidRPr="00DC0807" w:rsidRDefault="00C35317" w:rsidP="005709E1">
            <w:pPr>
              <w:keepNext/>
              <w:keepLines/>
              <w:spacing w:before="0" w:after="0"/>
              <w:ind w:right="-106"/>
              <w:jc w:val="center"/>
              <w:rPr>
                <w:rFonts w:ascii="Arial Narrow" w:hAnsi="Arial Narrow"/>
                <w:b w:val="0"/>
                <w:bCs/>
                <w:sz w:val="20"/>
                <w:szCs w:val="20"/>
                <w:lang w:val="en-AU"/>
              </w:rPr>
            </w:pPr>
            <w:r w:rsidRPr="00DC0807">
              <w:rPr>
                <w:rFonts w:ascii="Arial Narrow" w:hAnsi="Arial Narrow"/>
                <w:b w:val="0"/>
                <w:bCs/>
                <w:sz w:val="20"/>
                <w:szCs w:val="20"/>
                <w:lang w:val="en-AU"/>
              </w:rPr>
              <w:t>4/37</w:t>
            </w:r>
            <w:r w:rsidRPr="00DC0807">
              <w:rPr>
                <w:rFonts w:ascii="Arial Narrow" w:hAnsi="Arial Narrow"/>
                <w:bCs/>
                <w:sz w:val="20"/>
                <w:szCs w:val="20"/>
                <w:lang w:val="en-AU"/>
              </w:rPr>
              <w:t xml:space="preserve"> </w:t>
            </w:r>
            <w:r w:rsidR="005709E1" w:rsidRPr="00DC0807">
              <w:rPr>
                <w:rFonts w:ascii="Arial Narrow" w:hAnsi="Arial Narrow"/>
                <w:b w:val="0"/>
                <w:sz w:val="20"/>
                <w:szCs w:val="20"/>
                <w:lang w:val="en-AU"/>
              </w:rPr>
              <w:t>(10.8)</w:t>
            </w:r>
            <w:r w:rsidR="00D914C6" w:rsidRPr="00DC0807">
              <w:rPr>
                <w:rFonts w:ascii="Arial Narrow" w:hAnsi="Arial Narrow"/>
                <w:b w:val="0"/>
                <w:sz w:val="20"/>
                <w:szCs w:val="20"/>
                <w:vertAlign w:val="superscript"/>
                <w:lang w:val="en-AU"/>
              </w:rPr>
              <w:t>b</w:t>
            </w:r>
          </w:p>
        </w:tc>
        <w:tc>
          <w:tcPr>
            <w:tcW w:w="870" w:type="pct"/>
            <w:shd w:val="clear" w:color="auto" w:fill="FFFFFF" w:themeFill="background1"/>
            <w:vAlign w:val="center"/>
          </w:tcPr>
          <w:p w:rsidR="00C35317" w:rsidRPr="00DC0807" w:rsidRDefault="00C35317" w:rsidP="00C35317">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0.7 (0.53,0.86)</w:t>
            </w:r>
          </w:p>
        </w:tc>
        <w:tc>
          <w:tcPr>
            <w:tcW w:w="938" w:type="pct"/>
            <w:shd w:val="clear" w:color="auto" w:fill="FFFFFF" w:themeFill="background1"/>
            <w:vAlign w:val="center"/>
          </w:tcPr>
          <w:p w:rsidR="00C35317" w:rsidRPr="00DC0807" w:rsidRDefault="00C35317" w:rsidP="00C35317">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7.45 (2.91, 19.06)</w:t>
            </w:r>
          </w:p>
        </w:tc>
        <w:tc>
          <w:tcPr>
            <w:tcW w:w="1072" w:type="pct"/>
            <w:shd w:val="clear" w:color="auto" w:fill="FFFFFF" w:themeFill="background1"/>
            <w:vAlign w:val="center"/>
          </w:tcPr>
          <w:p w:rsidR="00C35317" w:rsidRPr="00DC0807" w:rsidRDefault="00C35317" w:rsidP="005709E1">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34.18 (9.08, 128.7)</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44" w:type="pct"/>
            <w:shd w:val="clear" w:color="auto" w:fill="FFFFFF" w:themeFill="background1"/>
            <w:vAlign w:val="center"/>
          </w:tcPr>
          <w:p w:rsidR="00C35317" w:rsidRPr="00DC0807" w:rsidRDefault="00C35317" w:rsidP="005709E1">
            <w:pPr>
              <w:keepNext/>
              <w:keepLines/>
              <w:spacing w:before="0" w:after="0"/>
              <w:ind w:right="-213"/>
              <w:rPr>
                <w:rFonts w:ascii="Arial Narrow" w:hAnsi="Arial Narrow"/>
                <w:b w:val="0"/>
                <w:bCs/>
                <w:sz w:val="20"/>
                <w:szCs w:val="20"/>
                <w:lang w:val="en-AU"/>
              </w:rPr>
            </w:pPr>
            <w:r w:rsidRPr="00DC0807">
              <w:rPr>
                <w:rFonts w:ascii="Arial Narrow" w:hAnsi="Arial Narrow"/>
                <w:b w:val="0"/>
                <w:bCs/>
                <w:sz w:val="20"/>
                <w:szCs w:val="20"/>
                <w:lang w:val="en-AU"/>
              </w:rPr>
              <w:t>CADMUS JR</w:t>
            </w:r>
          </w:p>
        </w:tc>
        <w:tc>
          <w:tcPr>
            <w:tcW w:w="246" w:type="pct"/>
            <w:shd w:val="clear" w:color="auto" w:fill="FFFFFF" w:themeFill="background1"/>
            <w:vAlign w:val="center"/>
          </w:tcPr>
          <w:p w:rsidR="00C35317" w:rsidRPr="00DC0807" w:rsidRDefault="00C35317" w:rsidP="00C35317">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28</w:t>
            </w:r>
          </w:p>
        </w:tc>
        <w:tc>
          <w:tcPr>
            <w:tcW w:w="647" w:type="pct"/>
            <w:shd w:val="clear" w:color="auto" w:fill="FFFFFF" w:themeFill="background1"/>
            <w:vAlign w:val="center"/>
          </w:tcPr>
          <w:p w:rsidR="00C35317" w:rsidRPr="00DC0807" w:rsidRDefault="00C35317" w:rsidP="00C35317">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39/44 (88.6)</w:t>
            </w:r>
          </w:p>
        </w:tc>
        <w:tc>
          <w:tcPr>
            <w:tcW w:w="583" w:type="pct"/>
            <w:shd w:val="clear" w:color="auto" w:fill="FFFFFF" w:themeFill="background1"/>
            <w:vAlign w:val="center"/>
          </w:tcPr>
          <w:p w:rsidR="00C35317" w:rsidRPr="00DC0807" w:rsidRDefault="00C35317" w:rsidP="00C35317">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N/A</w:t>
            </w:r>
          </w:p>
        </w:tc>
        <w:tc>
          <w:tcPr>
            <w:tcW w:w="870" w:type="pct"/>
            <w:shd w:val="clear" w:color="auto" w:fill="FFFFFF" w:themeFill="background1"/>
            <w:vAlign w:val="center"/>
          </w:tcPr>
          <w:p w:rsidR="00C35317" w:rsidRPr="00DC0807" w:rsidRDefault="00C35317" w:rsidP="00C35317">
            <w:pPr>
              <w:keepNext/>
              <w:keepLines/>
              <w:spacing w:before="0" w:after="0"/>
              <w:jc w:val="center"/>
              <w:rPr>
                <w:rFonts w:ascii="Arial Narrow" w:eastAsia="Times New Roman" w:hAnsi="Arial Narrow" w:cs="Calibri"/>
                <w:b w:val="0"/>
                <w:bCs/>
                <w:color w:val="000000"/>
                <w:sz w:val="20"/>
                <w:szCs w:val="20"/>
                <w:lang w:val="en-AU" w:eastAsia="en-AU"/>
              </w:rPr>
            </w:pPr>
            <w:r w:rsidRPr="00DC0807">
              <w:rPr>
                <w:rFonts w:ascii="Arial Narrow" w:hAnsi="Arial Narrow"/>
                <w:b w:val="0"/>
                <w:bCs/>
                <w:sz w:val="20"/>
                <w:szCs w:val="20"/>
                <w:lang w:val="en-AU"/>
              </w:rPr>
              <w:t>N/A</w:t>
            </w:r>
          </w:p>
        </w:tc>
        <w:tc>
          <w:tcPr>
            <w:tcW w:w="938" w:type="pct"/>
            <w:shd w:val="clear" w:color="auto" w:fill="FFFFFF" w:themeFill="background1"/>
            <w:vAlign w:val="center"/>
          </w:tcPr>
          <w:p w:rsidR="00C35317" w:rsidRPr="00DC0807" w:rsidRDefault="00C35317" w:rsidP="00C35317">
            <w:pPr>
              <w:keepNext/>
              <w:keepLines/>
              <w:spacing w:before="0" w:after="0"/>
              <w:jc w:val="center"/>
              <w:rPr>
                <w:rFonts w:ascii="Arial Narrow" w:eastAsia="Times New Roman" w:hAnsi="Arial Narrow" w:cs="Calibri"/>
                <w:b w:val="0"/>
                <w:bCs/>
                <w:color w:val="000000"/>
                <w:sz w:val="20"/>
                <w:szCs w:val="20"/>
                <w:lang w:val="en-AU" w:eastAsia="en-AU"/>
              </w:rPr>
            </w:pPr>
            <w:r w:rsidRPr="00DC0807">
              <w:rPr>
                <w:rFonts w:ascii="Arial Narrow" w:hAnsi="Arial Narrow"/>
                <w:b w:val="0"/>
                <w:bCs/>
                <w:sz w:val="20"/>
                <w:szCs w:val="20"/>
                <w:lang w:val="en-AU"/>
              </w:rPr>
              <w:t>N/A</w:t>
            </w:r>
          </w:p>
        </w:tc>
        <w:tc>
          <w:tcPr>
            <w:tcW w:w="1072" w:type="pct"/>
            <w:shd w:val="clear" w:color="auto" w:fill="FFFFFF" w:themeFill="background1"/>
            <w:vAlign w:val="center"/>
          </w:tcPr>
          <w:p w:rsidR="00C35317" w:rsidRPr="00DC0807" w:rsidRDefault="00C35317" w:rsidP="00C35317">
            <w:pPr>
              <w:keepNext/>
              <w:keepLines/>
              <w:spacing w:before="0" w:after="0"/>
              <w:jc w:val="center"/>
              <w:rPr>
                <w:rFonts w:ascii="Arial Narrow" w:eastAsia="Times New Roman" w:hAnsi="Arial Narrow" w:cs="Calibri"/>
                <w:b w:val="0"/>
                <w:bCs/>
                <w:color w:val="000000"/>
                <w:sz w:val="20"/>
                <w:szCs w:val="20"/>
                <w:lang w:val="en-AU" w:eastAsia="en-AU"/>
              </w:rPr>
            </w:pPr>
            <w:r w:rsidRPr="00DC0807">
              <w:rPr>
                <w:rFonts w:ascii="Arial Narrow" w:hAnsi="Arial Narrow"/>
                <w:b w:val="0"/>
                <w:bCs/>
                <w:sz w:val="20"/>
                <w:szCs w:val="20"/>
                <w:lang w:val="en-AU"/>
              </w:rPr>
              <w:t>N/A</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890" w:type="pct"/>
            <w:gridSpan w:val="2"/>
            <w:shd w:val="clear" w:color="auto" w:fill="FFFFFF" w:themeFill="background1"/>
            <w:vAlign w:val="center"/>
          </w:tcPr>
          <w:p w:rsidR="00C35317" w:rsidRPr="00DC0807" w:rsidRDefault="00C35317" w:rsidP="00C35317">
            <w:pPr>
              <w:keepNext/>
              <w:keepLines/>
              <w:spacing w:before="0" w:after="0"/>
              <w:rPr>
                <w:rFonts w:ascii="Arial Narrow" w:hAnsi="Arial Narrow"/>
                <w:b w:val="0"/>
                <w:bCs/>
                <w:sz w:val="20"/>
                <w:szCs w:val="20"/>
                <w:lang w:val="en-AU"/>
              </w:rPr>
            </w:pPr>
            <w:r w:rsidRPr="00DC0807">
              <w:rPr>
                <w:rFonts w:ascii="Arial Narrow" w:hAnsi="Arial Narrow"/>
                <w:b w:val="0"/>
                <w:bCs/>
                <w:sz w:val="20"/>
                <w:szCs w:val="20"/>
                <w:lang w:val="en-AU"/>
              </w:rPr>
              <w:t xml:space="preserve">Pooled </w:t>
            </w:r>
          </w:p>
        </w:tc>
        <w:tc>
          <w:tcPr>
            <w:tcW w:w="647" w:type="pct"/>
            <w:shd w:val="clear" w:color="auto" w:fill="FFFFFF" w:themeFill="background1"/>
            <w:vAlign w:val="center"/>
          </w:tcPr>
          <w:p w:rsidR="00C35317" w:rsidRPr="00DC0807" w:rsidRDefault="00C35317" w:rsidP="00C35317">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68/80 (85.0)</w:t>
            </w:r>
          </w:p>
        </w:tc>
        <w:tc>
          <w:tcPr>
            <w:tcW w:w="583" w:type="pct"/>
            <w:shd w:val="clear" w:color="auto" w:fill="FFFFFF" w:themeFill="background1"/>
            <w:vAlign w:val="center"/>
          </w:tcPr>
          <w:p w:rsidR="00C35317" w:rsidRPr="00DC0807" w:rsidRDefault="00C35317" w:rsidP="005709E1">
            <w:pPr>
              <w:keepNext/>
              <w:keepLines/>
              <w:spacing w:before="0" w:after="0"/>
              <w:ind w:right="-106"/>
              <w:jc w:val="center"/>
              <w:rPr>
                <w:rFonts w:ascii="Arial Narrow" w:hAnsi="Arial Narrow"/>
                <w:b w:val="0"/>
                <w:bCs/>
                <w:sz w:val="20"/>
                <w:szCs w:val="20"/>
                <w:lang w:val="en-AU"/>
              </w:rPr>
            </w:pPr>
            <w:r w:rsidRPr="00DC0807">
              <w:rPr>
                <w:rFonts w:ascii="Arial Narrow" w:hAnsi="Arial Narrow"/>
                <w:b w:val="0"/>
                <w:bCs/>
                <w:sz w:val="20"/>
                <w:szCs w:val="20"/>
                <w:lang w:val="en-AU"/>
              </w:rPr>
              <w:t>4/37 (10.8)</w:t>
            </w:r>
            <w:r w:rsidR="00D914C6" w:rsidRPr="00DC0807">
              <w:rPr>
                <w:rFonts w:ascii="Arial Narrow" w:hAnsi="Arial Narrow"/>
                <w:b w:val="0"/>
                <w:sz w:val="20"/>
                <w:szCs w:val="20"/>
                <w:vertAlign w:val="superscript"/>
                <w:lang w:val="en-AU"/>
              </w:rPr>
              <w:t>b</w:t>
            </w:r>
          </w:p>
        </w:tc>
        <w:tc>
          <w:tcPr>
            <w:tcW w:w="870" w:type="pct"/>
            <w:shd w:val="clear" w:color="auto" w:fill="FFFFFF" w:themeFill="background1"/>
            <w:vAlign w:val="center"/>
          </w:tcPr>
          <w:p w:rsidR="00C35317" w:rsidRPr="00DC0807" w:rsidRDefault="00C35317" w:rsidP="00C35317">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hAnsi="Arial Narrow"/>
                <w:bCs/>
                <w:sz w:val="20"/>
                <w:szCs w:val="20"/>
                <w:lang w:val="en-AU"/>
              </w:rPr>
              <w:t>0.74 (0.61, 0.87)</w:t>
            </w:r>
          </w:p>
        </w:tc>
        <w:tc>
          <w:tcPr>
            <w:tcW w:w="938" w:type="pct"/>
            <w:shd w:val="clear" w:color="auto" w:fill="FFFFFF" w:themeFill="background1"/>
            <w:vAlign w:val="center"/>
          </w:tcPr>
          <w:p w:rsidR="00C35317" w:rsidRPr="00DC0807" w:rsidRDefault="00C35317" w:rsidP="00C35317">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hAnsi="Arial Narrow"/>
                <w:bCs/>
                <w:sz w:val="20"/>
                <w:szCs w:val="20"/>
                <w:lang w:val="en-AU"/>
              </w:rPr>
              <w:t>7.86 (3.1, 19.93)</w:t>
            </w:r>
          </w:p>
        </w:tc>
        <w:tc>
          <w:tcPr>
            <w:tcW w:w="1072" w:type="pct"/>
            <w:shd w:val="clear" w:color="auto" w:fill="FFFFFF" w:themeFill="background1"/>
            <w:vAlign w:val="center"/>
          </w:tcPr>
          <w:p w:rsidR="00C35317" w:rsidRPr="00DC0807" w:rsidRDefault="00C35317" w:rsidP="00C35317">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hAnsi="Arial Narrow"/>
                <w:bCs/>
                <w:sz w:val="20"/>
                <w:szCs w:val="20"/>
                <w:lang w:val="en-AU"/>
              </w:rPr>
              <w:t>46.75 (14, 156.08)</w:t>
            </w:r>
          </w:p>
        </w:tc>
      </w:tr>
      <w:tr w:rsidR="00C35317"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C35317" w:rsidRPr="00DC0807" w:rsidRDefault="00C35317" w:rsidP="00C35317">
            <w:pPr>
              <w:keepNext/>
              <w:keepLines/>
              <w:spacing w:before="0" w:after="0"/>
              <w:rPr>
                <w:rFonts w:ascii="Arial Narrow" w:eastAsia="Times New Roman" w:hAnsi="Arial Narrow" w:cs="Calibri"/>
                <w:color w:val="000000"/>
                <w:sz w:val="20"/>
                <w:szCs w:val="20"/>
                <w:lang w:val="en-AU" w:eastAsia="en-AU"/>
              </w:rPr>
            </w:pPr>
            <w:r w:rsidRPr="00DC0807">
              <w:rPr>
                <w:rFonts w:ascii="Arial Narrow" w:eastAsia="Times New Roman" w:hAnsi="Arial Narrow" w:cs="Calibri"/>
                <w:b w:val="0"/>
                <w:color w:val="000000"/>
                <w:sz w:val="20"/>
                <w:szCs w:val="20"/>
                <w:lang w:val="en-AU" w:eastAsia="en-AU"/>
              </w:rPr>
              <w:t>Etanercept versus placebo</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44" w:type="pct"/>
            <w:shd w:val="clear" w:color="auto" w:fill="FFFFFF" w:themeFill="background1"/>
            <w:vAlign w:val="center"/>
          </w:tcPr>
          <w:p w:rsidR="00C35317" w:rsidRPr="00DC0807" w:rsidRDefault="00C35317" w:rsidP="00C35317">
            <w:pPr>
              <w:keepNext/>
              <w:keepLines/>
              <w:spacing w:before="0" w:after="0"/>
              <w:rPr>
                <w:rFonts w:ascii="Arial Narrow" w:hAnsi="Arial Narrow"/>
                <w:b w:val="0"/>
                <w:sz w:val="20"/>
                <w:szCs w:val="20"/>
                <w:lang w:val="en-AU"/>
              </w:rPr>
            </w:pPr>
            <w:r w:rsidRPr="00DC0807">
              <w:rPr>
                <w:rFonts w:ascii="Arial Narrow" w:hAnsi="Arial Narrow"/>
                <w:b w:val="0"/>
                <w:sz w:val="20"/>
                <w:szCs w:val="20"/>
                <w:lang w:val="en-AU"/>
              </w:rPr>
              <w:t>Paller 2008</w:t>
            </w:r>
          </w:p>
        </w:tc>
        <w:tc>
          <w:tcPr>
            <w:tcW w:w="246" w:type="pct"/>
            <w:shd w:val="clear" w:color="auto" w:fill="FFFFFF" w:themeFill="background1"/>
            <w:vAlign w:val="center"/>
          </w:tcPr>
          <w:p w:rsidR="00C35317" w:rsidRPr="00DC0807" w:rsidRDefault="00C35317" w:rsidP="00C35317">
            <w:pPr>
              <w:keepNext/>
              <w:keepLines/>
              <w:spacing w:before="0" w:after="0"/>
              <w:jc w:val="center"/>
              <w:rPr>
                <w:rFonts w:ascii="Arial Narrow" w:hAnsi="Arial Narrow"/>
                <w:b w:val="0"/>
                <w:sz w:val="20"/>
                <w:szCs w:val="20"/>
                <w:lang w:val="en-AU"/>
              </w:rPr>
            </w:pPr>
            <w:r w:rsidRPr="00DC0807">
              <w:rPr>
                <w:rFonts w:ascii="Arial Narrow" w:hAnsi="Arial Narrow"/>
                <w:b w:val="0"/>
                <w:sz w:val="20"/>
                <w:szCs w:val="20"/>
                <w:lang w:val="en-AU"/>
              </w:rPr>
              <w:t>12</w:t>
            </w:r>
          </w:p>
        </w:tc>
        <w:tc>
          <w:tcPr>
            <w:tcW w:w="647" w:type="pct"/>
            <w:shd w:val="clear" w:color="auto" w:fill="FFFFFF" w:themeFill="background1"/>
            <w:vAlign w:val="center"/>
          </w:tcPr>
          <w:p w:rsidR="00C35317" w:rsidRPr="00DC0807" w:rsidRDefault="005709E1" w:rsidP="005709E1">
            <w:pPr>
              <w:keepNext/>
              <w:keepLines/>
              <w:spacing w:before="0" w:after="0"/>
              <w:ind w:right="-25"/>
              <w:jc w:val="center"/>
              <w:rPr>
                <w:rFonts w:ascii="Arial Narrow" w:hAnsi="Arial Narrow"/>
                <w:b w:val="0"/>
                <w:sz w:val="20"/>
                <w:szCs w:val="20"/>
                <w:lang w:val="en-AU"/>
              </w:rPr>
            </w:pPr>
            <w:r w:rsidRPr="00DC0807">
              <w:rPr>
                <w:rFonts w:ascii="Arial Narrow" w:hAnsi="Arial Narrow"/>
                <w:b w:val="0"/>
                <w:sz w:val="20"/>
                <w:szCs w:val="20"/>
                <w:lang w:val="en-AU"/>
              </w:rPr>
              <w:t xml:space="preserve">60/106 </w:t>
            </w:r>
            <w:r w:rsidR="00C35317" w:rsidRPr="00DC0807">
              <w:rPr>
                <w:rFonts w:ascii="Arial Narrow" w:hAnsi="Arial Narrow"/>
                <w:b w:val="0"/>
                <w:sz w:val="20"/>
                <w:szCs w:val="20"/>
                <w:lang w:val="en-AU"/>
              </w:rPr>
              <w:t>(56.6)</w:t>
            </w:r>
          </w:p>
        </w:tc>
        <w:tc>
          <w:tcPr>
            <w:tcW w:w="583" w:type="pct"/>
            <w:shd w:val="clear" w:color="auto" w:fill="FFFFFF" w:themeFill="background1"/>
            <w:vAlign w:val="center"/>
          </w:tcPr>
          <w:p w:rsidR="00C35317" w:rsidRPr="00DC0807" w:rsidRDefault="00C35317" w:rsidP="005709E1">
            <w:pPr>
              <w:keepNext/>
              <w:keepLines/>
              <w:spacing w:before="0" w:after="0"/>
              <w:ind w:left="-327" w:right="-247" w:firstLine="142"/>
              <w:jc w:val="center"/>
              <w:rPr>
                <w:rFonts w:ascii="Arial Narrow" w:hAnsi="Arial Narrow"/>
                <w:b w:val="0"/>
                <w:sz w:val="20"/>
                <w:szCs w:val="20"/>
                <w:lang w:val="en-AU"/>
              </w:rPr>
            </w:pPr>
            <w:r w:rsidRPr="00DC0807">
              <w:rPr>
                <w:rFonts w:ascii="Arial Narrow" w:hAnsi="Arial Narrow"/>
                <w:b w:val="0"/>
                <w:sz w:val="20"/>
                <w:szCs w:val="20"/>
                <w:lang w:val="en-AU"/>
              </w:rPr>
              <w:t>12/105 (11.4)</w:t>
            </w:r>
          </w:p>
        </w:tc>
        <w:tc>
          <w:tcPr>
            <w:tcW w:w="870" w:type="pct"/>
            <w:shd w:val="clear" w:color="auto" w:fill="FFFFFF" w:themeFill="background1"/>
            <w:vAlign w:val="center"/>
          </w:tcPr>
          <w:p w:rsidR="00C35317" w:rsidRPr="00DC0807" w:rsidRDefault="00C35317" w:rsidP="00B82E7A">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0.45 (0.34, 0.56)</w:t>
            </w:r>
          </w:p>
        </w:tc>
        <w:tc>
          <w:tcPr>
            <w:tcW w:w="938" w:type="pct"/>
            <w:shd w:val="clear" w:color="auto" w:fill="FFFFFF" w:themeFill="background1"/>
            <w:vAlign w:val="center"/>
          </w:tcPr>
          <w:p w:rsidR="00C35317" w:rsidRPr="00DC0807" w:rsidRDefault="00C35317" w:rsidP="00B82E7A">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4.95 (2.83, 8.65)</w:t>
            </w:r>
          </w:p>
        </w:tc>
        <w:tc>
          <w:tcPr>
            <w:tcW w:w="1072" w:type="pct"/>
            <w:shd w:val="clear" w:color="auto" w:fill="FFFFFF" w:themeFill="background1"/>
            <w:vAlign w:val="center"/>
          </w:tcPr>
          <w:p w:rsidR="00C35317" w:rsidRPr="00DC0807" w:rsidRDefault="00C35317" w:rsidP="00B82E7A">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10.11 (4.95, 20.63)</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20" w:type="pct"/>
            <w:gridSpan w:val="4"/>
            <w:shd w:val="clear" w:color="auto" w:fill="FFFFFF" w:themeFill="background1"/>
            <w:vAlign w:val="center"/>
          </w:tcPr>
          <w:p w:rsidR="008B234A" w:rsidRPr="00DC0807" w:rsidRDefault="00C35317" w:rsidP="00B82E7A">
            <w:pPr>
              <w:keepNext/>
              <w:keepLines/>
              <w:spacing w:before="0" w:after="0"/>
              <w:ind w:firstLine="31"/>
              <w:rPr>
                <w:rFonts w:ascii="Arial Narrow" w:hAnsi="Arial Narrow"/>
                <w:sz w:val="20"/>
                <w:szCs w:val="20"/>
                <w:lang w:val="en-AU"/>
              </w:rPr>
            </w:pPr>
            <w:r w:rsidRPr="00DC0807">
              <w:rPr>
                <w:rFonts w:ascii="Arial Narrow" w:hAnsi="Arial Narrow"/>
                <w:sz w:val="20"/>
                <w:szCs w:val="20"/>
                <w:lang w:val="en-AU"/>
              </w:rPr>
              <w:t>Indirect analysis UST vs ETN</w:t>
            </w:r>
            <w:r w:rsidR="008B234A" w:rsidRPr="00DC0807">
              <w:rPr>
                <w:rFonts w:ascii="Arial Narrow" w:hAnsi="Arial Narrow"/>
                <w:sz w:val="20"/>
                <w:szCs w:val="20"/>
                <w:lang w:val="en-AU"/>
              </w:rPr>
              <w:t xml:space="preserve"> </w:t>
            </w:r>
          </w:p>
          <w:p w:rsidR="00C35317" w:rsidRPr="00DC0807" w:rsidRDefault="008B234A" w:rsidP="00B82E7A">
            <w:pPr>
              <w:keepNext/>
              <w:keepLines/>
              <w:spacing w:before="0" w:after="0"/>
              <w:ind w:firstLine="31"/>
              <w:rPr>
                <w:rFonts w:ascii="Arial Narrow" w:hAnsi="Arial Narrow"/>
                <w:sz w:val="20"/>
                <w:szCs w:val="20"/>
                <w:lang w:val="en-AU"/>
              </w:rPr>
            </w:pPr>
            <w:r w:rsidRPr="00DC0807">
              <w:rPr>
                <w:rFonts w:ascii="Arial Narrow" w:hAnsi="Arial Narrow"/>
                <w:sz w:val="20"/>
                <w:szCs w:val="20"/>
                <w:lang w:val="en-AU"/>
              </w:rPr>
              <w:t>(response rate)</w:t>
            </w:r>
          </w:p>
        </w:tc>
        <w:tc>
          <w:tcPr>
            <w:tcW w:w="870" w:type="pct"/>
            <w:shd w:val="clear" w:color="auto" w:fill="FFFFFF" w:themeFill="background1"/>
            <w:vAlign w:val="center"/>
          </w:tcPr>
          <w:p w:rsidR="00C35317" w:rsidRPr="00DC0807" w:rsidRDefault="00C35317" w:rsidP="00B82E7A">
            <w:pPr>
              <w:keepNext/>
              <w:keepLines/>
              <w:spacing w:before="0" w:after="0"/>
              <w:jc w:val="center"/>
              <w:rPr>
                <w:rFonts w:ascii="Arial Narrow" w:eastAsia="Times New Roman"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0.29 (0.12, 0.46)</w:t>
            </w:r>
          </w:p>
        </w:tc>
        <w:tc>
          <w:tcPr>
            <w:tcW w:w="938" w:type="pct"/>
            <w:shd w:val="clear" w:color="auto" w:fill="FFFFFF" w:themeFill="background1"/>
            <w:vAlign w:val="center"/>
          </w:tcPr>
          <w:p w:rsidR="00C35317" w:rsidRPr="00DC0807" w:rsidRDefault="00C35317" w:rsidP="00B82E7A">
            <w:pPr>
              <w:keepNext/>
              <w:keepLines/>
              <w:spacing w:before="0" w:after="0"/>
              <w:jc w:val="center"/>
              <w:rPr>
                <w:rFonts w:ascii="Arial Narrow" w:eastAsia="Times New Roman" w:hAnsi="Arial Narrow" w:cs="Calibri"/>
                <w:b w:val="0"/>
                <w:bCs/>
                <w:color w:val="000000"/>
                <w:sz w:val="20"/>
                <w:szCs w:val="20"/>
                <w:lang w:val="en-AU" w:eastAsia="en-AU"/>
              </w:rPr>
            </w:pPr>
            <w:r w:rsidRPr="00DC0807">
              <w:rPr>
                <w:rFonts w:ascii="Arial Narrow" w:eastAsia="Times New Roman" w:hAnsi="Arial Narrow" w:cs="Calibri"/>
                <w:b w:val="0"/>
                <w:bCs/>
                <w:color w:val="000000"/>
                <w:sz w:val="20"/>
                <w:szCs w:val="20"/>
                <w:lang w:val="en-AU" w:eastAsia="en-AU"/>
              </w:rPr>
              <w:t>1.59 (0.54, 4.7)</w:t>
            </w:r>
          </w:p>
        </w:tc>
        <w:tc>
          <w:tcPr>
            <w:tcW w:w="1072" w:type="pct"/>
            <w:shd w:val="clear" w:color="auto" w:fill="FFFFFF" w:themeFill="background1"/>
            <w:vAlign w:val="center"/>
          </w:tcPr>
          <w:p w:rsidR="00C35317" w:rsidRPr="00DC0807" w:rsidRDefault="00C35317" w:rsidP="00B82E7A">
            <w:pPr>
              <w:keepNext/>
              <w:keepLines/>
              <w:spacing w:before="0" w:after="0"/>
              <w:jc w:val="center"/>
              <w:rPr>
                <w:rFonts w:ascii="Arial Narrow" w:eastAsia="Times New Roman"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4.62 (1.14, 18.77)</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20" w:type="pct"/>
            <w:gridSpan w:val="4"/>
            <w:shd w:val="clear" w:color="auto" w:fill="FFFFFF" w:themeFill="background1"/>
            <w:vAlign w:val="center"/>
          </w:tcPr>
          <w:p w:rsidR="00C35317" w:rsidRPr="00DC0807" w:rsidRDefault="00C35317" w:rsidP="00B82E7A">
            <w:pPr>
              <w:keepNext/>
              <w:keepLines/>
              <w:spacing w:before="0" w:after="0"/>
              <w:ind w:left="31"/>
              <w:rPr>
                <w:rFonts w:ascii="Arial Narrow" w:hAnsi="Arial Narrow"/>
                <w:sz w:val="20"/>
                <w:szCs w:val="20"/>
                <w:lang w:val="en-AU"/>
              </w:rPr>
            </w:pPr>
            <w:r w:rsidRPr="00DC0807">
              <w:rPr>
                <w:rFonts w:ascii="Arial Narrow" w:hAnsi="Arial Narrow"/>
                <w:sz w:val="20"/>
                <w:szCs w:val="20"/>
                <w:lang w:val="en-AU"/>
              </w:rPr>
              <w:t>Indirect analysis CADMUS vs Paller 2008</w:t>
            </w:r>
            <w:r w:rsidR="008B234A" w:rsidRPr="00DC0807">
              <w:rPr>
                <w:rFonts w:ascii="Arial Narrow" w:hAnsi="Arial Narrow"/>
                <w:sz w:val="20"/>
                <w:szCs w:val="20"/>
                <w:lang w:val="en-AU"/>
              </w:rPr>
              <w:t xml:space="preserve"> (response rate</w:t>
            </w:r>
            <w:r w:rsidR="004E295D" w:rsidRPr="00DC0807">
              <w:rPr>
                <w:rFonts w:ascii="Arial Narrow" w:hAnsi="Arial Narrow"/>
                <w:sz w:val="20"/>
                <w:szCs w:val="20"/>
                <w:lang w:val="en-AU"/>
              </w:rPr>
              <w:t>; excludes CADMUS JR</w:t>
            </w:r>
            <w:r w:rsidR="008B234A" w:rsidRPr="00DC0807">
              <w:rPr>
                <w:rFonts w:ascii="Arial Narrow" w:hAnsi="Arial Narrow"/>
                <w:sz w:val="20"/>
                <w:szCs w:val="20"/>
                <w:lang w:val="en-AU"/>
              </w:rPr>
              <w:t>)</w:t>
            </w:r>
          </w:p>
        </w:tc>
        <w:tc>
          <w:tcPr>
            <w:tcW w:w="870" w:type="pct"/>
            <w:shd w:val="clear" w:color="auto" w:fill="FFFFFF" w:themeFill="background1"/>
            <w:vAlign w:val="center"/>
          </w:tcPr>
          <w:p w:rsidR="00C35317" w:rsidRPr="00DC0807" w:rsidRDefault="00C35317" w:rsidP="00B82E7A">
            <w:pPr>
              <w:keepNext/>
              <w:keepLines/>
              <w:spacing w:before="0" w:after="0"/>
              <w:jc w:val="center"/>
              <w:rPr>
                <w:rFonts w:ascii="Arial Narrow" w:hAnsi="Arial Narrow" w:cs="Calibri"/>
                <w:color w:val="000000"/>
                <w:sz w:val="20"/>
                <w:szCs w:val="20"/>
                <w:lang w:val="en-AU" w:eastAsia="en-AU"/>
              </w:rPr>
            </w:pPr>
            <w:r w:rsidRPr="00DC0807">
              <w:rPr>
                <w:rFonts w:ascii="Arial Narrow" w:hAnsi="Arial Narrow"/>
                <w:sz w:val="20"/>
                <w:szCs w:val="20"/>
                <w:lang w:val="en-AU"/>
              </w:rPr>
              <w:t>0.25 (0.05, 0.45)</w:t>
            </w:r>
          </w:p>
        </w:tc>
        <w:tc>
          <w:tcPr>
            <w:tcW w:w="938" w:type="pct"/>
            <w:shd w:val="clear" w:color="auto" w:fill="FFFFFF" w:themeFill="background1"/>
            <w:vAlign w:val="center"/>
          </w:tcPr>
          <w:p w:rsidR="00C35317" w:rsidRPr="00DC0807" w:rsidRDefault="00C35317" w:rsidP="00B82E7A">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b w:val="0"/>
                <w:bCs/>
                <w:sz w:val="20"/>
                <w:szCs w:val="20"/>
                <w:lang w:val="en-AU"/>
              </w:rPr>
              <w:t>1.51 (0.50, 4.49)</w:t>
            </w:r>
          </w:p>
        </w:tc>
        <w:tc>
          <w:tcPr>
            <w:tcW w:w="1072" w:type="pct"/>
            <w:shd w:val="clear" w:color="auto" w:fill="FFFFFF" w:themeFill="background1"/>
            <w:vAlign w:val="center"/>
          </w:tcPr>
          <w:p w:rsidR="00C35317" w:rsidRPr="00DC0807" w:rsidRDefault="00C35317" w:rsidP="00B82E7A">
            <w:pPr>
              <w:keepNext/>
              <w:keepLines/>
              <w:spacing w:before="0" w:after="0"/>
              <w:jc w:val="center"/>
              <w:rPr>
                <w:rFonts w:ascii="Arial Narrow" w:hAnsi="Arial Narrow" w:cs="Calibri"/>
                <w:color w:val="000000"/>
                <w:sz w:val="20"/>
                <w:szCs w:val="20"/>
                <w:lang w:val="en-AU" w:eastAsia="en-AU"/>
              </w:rPr>
            </w:pPr>
            <w:r w:rsidRPr="00DC0807">
              <w:rPr>
                <w:rFonts w:ascii="Arial Narrow" w:hAnsi="Arial Narrow" w:cs="Calibri"/>
                <w:b w:val="0"/>
                <w:bCs/>
                <w:color w:val="000000"/>
                <w:sz w:val="20"/>
                <w:szCs w:val="20"/>
                <w:lang w:val="en-AU"/>
              </w:rPr>
              <w:t>3.38 (0.75, 15.23)</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20" w:type="pct"/>
            <w:gridSpan w:val="4"/>
            <w:shd w:val="clear" w:color="auto" w:fill="FFFFFF" w:themeFill="background1"/>
            <w:vAlign w:val="center"/>
          </w:tcPr>
          <w:p w:rsidR="00737877" w:rsidRPr="00DC0807" w:rsidRDefault="00C35317" w:rsidP="00B82E7A">
            <w:pPr>
              <w:keepNext/>
              <w:keepLines/>
              <w:spacing w:before="0" w:after="0"/>
              <w:ind w:firstLine="31"/>
              <w:rPr>
                <w:rFonts w:ascii="Arial Narrow" w:hAnsi="Arial Narrow"/>
                <w:sz w:val="20"/>
                <w:szCs w:val="20"/>
                <w:lang w:val="en-AU"/>
              </w:rPr>
            </w:pPr>
            <w:r w:rsidRPr="00DC0807">
              <w:rPr>
                <w:rFonts w:ascii="Arial Narrow" w:hAnsi="Arial Narrow"/>
                <w:sz w:val="20"/>
                <w:szCs w:val="20"/>
                <w:lang w:val="en-AU"/>
              </w:rPr>
              <w:t xml:space="preserve">Indirect analysis UST vs ETN </w:t>
            </w:r>
          </w:p>
          <w:p w:rsidR="00C35317" w:rsidRPr="00DC0807" w:rsidRDefault="00C35317" w:rsidP="00B82E7A">
            <w:pPr>
              <w:keepNext/>
              <w:keepLines/>
              <w:spacing w:before="0" w:after="0"/>
              <w:ind w:firstLine="31"/>
              <w:rPr>
                <w:rFonts w:ascii="Arial Narrow" w:hAnsi="Arial Narrow"/>
                <w:sz w:val="20"/>
                <w:szCs w:val="20"/>
                <w:lang w:val="en-AU"/>
              </w:rPr>
            </w:pPr>
            <w:r w:rsidRPr="00DC0807">
              <w:rPr>
                <w:rFonts w:ascii="Arial Narrow" w:hAnsi="Arial Narrow"/>
                <w:sz w:val="20"/>
                <w:szCs w:val="20"/>
                <w:lang w:val="en-AU"/>
              </w:rPr>
              <w:t>(non-response rate)</w:t>
            </w:r>
          </w:p>
        </w:tc>
        <w:tc>
          <w:tcPr>
            <w:tcW w:w="870" w:type="pct"/>
            <w:shd w:val="clear" w:color="auto" w:fill="FFFFFF" w:themeFill="background1"/>
            <w:vAlign w:val="center"/>
          </w:tcPr>
          <w:p w:rsidR="00C35317" w:rsidRPr="00DC0807" w:rsidRDefault="00C35317" w:rsidP="00B82E7A">
            <w:pPr>
              <w:keepNext/>
              <w:keepLines/>
              <w:spacing w:before="0" w:after="0"/>
              <w:ind w:right="-104"/>
              <w:jc w:val="center"/>
              <w:rPr>
                <w:rFonts w:ascii="Arial Narrow" w:eastAsia="Times New Roman"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-0.29 (-0.46, -0.12)</w:t>
            </w:r>
          </w:p>
        </w:tc>
        <w:tc>
          <w:tcPr>
            <w:tcW w:w="938" w:type="pct"/>
            <w:shd w:val="clear" w:color="auto" w:fill="FFFFFF" w:themeFill="background1"/>
            <w:vAlign w:val="center"/>
          </w:tcPr>
          <w:p w:rsidR="00C35317" w:rsidRPr="00DC0807" w:rsidRDefault="00C35317" w:rsidP="00B82E7A">
            <w:pPr>
              <w:keepNext/>
              <w:keepLines/>
              <w:spacing w:before="0" w:after="0"/>
              <w:jc w:val="center"/>
              <w:rPr>
                <w:rFonts w:ascii="Arial Narrow" w:hAnsi="Arial Narrow" w:cs="Calibri"/>
                <w:b w:val="0"/>
                <w:bCs/>
                <w:color w:val="000000"/>
                <w:sz w:val="20"/>
                <w:szCs w:val="20"/>
                <w:lang w:val="en-AU" w:eastAsia="en-AU"/>
              </w:rPr>
            </w:pPr>
            <w:r w:rsidRPr="00DC0807">
              <w:rPr>
                <w:rFonts w:ascii="Arial Narrow" w:eastAsia="Times New Roman" w:hAnsi="Arial Narrow" w:cs="Calibri"/>
                <w:color w:val="000000"/>
                <w:sz w:val="20"/>
                <w:szCs w:val="20"/>
                <w:lang w:val="en-AU" w:eastAsia="en-AU"/>
              </w:rPr>
              <w:t>0.34 (0.19, 0.61)</w:t>
            </w:r>
          </w:p>
        </w:tc>
        <w:tc>
          <w:tcPr>
            <w:tcW w:w="1072" w:type="pct"/>
            <w:shd w:val="clear" w:color="auto" w:fill="FFFFFF" w:themeFill="background1"/>
            <w:vAlign w:val="center"/>
          </w:tcPr>
          <w:p w:rsidR="00C35317" w:rsidRPr="00DC0807" w:rsidRDefault="00C35317" w:rsidP="00B82E7A">
            <w:pPr>
              <w:keepNext/>
              <w:keepLines/>
              <w:spacing w:before="0" w:after="0"/>
              <w:jc w:val="center"/>
              <w:rPr>
                <w:rFonts w:ascii="Arial Narrow"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0.22 (0.05, 0.88)</w:t>
            </w:r>
          </w:p>
        </w:tc>
      </w:tr>
      <w:tr w:rsidR="005709E1" w:rsidRPr="00DC0807" w:rsidTr="005709E1">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20" w:type="pct"/>
            <w:gridSpan w:val="4"/>
            <w:shd w:val="clear" w:color="auto" w:fill="FFFFFF" w:themeFill="background1"/>
            <w:vAlign w:val="center"/>
          </w:tcPr>
          <w:p w:rsidR="00B82E7A" w:rsidRPr="00DC0807" w:rsidRDefault="00C35317" w:rsidP="00B82E7A">
            <w:pPr>
              <w:keepNext/>
              <w:keepLines/>
              <w:spacing w:before="0" w:after="0"/>
              <w:ind w:firstLine="31"/>
              <w:rPr>
                <w:rFonts w:ascii="Arial Narrow" w:hAnsi="Arial Narrow"/>
                <w:sz w:val="20"/>
                <w:szCs w:val="20"/>
                <w:lang w:val="en-AU"/>
              </w:rPr>
            </w:pPr>
            <w:r w:rsidRPr="00DC0807">
              <w:rPr>
                <w:rFonts w:ascii="Arial Narrow" w:hAnsi="Arial Narrow"/>
                <w:sz w:val="20"/>
                <w:szCs w:val="20"/>
                <w:lang w:val="en-AU"/>
              </w:rPr>
              <w:t xml:space="preserve">Indirect analysis CADMUS vs Paller 2008 </w:t>
            </w:r>
          </w:p>
          <w:p w:rsidR="00C35317" w:rsidRPr="00DC0807" w:rsidRDefault="00C35317" w:rsidP="00B82E7A">
            <w:pPr>
              <w:keepNext/>
              <w:keepLines/>
              <w:spacing w:before="0" w:after="0"/>
              <w:ind w:firstLine="31"/>
              <w:rPr>
                <w:rFonts w:ascii="Arial Narrow" w:hAnsi="Arial Narrow"/>
                <w:sz w:val="20"/>
                <w:szCs w:val="20"/>
                <w:lang w:val="en-AU"/>
              </w:rPr>
            </w:pPr>
            <w:r w:rsidRPr="00DC0807">
              <w:rPr>
                <w:rFonts w:ascii="Arial Narrow" w:hAnsi="Arial Narrow"/>
                <w:sz w:val="20"/>
                <w:szCs w:val="20"/>
                <w:lang w:val="en-AU"/>
              </w:rPr>
              <w:t>(non-response rate</w:t>
            </w:r>
            <w:r w:rsidR="004E295D" w:rsidRPr="00DC0807">
              <w:rPr>
                <w:rFonts w:ascii="Arial Narrow" w:hAnsi="Arial Narrow"/>
                <w:sz w:val="20"/>
                <w:szCs w:val="20"/>
                <w:lang w:val="en-AU"/>
              </w:rPr>
              <w:t>; excludes CADMUS JR</w:t>
            </w:r>
            <w:r w:rsidRPr="00DC0807">
              <w:rPr>
                <w:rFonts w:ascii="Arial Narrow" w:hAnsi="Arial Narrow"/>
                <w:sz w:val="20"/>
                <w:szCs w:val="20"/>
                <w:lang w:val="en-AU"/>
              </w:rPr>
              <w:t>)</w:t>
            </w:r>
          </w:p>
        </w:tc>
        <w:tc>
          <w:tcPr>
            <w:tcW w:w="870" w:type="pct"/>
            <w:shd w:val="clear" w:color="auto" w:fill="FFFFFF" w:themeFill="background1"/>
            <w:vAlign w:val="center"/>
          </w:tcPr>
          <w:p w:rsidR="00C35317" w:rsidRPr="00DC0807" w:rsidRDefault="00C35317" w:rsidP="00B82E7A">
            <w:pPr>
              <w:keepNext/>
              <w:keepLines/>
              <w:spacing w:before="0" w:after="0"/>
              <w:ind w:right="-104"/>
              <w:jc w:val="center"/>
              <w:rPr>
                <w:rFonts w:ascii="Arial Narrow" w:hAnsi="Arial Narrow"/>
                <w:sz w:val="20"/>
                <w:szCs w:val="20"/>
                <w:lang w:val="en-AU"/>
              </w:rPr>
            </w:pPr>
            <w:r w:rsidRPr="00DC0807">
              <w:rPr>
                <w:rFonts w:ascii="Arial Narrow" w:hAnsi="Arial Narrow"/>
                <w:sz w:val="20"/>
                <w:szCs w:val="20"/>
                <w:lang w:val="en-AU"/>
              </w:rPr>
              <w:t>-0.25 (-0.45, -0.05)</w:t>
            </w:r>
          </w:p>
        </w:tc>
        <w:tc>
          <w:tcPr>
            <w:tcW w:w="938" w:type="pct"/>
            <w:shd w:val="clear" w:color="auto" w:fill="FFFFFF" w:themeFill="background1"/>
            <w:vAlign w:val="center"/>
          </w:tcPr>
          <w:p w:rsidR="00C35317" w:rsidRPr="00DC0807" w:rsidRDefault="00C35317" w:rsidP="00B82E7A">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sz w:val="20"/>
                <w:szCs w:val="20"/>
                <w:lang w:val="en-AU"/>
              </w:rPr>
              <w:t>0.45 (0.22, 0.92)</w:t>
            </w:r>
          </w:p>
        </w:tc>
        <w:tc>
          <w:tcPr>
            <w:tcW w:w="1072" w:type="pct"/>
            <w:shd w:val="clear" w:color="auto" w:fill="FFFFFF" w:themeFill="background1"/>
            <w:vAlign w:val="center"/>
          </w:tcPr>
          <w:p w:rsidR="00C35317" w:rsidRPr="00DC0807" w:rsidRDefault="00C35317" w:rsidP="00B82E7A">
            <w:pPr>
              <w:keepNext/>
              <w:keepLines/>
              <w:spacing w:before="0" w:after="0"/>
              <w:jc w:val="center"/>
              <w:rPr>
                <w:rFonts w:ascii="Arial Narrow" w:hAnsi="Arial Narrow" w:cs="Calibri"/>
                <w:color w:val="000000"/>
                <w:sz w:val="20"/>
                <w:szCs w:val="20"/>
                <w:lang w:val="en-AU" w:eastAsia="en-AU"/>
              </w:rPr>
            </w:pPr>
            <w:r w:rsidRPr="00DC0807">
              <w:rPr>
                <w:rFonts w:ascii="Arial Narrow" w:hAnsi="Arial Narrow" w:cs="Calibri"/>
                <w:b w:val="0"/>
                <w:color w:val="000000"/>
                <w:sz w:val="20"/>
                <w:szCs w:val="20"/>
                <w:lang w:val="en-AU"/>
              </w:rPr>
              <w:t>0.3 (0.08, 1.10)</w:t>
            </w:r>
          </w:p>
        </w:tc>
      </w:tr>
    </w:tbl>
    <w:p w:rsidR="00324549" w:rsidRPr="00DC0807" w:rsidRDefault="00324549" w:rsidP="00C35317">
      <w:pPr>
        <w:pStyle w:val="TableFigureFootnote"/>
        <w:keepNext/>
        <w:keepLines/>
        <w:spacing w:before="0" w:after="0"/>
        <w:rPr>
          <w:rFonts w:ascii="Arial Narrow" w:hAnsi="Arial Narrow"/>
          <w:sz w:val="18"/>
          <w:szCs w:val="18"/>
        </w:rPr>
      </w:pPr>
      <w:r w:rsidRPr="00DC0807">
        <w:rPr>
          <w:rFonts w:ascii="Arial Narrow" w:hAnsi="Arial Narrow"/>
          <w:sz w:val="18"/>
          <w:szCs w:val="18"/>
        </w:rPr>
        <w:t>Source: Table 2-69, p138 and Table 2-71, p140 of the submission.</w:t>
      </w:r>
    </w:p>
    <w:p w:rsidR="00C35317" w:rsidRPr="00DC0807" w:rsidRDefault="00C35317" w:rsidP="00C35317">
      <w:pPr>
        <w:pStyle w:val="TableFigureFootnote"/>
        <w:keepNext/>
        <w:keepLines/>
        <w:spacing w:before="0" w:after="0"/>
        <w:rPr>
          <w:rFonts w:ascii="Arial Narrow" w:hAnsi="Arial Narrow"/>
          <w:sz w:val="18"/>
          <w:szCs w:val="18"/>
        </w:rPr>
      </w:pPr>
      <w:r w:rsidRPr="00DC0807">
        <w:rPr>
          <w:rFonts w:ascii="Arial Narrow" w:hAnsi="Arial Narrow"/>
          <w:sz w:val="18"/>
          <w:szCs w:val="18"/>
        </w:rPr>
        <w:t>Bold indicates a statistically significant difference</w:t>
      </w:r>
    </w:p>
    <w:p w:rsidR="00C35317" w:rsidRPr="00DC0807" w:rsidRDefault="00C35317" w:rsidP="00C35317">
      <w:pPr>
        <w:pStyle w:val="TableFigureFootnote"/>
        <w:keepNext/>
        <w:keepLines/>
        <w:spacing w:before="0" w:after="0"/>
        <w:rPr>
          <w:rFonts w:ascii="Arial Narrow" w:hAnsi="Arial Narrow"/>
          <w:sz w:val="18"/>
          <w:szCs w:val="18"/>
        </w:rPr>
      </w:pPr>
      <w:r w:rsidRPr="00DC0807">
        <w:rPr>
          <w:rFonts w:ascii="Arial Narrow" w:hAnsi="Arial Narrow"/>
          <w:sz w:val="18"/>
          <w:szCs w:val="18"/>
        </w:rPr>
        <w:t>ETN</w:t>
      </w:r>
      <w:r w:rsidR="00434B0F" w:rsidRPr="00DC0807">
        <w:rPr>
          <w:rFonts w:ascii="Arial Narrow" w:hAnsi="Arial Narrow"/>
          <w:sz w:val="18"/>
          <w:szCs w:val="18"/>
        </w:rPr>
        <w:t>=</w:t>
      </w:r>
      <w:r w:rsidRPr="00DC0807">
        <w:rPr>
          <w:rFonts w:ascii="Arial Narrow" w:hAnsi="Arial Narrow"/>
          <w:sz w:val="18"/>
          <w:szCs w:val="18"/>
        </w:rPr>
        <w:t xml:space="preserve"> etanercept; ITT</w:t>
      </w:r>
      <w:r w:rsidR="00434B0F" w:rsidRPr="00DC0807">
        <w:rPr>
          <w:rFonts w:ascii="Arial Narrow" w:hAnsi="Arial Narrow"/>
          <w:sz w:val="18"/>
          <w:szCs w:val="18"/>
        </w:rPr>
        <w:t>=</w:t>
      </w:r>
      <w:r w:rsidRPr="00DC0807">
        <w:rPr>
          <w:rFonts w:ascii="Arial Narrow" w:hAnsi="Arial Narrow"/>
          <w:sz w:val="18"/>
          <w:szCs w:val="18"/>
        </w:rPr>
        <w:t xml:space="preserve"> intent to apply population; N/A</w:t>
      </w:r>
      <w:r w:rsidR="00434B0F" w:rsidRPr="00DC0807">
        <w:rPr>
          <w:rFonts w:ascii="Arial Narrow" w:hAnsi="Arial Narrow"/>
          <w:sz w:val="18"/>
          <w:szCs w:val="18"/>
        </w:rPr>
        <w:t>=</w:t>
      </w:r>
      <w:r w:rsidRPr="00DC0807">
        <w:rPr>
          <w:rFonts w:ascii="Arial Narrow" w:hAnsi="Arial Narrow"/>
          <w:sz w:val="18"/>
          <w:szCs w:val="18"/>
        </w:rPr>
        <w:t xml:space="preserve"> not applicable; PBO</w:t>
      </w:r>
      <w:r w:rsidR="00434B0F" w:rsidRPr="00DC0807">
        <w:rPr>
          <w:rFonts w:ascii="Arial Narrow" w:hAnsi="Arial Narrow"/>
          <w:sz w:val="18"/>
          <w:szCs w:val="18"/>
        </w:rPr>
        <w:t>=placebo</w:t>
      </w:r>
      <w:r w:rsidRPr="00DC0807">
        <w:rPr>
          <w:rFonts w:ascii="Arial Narrow" w:hAnsi="Arial Narrow"/>
          <w:sz w:val="18"/>
          <w:szCs w:val="18"/>
        </w:rPr>
        <w:t xml:space="preserve"> OR</w:t>
      </w:r>
      <w:r w:rsidR="00434B0F" w:rsidRPr="00DC0807">
        <w:rPr>
          <w:rFonts w:ascii="Arial Narrow" w:hAnsi="Arial Narrow"/>
          <w:sz w:val="18"/>
          <w:szCs w:val="18"/>
        </w:rPr>
        <w:t>=</w:t>
      </w:r>
      <w:r w:rsidRPr="00DC0807">
        <w:rPr>
          <w:rFonts w:ascii="Arial Narrow" w:hAnsi="Arial Narrow"/>
          <w:sz w:val="18"/>
          <w:szCs w:val="18"/>
        </w:rPr>
        <w:t xml:space="preserve"> odds ratio; RD</w:t>
      </w:r>
      <w:r w:rsidR="00434B0F" w:rsidRPr="00DC0807">
        <w:rPr>
          <w:rFonts w:ascii="Arial Narrow" w:hAnsi="Arial Narrow"/>
          <w:sz w:val="18"/>
          <w:szCs w:val="18"/>
        </w:rPr>
        <w:t>=</w:t>
      </w:r>
      <w:r w:rsidRPr="00DC0807">
        <w:rPr>
          <w:rFonts w:ascii="Arial Narrow" w:hAnsi="Arial Narrow"/>
          <w:sz w:val="18"/>
          <w:szCs w:val="18"/>
        </w:rPr>
        <w:t xml:space="preserve"> risk difference; RR</w:t>
      </w:r>
      <w:r w:rsidR="00434B0F" w:rsidRPr="00DC0807">
        <w:rPr>
          <w:rFonts w:ascii="Arial Narrow" w:hAnsi="Arial Narrow"/>
          <w:sz w:val="18"/>
          <w:szCs w:val="18"/>
        </w:rPr>
        <w:t>=</w:t>
      </w:r>
      <w:r w:rsidRPr="00DC0807">
        <w:rPr>
          <w:rFonts w:ascii="Arial Narrow" w:hAnsi="Arial Narrow"/>
          <w:sz w:val="18"/>
          <w:szCs w:val="18"/>
        </w:rPr>
        <w:t xml:space="preserve"> relative risk; UST</w:t>
      </w:r>
      <w:r w:rsidR="00434B0F" w:rsidRPr="00DC0807">
        <w:rPr>
          <w:rFonts w:ascii="Arial Narrow" w:hAnsi="Arial Narrow"/>
          <w:sz w:val="18"/>
          <w:szCs w:val="18"/>
        </w:rPr>
        <w:t>=</w:t>
      </w:r>
      <w:r w:rsidRPr="00DC0807">
        <w:rPr>
          <w:rFonts w:ascii="Arial Narrow" w:hAnsi="Arial Narrow"/>
          <w:sz w:val="18"/>
          <w:szCs w:val="18"/>
        </w:rPr>
        <w:t xml:space="preserve"> ustekinumab; PASI = Psoriasis Area and Severity Index</w:t>
      </w:r>
      <w:r w:rsidR="00B82E7A" w:rsidRPr="00DC0807">
        <w:rPr>
          <w:rFonts w:ascii="Arial Narrow" w:hAnsi="Arial Narrow"/>
          <w:sz w:val="18"/>
          <w:szCs w:val="18"/>
        </w:rPr>
        <w:t>; Wk = week</w:t>
      </w:r>
    </w:p>
    <w:p w:rsidR="00C35317" w:rsidRPr="00DC0807" w:rsidRDefault="00D914C6" w:rsidP="00C35317">
      <w:pPr>
        <w:pStyle w:val="TableFigureFootnote"/>
        <w:keepNext/>
        <w:keepLines/>
        <w:spacing w:before="0" w:after="0"/>
        <w:rPr>
          <w:rFonts w:ascii="Arial Narrow" w:hAnsi="Arial Narrow"/>
          <w:sz w:val="18"/>
          <w:szCs w:val="18"/>
        </w:rPr>
      </w:pPr>
      <w:r w:rsidRPr="00DC0807">
        <w:rPr>
          <w:rFonts w:ascii="Arial Narrow" w:hAnsi="Arial Narrow"/>
          <w:sz w:val="18"/>
          <w:szCs w:val="18"/>
          <w:vertAlign w:val="superscript"/>
        </w:rPr>
        <w:t>a</w:t>
      </w:r>
      <w:r w:rsidRPr="00DC0807">
        <w:rPr>
          <w:rFonts w:ascii="Arial Narrow" w:hAnsi="Arial Narrow"/>
          <w:sz w:val="18"/>
          <w:szCs w:val="18"/>
        </w:rPr>
        <w:t xml:space="preserve"> </w:t>
      </w:r>
      <w:r w:rsidR="00C35317" w:rsidRPr="00DC0807">
        <w:rPr>
          <w:rFonts w:ascii="Arial Narrow" w:hAnsi="Arial Narrow"/>
          <w:sz w:val="18"/>
          <w:szCs w:val="18"/>
        </w:rPr>
        <w:t>UST standard dosage is 0.75 mg/kg for ≤60 kg, 45 mg for &gt;60 kg to ≤100 kg, and 90 mg for &gt;100 kg</w:t>
      </w:r>
    </w:p>
    <w:p w:rsidR="00C35317" w:rsidRPr="00DC0807" w:rsidRDefault="00D914C6" w:rsidP="00C35317">
      <w:pPr>
        <w:pStyle w:val="TableFigureFootnote"/>
        <w:keepNext/>
        <w:keepLines/>
        <w:rPr>
          <w:rFonts w:ascii="Arial Narrow" w:hAnsi="Arial Narrow"/>
          <w:sz w:val="18"/>
          <w:szCs w:val="18"/>
        </w:rPr>
      </w:pPr>
      <w:r w:rsidRPr="00DC0807">
        <w:rPr>
          <w:rFonts w:ascii="Arial Narrow" w:hAnsi="Arial Narrow"/>
          <w:sz w:val="18"/>
          <w:szCs w:val="18"/>
          <w:vertAlign w:val="superscript"/>
        </w:rPr>
        <w:t>b</w:t>
      </w:r>
      <w:r w:rsidR="00C35317" w:rsidRPr="00DC0807">
        <w:rPr>
          <w:rFonts w:ascii="Arial Narrow" w:hAnsi="Arial Narrow"/>
          <w:sz w:val="18"/>
          <w:szCs w:val="18"/>
        </w:rPr>
        <w:t xml:space="preserve"> 12 week placebo results used</w:t>
      </w:r>
    </w:p>
    <w:p w:rsidR="006B6F2B" w:rsidRDefault="00D914C6" w:rsidP="00DD092B">
      <w:pPr>
        <w:pStyle w:val="BodyText"/>
        <w:rPr>
          <w:rFonts w:ascii="Arial Narrow" w:hAnsi="Arial Narrow"/>
          <w:sz w:val="18"/>
          <w:szCs w:val="18"/>
        </w:rPr>
      </w:pPr>
      <w:r w:rsidRPr="00DC0807">
        <w:rPr>
          <w:rFonts w:ascii="Arial Narrow" w:hAnsi="Arial Narrow"/>
          <w:sz w:val="18"/>
          <w:szCs w:val="18"/>
          <w:vertAlign w:val="superscript"/>
        </w:rPr>
        <w:t>c</w:t>
      </w:r>
      <w:r w:rsidRPr="00DC0807">
        <w:rPr>
          <w:rFonts w:ascii="Arial Narrow" w:hAnsi="Arial Narrow"/>
          <w:sz w:val="18"/>
          <w:szCs w:val="18"/>
        </w:rPr>
        <w:t xml:space="preserve"> </w:t>
      </w:r>
      <w:r w:rsidR="00C35317" w:rsidRPr="00DC0807">
        <w:rPr>
          <w:rFonts w:ascii="Arial Narrow" w:hAnsi="Arial Narrow"/>
          <w:sz w:val="18"/>
          <w:szCs w:val="18"/>
        </w:rPr>
        <w:t xml:space="preserve">Submission erroneously used </w:t>
      </w:r>
      <w:r w:rsidR="00C92D23" w:rsidRPr="00DC0807">
        <w:rPr>
          <w:rFonts w:ascii="Arial Narrow" w:hAnsi="Arial Narrow"/>
          <w:sz w:val="18"/>
          <w:szCs w:val="18"/>
        </w:rPr>
        <w:t>PASI 90</w:t>
      </w:r>
      <w:r w:rsidR="00C35317" w:rsidRPr="00DC0807">
        <w:rPr>
          <w:rFonts w:ascii="Arial Narrow" w:hAnsi="Arial Narrow"/>
          <w:sz w:val="18"/>
          <w:szCs w:val="18"/>
        </w:rPr>
        <w:t xml:space="preserve"> non-responder results for Paller 2008 </w:t>
      </w:r>
      <w:r w:rsidR="00E27672" w:rsidRPr="00DC0807">
        <w:rPr>
          <w:rFonts w:ascii="Arial Narrow" w:hAnsi="Arial Narrow"/>
          <w:sz w:val="18"/>
          <w:szCs w:val="18"/>
        </w:rPr>
        <w:t xml:space="preserve">in </w:t>
      </w:r>
      <w:r w:rsidR="005709E1" w:rsidRPr="00DC0807">
        <w:rPr>
          <w:rFonts w:ascii="Arial Narrow" w:hAnsi="Arial Narrow"/>
          <w:sz w:val="18"/>
          <w:szCs w:val="18"/>
        </w:rPr>
        <w:t xml:space="preserve">its </w:t>
      </w:r>
      <w:r w:rsidR="00E27672" w:rsidRPr="00DC0807">
        <w:rPr>
          <w:rFonts w:ascii="Arial Narrow" w:hAnsi="Arial Narrow"/>
          <w:sz w:val="18"/>
          <w:szCs w:val="18"/>
        </w:rPr>
        <w:t xml:space="preserve">calculation </w:t>
      </w:r>
      <w:r w:rsidR="00C35317" w:rsidRPr="00DC0807">
        <w:rPr>
          <w:rFonts w:ascii="Arial Narrow" w:hAnsi="Arial Narrow"/>
          <w:sz w:val="18"/>
          <w:szCs w:val="18"/>
        </w:rPr>
        <w:t xml:space="preserve">instead of </w:t>
      </w:r>
      <w:r w:rsidR="00C92D23" w:rsidRPr="00DC0807">
        <w:rPr>
          <w:rFonts w:ascii="Arial Narrow" w:hAnsi="Arial Narrow"/>
          <w:sz w:val="18"/>
          <w:szCs w:val="18"/>
        </w:rPr>
        <w:t>PASI 75</w:t>
      </w:r>
      <w:r w:rsidR="00C35317" w:rsidRPr="00DC0807">
        <w:rPr>
          <w:rFonts w:ascii="Arial Narrow" w:hAnsi="Arial Narrow"/>
          <w:sz w:val="18"/>
          <w:szCs w:val="18"/>
        </w:rPr>
        <w:t xml:space="preserve"> non-responder. Corrected during evaluation. </w:t>
      </w:r>
    </w:p>
    <w:p w:rsidR="00DD092B" w:rsidRPr="00DD092B" w:rsidRDefault="00DD092B" w:rsidP="00DD092B">
      <w:pPr>
        <w:pStyle w:val="BodyText"/>
        <w:rPr>
          <w:rFonts w:ascii="Arial Narrow" w:hAnsi="Arial Narrow"/>
          <w:sz w:val="18"/>
          <w:szCs w:val="18"/>
        </w:rPr>
      </w:pPr>
      <w:r w:rsidRPr="00DD092B">
        <w:rPr>
          <w:rFonts w:ascii="Arial Narrow" w:hAnsi="Arial Narrow"/>
          <w:sz w:val="18"/>
          <w:szCs w:val="18"/>
        </w:rPr>
        <w:t>*</w:t>
      </w:r>
      <w:r w:rsidRPr="00DD092B">
        <w:rPr>
          <w:rFonts w:ascii="Arial Narrow" w:hAnsi="Arial Narrow"/>
          <w:i/>
          <w:iCs/>
          <w:color w:val="222222"/>
          <w:sz w:val="18"/>
          <w:szCs w:val="18"/>
          <w:shd w:val="clear" w:color="auto" w:fill="FFFFFF"/>
        </w:rPr>
        <w:t>Note that the results presented in Table 7 are derived from post-hoc analyses conducted by the applicant specifically for the purposes of informing the PBAC consideration. These analyses were not part of the pre-specified statistical plan for any of the included biologic trials. Interpretation of the results and their application should therefore be limited to seeking to understand the basis for the PBAC outcome and should not be used for any other purpose</w:t>
      </w:r>
    </w:p>
    <w:p w:rsidR="00560D62" w:rsidRPr="00DC0807" w:rsidRDefault="00560D62" w:rsidP="00DD092B">
      <w:pPr>
        <w:pStyle w:val="TableFigureFootnote"/>
        <w:keepNext/>
        <w:keepLines/>
      </w:pPr>
    </w:p>
    <w:p w:rsidR="004C3AC1" w:rsidRPr="00DC0807" w:rsidRDefault="00560D62" w:rsidP="00A927F1">
      <w:pPr>
        <w:pStyle w:val="ListParagraph"/>
        <w:widowControl/>
        <w:numPr>
          <w:ilvl w:val="1"/>
          <w:numId w:val="1"/>
        </w:numPr>
      </w:pPr>
      <w:r w:rsidRPr="00DC0807">
        <w:t xml:space="preserve">Based on results of the ITCs, the submission concluded that there were statistically significantly fewer patients receiving the ustekinumab standard dosage who did not achieve a </w:t>
      </w:r>
      <w:r w:rsidR="00C92D23" w:rsidRPr="00DC0807">
        <w:t>PASI 75</w:t>
      </w:r>
      <w:r w:rsidRPr="00DC0807">
        <w:t xml:space="preserve"> response co</w:t>
      </w:r>
      <w:r w:rsidR="008534C9" w:rsidRPr="00DC0807">
        <w:t>mpared with etanercept at both W</w:t>
      </w:r>
      <w:r w:rsidRPr="00DC0807">
        <w:t>eek 12 (RR=0.41, 95%</w:t>
      </w:r>
      <w:r w:rsidR="0072676B" w:rsidRPr="00DC0807">
        <w:t> </w:t>
      </w:r>
      <w:r w:rsidRPr="00DC0807">
        <w:t xml:space="preserve">CI 0.24, 0.70) and Week 24/28 (RR=0.34, 95% CI 0.19, 0.61). However, no statistically significant difference was observed in the proportion of </w:t>
      </w:r>
      <w:r w:rsidR="00C92D23" w:rsidRPr="00DC0807">
        <w:t>PASI 75</w:t>
      </w:r>
      <w:r w:rsidRPr="00DC0807">
        <w:t xml:space="preserve"> response</w:t>
      </w:r>
      <w:r w:rsidR="00F244F4" w:rsidRPr="00DC0807">
        <w:t xml:space="preserve"> at </w:t>
      </w:r>
      <w:r w:rsidR="00774324" w:rsidRPr="00DC0807">
        <w:t xml:space="preserve">either </w:t>
      </w:r>
      <w:r w:rsidR="00F244F4" w:rsidRPr="00DC0807">
        <w:t>Week 12 or Week 24/28</w:t>
      </w:r>
      <w:r w:rsidRPr="00DC0807">
        <w:t xml:space="preserve">, though the point estimate favoured treatment with ustekinumab. </w:t>
      </w:r>
    </w:p>
    <w:p w:rsidR="004C3AC1" w:rsidRPr="00DC0807" w:rsidRDefault="00C35317" w:rsidP="00C35317">
      <w:pPr>
        <w:keepNext/>
        <w:widowControl/>
        <w:rPr>
          <w:rStyle w:val="CommentReference"/>
        </w:rPr>
      </w:pPr>
      <w:bookmarkStart w:id="16" w:name="_Ref61129084"/>
      <w:r w:rsidRPr="00DC0807">
        <w:rPr>
          <w:rStyle w:val="CommentReference"/>
        </w:rPr>
        <w:t xml:space="preserve">Table </w:t>
      </w:r>
      <w:r w:rsidR="00AE572A" w:rsidRPr="00DC0807">
        <w:rPr>
          <w:rStyle w:val="CommentReference"/>
        </w:rPr>
        <w:t>8</w:t>
      </w:r>
      <w:bookmarkEnd w:id="16"/>
      <w:r w:rsidR="004C3AC1" w:rsidRPr="00DC0807">
        <w:rPr>
          <w:rStyle w:val="CommentReference"/>
        </w:rPr>
        <w:t xml:space="preserve">: </w:t>
      </w:r>
      <w:r w:rsidRPr="00DC0807">
        <w:rPr>
          <w:rStyle w:val="CommentReference"/>
        </w:rPr>
        <w:t>Resu</w:t>
      </w:r>
      <w:r w:rsidR="00AE5627">
        <w:rPr>
          <w:rStyle w:val="CommentReference"/>
        </w:rPr>
        <w:t>lts of PASI 90 response and non-</w:t>
      </w:r>
      <w:r w:rsidRPr="00DC0807">
        <w:rPr>
          <w:rStyle w:val="CommentReference"/>
        </w:rPr>
        <w:t>response rates for ustekinumab at Week 12 and Week 24/28 compared to etanercept at Week 12</w:t>
      </w:r>
      <w:r w:rsidR="00DD092B">
        <w:rPr>
          <w:rStyle w:val="CommentReference"/>
        </w:rPr>
        <w:t>*</w:t>
      </w:r>
    </w:p>
    <w:tbl>
      <w:tblPr>
        <w:tblStyle w:val="TableStyle"/>
        <w:tblW w:w="5028" w:type="pct"/>
        <w:shd w:val="clear" w:color="auto" w:fill="FFFFFF" w:themeFill="background1"/>
        <w:tblLook w:val="04A0" w:firstRow="1" w:lastRow="0" w:firstColumn="1" w:lastColumn="0" w:noHBand="0" w:noVBand="1"/>
        <w:tblCaption w:val="Table 8: Results of PASI 90 response and non-response rates for ustekinumab at Week 12 and Week 24/28 compared to etanercept at Week 12*"/>
      </w:tblPr>
      <w:tblGrid>
        <w:gridCol w:w="1124"/>
        <w:gridCol w:w="462"/>
        <w:gridCol w:w="1102"/>
        <w:gridCol w:w="1135"/>
        <w:gridCol w:w="1558"/>
        <w:gridCol w:w="1701"/>
        <w:gridCol w:w="1984"/>
      </w:tblGrid>
      <w:tr w:rsidR="00C35317"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20" w:type="pct"/>
            <w:shd w:val="clear" w:color="auto" w:fill="FFFFFF" w:themeFill="background1"/>
          </w:tcPr>
          <w:p w:rsidR="00C35317" w:rsidRPr="00DC0807" w:rsidRDefault="00C35317" w:rsidP="006123AC">
            <w:pPr>
              <w:keepNext/>
              <w:keepLines/>
              <w:spacing w:before="0" w:after="0"/>
              <w:rPr>
                <w:rFonts w:ascii="Arial Narrow" w:hAnsi="Arial Narrow"/>
                <w:b w:val="0"/>
                <w:sz w:val="20"/>
                <w:szCs w:val="20"/>
                <w:lang w:val="en-AU"/>
              </w:rPr>
            </w:pPr>
          </w:p>
        </w:tc>
        <w:tc>
          <w:tcPr>
            <w:tcW w:w="863" w:type="pct"/>
            <w:gridSpan w:val="2"/>
            <w:shd w:val="clear" w:color="auto" w:fill="FFFFFF" w:themeFill="background1"/>
          </w:tcPr>
          <w:p w:rsidR="00C35317" w:rsidRPr="00DC0807" w:rsidRDefault="00C35317" w:rsidP="006123AC">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Biologic</w:t>
            </w:r>
          </w:p>
        </w:tc>
        <w:tc>
          <w:tcPr>
            <w:tcW w:w="626" w:type="pct"/>
            <w:shd w:val="clear" w:color="auto" w:fill="FFFFFF" w:themeFill="background1"/>
          </w:tcPr>
          <w:p w:rsidR="00C35317" w:rsidRPr="00DC0807" w:rsidRDefault="00C35317" w:rsidP="006123AC">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PBO</w:t>
            </w:r>
          </w:p>
        </w:tc>
        <w:tc>
          <w:tcPr>
            <w:tcW w:w="2891" w:type="pct"/>
            <w:gridSpan w:val="3"/>
            <w:shd w:val="clear" w:color="auto" w:fill="FFFFFF" w:themeFill="background1"/>
          </w:tcPr>
          <w:p w:rsidR="00C35317" w:rsidRPr="00DC0807" w:rsidRDefault="00C35317" w:rsidP="006123AC">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Results</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20" w:type="pct"/>
            <w:shd w:val="clear" w:color="auto" w:fill="FFFFFF" w:themeFill="background1"/>
          </w:tcPr>
          <w:p w:rsidR="00C35317" w:rsidRPr="00DC0807" w:rsidRDefault="00C35317" w:rsidP="006123AC">
            <w:pPr>
              <w:keepNext/>
              <w:keepLines/>
              <w:spacing w:before="0" w:after="0"/>
              <w:rPr>
                <w:rFonts w:ascii="Arial Narrow" w:hAnsi="Arial Narrow"/>
                <w:sz w:val="20"/>
                <w:szCs w:val="20"/>
                <w:lang w:val="en-AU"/>
              </w:rPr>
            </w:pPr>
            <w:r w:rsidRPr="00DC0807">
              <w:rPr>
                <w:rFonts w:ascii="Arial Narrow" w:hAnsi="Arial Narrow"/>
                <w:sz w:val="20"/>
                <w:szCs w:val="20"/>
                <w:lang w:val="en-AU"/>
              </w:rPr>
              <w:t>Trial</w:t>
            </w:r>
          </w:p>
        </w:tc>
        <w:tc>
          <w:tcPr>
            <w:tcW w:w="255" w:type="pct"/>
            <w:shd w:val="clear" w:color="auto" w:fill="FFFFFF" w:themeFill="background1"/>
          </w:tcPr>
          <w:p w:rsidR="00C35317" w:rsidRPr="00DC0807" w:rsidRDefault="00B82E7A" w:rsidP="006123AC">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Wk</w:t>
            </w:r>
          </w:p>
        </w:tc>
        <w:tc>
          <w:tcPr>
            <w:tcW w:w="608" w:type="pct"/>
            <w:shd w:val="clear" w:color="auto" w:fill="FFFFFF" w:themeFill="background1"/>
          </w:tcPr>
          <w:p w:rsidR="00C35317" w:rsidRPr="00DC0807" w:rsidRDefault="00C35317" w:rsidP="006123AC">
            <w:pPr>
              <w:keepNext/>
              <w:keepLines/>
              <w:spacing w:before="0" w:after="0"/>
              <w:jc w:val="center"/>
              <w:rPr>
                <w:rFonts w:ascii="Arial Narrow" w:hAnsi="Arial Narrow"/>
                <w:b w:val="0"/>
                <w:sz w:val="20"/>
                <w:szCs w:val="20"/>
                <w:lang w:val="en-AU"/>
              </w:rPr>
            </w:pPr>
            <w:r w:rsidRPr="00DC0807">
              <w:rPr>
                <w:rFonts w:ascii="Arial Narrow" w:hAnsi="Arial Narrow"/>
                <w:sz w:val="20"/>
                <w:szCs w:val="20"/>
                <w:lang w:val="en-AU"/>
              </w:rPr>
              <w:t>n/N (%)</w:t>
            </w:r>
          </w:p>
        </w:tc>
        <w:tc>
          <w:tcPr>
            <w:tcW w:w="626" w:type="pct"/>
            <w:shd w:val="clear" w:color="auto" w:fill="FFFFFF" w:themeFill="background1"/>
          </w:tcPr>
          <w:p w:rsidR="00C35317" w:rsidRPr="00DC0807" w:rsidRDefault="00C35317" w:rsidP="006123AC">
            <w:pPr>
              <w:keepNext/>
              <w:keepLines/>
              <w:spacing w:before="0" w:after="0"/>
              <w:jc w:val="center"/>
              <w:rPr>
                <w:rFonts w:ascii="Arial Narrow" w:hAnsi="Arial Narrow"/>
                <w:b w:val="0"/>
                <w:sz w:val="20"/>
                <w:szCs w:val="20"/>
                <w:lang w:val="en-AU"/>
              </w:rPr>
            </w:pPr>
            <w:r w:rsidRPr="00DC0807">
              <w:rPr>
                <w:rFonts w:ascii="Arial Narrow" w:hAnsi="Arial Narrow"/>
                <w:sz w:val="20"/>
                <w:szCs w:val="20"/>
                <w:lang w:val="en-AU"/>
              </w:rPr>
              <w:t>n/N (%)</w:t>
            </w:r>
          </w:p>
        </w:tc>
        <w:tc>
          <w:tcPr>
            <w:tcW w:w="859" w:type="pct"/>
            <w:shd w:val="clear" w:color="auto" w:fill="FFFFFF" w:themeFill="background1"/>
          </w:tcPr>
          <w:p w:rsidR="00C35317" w:rsidRPr="00DC0807" w:rsidRDefault="00C35317" w:rsidP="006123AC">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RD (95% CI)</w:t>
            </w:r>
          </w:p>
        </w:tc>
        <w:tc>
          <w:tcPr>
            <w:tcW w:w="938" w:type="pct"/>
            <w:shd w:val="clear" w:color="auto" w:fill="FFFFFF" w:themeFill="background1"/>
          </w:tcPr>
          <w:p w:rsidR="00C35317" w:rsidRPr="00DC0807" w:rsidRDefault="00C35317" w:rsidP="006123AC">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RR (95% CI)</w:t>
            </w:r>
          </w:p>
        </w:tc>
        <w:tc>
          <w:tcPr>
            <w:tcW w:w="1094" w:type="pct"/>
            <w:shd w:val="clear" w:color="auto" w:fill="FFFFFF" w:themeFill="background1"/>
          </w:tcPr>
          <w:p w:rsidR="00C35317" w:rsidRPr="00DC0807" w:rsidRDefault="00C35317" w:rsidP="006123AC">
            <w:pPr>
              <w:keepNext/>
              <w:keepLines/>
              <w:spacing w:before="0" w:after="0"/>
              <w:jc w:val="center"/>
              <w:rPr>
                <w:rFonts w:ascii="Arial Narrow" w:hAnsi="Arial Narrow"/>
                <w:b w:val="0"/>
                <w:sz w:val="20"/>
                <w:szCs w:val="20"/>
                <w:lang w:val="en-AU"/>
              </w:rPr>
            </w:pPr>
            <w:r w:rsidRPr="00DC0807">
              <w:rPr>
                <w:rFonts w:ascii="Arial Narrow" w:hAnsi="Arial Narrow"/>
                <w:sz w:val="20"/>
                <w:szCs w:val="20"/>
                <w:lang w:val="en-AU"/>
              </w:rPr>
              <w:t>OR (95% CI)</w:t>
            </w:r>
          </w:p>
        </w:tc>
      </w:tr>
      <w:tr w:rsidR="00C35317" w:rsidRPr="00DC0807" w:rsidTr="00E27A1F">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C35317" w:rsidRPr="00DC0807" w:rsidRDefault="00C35317" w:rsidP="006123AC">
            <w:pPr>
              <w:keepNext/>
              <w:keepLines/>
              <w:spacing w:before="0" w:after="0"/>
              <w:rPr>
                <w:rFonts w:ascii="Arial Narrow" w:eastAsia="Times New Roman" w:hAnsi="Arial Narrow" w:cs="Calibri"/>
                <w:color w:val="000000"/>
                <w:sz w:val="20"/>
                <w:szCs w:val="20"/>
                <w:lang w:val="en-AU" w:eastAsia="en-AU"/>
              </w:rPr>
            </w:pPr>
            <w:r w:rsidRPr="00DC0807">
              <w:rPr>
                <w:rFonts w:ascii="Arial Narrow" w:hAnsi="Arial Narrow"/>
                <w:sz w:val="20"/>
                <w:szCs w:val="20"/>
                <w:lang w:val="en-AU"/>
              </w:rPr>
              <w:t>Week 12</w:t>
            </w:r>
          </w:p>
        </w:tc>
      </w:tr>
      <w:tr w:rsidR="00C35317" w:rsidRPr="00DC0807" w:rsidTr="00E27A1F">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C35317" w:rsidRPr="00DC0807" w:rsidRDefault="00C35317" w:rsidP="00611953">
            <w:pPr>
              <w:keepNext/>
              <w:keepLines/>
              <w:spacing w:before="0" w:after="0"/>
              <w:rPr>
                <w:rFonts w:ascii="Arial Narrow" w:eastAsia="Times New Roman" w:hAnsi="Arial Narrow" w:cs="Calibri"/>
                <w:b w:val="0"/>
                <w:color w:val="000000"/>
                <w:sz w:val="20"/>
                <w:szCs w:val="20"/>
                <w:lang w:val="en-AU" w:eastAsia="en-AU"/>
              </w:rPr>
            </w:pPr>
            <w:r w:rsidRPr="00DC0807">
              <w:rPr>
                <w:rFonts w:ascii="Arial Narrow" w:hAnsi="Arial Narrow"/>
                <w:b w:val="0"/>
                <w:sz w:val="20"/>
                <w:szCs w:val="20"/>
                <w:lang w:val="en-AU"/>
              </w:rPr>
              <w:t>Ustekinumab</w:t>
            </w:r>
            <w:r w:rsidR="00611953" w:rsidRPr="00DC0807">
              <w:rPr>
                <w:rFonts w:ascii="Arial Narrow" w:hAnsi="Arial Narrow"/>
                <w:b w:val="0"/>
                <w:sz w:val="20"/>
                <w:szCs w:val="20"/>
                <w:vertAlign w:val="superscript"/>
                <w:lang w:val="en-AU"/>
              </w:rPr>
              <w:t>a</w:t>
            </w:r>
            <w:r w:rsidRPr="00DC0807">
              <w:rPr>
                <w:rFonts w:ascii="Arial Narrow" w:hAnsi="Arial Narrow"/>
                <w:b w:val="0"/>
                <w:sz w:val="20"/>
                <w:szCs w:val="20"/>
                <w:lang w:val="en-AU"/>
              </w:rPr>
              <w:t xml:space="preserve"> versus placebo</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20" w:type="pct"/>
            <w:shd w:val="clear" w:color="auto" w:fill="FFFFFF" w:themeFill="background1"/>
            <w:vAlign w:val="center"/>
          </w:tcPr>
          <w:p w:rsidR="00C35317" w:rsidRPr="00DC0807" w:rsidRDefault="00C35317" w:rsidP="006123AC">
            <w:pPr>
              <w:keepNext/>
              <w:keepLines/>
              <w:spacing w:before="0" w:after="0"/>
              <w:rPr>
                <w:rFonts w:ascii="Arial Narrow" w:hAnsi="Arial Narrow"/>
                <w:b w:val="0"/>
                <w:bCs/>
                <w:sz w:val="20"/>
                <w:szCs w:val="20"/>
                <w:lang w:val="en-AU"/>
              </w:rPr>
            </w:pPr>
            <w:r w:rsidRPr="00DC0807">
              <w:rPr>
                <w:rFonts w:ascii="Arial Narrow" w:hAnsi="Arial Narrow"/>
                <w:b w:val="0"/>
                <w:bCs/>
                <w:sz w:val="20"/>
                <w:szCs w:val="20"/>
                <w:lang w:val="en-AU"/>
              </w:rPr>
              <w:t>CADMUS</w:t>
            </w:r>
          </w:p>
        </w:tc>
        <w:tc>
          <w:tcPr>
            <w:tcW w:w="255"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12</w:t>
            </w:r>
          </w:p>
        </w:tc>
        <w:tc>
          <w:tcPr>
            <w:tcW w:w="608" w:type="pct"/>
            <w:shd w:val="clear" w:color="auto" w:fill="FFFFFF" w:themeFill="background1"/>
          </w:tcPr>
          <w:p w:rsidR="00C35317" w:rsidRPr="00DC0807" w:rsidRDefault="00C35317" w:rsidP="006123AC">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b w:val="0"/>
                <w:bCs/>
                <w:sz w:val="20"/>
                <w:szCs w:val="20"/>
                <w:lang w:val="en-AU"/>
              </w:rPr>
              <w:t>22/36 (61.1)</w:t>
            </w:r>
          </w:p>
        </w:tc>
        <w:tc>
          <w:tcPr>
            <w:tcW w:w="626"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2/37 (5.4)</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0.56 (0.38, 0.73)</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11.31 (2.86, 44.62)</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27.5 (5.69, 132.8)</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20" w:type="pct"/>
            <w:shd w:val="clear" w:color="auto" w:fill="FFFFFF" w:themeFill="background1"/>
            <w:vAlign w:val="center"/>
          </w:tcPr>
          <w:p w:rsidR="00C35317" w:rsidRPr="00DC0807" w:rsidRDefault="00C35317" w:rsidP="00B82E7A">
            <w:pPr>
              <w:keepNext/>
              <w:keepLines/>
              <w:spacing w:before="0" w:after="0"/>
              <w:ind w:right="-250"/>
              <w:rPr>
                <w:rFonts w:ascii="Arial Narrow" w:hAnsi="Arial Narrow"/>
                <w:b w:val="0"/>
                <w:bCs/>
                <w:sz w:val="20"/>
                <w:szCs w:val="20"/>
                <w:lang w:val="en-AU"/>
              </w:rPr>
            </w:pPr>
            <w:r w:rsidRPr="00DC0807">
              <w:rPr>
                <w:rFonts w:ascii="Arial Narrow" w:hAnsi="Arial Narrow"/>
                <w:b w:val="0"/>
                <w:bCs/>
                <w:sz w:val="20"/>
                <w:szCs w:val="20"/>
                <w:lang w:val="en-AU"/>
              </w:rPr>
              <w:t>CADMUS JR</w:t>
            </w:r>
          </w:p>
        </w:tc>
        <w:tc>
          <w:tcPr>
            <w:tcW w:w="255"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12</w:t>
            </w:r>
          </w:p>
        </w:tc>
        <w:tc>
          <w:tcPr>
            <w:tcW w:w="608" w:type="pct"/>
            <w:shd w:val="clear" w:color="auto" w:fill="FFFFFF" w:themeFill="background1"/>
          </w:tcPr>
          <w:p w:rsidR="00C35317" w:rsidRPr="00DC0807" w:rsidRDefault="00C35317" w:rsidP="006123AC">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b w:val="0"/>
                <w:bCs/>
                <w:sz w:val="20"/>
                <w:szCs w:val="20"/>
                <w:lang w:val="en-AU"/>
              </w:rPr>
              <w:t>28/44 (63.6)</w:t>
            </w:r>
          </w:p>
        </w:tc>
        <w:tc>
          <w:tcPr>
            <w:tcW w:w="626" w:type="pct"/>
            <w:shd w:val="clear" w:color="auto" w:fill="FFFFFF" w:themeFill="background1"/>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eastAsia="Times New Roman" w:hAnsi="Arial Narrow" w:cs="Calibri"/>
                <w:b w:val="0"/>
                <w:bCs/>
                <w:color w:val="000000"/>
                <w:sz w:val="20"/>
                <w:szCs w:val="20"/>
                <w:lang w:val="en-AU" w:eastAsia="en-AU"/>
              </w:rPr>
              <w:t>N/A</w:t>
            </w:r>
          </w:p>
        </w:tc>
        <w:tc>
          <w:tcPr>
            <w:tcW w:w="859" w:type="pct"/>
            <w:shd w:val="clear" w:color="auto" w:fill="FFFFFF" w:themeFill="background1"/>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 w:val="0"/>
                <w:bCs/>
                <w:color w:val="000000"/>
                <w:sz w:val="20"/>
                <w:szCs w:val="20"/>
                <w:lang w:val="en-AU" w:eastAsia="en-AU"/>
              </w:rPr>
              <w:t>N/A</w:t>
            </w:r>
          </w:p>
        </w:tc>
        <w:tc>
          <w:tcPr>
            <w:tcW w:w="938" w:type="pct"/>
            <w:shd w:val="clear" w:color="auto" w:fill="FFFFFF" w:themeFill="background1"/>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 w:val="0"/>
                <w:bCs/>
                <w:color w:val="000000"/>
                <w:sz w:val="20"/>
                <w:szCs w:val="20"/>
                <w:lang w:val="en-AU" w:eastAsia="en-AU"/>
              </w:rPr>
              <w:t>N/A</w:t>
            </w:r>
          </w:p>
        </w:tc>
        <w:tc>
          <w:tcPr>
            <w:tcW w:w="1094" w:type="pct"/>
            <w:shd w:val="clear" w:color="auto" w:fill="FFFFFF" w:themeFill="background1"/>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 w:val="0"/>
                <w:bCs/>
                <w:color w:val="000000"/>
                <w:sz w:val="20"/>
                <w:szCs w:val="20"/>
                <w:lang w:val="en-AU" w:eastAsia="en-AU"/>
              </w:rPr>
              <w:t>N/A</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875" w:type="pct"/>
            <w:gridSpan w:val="2"/>
            <w:shd w:val="clear" w:color="auto" w:fill="FFFFFF" w:themeFill="background1"/>
            <w:vAlign w:val="center"/>
          </w:tcPr>
          <w:p w:rsidR="00C35317" w:rsidRPr="00DC0807" w:rsidRDefault="00C35317" w:rsidP="006123AC">
            <w:pPr>
              <w:keepNext/>
              <w:keepLines/>
              <w:spacing w:before="0" w:after="0"/>
              <w:jc w:val="left"/>
              <w:rPr>
                <w:rFonts w:ascii="Arial Narrow" w:hAnsi="Arial Narrow"/>
                <w:b w:val="0"/>
                <w:bCs/>
                <w:sz w:val="20"/>
                <w:szCs w:val="20"/>
                <w:lang w:val="en-AU"/>
              </w:rPr>
            </w:pPr>
            <w:r w:rsidRPr="00DC0807">
              <w:rPr>
                <w:rFonts w:ascii="Arial Narrow" w:hAnsi="Arial Narrow"/>
                <w:b w:val="0"/>
                <w:bCs/>
                <w:sz w:val="20"/>
                <w:szCs w:val="20"/>
                <w:lang w:val="en-AU"/>
              </w:rPr>
              <w:t xml:space="preserve">Pooled </w:t>
            </w:r>
          </w:p>
        </w:tc>
        <w:tc>
          <w:tcPr>
            <w:tcW w:w="608" w:type="pct"/>
            <w:shd w:val="clear" w:color="auto" w:fill="FFFFFF" w:themeFill="background1"/>
          </w:tcPr>
          <w:p w:rsidR="00C35317" w:rsidRPr="00DC0807" w:rsidRDefault="00C35317" w:rsidP="006123AC">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b w:val="0"/>
                <w:bCs/>
                <w:sz w:val="20"/>
                <w:szCs w:val="20"/>
                <w:lang w:val="en-AU"/>
              </w:rPr>
              <w:t>50/80 (62.5)</w:t>
            </w:r>
          </w:p>
        </w:tc>
        <w:tc>
          <w:tcPr>
            <w:tcW w:w="626" w:type="pct"/>
            <w:shd w:val="clear" w:color="auto" w:fill="FFFFFF" w:themeFill="background1"/>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2/37 (5.4)</w:t>
            </w:r>
          </w:p>
        </w:tc>
        <w:tc>
          <w:tcPr>
            <w:tcW w:w="859" w:type="pct"/>
            <w:shd w:val="clear" w:color="auto" w:fill="FFFFFF" w:themeFill="background1"/>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bCs/>
                <w:sz w:val="20"/>
                <w:szCs w:val="20"/>
                <w:lang w:val="en-AU"/>
              </w:rPr>
              <w:t>0.57 (0.44, 0.7)</w:t>
            </w:r>
          </w:p>
        </w:tc>
        <w:tc>
          <w:tcPr>
            <w:tcW w:w="938" w:type="pct"/>
            <w:shd w:val="clear" w:color="auto" w:fill="FFFFFF" w:themeFill="background1"/>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bCs/>
                <w:sz w:val="20"/>
                <w:szCs w:val="20"/>
                <w:lang w:val="en-AU"/>
              </w:rPr>
              <w:t>11.56 (2.97, 44.99)</w:t>
            </w:r>
          </w:p>
        </w:tc>
        <w:tc>
          <w:tcPr>
            <w:tcW w:w="1094" w:type="pct"/>
            <w:shd w:val="clear" w:color="auto" w:fill="FFFFFF" w:themeFill="background1"/>
          </w:tcPr>
          <w:p w:rsidR="00C35317" w:rsidRPr="00DC0807" w:rsidRDefault="00C35317" w:rsidP="00B82E7A">
            <w:pPr>
              <w:keepNext/>
              <w:keepLines/>
              <w:spacing w:before="0" w:after="0"/>
              <w:jc w:val="center"/>
              <w:rPr>
                <w:rFonts w:ascii="Arial Narrow" w:hAnsi="Arial Narrow" w:cs="Calibri"/>
                <w:bCs/>
                <w:color w:val="000000"/>
                <w:sz w:val="20"/>
                <w:szCs w:val="20"/>
                <w:lang w:val="en-AU"/>
              </w:rPr>
            </w:pPr>
            <w:r w:rsidRPr="00DC0807">
              <w:rPr>
                <w:rFonts w:ascii="Arial Narrow" w:hAnsi="Arial Narrow" w:cs="Calibri"/>
                <w:bCs/>
                <w:color w:val="000000"/>
                <w:sz w:val="20"/>
                <w:szCs w:val="20"/>
                <w:lang w:val="en-AU"/>
              </w:rPr>
              <w:t>29.17 (6.54, 130.08)</w:t>
            </w:r>
          </w:p>
        </w:tc>
      </w:tr>
      <w:tr w:rsidR="00C35317" w:rsidRPr="00DC0807" w:rsidTr="00E27A1F">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C35317" w:rsidRPr="00DC0807" w:rsidRDefault="00C35317" w:rsidP="006123AC">
            <w:pPr>
              <w:keepNext/>
              <w:keepLines/>
              <w:spacing w:before="0" w:after="0"/>
              <w:jc w:val="left"/>
              <w:rPr>
                <w:rFonts w:ascii="Arial Narrow" w:hAnsi="Arial Narrow" w:cs="Calibri"/>
                <w:b w:val="0"/>
                <w:bCs/>
                <w:color w:val="000000"/>
                <w:sz w:val="20"/>
                <w:szCs w:val="20"/>
                <w:lang w:val="en-AU" w:eastAsia="en-AU"/>
              </w:rPr>
            </w:pPr>
            <w:r w:rsidRPr="00DC0807">
              <w:rPr>
                <w:rFonts w:ascii="Arial Narrow" w:eastAsia="Times New Roman" w:hAnsi="Arial Narrow" w:cs="Calibri"/>
                <w:b w:val="0"/>
                <w:color w:val="000000"/>
                <w:sz w:val="20"/>
                <w:szCs w:val="20"/>
                <w:lang w:val="en-AU" w:eastAsia="en-AU"/>
              </w:rPr>
              <w:t>Etanercept versus placebo</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20" w:type="pct"/>
            <w:shd w:val="clear" w:color="auto" w:fill="FFFFFF" w:themeFill="background1"/>
            <w:vAlign w:val="center"/>
          </w:tcPr>
          <w:p w:rsidR="00C35317" w:rsidRPr="00DC0807" w:rsidRDefault="00C35317" w:rsidP="006123AC">
            <w:pPr>
              <w:keepNext/>
              <w:keepLines/>
              <w:spacing w:before="0" w:after="0"/>
              <w:rPr>
                <w:rFonts w:ascii="Arial Narrow" w:hAnsi="Arial Narrow"/>
                <w:b w:val="0"/>
                <w:bCs/>
                <w:sz w:val="20"/>
                <w:szCs w:val="20"/>
                <w:lang w:val="en-AU"/>
              </w:rPr>
            </w:pPr>
            <w:r w:rsidRPr="00DC0807">
              <w:rPr>
                <w:rFonts w:ascii="Arial Narrow" w:hAnsi="Arial Narrow"/>
                <w:b w:val="0"/>
                <w:sz w:val="20"/>
                <w:szCs w:val="20"/>
                <w:lang w:val="en-AU"/>
              </w:rPr>
              <w:t>Paller 2008</w:t>
            </w:r>
          </w:p>
        </w:tc>
        <w:tc>
          <w:tcPr>
            <w:tcW w:w="255"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sz w:val="20"/>
                <w:szCs w:val="20"/>
                <w:lang w:val="en-AU"/>
              </w:rPr>
              <w:t>12</w:t>
            </w:r>
          </w:p>
        </w:tc>
        <w:tc>
          <w:tcPr>
            <w:tcW w:w="608" w:type="pct"/>
            <w:shd w:val="clear" w:color="auto" w:fill="FFFFFF" w:themeFill="background1"/>
            <w:vAlign w:val="center"/>
          </w:tcPr>
          <w:p w:rsidR="00C35317" w:rsidRPr="00DC0807" w:rsidRDefault="00B82E7A" w:rsidP="00B82E7A">
            <w:pPr>
              <w:keepNext/>
              <w:keepLines/>
              <w:spacing w:before="0" w:after="0"/>
              <w:ind w:left="-134" w:right="-106"/>
              <w:jc w:val="center"/>
              <w:rPr>
                <w:rFonts w:ascii="Arial Narrow" w:hAnsi="Arial Narrow" w:cs="Calibri"/>
                <w:b w:val="0"/>
                <w:bCs/>
                <w:color w:val="000000"/>
                <w:sz w:val="20"/>
                <w:szCs w:val="20"/>
                <w:lang w:val="en-AU" w:eastAsia="en-AU"/>
              </w:rPr>
            </w:pPr>
            <w:r w:rsidRPr="00DC0807">
              <w:rPr>
                <w:rFonts w:ascii="Arial Narrow" w:hAnsi="Arial Narrow"/>
                <w:b w:val="0"/>
                <w:bCs/>
                <w:sz w:val="20"/>
                <w:szCs w:val="20"/>
                <w:lang w:val="en-AU"/>
              </w:rPr>
              <w:t xml:space="preserve">29/106 </w:t>
            </w:r>
            <w:r w:rsidR="00C35317" w:rsidRPr="00DC0807">
              <w:rPr>
                <w:rFonts w:ascii="Arial Narrow" w:hAnsi="Arial Narrow"/>
                <w:b w:val="0"/>
                <w:bCs/>
                <w:sz w:val="20"/>
                <w:szCs w:val="20"/>
                <w:lang w:val="en-AU"/>
              </w:rPr>
              <w:t>(27.4)</w:t>
            </w:r>
          </w:p>
        </w:tc>
        <w:tc>
          <w:tcPr>
            <w:tcW w:w="626"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7/105(6.7)</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0.21 (0.11, 0.3)</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4.1 (1.88, 8.95)</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5.27 (2.19, 12.68)</w:t>
            </w:r>
          </w:p>
        </w:tc>
      </w:tr>
      <w:tr w:rsidR="00C35317"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09" w:type="pct"/>
            <w:gridSpan w:val="4"/>
            <w:shd w:val="clear" w:color="auto" w:fill="FFFFFF" w:themeFill="background1"/>
            <w:vAlign w:val="center"/>
          </w:tcPr>
          <w:p w:rsidR="008B234A" w:rsidRPr="00DC0807" w:rsidRDefault="00C35317" w:rsidP="00B82E7A">
            <w:pPr>
              <w:keepNext/>
              <w:keepLines/>
              <w:spacing w:before="0" w:after="0"/>
              <w:ind w:left="33"/>
              <w:jc w:val="left"/>
              <w:rPr>
                <w:rFonts w:ascii="Arial Narrow" w:hAnsi="Arial Narrow"/>
                <w:sz w:val="20"/>
                <w:szCs w:val="20"/>
                <w:lang w:val="en-AU"/>
              </w:rPr>
            </w:pPr>
            <w:r w:rsidRPr="00DC0807">
              <w:rPr>
                <w:rFonts w:ascii="Arial Narrow" w:hAnsi="Arial Narrow"/>
                <w:sz w:val="20"/>
                <w:szCs w:val="20"/>
                <w:lang w:val="en-AU"/>
              </w:rPr>
              <w:t>Indirect analysis UST vs ETN</w:t>
            </w:r>
            <w:r w:rsidR="008B234A" w:rsidRPr="00DC0807">
              <w:rPr>
                <w:rFonts w:ascii="Arial Narrow" w:hAnsi="Arial Narrow"/>
                <w:sz w:val="20"/>
                <w:szCs w:val="20"/>
                <w:lang w:val="en-AU"/>
              </w:rPr>
              <w:t xml:space="preserve"> </w:t>
            </w:r>
          </w:p>
          <w:p w:rsidR="00C35317" w:rsidRPr="00DC0807" w:rsidRDefault="008B234A" w:rsidP="00B82E7A">
            <w:pPr>
              <w:keepNext/>
              <w:keepLines/>
              <w:spacing w:before="0" w:after="0"/>
              <w:ind w:left="33"/>
              <w:jc w:val="left"/>
              <w:rPr>
                <w:rFonts w:ascii="Arial Narrow" w:hAnsi="Arial Narrow"/>
                <w:b w:val="0"/>
                <w:bCs/>
                <w:sz w:val="20"/>
                <w:szCs w:val="20"/>
                <w:lang w:val="en-AU"/>
              </w:rPr>
            </w:pPr>
            <w:r w:rsidRPr="00DC0807">
              <w:rPr>
                <w:rFonts w:ascii="Arial Narrow" w:hAnsi="Arial Narrow"/>
                <w:sz w:val="20"/>
                <w:szCs w:val="20"/>
                <w:lang w:val="en-AU"/>
              </w:rPr>
              <w:t>(response rate)</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sz w:val="20"/>
                <w:szCs w:val="20"/>
                <w:lang w:val="en-AU"/>
              </w:rPr>
              <w:t>0.36 (0.2, 0.53)</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b w:val="0"/>
                <w:bCs/>
                <w:sz w:val="20"/>
                <w:szCs w:val="20"/>
                <w:lang w:val="en-AU"/>
              </w:rPr>
              <w:t>2.82 (0.59, 13.5)</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Cs/>
                <w:color w:val="000000"/>
                <w:sz w:val="20"/>
                <w:szCs w:val="20"/>
                <w:lang w:val="en-AU" w:eastAsia="en-AU"/>
              </w:rPr>
            </w:pPr>
            <w:r w:rsidRPr="00DC0807">
              <w:rPr>
                <w:rFonts w:ascii="Arial Narrow" w:hAnsi="Arial Narrow" w:cs="Calibri"/>
                <w:b w:val="0"/>
                <w:bCs/>
                <w:color w:val="000000"/>
                <w:sz w:val="20"/>
                <w:szCs w:val="20"/>
                <w:lang w:val="en-AU"/>
              </w:rPr>
              <w:t>5.53 (0.98, 31.32)</w:t>
            </w:r>
          </w:p>
        </w:tc>
      </w:tr>
      <w:tr w:rsidR="00C35317"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09" w:type="pct"/>
            <w:gridSpan w:val="4"/>
            <w:shd w:val="clear" w:color="auto" w:fill="FFFFFF" w:themeFill="background1"/>
            <w:vAlign w:val="center"/>
          </w:tcPr>
          <w:p w:rsidR="00C35317" w:rsidRPr="00DC0807" w:rsidRDefault="00C35317" w:rsidP="00B82E7A">
            <w:pPr>
              <w:keepNext/>
              <w:keepLines/>
              <w:spacing w:before="0" w:after="0"/>
              <w:ind w:left="33"/>
              <w:jc w:val="left"/>
              <w:rPr>
                <w:rFonts w:ascii="Arial Narrow" w:hAnsi="Arial Narrow"/>
                <w:sz w:val="20"/>
                <w:szCs w:val="20"/>
                <w:lang w:val="en-AU"/>
              </w:rPr>
            </w:pPr>
            <w:r w:rsidRPr="00DC0807">
              <w:rPr>
                <w:rFonts w:ascii="Arial Narrow" w:hAnsi="Arial Narrow"/>
                <w:sz w:val="20"/>
                <w:szCs w:val="20"/>
                <w:lang w:val="en-AU"/>
              </w:rPr>
              <w:t>Indirect analysis CADMUS vs Paller 2008</w:t>
            </w:r>
            <w:r w:rsidR="008B234A" w:rsidRPr="00DC0807">
              <w:rPr>
                <w:rFonts w:ascii="Arial Narrow" w:hAnsi="Arial Narrow"/>
                <w:sz w:val="20"/>
                <w:szCs w:val="20"/>
                <w:lang w:val="en-AU"/>
              </w:rPr>
              <w:t xml:space="preserve"> (response rate</w:t>
            </w:r>
            <w:r w:rsidR="004E295D" w:rsidRPr="00DC0807">
              <w:rPr>
                <w:rFonts w:ascii="Arial Narrow" w:hAnsi="Arial Narrow"/>
                <w:sz w:val="20"/>
                <w:szCs w:val="20"/>
                <w:lang w:val="en-AU"/>
              </w:rPr>
              <w:t>; excludes CADMUS JR</w:t>
            </w:r>
            <w:r w:rsidR="008B234A" w:rsidRPr="00DC0807">
              <w:rPr>
                <w:rFonts w:ascii="Arial Narrow" w:hAnsi="Arial Narrow"/>
                <w:sz w:val="20"/>
                <w:szCs w:val="20"/>
                <w:lang w:val="en-AU"/>
              </w:rPr>
              <w:t>)</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sz w:val="20"/>
                <w:szCs w:val="20"/>
                <w:lang w:val="en-AU"/>
              </w:rPr>
            </w:pPr>
            <w:r w:rsidRPr="00DC0807">
              <w:rPr>
                <w:rFonts w:ascii="Arial Narrow" w:hAnsi="Arial Narrow"/>
                <w:sz w:val="20"/>
                <w:szCs w:val="20"/>
                <w:lang w:val="en-AU"/>
              </w:rPr>
              <w:t>0.35 (0.15, 0.55)</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2.76 (0.57, 13.4)</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 w:val="0"/>
                <w:bCs/>
                <w:color w:val="000000"/>
                <w:sz w:val="20"/>
                <w:szCs w:val="20"/>
                <w:lang w:val="en-AU"/>
              </w:rPr>
            </w:pPr>
            <w:r w:rsidRPr="00DC0807">
              <w:rPr>
                <w:rFonts w:ascii="Arial Narrow" w:hAnsi="Arial Narrow" w:cs="Calibri"/>
                <w:b w:val="0"/>
                <w:bCs/>
                <w:color w:val="000000"/>
                <w:sz w:val="20"/>
                <w:szCs w:val="20"/>
                <w:lang w:val="en-AU"/>
              </w:rPr>
              <w:t>5.22 (0.86, 31.77)</w:t>
            </w:r>
          </w:p>
        </w:tc>
      </w:tr>
      <w:tr w:rsidR="006123AC"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09" w:type="pct"/>
            <w:gridSpan w:val="4"/>
            <w:shd w:val="clear" w:color="auto" w:fill="FFFFFF" w:themeFill="background1"/>
            <w:vAlign w:val="center"/>
          </w:tcPr>
          <w:p w:rsidR="00B720BE" w:rsidRPr="00DC0807" w:rsidRDefault="006123AC" w:rsidP="00B82E7A">
            <w:pPr>
              <w:keepNext/>
              <w:keepLines/>
              <w:spacing w:before="0" w:after="0"/>
              <w:ind w:left="33"/>
              <w:jc w:val="left"/>
              <w:rPr>
                <w:rFonts w:ascii="Arial Narrow" w:hAnsi="Arial Narrow"/>
                <w:sz w:val="20"/>
                <w:szCs w:val="20"/>
                <w:lang w:val="en-AU"/>
              </w:rPr>
            </w:pPr>
            <w:r w:rsidRPr="00DC0807">
              <w:rPr>
                <w:rFonts w:ascii="Arial Narrow" w:hAnsi="Arial Narrow"/>
                <w:sz w:val="20"/>
                <w:szCs w:val="20"/>
                <w:lang w:val="en-AU"/>
              </w:rPr>
              <w:t xml:space="preserve">Indirect analysis UST vs ETN </w:t>
            </w:r>
          </w:p>
          <w:p w:rsidR="006123AC" w:rsidRPr="00DC0807" w:rsidRDefault="006123AC" w:rsidP="00B82E7A">
            <w:pPr>
              <w:keepNext/>
              <w:keepLines/>
              <w:spacing w:before="0" w:after="0"/>
              <w:ind w:left="33"/>
              <w:jc w:val="left"/>
              <w:rPr>
                <w:rFonts w:ascii="Arial Narrow" w:hAnsi="Arial Narrow"/>
                <w:sz w:val="20"/>
                <w:szCs w:val="20"/>
                <w:lang w:val="en-AU"/>
              </w:rPr>
            </w:pPr>
            <w:r w:rsidRPr="00DC0807">
              <w:rPr>
                <w:rFonts w:ascii="Arial Narrow" w:hAnsi="Arial Narrow"/>
                <w:sz w:val="20"/>
                <w:szCs w:val="20"/>
                <w:lang w:val="en-AU"/>
              </w:rPr>
              <w:t xml:space="preserve">(non-response rate) </w:t>
            </w:r>
            <w:r w:rsidR="00611953" w:rsidRPr="00DC0807">
              <w:rPr>
                <w:rFonts w:ascii="Arial Narrow" w:hAnsi="Arial Narrow"/>
                <w:sz w:val="20"/>
                <w:szCs w:val="20"/>
                <w:vertAlign w:val="superscript"/>
                <w:lang w:val="en-AU"/>
              </w:rPr>
              <w:t>c</w:t>
            </w:r>
          </w:p>
        </w:tc>
        <w:tc>
          <w:tcPr>
            <w:tcW w:w="859" w:type="pct"/>
            <w:shd w:val="clear" w:color="auto" w:fill="FFFFFF" w:themeFill="background1"/>
            <w:vAlign w:val="center"/>
          </w:tcPr>
          <w:p w:rsidR="006123AC" w:rsidRPr="00DC0807" w:rsidRDefault="006123AC" w:rsidP="00B82E7A">
            <w:pPr>
              <w:keepNext/>
              <w:keepLines/>
              <w:spacing w:before="0" w:after="0"/>
              <w:ind w:left="-108" w:right="-110"/>
              <w:jc w:val="center"/>
              <w:rPr>
                <w:rFonts w:ascii="Arial Narrow" w:hAnsi="Arial Narrow" w:cs="Calibri"/>
                <w:bCs/>
                <w:color w:val="000000"/>
                <w:sz w:val="20"/>
                <w:szCs w:val="20"/>
                <w:lang w:val="en-AU" w:eastAsia="en-AU"/>
              </w:rPr>
            </w:pPr>
            <w:r w:rsidRPr="00DC0807">
              <w:rPr>
                <w:rFonts w:ascii="Arial Narrow" w:hAnsi="Arial Narrow" w:cs="Calibri"/>
                <w:bCs/>
                <w:color w:val="000000"/>
                <w:sz w:val="20"/>
                <w:szCs w:val="20"/>
                <w:lang w:val="en-AU" w:eastAsia="en-AU"/>
              </w:rPr>
              <w:t>-0.36</w:t>
            </w:r>
            <w:r w:rsidR="00B82E7A" w:rsidRPr="00DC0807">
              <w:rPr>
                <w:rFonts w:ascii="Arial Narrow" w:hAnsi="Arial Narrow" w:cs="Calibri"/>
                <w:bCs/>
                <w:color w:val="000000"/>
                <w:sz w:val="20"/>
                <w:szCs w:val="20"/>
                <w:lang w:val="en-AU" w:eastAsia="en-AU"/>
              </w:rPr>
              <w:t xml:space="preserve"> </w:t>
            </w:r>
            <w:r w:rsidRPr="00DC0807">
              <w:rPr>
                <w:rFonts w:ascii="Arial Narrow" w:hAnsi="Arial Narrow" w:cs="Calibri"/>
                <w:bCs/>
                <w:color w:val="000000"/>
                <w:sz w:val="20"/>
                <w:szCs w:val="20"/>
                <w:lang w:val="en-AU" w:eastAsia="en-AU"/>
              </w:rPr>
              <w:t>(-0.52, -0.20)</w:t>
            </w:r>
          </w:p>
        </w:tc>
        <w:tc>
          <w:tcPr>
            <w:tcW w:w="938" w:type="pct"/>
            <w:shd w:val="clear" w:color="auto" w:fill="FFFFFF" w:themeFill="background1"/>
            <w:vAlign w:val="center"/>
          </w:tcPr>
          <w:p w:rsidR="006123AC" w:rsidRPr="00DC0807" w:rsidRDefault="006123AC" w:rsidP="006123AC">
            <w:pPr>
              <w:keepNext/>
              <w:keepLines/>
              <w:spacing w:before="0" w:after="0"/>
              <w:jc w:val="center"/>
              <w:rPr>
                <w:rFonts w:ascii="Arial Narrow" w:hAnsi="Arial Narrow"/>
                <w:b w:val="0"/>
                <w:bCs/>
                <w:sz w:val="20"/>
                <w:szCs w:val="20"/>
                <w:lang w:val="en-AU"/>
              </w:rPr>
            </w:pPr>
            <w:r w:rsidRPr="00DC0807">
              <w:rPr>
                <w:rFonts w:ascii="Arial Narrow" w:hAnsi="Arial Narrow" w:cs="Calibri"/>
                <w:bCs/>
                <w:color w:val="000000"/>
                <w:sz w:val="20"/>
                <w:szCs w:val="20"/>
                <w:lang w:val="en-AU" w:eastAsia="en-AU"/>
              </w:rPr>
              <w:t>0.51 (0.38, 0.70)</w:t>
            </w:r>
          </w:p>
        </w:tc>
        <w:tc>
          <w:tcPr>
            <w:tcW w:w="1094" w:type="pct"/>
            <w:shd w:val="clear" w:color="auto" w:fill="FFFFFF" w:themeFill="background1"/>
            <w:vAlign w:val="center"/>
          </w:tcPr>
          <w:p w:rsidR="006123AC" w:rsidRPr="00DC0807" w:rsidRDefault="006123AC" w:rsidP="006123AC">
            <w:pPr>
              <w:keepNext/>
              <w:keepLines/>
              <w:spacing w:before="0" w:after="0"/>
              <w:jc w:val="center"/>
              <w:rPr>
                <w:rFonts w:ascii="Arial Narrow" w:hAnsi="Arial Narrow" w:cs="Calibri"/>
                <w:b w:val="0"/>
                <w:bCs/>
                <w:color w:val="000000"/>
                <w:sz w:val="20"/>
                <w:szCs w:val="20"/>
                <w:lang w:val="en-AU"/>
              </w:rPr>
            </w:pPr>
            <w:r w:rsidRPr="00DC0807">
              <w:rPr>
                <w:rFonts w:ascii="Arial Narrow" w:hAnsi="Arial Narrow" w:cs="Calibri"/>
                <w:bCs/>
                <w:color w:val="000000"/>
                <w:sz w:val="20"/>
                <w:szCs w:val="20"/>
                <w:lang w:val="en-AU" w:eastAsia="en-AU"/>
              </w:rPr>
              <w:t>0.16 (0.03, 0.83)</w:t>
            </w:r>
          </w:p>
        </w:tc>
      </w:tr>
      <w:tr w:rsidR="006123AC"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09" w:type="pct"/>
            <w:gridSpan w:val="4"/>
            <w:shd w:val="clear" w:color="auto" w:fill="FFFFFF" w:themeFill="background1"/>
            <w:vAlign w:val="center"/>
          </w:tcPr>
          <w:p w:rsidR="006123AC" w:rsidRPr="00DC0807" w:rsidRDefault="006123AC" w:rsidP="00774324">
            <w:pPr>
              <w:keepNext/>
              <w:keepLines/>
              <w:spacing w:before="0" w:after="0"/>
              <w:ind w:left="33"/>
              <w:jc w:val="left"/>
              <w:rPr>
                <w:rFonts w:ascii="Arial Narrow" w:hAnsi="Arial Narrow"/>
                <w:sz w:val="20"/>
                <w:szCs w:val="20"/>
                <w:lang w:val="en-AU"/>
              </w:rPr>
            </w:pPr>
            <w:r w:rsidRPr="00DC0807">
              <w:rPr>
                <w:rFonts w:ascii="Arial Narrow" w:hAnsi="Arial Narrow"/>
                <w:sz w:val="20"/>
                <w:szCs w:val="20"/>
                <w:lang w:val="en-AU"/>
              </w:rPr>
              <w:t>Indirect analysis CADMUS vs Paller 2008 (non-response rate</w:t>
            </w:r>
            <w:r w:rsidR="004E295D" w:rsidRPr="00DC0807">
              <w:rPr>
                <w:rFonts w:ascii="Arial Narrow" w:hAnsi="Arial Narrow"/>
                <w:sz w:val="20"/>
                <w:szCs w:val="20"/>
                <w:lang w:val="en-AU"/>
              </w:rPr>
              <w:t>; excludes CADMUS JR</w:t>
            </w:r>
            <w:r w:rsidRPr="00DC0807">
              <w:rPr>
                <w:rFonts w:ascii="Arial Narrow" w:hAnsi="Arial Narrow"/>
                <w:sz w:val="20"/>
                <w:szCs w:val="20"/>
                <w:lang w:val="en-AU"/>
              </w:rPr>
              <w:t xml:space="preserve">) </w:t>
            </w:r>
          </w:p>
        </w:tc>
        <w:tc>
          <w:tcPr>
            <w:tcW w:w="859" w:type="pct"/>
            <w:shd w:val="clear" w:color="auto" w:fill="FFFFFF" w:themeFill="background1"/>
            <w:vAlign w:val="center"/>
          </w:tcPr>
          <w:p w:rsidR="006123AC" w:rsidRPr="00DC0807" w:rsidRDefault="006123AC" w:rsidP="00B82E7A">
            <w:pPr>
              <w:keepNext/>
              <w:keepLines/>
              <w:spacing w:before="0" w:after="0"/>
              <w:ind w:left="-108" w:right="-110"/>
              <w:jc w:val="center"/>
              <w:rPr>
                <w:rFonts w:ascii="Arial Narrow" w:hAnsi="Arial Narrow" w:cs="Calibri"/>
                <w:bCs/>
                <w:color w:val="000000"/>
                <w:sz w:val="20"/>
                <w:szCs w:val="20"/>
                <w:lang w:val="en-AU" w:eastAsia="en-AU"/>
              </w:rPr>
            </w:pPr>
            <w:r w:rsidRPr="00DC0807">
              <w:rPr>
                <w:rFonts w:ascii="Arial Narrow" w:hAnsi="Arial Narrow" w:cs="Calibri"/>
                <w:bCs/>
                <w:color w:val="000000"/>
                <w:sz w:val="20"/>
                <w:szCs w:val="20"/>
                <w:lang w:val="en-AU" w:eastAsia="en-AU"/>
              </w:rPr>
              <w:t>-0.35</w:t>
            </w:r>
            <w:r w:rsidR="00B82E7A" w:rsidRPr="00DC0807">
              <w:rPr>
                <w:rFonts w:ascii="Arial Narrow" w:hAnsi="Arial Narrow" w:cs="Calibri"/>
                <w:bCs/>
                <w:color w:val="000000"/>
                <w:sz w:val="20"/>
                <w:szCs w:val="20"/>
                <w:lang w:val="en-AU" w:eastAsia="en-AU"/>
              </w:rPr>
              <w:t xml:space="preserve"> </w:t>
            </w:r>
            <w:r w:rsidRPr="00DC0807">
              <w:rPr>
                <w:rFonts w:ascii="Arial Narrow" w:hAnsi="Arial Narrow" w:cs="Calibri"/>
                <w:bCs/>
                <w:color w:val="000000"/>
                <w:sz w:val="20"/>
                <w:szCs w:val="20"/>
                <w:lang w:val="en-AU" w:eastAsia="en-AU"/>
              </w:rPr>
              <w:t>(-0.55, -0.15)</w:t>
            </w:r>
          </w:p>
        </w:tc>
        <w:tc>
          <w:tcPr>
            <w:tcW w:w="938" w:type="pct"/>
            <w:shd w:val="clear" w:color="auto" w:fill="FFFFFF" w:themeFill="background1"/>
            <w:vAlign w:val="center"/>
          </w:tcPr>
          <w:p w:rsidR="006123AC" w:rsidRPr="00DC0807" w:rsidRDefault="006123AC" w:rsidP="006123AC">
            <w:pPr>
              <w:keepNext/>
              <w:keepLines/>
              <w:spacing w:before="0" w:after="0"/>
              <w:jc w:val="center"/>
              <w:rPr>
                <w:rFonts w:ascii="Arial Narrow" w:hAnsi="Arial Narrow"/>
                <w:b w:val="0"/>
                <w:bCs/>
                <w:sz w:val="20"/>
                <w:szCs w:val="20"/>
                <w:lang w:val="en-AU"/>
              </w:rPr>
            </w:pPr>
            <w:r w:rsidRPr="00DC0807">
              <w:rPr>
                <w:rFonts w:ascii="Arial Narrow" w:hAnsi="Arial Narrow" w:cs="Calibri"/>
                <w:bCs/>
                <w:color w:val="000000"/>
                <w:sz w:val="20"/>
                <w:szCs w:val="20"/>
                <w:lang w:val="en-AU" w:eastAsia="en-AU"/>
              </w:rPr>
              <w:t>0.53 (0.34, 0.81)</w:t>
            </w:r>
          </w:p>
        </w:tc>
        <w:tc>
          <w:tcPr>
            <w:tcW w:w="1094" w:type="pct"/>
            <w:shd w:val="clear" w:color="auto" w:fill="FFFFFF" w:themeFill="background1"/>
            <w:vAlign w:val="center"/>
          </w:tcPr>
          <w:p w:rsidR="006123AC" w:rsidRPr="00DC0807" w:rsidRDefault="006123AC" w:rsidP="006123AC">
            <w:pPr>
              <w:keepNext/>
              <w:keepLines/>
              <w:spacing w:before="0" w:after="0"/>
              <w:jc w:val="center"/>
              <w:rPr>
                <w:rFonts w:ascii="Arial Narrow" w:hAnsi="Arial Narrow" w:cs="Calibri"/>
                <w:b w:val="0"/>
                <w:bCs/>
                <w:color w:val="000000"/>
                <w:sz w:val="20"/>
                <w:szCs w:val="20"/>
                <w:lang w:val="en-AU"/>
              </w:rPr>
            </w:pPr>
            <w:r w:rsidRPr="00DC0807">
              <w:rPr>
                <w:rFonts w:ascii="Arial Narrow" w:hAnsi="Arial Narrow" w:cs="Calibri"/>
                <w:b w:val="0"/>
                <w:bCs/>
                <w:color w:val="000000"/>
                <w:sz w:val="20"/>
                <w:szCs w:val="20"/>
                <w:lang w:val="en-AU" w:eastAsia="en-AU"/>
              </w:rPr>
              <w:t>0.21 (0.04, 1.20)</w:t>
            </w:r>
          </w:p>
        </w:tc>
      </w:tr>
      <w:tr w:rsidR="00C35317" w:rsidRPr="00DC0807" w:rsidTr="00E27A1F">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C35317" w:rsidRPr="00DC0807" w:rsidRDefault="00C35317" w:rsidP="006123AC">
            <w:pPr>
              <w:keepNext/>
              <w:keepLines/>
              <w:spacing w:before="0" w:after="0"/>
              <w:jc w:val="left"/>
              <w:rPr>
                <w:rFonts w:ascii="Arial Narrow" w:hAnsi="Arial Narrow" w:cs="Calibri"/>
                <w:bCs/>
                <w:color w:val="000000"/>
                <w:sz w:val="20"/>
                <w:szCs w:val="20"/>
                <w:lang w:val="en-AU" w:eastAsia="en-AU"/>
              </w:rPr>
            </w:pPr>
            <w:r w:rsidRPr="00DC0807">
              <w:rPr>
                <w:rFonts w:ascii="Arial Narrow" w:hAnsi="Arial Narrow"/>
                <w:sz w:val="20"/>
                <w:szCs w:val="20"/>
                <w:lang w:val="en-AU"/>
              </w:rPr>
              <w:t>Week 24 or 28</w:t>
            </w:r>
          </w:p>
        </w:tc>
      </w:tr>
      <w:tr w:rsidR="00C35317" w:rsidRPr="00DC0807" w:rsidTr="00E27A1F">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C35317" w:rsidRPr="00DC0807" w:rsidRDefault="00C35317" w:rsidP="00611953">
            <w:pPr>
              <w:keepNext/>
              <w:keepLines/>
              <w:spacing w:before="0" w:after="0"/>
              <w:jc w:val="left"/>
              <w:rPr>
                <w:rFonts w:ascii="Arial Narrow" w:hAnsi="Arial Narrow" w:cs="Calibri"/>
                <w:bCs/>
                <w:color w:val="000000"/>
                <w:sz w:val="20"/>
                <w:szCs w:val="20"/>
                <w:lang w:val="en-AU" w:eastAsia="en-AU"/>
              </w:rPr>
            </w:pPr>
            <w:r w:rsidRPr="00DC0807">
              <w:rPr>
                <w:rFonts w:ascii="Arial Narrow" w:hAnsi="Arial Narrow"/>
                <w:b w:val="0"/>
                <w:sz w:val="20"/>
                <w:szCs w:val="20"/>
                <w:lang w:val="en-AU"/>
              </w:rPr>
              <w:t>Ustekinumab</w:t>
            </w:r>
            <w:r w:rsidR="00611953" w:rsidRPr="00DC0807">
              <w:rPr>
                <w:rFonts w:ascii="Arial Narrow" w:hAnsi="Arial Narrow"/>
                <w:b w:val="0"/>
                <w:sz w:val="20"/>
                <w:szCs w:val="20"/>
                <w:vertAlign w:val="superscript"/>
                <w:lang w:val="en-AU"/>
              </w:rPr>
              <w:t>a</w:t>
            </w:r>
            <w:r w:rsidRPr="00DC0807">
              <w:rPr>
                <w:rFonts w:ascii="Arial Narrow" w:hAnsi="Arial Narrow"/>
                <w:b w:val="0"/>
                <w:sz w:val="20"/>
                <w:szCs w:val="20"/>
                <w:lang w:val="en-AU"/>
              </w:rPr>
              <w:t xml:space="preserve"> versus placebo</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20" w:type="pct"/>
            <w:shd w:val="clear" w:color="auto" w:fill="FFFFFF" w:themeFill="background1"/>
            <w:vAlign w:val="center"/>
          </w:tcPr>
          <w:p w:rsidR="00C35317" w:rsidRPr="00DC0807" w:rsidRDefault="00C35317" w:rsidP="006123AC">
            <w:pPr>
              <w:keepNext/>
              <w:keepLines/>
              <w:spacing w:before="0" w:after="0"/>
              <w:rPr>
                <w:rFonts w:ascii="Arial Narrow" w:hAnsi="Arial Narrow"/>
                <w:b w:val="0"/>
                <w:bCs/>
                <w:sz w:val="20"/>
                <w:szCs w:val="20"/>
                <w:lang w:val="en-AU"/>
              </w:rPr>
            </w:pPr>
            <w:r w:rsidRPr="00DC0807">
              <w:rPr>
                <w:rFonts w:ascii="Arial Narrow" w:hAnsi="Arial Narrow"/>
                <w:b w:val="0"/>
                <w:bCs/>
                <w:sz w:val="20"/>
                <w:szCs w:val="20"/>
                <w:lang w:val="en-AU"/>
              </w:rPr>
              <w:t>CADMUS</w:t>
            </w:r>
          </w:p>
        </w:tc>
        <w:tc>
          <w:tcPr>
            <w:tcW w:w="255"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24</w:t>
            </w:r>
          </w:p>
        </w:tc>
        <w:tc>
          <w:tcPr>
            <w:tcW w:w="608"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eastAsia="Times New Roman" w:hAnsi="Arial Narrow" w:cs="Calibri"/>
                <w:b w:val="0"/>
                <w:bCs/>
                <w:color w:val="000000"/>
                <w:sz w:val="20"/>
                <w:szCs w:val="20"/>
                <w:lang w:val="en-AU" w:eastAsia="en-AU"/>
              </w:rPr>
              <w:t>24/36 (66.7)</w:t>
            </w:r>
          </w:p>
        </w:tc>
        <w:tc>
          <w:tcPr>
            <w:tcW w:w="626" w:type="pct"/>
            <w:shd w:val="clear" w:color="auto" w:fill="FFFFFF" w:themeFill="background1"/>
            <w:vAlign w:val="center"/>
          </w:tcPr>
          <w:p w:rsidR="00C35317" w:rsidRPr="00DC0807" w:rsidRDefault="00C35317" w:rsidP="00611953">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2/37 (5.4)</w:t>
            </w:r>
            <w:r w:rsidR="00611953" w:rsidRPr="00DC0807">
              <w:rPr>
                <w:rFonts w:ascii="Arial Narrow" w:hAnsi="Arial Narrow"/>
                <w:b w:val="0"/>
                <w:sz w:val="20"/>
                <w:szCs w:val="20"/>
                <w:vertAlign w:val="superscript"/>
                <w:lang w:val="en-AU"/>
              </w:rPr>
              <w:t>b</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0.61 (0.44, 0.78)</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12.33 (3.14, 48.42)</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35 (7.18, 170.69)</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20" w:type="pct"/>
            <w:shd w:val="clear" w:color="auto" w:fill="FFFFFF" w:themeFill="background1"/>
            <w:vAlign w:val="center"/>
          </w:tcPr>
          <w:p w:rsidR="00C35317" w:rsidRPr="00DC0807" w:rsidRDefault="00C35317" w:rsidP="00B82E7A">
            <w:pPr>
              <w:keepNext/>
              <w:keepLines/>
              <w:spacing w:before="0" w:after="0"/>
              <w:ind w:right="-113"/>
              <w:rPr>
                <w:rFonts w:ascii="Arial Narrow" w:hAnsi="Arial Narrow"/>
                <w:b w:val="0"/>
                <w:bCs/>
                <w:sz w:val="20"/>
                <w:szCs w:val="20"/>
                <w:lang w:val="en-AU"/>
              </w:rPr>
            </w:pPr>
            <w:r w:rsidRPr="00DC0807">
              <w:rPr>
                <w:rFonts w:ascii="Arial Narrow" w:hAnsi="Arial Narrow"/>
                <w:b w:val="0"/>
                <w:bCs/>
                <w:sz w:val="20"/>
                <w:szCs w:val="20"/>
                <w:lang w:val="en-AU"/>
              </w:rPr>
              <w:t>CADMUS JR</w:t>
            </w:r>
          </w:p>
        </w:tc>
        <w:tc>
          <w:tcPr>
            <w:tcW w:w="255"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28</w:t>
            </w:r>
          </w:p>
        </w:tc>
        <w:tc>
          <w:tcPr>
            <w:tcW w:w="608" w:type="pct"/>
            <w:shd w:val="clear" w:color="auto" w:fill="FFFFFF" w:themeFill="background1"/>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34/44 (77.3)</w:t>
            </w:r>
          </w:p>
        </w:tc>
        <w:tc>
          <w:tcPr>
            <w:tcW w:w="626"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eastAsia="Times New Roman" w:hAnsi="Arial Narrow" w:cs="Calibri"/>
                <w:b w:val="0"/>
                <w:bCs/>
                <w:color w:val="000000"/>
                <w:sz w:val="20"/>
                <w:szCs w:val="20"/>
                <w:lang w:val="en-AU" w:eastAsia="en-AU"/>
              </w:rPr>
              <w:t>N/A</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 w:val="0"/>
                <w:bCs/>
                <w:color w:val="000000"/>
                <w:sz w:val="20"/>
                <w:szCs w:val="20"/>
                <w:lang w:val="en-AU" w:eastAsia="en-AU"/>
              </w:rPr>
            </w:pPr>
            <w:r w:rsidRPr="00DC0807">
              <w:rPr>
                <w:rFonts w:ascii="Arial Narrow" w:eastAsia="Times New Roman" w:hAnsi="Arial Narrow" w:cs="Calibri"/>
                <w:b w:val="0"/>
                <w:bCs/>
                <w:color w:val="000000"/>
                <w:sz w:val="20"/>
                <w:szCs w:val="20"/>
                <w:lang w:val="en-AU" w:eastAsia="en-AU"/>
              </w:rPr>
              <w:t>N/A</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 w:val="0"/>
                <w:bCs/>
                <w:color w:val="000000"/>
                <w:sz w:val="20"/>
                <w:szCs w:val="20"/>
                <w:lang w:val="en-AU" w:eastAsia="en-AU"/>
              </w:rPr>
            </w:pPr>
            <w:r w:rsidRPr="00DC0807">
              <w:rPr>
                <w:rFonts w:ascii="Arial Narrow" w:eastAsia="Times New Roman" w:hAnsi="Arial Narrow" w:cs="Calibri"/>
                <w:b w:val="0"/>
                <w:bCs/>
                <w:color w:val="000000"/>
                <w:sz w:val="20"/>
                <w:szCs w:val="20"/>
                <w:lang w:val="en-AU" w:eastAsia="en-AU"/>
              </w:rPr>
              <w:t>N/A</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 w:val="0"/>
                <w:bCs/>
                <w:color w:val="000000"/>
                <w:sz w:val="20"/>
                <w:szCs w:val="20"/>
                <w:lang w:val="en-AU" w:eastAsia="en-AU"/>
              </w:rPr>
            </w:pPr>
            <w:r w:rsidRPr="00DC0807">
              <w:rPr>
                <w:rFonts w:ascii="Arial Narrow" w:eastAsia="Times New Roman" w:hAnsi="Arial Narrow" w:cs="Calibri"/>
                <w:b w:val="0"/>
                <w:bCs/>
                <w:color w:val="000000"/>
                <w:sz w:val="20"/>
                <w:szCs w:val="20"/>
                <w:lang w:val="en-AU" w:eastAsia="en-AU"/>
              </w:rPr>
              <w:t>N/A</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875" w:type="pct"/>
            <w:gridSpan w:val="2"/>
            <w:shd w:val="clear" w:color="auto" w:fill="FFFFFF" w:themeFill="background1"/>
            <w:vAlign w:val="center"/>
          </w:tcPr>
          <w:p w:rsidR="00C35317" w:rsidRPr="00DC0807" w:rsidRDefault="00C35317" w:rsidP="006123AC">
            <w:pPr>
              <w:keepNext/>
              <w:keepLines/>
              <w:spacing w:before="0" w:after="0"/>
              <w:rPr>
                <w:rFonts w:ascii="Arial Narrow" w:hAnsi="Arial Narrow"/>
                <w:b w:val="0"/>
                <w:bCs/>
                <w:sz w:val="20"/>
                <w:szCs w:val="20"/>
                <w:lang w:val="en-AU"/>
              </w:rPr>
            </w:pPr>
            <w:r w:rsidRPr="00DC0807">
              <w:rPr>
                <w:rFonts w:ascii="Arial Narrow" w:hAnsi="Arial Narrow"/>
                <w:b w:val="0"/>
                <w:bCs/>
                <w:sz w:val="20"/>
                <w:szCs w:val="20"/>
                <w:lang w:val="en-AU"/>
              </w:rPr>
              <w:t xml:space="preserve">Pooled </w:t>
            </w:r>
          </w:p>
        </w:tc>
        <w:tc>
          <w:tcPr>
            <w:tcW w:w="608" w:type="pct"/>
            <w:shd w:val="clear" w:color="auto" w:fill="FFFFFF" w:themeFill="background1"/>
          </w:tcPr>
          <w:p w:rsidR="00C35317" w:rsidRPr="00DC0807" w:rsidRDefault="00C35317" w:rsidP="006123AC">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58/80 (72.5)</w:t>
            </w:r>
          </w:p>
        </w:tc>
        <w:tc>
          <w:tcPr>
            <w:tcW w:w="626" w:type="pct"/>
            <w:shd w:val="clear" w:color="auto" w:fill="FFFFFF" w:themeFill="background1"/>
            <w:vAlign w:val="center"/>
          </w:tcPr>
          <w:p w:rsidR="00C35317" w:rsidRPr="00DC0807" w:rsidRDefault="00C35317" w:rsidP="00611953">
            <w:pPr>
              <w:keepNext/>
              <w:keepLines/>
              <w:spacing w:before="0" w:after="0"/>
              <w:jc w:val="center"/>
              <w:rPr>
                <w:rFonts w:ascii="Arial Narrow" w:hAnsi="Arial Narrow"/>
                <w:b w:val="0"/>
                <w:bCs/>
                <w:sz w:val="20"/>
                <w:szCs w:val="20"/>
                <w:lang w:val="en-AU"/>
              </w:rPr>
            </w:pPr>
            <w:r w:rsidRPr="00DC0807">
              <w:rPr>
                <w:rFonts w:ascii="Arial Narrow" w:hAnsi="Arial Narrow"/>
                <w:b w:val="0"/>
                <w:bCs/>
                <w:sz w:val="20"/>
                <w:szCs w:val="20"/>
                <w:lang w:val="en-AU"/>
              </w:rPr>
              <w:t>2/37 (5.4)</w:t>
            </w:r>
            <w:r w:rsidR="00611953" w:rsidRPr="00DC0807">
              <w:rPr>
                <w:rFonts w:ascii="Arial Narrow" w:hAnsi="Arial Narrow"/>
                <w:b w:val="0"/>
                <w:sz w:val="20"/>
                <w:szCs w:val="20"/>
                <w:vertAlign w:val="superscript"/>
                <w:lang w:val="en-AU"/>
              </w:rPr>
              <w:t>b</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hAnsi="Arial Narrow"/>
                <w:bCs/>
                <w:sz w:val="20"/>
                <w:szCs w:val="20"/>
                <w:lang w:val="en-AU"/>
              </w:rPr>
              <w:t>0.67 (0.55, 0.79)</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hAnsi="Arial Narrow"/>
                <w:bCs/>
                <w:sz w:val="20"/>
                <w:szCs w:val="20"/>
                <w:lang w:val="en-AU"/>
              </w:rPr>
              <w:t>13.41 (3.46, 51.98)</w:t>
            </w:r>
          </w:p>
        </w:tc>
        <w:tc>
          <w:tcPr>
            <w:tcW w:w="1094" w:type="pct"/>
            <w:shd w:val="clear" w:color="auto" w:fill="FFFFFF" w:themeFill="background1"/>
            <w:vAlign w:val="center"/>
          </w:tcPr>
          <w:p w:rsidR="00C35317" w:rsidRPr="00DC0807" w:rsidRDefault="00C35317" w:rsidP="00B82E7A">
            <w:pPr>
              <w:keepNext/>
              <w:keepLines/>
              <w:spacing w:before="0" w:after="0"/>
              <w:jc w:val="center"/>
              <w:rPr>
                <w:rFonts w:ascii="Arial Narrow" w:hAnsi="Arial Narrow" w:cs="Calibri"/>
                <w:bCs/>
                <w:color w:val="000000"/>
                <w:sz w:val="20"/>
                <w:szCs w:val="20"/>
                <w:lang w:val="en-AU"/>
              </w:rPr>
            </w:pPr>
            <w:r w:rsidRPr="00DC0807">
              <w:rPr>
                <w:rFonts w:ascii="Arial Narrow" w:hAnsi="Arial Narrow" w:cs="Calibri"/>
                <w:bCs/>
                <w:color w:val="000000"/>
                <w:sz w:val="20"/>
                <w:szCs w:val="20"/>
                <w:lang w:val="en-AU"/>
              </w:rPr>
              <w:t>46.14 (10.22, 208.24)</w:t>
            </w:r>
          </w:p>
        </w:tc>
      </w:tr>
      <w:tr w:rsidR="00C35317" w:rsidRPr="00DC0807" w:rsidTr="00E27A1F">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5000" w:type="pct"/>
            <w:gridSpan w:val="7"/>
            <w:shd w:val="clear" w:color="auto" w:fill="FFFFFF" w:themeFill="background1"/>
            <w:vAlign w:val="center"/>
          </w:tcPr>
          <w:p w:rsidR="00C35317" w:rsidRPr="00DC0807" w:rsidRDefault="00C35317" w:rsidP="006123AC">
            <w:pPr>
              <w:keepNext/>
              <w:keepLines/>
              <w:spacing w:before="0" w:after="0"/>
              <w:rPr>
                <w:rFonts w:ascii="Arial Narrow" w:eastAsia="Times New Roman"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Etanercept versus placebo</w:t>
            </w:r>
          </w:p>
        </w:tc>
      </w:tr>
      <w:tr w:rsidR="00B82E7A"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20" w:type="pct"/>
            <w:shd w:val="clear" w:color="auto" w:fill="FFFFFF" w:themeFill="background1"/>
            <w:vAlign w:val="center"/>
          </w:tcPr>
          <w:p w:rsidR="00C35317" w:rsidRPr="00DC0807" w:rsidRDefault="00C35317" w:rsidP="006123AC">
            <w:pPr>
              <w:keepNext/>
              <w:keepLines/>
              <w:spacing w:before="0" w:after="0"/>
              <w:rPr>
                <w:rFonts w:ascii="Arial Narrow" w:hAnsi="Arial Narrow"/>
                <w:b w:val="0"/>
                <w:sz w:val="20"/>
                <w:szCs w:val="20"/>
                <w:lang w:val="en-AU"/>
              </w:rPr>
            </w:pPr>
            <w:r w:rsidRPr="00DC0807">
              <w:rPr>
                <w:rFonts w:ascii="Arial Narrow" w:hAnsi="Arial Narrow"/>
                <w:b w:val="0"/>
                <w:sz w:val="20"/>
                <w:szCs w:val="20"/>
                <w:lang w:val="en-AU"/>
              </w:rPr>
              <w:t>Paller 2008</w:t>
            </w:r>
          </w:p>
        </w:tc>
        <w:tc>
          <w:tcPr>
            <w:tcW w:w="255"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sz w:val="20"/>
                <w:szCs w:val="20"/>
                <w:lang w:val="en-AU"/>
              </w:rPr>
            </w:pPr>
            <w:r w:rsidRPr="00DC0807">
              <w:rPr>
                <w:rFonts w:ascii="Arial Narrow" w:hAnsi="Arial Narrow"/>
                <w:b w:val="0"/>
                <w:sz w:val="20"/>
                <w:szCs w:val="20"/>
                <w:lang w:val="en-AU"/>
              </w:rPr>
              <w:t>12</w:t>
            </w:r>
          </w:p>
        </w:tc>
        <w:tc>
          <w:tcPr>
            <w:tcW w:w="608" w:type="pct"/>
            <w:shd w:val="clear" w:color="auto" w:fill="FFFFFF" w:themeFill="background1"/>
            <w:vAlign w:val="center"/>
          </w:tcPr>
          <w:p w:rsidR="00C35317" w:rsidRPr="00DC0807" w:rsidRDefault="00B82E7A" w:rsidP="00B82E7A">
            <w:pPr>
              <w:keepNext/>
              <w:keepLines/>
              <w:spacing w:before="0" w:after="0"/>
              <w:ind w:left="-134" w:right="-106" w:firstLine="134"/>
              <w:jc w:val="center"/>
              <w:rPr>
                <w:rFonts w:ascii="Arial Narrow" w:hAnsi="Arial Narrow"/>
                <w:b w:val="0"/>
                <w:sz w:val="20"/>
                <w:szCs w:val="20"/>
                <w:lang w:val="en-AU"/>
              </w:rPr>
            </w:pPr>
            <w:r w:rsidRPr="00DC0807">
              <w:rPr>
                <w:rFonts w:ascii="Arial Narrow" w:hAnsi="Arial Narrow"/>
                <w:b w:val="0"/>
                <w:bCs/>
                <w:sz w:val="20"/>
                <w:szCs w:val="20"/>
                <w:lang w:val="en-AU"/>
              </w:rPr>
              <w:t xml:space="preserve">29/106 </w:t>
            </w:r>
            <w:r w:rsidR="00C35317" w:rsidRPr="00DC0807">
              <w:rPr>
                <w:rFonts w:ascii="Arial Narrow" w:hAnsi="Arial Narrow"/>
                <w:b w:val="0"/>
                <w:bCs/>
                <w:sz w:val="20"/>
                <w:szCs w:val="20"/>
                <w:lang w:val="en-AU"/>
              </w:rPr>
              <w:t>(27.4)</w:t>
            </w:r>
          </w:p>
        </w:tc>
        <w:tc>
          <w:tcPr>
            <w:tcW w:w="626"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b w:val="0"/>
                <w:sz w:val="20"/>
                <w:szCs w:val="20"/>
                <w:lang w:val="en-AU"/>
              </w:rPr>
            </w:pPr>
            <w:r w:rsidRPr="00DC0807">
              <w:rPr>
                <w:rFonts w:ascii="Arial Narrow" w:hAnsi="Arial Narrow"/>
                <w:b w:val="0"/>
                <w:bCs/>
                <w:sz w:val="20"/>
                <w:szCs w:val="20"/>
                <w:lang w:val="en-AU"/>
              </w:rPr>
              <w:t>7/105(6.7)</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0.21 (0.11, 0.3)</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4.1 (1.88, 8.95)</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Cs/>
                <w:color w:val="000000"/>
                <w:sz w:val="20"/>
                <w:szCs w:val="20"/>
                <w:lang w:val="en-AU" w:eastAsia="en-AU"/>
              </w:rPr>
            </w:pPr>
            <w:r w:rsidRPr="00DC0807">
              <w:rPr>
                <w:rFonts w:ascii="Arial Narrow" w:eastAsia="Times New Roman" w:hAnsi="Arial Narrow" w:cs="Calibri"/>
                <w:bCs/>
                <w:color w:val="000000"/>
                <w:sz w:val="20"/>
                <w:szCs w:val="20"/>
                <w:lang w:val="en-AU" w:eastAsia="en-AU"/>
              </w:rPr>
              <w:t>5.27 (2.19, 12.68)</w:t>
            </w:r>
          </w:p>
        </w:tc>
      </w:tr>
      <w:tr w:rsidR="00C35317"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09" w:type="pct"/>
            <w:gridSpan w:val="4"/>
            <w:shd w:val="clear" w:color="auto" w:fill="FFFFFF" w:themeFill="background1"/>
            <w:vAlign w:val="center"/>
          </w:tcPr>
          <w:p w:rsidR="008B234A" w:rsidRPr="00DC0807" w:rsidRDefault="00C35317" w:rsidP="00B82E7A">
            <w:pPr>
              <w:keepNext/>
              <w:keepLines/>
              <w:spacing w:before="0" w:after="0"/>
              <w:ind w:left="33"/>
              <w:rPr>
                <w:rFonts w:ascii="Arial Narrow" w:hAnsi="Arial Narrow"/>
                <w:sz w:val="20"/>
                <w:szCs w:val="20"/>
                <w:lang w:val="en-AU"/>
              </w:rPr>
            </w:pPr>
            <w:r w:rsidRPr="00DC0807">
              <w:rPr>
                <w:rFonts w:ascii="Arial Narrow" w:hAnsi="Arial Narrow"/>
                <w:sz w:val="20"/>
                <w:szCs w:val="20"/>
                <w:lang w:val="en-AU"/>
              </w:rPr>
              <w:t>Indirect analysis UST vs ETN</w:t>
            </w:r>
            <w:r w:rsidR="008B234A" w:rsidRPr="00DC0807">
              <w:rPr>
                <w:rFonts w:ascii="Arial Narrow" w:hAnsi="Arial Narrow"/>
                <w:sz w:val="20"/>
                <w:szCs w:val="20"/>
                <w:lang w:val="en-AU"/>
              </w:rPr>
              <w:t xml:space="preserve"> </w:t>
            </w:r>
          </w:p>
          <w:p w:rsidR="00C35317" w:rsidRPr="00DC0807" w:rsidRDefault="008B234A" w:rsidP="00B82E7A">
            <w:pPr>
              <w:keepNext/>
              <w:keepLines/>
              <w:spacing w:before="0" w:after="0"/>
              <w:ind w:left="33"/>
              <w:rPr>
                <w:rFonts w:ascii="Arial Narrow" w:hAnsi="Arial Narrow"/>
                <w:sz w:val="20"/>
                <w:szCs w:val="20"/>
                <w:lang w:val="en-AU"/>
              </w:rPr>
            </w:pPr>
            <w:r w:rsidRPr="00DC0807">
              <w:rPr>
                <w:rFonts w:ascii="Arial Narrow" w:hAnsi="Arial Narrow"/>
                <w:sz w:val="20"/>
                <w:szCs w:val="20"/>
                <w:lang w:val="en-AU"/>
              </w:rPr>
              <w:t>(response rate)</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0.46 (0.31, 0.62)</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b w:val="0"/>
                <w:bCs/>
                <w:color w:val="000000"/>
                <w:sz w:val="20"/>
                <w:szCs w:val="20"/>
                <w:lang w:val="en-AU" w:eastAsia="en-AU"/>
              </w:rPr>
            </w:pPr>
            <w:r w:rsidRPr="00DC0807">
              <w:rPr>
                <w:rFonts w:ascii="Arial Narrow" w:eastAsia="Times New Roman" w:hAnsi="Arial Narrow" w:cs="Calibri"/>
                <w:b w:val="0"/>
                <w:bCs/>
                <w:color w:val="000000"/>
                <w:sz w:val="20"/>
                <w:szCs w:val="20"/>
                <w:lang w:val="en-AU" w:eastAsia="en-AU"/>
              </w:rPr>
              <w:t>3.27 (0.68, 15.6)</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eastAsia="Times New Roman"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8.75 (1.53, 50.05)</w:t>
            </w:r>
          </w:p>
        </w:tc>
      </w:tr>
      <w:tr w:rsidR="00C35317"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09" w:type="pct"/>
            <w:gridSpan w:val="4"/>
            <w:shd w:val="clear" w:color="auto" w:fill="FFFFFF" w:themeFill="background1"/>
            <w:vAlign w:val="center"/>
          </w:tcPr>
          <w:p w:rsidR="00C35317" w:rsidRPr="00DC0807" w:rsidRDefault="00C35317" w:rsidP="00B82E7A">
            <w:pPr>
              <w:keepNext/>
              <w:keepLines/>
              <w:spacing w:before="0" w:after="0"/>
              <w:ind w:left="33"/>
              <w:rPr>
                <w:rFonts w:ascii="Arial Narrow" w:hAnsi="Arial Narrow"/>
                <w:sz w:val="20"/>
                <w:szCs w:val="20"/>
                <w:lang w:val="en-AU"/>
              </w:rPr>
            </w:pPr>
            <w:r w:rsidRPr="00DC0807">
              <w:rPr>
                <w:rFonts w:ascii="Arial Narrow" w:hAnsi="Arial Narrow"/>
                <w:sz w:val="20"/>
                <w:szCs w:val="20"/>
                <w:lang w:val="en-AU"/>
              </w:rPr>
              <w:t>Indirect analysis CADMUS vs Paller 2008</w:t>
            </w:r>
            <w:r w:rsidR="008B234A" w:rsidRPr="00DC0807">
              <w:rPr>
                <w:rFonts w:ascii="Arial Narrow" w:hAnsi="Arial Narrow"/>
                <w:sz w:val="20"/>
                <w:szCs w:val="20"/>
                <w:lang w:val="en-AU"/>
              </w:rPr>
              <w:t xml:space="preserve"> (response rate</w:t>
            </w:r>
            <w:r w:rsidR="004E295D" w:rsidRPr="00DC0807">
              <w:rPr>
                <w:rFonts w:ascii="Arial Narrow" w:hAnsi="Arial Narrow"/>
                <w:sz w:val="20"/>
                <w:szCs w:val="20"/>
                <w:lang w:val="en-AU"/>
              </w:rPr>
              <w:t>; excludes CADMUS JR</w:t>
            </w:r>
            <w:r w:rsidR="008B234A" w:rsidRPr="00DC0807">
              <w:rPr>
                <w:rFonts w:ascii="Arial Narrow" w:hAnsi="Arial Narrow"/>
                <w:sz w:val="20"/>
                <w:szCs w:val="20"/>
                <w:lang w:val="en-AU"/>
              </w:rPr>
              <w:t>)</w:t>
            </w:r>
          </w:p>
        </w:tc>
        <w:tc>
          <w:tcPr>
            <w:tcW w:w="859"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color w:val="000000"/>
                <w:sz w:val="20"/>
                <w:szCs w:val="20"/>
                <w:lang w:val="en-AU" w:eastAsia="en-AU"/>
              </w:rPr>
            </w:pPr>
            <w:r w:rsidRPr="00DC0807">
              <w:rPr>
                <w:rFonts w:ascii="Arial Narrow" w:hAnsi="Arial Narrow" w:cs="Calibri"/>
                <w:color w:val="000000"/>
                <w:sz w:val="20"/>
                <w:szCs w:val="20"/>
                <w:lang w:val="en-AU" w:eastAsia="en-AU"/>
              </w:rPr>
              <w:t>0.40 (0.21, 0.59)</w:t>
            </w:r>
          </w:p>
        </w:tc>
        <w:tc>
          <w:tcPr>
            <w:tcW w:w="938"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cs="Calibri"/>
                <w:b w:val="0"/>
                <w:bCs/>
                <w:color w:val="000000"/>
                <w:sz w:val="20"/>
                <w:szCs w:val="20"/>
                <w:lang w:val="en-AU" w:eastAsia="en-AU"/>
              </w:rPr>
              <w:t>3.01 (0.62, 14.5)</w:t>
            </w:r>
          </w:p>
        </w:tc>
        <w:tc>
          <w:tcPr>
            <w:tcW w:w="1094" w:type="pct"/>
            <w:shd w:val="clear" w:color="auto" w:fill="FFFFFF" w:themeFill="background1"/>
            <w:vAlign w:val="center"/>
          </w:tcPr>
          <w:p w:rsidR="00C35317" w:rsidRPr="00DC0807" w:rsidRDefault="00C35317" w:rsidP="006123AC">
            <w:pPr>
              <w:keepNext/>
              <w:keepLines/>
              <w:spacing w:before="0" w:after="0"/>
              <w:jc w:val="center"/>
              <w:rPr>
                <w:rFonts w:ascii="Arial Narrow" w:hAnsi="Arial Narrow" w:cs="Calibri"/>
                <w:color w:val="000000"/>
                <w:sz w:val="20"/>
                <w:szCs w:val="20"/>
                <w:lang w:val="en-AU" w:eastAsia="en-AU"/>
              </w:rPr>
            </w:pPr>
            <w:r w:rsidRPr="00DC0807">
              <w:rPr>
                <w:rFonts w:ascii="Arial Narrow" w:hAnsi="Arial Narrow" w:cs="Calibri"/>
                <w:color w:val="000000"/>
                <w:sz w:val="20"/>
                <w:szCs w:val="20"/>
                <w:lang w:val="en-AU" w:eastAsia="en-AU"/>
              </w:rPr>
              <w:t>6.64 (1.09, 40.64)</w:t>
            </w:r>
          </w:p>
        </w:tc>
      </w:tr>
      <w:tr w:rsidR="006123AC"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09" w:type="pct"/>
            <w:gridSpan w:val="4"/>
            <w:shd w:val="clear" w:color="auto" w:fill="FFFFFF" w:themeFill="background1"/>
            <w:vAlign w:val="center"/>
          </w:tcPr>
          <w:p w:rsidR="00B720BE" w:rsidRPr="00DC0807" w:rsidRDefault="006123AC" w:rsidP="00B82E7A">
            <w:pPr>
              <w:keepNext/>
              <w:keepLines/>
              <w:spacing w:before="0" w:after="0"/>
              <w:ind w:left="33"/>
              <w:rPr>
                <w:rFonts w:ascii="Arial Narrow" w:hAnsi="Arial Narrow"/>
                <w:sz w:val="20"/>
                <w:szCs w:val="20"/>
                <w:lang w:val="en-AU"/>
              </w:rPr>
            </w:pPr>
            <w:r w:rsidRPr="00DC0807">
              <w:rPr>
                <w:rFonts w:ascii="Arial Narrow" w:hAnsi="Arial Narrow"/>
                <w:sz w:val="20"/>
                <w:szCs w:val="20"/>
                <w:lang w:val="en-AU"/>
              </w:rPr>
              <w:t xml:space="preserve">Indirect analysis UST vs ETN </w:t>
            </w:r>
          </w:p>
          <w:p w:rsidR="006123AC" w:rsidRPr="00DC0807" w:rsidRDefault="006123AC" w:rsidP="00B82E7A">
            <w:pPr>
              <w:keepNext/>
              <w:keepLines/>
              <w:spacing w:before="0" w:after="0"/>
              <w:ind w:left="33"/>
              <w:rPr>
                <w:rFonts w:ascii="Arial Narrow" w:hAnsi="Arial Narrow"/>
                <w:sz w:val="20"/>
                <w:szCs w:val="20"/>
                <w:lang w:val="en-AU"/>
              </w:rPr>
            </w:pPr>
            <w:r w:rsidRPr="00DC0807">
              <w:rPr>
                <w:rFonts w:ascii="Arial Narrow" w:hAnsi="Arial Narrow"/>
                <w:sz w:val="20"/>
                <w:szCs w:val="20"/>
                <w:lang w:val="en-AU"/>
              </w:rPr>
              <w:t xml:space="preserve">(non-response rate) </w:t>
            </w:r>
            <w:r w:rsidR="00611953" w:rsidRPr="00DC0807">
              <w:rPr>
                <w:rFonts w:ascii="Arial Narrow" w:hAnsi="Arial Narrow"/>
                <w:sz w:val="20"/>
                <w:szCs w:val="20"/>
                <w:vertAlign w:val="superscript"/>
                <w:lang w:val="en-AU"/>
              </w:rPr>
              <w:t>c</w:t>
            </w:r>
          </w:p>
        </w:tc>
        <w:tc>
          <w:tcPr>
            <w:tcW w:w="859" w:type="pct"/>
            <w:shd w:val="clear" w:color="auto" w:fill="FFFFFF" w:themeFill="background1"/>
            <w:vAlign w:val="center"/>
          </w:tcPr>
          <w:p w:rsidR="006123AC" w:rsidRPr="00DC0807" w:rsidRDefault="006123AC" w:rsidP="00B82E7A">
            <w:pPr>
              <w:keepNext/>
              <w:keepLines/>
              <w:spacing w:before="0" w:after="0"/>
              <w:ind w:left="-108" w:right="-110"/>
              <w:jc w:val="center"/>
              <w:rPr>
                <w:rFonts w:ascii="Arial Narrow" w:eastAsia="Times New Roman"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-0.46</w:t>
            </w:r>
            <w:r w:rsidR="00B82E7A" w:rsidRPr="00DC0807">
              <w:rPr>
                <w:rFonts w:ascii="Arial Narrow" w:eastAsia="Times New Roman" w:hAnsi="Arial Narrow" w:cs="Calibri"/>
                <w:color w:val="000000"/>
                <w:sz w:val="20"/>
                <w:szCs w:val="20"/>
                <w:lang w:val="en-AU" w:eastAsia="en-AU"/>
              </w:rPr>
              <w:t xml:space="preserve"> </w:t>
            </w:r>
            <w:r w:rsidRPr="00DC0807">
              <w:rPr>
                <w:rFonts w:ascii="Arial Narrow" w:eastAsia="Times New Roman" w:hAnsi="Arial Narrow" w:cs="Calibri"/>
                <w:color w:val="000000"/>
                <w:sz w:val="20"/>
                <w:szCs w:val="20"/>
                <w:lang w:val="en-AU" w:eastAsia="en-AU"/>
              </w:rPr>
              <w:t>(-0.62, -0.30)</w:t>
            </w:r>
          </w:p>
        </w:tc>
        <w:tc>
          <w:tcPr>
            <w:tcW w:w="938" w:type="pct"/>
            <w:shd w:val="clear" w:color="auto" w:fill="FFFFFF" w:themeFill="background1"/>
            <w:vAlign w:val="center"/>
          </w:tcPr>
          <w:p w:rsidR="006123AC" w:rsidRPr="00DC0807" w:rsidRDefault="006123AC" w:rsidP="006123AC">
            <w:pPr>
              <w:keepNext/>
              <w:keepLines/>
              <w:spacing w:before="0" w:after="0"/>
              <w:jc w:val="center"/>
              <w:rPr>
                <w:rFonts w:ascii="Arial Narrow" w:hAnsi="Arial Narrow" w:cs="Calibri"/>
                <w:b w:val="0"/>
                <w:bCs/>
                <w:color w:val="000000"/>
                <w:sz w:val="20"/>
                <w:szCs w:val="20"/>
                <w:lang w:val="en-AU" w:eastAsia="en-AU"/>
              </w:rPr>
            </w:pPr>
            <w:r w:rsidRPr="00DC0807">
              <w:rPr>
                <w:rFonts w:ascii="Arial Narrow" w:eastAsia="Times New Roman" w:hAnsi="Arial Narrow" w:cs="Calibri"/>
                <w:color w:val="000000"/>
                <w:sz w:val="20"/>
                <w:szCs w:val="20"/>
                <w:lang w:val="en-AU" w:eastAsia="en-AU"/>
              </w:rPr>
              <w:t>0.37 (0.25, 0.55)</w:t>
            </w:r>
          </w:p>
        </w:tc>
        <w:tc>
          <w:tcPr>
            <w:tcW w:w="1094" w:type="pct"/>
            <w:shd w:val="clear" w:color="auto" w:fill="FFFFFF" w:themeFill="background1"/>
            <w:vAlign w:val="center"/>
          </w:tcPr>
          <w:p w:rsidR="006123AC" w:rsidRPr="00DC0807" w:rsidRDefault="006123AC" w:rsidP="006123AC">
            <w:pPr>
              <w:keepNext/>
              <w:keepLines/>
              <w:spacing w:before="0" w:after="0"/>
              <w:jc w:val="center"/>
              <w:rPr>
                <w:rFonts w:ascii="Arial Narrow" w:hAnsi="Arial Narrow" w:cs="Calibri"/>
                <w:color w:val="000000"/>
                <w:sz w:val="20"/>
                <w:szCs w:val="20"/>
                <w:lang w:val="en-AU" w:eastAsia="en-AU"/>
              </w:rPr>
            </w:pPr>
            <w:r w:rsidRPr="00DC0807">
              <w:rPr>
                <w:rFonts w:ascii="Arial Narrow" w:eastAsia="Times New Roman" w:hAnsi="Arial Narrow" w:cs="Calibri"/>
                <w:color w:val="000000"/>
                <w:sz w:val="20"/>
                <w:szCs w:val="20"/>
                <w:lang w:val="en-AU" w:eastAsia="en-AU"/>
              </w:rPr>
              <w:t>0.11 (0.02, 0.47)</w:t>
            </w:r>
          </w:p>
        </w:tc>
      </w:tr>
      <w:tr w:rsidR="006123AC" w:rsidRPr="00DC0807" w:rsidTr="00B82E7A">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109" w:type="pct"/>
            <w:gridSpan w:val="4"/>
            <w:shd w:val="clear" w:color="auto" w:fill="FFFFFF" w:themeFill="background1"/>
            <w:vAlign w:val="center"/>
          </w:tcPr>
          <w:p w:rsidR="00E27A1F" w:rsidRPr="00DC0807" w:rsidRDefault="006123AC" w:rsidP="00B82E7A">
            <w:pPr>
              <w:keepNext/>
              <w:keepLines/>
              <w:spacing w:before="0" w:after="0"/>
              <w:ind w:left="33"/>
              <w:rPr>
                <w:rFonts w:ascii="Arial Narrow" w:hAnsi="Arial Narrow"/>
                <w:sz w:val="20"/>
                <w:szCs w:val="20"/>
                <w:lang w:val="en-AU"/>
              </w:rPr>
            </w:pPr>
            <w:r w:rsidRPr="00DC0807">
              <w:rPr>
                <w:rFonts w:ascii="Arial Narrow" w:hAnsi="Arial Narrow"/>
                <w:sz w:val="20"/>
                <w:szCs w:val="20"/>
                <w:lang w:val="en-AU"/>
              </w:rPr>
              <w:t xml:space="preserve">Indirect analysis CADMUS vs Paller 2008 </w:t>
            </w:r>
          </w:p>
          <w:p w:rsidR="006123AC" w:rsidRPr="00DC0807" w:rsidRDefault="006123AC" w:rsidP="00B82E7A">
            <w:pPr>
              <w:keepNext/>
              <w:keepLines/>
              <w:spacing w:before="0" w:after="0"/>
              <w:ind w:left="33"/>
              <w:rPr>
                <w:rFonts w:ascii="Arial Narrow" w:hAnsi="Arial Narrow"/>
                <w:sz w:val="20"/>
                <w:szCs w:val="20"/>
                <w:lang w:val="en-AU"/>
              </w:rPr>
            </w:pPr>
            <w:r w:rsidRPr="00DC0807">
              <w:rPr>
                <w:rFonts w:ascii="Arial Narrow" w:hAnsi="Arial Narrow"/>
                <w:sz w:val="20"/>
                <w:szCs w:val="20"/>
                <w:lang w:val="en-AU"/>
              </w:rPr>
              <w:t>(non-response rate</w:t>
            </w:r>
            <w:r w:rsidR="00E27A1F" w:rsidRPr="00DC0807">
              <w:rPr>
                <w:rFonts w:ascii="Arial Narrow" w:hAnsi="Arial Narrow"/>
                <w:sz w:val="20"/>
                <w:szCs w:val="20"/>
                <w:lang w:val="en-AU"/>
              </w:rPr>
              <w:t>; excludes CADMUS JR</w:t>
            </w:r>
            <w:r w:rsidRPr="00DC0807">
              <w:rPr>
                <w:rFonts w:ascii="Arial Narrow" w:hAnsi="Arial Narrow"/>
                <w:sz w:val="20"/>
                <w:szCs w:val="20"/>
                <w:lang w:val="en-AU"/>
              </w:rPr>
              <w:t xml:space="preserve">) </w:t>
            </w:r>
            <w:r w:rsidR="00611953" w:rsidRPr="00DC0807">
              <w:rPr>
                <w:rFonts w:ascii="Arial Narrow" w:hAnsi="Arial Narrow"/>
                <w:sz w:val="20"/>
                <w:szCs w:val="20"/>
                <w:vertAlign w:val="superscript"/>
                <w:lang w:val="en-AU"/>
              </w:rPr>
              <w:t>c</w:t>
            </w:r>
          </w:p>
        </w:tc>
        <w:tc>
          <w:tcPr>
            <w:tcW w:w="859" w:type="pct"/>
            <w:shd w:val="clear" w:color="auto" w:fill="FFFFFF" w:themeFill="background1"/>
            <w:vAlign w:val="center"/>
          </w:tcPr>
          <w:p w:rsidR="006123AC" w:rsidRPr="00DC0807" w:rsidRDefault="006123AC" w:rsidP="00B82E7A">
            <w:pPr>
              <w:keepNext/>
              <w:keepLines/>
              <w:spacing w:before="0" w:after="0"/>
              <w:ind w:left="-108" w:right="-110"/>
              <w:jc w:val="center"/>
              <w:rPr>
                <w:rFonts w:ascii="Arial Narrow" w:hAnsi="Arial Narrow" w:cs="Calibri"/>
                <w:color w:val="000000"/>
                <w:sz w:val="20"/>
                <w:szCs w:val="20"/>
                <w:lang w:val="en-AU" w:eastAsia="en-AU"/>
              </w:rPr>
            </w:pPr>
            <w:r w:rsidRPr="00DC0807">
              <w:rPr>
                <w:rFonts w:ascii="Arial Narrow" w:hAnsi="Arial Narrow" w:cs="Calibri"/>
                <w:color w:val="000000"/>
                <w:sz w:val="20"/>
                <w:szCs w:val="20"/>
                <w:lang w:val="en-AU" w:eastAsia="en-AU"/>
              </w:rPr>
              <w:t>-0.40</w:t>
            </w:r>
            <w:r w:rsidR="00B82E7A" w:rsidRPr="00DC0807">
              <w:rPr>
                <w:rFonts w:ascii="Arial Narrow" w:hAnsi="Arial Narrow" w:cs="Calibri"/>
                <w:color w:val="000000"/>
                <w:sz w:val="20"/>
                <w:szCs w:val="20"/>
                <w:lang w:val="en-AU" w:eastAsia="en-AU"/>
              </w:rPr>
              <w:t xml:space="preserve"> </w:t>
            </w:r>
            <w:r w:rsidRPr="00DC0807">
              <w:rPr>
                <w:rFonts w:ascii="Arial Narrow" w:hAnsi="Arial Narrow" w:cs="Calibri"/>
                <w:color w:val="000000"/>
                <w:sz w:val="20"/>
                <w:szCs w:val="20"/>
                <w:lang w:val="en-AU" w:eastAsia="en-AU"/>
              </w:rPr>
              <w:t>(-0.60, -0.20)</w:t>
            </w:r>
          </w:p>
        </w:tc>
        <w:tc>
          <w:tcPr>
            <w:tcW w:w="938" w:type="pct"/>
            <w:shd w:val="clear" w:color="auto" w:fill="FFFFFF" w:themeFill="background1"/>
            <w:vAlign w:val="center"/>
          </w:tcPr>
          <w:p w:rsidR="006123AC" w:rsidRPr="00DC0807" w:rsidRDefault="006123AC" w:rsidP="006123AC">
            <w:pPr>
              <w:keepNext/>
              <w:keepLines/>
              <w:spacing w:before="0" w:after="0"/>
              <w:jc w:val="center"/>
              <w:rPr>
                <w:rFonts w:ascii="Arial Narrow" w:hAnsi="Arial Narrow" w:cs="Calibri"/>
                <w:b w:val="0"/>
                <w:bCs/>
                <w:color w:val="000000"/>
                <w:sz w:val="20"/>
                <w:szCs w:val="20"/>
                <w:lang w:val="en-AU" w:eastAsia="en-AU"/>
              </w:rPr>
            </w:pPr>
            <w:r w:rsidRPr="00DC0807">
              <w:rPr>
                <w:rFonts w:ascii="Arial Narrow" w:hAnsi="Arial Narrow" w:cs="Calibri"/>
                <w:color w:val="000000"/>
                <w:sz w:val="20"/>
                <w:szCs w:val="20"/>
                <w:lang w:val="en-AU" w:eastAsia="en-AU"/>
              </w:rPr>
              <w:t>0.45 (0.28, 0.73)</w:t>
            </w:r>
          </w:p>
        </w:tc>
        <w:tc>
          <w:tcPr>
            <w:tcW w:w="1094" w:type="pct"/>
            <w:shd w:val="clear" w:color="auto" w:fill="FFFFFF" w:themeFill="background1"/>
            <w:vAlign w:val="center"/>
          </w:tcPr>
          <w:p w:rsidR="006123AC" w:rsidRPr="00DC0807" w:rsidRDefault="006123AC" w:rsidP="006123AC">
            <w:pPr>
              <w:keepNext/>
              <w:keepLines/>
              <w:spacing w:before="0" w:after="0"/>
              <w:jc w:val="center"/>
              <w:rPr>
                <w:rFonts w:ascii="Arial Narrow" w:hAnsi="Arial Narrow" w:cs="Calibri"/>
                <w:color w:val="000000"/>
                <w:sz w:val="20"/>
                <w:szCs w:val="20"/>
                <w:lang w:val="en-AU" w:eastAsia="en-AU"/>
              </w:rPr>
            </w:pPr>
            <w:r w:rsidRPr="00DC0807">
              <w:rPr>
                <w:rFonts w:ascii="Arial Narrow" w:hAnsi="Arial Narrow" w:cs="Calibri"/>
                <w:color w:val="000000"/>
                <w:sz w:val="20"/>
                <w:szCs w:val="20"/>
                <w:lang w:val="en-AU" w:eastAsia="en-AU"/>
              </w:rPr>
              <w:t>0.16 (0.03, 0.81)</w:t>
            </w:r>
          </w:p>
        </w:tc>
      </w:tr>
    </w:tbl>
    <w:p w:rsidR="00324549" w:rsidRPr="00DC0807" w:rsidRDefault="00324549" w:rsidP="00324549">
      <w:pPr>
        <w:pStyle w:val="BodyText"/>
        <w:keepNext/>
        <w:keepLines/>
        <w:rPr>
          <w:rFonts w:ascii="Arial Narrow" w:hAnsi="Arial Narrow"/>
          <w:sz w:val="18"/>
          <w:szCs w:val="18"/>
        </w:rPr>
      </w:pPr>
      <w:r w:rsidRPr="00DC0807">
        <w:rPr>
          <w:rFonts w:ascii="Arial Narrow" w:hAnsi="Arial Narrow"/>
          <w:sz w:val="18"/>
          <w:szCs w:val="18"/>
        </w:rPr>
        <w:t>Source: Table 2-70, p139 and table 2-72, p141 of the submission.</w:t>
      </w:r>
    </w:p>
    <w:p w:rsidR="00C35317" w:rsidRPr="00DC0807" w:rsidRDefault="00C35317" w:rsidP="00C35317">
      <w:pPr>
        <w:pStyle w:val="TableFigureFootnote"/>
        <w:keepNext/>
        <w:keepLines/>
        <w:spacing w:before="0" w:after="0"/>
        <w:rPr>
          <w:rFonts w:ascii="Arial Narrow" w:hAnsi="Arial Narrow"/>
          <w:sz w:val="18"/>
          <w:szCs w:val="18"/>
        </w:rPr>
      </w:pPr>
      <w:r w:rsidRPr="00DC0807">
        <w:rPr>
          <w:rFonts w:ascii="Arial Narrow" w:hAnsi="Arial Narrow"/>
          <w:sz w:val="18"/>
          <w:szCs w:val="18"/>
        </w:rPr>
        <w:t>Bold indicates a statistically significant difference</w:t>
      </w:r>
    </w:p>
    <w:p w:rsidR="00434B0F" w:rsidRPr="00DC0807" w:rsidRDefault="00434B0F" w:rsidP="00434B0F">
      <w:pPr>
        <w:pStyle w:val="TableFigureFootnote"/>
        <w:keepNext/>
        <w:keepLines/>
        <w:spacing w:before="0" w:after="0"/>
        <w:rPr>
          <w:rFonts w:ascii="Arial Narrow" w:hAnsi="Arial Narrow"/>
          <w:sz w:val="18"/>
          <w:szCs w:val="18"/>
        </w:rPr>
      </w:pPr>
      <w:r w:rsidRPr="00DC0807">
        <w:rPr>
          <w:rFonts w:ascii="Arial Narrow" w:hAnsi="Arial Narrow"/>
          <w:sz w:val="18"/>
          <w:szCs w:val="18"/>
        </w:rPr>
        <w:t>ETN= etanercept; ITT= intent to apply population; N/A= not applicable; PBO=</w:t>
      </w:r>
      <w:r w:rsidR="00BD5F59" w:rsidRPr="00DC0807">
        <w:rPr>
          <w:rFonts w:ascii="Arial Narrow" w:hAnsi="Arial Narrow"/>
          <w:sz w:val="18"/>
          <w:szCs w:val="18"/>
        </w:rPr>
        <w:t xml:space="preserve"> </w:t>
      </w:r>
      <w:r w:rsidRPr="00DC0807">
        <w:rPr>
          <w:rFonts w:ascii="Arial Narrow" w:hAnsi="Arial Narrow"/>
          <w:sz w:val="18"/>
          <w:szCs w:val="18"/>
        </w:rPr>
        <w:t>placebo OR= odds ratio; RD= risk difference; RR= relative risk; UST=</w:t>
      </w:r>
      <w:r w:rsidR="00BD5F59" w:rsidRPr="00DC0807">
        <w:rPr>
          <w:rFonts w:ascii="Arial Narrow" w:hAnsi="Arial Narrow"/>
          <w:sz w:val="18"/>
          <w:szCs w:val="18"/>
        </w:rPr>
        <w:t xml:space="preserve"> ustekinumab; PASI</w:t>
      </w:r>
      <w:r w:rsidRPr="00DC0807">
        <w:rPr>
          <w:rFonts w:ascii="Arial Narrow" w:hAnsi="Arial Narrow"/>
          <w:sz w:val="18"/>
          <w:szCs w:val="18"/>
        </w:rPr>
        <w:t>= Psoriasis Area and Severity Index</w:t>
      </w:r>
      <w:r w:rsidR="00B82E7A" w:rsidRPr="00DC0807">
        <w:rPr>
          <w:rFonts w:ascii="Arial Narrow" w:hAnsi="Arial Narrow"/>
          <w:sz w:val="18"/>
          <w:szCs w:val="18"/>
        </w:rPr>
        <w:t>; Wk = week</w:t>
      </w:r>
    </w:p>
    <w:p w:rsidR="00C35317" w:rsidRPr="00DC0807" w:rsidRDefault="00611953" w:rsidP="00C35317">
      <w:pPr>
        <w:pStyle w:val="TableFigureFootnote"/>
        <w:keepNext/>
        <w:keepLines/>
        <w:spacing w:before="0" w:after="0"/>
        <w:rPr>
          <w:rFonts w:ascii="Arial Narrow" w:hAnsi="Arial Narrow"/>
          <w:sz w:val="18"/>
          <w:szCs w:val="18"/>
        </w:rPr>
      </w:pPr>
      <w:r w:rsidRPr="00DC0807">
        <w:rPr>
          <w:rFonts w:ascii="Arial Narrow" w:hAnsi="Arial Narrow"/>
          <w:sz w:val="18"/>
          <w:szCs w:val="18"/>
          <w:vertAlign w:val="superscript"/>
        </w:rPr>
        <w:t>a</w:t>
      </w:r>
      <w:r w:rsidRPr="00DC0807">
        <w:rPr>
          <w:rFonts w:ascii="Arial Narrow" w:hAnsi="Arial Narrow"/>
          <w:sz w:val="18"/>
          <w:szCs w:val="18"/>
        </w:rPr>
        <w:t xml:space="preserve"> </w:t>
      </w:r>
      <w:r w:rsidR="00C35317" w:rsidRPr="00DC0807">
        <w:rPr>
          <w:rFonts w:ascii="Arial Narrow" w:hAnsi="Arial Narrow"/>
          <w:sz w:val="18"/>
          <w:szCs w:val="18"/>
        </w:rPr>
        <w:t>UST standard dosage is 0.75 mg/kg for ≤60 kg, 45 mg for &gt;60 kg to ≤100 kg, and 90 mg for &gt;100 kg</w:t>
      </w:r>
    </w:p>
    <w:p w:rsidR="00C35317" w:rsidRPr="00DC0807" w:rsidRDefault="00611953" w:rsidP="00C35317">
      <w:pPr>
        <w:pStyle w:val="TableFigureFootnote"/>
        <w:keepNext/>
        <w:keepLines/>
      </w:pPr>
      <w:r w:rsidRPr="00DC0807">
        <w:rPr>
          <w:rFonts w:ascii="Arial Narrow" w:hAnsi="Arial Narrow"/>
          <w:sz w:val="18"/>
          <w:szCs w:val="18"/>
          <w:vertAlign w:val="superscript"/>
        </w:rPr>
        <w:t>b</w:t>
      </w:r>
      <w:r w:rsidR="00C35317" w:rsidRPr="00DC0807">
        <w:rPr>
          <w:rFonts w:ascii="Arial Narrow" w:hAnsi="Arial Narrow"/>
          <w:sz w:val="18"/>
          <w:szCs w:val="18"/>
        </w:rPr>
        <w:t xml:space="preserve"> 12 week placebo results used</w:t>
      </w:r>
    </w:p>
    <w:p w:rsidR="006123AC" w:rsidRDefault="00611953" w:rsidP="006123AC">
      <w:pPr>
        <w:pStyle w:val="TableFigureFootnote"/>
        <w:keepNext/>
        <w:keepLines/>
        <w:rPr>
          <w:rFonts w:ascii="Arial Narrow" w:hAnsi="Arial Narrow"/>
          <w:sz w:val="18"/>
          <w:szCs w:val="18"/>
        </w:rPr>
      </w:pPr>
      <w:r w:rsidRPr="00DC0807">
        <w:rPr>
          <w:rFonts w:ascii="Arial Narrow" w:hAnsi="Arial Narrow"/>
          <w:sz w:val="18"/>
          <w:szCs w:val="18"/>
          <w:vertAlign w:val="superscript"/>
        </w:rPr>
        <w:t>c</w:t>
      </w:r>
      <w:r w:rsidRPr="00DC0807">
        <w:rPr>
          <w:rFonts w:ascii="Arial Narrow" w:hAnsi="Arial Narrow"/>
          <w:sz w:val="18"/>
          <w:szCs w:val="18"/>
        </w:rPr>
        <w:t xml:space="preserve"> </w:t>
      </w:r>
      <w:r w:rsidR="006123AC" w:rsidRPr="00DC0807">
        <w:rPr>
          <w:rFonts w:ascii="Arial Narrow" w:hAnsi="Arial Narrow"/>
          <w:sz w:val="18"/>
          <w:szCs w:val="18"/>
        </w:rPr>
        <w:t>Submission erroneously estimated 79/106 non-responders from 29/106 responders reported. Corrected to 77/106 non-responders during evaluation.</w:t>
      </w:r>
    </w:p>
    <w:p w:rsidR="00DD092B" w:rsidRPr="00DD092B" w:rsidRDefault="00DD092B" w:rsidP="00DD092B">
      <w:pPr>
        <w:pStyle w:val="BodyText"/>
        <w:rPr>
          <w:rFonts w:ascii="Arial Narrow" w:hAnsi="Arial Narrow"/>
          <w:sz w:val="18"/>
          <w:szCs w:val="18"/>
        </w:rPr>
      </w:pPr>
      <w:r w:rsidRPr="00DD092B">
        <w:rPr>
          <w:rFonts w:ascii="Arial Narrow" w:hAnsi="Arial Narrow"/>
          <w:sz w:val="18"/>
          <w:szCs w:val="18"/>
        </w:rPr>
        <w:t>*</w:t>
      </w:r>
      <w:r w:rsidRPr="00DD092B">
        <w:rPr>
          <w:rFonts w:ascii="Arial Narrow" w:hAnsi="Arial Narrow"/>
          <w:i/>
          <w:iCs/>
          <w:color w:val="222222"/>
          <w:sz w:val="18"/>
          <w:szCs w:val="18"/>
          <w:shd w:val="clear" w:color="auto" w:fill="FFFFFF"/>
        </w:rPr>
        <w:t>Note that the results presented in Table 8 are derived from post-hoc analyses conducted by the applicant specifically for the purposes of informing the PBAC consideration. These analyses were not part of the pre-specified statistical plan for any of the included biologic trials. Interpretation of the results and their application should therefore be limited to seeking to understand the basis for the PBAC outcome and should not be used for any other purpose</w:t>
      </w:r>
    </w:p>
    <w:p w:rsidR="004C3AC1" w:rsidRPr="00DC0807" w:rsidRDefault="004C3AC1" w:rsidP="004C3AC1">
      <w:pPr>
        <w:rPr>
          <w:highlight w:val="yellow"/>
        </w:rPr>
      </w:pPr>
    </w:p>
    <w:p w:rsidR="00560D62" w:rsidRPr="00DC0807" w:rsidRDefault="00560D62" w:rsidP="00A927F1">
      <w:pPr>
        <w:pStyle w:val="ListParagraph"/>
        <w:widowControl/>
        <w:numPr>
          <w:ilvl w:val="1"/>
          <w:numId w:val="1"/>
        </w:numPr>
      </w:pPr>
      <w:r w:rsidRPr="00DC0807">
        <w:t xml:space="preserve">Based on results of the ITCs, the submission concluded that there were statistically significantly fewer patients receiving the ustekinumab standard dosage who did not achieve a </w:t>
      </w:r>
      <w:r w:rsidR="00C92D23" w:rsidRPr="00DC0807">
        <w:t>PASI 90</w:t>
      </w:r>
      <w:r w:rsidRPr="00DC0807">
        <w:t xml:space="preserve"> response compared w</w:t>
      </w:r>
      <w:r w:rsidR="008534C9" w:rsidRPr="00DC0807">
        <w:t>ith etanercept at both W</w:t>
      </w:r>
      <w:r w:rsidRPr="00DC0807">
        <w:t>eek 12 (RR=0.51, 95%</w:t>
      </w:r>
      <w:r w:rsidR="008634AD" w:rsidRPr="00DC0807">
        <w:t xml:space="preserve"> </w:t>
      </w:r>
      <w:r w:rsidRPr="00DC0807">
        <w:t xml:space="preserve">CI 0.38, 0.70) and Week 24/28 (RR=0.37, 95% CI 0.25, 0.55). However, no statistically significant difference was observed in the proportion of </w:t>
      </w:r>
      <w:r w:rsidR="00C92D23" w:rsidRPr="00DC0807">
        <w:t>PASI 90</w:t>
      </w:r>
      <w:r w:rsidRPr="00DC0807">
        <w:t xml:space="preserve"> response</w:t>
      </w:r>
      <w:r w:rsidR="00F244F4" w:rsidRPr="00DC0807">
        <w:t xml:space="preserve"> at </w:t>
      </w:r>
      <w:r w:rsidR="0011654E" w:rsidRPr="00DC0807">
        <w:t xml:space="preserve">either </w:t>
      </w:r>
      <w:r w:rsidR="00F244F4" w:rsidRPr="00DC0807">
        <w:t>Week 12 or Week 24/28</w:t>
      </w:r>
      <w:r w:rsidRPr="00DC0807">
        <w:t xml:space="preserve">, though the point estimate favoured treatment with ustekinumab. </w:t>
      </w:r>
    </w:p>
    <w:p w:rsidR="004C3AC1" w:rsidRPr="00DC0807" w:rsidRDefault="00560D62" w:rsidP="00A927F1">
      <w:pPr>
        <w:pStyle w:val="ListParagraph"/>
        <w:widowControl/>
        <w:numPr>
          <w:ilvl w:val="1"/>
          <w:numId w:val="1"/>
        </w:numPr>
      </w:pPr>
      <w:r w:rsidRPr="00DC0807">
        <w:t>Overall</w:t>
      </w:r>
      <w:r w:rsidR="004C3AC1" w:rsidRPr="00DC0807">
        <w:t xml:space="preserve">, the submission concluded that ustekinumab demonstrated superior effectiveness compared with etanercept on the basis of </w:t>
      </w:r>
      <w:r w:rsidR="00C92D23" w:rsidRPr="00DC0807">
        <w:t>PASI 75</w:t>
      </w:r>
      <w:r w:rsidR="004C3AC1" w:rsidRPr="00DC0807">
        <w:t xml:space="preserve"> and </w:t>
      </w:r>
      <w:r w:rsidR="00C92D23" w:rsidRPr="00DC0807">
        <w:t>PASI 90</w:t>
      </w:r>
      <w:r w:rsidR="004C3AC1" w:rsidRPr="00DC0807">
        <w:t xml:space="preserve"> non-response rates (for RR measure) at Week 24/28 and Week 12.</w:t>
      </w:r>
      <w:r w:rsidRPr="00DC0807">
        <w:t xml:space="preserve"> </w:t>
      </w:r>
    </w:p>
    <w:p w:rsidR="0080369E" w:rsidRPr="00DC0807" w:rsidRDefault="0080369E" w:rsidP="0080369E">
      <w:pPr>
        <w:pStyle w:val="ListParagraph"/>
        <w:widowControl/>
        <w:numPr>
          <w:ilvl w:val="1"/>
          <w:numId w:val="1"/>
        </w:numPr>
        <w:rPr>
          <w:rFonts w:cs="Calibri"/>
          <w:snapToGrid/>
          <w:szCs w:val="24"/>
          <w:lang w:eastAsia="en-AU"/>
        </w:rPr>
      </w:pPr>
      <w:r w:rsidRPr="00DC0807">
        <w:rPr>
          <w:rFonts w:cs="Calibri"/>
          <w:snapToGrid/>
          <w:szCs w:val="24"/>
          <w:lang w:eastAsia="en-AU"/>
        </w:rPr>
        <w:t>The submission did not propose what lower bound of the 95% confidence interval for risk difference (RD), relative risk (RR), or odds ratio (OR) for ustekinumab versus etanercept would represent a minimally clinically important difference (MCID) required to establish superior efficacy. During evaluation, a systematic review of head-to-head trials of active comparators in psoriasis by Wan et al</w:t>
      </w:r>
      <w:r w:rsidRPr="00DC0807">
        <w:rPr>
          <w:rStyle w:val="FootnoteReference"/>
          <w:rFonts w:cs="Calibri"/>
          <w:snapToGrid/>
          <w:szCs w:val="24"/>
          <w:lang w:eastAsia="en-AU"/>
        </w:rPr>
        <w:footnoteReference w:id="1"/>
      </w:r>
      <w:r w:rsidRPr="00DC0807">
        <w:rPr>
          <w:rFonts w:cs="Calibri"/>
          <w:snapToGrid/>
          <w:szCs w:val="24"/>
          <w:lang w:eastAsia="en-AU"/>
        </w:rPr>
        <w:t xml:space="preserve"> 2019 was identified which noted that margins between 14% to 20% were used in superiority trials for the PASI 75 </w:t>
      </w:r>
      <w:r w:rsidR="005544E2">
        <w:rPr>
          <w:rFonts w:cs="Calibri"/>
          <w:snapToGrid/>
          <w:szCs w:val="24"/>
          <w:lang w:eastAsia="en-AU"/>
        </w:rPr>
        <w:t xml:space="preserve">response </w:t>
      </w:r>
      <w:r w:rsidRPr="00DC0807">
        <w:rPr>
          <w:rFonts w:cs="Calibri"/>
          <w:snapToGrid/>
          <w:szCs w:val="24"/>
          <w:lang w:eastAsia="en-AU"/>
        </w:rPr>
        <w:t xml:space="preserve">outcome (and in non-inferiority trials, margins of -10% to -20% for PASI 75 have been used in the literature). However, it was unclear if these values were applicable to the current submission as all the trials identified by Wan et al were head-to-head active comparator trials (as opposed to ITC with placebo as common comparator) and were conducted in adults. </w:t>
      </w:r>
    </w:p>
    <w:p w:rsidR="00A31059" w:rsidRPr="00DC0807" w:rsidRDefault="0080369E" w:rsidP="00A31059">
      <w:pPr>
        <w:pStyle w:val="ListParagraph"/>
        <w:widowControl/>
        <w:numPr>
          <w:ilvl w:val="1"/>
          <w:numId w:val="1"/>
        </w:numPr>
      </w:pPr>
      <w:bookmarkStart w:id="17" w:name="_Ref67557092"/>
      <w:r w:rsidRPr="00DC0807">
        <w:t>Issues with the</w:t>
      </w:r>
      <w:r w:rsidR="00A31059" w:rsidRPr="00DC0807">
        <w:t xml:space="preserve"> submission’s </w:t>
      </w:r>
      <w:r w:rsidRPr="00DC0807">
        <w:t>approach to the ITCs included</w:t>
      </w:r>
      <w:r w:rsidR="00A31059" w:rsidRPr="00DC0807">
        <w:t>:</w:t>
      </w:r>
      <w:bookmarkEnd w:id="17"/>
    </w:p>
    <w:p w:rsidR="00A31059" w:rsidRPr="00DC0807" w:rsidRDefault="0080369E" w:rsidP="00A31059">
      <w:pPr>
        <w:pStyle w:val="ListParagraph"/>
        <w:widowControl/>
        <w:numPr>
          <w:ilvl w:val="1"/>
          <w:numId w:val="7"/>
        </w:numPr>
        <w:ind w:left="993" w:hanging="284"/>
      </w:pPr>
      <w:r w:rsidRPr="00DC0807">
        <w:t xml:space="preserve">Combining </w:t>
      </w:r>
      <w:r w:rsidR="00A31059" w:rsidRPr="00DC0807">
        <w:t xml:space="preserve">the CADMUS RCT results with those from the single-arm CADMUS JR study, which confounded the consideration of comparative efficacy. </w:t>
      </w:r>
      <w:r w:rsidR="00B104C4" w:rsidRPr="00DC0807">
        <w:t xml:space="preserve">Excluding CADMUS JR from the ITC resulted in numerically smaller incremental benefits in PASI response for ustekinumab, as well as loss of statistically significant differences in some measures (PASI 75 non-response OR at Week 12 and 24/28 and PASI 90 non-response OR at Week 12). </w:t>
      </w:r>
      <w:r w:rsidR="00A31059" w:rsidRPr="00DC0807">
        <w:t>While the sponsor maintained in the PSCR that it was appropriate and statistically valid to pool the active arms of the studies, based on consistent trial populations (with the exception of age) and absence of treatment effect modifiers, the ESC agreed with the evaluation that it was not appropriate to pool results from a single arm with a RCT</w:t>
      </w:r>
      <w:r w:rsidR="00A31059" w:rsidRPr="00DC0807">
        <w:rPr>
          <w:bCs/>
        </w:rPr>
        <w:t>. The ESC commented that while</w:t>
      </w:r>
      <w:r w:rsidR="00A31059" w:rsidRPr="00DC0807">
        <w:t xml:space="preserve"> the pooling </w:t>
      </w:r>
      <w:r w:rsidR="00A31059" w:rsidRPr="00DC0807">
        <w:rPr>
          <w:bCs/>
        </w:rPr>
        <w:t>favoured ustekinumab in all the PASI response/non-response analyses, the ITC conclusions remain largely unchanged when the CADMUS JR study was not included.</w:t>
      </w:r>
    </w:p>
    <w:p w:rsidR="00A31059" w:rsidRPr="00DC0807" w:rsidRDefault="00A31059" w:rsidP="00A31059">
      <w:pPr>
        <w:pStyle w:val="ListParagraph"/>
        <w:widowControl/>
        <w:numPr>
          <w:ilvl w:val="1"/>
          <w:numId w:val="7"/>
        </w:numPr>
        <w:ind w:left="993" w:hanging="284"/>
      </w:pPr>
      <w:r w:rsidRPr="00DC0807">
        <w:t xml:space="preserve">Week 12 results for all treatments (ustekinumab, etanercept and placebo) should have been used in the </w:t>
      </w:r>
      <w:r w:rsidR="005A5C93" w:rsidRPr="00DC0807">
        <w:t>primary analysis</w:t>
      </w:r>
      <w:r w:rsidRPr="00DC0807">
        <w:t xml:space="preserve"> as this was reflective of the double blind phase of the respective trials. </w:t>
      </w:r>
      <w:r w:rsidR="0080369E" w:rsidRPr="00DC0807">
        <w:t xml:space="preserve">This </w:t>
      </w:r>
      <w:r w:rsidRPr="00DC0807">
        <w:t xml:space="preserve">would also be consistent with the ustekinumab 2009 submission for treatment of severe CPP in adults, in which results at 12 weeks for ustekinumab were used in the indirect comparison with etanercept (and infliximab). The sponsor stated in the PSCR that results at Week 24/28 </w:t>
      </w:r>
      <w:r w:rsidR="0080369E" w:rsidRPr="00DC0807">
        <w:t>were</w:t>
      </w:r>
      <w:r w:rsidRPr="00DC0807">
        <w:t xml:space="preserve"> applicable, </w:t>
      </w:r>
      <w:r w:rsidRPr="00DC0807">
        <w:rPr>
          <w:bCs/>
        </w:rPr>
        <w:t>as it is the time point consistent with (or as close to) the proposed timing of assessment for continuation of therapy on the PBS</w:t>
      </w:r>
      <w:r w:rsidR="005A5C93" w:rsidRPr="00DC0807">
        <w:rPr>
          <w:bCs/>
        </w:rPr>
        <w:t xml:space="preserve">. </w:t>
      </w:r>
      <w:r w:rsidRPr="00DC0807">
        <w:rPr>
          <w:bCs/>
        </w:rPr>
        <w:t>The ESC noted that irrespective of whether Week 12 or Week 24/28 results for ustekinumab were used, the results from 12 and 24 weeks in CADMUS were numerically the same, and that the difference in timing of response may not be an issue given that response rate was stable over that time period.</w:t>
      </w:r>
    </w:p>
    <w:p w:rsidR="00A31059" w:rsidRPr="00DC0807" w:rsidRDefault="00A31059" w:rsidP="00A31059">
      <w:pPr>
        <w:pStyle w:val="ListParagraph"/>
        <w:widowControl/>
        <w:numPr>
          <w:ilvl w:val="1"/>
          <w:numId w:val="7"/>
        </w:numPr>
        <w:ind w:left="993" w:hanging="284"/>
      </w:pPr>
      <w:r w:rsidRPr="00DC0807">
        <w:t>The submission did not consider transitivity issues between CADMUS, CADMUS JR and Paller 2008. There was a large difference in the proportion of patients randomised to placebo who entered early escape in CADMUS and Paller 2008 (0% and 25.7% respectively), which may have indicated that there were unobserved differences between the patient populations. The ESC considered that although the early escape rates in the placebo arms were different, the response rates in the placebo arms were similar, as was the early escape rate in the treatment arms, and overall, this was unlikely to be an issue.</w:t>
      </w:r>
    </w:p>
    <w:p w:rsidR="005B085E" w:rsidRPr="00DC0807" w:rsidRDefault="005B085E" w:rsidP="005B085E">
      <w:pPr>
        <w:pStyle w:val="ListParagraph"/>
        <w:widowControl/>
        <w:numPr>
          <w:ilvl w:val="1"/>
          <w:numId w:val="1"/>
        </w:numPr>
      </w:pPr>
      <w:r w:rsidRPr="00DC0807">
        <w:t xml:space="preserve">Despite not </w:t>
      </w:r>
      <w:r w:rsidR="00782D51" w:rsidRPr="00DC0807">
        <w:t xml:space="preserve">being </w:t>
      </w:r>
      <w:r w:rsidRPr="00DC0807">
        <w:t>specifically measured in CADMUS, CADMUS JR or Paller 2008, t</w:t>
      </w:r>
      <w:r w:rsidR="00A40964" w:rsidRPr="00DC0807">
        <w:t>he submission presented results for PASI</w:t>
      </w:r>
      <w:r w:rsidR="00001ECD" w:rsidRPr="00DC0807">
        <w:t xml:space="preserve"> 75 and PASI 90 non-responders (the complement to PASI 75 and PASI 90 responders) to support the clinical claim</w:t>
      </w:r>
      <w:r w:rsidR="000922D2" w:rsidRPr="00DC0807">
        <w:t>, particularly with respect to drawing inferences from the RR results</w:t>
      </w:r>
      <w:r w:rsidR="004459A3" w:rsidRPr="00DC0807">
        <w:t xml:space="preserve">. </w:t>
      </w:r>
      <w:r w:rsidR="009A0E24" w:rsidRPr="00DC0807">
        <w:t xml:space="preserve">The main argument for using PASI 75 and PASI 90 non-responder RRs, instead of the responder RRs, was that statistical efficiency of the estimation (as measured by a lower variance/standard error) </w:t>
      </w:r>
      <w:r w:rsidR="006247B3" w:rsidRPr="00DC0807">
        <w:t>might be</w:t>
      </w:r>
      <w:r w:rsidR="009A0E24" w:rsidRPr="00DC0807">
        <w:t xml:space="preserve"> increased by using a non-response RR.</w:t>
      </w:r>
      <w:r w:rsidR="0093483A" w:rsidRPr="00DC0807">
        <w:t xml:space="preserve"> However, th</w:t>
      </w:r>
      <w:r w:rsidR="00236D6E" w:rsidRPr="00DC0807">
        <w:t>e submission’s approach</w:t>
      </w:r>
      <w:r w:rsidR="0093483A" w:rsidRPr="00DC0807">
        <w:t xml:space="preserve"> was poorly justified. </w:t>
      </w:r>
    </w:p>
    <w:p w:rsidR="00236D6E" w:rsidRPr="00DC0807" w:rsidRDefault="0072676B" w:rsidP="00236D6E">
      <w:pPr>
        <w:pStyle w:val="ListParagraph"/>
        <w:numPr>
          <w:ilvl w:val="1"/>
          <w:numId w:val="1"/>
        </w:numPr>
      </w:pPr>
      <w:r w:rsidRPr="00DC0807">
        <w:t>T</w:t>
      </w:r>
      <w:r w:rsidR="006123AC" w:rsidRPr="00DC0807">
        <w:t>he results of the response and non-response analyses we</w:t>
      </w:r>
      <w:r w:rsidR="008534C9" w:rsidRPr="00DC0807">
        <w:t>re discordant. For example, at W</w:t>
      </w:r>
      <w:r w:rsidR="006123AC" w:rsidRPr="00DC0807">
        <w:t xml:space="preserve">eek 12, </w:t>
      </w:r>
      <w:r w:rsidR="00C92D23" w:rsidRPr="00DC0807">
        <w:t>PASI 75</w:t>
      </w:r>
      <w:r w:rsidR="006123AC" w:rsidRPr="00DC0807">
        <w:t xml:space="preserve"> and </w:t>
      </w:r>
      <w:r w:rsidR="00C92D23" w:rsidRPr="00DC0807">
        <w:t>PASI 90</w:t>
      </w:r>
      <w:r w:rsidR="006123AC" w:rsidRPr="00DC0807">
        <w:t xml:space="preserve"> response for ustekinumab was not statistically different to etanercept when considering CADMUS pooled with CADMUS JR for either OR or RR. However, the </w:t>
      </w:r>
      <w:r w:rsidR="00C92D23" w:rsidRPr="00DC0807">
        <w:t>PASI 75</w:t>
      </w:r>
      <w:r w:rsidR="006123AC" w:rsidRPr="00DC0807">
        <w:t xml:space="preserve"> and </w:t>
      </w:r>
      <w:r w:rsidR="00C92D23" w:rsidRPr="00DC0807">
        <w:t>PASI 90</w:t>
      </w:r>
      <w:r w:rsidR="006123AC" w:rsidRPr="00DC0807">
        <w:t xml:space="preserve"> non-response OR and RR was statistically significantly lower </w:t>
      </w:r>
      <w:r w:rsidR="00773A71" w:rsidRPr="00DC0807">
        <w:t xml:space="preserve">for those treated with </w:t>
      </w:r>
      <w:r w:rsidR="006123AC" w:rsidRPr="00DC0807">
        <w:t xml:space="preserve">ustekinumab compared to etanercept. This was likely driven by the small sample size of CADMUS </w:t>
      </w:r>
      <w:r w:rsidR="004B45B8" w:rsidRPr="00DC0807">
        <w:t>and CADMUS JR</w:t>
      </w:r>
      <w:r w:rsidR="006123AC" w:rsidRPr="00DC0807">
        <w:t xml:space="preserve">. </w:t>
      </w:r>
      <w:r w:rsidR="00536E21" w:rsidRPr="00DC0807">
        <w:t xml:space="preserve">The ESC commented that the </w:t>
      </w:r>
      <w:r w:rsidR="00812C4E" w:rsidRPr="00DC0807">
        <w:t xml:space="preserve">conclusion </w:t>
      </w:r>
      <w:r w:rsidR="00536E21" w:rsidRPr="00DC0807">
        <w:t xml:space="preserve">should be </w:t>
      </w:r>
      <w:r w:rsidR="00A53942" w:rsidRPr="00DC0807">
        <w:t>consistent</w:t>
      </w:r>
      <w:r w:rsidR="00536E21" w:rsidRPr="00DC0807">
        <w:t xml:space="preserve"> regardless of whether responders or non-responders are analysed</w:t>
      </w:r>
      <w:r w:rsidR="0088392A" w:rsidRPr="00DC0807">
        <w:t xml:space="preserve">. </w:t>
      </w:r>
      <w:r w:rsidR="00236D6E" w:rsidRPr="00DC0807">
        <w:t xml:space="preserve">The pre-PBAC response argued that if relying on OR or RD measures, the RD is more appropriate than OR as it has the smaller variance and a lower risk of type II error, and is therefore the more statistically efficient measure. </w:t>
      </w:r>
    </w:p>
    <w:p w:rsidR="004C3AC1" w:rsidRPr="00DC0807" w:rsidRDefault="004C3AC1" w:rsidP="00A927F1">
      <w:pPr>
        <w:pStyle w:val="ListParagraph"/>
        <w:widowControl/>
        <w:numPr>
          <w:ilvl w:val="1"/>
          <w:numId w:val="1"/>
        </w:numPr>
        <w:rPr>
          <w:rFonts w:ascii="Arial Narrow" w:hAnsi="Arial Narrow"/>
          <w:szCs w:val="24"/>
        </w:rPr>
      </w:pPr>
      <w:r w:rsidRPr="00DC0807">
        <w:rPr>
          <w:szCs w:val="24"/>
        </w:rPr>
        <w:t xml:space="preserve">Results of the submission’s ITCs for the secondary endpoint of PGA score, and re-analysed results calculated during the evaluation after excluding the CADMUS JR study are presented in </w:t>
      </w:r>
      <w:r w:rsidR="005D7D2A" w:rsidRPr="00DC0807">
        <w:t>Table 9</w:t>
      </w:r>
      <w:r w:rsidRPr="00DC0807">
        <w:t>.</w:t>
      </w:r>
      <w:r w:rsidR="0028192B" w:rsidRPr="00DC0807">
        <w:t xml:space="preserve"> </w:t>
      </w:r>
    </w:p>
    <w:p w:rsidR="004C3AC1" w:rsidRPr="00DC0807" w:rsidRDefault="004B45B8" w:rsidP="004B45B8">
      <w:pPr>
        <w:keepNext/>
        <w:widowControl/>
        <w:rPr>
          <w:rStyle w:val="CommentReference"/>
        </w:rPr>
      </w:pPr>
      <w:bookmarkStart w:id="18" w:name="_Ref61130042"/>
      <w:r w:rsidRPr="00DC0807">
        <w:rPr>
          <w:rStyle w:val="CommentReference"/>
        </w:rPr>
        <w:t xml:space="preserve">Table </w:t>
      </w:r>
      <w:r w:rsidR="00AE572A" w:rsidRPr="00DC0807">
        <w:rPr>
          <w:rStyle w:val="CommentReference"/>
        </w:rPr>
        <w:t>9</w:t>
      </w:r>
      <w:bookmarkEnd w:id="18"/>
      <w:r w:rsidR="004C3AC1" w:rsidRPr="00DC0807">
        <w:rPr>
          <w:rStyle w:val="CommentReference"/>
        </w:rPr>
        <w:t>: Results of PGA response and non-response rates for ustekinumab at Week 12 and Week 24/28 compared to etanercept at Week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26"/>
        <w:gridCol w:w="992"/>
        <w:gridCol w:w="995"/>
        <w:gridCol w:w="1134"/>
        <w:gridCol w:w="1417"/>
        <w:gridCol w:w="1560"/>
        <w:gridCol w:w="1507"/>
      </w:tblGrid>
      <w:tr w:rsidR="004B45B8" w:rsidRPr="00DC0807" w:rsidTr="00B82E7A">
        <w:trPr>
          <w:trHeight w:val="20"/>
          <w:tblHeader/>
        </w:trPr>
        <w:tc>
          <w:tcPr>
            <w:tcW w:w="546" w:type="pct"/>
            <w:vMerge w:val="restart"/>
            <w:shd w:val="clear" w:color="auto" w:fill="auto"/>
            <w:vAlign w:val="center"/>
          </w:tcPr>
          <w:p w:rsidR="004B45B8" w:rsidRPr="00DC08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Trial</w:t>
            </w:r>
          </w:p>
        </w:tc>
        <w:tc>
          <w:tcPr>
            <w:tcW w:w="236" w:type="pct"/>
            <w:vMerge w:val="restart"/>
            <w:shd w:val="clear" w:color="auto" w:fill="auto"/>
            <w:vAlign w:val="center"/>
          </w:tcPr>
          <w:p w:rsidR="004B45B8" w:rsidRPr="00DC08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Wk</w:t>
            </w:r>
          </w:p>
        </w:tc>
        <w:tc>
          <w:tcPr>
            <w:tcW w:w="1731" w:type="pct"/>
            <w:gridSpan w:val="3"/>
            <w:shd w:val="clear" w:color="auto" w:fill="auto"/>
            <w:vAlign w:val="center"/>
          </w:tcPr>
          <w:p w:rsidR="004B45B8" w:rsidRPr="00DC08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 xml:space="preserve">PGA (0 or 1) response rate </w:t>
            </w:r>
          </w:p>
        </w:tc>
        <w:tc>
          <w:tcPr>
            <w:tcW w:w="2487" w:type="pct"/>
            <w:gridSpan w:val="3"/>
            <w:vMerge w:val="restart"/>
            <w:shd w:val="clear" w:color="auto" w:fill="auto"/>
            <w:vAlign w:val="center"/>
          </w:tcPr>
          <w:p w:rsidR="004B45B8" w:rsidRPr="00DC08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Difference vs PBO</w:t>
            </w:r>
          </w:p>
        </w:tc>
      </w:tr>
      <w:tr w:rsidR="004B45B8" w:rsidRPr="00DC0807" w:rsidTr="00B82E7A">
        <w:trPr>
          <w:trHeight w:val="20"/>
          <w:tblHeader/>
        </w:trPr>
        <w:tc>
          <w:tcPr>
            <w:tcW w:w="546" w:type="pct"/>
            <w:vMerge/>
            <w:shd w:val="clear" w:color="auto" w:fill="auto"/>
            <w:vAlign w:val="center"/>
          </w:tcPr>
          <w:p w:rsidR="004B45B8" w:rsidRPr="00DC0807" w:rsidRDefault="004B45B8" w:rsidP="00B8612B">
            <w:pPr>
              <w:keepNext/>
              <w:keepLines/>
              <w:jc w:val="center"/>
              <w:rPr>
                <w:rFonts w:ascii="Arial Narrow" w:hAnsi="Arial Narrow" w:cs="Calibri"/>
                <w:b/>
                <w:bCs/>
                <w:color w:val="000000"/>
                <w:sz w:val="20"/>
                <w:szCs w:val="20"/>
                <w:lang w:eastAsia="en-AU"/>
              </w:rPr>
            </w:pPr>
          </w:p>
        </w:tc>
        <w:tc>
          <w:tcPr>
            <w:tcW w:w="236" w:type="pct"/>
            <w:vMerge/>
            <w:shd w:val="clear" w:color="auto" w:fill="auto"/>
            <w:vAlign w:val="center"/>
          </w:tcPr>
          <w:p w:rsidR="004B45B8" w:rsidRPr="00DC0807" w:rsidRDefault="004B45B8" w:rsidP="00B8612B">
            <w:pPr>
              <w:keepNext/>
              <w:keepLines/>
              <w:jc w:val="center"/>
              <w:rPr>
                <w:rFonts w:ascii="Arial Narrow" w:hAnsi="Arial Narrow" w:cs="Calibri"/>
                <w:b/>
                <w:bCs/>
                <w:color w:val="000000"/>
                <w:sz w:val="20"/>
                <w:szCs w:val="20"/>
                <w:lang w:eastAsia="en-AU"/>
              </w:rPr>
            </w:pPr>
          </w:p>
        </w:tc>
        <w:tc>
          <w:tcPr>
            <w:tcW w:w="550" w:type="pct"/>
            <w:shd w:val="clear" w:color="auto" w:fill="auto"/>
            <w:vAlign w:val="center"/>
          </w:tcPr>
          <w:p w:rsidR="004B45B8" w:rsidRPr="00DC0807" w:rsidDel="00FD40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UST</w:t>
            </w:r>
            <w:r w:rsidR="00611953" w:rsidRPr="00DC0807">
              <w:rPr>
                <w:rFonts w:ascii="Arial Narrow" w:hAnsi="Arial Narrow" w:cs="Calibri"/>
                <w:b/>
                <w:bCs/>
                <w:color w:val="000000"/>
                <w:sz w:val="20"/>
                <w:szCs w:val="20"/>
                <w:vertAlign w:val="superscript"/>
                <w:lang w:eastAsia="en-AU"/>
              </w:rPr>
              <w:t>a</w:t>
            </w:r>
          </w:p>
        </w:tc>
        <w:tc>
          <w:tcPr>
            <w:tcW w:w="552" w:type="pct"/>
            <w:shd w:val="clear" w:color="auto" w:fill="auto"/>
            <w:vAlign w:val="center"/>
          </w:tcPr>
          <w:p w:rsidR="004B45B8" w:rsidRPr="00DC0807" w:rsidDel="00FD4007" w:rsidRDefault="004B45B8" w:rsidP="00B82E7A">
            <w:pPr>
              <w:keepNext/>
              <w:keepLines/>
              <w:ind w:left="-104" w:right="-113"/>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PBO</w:t>
            </w:r>
          </w:p>
        </w:tc>
        <w:tc>
          <w:tcPr>
            <w:tcW w:w="629" w:type="pct"/>
            <w:vAlign w:val="center"/>
          </w:tcPr>
          <w:p w:rsidR="004B45B8" w:rsidRPr="00DC08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ETN</w:t>
            </w:r>
          </w:p>
        </w:tc>
        <w:tc>
          <w:tcPr>
            <w:tcW w:w="2487" w:type="pct"/>
            <w:gridSpan w:val="3"/>
            <w:vMerge/>
            <w:shd w:val="clear" w:color="auto" w:fill="auto"/>
            <w:vAlign w:val="center"/>
          </w:tcPr>
          <w:p w:rsidR="004B45B8" w:rsidRPr="00DC0807" w:rsidRDefault="004B45B8" w:rsidP="00B8612B">
            <w:pPr>
              <w:keepNext/>
              <w:keepLines/>
              <w:jc w:val="center"/>
              <w:rPr>
                <w:rFonts w:ascii="Arial Narrow" w:hAnsi="Arial Narrow" w:cs="Calibri"/>
                <w:b/>
                <w:bCs/>
                <w:color w:val="000000"/>
                <w:sz w:val="20"/>
                <w:szCs w:val="20"/>
                <w:lang w:eastAsia="en-AU"/>
              </w:rPr>
            </w:pPr>
          </w:p>
        </w:tc>
      </w:tr>
      <w:tr w:rsidR="00B82E7A" w:rsidRPr="00DC0807" w:rsidTr="00B769C8">
        <w:trPr>
          <w:trHeight w:val="20"/>
          <w:tblHeader/>
        </w:trPr>
        <w:tc>
          <w:tcPr>
            <w:tcW w:w="546" w:type="pct"/>
            <w:vMerge/>
            <w:shd w:val="clear" w:color="auto" w:fill="auto"/>
            <w:vAlign w:val="center"/>
            <w:hideMark/>
          </w:tcPr>
          <w:p w:rsidR="004B45B8" w:rsidRPr="00DC0807" w:rsidRDefault="004B45B8" w:rsidP="00B8612B">
            <w:pPr>
              <w:keepNext/>
              <w:keepLines/>
              <w:jc w:val="center"/>
              <w:rPr>
                <w:rFonts w:ascii="Arial Narrow" w:hAnsi="Arial Narrow" w:cs="Calibri"/>
                <w:b/>
                <w:bCs/>
                <w:color w:val="000000"/>
                <w:sz w:val="20"/>
                <w:szCs w:val="20"/>
                <w:lang w:eastAsia="en-AU"/>
              </w:rPr>
            </w:pPr>
          </w:p>
        </w:tc>
        <w:tc>
          <w:tcPr>
            <w:tcW w:w="236" w:type="pct"/>
            <w:vMerge/>
            <w:shd w:val="clear" w:color="auto" w:fill="auto"/>
            <w:vAlign w:val="center"/>
            <w:hideMark/>
          </w:tcPr>
          <w:p w:rsidR="004B45B8" w:rsidRPr="00DC0807" w:rsidRDefault="004B45B8" w:rsidP="00B8612B">
            <w:pPr>
              <w:keepNext/>
              <w:keepLines/>
              <w:jc w:val="center"/>
              <w:rPr>
                <w:rFonts w:ascii="Arial Narrow" w:hAnsi="Arial Narrow" w:cs="Calibri"/>
                <w:b/>
                <w:bCs/>
                <w:color w:val="000000"/>
                <w:sz w:val="20"/>
                <w:szCs w:val="20"/>
                <w:lang w:eastAsia="en-AU"/>
              </w:rPr>
            </w:pPr>
          </w:p>
        </w:tc>
        <w:tc>
          <w:tcPr>
            <w:tcW w:w="550" w:type="pct"/>
            <w:shd w:val="clear" w:color="auto" w:fill="auto"/>
            <w:vAlign w:val="center"/>
            <w:hideMark/>
          </w:tcPr>
          <w:p w:rsidR="004B45B8" w:rsidRPr="00DC08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n/N</w:t>
            </w:r>
            <w:r w:rsidR="00BD5F59" w:rsidRPr="00DC0807">
              <w:rPr>
                <w:rFonts w:ascii="Arial Narrow" w:hAnsi="Arial Narrow" w:cs="Calibri"/>
                <w:b/>
                <w:bCs/>
                <w:color w:val="000000"/>
                <w:sz w:val="20"/>
                <w:szCs w:val="20"/>
                <w:lang w:eastAsia="en-AU"/>
              </w:rPr>
              <w:t xml:space="preserve"> </w:t>
            </w:r>
            <w:r w:rsidRPr="00DC0807">
              <w:rPr>
                <w:rFonts w:ascii="Arial Narrow" w:hAnsi="Arial Narrow" w:cs="Calibri"/>
                <w:b/>
                <w:bCs/>
                <w:color w:val="000000"/>
                <w:sz w:val="20"/>
                <w:szCs w:val="20"/>
                <w:lang w:eastAsia="en-AU"/>
              </w:rPr>
              <w:t>(%)</w:t>
            </w:r>
          </w:p>
        </w:tc>
        <w:tc>
          <w:tcPr>
            <w:tcW w:w="552" w:type="pct"/>
            <w:shd w:val="clear" w:color="auto" w:fill="auto"/>
            <w:vAlign w:val="center"/>
            <w:hideMark/>
          </w:tcPr>
          <w:p w:rsidR="004B45B8" w:rsidRPr="00DC0807" w:rsidRDefault="004B45B8" w:rsidP="00B82E7A">
            <w:pPr>
              <w:keepNext/>
              <w:keepLines/>
              <w:ind w:left="-104" w:right="-113"/>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n/N</w:t>
            </w:r>
            <w:r w:rsidR="00BD5F59" w:rsidRPr="00DC0807">
              <w:rPr>
                <w:rFonts w:ascii="Arial Narrow" w:hAnsi="Arial Narrow" w:cs="Calibri"/>
                <w:b/>
                <w:bCs/>
                <w:color w:val="000000"/>
                <w:sz w:val="20"/>
                <w:szCs w:val="20"/>
                <w:lang w:eastAsia="en-AU"/>
              </w:rPr>
              <w:t xml:space="preserve"> </w:t>
            </w:r>
            <w:r w:rsidRPr="00DC0807">
              <w:rPr>
                <w:rFonts w:ascii="Arial Narrow" w:hAnsi="Arial Narrow" w:cs="Calibri"/>
                <w:b/>
                <w:bCs/>
                <w:color w:val="000000"/>
                <w:sz w:val="20"/>
                <w:szCs w:val="20"/>
                <w:lang w:eastAsia="en-AU"/>
              </w:rPr>
              <w:t>(%)</w:t>
            </w:r>
          </w:p>
        </w:tc>
        <w:tc>
          <w:tcPr>
            <w:tcW w:w="629" w:type="pct"/>
            <w:vAlign w:val="center"/>
          </w:tcPr>
          <w:p w:rsidR="004B45B8" w:rsidRPr="00DC0807" w:rsidRDefault="004B45B8" w:rsidP="00B82E7A">
            <w:pPr>
              <w:keepNext/>
              <w:keepLines/>
              <w:ind w:right="-106"/>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n/N</w:t>
            </w:r>
            <w:r w:rsidR="00BD5F59" w:rsidRPr="00DC0807">
              <w:rPr>
                <w:rFonts w:ascii="Arial Narrow" w:hAnsi="Arial Narrow" w:cs="Calibri"/>
                <w:b/>
                <w:bCs/>
                <w:color w:val="000000"/>
                <w:sz w:val="20"/>
                <w:szCs w:val="20"/>
                <w:lang w:eastAsia="en-AU"/>
              </w:rPr>
              <w:t xml:space="preserve"> </w:t>
            </w:r>
            <w:r w:rsidRPr="00DC0807">
              <w:rPr>
                <w:rFonts w:ascii="Arial Narrow" w:hAnsi="Arial Narrow" w:cs="Calibri"/>
                <w:b/>
                <w:bCs/>
                <w:color w:val="000000"/>
                <w:sz w:val="20"/>
                <w:szCs w:val="20"/>
                <w:lang w:eastAsia="en-AU"/>
              </w:rPr>
              <w:t>(%)</w:t>
            </w:r>
          </w:p>
        </w:tc>
        <w:tc>
          <w:tcPr>
            <w:tcW w:w="786" w:type="pct"/>
            <w:shd w:val="clear" w:color="auto" w:fill="auto"/>
            <w:vAlign w:val="center"/>
            <w:hideMark/>
          </w:tcPr>
          <w:p w:rsidR="004B45B8" w:rsidRPr="00DC0807" w:rsidRDefault="004B45B8" w:rsidP="00B82E7A">
            <w:pPr>
              <w:keepNext/>
              <w:keepLines/>
              <w:ind w:right="-249" w:hanging="252"/>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RD</w:t>
            </w:r>
            <w:r w:rsidR="00982FAA" w:rsidRPr="00DC0807">
              <w:rPr>
                <w:rFonts w:ascii="Arial Narrow" w:hAnsi="Arial Narrow" w:cs="Calibri"/>
                <w:b/>
                <w:bCs/>
                <w:color w:val="000000"/>
                <w:sz w:val="20"/>
                <w:szCs w:val="20"/>
                <w:lang w:eastAsia="en-AU"/>
              </w:rPr>
              <w:t xml:space="preserve"> </w:t>
            </w:r>
            <w:r w:rsidRPr="00DC0807">
              <w:rPr>
                <w:rFonts w:ascii="Arial Narrow" w:hAnsi="Arial Narrow" w:cs="Calibri"/>
                <w:b/>
                <w:bCs/>
                <w:color w:val="000000"/>
                <w:sz w:val="20"/>
                <w:szCs w:val="20"/>
                <w:lang w:eastAsia="en-AU"/>
              </w:rPr>
              <w:t>(95% CI)</w:t>
            </w:r>
          </w:p>
        </w:tc>
        <w:tc>
          <w:tcPr>
            <w:tcW w:w="865" w:type="pct"/>
            <w:shd w:val="clear" w:color="auto" w:fill="auto"/>
            <w:vAlign w:val="center"/>
            <w:hideMark/>
          </w:tcPr>
          <w:p w:rsidR="004B45B8" w:rsidRPr="00DC08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RR</w:t>
            </w:r>
            <w:r w:rsidR="00982FAA" w:rsidRPr="00DC0807">
              <w:rPr>
                <w:rFonts w:ascii="Arial Narrow" w:hAnsi="Arial Narrow" w:cs="Calibri"/>
                <w:b/>
                <w:bCs/>
                <w:color w:val="000000"/>
                <w:sz w:val="20"/>
                <w:szCs w:val="20"/>
                <w:lang w:eastAsia="en-AU"/>
              </w:rPr>
              <w:t xml:space="preserve"> </w:t>
            </w:r>
            <w:r w:rsidRPr="00DC0807">
              <w:rPr>
                <w:rFonts w:ascii="Arial Narrow" w:hAnsi="Arial Narrow" w:cs="Calibri"/>
                <w:b/>
                <w:bCs/>
                <w:color w:val="000000"/>
                <w:sz w:val="20"/>
                <w:szCs w:val="20"/>
                <w:lang w:eastAsia="en-AU"/>
              </w:rPr>
              <w:t>(95% CI)</w:t>
            </w:r>
          </w:p>
        </w:tc>
        <w:tc>
          <w:tcPr>
            <w:tcW w:w="836" w:type="pct"/>
            <w:shd w:val="clear" w:color="auto" w:fill="auto"/>
            <w:vAlign w:val="center"/>
            <w:hideMark/>
          </w:tcPr>
          <w:p w:rsidR="004B45B8" w:rsidRPr="00DC0807" w:rsidRDefault="004B45B8" w:rsidP="00B8612B">
            <w:pPr>
              <w:keepNext/>
              <w:keepLines/>
              <w:jc w:val="center"/>
              <w:rPr>
                <w:rFonts w:ascii="Arial Narrow" w:hAnsi="Arial Narrow" w:cs="Calibri"/>
                <w:b/>
                <w:bCs/>
                <w:color w:val="000000"/>
                <w:sz w:val="20"/>
                <w:szCs w:val="20"/>
                <w:lang w:eastAsia="en-AU"/>
              </w:rPr>
            </w:pPr>
            <w:r w:rsidRPr="00DC0807">
              <w:rPr>
                <w:rFonts w:ascii="Arial Narrow" w:hAnsi="Arial Narrow" w:cs="Calibri"/>
                <w:b/>
                <w:bCs/>
                <w:color w:val="000000"/>
                <w:sz w:val="20"/>
                <w:szCs w:val="20"/>
                <w:lang w:eastAsia="en-AU"/>
              </w:rPr>
              <w:t>OR</w:t>
            </w:r>
            <w:r w:rsidR="00982FAA" w:rsidRPr="00DC0807">
              <w:rPr>
                <w:rFonts w:ascii="Arial Narrow" w:hAnsi="Arial Narrow" w:cs="Calibri"/>
                <w:b/>
                <w:bCs/>
                <w:color w:val="000000"/>
                <w:sz w:val="20"/>
                <w:szCs w:val="20"/>
                <w:lang w:eastAsia="en-AU"/>
              </w:rPr>
              <w:t xml:space="preserve"> </w:t>
            </w:r>
            <w:r w:rsidRPr="00DC0807">
              <w:rPr>
                <w:rFonts w:ascii="Arial Narrow" w:hAnsi="Arial Narrow" w:cs="Calibri"/>
                <w:b/>
                <w:bCs/>
                <w:color w:val="000000"/>
                <w:sz w:val="20"/>
                <w:szCs w:val="20"/>
                <w:lang w:eastAsia="en-AU"/>
              </w:rPr>
              <w:t>(95% CI)</w:t>
            </w:r>
          </w:p>
        </w:tc>
      </w:tr>
      <w:tr w:rsidR="00B82E7A" w:rsidRPr="00DC0807" w:rsidTr="00B769C8">
        <w:trPr>
          <w:trHeight w:val="20"/>
        </w:trPr>
        <w:tc>
          <w:tcPr>
            <w:tcW w:w="546" w:type="pct"/>
            <w:vMerge w:val="restart"/>
            <w:shd w:val="clear" w:color="auto" w:fill="auto"/>
            <w:vAlign w:val="center"/>
          </w:tcPr>
          <w:p w:rsidR="004B45B8" w:rsidRPr="00DC0807" w:rsidRDefault="004B45B8" w:rsidP="00B8612B">
            <w:pPr>
              <w:keepNext/>
              <w:keepLines/>
              <w:jc w:val="left"/>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CADMUS</w:t>
            </w:r>
          </w:p>
        </w:tc>
        <w:tc>
          <w:tcPr>
            <w:tcW w:w="236" w:type="pct"/>
            <w:shd w:val="clear" w:color="auto" w:fill="auto"/>
            <w:vAlign w:val="center"/>
          </w:tcPr>
          <w:p w:rsidR="004B45B8" w:rsidRPr="00DC0807" w:rsidRDefault="004B45B8" w:rsidP="00B8612B">
            <w:pPr>
              <w:keepNext/>
              <w:keepLines/>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12</w:t>
            </w:r>
          </w:p>
        </w:tc>
        <w:tc>
          <w:tcPr>
            <w:tcW w:w="550" w:type="pct"/>
            <w:shd w:val="clear" w:color="auto" w:fill="auto"/>
            <w:vAlign w:val="center"/>
          </w:tcPr>
          <w:p w:rsidR="004B45B8" w:rsidRPr="00DC0807" w:rsidRDefault="004B45B8" w:rsidP="00B82E7A">
            <w:pPr>
              <w:keepNext/>
              <w:keepLines/>
              <w:ind w:left="-103" w:right="-109"/>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25/36</w:t>
            </w:r>
            <w:r w:rsidR="00B82E7A" w:rsidRPr="00DC0807">
              <w:rPr>
                <w:rFonts w:ascii="Arial Narrow" w:hAnsi="Arial Narrow" w:cs="Calibri"/>
                <w:color w:val="000000"/>
                <w:sz w:val="20"/>
                <w:szCs w:val="20"/>
                <w:lang w:eastAsia="en-AU"/>
              </w:rPr>
              <w:t xml:space="preserve"> </w:t>
            </w:r>
            <w:r w:rsidRPr="00DC0807">
              <w:rPr>
                <w:rFonts w:ascii="Arial Narrow" w:hAnsi="Arial Narrow" w:cs="Calibri"/>
                <w:color w:val="000000"/>
                <w:sz w:val="20"/>
                <w:szCs w:val="20"/>
                <w:lang w:eastAsia="en-AU"/>
              </w:rPr>
              <w:t>(69.4)</w:t>
            </w:r>
          </w:p>
        </w:tc>
        <w:tc>
          <w:tcPr>
            <w:tcW w:w="552" w:type="pct"/>
            <w:shd w:val="clear" w:color="auto" w:fill="auto"/>
            <w:vAlign w:val="center"/>
          </w:tcPr>
          <w:p w:rsidR="004B45B8" w:rsidRPr="00DC0807" w:rsidRDefault="004B45B8" w:rsidP="00B82E7A">
            <w:pPr>
              <w:keepNext/>
              <w:keepLines/>
              <w:ind w:left="-104" w:right="-113"/>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2/37 (5.4)</w:t>
            </w:r>
          </w:p>
        </w:tc>
        <w:tc>
          <w:tcPr>
            <w:tcW w:w="629" w:type="pct"/>
            <w:vAlign w:val="center"/>
          </w:tcPr>
          <w:p w:rsidR="004B45B8" w:rsidRPr="00DC0807" w:rsidRDefault="004B45B8" w:rsidP="00B82E7A">
            <w:pPr>
              <w:keepNext/>
              <w:keepLines/>
              <w:ind w:right="-106"/>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786" w:type="pct"/>
            <w:shd w:val="clear" w:color="auto" w:fill="auto"/>
            <w:vAlign w:val="center"/>
          </w:tcPr>
          <w:p w:rsidR="004B45B8" w:rsidRPr="00DC0807" w:rsidRDefault="004B45B8" w:rsidP="00B82E7A">
            <w:pPr>
              <w:keepNext/>
              <w:keepLines/>
              <w:ind w:right="-249" w:hanging="252"/>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0.64</w:t>
            </w:r>
            <w:r w:rsidR="00982FA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(0.45,0.78)</w:t>
            </w:r>
            <w:r w:rsidR="00E27672" w:rsidRPr="00DC0807">
              <w:rPr>
                <w:rFonts w:ascii="Arial Narrow" w:hAnsi="Arial Narrow" w:cs="Calibri"/>
                <w:b/>
                <w:color w:val="000000"/>
                <w:sz w:val="20"/>
                <w:szCs w:val="20"/>
                <w:lang w:eastAsia="en-AU"/>
              </w:rPr>
              <w:t xml:space="preserve"> </w:t>
            </w:r>
            <w:r w:rsidR="00611953" w:rsidRPr="00DC0807">
              <w:rPr>
                <w:rFonts w:ascii="Arial Narrow" w:hAnsi="Arial Narrow" w:cs="Calibri"/>
                <w:b/>
                <w:color w:val="000000"/>
                <w:sz w:val="20"/>
                <w:szCs w:val="20"/>
                <w:vertAlign w:val="superscript"/>
                <w:lang w:eastAsia="en-AU"/>
              </w:rPr>
              <w:t>c</w:t>
            </w:r>
          </w:p>
        </w:tc>
        <w:tc>
          <w:tcPr>
            <w:tcW w:w="865" w:type="pct"/>
            <w:shd w:val="clear" w:color="auto" w:fill="auto"/>
            <w:vAlign w:val="center"/>
          </w:tcPr>
          <w:p w:rsidR="004B45B8" w:rsidRPr="00DC0807" w:rsidRDefault="004B45B8" w:rsidP="00B8612B">
            <w:pPr>
              <w:keepNext/>
              <w:keepLines/>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12.85</w:t>
            </w:r>
            <w:r w:rsidR="00982FA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(3.28, 50.3)</w:t>
            </w:r>
          </w:p>
        </w:tc>
        <w:tc>
          <w:tcPr>
            <w:tcW w:w="836" w:type="pct"/>
            <w:shd w:val="clear" w:color="auto" w:fill="auto"/>
            <w:vAlign w:val="center"/>
          </w:tcPr>
          <w:p w:rsidR="004B45B8" w:rsidRPr="00DC0807" w:rsidRDefault="004B45B8" w:rsidP="00B82E7A">
            <w:pPr>
              <w:keepNext/>
              <w:keepLines/>
              <w:ind w:left="-109" w:right="-157"/>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39.77</w:t>
            </w:r>
            <w:r w:rsidR="00B82E7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(8.10,195)</w:t>
            </w:r>
          </w:p>
        </w:tc>
      </w:tr>
      <w:tr w:rsidR="00B82E7A" w:rsidRPr="00DC0807" w:rsidTr="00B769C8">
        <w:trPr>
          <w:trHeight w:val="20"/>
        </w:trPr>
        <w:tc>
          <w:tcPr>
            <w:tcW w:w="546" w:type="pct"/>
            <w:vMerge/>
            <w:shd w:val="clear" w:color="auto" w:fill="auto"/>
            <w:vAlign w:val="center"/>
            <w:hideMark/>
          </w:tcPr>
          <w:p w:rsidR="004B45B8" w:rsidRPr="00DC0807" w:rsidRDefault="004B45B8" w:rsidP="00B8612B">
            <w:pPr>
              <w:keepNext/>
              <w:keepLines/>
              <w:jc w:val="left"/>
              <w:rPr>
                <w:rFonts w:ascii="Arial Narrow" w:hAnsi="Arial Narrow" w:cs="Calibri"/>
                <w:color w:val="000000"/>
                <w:sz w:val="20"/>
                <w:szCs w:val="20"/>
                <w:lang w:eastAsia="en-AU"/>
              </w:rPr>
            </w:pPr>
          </w:p>
        </w:tc>
        <w:tc>
          <w:tcPr>
            <w:tcW w:w="236" w:type="pct"/>
            <w:shd w:val="clear" w:color="auto" w:fill="auto"/>
            <w:vAlign w:val="center"/>
          </w:tcPr>
          <w:p w:rsidR="004B45B8" w:rsidRPr="00DC0807" w:rsidRDefault="004B45B8" w:rsidP="00B8612B">
            <w:pPr>
              <w:keepNext/>
              <w:keepLines/>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24</w:t>
            </w:r>
          </w:p>
        </w:tc>
        <w:tc>
          <w:tcPr>
            <w:tcW w:w="550" w:type="pct"/>
            <w:shd w:val="clear" w:color="auto" w:fill="auto"/>
            <w:vAlign w:val="center"/>
          </w:tcPr>
          <w:p w:rsidR="004B45B8" w:rsidRPr="00DC0807" w:rsidRDefault="004B45B8" w:rsidP="00B82E7A">
            <w:pPr>
              <w:keepNext/>
              <w:keepLines/>
              <w:ind w:left="-103" w:right="-109"/>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26/36</w:t>
            </w:r>
            <w:r w:rsidR="00B82E7A" w:rsidRPr="00DC0807">
              <w:rPr>
                <w:rFonts w:ascii="Arial Narrow" w:hAnsi="Arial Narrow" w:cs="Calibri"/>
                <w:color w:val="000000"/>
                <w:sz w:val="20"/>
                <w:szCs w:val="20"/>
                <w:lang w:eastAsia="en-AU"/>
              </w:rPr>
              <w:t xml:space="preserve"> </w:t>
            </w:r>
            <w:r w:rsidRPr="00DC0807">
              <w:rPr>
                <w:rFonts w:ascii="Arial Narrow" w:hAnsi="Arial Narrow" w:cs="Calibri"/>
                <w:color w:val="000000"/>
                <w:sz w:val="20"/>
                <w:szCs w:val="20"/>
                <w:lang w:eastAsia="en-AU"/>
              </w:rPr>
              <w:t>(72.2)</w:t>
            </w:r>
          </w:p>
        </w:tc>
        <w:tc>
          <w:tcPr>
            <w:tcW w:w="552" w:type="pct"/>
            <w:shd w:val="clear" w:color="auto" w:fill="auto"/>
            <w:vAlign w:val="center"/>
          </w:tcPr>
          <w:p w:rsidR="004B45B8" w:rsidRPr="00DC0807" w:rsidRDefault="004B45B8" w:rsidP="00B82E7A">
            <w:pPr>
              <w:keepNext/>
              <w:keepLines/>
              <w:ind w:left="-104" w:right="-113"/>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2/37 (5.4)</w:t>
            </w:r>
            <w:r w:rsidR="00611953" w:rsidRPr="00DC0807">
              <w:rPr>
                <w:rFonts w:ascii="Arial Narrow" w:hAnsi="Arial Narrow" w:cs="Calibri"/>
                <w:color w:val="000000"/>
                <w:sz w:val="20"/>
                <w:szCs w:val="20"/>
                <w:vertAlign w:val="superscript"/>
                <w:lang w:eastAsia="en-AU"/>
              </w:rPr>
              <w:t>b</w:t>
            </w:r>
          </w:p>
        </w:tc>
        <w:tc>
          <w:tcPr>
            <w:tcW w:w="629" w:type="pct"/>
            <w:vAlign w:val="center"/>
          </w:tcPr>
          <w:p w:rsidR="004B45B8" w:rsidRPr="00DC0807" w:rsidRDefault="004B45B8" w:rsidP="00B82E7A">
            <w:pPr>
              <w:keepNext/>
              <w:keepLines/>
              <w:ind w:right="-106"/>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786" w:type="pct"/>
            <w:shd w:val="clear" w:color="auto" w:fill="auto"/>
            <w:vAlign w:val="center"/>
          </w:tcPr>
          <w:p w:rsidR="004B45B8" w:rsidRPr="00DC0807" w:rsidRDefault="004B45B8" w:rsidP="00B82E7A">
            <w:pPr>
              <w:keepNext/>
              <w:keepLines/>
              <w:ind w:right="-249" w:hanging="252"/>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0.67</w:t>
            </w:r>
            <w:r w:rsidR="00982FA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(0.50, 0.83)</w:t>
            </w:r>
          </w:p>
        </w:tc>
        <w:tc>
          <w:tcPr>
            <w:tcW w:w="865" w:type="pct"/>
            <w:shd w:val="clear" w:color="auto" w:fill="auto"/>
            <w:vAlign w:val="center"/>
          </w:tcPr>
          <w:p w:rsidR="004B45B8" w:rsidRPr="00DC0807" w:rsidRDefault="004B45B8" w:rsidP="00B82E7A">
            <w:pPr>
              <w:keepNext/>
              <w:keepLines/>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13.36</w:t>
            </w:r>
            <w:r w:rsidR="00982FA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(3.42, 52.2)</w:t>
            </w:r>
          </w:p>
        </w:tc>
        <w:tc>
          <w:tcPr>
            <w:tcW w:w="836" w:type="pct"/>
            <w:shd w:val="clear" w:color="auto" w:fill="auto"/>
            <w:vAlign w:val="center"/>
          </w:tcPr>
          <w:p w:rsidR="004B45B8" w:rsidRPr="00DC0807" w:rsidRDefault="004B45B8" w:rsidP="00B8612B">
            <w:pPr>
              <w:keepNext/>
              <w:keepLines/>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45.5</w:t>
            </w:r>
            <w:r w:rsidR="00982FA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(9.18,226)</w:t>
            </w:r>
          </w:p>
        </w:tc>
      </w:tr>
      <w:tr w:rsidR="00B82E7A" w:rsidRPr="00DC0807" w:rsidTr="00B769C8">
        <w:trPr>
          <w:trHeight w:val="20"/>
        </w:trPr>
        <w:tc>
          <w:tcPr>
            <w:tcW w:w="546" w:type="pct"/>
            <w:vMerge w:val="restart"/>
            <w:shd w:val="clear" w:color="auto" w:fill="auto"/>
            <w:vAlign w:val="center"/>
          </w:tcPr>
          <w:p w:rsidR="004B45B8" w:rsidRPr="00DC0807" w:rsidRDefault="004B45B8" w:rsidP="00B82E7A">
            <w:pPr>
              <w:keepNext/>
              <w:keepLines/>
              <w:ind w:right="-18"/>
              <w:jc w:val="left"/>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CADMU</w:t>
            </w:r>
            <w:r w:rsidR="00982FAA" w:rsidRPr="00DC0807">
              <w:rPr>
                <w:rFonts w:ascii="Arial Narrow" w:hAnsi="Arial Narrow" w:cs="Calibri"/>
                <w:color w:val="000000"/>
                <w:sz w:val="20"/>
                <w:szCs w:val="20"/>
                <w:lang w:eastAsia="en-AU"/>
              </w:rPr>
              <w:t>S</w:t>
            </w:r>
            <w:r w:rsidRPr="00DC0807">
              <w:rPr>
                <w:rFonts w:ascii="Arial Narrow" w:hAnsi="Arial Narrow" w:cs="Calibri"/>
                <w:color w:val="000000"/>
                <w:sz w:val="20"/>
                <w:szCs w:val="20"/>
                <w:lang w:eastAsia="en-AU"/>
              </w:rPr>
              <w:t xml:space="preserve"> JR</w:t>
            </w:r>
          </w:p>
        </w:tc>
        <w:tc>
          <w:tcPr>
            <w:tcW w:w="236" w:type="pct"/>
            <w:shd w:val="clear" w:color="auto" w:fill="auto"/>
            <w:vAlign w:val="center"/>
          </w:tcPr>
          <w:p w:rsidR="004B45B8" w:rsidRPr="00DC0807" w:rsidRDefault="004B45B8" w:rsidP="00B8612B">
            <w:pPr>
              <w:keepNext/>
              <w:keepLines/>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12</w:t>
            </w:r>
          </w:p>
        </w:tc>
        <w:tc>
          <w:tcPr>
            <w:tcW w:w="550" w:type="pct"/>
            <w:shd w:val="clear" w:color="auto" w:fill="auto"/>
            <w:vAlign w:val="center"/>
          </w:tcPr>
          <w:p w:rsidR="004B45B8" w:rsidRPr="00DC0807" w:rsidRDefault="004B45B8" w:rsidP="00B82E7A">
            <w:pPr>
              <w:keepNext/>
              <w:keepLines/>
              <w:ind w:left="-103" w:right="-109"/>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34/44</w:t>
            </w:r>
            <w:r w:rsidR="00B82E7A" w:rsidRPr="00DC0807">
              <w:rPr>
                <w:rFonts w:ascii="Arial Narrow" w:hAnsi="Arial Narrow" w:cs="Calibri"/>
                <w:color w:val="000000"/>
                <w:sz w:val="20"/>
                <w:szCs w:val="20"/>
                <w:lang w:eastAsia="en-AU"/>
              </w:rPr>
              <w:t xml:space="preserve"> </w:t>
            </w:r>
            <w:r w:rsidRPr="00DC0807">
              <w:rPr>
                <w:rFonts w:ascii="Arial Narrow" w:hAnsi="Arial Narrow" w:cs="Calibri"/>
                <w:color w:val="000000"/>
                <w:sz w:val="20"/>
                <w:szCs w:val="20"/>
                <w:lang w:eastAsia="en-AU"/>
              </w:rPr>
              <w:t>(77.4)</w:t>
            </w:r>
          </w:p>
        </w:tc>
        <w:tc>
          <w:tcPr>
            <w:tcW w:w="552" w:type="pct"/>
            <w:shd w:val="clear" w:color="auto" w:fill="auto"/>
            <w:vAlign w:val="center"/>
          </w:tcPr>
          <w:p w:rsidR="004B45B8" w:rsidRPr="00DC0807" w:rsidRDefault="004B45B8" w:rsidP="00B82E7A">
            <w:pPr>
              <w:keepNext/>
              <w:keepLines/>
              <w:ind w:left="-104" w:right="-113"/>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629" w:type="pct"/>
            <w:vAlign w:val="center"/>
          </w:tcPr>
          <w:p w:rsidR="004B45B8" w:rsidRPr="00DC0807" w:rsidRDefault="004B45B8" w:rsidP="00B82E7A">
            <w:pPr>
              <w:keepNext/>
              <w:keepLines/>
              <w:ind w:right="-106"/>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786" w:type="pct"/>
            <w:shd w:val="clear" w:color="auto" w:fill="auto"/>
            <w:vAlign w:val="center"/>
          </w:tcPr>
          <w:p w:rsidR="004B45B8" w:rsidRPr="00DC0807" w:rsidRDefault="004B45B8" w:rsidP="00B82E7A">
            <w:pPr>
              <w:keepNext/>
              <w:keepLines/>
              <w:ind w:right="-249" w:hanging="252"/>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865" w:type="pct"/>
            <w:shd w:val="clear" w:color="auto" w:fill="auto"/>
            <w:vAlign w:val="center"/>
          </w:tcPr>
          <w:p w:rsidR="004B45B8" w:rsidRPr="00DC0807" w:rsidRDefault="004B45B8" w:rsidP="00B8612B">
            <w:pPr>
              <w:keepNext/>
              <w:keepLines/>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836" w:type="pct"/>
            <w:shd w:val="clear" w:color="auto" w:fill="auto"/>
            <w:vAlign w:val="center"/>
          </w:tcPr>
          <w:p w:rsidR="004B45B8" w:rsidRPr="00DC0807" w:rsidRDefault="004B45B8" w:rsidP="00B8612B">
            <w:pPr>
              <w:keepNext/>
              <w:keepLines/>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r>
      <w:tr w:rsidR="00B82E7A" w:rsidRPr="00DC0807" w:rsidTr="00B769C8">
        <w:trPr>
          <w:trHeight w:val="20"/>
        </w:trPr>
        <w:tc>
          <w:tcPr>
            <w:tcW w:w="546" w:type="pct"/>
            <w:vMerge/>
            <w:shd w:val="clear" w:color="auto" w:fill="auto"/>
            <w:vAlign w:val="center"/>
          </w:tcPr>
          <w:p w:rsidR="004B45B8" w:rsidRPr="00DC0807" w:rsidRDefault="004B45B8" w:rsidP="00B8612B">
            <w:pPr>
              <w:keepNext/>
              <w:keepLines/>
              <w:jc w:val="left"/>
              <w:rPr>
                <w:rFonts w:ascii="Arial Narrow" w:hAnsi="Arial Narrow" w:cs="Calibri"/>
                <w:color w:val="000000"/>
                <w:sz w:val="20"/>
                <w:szCs w:val="20"/>
                <w:lang w:eastAsia="en-AU"/>
              </w:rPr>
            </w:pPr>
          </w:p>
        </w:tc>
        <w:tc>
          <w:tcPr>
            <w:tcW w:w="236" w:type="pct"/>
            <w:shd w:val="clear" w:color="auto" w:fill="auto"/>
            <w:vAlign w:val="center"/>
          </w:tcPr>
          <w:p w:rsidR="004B45B8" w:rsidRPr="00DC0807" w:rsidRDefault="004B45B8" w:rsidP="00B8612B">
            <w:pPr>
              <w:keepNext/>
              <w:keepLines/>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28</w:t>
            </w:r>
          </w:p>
        </w:tc>
        <w:tc>
          <w:tcPr>
            <w:tcW w:w="550" w:type="pct"/>
            <w:shd w:val="clear" w:color="auto" w:fill="auto"/>
            <w:vAlign w:val="center"/>
          </w:tcPr>
          <w:p w:rsidR="004B45B8" w:rsidRPr="00DC0807" w:rsidRDefault="004B45B8" w:rsidP="00B82E7A">
            <w:pPr>
              <w:keepNext/>
              <w:keepLines/>
              <w:ind w:left="-103" w:right="-109"/>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35/44</w:t>
            </w:r>
            <w:r w:rsidR="00B82E7A" w:rsidRPr="00DC0807">
              <w:rPr>
                <w:rFonts w:ascii="Arial Narrow" w:hAnsi="Arial Narrow" w:cs="Calibri"/>
                <w:color w:val="000000"/>
                <w:sz w:val="20"/>
                <w:szCs w:val="20"/>
                <w:lang w:eastAsia="en-AU"/>
              </w:rPr>
              <w:t xml:space="preserve"> </w:t>
            </w:r>
            <w:r w:rsidRPr="00DC0807">
              <w:rPr>
                <w:rFonts w:ascii="Arial Narrow" w:hAnsi="Arial Narrow" w:cs="Calibri"/>
                <w:color w:val="000000"/>
                <w:sz w:val="20"/>
                <w:szCs w:val="20"/>
                <w:lang w:eastAsia="en-AU"/>
              </w:rPr>
              <w:t>(79.5)</w:t>
            </w:r>
          </w:p>
        </w:tc>
        <w:tc>
          <w:tcPr>
            <w:tcW w:w="552" w:type="pct"/>
            <w:shd w:val="clear" w:color="auto" w:fill="auto"/>
            <w:vAlign w:val="center"/>
          </w:tcPr>
          <w:p w:rsidR="004B45B8" w:rsidRPr="00DC0807" w:rsidRDefault="004B45B8" w:rsidP="00B82E7A">
            <w:pPr>
              <w:keepNext/>
              <w:keepLines/>
              <w:ind w:left="-104" w:right="-113"/>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629" w:type="pct"/>
            <w:vAlign w:val="center"/>
          </w:tcPr>
          <w:p w:rsidR="004B45B8" w:rsidRPr="00DC0807" w:rsidRDefault="004B45B8" w:rsidP="00B82E7A">
            <w:pPr>
              <w:keepNext/>
              <w:keepLines/>
              <w:ind w:right="-106"/>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786" w:type="pct"/>
            <w:shd w:val="clear" w:color="auto" w:fill="auto"/>
            <w:vAlign w:val="center"/>
          </w:tcPr>
          <w:p w:rsidR="004B45B8" w:rsidRPr="00DC0807" w:rsidRDefault="004B45B8" w:rsidP="00B82E7A">
            <w:pPr>
              <w:keepNext/>
              <w:keepLines/>
              <w:ind w:right="-249" w:hanging="252"/>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865" w:type="pct"/>
            <w:shd w:val="clear" w:color="auto" w:fill="auto"/>
            <w:vAlign w:val="center"/>
          </w:tcPr>
          <w:p w:rsidR="004B45B8" w:rsidRPr="00DC0807" w:rsidRDefault="004B45B8" w:rsidP="00B8612B">
            <w:pPr>
              <w:keepNext/>
              <w:keepLines/>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c>
          <w:tcPr>
            <w:tcW w:w="836" w:type="pct"/>
            <w:shd w:val="clear" w:color="auto" w:fill="auto"/>
            <w:vAlign w:val="center"/>
          </w:tcPr>
          <w:p w:rsidR="004B45B8" w:rsidRPr="00DC0807" w:rsidRDefault="004B45B8" w:rsidP="00B8612B">
            <w:pPr>
              <w:keepNext/>
              <w:keepLines/>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N/A</w:t>
            </w:r>
          </w:p>
        </w:tc>
      </w:tr>
      <w:tr w:rsidR="00B82E7A" w:rsidRPr="00DC0807" w:rsidTr="00B769C8">
        <w:trPr>
          <w:trHeight w:val="20"/>
        </w:trPr>
        <w:tc>
          <w:tcPr>
            <w:tcW w:w="546" w:type="pct"/>
            <w:shd w:val="clear" w:color="auto" w:fill="auto"/>
            <w:vAlign w:val="center"/>
            <w:hideMark/>
          </w:tcPr>
          <w:p w:rsidR="004B45B8" w:rsidRPr="00DC0807" w:rsidRDefault="004B45B8" w:rsidP="00B82E7A">
            <w:pPr>
              <w:keepNext/>
              <w:keepLines/>
              <w:ind w:right="-109"/>
              <w:jc w:val="left"/>
              <w:rPr>
                <w:rFonts w:ascii="Arial Narrow" w:hAnsi="Arial Narrow" w:cs="Calibri"/>
                <w:bCs/>
                <w:color w:val="000000"/>
                <w:sz w:val="20"/>
                <w:szCs w:val="20"/>
                <w:lang w:eastAsia="en-AU"/>
              </w:rPr>
            </w:pPr>
            <w:r w:rsidRPr="00DC0807">
              <w:rPr>
                <w:rFonts w:ascii="Arial Narrow" w:hAnsi="Arial Narrow" w:cs="Calibri"/>
                <w:bCs/>
                <w:color w:val="000000"/>
                <w:sz w:val="20"/>
                <w:szCs w:val="20"/>
                <w:lang w:eastAsia="en-AU"/>
              </w:rPr>
              <w:t>Paller 2008</w:t>
            </w:r>
          </w:p>
        </w:tc>
        <w:tc>
          <w:tcPr>
            <w:tcW w:w="236" w:type="pct"/>
            <w:shd w:val="clear" w:color="auto" w:fill="auto"/>
            <w:vAlign w:val="center"/>
          </w:tcPr>
          <w:p w:rsidR="004B45B8" w:rsidRPr="00DC0807" w:rsidRDefault="004B45B8" w:rsidP="00B8612B">
            <w:pPr>
              <w:keepNext/>
              <w:keepLines/>
              <w:jc w:val="center"/>
              <w:rPr>
                <w:rFonts w:ascii="Arial Narrow" w:hAnsi="Arial Narrow" w:cs="Calibri"/>
                <w:bCs/>
                <w:color w:val="000000"/>
                <w:sz w:val="20"/>
                <w:szCs w:val="20"/>
                <w:lang w:eastAsia="en-AU"/>
              </w:rPr>
            </w:pPr>
            <w:r w:rsidRPr="00DC0807">
              <w:rPr>
                <w:rFonts w:ascii="Arial Narrow" w:hAnsi="Arial Narrow" w:cs="Calibri"/>
                <w:color w:val="000000"/>
                <w:sz w:val="20"/>
                <w:szCs w:val="20"/>
                <w:lang w:eastAsia="en-AU"/>
              </w:rPr>
              <w:t>12</w:t>
            </w:r>
          </w:p>
        </w:tc>
        <w:tc>
          <w:tcPr>
            <w:tcW w:w="550" w:type="pct"/>
            <w:shd w:val="clear" w:color="auto" w:fill="auto"/>
            <w:vAlign w:val="center"/>
          </w:tcPr>
          <w:p w:rsidR="004B45B8" w:rsidRPr="00DC0807" w:rsidRDefault="004B45B8" w:rsidP="00B82E7A">
            <w:pPr>
              <w:keepNext/>
              <w:keepLines/>
              <w:ind w:left="-103" w:right="-109"/>
              <w:jc w:val="center"/>
              <w:rPr>
                <w:rFonts w:ascii="Arial Narrow" w:hAnsi="Arial Narrow" w:cs="Calibri"/>
                <w:bCs/>
                <w:color w:val="000000"/>
                <w:sz w:val="20"/>
                <w:szCs w:val="20"/>
                <w:lang w:eastAsia="en-AU"/>
              </w:rPr>
            </w:pPr>
            <w:r w:rsidRPr="00DC0807">
              <w:rPr>
                <w:rFonts w:ascii="Arial Narrow" w:hAnsi="Arial Narrow" w:cs="Calibri"/>
                <w:color w:val="000000"/>
                <w:sz w:val="20"/>
                <w:szCs w:val="20"/>
                <w:lang w:eastAsia="en-AU"/>
              </w:rPr>
              <w:t>N/A</w:t>
            </w:r>
          </w:p>
        </w:tc>
        <w:tc>
          <w:tcPr>
            <w:tcW w:w="552" w:type="pct"/>
            <w:shd w:val="clear" w:color="auto" w:fill="auto"/>
            <w:vAlign w:val="center"/>
          </w:tcPr>
          <w:p w:rsidR="004B45B8" w:rsidRPr="00DC0807" w:rsidRDefault="004B45B8" w:rsidP="00B82E7A">
            <w:pPr>
              <w:keepNext/>
              <w:keepLines/>
              <w:ind w:left="-104" w:right="-113"/>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14/105</w:t>
            </w:r>
            <w:r w:rsidR="00B82E7A" w:rsidRPr="00DC0807">
              <w:rPr>
                <w:rFonts w:ascii="Arial Narrow" w:hAnsi="Arial Narrow" w:cs="Calibri"/>
                <w:color w:val="000000"/>
                <w:sz w:val="20"/>
                <w:szCs w:val="20"/>
                <w:lang w:eastAsia="en-AU"/>
              </w:rPr>
              <w:t xml:space="preserve"> </w:t>
            </w:r>
            <w:r w:rsidRPr="00DC0807">
              <w:rPr>
                <w:rFonts w:ascii="Arial Narrow" w:hAnsi="Arial Narrow" w:cs="Calibri"/>
                <w:color w:val="000000"/>
                <w:sz w:val="20"/>
                <w:szCs w:val="20"/>
                <w:lang w:eastAsia="en-AU"/>
              </w:rPr>
              <w:t>(13.4)</w:t>
            </w:r>
          </w:p>
        </w:tc>
        <w:tc>
          <w:tcPr>
            <w:tcW w:w="629" w:type="pct"/>
            <w:vAlign w:val="center"/>
          </w:tcPr>
          <w:p w:rsidR="004B45B8" w:rsidRPr="00DC0807" w:rsidRDefault="004B45B8" w:rsidP="00B82E7A">
            <w:pPr>
              <w:keepNext/>
              <w:keepLines/>
              <w:ind w:left="-105" w:right="-106"/>
              <w:jc w:val="center"/>
              <w:rPr>
                <w:rFonts w:ascii="Arial Narrow" w:hAnsi="Arial Narrow" w:cs="Calibri"/>
                <w:color w:val="000000"/>
                <w:sz w:val="20"/>
                <w:szCs w:val="20"/>
                <w:lang w:eastAsia="en-AU"/>
              </w:rPr>
            </w:pPr>
            <w:r w:rsidRPr="00DC0807">
              <w:rPr>
                <w:rFonts w:ascii="Arial Narrow" w:hAnsi="Arial Narrow" w:cs="Calibri"/>
                <w:color w:val="000000"/>
                <w:sz w:val="20"/>
                <w:szCs w:val="20"/>
                <w:lang w:eastAsia="en-AU"/>
              </w:rPr>
              <w:t>56/106</w:t>
            </w:r>
            <w:r w:rsidR="00B82E7A" w:rsidRPr="00DC0807">
              <w:rPr>
                <w:rFonts w:ascii="Arial Narrow" w:hAnsi="Arial Narrow" w:cs="Calibri"/>
                <w:color w:val="000000"/>
                <w:sz w:val="20"/>
                <w:szCs w:val="20"/>
                <w:lang w:eastAsia="en-AU"/>
              </w:rPr>
              <w:t xml:space="preserve"> </w:t>
            </w:r>
            <w:r w:rsidRPr="00DC0807">
              <w:rPr>
                <w:rFonts w:ascii="Arial Narrow" w:hAnsi="Arial Narrow" w:cs="Calibri"/>
                <w:color w:val="000000"/>
                <w:sz w:val="20"/>
                <w:szCs w:val="20"/>
                <w:lang w:eastAsia="en-AU"/>
              </w:rPr>
              <w:t>(52.8)</w:t>
            </w:r>
          </w:p>
        </w:tc>
        <w:tc>
          <w:tcPr>
            <w:tcW w:w="786" w:type="pct"/>
            <w:shd w:val="clear" w:color="auto" w:fill="auto"/>
            <w:vAlign w:val="center"/>
          </w:tcPr>
          <w:p w:rsidR="004B45B8" w:rsidRPr="00DC0807" w:rsidRDefault="004B45B8" w:rsidP="00B82E7A">
            <w:pPr>
              <w:keepNext/>
              <w:keepLines/>
              <w:ind w:right="-249" w:hanging="252"/>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0.40</w:t>
            </w:r>
            <w:r w:rsidR="00982FA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(0.28,0.51)</w:t>
            </w:r>
            <w:r w:rsidR="00E27672" w:rsidRPr="00DC0807">
              <w:rPr>
                <w:rFonts w:ascii="Arial Narrow" w:hAnsi="Arial Narrow" w:cs="Calibri"/>
                <w:b/>
                <w:color w:val="000000"/>
                <w:sz w:val="20"/>
                <w:szCs w:val="20"/>
                <w:lang w:eastAsia="en-AU"/>
              </w:rPr>
              <w:t xml:space="preserve"> </w:t>
            </w:r>
            <w:r w:rsidR="00611953" w:rsidRPr="00DC0807">
              <w:rPr>
                <w:rFonts w:ascii="Arial Narrow" w:hAnsi="Arial Narrow" w:cs="Calibri"/>
                <w:b/>
                <w:color w:val="000000"/>
                <w:sz w:val="20"/>
                <w:szCs w:val="20"/>
                <w:vertAlign w:val="superscript"/>
                <w:lang w:eastAsia="en-AU"/>
              </w:rPr>
              <w:t>d</w:t>
            </w:r>
          </w:p>
        </w:tc>
        <w:tc>
          <w:tcPr>
            <w:tcW w:w="865" w:type="pct"/>
            <w:shd w:val="clear" w:color="auto" w:fill="auto"/>
            <w:vAlign w:val="center"/>
          </w:tcPr>
          <w:p w:rsidR="004B45B8" w:rsidRPr="00DC0807" w:rsidRDefault="004B45B8" w:rsidP="00B82E7A">
            <w:pPr>
              <w:keepNext/>
              <w:keepLines/>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3.96</w:t>
            </w:r>
            <w:r w:rsidR="00982FA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(2.36, 6.66)</w:t>
            </w:r>
          </w:p>
        </w:tc>
        <w:tc>
          <w:tcPr>
            <w:tcW w:w="836" w:type="pct"/>
            <w:shd w:val="clear" w:color="auto" w:fill="auto"/>
            <w:vAlign w:val="center"/>
          </w:tcPr>
          <w:p w:rsidR="004B45B8" w:rsidRPr="00DC0807" w:rsidRDefault="00B82E7A" w:rsidP="00B82E7A">
            <w:pPr>
              <w:keepNext/>
              <w:keepLines/>
              <w:ind w:right="-16"/>
              <w:jc w:val="center"/>
              <w:rPr>
                <w:rFonts w:ascii="Arial Narrow" w:hAnsi="Arial Narrow" w:cs="Calibri"/>
                <w:b/>
                <w:bCs/>
                <w:color w:val="000000"/>
                <w:sz w:val="20"/>
                <w:szCs w:val="20"/>
                <w:lang w:eastAsia="en-AU"/>
              </w:rPr>
            </w:pPr>
            <w:r w:rsidRPr="00DC0807">
              <w:rPr>
                <w:rFonts w:ascii="Arial Narrow" w:hAnsi="Arial Narrow" w:cs="Calibri"/>
                <w:b/>
                <w:color w:val="000000"/>
                <w:sz w:val="20"/>
                <w:szCs w:val="20"/>
                <w:lang w:eastAsia="en-AU"/>
              </w:rPr>
              <w:t xml:space="preserve">7.2 </w:t>
            </w:r>
            <w:r w:rsidR="004B45B8" w:rsidRPr="00DC0807">
              <w:rPr>
                <w:rFonts w:ascii="Arial Narrow" w:hAnsi="Arial Narrow" w:cs="Calibri"/>
                <w:b/>
                <w:color w:val="000000"/>
                <w:sz w:val="20"/>
                <w:szCs w:val="20"/>
                <w:lang w:eastAsia="en-AU"/>
              </w:rPr>
              <w:t>(3.69,14.37)</w:t>
            </w:r>
          </w:p>
        </w:tc>
      </w:tr>
      <w:tr w:rsidR="004B45B8" w:rsidRPr="00DC0807" w:rsidTr="00B8612B">
        <w:trPr>
          <w:trHeight w:val="20"/>
        </w:trPr>
        <w:tc>
          <w:tcPr>
            <w:tcW w:w="5000" w:type="pct"/>
            <w:gridSpan w:val="8"/>
            <w:shd w:val="clear" w:color="auto" w:fill="auto"/>
            <w:vAlign w:val="center"/>
          </w:tcPr>
          <w:p w:rsidR="004B45B8" w:rsidRPr="00DC0807" w:rsidRDefault="004B45B8" w:rsidP="00B8612B">
            <w:pPr>
              <w:keepNext/>
              <w:keepLines/>
              <w:jc w:val="left"/>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 xml:space="preserve">PGA </w:t>
            </w:r>
            <w:r w:rsidRPr="00DC0807">
              <w:rPr>
                <w:rFonts w:ascii="Arial Narrow" w:hAnsi="Arial Narrow" w:cs="Calibri"/>
                <w:b/>
                <w:color w:val="000000"/>
                <w:sz w:val="20"/>
                <w:szCs w:val="20"/>
                <w:u w:val="single"/>
                <w:lang w:eastAsia="en-AU"/>
              </w:rPr>
              <w:t>response rates</w:t>
            </w:r>
          </w:p>
        </w:tc>
      </w:tr>
      <w:tr w:rsidR="004B45B8" w:rsidRPr="00DC0807" w:rsidTr="00B769C8">
        <w:trPr>
          <w:trHeight w:val="20"/>
        </w:trPr>
        <w:tc>
          <w:tcPr>
            <w:tcW w:w="2513" w:type="pct"/>
            <w:gridSpan w:val="5"/>
            <w:shd w:val="clear" w:color="auto" w:fill="auto"/>
          </w:tcPr>
          <w:p w:rsidR="004B45B8" w:rsidRPr="00DC0807" w:rsidRDefault="004B45B8" w:rsidP="00B769C8">
            <w:pPr>
              <w:keepNext/>
              <w:keepLines/>
              <w:ind w:left="317" w:right="-106" w:hanging="284"/>
              <w:jc w:val="left"/>
              <w:rPr>
                <w:rFonts w:ascii="Arial Narrow" w:hAnsi="Arial Narrow"/>
                <w:sz w:val="20"/>
                <w:szCs w:val="20"/>
              </w:rPr>
            </w:pPr>
            <w:r w:rsidRPr="00DC0807">
              <w:rPr>
                <w:rFonts w:ascii="Arial Narrow" w:hAnsi="Arial Narrow"/>
                <w:sz w:val="20"/>
                <w:szCs w:val="20"/>
              </w:rPr>
              <w:t>Week 12 pooled ustekinumab versus etanercept</w:t>
            </w:r>
          </w:p>
        </w:tc>
        <w:tc>
          <w:tcPr>
            <w:tcW w:w="786" w:type="pct"/>
            <w:shd w:val="clear" w:color="auto" w:fill="auto"/>
            <w:vAlign w:val="center"/>
          </w:tcPr>
          <w:p w:rsidR="004B45B8" w:rsidRPr="00DC0807" w:rsidRDefault="004B45B8" w:rsidP="00B769C8">
            <w:pPr>
              <w:keepNext/>
              <w:keepLines/>
              <w:ind w:left="-111" w:right="-112"/>
              <w:jc w:val="center"/>
              <w:rPr>
                <w:rFonts w:ascii="Arial Narrow" w:hAnsi="Arial Narrow"/>
                <w:b/>
                <w:sz w:val="20"/>
                <w:szCs w:val="20"/>
              </w:rPr>
            </w:pPr>
            <w:r w:rsidRPr="00DC0807">
              <w:rPr>
                <w:rFonts w:ascii="Arial Narrow" w:hAnsi="Arial Narrow"/>
                <w:b/>
                <w:sz w:val="20"/>
                <w:szCs w:val="20"/>
              </w:rPr>
              <w:t>0.29 (0.12, 0.46)</w:t>
            </w:r>
          </w:p>
        </w:tc>
        <w:tc>
          <w:tcPr>
            <w:tcW w:w="865" w:type="pct"/>
            <w:shd w:val="clear" w:color="auto" w:fill="auto"/>
            <w:vAlign w:val="center"/>
          </w:tcPr>
          <w:p w:rsidR="004B45B8" w:rsidRPr="00DC0807" w:rsidRDefault="004B45B8" w:rsidP="00B82E7A">
            <w:pPr>
              <w:keepNext/>
              <w:keepLines/>
              <w:jc w:val="center"/>
              <w:rPr>
                <w:rFonts w:ascii="Arial Narrow" w:hAnsi="Arial Narrow"/>
                <w:bCs/>
                <w:sz w:val="20"/>
                <w:szCs w:val="20"/>
              </w:rPr>
            </w:pPr>
            <w:r w:rsidRPr="00DC0807">
              <w:rPr>
                <w:rFonts w:ascii="Arial Narrow" w:hAnsi="Arial Narrow"/>
                <w:bCs/>
                <w:sz w:val="20"/>
                <w:szCs w:val="20"/>
              </w:rPr>
              <w:t>3.44 (0.81, 14.69)</w:t>
            </w:r>
          </w:p>
        </w:tc>
        <w:tc>
          <w:tcPr>
            <w:tcW w:w="836" w:type="pct"/>
            <w:shd w:val="clear" w:color="auto" w:fill="auto"/>
            <w:vAlign w:val="center"/>
          </w:tcPr>
          <w:p w:rsidR="004B45B8" w:rsidRPr="00DC0807" w:rsidRDefault="004B45B8" w:rsidP="00B769C8">
            <w:pPr>
              <w:keepNext/>
              <w:keepLines/>
              <w:ind w:left="-109" w:right="-16"/>
              <w:jc w:val="center"/>
              <w:rPr>
                <w:rFonts w:ascii="Arial Narrow" w:hAnsi="Arial Narrow" w:cs="Calibri"/>
                <w:b/>
                <w:color w:val="000000"/>
                <w:sz w:val="20"/>
                <w:szCs w:val="20"/>
              </w:rPr>
            </w:pPr>
            <w:r w:rsidRPr="00DC0807">
              <w:rPr>
                <w:rFonts w:ascii="Arial Narrow" w:hAnsi="Arial Narrow" w:cs="Calibri"/>
                <w:b/>
                <w:color w:val="000000"/>
                <w:sz w:val="20"/>
                <w:szCs w:val="20"/>
              </w:rPr>
              <w:t>6.75</w:t>
            </w:r>
            <w:r w:rsidR="00B82E7A" w:rsidRPr="00DC0807">
              <w:rPr>
                <w:rFonts w:ascii="Arial Narrow" w:hAnsi="Arial Narrow" w:cs="Calibri"/>
                <w:b/>
                <w:color w:val="000000"/>
                <w:sz w:val="20"/>
                <w:szCs w:val="20"/>
              </w:rPr>
              <w:t xml:space="preserve"> </w:t>
            </w:r>
            <w:r w:rsidRPr="00DC0807">
              <w:rPr>
                <w:rFonts w:ascii="Arial Narrow" w:hAnsi="Arial Narrow" w:cs="Calibri"/>
                <w:b/>
                <w:color w:val="000000"/>
                <w:sz w:val="20"/>
                <w:szCs w:val="20"/>
              </w:rPr>
              <w:t>(1.29, 35.36)</w:t>
            </w:r>
          </w:p>
        </w:tc>
      </w:tr>
      <w:tr w:rsidR="004B45B8" w:rsidRPr="00DC0807" w:rsidTr="00B769C8">
        <w:trPr>
          <w:trHeight w:val="20"/>
        </w:trPr>
        <w:tc>
          <w:tcPr>
            <w:tcW w:w="2513" w:type="pct"/>
            <w:gridSpan w:val="5"/>
            <w:shd w:val="clear" w:color="auto" w:fill="auto"/>
          </w:tcPr>
          <w:p w:rsidR="0036083D" w:rsidRPr="00DC0807" w:rsidRDefault="004B45B8" w:rsidP="00B769C8">
            <w:pPr>
              <w:keepNext/>
              <w:keepLines/>
              <w:ind w:left="317" w:right="-106" w:hanging="284"/>
              <w:jc w:val="left"/>
              <w:rPr>
                <w:rFonts w:ascii="Arial Narrow" w:hAnsi="Arial Narrow"/>
                <w:sz w:val="20"/>
                <w:szCs w:val="20"/>
              </w:rPr>
            </w:pPr>
            <w:r w:rsidRPr="00DC0807">
              <w:rPr>
                <w:rFonts w:ascii="Arial Narrow" w:hAnsi="Arial Narrow"/>
                <w:sz w:val="20"/>
                <w:szCs w:val="20"/>
              </w:rPr>
              <w:t>Week 12 CADMUS vs Paller 2008</w:t>
            </w:r>
            <w:r w:rsidR="00B769C8" w:rsidRPr="00DC0807">
              <w:rPr>
                <w:rFonts w:ascii="Arial Narrow" w:hAnsi="Arial Narrow"/>
                <w:sz w:val="20"/>
                <w:szCs w:val="20"/>
              </w:rPr>
              <w:t xml:space="preserve"> </w:t>
            </w:r>
            <w:r w:rsidR="0036083D" w:rsidRPr="00DC0807">
              <w:rPr>
                <w:rFonts w:ascii="Arial Narrow" w:hAnsi="Arial Narrow"/>
                <w:sz w:val="20"/>
                <w:szCs w:val="20"/>
              </w:rPr>
              <w:t>(excludes CADMUS JR)</w:t>
            </w:r>
          </w:p>
        </w:tc>
        <w:tc>
          <w:tcPr>
            <w:tcW w:w="786" w:type="pct"/>
            <w:shd w:val="clear" w:color="auto" w:fill="auto"/>
            <w:vAlign w:val="center"/>
          </w:tcPr>
          <w:p w:rsidR="004B45B8" w:rsidRPr="00DC0807" w:rsidRDefault="004B45B8" w:rsidP="00B769C8">
            <w:pPr>
              <w:keepNext/>
              <w:keepLines/>
              <w:ind w:left="-111" w:right="-112"/>
              <w:jc w:val="center"/>
              <w:rPr>
                <w:rFonts w:ascii="Arial Narrow" w:hAnsi="Arial Narrow"/>
                <w:b/>
                <w:sz w:val="20"/>
                <w:szCs w:val="20"/>
              </w:rPr>
            </w:pPr>
            <w:r w:rsidRPr="00DC0807">
              <w:rPr>
                <w:rFonts w:ascii="Arial Narrow" w:hAnsi="Arial Narrow"/>
                <w:b/>
                <w:sz w:val="20"/>
                <w:szCs w:val="20"/>
              </w:rPr>
              <w:t>0.24 (0.04, 0.44)</w:t>
            </w:r>
          </w:p>
        </w:tc>
        <w:tc>
          <w:tcPr>
            <w:tcW w:w="865" w:type="pct"/>
            <w:shd w:val="clear" w:color="auto" w:fill="auto"/>
            <w:vAlign w:val="center"/>
          </w:tcPr>
          <w:p w:rsidR="004B45B8" w:rsidRPr="00DC0807" w:rsidRDefault="004B45B8" w:rsidP="00B82E7A">
            <w:pPr>
              <w:keepNext/>
              <w:keepLines/>
              <w:jc w:val="center"/>
              <w:rPr>
                <w:rFonts w:ascii="Arial Narrow" w:hAnsi="Arial Narrow"/>
                <w:sz w:val="20"/>
                <w:szCs w:val="20"/>
              </w:rPr>
            </w:pPr>
            <w:r w:rsidRPr="00DC0807">
              <w:rPr>
                <w:rFonts w:ascii="Arial Narrow" w:hAnsi="Arial Narrow"/>
                <w:sz w:val="20"/>
                <w:szCs w:val="20"/>
              </w:rPr>
              <w:t>3.25 (0.75, 13.98)</w:t>
            </w:r>
          </w:p>
        </w:tc>
        <w:tc>
          <w:tcPr>
            <w:tcW w:w="836" w:type="pct"/>
            <w:shd w:val="clear" w:color="auto" w:fill="auto"/>
            <w:vAlign w:val="center"/>
          </w:tcPr>
          <w:p w:rsidR="004B45B8" w:rsidRPr="00DC0807" w:rsidRDefault="004B45B8" w:rsidP="00B769C8">
            <w:pPr>
              <w:keepNext/>
              <w:keepLines/>
              <w:ind w:left="-109" w:right="-16"/>
              <w:jc w:val="center"/>
              <w:rPr>
                <w:rFonts w:ascii="Arial Narrow" w:hAnsi="Arial Narrow"/>
                <w:sz w:val="20"/>
                <w:szCs w:val="20"/>
              </w:rPr>
            </w:pPr>
            <w:r w:rsidRPr="00DC0807">
              <w:rPr>
                <w:rFonts w:ascii="Arial Narrow" w:hAnsi="Arial Narrow"/>
                <w:sz w:val="20"/>
                <w:szCs w:val="20"/>
              </w:rPr>
              <w:t>5.45</w:t>
            </w:r>
            <w:r w:rsidR="00982FAA" w:rsidRPr="00DC0807">
              <w:rPr>
                <w:rFonts w:ascii="Arial Narrow" w:hAnsi="Arial Narrow"/>
                <w:sz w:val="20"/>
                <w:szCs w:val="20"/>
              </w:rPr>
              <w:t xml:space="preserve"> </w:t>
            </w:r>
            <w:r w:rsidRPr="00DC0807">
              <w:rPr>
                <w:rFonts w:ascii="Arial Narrow" w:hAnsi="Arial Narrow"/>
                <w:sz w:val="20"/>
                <w:szCs w:val="20"/>
              </w:rPr>
              <w:t>(0.97, 30.8)</w:t>
            </w:r>
          </w:p>
        </w:tc>
      </w:tr>
      <w:tr w:rsidR="004B45B8" w:rsidRPr="00DC0807" w:rsidTr="00B769C8">
        <w:trPr>
          <w:trHeight w:val="20"/>
        </w:trPr>
        <w:tc>
          <w:tcPr>
            <w:tcW w:w="2513" w:type="pct"/>
            <w:gridSpan w:val="5"/>
            <w:shd w:val="clear" w:color="auto" w:fill="auto"/>
          </w:tcPr>
          <w:p w:rsidR="004B45B8" w:rsidRPr="00DC0807" w:rsidRDefault="004B45B8" w:rsidP="00B769C8">
            <w:pPr>
              <w:keepNext/>
              <w:keepLines/>
              <w:ind w:left="317" w:right="-106" w:hanging="284"/>
              <w:jc w:val="left"/>
              <w:rPr>
                <w:rFonts w:ascii="Arial Narrow" w:hAnsi="Arial Narrow"/>
                <w:sz w:val="20"/>
                <w:szCs w:val="20"/>
              </w:rPr>
            </w:pPr>
            <w:r w:rsidRPr="00DC0807">
              <w:rPr>
                <w:rFonts w:ascii="Arial Narrow" w:hAnsi="Arial Narrow"/>
                <w:sz w:val="20"/>
                <w:szCs w:val="20"/>
              </w:rPr>
              <w:t>Week 24/28 pooled ustekinumab versus etanercept</w:t>
            </w:r>
          </w:p>
        </w:tc>
        <w:tc>
          <w:tcPr>
            <w:tcW w:w="786" w:type="pct"/>
            <w:shd w:val="clear" w:color="auto" w:fill="auto"/>
            <w:vAlign w:val="center"/>
          </w:tcPr>
          <w:p w:rsidR="004B45B8" w:rsidRPr="00DC0807" w:rsidRDefault="004B45B8" w:rsidP="00B769C8">
            <w:pPr>
              <w:keepNext/>
              <w:keepLines/>
              <w:ind w:left="-111" w:right="-112"/>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0.31 (0.15, 0.48)</w:t>
            </w:r>
          </w:p>
        </w:tc>
        <w:tc>
          <w:tcPr>
            <w:tcW w:w="865" w:type="pct"/>
            <w:shd w:val="clear" w:color="auto" w:fill="auto"/>
            <w:vAlign w:val="center"/>
          </w:tcPr>
          <w:p w:rsidR="004B45B8" w:rsidRPr="00DC0807" w:rsidRDefault="004B45B8" w:rsidP="00B8612B">
            <w:pPr>
              <w:keepNext/>
              <w:keepLines/>
              <w:jc w:val="center"/>
              <w:rPr>
                <w:rFonts w:ascii="Arial Narrow" w:hAnsi="Arial Narrow"/>
                <w:bCs/>
                <w:sz w:val="20"/>
                <w:szCs w:val="20"/>
              </w:rPr>
            </w:pPr>
            <w:r w:rsidRPr="00DC0807">
              <w:rPr>
                <w:rFonts w:ascii="Arial Narrow" w:hAnsi="Arial Narrow" w:cs="Calibri"/>
                <w:bCs/>
                <w:color w:val="000000"/>
                <w:sz w:val="20"/>
                <w:szCs w:val="20"/>
                <w:lang w:eastAsia="en-AU"/>
              </w:rPr>
              <w:t>3.56 (0.84, 15.17)</w:t>
            </w:r>
          </w:p>
        </w:tc>
        <w:tc>
          <w:tcPr>
            <w:tcW w:w="836" w:type="pct"/>
            <w:shd w:val="clear" w:color="auto" w:fill="auto"/>
            <w:vAlign w:val="center"/>
          </w:tcPr>
          <w:p w:rsidR="004B45B8" w:rsidRPr="00DC0807" w:rsidRDefault="004B45B8" w:rsidP="00B769C8">
            <w:pPr>
              <w:keepNext/>
              <w:keepLines/>
              <w:ind w:left="-109" w:right="-16"/>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7.72</w:t>
            </w:r>
            <w:r w:rsidR="00B82E7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(1.47, 40.61)</w:t>
            </w:r>
          </w:p>
        </w:tc>
      </w:tr>
      <w:tr w:rsidR="004B45B8" w:rsidRPr="00DC0807" w:rsidTr="00B8612B">
        <w:trPr>
          <w:trHeight w:val="20"/>
        </w:trPr>
        <w:tc>
          <w:tcPr>
            <w:tcW w:w="5000" w:type="pct"/>
            <w:gridSpan w:val="8"/>
            <w:shd w:val="clear" w:color="auto" w:fill="auto"/>
            <w:vAlign w:val="center"/>
          </w:tcPr>
          <w:p w:rsidR="004B45B8" w:rsidRPr="00DC0807" w:rsidRDefault="004B45B8" w:rsidP="00B769C8">
            <w:pPr>
              <w:keepNext/>
              <w:keepLines/>
              <w:ind w:right="-106"/>
              <w:jc w:val="left"/>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 xml:space="preserve">PGA </w:t>
            </w:r>
            <w:r w:rsidRPr="00DC0807">
              <w:rPr>
                <w:rFonts w:ascii="Arial Narrow" w:hAnsi="Arial Narrow" w:cs="Calibri"/>
                <w:b/>
                <w:color w:val="000000"/>
                <w:sz w:val="20"/>
                <w:szCs w:val="20"/>
                <w:u w:val="single"/>
                <w:lang w:eastAsia="en-AU"/>
              </w:rPr>
              <w:t>non-response rates</w:t>
            </w:r>
          </w:p>
        </w:tc>
      </w:tr>
      <w:tr w:rsidR="004B45B8" w:rsidRPr="00DC0807" w:rsidTr="00B769C8">
        <w:trPr>
          <w:trHeight w:val="20"/>
        </w:trPr>
        <w:tc>
          <w:tcPr>
            <w:tcW w:w="2513" w:type="pct"/>
            <w:gridSpan w:val="5"/>
            <w:shd w:val="clear" w:color="auto" w:fill="auto"/>
          </w:tcPr>
          <w:p w:rsidR="004B45B8" w:rsidRPr="00DC0807" w:rsidRDefault="004B45B8" w:rsidP="00B769C8">
            <w:pPr>
              <w:keepNext/>
              <w:keepLines/>
              <w:ind w:left="1161" w:right="-106" w:hanging="1128"/>
              <w:jc w:val="left"/>
              <w:rPr>
                <w:rFonts w:ascii="Arial Narrow" w:hAnsi="Arial Narrow"/>
                <w:sz w:val="20"/>
                <w:szCs w:val="20"/>
              </w:rPr>
            </w:pPr>
            <w:r w:rsidRPr="00DC0807">
              <w:rPr>
                <w:rFonts w:ascii="Arial Narrow" w:hAnsi="Arial Narrow"/>
                <w:sz w:val="20"/>
                <w:szCs w:val="20"/>
              </w:rPr>
              <w:t>Week 12 pooled ustekinumab versus etanercept</w:t>
            </w:r>
          </w:p>
        </w:tc>
        <w:tc>
          <w:tcPr>
            <w:tcW w:w="786" w:type="pct"/>
            <w:shd w:val="clear" w:color="auto" w:fill="auto"/>
            <w:vAlign w:val="center"/>
          </w:tcPr>
          <w:p w:rsidR="004B45B8" w:rsidRPr="00DC0807" w:rsidRDefault="004B45B8" w:rsidP="00B769C8">
            <w:pPr>
              <w:keepNext/>
              <w:keepLines/>
              <w:ind w:left="-111" w:right="-112"/>
              <w:jc w:val="center"/>
              <w:rPr>
                <w:rFonts w:ascii="Arial Narrow" w:hAnsi="Arial Narrow"/>
                <w:b/>
                <w:sz w:val="20"/>
                <w:szCs w:val="20"/>
              </w:rPr>
            </w:pPr>
            <w:r w:rsidRPr="00DC0807">
              <w:rPr>
                <w:rFonts w:ascii="Arial Narrow" w:hAnsi="Arial Narrow"/>
                <w:b/>
                <w:sz w:val="20"/>
                <w:szCs w:val="20"/>
              </w:rPr>
              <w:t>-0.3 (-0.46, -0.13)</w:t>
            </w:r>
          </w:p>
        </w:tc>
        <w:tc>
          <w:tcPr>
            <w:tcW w:w="865" w:type="pct"/>
            <w:shd w:val="clear" w:color="auto" w:fill="auto"/>
            <w:vAlign w:val="center"/>
          </w:tcPr>
          <w:p w:rsidR="004B45B8" w:rsidRPr="00DC0807" w:rsidRDefault="004B45B8" w:rsidP="00B8612B">
            <w:pPr>
              <w:keepNext/>
              <w:keepLines/>
              <w:jc w:val="center"/>
              <w:rPr>
                <w:rFonts w:ascii="Arial Narrow" w:hAnsi="Arial Narrow" w:cs="Calibri"/>
                <w:b/>
                <w:color w:val="000000"/>
                <w:sz w:val="20"/>
                <w:szCs w:val="20"/>
                <w:lang w:eastAsia="en-AU"/>
              </w:rPr>
            </w:pPr>
            <w:r w:rsidRPr="00DC0807">
              <w:rPr>
                <w:rFonts w:ascii="Arial Narrow" w:hAnsi="Arial Narrow"/>
                <w:b/>
                <w:sz w:val="20"/>
                <w:szCs w:val="20"/>
              </w:rPr>
              <w:t>0.5 (0.32, 0.77</w:t>
            </w:r>
            <w:r w:rsidRPr="00DC0807">
              <w:rPr>
                <w:rFonts w:ascii="Arial Narrow" w:hAnsi="Arial Narrow"/>
                <w:b/>
                <w:bCs/>
                <w:sz w:val="20"/>
                <w:szCs w:val="20"/>
              </w:rPr>
              <w:t>)</w:t>
            </w:r>
          </w:p>
        </w:tc>
        <w:tc>
          <w:tcPr>
            <w:tcW w:w="836" w:type="pct"/>
            <w:shd w:val="clear" w:color="auto" w:fill="auto"/>
            <w:vAlign w:val="center"/>
          </w:tcPr>
          <w:p w:rsidR="004B45B8" w:rsidRPr="00DC0807" w:rsidRDefault="004B45B8" w:rsidP="00B769C8">
            <w:pPr>
              <w:keepNext/>
              <w:keepLines/>
              <w:jc w:val="center"/>
              <w:rPr>
                <w:rFonts w:ascii="Arial Narrow" w:hAnsi="Arial Narrow" w:cs="Calibri"/>
                <w:b/>
                <w:color w:val="000000"/>
                <w:sz w:val="20"/>
                <w:szCs w:val="20"/>
              </w:rPr>
            </w:pPr>
            <w:r w:rsidRPr="00DC0807">
              <w:rPr>
                <w:rFonts w:ascii="Arial Narrow" w:hAnsi="Arial Narrow" w:cs="Calibri"/>
                <w:b/>
                <w:color w:val="000000"/>
                <w:sz w:val="20"/>
                <w:szCs w:val="20"/>
              </w:rPr>
              <w:t>0.14</w:t>
            </w:r>
            <w:r w:rsidR="00982FAA" w:rsidRPr="00DC0807">
              <w:rPr>
                <w:rFonts w:ascii="Arial Narrow" w:hAnsi="Arial Narrow" w:cs="Calibri"/>
                <w:b/>
                <w:color w:val="000000"/>
                <w:sz w:val="20"/>
                <w:szCs w:val="20"/>
              </w:rPr>
              <w:t xml:space="preserve"> </w:t>
            </w:r>
            <w:r w:rsidRPr="00DC0807">
              <w:rPr>
                <w:rFonts w:ascii="Arial Narrow" w:hAnsi="Arial Narrow" w:cs="Calibri"/>
                <w:b/>
                <w:color w:val="000000"/>
                <w:sz w:val="20"/>
                <w:szCs w:val="20"/>
              </w:rPr>
              <w:t>(0.03, 0.75)</w:t>
            </w:r>
          </w:p>
        </w:tc>
      </w:tr>
      <w:tr w:rsidR="004B45B8" w:rsidRPr="00DC0807" w:rsidTr="00B769C8">
        <w:trPr>
          <w:trHeight w:val="20"/>
        </w:trPr>
        <w:tc>
          <w:tcPr>
            <w:tcW w:w="2513" w:type="pct"/>
            <w:gridSpan w:val="5"/>
            <w:shd w:val="clear" w:color="auto" w:fill="auto"/>
          </w:tcPr>
          <w:p w:rsidR="0036083D" w:rsidRPr="00DC0807" w:rsidRDefault="004B45B8" w:rsidP="00B769C8">
            <w:pPr>
              <w:keepNext/>
              <w:keepLines/>
              <w:ind w:left="1161" w:right="-106" w:hanging="1128"/>
              <w:jc w:val="left"/>
              <w:rPr>
                <w:rFonts w:ascii="Arial Narrow" w:hAnsi="Arial Narrow"/>
                <w:sz w:val="20"/>
                <w:szCs w:val="20"/>
              </w:rPr>
            </w:pPr>
            <w:r w:rsidRPr="00DC0807">
              <w:rPr>
                <w:rFonts w:ascii="Arial Narrow" w:hAnsi="Arial Narrow"/>
                <w:sz w:val="20"/>
                <w:szCs w:val="20"/>
              </w:rPr>
              <w:t>Week 12 CADMUS vs Paller 2008</w:t>
            </w:r>
            <w:r w:rsidR="00B769C8" w:rsidRPr="00DC0807">
              <w:rPr>
                <w:rFonts w:ascii="Arial Narrow" w:hAnsi="Arial Narrow"/>
                <w:sz w:val="20"/>
                <w:szCs w:val="20"/>
              </w:rPr>
              <w:t xml:space="preserve"> </w:t>
            </w:r>
            <w:r w:rsidR="0036083D" w:rsidRPr="00DC0807">
              <w:rPr>
                <w:rFonts w:ascii="Arial Narrow" w:hAnsi="Arial Narrow"/>
                <w:sz w:val="20"/>
                <w:szCs w:val="20"/>
              </w:rPr>
              <w:t>(excludes CADMUS JR)</w:t>
            </w:r>
          </w:p>
        </w:tc>
        <w:tc>
          <w:tcPr>
            <w:tcW w:w="786" w:type="pct"/>
            <w:shd w:val="clear" w:color="auto" w:fill="auto"/>
            <w:vAlign w:val="center"/>
          </w:tcPr>
          <w:p w:rsidR="004B45B8" w:rsidRPr="00DC0807" w:rsidRDefault="004B45B8" w:rsidP="00B769C8">
            <w:pPr>
              <w:keepNext/>
              <w:keepLines/>
              <w:ind w:left="-111" w:right="-112"/>
              <w:jc w:val="center"/>
              <w:rPr>
                <w:rFonts w:ascii="Arial Narrow" w:hAnsi="Arial Narrow"/>
                <w:b/>
                <w:sz w:val="20"/>
                <w:szCs w:val="20"/>
              </w:rPr>
            </w:pPr>
            <w:r w:rsidRPr="00DC0807">
              <w:rPr>
                <w:rFonts w:ascii="Arial Narrow" w:hAnsi="Arial Narrow"/>
                <w:b/>
                <w:sz w:val="20"/>
                <w:szCs w:val="20"/>
              </w:rPr>
              <w:t>-0.24 (-0.44,-0.04)</w:t>
            </w:r>
          </w:p>
        </w:tc>
        <w:tc>
          <w:tcPr>
            <w:tcW w:w="865" w:type="pct"/>
            <w:shd w:val="clear" w:color="auto" w:fill="auto"/>
            <w:vAlign w:val="center"/>
          </w:tcPr>
          <w:p w:rsidR="004B45B8" w:rsidRPr="00DC0807" w:rsidRDefault="004B45B8" w:rsidP="00B769C8">
            <w:pPr>
              <w:keepNext/>
              <w:keepLines/>
              <w:jc w:val="center"/>
              <w:rPr>
                <w:rFonts w:ascii="Arial Narrow" w:hAnsi="Arial Narrow"/>
                <w:sz w:val="20"/>
                <w:szCs w:val="20"/>
              </w:rPr>
            </w:pPr>
            <w:r w:rsidRPr="00DC0807">
              <w:rPr>
                <w:rFonts w:ascii="Arial Narrow" w:hAnsi="Arial Narrow"/>
                <w:sz w:val="20"/>
                <w:szCs w:val="20"/>
              </w:rPr>
              <w:t>0.59 (0.35, 1.01)</w:t>
            </w:r>
          </w:p>
        </w:tc>
        <w:tc>
          <w:tcPr>
            <w:tcW w:w="836" w:type="pct"/>
            <w:shd w:val="clear" w:color="auto" w:fill="auto"/>
            <w:vAlign w:val="center"/>
          </w:tcPr>
          <w:p w:rsidR="004B45B8" w:rsidRPr="00DC0807" w:rsidRDefault="004B45B8" w:rsidP="00B8612B">
            <w:pPr>
              <w:keepNext/>
              <w:keepLines/>
              <w:jc w:val="center"/>
              <w:rPr>
                <w:rFonts w:ascii="Arial Narrow" w:hAnsi="Arial Narrow"/>
                <w:sz w:val="20"/>
                <w:szCs w:val="20"/>
              </w:rPr>
            </w:pPr>
            <w:r w:rsidRPr="00DC0807">
              <w:rPr>
                <w:rFonts w:ascii="Arial Narrow" w:hAnsi="Arial Narrow"/>
                <w:sz w:val="20"/>
                <w:szCs w:val="20"/>
              </w:rPr>
              <w:t>0.19</w:t>
            </w:r>
            <w:r w:rsidR="00982FAA" w:rsidRPr="00DC0807">
              <w:rPr>
                <w:rFonts w:ascii="Arial Narrow" w:hAnsi="Arial Narrow"/>
                <w:sz w:val="20"/>
                <w:szCs w:val="20"/>
              </w:rPr>
              <w:t xml:space="preserve"> </w:t>
            </w:r>
            <w:r w:rsidRPr="00DC0807">
              <w:rPr>
                <w:rFonts w:ascii="Arial Narrow" w:hAnsi="Arial Narrow"/>
                <w:sz w:val="20"/>
                <w:szCs w:val="20"/>
              </w:rPr>
              <w:t>(0.02,1.42)</w:t>
            </w:r>
          </w:p>
        </w:tc>
      </w:tr>
      <w:tr w:rsidR="004B45B8" w:rsidRPr="00DC0807" w:rsidTr="00B769C8">
        <w:trPr>
          <w:trHeight w:val="20"/>
        </w:trPr>
        <w:tc>
          <w:tcPr>
            <w:tcW w:w="2513" w:type="pct"/>
            <w:gridSpan w:val="5"/>
            <w:shd w:val="clear" w:color="auto" w:fill="auto"/>
          </w:tcPr>
          <w:p w:rsidR="004B45B8" w:rsidRPr="00DC0807" w:rsidRDefault="004B45B8" w:rsidP="00B769C8">
            <w:pPr>
              <w:keepNext/>
              <w:keepLines/>
              <w:ind w:left="1161" w:right="-106" w:hanging="1128"/>
              <w:jc w:val="left"/>
              <w:rPr>
                <w:rFonts w:ascii="Arial Narrow" w:hAnsi="Arial Narrow"/>
                <w:sz w:val="20"/>
                <w:szCs w:val="20"/>
              </w:rPr>
            </w:pPr>
            <w:r w:rsidRPr="00DC0807">
              <w:rPr>
                <w:rFonts w:ascii="Arial Narrow" w:hAnsi="Arial Narrow"/>
                <w:sz w:val="20"/>
                <w:szCs w:val="20"/>
              </w:rPr>
              <w:t>Week 24/28 pooled ustekinumab versus etanercept</w:t>
            </w:r>
          </w:p>
        </w:tc>
        <w:tc>
          <w:tcPr>
            <w:tcW w:w="786" w:type="pct"/>
            <w:shd w:val="clear" w:color="auto" w:fill="auto"/>
            <w:vAlign w:val="center"/>
          </w:tcPr>
          <w:p w:rsidR="004B45B8" w:rsidRPr="00DC0807" w:rsidRDefault="004B45B8" w:rsidP="00B769C8">
            <w:pPr>
              <w:keepNext/>
              <w:keepLines/>
              <w:ind w:left="-111" w:right="-112"/>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-0.32</w:t>
            </w:r>
            <w:r w:rsidR="00B769C8"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(-0.49, -0.16)</w:t>
            </w:r>
          </w:p>
        </w:tc>
        <w:tc>
          <w:tcPr>
            <w:tcW w:w="865" w:type="pct"/>
            <w:shd w:val="clear" w:color="auto" w:fill="auto"/>
            <w:vAlign w:val="center"/>
          </w:tcPr>
          <w:p w:rsidR="004B45B8" w:rsidRPr="00DC0807" w:rsidRDefault="004B45B8" w:rsidP="00B769C8">
            <w:pPr>
              <w:keepNext/>
              <w:keepLines/>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0.45 (0.29, 0.71)</w:t>
            </w:r>
          </w:p>
        </w:tc>
        <w:tc>
          <w:tcPr>
            <w:tcW w:w="836" w:type="pct"/>
            <w:shd w:val="clear" w:color="auto" w:fill="auto"/>
            <w:vAlign w:val="center"/>
          </w:tcPr>
          <w:p w:rsidR="004B45B8" w:rsidRPr="00DC0807" w:rsidRDefault="004B45B8" w:rsidP="00B769C8">
            <w:pPr>
              <w:keepNext/>
              <w:keepLines/>
              <w:jc w:val="center"/>
              <w:rPr>
                <w:rFonts w:ascii="Arial Narrow" w:hAnsi="Arial Narrow" w:cs="Calibri"/>
                <w:b/>
                <w:color w:val="000000"/>
                <w:sz w:val="20"/>
                <w:szCs w:val="20"/>
                <w:lang w:eastAsia="en-AU"/>
              </w:rPr>
            </w:pPr>
            <w:r w:rsidRPr="00DC0807">
              <w:rPr>
                <w:rFonts w:ascii="Arial Narrow" w:hAnsi="Arial Narrow" w:cs="Calibri"/>
                <w:b/>
                <w:color w:val="000000"/>
                <w:sz w:val="20"/>
                <w:szCs w:val="20"/>
                <w:lang w:eastAsia="en-AU"/>
              </w:rPr>
              <w:t>0.12</w:t>
            </w:r>
            <w:r w:rsidR="00982FAA" w:rsidRPr="00DC0807">
              <w:rPr>
                <w:rFonts w:ascii="Arial Narrow" w:hAnsi="Arial Narrow" w:cs="Calibri"/>
                <w:b/>
                <w:color w:val="000000"/>
                <w:sz w:val="20"/>
                <w:szCs w:val="20"/>
                <w:lang w:eastAsia="en-AU"/>
              </w:rPr>
              <w:t xml:space="preserve"> </w:t>
            </w:r>
            <w:r w:rsidRPr="00DC0807">
              <w:rPr>
                <w:rFonts w:ascii="Arial Narrow" w:hAnsi="Arial Narrow" w:cs="Calibri"/>
                <w:b/>
                <w:color w:val="000000"/>
                <w:sz w:val="20"/>
                <w:szCs w:val="20"/>
                <w:lang w:eastAsia="en-AU"/>
              </w:rPr>
              <w:t>(0.02, 0.66)</w:t>
            </w:r>
          </w:p>
        </w:tc>
      </w:tr>
    </w:tbl>
    <w:p w:rsidR="00324549" w:rsidRPr="00DC0807" w:rsidRDefault="00324549" w:rsidP="00324549">
      <w:pPr>
        <w:pStyle w:val="TableFigureFootnote"/>
        <w:keepNext/>
        <w:keepLines/>
        <w:rPr>
          <w:rFonts w:ascii="Arial Narrow" w:hAnsi="Arial Narrow"/>
          <w:sz w:val="18"/>
          <w:szCs w:val="18"/>
        </w:rPr>
      </w:pPr>
      <w:r w:rsidRPr="00DC0807">
        <w:rPr>
          <w:rFonts w:ascii="Arial Narrow" w:hAnsi="Arial Narrow"/>
          <w:sz w:val="18"/>
          <w:szCs w:val="18"/>
        </w:rPr>
        <w:t>Source: Tables 2-40 and 2-41, p113, 2-73, p142 and 2-74, p143 of the submission.</w:t>
      </w:r>
    </w:p>
    <w:p w:rsidR="004B45B8" w:rsidRPr="00DC0807" w:rsidRDefault="004B45B8" w:rsidP="004B45B8">
      <w:pPr>
        <w:pStyle w:val="TableFigureFootnote"/>
        <w:keepNext/>
        <w:keepLines/>
        <w:rPr>
          <w:rFonts w:ascii="Arial Narrow" w:hAnsi="Arial Narrow"/>
          <w:sz w:val="18"/>
          <w:szCs w:val="18"/>
        </w:rPr>
      </w:pPr>
      <w:r w:rsidRPr="00DC0807">
        <w:rPr>
          <w:rFonts w:ascii="Arial Narrow" w:hAnsi="Arial Narrow"/>
          <w:sz w:val="18"/>
          <w:szCs w:val="18"/>
        </w:rPr>
        <w:t>N/A</w:t>
      </w:r>
      <w:r w:rsidR="00434B0F" w:rsidRPr="00DC0807">
        <w:rPr>
          <w:rFonts w:ascii="Arial Narrow" w:hAnsi="Arial Narrow"/>
          <w:sz w:val="18"/>
          <w:szCs w:val="18"/>
        </w:rPr>
        <w:t>=</w:t>
      </w:r>
      <w:r w:rsidRPr="00DC0807">
        <w:rPr>
          <w:rFonts w:ascii="Arial Narrow" w:hAnsi="Arial Narrow"/>
          <w:sz w:val="18"/>
          <w:szCs w:val="18"/>
        </w:rPr>
        <w:t xml:space="preserve"> not applicable; PBO</w:t>
      </w:r>
      <w:r w:rsidR="00434B0F" w:rsidRPr="00DC0807">
        <w:rPr>
          <w:rFonts w:ascii="Arial Narrow" w:hAnsi="Arial Narrow"/>
          <w:sz w:val="18"/>
          <w:szCs w:val="18"/>
        </w:rPr>
        <w:t>=</w:t>
      </w:r>
      <w:r w:rsidRPr="00DC0807">
        <w:rPr>
          <w:rFonts w:ascii="Arial Narrow" w:hAnsi="Arial Narrow"/>
          <w:sz w:val="18"/>
          <w:szCs w:val="18"/>
        </w:rPr>
        <w:t xml:space="preserve"> placebo; PGA</w:t>
      </w:r>
      <w:r w:rsidR="00434B0F" w:rsidRPr="00DC0807">
        <w:rPr>
          <w:rFonts w:ascii="Arial Narrow" w:hAnsi="Arial Narrow"/>
          <w:sz w:val="18"/>
          <w:szCs w:val="18"/>
        </w:rPr>
        <w:t>=</w:t>
      </w:r>
      <w:r w:rsidRPr="00DC0807">
        <w:rPr>
          <w:rFonts w:ascii="Arial Narrow" w:hAnsi="Arial Narrow"/>
          <w:sz w:val="18"/>
          <w:szCs w:val="18"/>
        </w:rPr>
        <w:t xml:space="preserve"> Physician’s Global Assessment; OR</w:t>
      </w:r>
      <w:r w:rsidR="00434B0F" w:rsidRPr="00DC0807">
        <w:rPr>
          <w:rFonts w:ascii="Arial Narrow" w:hAnsi="Arial Narrow"/>
          <w:sz w:val="18"/>
          <w:szCs w:val="18"/>
        </w:rPr>
        <w:t>=</w:t>
      </w:r>
      <w:r w:rsidRPr="00DC0807">
        <w:rPr>
          <w:rFonts w:ascii="Arial Narrow" w:hAnsi="Arial Narrow"/>
          <w:sz w:val="18"/>
          <w:szCs w:val="18"/>
        </w:rPr>
        <w:t xml:space="preserve"> odds ratio; placebo; RD</w:t>
      </w:r>
      <w:r w:rsidR="00434B0F" w:rsidRPr="00DC0807">
        <w:rPr>
          <w:rFonts w:ascii="Arial Narrow" w:hAnsi="Arial Narrow"/>
          <w:sz w:val="18"/>
          <w:szCs w:val="18"/>
        </w:rPr>
        <w:t>=</w:t>
      </w:r>
      <w:r w:rsidRPr="00DC0807">
        <w:rPr>
          <w:rFonts w:ascii="Arial Narrow" w:hAnsi="Arial Narrow"/>
          <w:sz w:val="18"/>
          <w:szCs w:val="18"/>
        </w:rPr>
        <w:t xml:space="preserve"> risk difference; RR</w:t>
      </w:r>
      <w:r w:rsidR="00434B0F" w:rsidRPr="00DC0807">
        <w:rPr>
          <w:rFonts w:ascii="Arial Narrow" w:hAnsi="Arial Narrow"/>
          <w:sz w:val="18"/>
          <w:szCs w:val="18"/>
        </w:rPr>
        <w:t>=</w:t>
      </w:r>
      <w:r w:rsidRPr="00DC0807">
        <w:rPr>
          <w:rFonts w:ascii="Arial Narrow" w:hAnsi="Arial Narrow"/>
          <w:sz w:val="18"/>
          <w:szCs w:val="18"/>
        </w:rPr>
        <w:t xml:space="preserve"> relative risk; UST</w:t>
      </w:r>
      <w:r w:rsidR="00434B0F" w:rsidRPr="00DC0807">
        <w:rPr>
          <w:rFonts w:ascii="Arial Narrow" w:hAnsi="Arial Narrow"/>
          <w:sz w:val="18"/>
          <w:szCs w:val="18"/>
        </w:rPr>
        <w:t xml:space="preserve">= </w:t>
      </w:r>
      <w:r w:rsidRPr="00DC0807">
        <w:rPr>
          <w:rFonts w:ascii="Arial Narrow" w:hAnsi="Arial Narrow"/>
          <w:sz w:val="18"/>
          <w:szCs w:val="18"/>
        </w:rPr>
        <w:t xml:space="preserve">ustekinumab, WK = week </w:t>
      </w:r>
    </w:p>
    <w:p w:rsidR="004B45B8" w:rsidRPr="00DC0807" w:rsidRDefault="004B45B8" w:rsidP="004B45B8">
      <w:pPr>
        <w:pStyle w:val="BodyText"/>
        <w:keepNext/>
        <w:keepLines/>
        <w:rPr>
          <w:rFonts w:ascii="Arial Narrow" w:hAnsi="Arial Narrow"/>
          <w:sz w:val="18"/>
          <w:szCs w:val="18"/>
        </w:rPr>
      </w:pPr>
      <w:r w:rsidRPr="00DC0807">
        <w:rPr>
          <w:rFonts w:ascii="Arial Narrow" w:hAnsi="Arial Narrow"/>
          <w:sz w:val="18"/>
          <w:szCs w:val="18"/>
        </w:rPr>
        <w:t>Bold indicates a statistically significant difference</w:t>
      </w:r>
    </w:p>
    <w:p w:rsidR="004B45B8" w:rsidRPr="00DC0807" w:rsidRDefault="004B45B8" w:rsidP="004B45B8">
      <w:pPr>
        <w:pStyle w:val="BodyText"/>
        <w:keepNext/>
        <w:keepLines/>
        <w:rPr>
          <w:rFonts w:ascii="Arial Narrow" w:hAnsi="Arial Narrow"/>
          <w:sz w:val="18"/>
          <w:szCs w:val="18"/>
        </w:rPr>
      </w:pPr>
      <w:r w:rsidRPr="00DC0807">
        <w:rPr>
          <w:rFonts w:ascii="Arial Narrow" w:hAnsi="Arial Narrow"/>
          <w:sz w:val="18"/>
          <w:szCs w:val="18"/>
        </w:rPr>
        <w:t xml:space="preserve">Text in italics indicate values calculated during evaluation </w:t>
      </w:r>
    </w:p>
    <w:p w:rsidR="004B45B8" w:rsidRPr="00DC0807" w:rsidRDefault="00611953" w:rsidP="004B45B8">
      <w:pPr>
        <w:pStyle w:val="TableFigureFootnote"/>
        <w:keepNext/>
        <w:keepLines/>
        <w:rPr>
          <w:rFonts w:ascii="Arial Narrow" w:hAnsi="Arial Narrow"/>
          <w:sz w:val="18"/>
          <w:szCs w:val="18"/>
        </w:rPr>
      </w:pPr>
      <w:r w:rsidRPr="00DC0807">
        <w:rPr>
          <w:rFonts w:ascii="Arial Narrow" w:hAnsi="Arial Narrow"/>
          <w:sz w:val="18"/>
          <w:szCs w:val="18"/>
          <w:vertAlign w:val="superscript"/>
        </w:rPr>
        <w:t>a</w:t>
      </w:r>
      <w:r w:rsidRPr="00DC0807">
        <w:rPr>
          <w:rFonts w:ascii="Arial Narrow" w:hAnsi="Arial Narrow"/>
          <w:sz w:val="18"/>
          <w:szCs w:val="18"/>
        </w:rPr>
        <w:t xml:space="preserve"> </w:t>
      </w:r>
      <w:r w:rsidR="004B45B8" w:rsidRPr="00DC0807">
        <w:rPr>
          <w:rFonts w:ascii="Arial Narrow" w:hAnsi="Arial Narrow"/>
          <w:sz w:val="18"/>
          <w:szCs w:val="18"/>
        </w:rPr>
        <w:t>UST standard dosage is 0.75 mg/kg for ≤60 kg, 45 mg for &gt;60 kg to ≤100 kg, and 90 mg for &gt;100 kg</w:t>
      </w:r>
    </w:p>
    <w:p w:rsidR="004B45B8" w:rsidRPr="00DC0807" w:rsidRDefault="00611953" w:rsidP="004B45B8">
      <w:pPr>
        <w:pStyle w:val="TableFigureFootnote"/>
        <w:keepNext/>
        <w:keepLines/>
        <w:rPr>
          <w:rFonts w:ascii="Arial Narrow" w:hAnsi="Arial Narrow"/>
          <w:sz w:val="18"/>
          <w:szCs w:val="18"/>
        </w:rPr>
      </w:pPr>
      <w:r w:rsidRPr="00DC0807">
        <w:rPr>
          <w:rFonts w:ascii="Arial Narrow" w:hAnsi="Arial Narrow"/>
          <w:sz w:val="18"/>
          <w:szCs w:val="18"/>
          <w:vertAlign w:val="superscript"/>
        </w:rPr>
        <w:t>b</w:t>
      </w:r>
      <w:r w:rsidRPr="00DC0807">
        <w:rPr>
          <w:rFonts w:ascii="Arial Narrow" w:hAnsi="Arial Narrow"/>
          <w:sz w:val="18"/>
          <w:szCs w:val="18"/>
        </w:rPr>
        <w:t xml:space="preserve"> </w:t>
      </w:r>
      <w:r w:rsidR="004B45B8" w:rsidRPr="00DC0807">
        <w:rPr>
          <w:rFonts w:ascii="Arial Narrow" w:hAnsi="Arial Narrow"/>
          <w:sz w:val="18"/>
          <w:szCs w:val="18"/>
        </w:rPr>
        <w:t>12 week results used</w:t>
      </w:r>
    </w:p>
    <w:p w:rsidR="004B45B8" w:rsidRPr="00DC0807" w:rsidRDefault="00611953" w:rsidP="004B45B8">
      <w:pPr>
        <w:pStyle w:val="TableFigureFootnote"/>
        <w:keepNext/>
        <w:keepLines/>
        <w:rPr>
          <w:rFonts w:ascii="Arial Narrow" w:hAnsi="Arial Narrow"/>
          <w:sz w:val="18"/>
          <w:szCs w:val="18"/>
        </w:rPr>
      </w:pPr>
      <w:r w:rsidRPr="00DC0807">
        <w:rPr>
          <w:rFonts w:ascii="Arial Narrow" w:hAnsi="Arial Narrow"/>
          <w:sz w:val="18"/>
          <w:szCs w:val="18"/>
          <w:vertAlign w:val="superscript"/>
        </w:rPr>
        <w:t>c</w:t>
      </w:r>
      <w:r w:rsidR="004B45B8" w:rsidRPr="00DC0807">
        <w:rPr>
          <w:rFonts w:ascii="Arial Narrow" w:hAnsi="Arial Narrow"/>
          <w:sz w:val="18"/>
          <w:szCs w:val="18"/>
        </w:rPr>
        <w:t xml:space="preserve"> Reported as 0.64 (0.81, 18.25) in Table 2-40 in submission, which appeared to be incorrect and could not be reproduced. Value calculated using </w:t>
      </w:r>
      <w:r w:rsidR="00E27672" w:rsidRPr="00DC0807">
        <w:rPr>
          <w:rFonts w:ascii="Arial Narrow" w:hAnsi="Arial Narrow"/>
          <w:sz w:val="18"/>
          <w:szCs w:val="18"/>
        </w:rPr>
        <w:t>StatsDirect</w:t>
      </w:r>
      <w:r w:rsidR="004B45B8" w:rsidRPr="00DC0807">
        <w:rPr>
          <w:rFonts w:ascii="Arial Narrow" w:hAnsi="Arial Narrow"/>
          <w:sz w:val="18"/>
          <w:szCs w:val="18"/>
        </w:rPr>
        <w:t xml:space="preserve"> during evaluation reported here</w:t>
      </w:r>
    </w:p>
    <w:p w:rsidR="004B45B8" w:rsidRPr="00DC0807" w:rsidRDefault="00611953" w:rsidP="004B45B8">
      <w:pPr>
        <w:pStyle w:val="TableFigureFootnote"/>
        <w:keepNext/>
        <w:keepLines/>
        <w:rPr>
          <w:rFonts w:ascii="Arial Narrow" w:hAnsi="Arial Narrow"/>
          <w:sz w:val="18"/>
          <w:szCs w:val="18"/>
        </w:rPr>
      </w:pPr>
      <w:r w:rsidRPr="00DC0807">
        <w:rPr>
          <w:rFonts w:ascii="Arial Narrow" w:hAnsi="Arial Narrow"/>
          <w:sz w:val="18"/>
          <w:szCs w:val="18"/>
          <w:vertAlign w:val="superscript"/>
        </w:rPr>
        <w:t>d</w:t>
      </w:r>
      <w:r w:rsidR="004B45B8" w:rsidRPr="00DC0807">
        <w:rPr>
          <w:rFonts w:ascii="Arial Narrow" w:hAnsi="Arial Narrow"/>
          <w:sz w:val="18"/>
          <w:szCs w:val="18"/>
        </w:rPr>
        <w:t xml:space="preserve"> Reported as 0.39 (0.51, 52.75) in Table 2-41 in submission, which appeared to be incorrect and could not be reproduced. Value calculated using </w:t>
      </w:r>
      <w:r w:rsidR="00E27672" w:rsidRPr="00DC0807">
        <w:rPr>
          <w:rFonts w:ascii="Arial Narrow" w:hAnsi="Arial Narrow"/>
          <w:sz w:val="18"/>
          <w:szCs w:val="18"/>
        </w:rPr>
        <w:t>StatsDirect</w:t>
      </w:r>
      <w:r w:rsidR="004B45B8" w:rsidRPr="00DC0807">
        <w:rPr>
          <w:rFonts w:ascii="Arial Narrow" w:hAnsi="Arial Narrow"/>
          <w:sz w:val="18"/>
          <w:szCs w:val="18"/>
        </w:rPr>
        <w:t xml:space="preserve"> during evaluation reported here</w:t>
      </w:r>
    </w:p>
    <w:p w:rsidR="004C3AC1" w:rsidRPr="00DC0807" w:rsidRDefault="004C3AC1" w:rsidP="004C3AC1">
      <w:pPr>
        <w:widowControl/>
      </w:pPr>
    </w:p>
    <w:p w:rsidR="004C3AC1" w:rsidRPr="00DC0807" w:rsidRDefault="004C3AC1" w:rsidP="00A927F1">
      <w:pPr>
        <w:pStyle w:val="ListParagraph"/>
        <w:widowControl/>
        <w:numPr>
          <w:ilvl w:val="1"/>
          <w:numId w:val="1"/>
        </w:numPr>
      </w:pPr>
      <w:r w:rsidRPr="00DC0807">
        <w:t xml:space="preserve">Based on results of the ITCs, the submission concluded </w:t>
      </w:r>
      <w:r w:rsidR="008534C9" w:rsidRPr="00DC0807">
        <w:t>that compared to etanercept at W</w:t>
      </w:r>
      <w:r w:rsidRPr="00DC0807">
        <w:t>eek 12, statistically significantly fewer patients receiving the ustekinumab standard dosage failed to achieve a PGA score of cleared (0</w:t>
      </w:r>
      <w:r w:rsidR="008534C9" w:rsidRPr="00DC0807">
        <w:t>) or minimal (1) at W</w:t>
      </w:r>
      <w:r w:rsidRPr="00DC0807">
        <w:t xml:space="preserve">eek 12 (48.1% vs 26.3%, respectively; RR: 0.50 [95% CI: 0.32, 0.77]) </w:t>
      </w:r>
      <w:r w:rsidR="008534C9" w:rsidRPr="00DC0807">
        <w:t>and at W</w:t>
      </w:r>
      <w:r w:rsidR="00560D62" w:rsidRPr="00DC0807">
        <w:t xml:space="preserve">eek 24/28 (48.1% vs 23.8%, respectively; RR: 0.45 [95% CI: 0.29, 0.71]) and </w:t>
      </w:r>
      <w:r w:rsidRPr="00DC0807">
        <w:t xml:space="preserve">when using pooled data from CADMUS and CADMUS JR. Therefore, the submission concluded that ustekinumab demonstrated superior effectiveness compared with etanercept on the basis of PGA score 0 or 1 non-response rates at Week 24/28 and Week 12 using the RR measure. </w:t>
      </w:r>
      <w:r w:rsidR="008F01E5" w:rsidRPr="00DC0807">
        <w:t>However, i</w:t>
      </w:r>
      <w:r w:rsidRPr="00DC0807">
        <w:t>ndirect comparison excluding CADMUS JR conducted during evaluation found no statistically significant differences in RR or OR for PGA responder or non-responder rates between</w:t>
      </w:r>
      <w:r w:rsidR="008534C9" w:rsidRPr="00DC0807">
        <w:t xml:space="preserve"> ustekinumab and etanercept at W</w:t>
      </w:r>
      <w:r w:rsidRPr="00DC0807">
        <w:t>eek 12</w:t>
      </w:r>
      <w:r w:rsidR="00DC0807">
        <w:t xml:space="preserve">. </w:t>
      </w:r>
    </w:p>
    <w:p w:rsidR="00106D3E" w:rsidRPr="00DC0807" w:rsidRDefault="00106D3E" w:rsidP="00106D3E">
      <w:pPr>
        <w:pStyle w:val="ListParagraph"/>
        <w:widowControl/>
        <w:numPr>
          <w:ilvl w:val="1"/>
          <w:numId w:val="1"/>
        </w:numPr>
      </w:pPr>
      <w:r w:rsidRPr="00DC0807">
        <w:t>Based on an ITC of the mean change from baseline in CDLQI scores, the submission claimed that patients treated with ustekinumab experienced statistically significantly higher reductions in the mean CLDQI score from baseline at Week 12 (RD = -3.0, 95% CI: -5.3, -0.7) and Week 24/28 (RD = -3.4, 95% CI: -5.7, -1.1) compared to patients treated with etanercept. Thus, the submission concluded that patients treated with ustekinumab experienced a significantly greater improvement in quality of life based on CDLQI scores compared to</w:t>
      </w:r>
      <w:r w:rsidR="003A2A79" w:rsidRPr="00DC0807">
        <w:t xml:space="preserve"> etanercept at Week 28 and Week </w:t>
      </w:r>
      <w:r w:rsidRPr="00DC0807">
        <w:t>12. This may not be a reasonable conclusion, as:</w:t>
      </w:r>
    </w:p>
    <w:p w:rsidR="00106D3E" w:rsidRPr="00DC0807" w:rsidRDefault="00106D3E" w:rsidP="00106D3E">
      <w:pPr>
        <w:pStyle w:val="ListParagraph"/>
        <w:widowControl/>
        <w:numPr>
          <w:ilvl w:val="1"/>
          <w:numId w:val="8"/>
        </w:numPr>
        <w:ind w:left="993" w:hanging="284"/>
      </w:pPr>
      <w:r w:rsidRPr="00DC0807">
        <w:t xml:space="preserve">Langley 2011, using data from Paller 2008, proposed that the MCID for CLDQI should be 2.5, which was greater than the upper 95% confidence intervals reported. Therefore </w:t>
      </w:r>
      <w:r w:rsidR="002A0AB0" w:rsidRPr="00DC0807">
        <w:t>it could not be</w:t>
      </w:r>
      <w:r w:rsidRPr="00DC0807">
        <w:t xml:space="preserve"> conclude</w:t>
      </w:r>
      <w:r w:rsidR="002A0AB0" w:rsidRPr="00DC0807">
        <w:t>d</w:t>
      </w:r>
      <w:r w:rsidRPr="00DC0807">
        <w:t xml:space="preserve"> with certainty that the numerical benefit from the ITC for CLDQI was clinically meaningful; and</w:t>
      </w:r>
    </w:p>
    <w:p w:rsidR="00106D3E" w:rsidRPr="00DC0807" w:rsidRDefault="00106D3E" w:rsidP="009239BC">
      <w:pPr>
        <w:pStyle w:val="ListParagraph"/>
        <w:widowControl/>
        <w:numPr>
          <w:ilvl w:val="1"/>
          <w:numId w:val="8"/>
        </w:numPr>
        <w:ind w:left="993" w:hanging="284"/>
      </w:pPr>
      <w:r w:rsidRPr="00DC0807">
        <w:t>The change from baseline CLDQI in patients randomised to placebo was much larger in Paller 2008 (mean change [SD] =-3.4 [5.4]) than in CADMUS (mean change [SD] =-1.5 [3.18]), which may indicate a transitivity issue in the ITC and favoured treatment with ustekinumab.</w:t>
      </w:r>
    </w:p>
    <w:p w:rsidR="004C3AC1" w:rsidRPr="00DC0807" w:rsidRDefault="004C3AC1" w:rsidP="004C3AC1">
      <w:pPr>
        <w:pStyle w:val="Heading2"/>
      </w:pPr>
      <w:bookmarkStart w:id="19" w:name="_Toc62032238"/>
      <w:r w:rsidRPr="00DC0807">
        <w:t>Comparative harms</w:t>
      </w:r>
      <w:bookmarkEnd w:id="19"/>
    </w:p>
    <w:p w:rsidR="004C3AC1" w:rsidRPr="00DC0807" w:rsidRDefault="004C3AC1" w:rsidP="004C3AC1">
      <w:pPr>
        <w:ind w:left="720" w:hanging="720"/>
      </w:pPr>
    </w:p>
    <w:p w:rsidR="00725FF1" w:rsidRPr="00DC0807" w:rsidRDefault="00725FF1" w:rsidP="00A927F1">
      <w:pPr>
        <w:pStyle w:val="ListParagraph"/>
        <w:widowControl/>
        <w:numPr>
          <w:ilvl w:val="1"/>
          <w:numId w:val="1"/>
        </w:numPr>
      </w:pPr>
      <w:r w:rsidRPr="00DC0807">
        <w:t xml:space="preserve">A naïve comparison of </w:t>
      </w:r>
      <w:r w:rsidR="00DA2DC0" w:rsidRPr="00DC0807">
        <w:t>the adverse events reported at W</w:t>
      </w:r>
      <w:r w:rsidR="00AD6A57" w:rsidRPr="00DC0807">
        <w:t>eek 12 in CADMUS, CADMUS </w:t>
      </w:r>
      <w:r w:rsidRPr="00DC0807">
        <w:t xml:space="preserve">JR and Paller 2008 is presented in </w:t>
      </w:r>
      <w:r w:rsidR="005D7D2A" w:rsidRPr="00DC0807">
        <w:t>Table 10</w:t>
      </w:r>
      <w:r w:rsidRPr="00DC0807">
        <w:t xml:space="preserve">. </w:t>
      </w:r>
    </w:p>
    <w:p w:rsidR="00725FF1" w:rsidRPr="00DC0807" w:rsidRDefault="00725FF1" w:rsidP="00725FF1">
      <w:pPr>
        <w:pStyle w:val="Tabletext"/>
        <w:keepNext/>
        <w:keepLines/>
        <w:rPr>
          <w:b/>
        </w:rPr>
      </w:pPr>
      <w:bookmarkStart w:id="20" w:name="_Ref61638050"/>
      <w:r w:rsidRPr="00DC0807">
        <w:rPr>
          <w:b/>
        </w:rPr>
        <w:t xml:space="preserve">Table </w:t>
      </w:r>
      <w:r w:rsidR="00AE572A" w:rsidRPr="00DC0807">
        <w:rPr>
          <w:b/>
        </w:rPr>
        <w:t>10</w:t>
      </w:r>
      <w:bookmarkEnd w:id="20"/>
      <w:r w:rsidR="00AD6A57" w:rsidRPr="00DC0807">
        <w:rPr>
          <w:b/>
        </w:rPr>
        <w:t>:</w:t>
      </w:r>
      <w:r w:rsidRPr="00DC0807">
        <w:rPr>
          <w:b/>
        </w:rPr>
        <w:t xml:space="preserve"> Summary of key adverse events in the CADMUS, CADMUS JR and Paller 2008 at Week 12</w:t>
      </w:r>
    </w:p>
    <w:tbl>
      <w:tblPr>
        <w:tblStyle w:val="TableGrid"/>
        <w:tblW w:w="0" w:type="auto"/>
        <w:tblLook w:val="04A0" w:firstRow="1" w:lastRow="0" w:firstColumn="1" w:lastColumn="0" w:noHBand="0" w:noVBand="1"/>
        <w:tblCaption w:val="Table 10: Summary of key adverse events in the CADMUS, CADMUS JR and Paller 2008 at Week 12"/>
      </w:tblPr>
      <w:tblGrid>
        <w:gridCol w:w="3256"/>
        <w:gridCol w:w="1134"/>
        <w:gridCol w:w="1134"/>
        <w:gridCol w:w="1274"/>
        <w:gridCol w:w="993"/>
        <w:gridCol w:w="1225"/>
      </w:tblGrid>
      <w:tr w:rsidR="00725FF1" w:rsidRPr="00DC0807" w:rsidTr="00CD1F63">
        <w:trPr>
          <w:trHeight w:val="60"/>
          <w:tblHeader/>
        </w:trPr>
        <w:tc>
          <w:tcPr>
            <w:tcW w:w="3256" w:type="dxa"/>
            <w:shd w:val="clear" w:color="auto" w:fill="FFFFFF" w:themeFill="background1"/>
            <w:noWrap/>
            <w:vAlign w:val="center"/>
            <w:hideMark/>
          </w:tcPr>
          <w:p w:rsidR="00725FF1" w:rsidRPr="00DC0807" w:rsidRDefault="00725FF1" w:rsidP="0023109F">
            <w:pPr>
              <w:keepNext/>
              <w:keepLines/>
              <w:rPr>
                <w:rFonts w:ascii="Arial Narrow" w:hAnsi="Arial Narrow"/>
                <w:b/>
                <w:bCs/>
                <w:sz w:val="20"/>
                <w:szCs w:val="20"/>
              </w:rPr>
            </w:pPr>
            <w:r w:rsidRPr="00DC0807">
              <w:rPr>
                <w:rFonts w:ascii="Arial Narrow" w:hAnsi="Arial Narrow"/>
                <w:b/>
                <w:bCs/>
                <w:sz w:val="20"/>
                <w:szCs w:val="20"/>
              </w:rPr>
              <w:t xml:space="preserve">Trial </w:t>
            </w:r>
          </w:p>
        </w:tc>
        <w:tc>
          <w:tcPr>
            <w:tcW w:w="2268" w:type="dxa"/>
            <w:gridSpan w:val="2"/>
            <w:shd w:val="clear" w:color="auto" w:fill="FFFFFF" w:themeFill="background1"/>
            <w:noWrap/>
            <w:vAlign w:val="center"/>
            <w:hideMark/>
          </w:tcPr>
          <w:p w:rsidR="00725FF1" w:rsidRPr="00DC0807" w:rsidRDefault="00725FF1" w:rsidP="0023109F">
            <w:pPr>
              <w:keepNext/>
              <w:keepLines/>
              <w:jc w:val="center"/>
              <w:rPr>
                <w:rFonts w:ascii="Arial Narrow" w:hAnsi="Arial Narrow"/>
                <w:b/>
                <w:bCs/>
                <w:sz w:val="20"/>
                <w:szCs w:val="20"/>
              </w:rPr>
            </w:pPr>
            <w:r w:rsidRPr="00DC0807">
              <w:rPr>
                <w:rFonts w:ascii="Arial Narrow" w:hAnsi="Arial Narrow"/>
                <w:b/>
                <w:bCs/>
                <w:sz w:val="20"/>
                <w:szCs w:val="20"/>
              </w:rPr>
              <w:t>CADMUS</w:t>
            </w:r>
          </w:p>
        </w:tc>
        <w:tc>
          <w:tcPr>
            <w:tcW w:w="1274" w:type="dxa"/>
            <w:shd w:val="clear" w:color="auto" w:fill="FFFFFF" w:themeFill="background1"/>
            <w:vAlign w:val="center"/>
          </w:tcPr>
          <w:p w:rsidR="00725FF1" w:rsidRPr="00DC0807" w:rsidRDefault="00725FF1" w:rsidP="0023109F">
            <w:pPr>
              <w:keepNext/>
              <w:keepLines/>
              <w:jc w:val="center"/>
              <w:rPr>
                <w:rFonts w:ascii="Arial Narrow" w:hAnsi="Arial Narrow"/>
                <w:b/>
                <w:bCs/>
                <w:sz w:val="20"/>
                <w:szCs w:val="20"/>
              </w:rPr>
            </w:pPr>
            <w:r w:rsidRPr="00DC0807">
              <w:rPr>
                <w:rFonts w:ascii="Arial Narrow" w:hAnsi="Arial Narrow"/>
                <w:b/>
                <w:bCs/>
                <w:sz w:val="20"/>
                <w:szCs w:val="20"/>
              </w:rPr>
              <w:t>CADMUS JR</w:t>
            </w:r>
          </w:p>
        </w:tc>
        <w:tc>
          <w:tcPr>
            <w:tcW w:w="2218" w:type="dxa"/>
            <w:gridSpan w:val="2"/>
            <w:shd w:val="clear" w:color="auto" w:fill="FFFFFF" w:themeFill="background1"/>
            <w:noWrap/>
            <w:vAlign w:val="center"/>
            <w:hideMark/>
          </w:tcPr>
          <w:p w:rsidR="00725FF1" w:rsidRPr="00DC0807" w:rsidRDefault="00725FF1" w:rsidP="0023109F">
            <w:pPr>
              <w:keepNext/>
              <w:keepLines/>
              <w:jc w:val="center"/>
              <w:rPr>
                <w:rFonts w:ascii="Arial Narrow" w:hAnsi="Arial Narrow"/>
                <w:b/>
                <w:bCs/>
                <w:sz w:val="20"/>
                <w:szCs w:val="20"/>
              </w:rPr>
            </w:pPr>
            <w:r w:rsidRPr="00DC0807">
              <w:rPr>
                <w:rFonts w:ascii="Arial Narrow" w:hAnsi="Arial Narrow"/>
                <w:b/>
                <w:bCs/>
                <w:sz w:val="20"/>
                <w:szCs w:val="20"/>
              </w:rPr>
              <w:t>Paller 2008</w:t>
            </w:r>
          </w:p>
        </w:tc>
      </w:tr>
      <w:tr w:rsidR="00725FF1" w:rsidRPr="00DC0807" w:rsidTr="00AD6A57">
        <w:trPr>
          <w:trHeight w:val="20"/>
        </w:trPr>
        <w:tc>
          <w:tcPr>
            <w:tcW w:w="3256" w:type="dxa"/>
            <w:shd w:val="clear" w:color="auto" w:fill="FFFFFF" w:themeFill="background1"/>
            <w:noWrap/>
            <w:vAlign w:val="center"/>
            <w:hideMark/>
          </w:tcPr>
          <w:p w:rsidR="00725FF1" w:rsidRPr="00DC0807" w:rsidRDefault="00725FF1" w:rsidP="0023109F">
            <w:pPr>
              <w:keepNext/>
              <w:keepLines/>
              <w:rPr>
                <w:rFonts w:ascii="Arial Narrow" w:hAnsi="Arial Narrow"/>
                <w:bCs/>
                <w:sz w:val="20"/>
                <w:szCs w:val="20"/>
              </w:rPr>
            </w:pPr>
            <w:r w:rsidRPr="00DC0807">
              <w:rPr>
                <w:rFonts w:ascii="Arial Narrow" w:hAnsi="Arial Narrow"/>
                <w:bCs/>
                <w:sz w:val="20"/>
                <w:szCs w:val="20"/>
              </w:rPr>
              <w:t>Trial arm</w:t>
            </w:r>
          </w:p>
        </w:tc>
        <w:tc>
          <w:tcPr>
            <w:tcW w:w="1134" w:type="dxa"/>
            <w:shd w:val="clear" w:color="auto" w:fill="FFFFFF" w:themeFill="background1"/>
            <w:noWrap/>
            <w:hideMark/>
          </w:tcPr>
          <w:p w:rsidR="00725FF1" w:rsidRPr="00DC0807" w:rsidRDefault="00725FF1" w:rsidP="0023109F">
            <w:pPr>
              <w:keepNext/>
              <w:keepLines/>
              <w:jc w:val="center"/>
              <w:rPr>
                <w:rFonts w:ascii="Arial Narrow" w:hAnsi="Arial Narrow"/>
                <w:b/>
                <w:bCs/>
                <w:sz w:val="20"/>
                <w:szCs w:val="20"/>
              </w:rPr>
            </w:pPr>
            <w:r w:rsidRPr="00DC0807">
              <w:rPr>
                <w:rFonts w:ascii="Arial Narrow" w:hAnsi="Arial Narrow"/>
                <w:b/>
                <w:bCs/>
                <w:sz w:val="20"/>
                <w:szCs w:val="20"/>
              </w:rPr>
              <w:t>PBO</w:t>
            </w:r>
          </w:p>
        </w:tc>
        <w:tc>
          <w:tcPr>
            <w:tcW w:w="1134" w:type="dxa"/>
            <w:shd w:val="clear" w:color="auto" w:fill="FFFFFF" w:themeFill="background1"/>
            <w:noWrap/>
            <w:hideMark/>
          </w:tcPr>
          <w:p w:rsidR="00725FF1" w:rsidRPr="00DC0807" w:rsidRDefault="00725FF1" w:rsidP="008C3DB4">
            <w:pPr>
              <w:keepNext/>
              <w:keepLines/>
              <w:jc w:val="center"/>
              <w:rPr>
                <w:rFonts w:ascii="Arial Narrow" w:hAnsi="Arial Narrow"/>
                <w:b/>
                <w:bCs/>
                <w:sz w:val="20"/>
                <w:szCs w:val="20"/>
              </w:rPr>
            </w:pPr>
            <w:r w:rsidRPr="00DC0807">
              <w:rPr>
                <w:rFonts w:ascii="Arial Narrow" w:hAnsi="Arial Narrow"/>
                <w:b/>
                <w:bCs/>
                <w:sz w:val="20"/>
                <w:szCs w:val="20"/>
              </w:rPr>
              <w:t>UST standard dosage</w:t>
            </w:r>
            <w:r w:rsidR="008C3DB4" w:rsidRPr="00DC0807">
              <w:rPr>
                <w:rFonts w:ascii="Arial Narrow" w:hAnsi="Arial Narrow"/>
                <w:b/>
                <w:bCs/>
                <w:sz w:val="20"/>
                <w:szCs w:val="20"/>
                <w:vertAlign w:val="superscript"/>
              </w:rPr>
              <w:t>a</w:t>
            </w:r>
          </w:p>
        </w:tc>
        <w:tc>
          <w:tcPr>
            <w:tcW w:w="1274" w:type="dxa"/>
            <w:shd w:val="clear" w:color="auto" w:fill="FFFFFF" w:themeFill="background1"/>
          </w:tcPr>
          <w:p w:rsidR="00725FF1" w:rsidRPr="00DC0807" w:rsidRDefault="00725FF1" w:rsidP="008C3DB4">
            <w:pPr>
              <w:keepNext/>
              <w:keepLines/>
              <w:jc w:val="center"/>
              <w:rPr>
                <w:rFonts w:ascii="Arial Narrow" w:hAnsi="Arial Narrow"/>
                <w:b/>
                <w:bCs/>
                <w:sz w:val="20"/>
                <w:szCs w:val="20"/>
              </w:rPr>
            </w:pPr>
            <w:r w:rsidRPr="00DC0807">
              <w:rPr>
                <w:rFonts w:ascii="Arial Narrow" w:hAnsi="Arial Narrow"/>
                <w:b/>
                <w:bCs/>
                <w:sz w:val="20"/>
                <w:szCs w:val="20"/>
              </w:rPr>
              <w:t>UST standard dosage</w:t>
            </w:r>
            <w:r w:rsidR="008C3DB4" w:rsidRPr="00DC0807">
              <w:rPr>
                <w:rFonts w:ascii="Arial Narrow" w:hAnsi="Arial Narrow"/>
                <w:b/>
                <w:bCs/>
                <w:sz w:val="20"/>
                <w:szCs w:val="20"/>
                <w:vertAlign w:val="superscript"/>
              </w:rPr>
              <w:t>a</w:t>
            </w:r>
          </w:p>
        </w:tc>
        <w:tc>
          <w:tcPr>
            <w:tcW w:w="993" w:type="dxa"/>
            <w:shd w:val="clear" w:color="auto" w:fill="FFFFFF" w:themeFill="background1"/>
            <w:noWrap/>
            <w:hideMark/>
          </w:tcPr>
          <w:p w:rsidR="00725FF1" w:rsidRPr="00DC0807" w:rsidRDefault="00725FF1" w:rsidP="0023109F">
            <w:pPr>
              <w:keepNext/>
              <w:keepLines/>
              <w:jc w:val="center"/>
              <w:rPr>
                <w:rFonts w:ascii="Arial Narrow" w:hAnsi="Arial Narrow"/>
                <w:b/>
                <w:bCs/>
                <w:sz w:val="20"/>
                <w:szCs w:val="20"/>
              </w:rPr>
            </w:pPr>
            <w:r w:rsidRPr="00DC0807">
              <w:rPr>
                <w:rFonts w:ascii="Arial Narrow" w:hAnsi="Arial Narrow"/>
                <w:b/>
                <w:bCs/>
                <w:sz w:val="20"/>
                <w:szCs w:val="20"/>
              </w:rPr>
              <w:t>PBO</w:t>
            </w:r>
          </w:p>
        </w:tc>
        <w:tc>
          <w:tcPr>
            <w:tcW w:w="1225" w:type="dxa"/>
            <w:shd w:val="clear" w:color="auto" w:fill="FFFFFF" w:themeFill="background1"/>
            <w:hideMark/>
          </w:tcPr>
          <w:p w:rsidR="00725FF1" w:rsidRPr="00DC0807" w:rsidRDefault="00725FF1" w:rsidP="008C3DB4">
            <w:pPr>
              <w:keepNext/>
              <w:keepLines/>
              <w:jc w:val="center"/>
              <w:rPr>
                <w:rFonts w:ascii="Arial Narrow" w:hAnsi="Arial Narrow"/>
                <w:b/>
                <w:bCs/>
                <w:sz w:val="20"/>
                <w:szCs w:val="20"/>
              </w:rPr>
            </w:pPr>
            <w:r w:rsidRPr="00DC0807">
              <w:rPr>
                <w:rFonts w:ascii="Arial Narrow" w:hAnsi="Arial Narrow"/>
                <w:b/>
                <w:bCs/>
                <w:sz w:val="20"/>
                <w:szCs w:val="20"/>
              </w:rPr>
              <w:t>ETN</w:t>
            </w:r>
            <w:r w:rsidR="008C3DB4" w:rsidRPr="00DC0807">
              <w:rPr>
                <w:rFonts w:ascii="Arial Narrow" w:hAnsi="Arial Narrow"/>
                <w:b/>
                <w:bCs/>
                <w:sz w:val="20"/>
                <w:szCs w:val="20"/>
                <w:vertAlign w:val="superscript"/>
              </w:rPr>
              <w:t>b</w:t>
            </w:r>
          </w:p>
        </w:tc>
      </w:tr>
      <w:tr w:rsidR="00725FF1" w:rsidRPr="00DC0807" w:rsidTr="00AD6A57">
        <w:trPr>
          <w:trHeight w:val="20"/>
        </w:trPr>
        <w:tc>
          <w:tcPr>
            <w:tcW w:w="3256" w:type="dxa"/>
            <w:noWrap/>
            <w:hideMark/>
          </w:tcPr>
          <w:p w:rsidR="00725FF1" w:rsidRPr="00DC0807" w:rsidRDefault="00725FF1" w:rsidP="0023109F">
            <w:pPr>
              <w:keepNext/>
              <w:keepLines/>
              <w:rPr>
                <w:rFonts w:ascii="Arial Narrow" w:hAnsi="Arial Narrow"/>
                <w:bCs/>
                <w:sz w:val="20"/>
                <w:szCs w:val="20"/>
              </w:rPr>
            </w:pPr>
            <w:r w:rsidRPr="00DC0807">
              <w:rPr>
                <w:rFonts w:ascii="Arial Narrow" w:hAnsi="Arial Narrow"/>
                <w:bCs/>
                <w:sz w:val="20"/>
                <w:szCs w:val="20"/>
              </w:rPr>
              <w:t>Patients treated, n</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37</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36</w:t>
            </w:r>
          </w:p>
        </w:tc>
        <w:tc>
          <w:tcPr>
            <w:tcW w:w="1274" w:type="dxa"/>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44</w:t>
            </w:r>
          </w:p>
        </w:tc>
        <w:tc>
          <w:tcPr>
            <w:tcW w:w="993"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105</w:t>
            </w:r>
          </w:p>
        </w:tc>
        <w:tc>
          <w:tcPr>
            <w:tcW w:w="1225"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106</w:t>
            </w:r>
          </w:p>
        </w:tc>
      </w:tr>
      <w:tr w:rsidR="00725FF1" w:rsidRPr="00DC0807" w:rsidTr="00AD6A57">
        <w:trPr>
          <w:trHeight w:val="20"/>
        </w:trPr>
        <w:tc>
          <w:tcPr>
            <w:tcW w:w="3256" w:type="dxa"/>
            <w:noWrap/>
            <w:hideMark/>
          </w:tcPr>
          <w:p w:rsidR="00725FF1" w:rsidRPr="00DC0807" w:rsidRDefault="00725FF1" w:rsidP="0023109F">
            <w:pPr>
              <w:keepNext/>
              <w:keepLines/>
              <w:rPr>
                <w:rFonts w:ascii="Arial Narrow" w:hAnsi="Arial Narrow"/>
                <w:bCs/>
                <w:sz w:val="20"/>
                <w:szCs w:val="20"/>
              </w:rPr>
            </w:pPr>
            <w:r w:rsidRPr="00DC0807">
              <w:rPr>
                <w:rFonts w:ascii="Arial Narrow" w:hAnsi="Arial Narrow"/>
                <w:bCs/>
                <w:sz w:val="20"/>
                <w:szCs w:val="20"/>
              </w:rPr>
              <w:t xml:space="preserve">Patients with </w:t>
            </w:r>
            <w:r w:rsidRPr="00DC0807">
              <w:rPr>
                <w:rFonts w:ascii="Arial Narrow" w:hAnsi="Arial Narrow"/>
                <w:bCs/>
                <w:sz w:val="20"/>
                <w:szCs w:val="20"/>
                <w:u w:val="single"/>
              </w:rPr>
              <w:t>&gt;</w:t>
            </w:r>
            <w:r w:rsidRPr="00DC0807">
              <w:rPr>
                <w:rFonts w:ascii="Arial Narrow" w:hAnsi="Arial Narrow"/>
                <w:bCs/>
                <w:sz w:val="20"/>
                <w:szCs w:val="20"/>
              </w:rPr>
              <w:t xml:space="preserve"> 1 AE</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21 (56.8)</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16 (44.4)</w:t>
            </w:r>
          </w:p>
        </w:tc>
        <w:tc>
          <w:tcPr>
            <w:tcW w:w="1274" w:type="dxa"/>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24 (54.5)</w:t>
            </w:r>
          </w:p>
        </w:tc>
        <w:tc>
          <w:tcPr>
            <w:tcW w:w="993"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62 (59.0)</w:t>
            </w:r>
          </w:p>
        </w:tc>
        <w:tc>
          <w:tcPr>
            <w:tcW w:w="1225"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68 (64.2)</w:t>
            </w:r>
          </w:p>
        </w:tc>
      </w:tr>
      <w:tr w:rsidR="00725FF1" w:rsidRPr="00DC0807" w:rsidTr="00AD6A57">
        <w:trPr>
          <w:trHeight w:val="20"/>
        </w:trPr>
        <w:tc>
          <w:tcPr>
            <w:tcW w:w="3256" w:type="dxa"/>
            <w:noWrap/>
            <w:hideMark/>
          </w:tcPr>
          <w:p w:rsidR="00725FF1" w:rsidRPr="00DC0807" w:rsidRDefault="00725FF1" w:rsidP="0023109F">
            <w:pPr>
              <w:keepNext/>
              <w:keepLines/>
              <w:ind w:left="313"/>
              <w:rPr>
                <w:rFonts w:ascii="Arial Narrow" w:hAnsi="Arial Narrow"/>
                <w:bCs/>
                <w:sz w:val="20"/>
                <w:szCs w:val="20"/>
              </w:rPr>
            </w:pPr>
            <w:r w:rsidRPr="00DC0807">
              <w:rPr>
                <w:rFonts w:ascii="Arial Narrow" w:hAnsi="Arial Narrow"/>
                <w:bCs/>
                <w:sz w:val="20"/>
                <w:szCs w:val="20"/>
              </w:rPr>
              <w:t>Patients who discontinued due to AE</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274" w:type="dxa"/>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993"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225"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1 (0.9)</w:t>
            </w:r>
          </w:p>
        </w:tc>
      </w:tr>
      <w:tr w:rsidR="00725FF1" w:rsidRPr="00DC0807" w:rsidTr="00AD6A57">
        <w:trPr>
          <w:trHeight w:val="20"/>
        </w:trPr>
        <w:tc>
          <w:tcPr>
            <w:tcW w:w="3256" w:type="dxa"/>
            <w:noWrap/>
            <w:hideMark/>
          </w:tcPr>
          <w:p w:rsidR="00725FF1" w:rsidRPr="00DC0807" w:rsidRDefault="00725FF1" w:rsidP="0023109F">
            <w:pPr>
              <w:keepNext/>
              <w:keepLines/>
              <w:ind w:left="313"/>
              <w:rPr>
                <w:rFonts w:ascii="Arial Narrow" w:hAnsi="Arial Narrow"/>
                <w:bCs/>
                <w:sz w:val="20"/>
                <w:szCs w:val="20"/>
              </w:rPr>
            </w:pPr>
            <w:r w:rsidRPr="00DC0807">
              <w:rPr>
                <w:rFonts w:ascii="Arial Narrow" w:hAnsi="Arial Narrow"/>
                <w:bCs/>
                <w:sz w:val="20"/>
                <w:szCs w:val="20"/>
              </w:rPr>
              <w:t>Infections</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14 (37.8)</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8 (22.2)</w:t>
            </w:r>
          </w:p>
        </w:tc>
        <w:tc>
          <w:tcPr>
            <w:tcW w:w="1274" w:type="dxa"/>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17 (38.6)</w:t>
            </w:r>
          </w:p>
        </w:tc>
        <w:tc>
          <w:tcPr>
            <w:tcW w:w="993"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33 (31.4)</w:t>
            </w:r>
          </w:p>
        </w:tc>
        <w:tc>
          <w:tcPr>
            <w:tcW w:w="1225"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50 (47.2)</w:t>
            </w:r>
          </w:p>
        </w:tc>
      </w:tr>
      <w:tr w:rsidR="00725FF1" w:rsidRPr="00DC0807" w:rsidTr="00AD6A57">
        <w:trPr>
          <w:trHeight w:val="20"/>
        </w:trPr>
        <w:tc>
          <w:tcPr>
            <w:tcW w:w="3256" w:type="dxa"/>
            <w:noWrap/>
            <w:hideMark/>
          </w:tcPr>
          <w:p w:rsidR="00725FF1" w:rsidRPr="00DC0807" w:rsidRDefault="00725FF1" w:rsidP="0023109F">
            <w:pPr>
              <w:keepNext/>
              <w:keepLines/>
              <w:rPr>
                <w:rFonts w:ascii="Arial Narrow" w:hAnsi="Arial Narrow"/>
                <w:bCs/>
                <w:sz w:val="20"/>
                <w:szCs w:val="20"/>
              </w:rPr>
            </w:pPr>
            <w:r w:rsidRPr="00DC0807">
              <w:rPr>
                <w:rFonts w:ascii="Arial Narrow" w:hAnsi="Arial Narrow"/>
                <w:bCs/>
                <w:sz w:val="20"/>
                <w:szCs w:val="20"/>
              </w:rPr>
              <w:t xml:space="preserve">Patients with </w:t>
            </w:r>
            <w:r w:rsidRPr="00DC0807">
              <w:rPr>
                <w:rFonts w:ascii="Arial Narrow" w:hAnsi="Arial Narrow"/>
                <w:bCs/>
                <w:sz w:val="20"/>
                <w:szCs w:val="20"/>
                <w:u w:val="single"/>
              </w:rPr>
              <w:t>&gt;</w:t>
            </w:r>
            <w:r w:rsidRPr="00DC0807">
              <w:rPr>
                <w:rFonts w:ascii="Arial Narrow" w:hAnsi="Arial Narrow"/>
                <w:bCs/>
                <w:sz w:val="20"/>
                <w:szCs w:val="20"/>
              </w:rPr>
              <w:t xml:space="preserve"> 1 SAE</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274" w:type="dxa"/>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1 (2.3)</w:t>
            </w:r>
          </w:p>
        </w:tc>
        <w:tc>
          <w:tcPr>
            <w:tcW w:w="993"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225"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r>
      <w:tr w:rsidR="00725FF1" w:rsidRPr="00DC0807" w:rsidTr="00AD6A57">
        <w:trPr>
          <w:trHeight w:val="20"/>
        </w:trPr>
        <w:tc>
          <w:tcPr>
            <w:tcW w:w="3256" w:type="dxa"/>
            <w:noWrap/>
            <w:hideMark/>
          </w:tcPr>
          <w:p w:rsidR="00725FF1" w:rsidRPr="00DC0807" w:rsidRDefault="00725FF1" w:rsidP="0023109F">
            <w:pPr>
              <w:keepNext/>
              <w:keepLines/>
              <w:ind w:left="313"/>
              <w:rPr>
                <w:rFonts w:ascii="Arial Narrow" w:hAnsi="Arial Narrow"/>
                <w:bCs/>
                <w:sz w:val="20"/>
                <w:szCs w:val="20"/>
              </w:rPr>
            </w:pPr>
            <w:r w:rsidRPr="00DC0807">
              <w:rPr>
                <w:rFonts w:ascii="Arial Narrow" w:hAnsi="Arial Narrow"/>
                <w:bCs/>
                <w:sz w:val="20"/>
                <w:szCs w:val="20"/>
              </w:rPr>
              <w:t>Serious infections</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134"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274" w:type="dxa"/>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993"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225" w:type="dxa"/>
            <w:noWrap/>
            <w:vAlign w:val="center"/>
            <w:hideMark/>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r>
      <w:tr w:rsidR="00725FF1" w:rsidRPr="00DC0807" w:rsidTr="00AD6A57">
        <w:trPr>
          <w:trHeight w:val="20"/>
        </w:trPr>
        <w:tc>
          <w:tcPr>
            <w:tcW w:w="3256" w:type="dxa"/>
            <w:noWrap/>
          </w:tcPr>
          <w:p w:rsidR="00725FF1" w:rsidRPr="00DC0807" w:rsidRDefault="00725FF1" w:rsidP="0023109F">
            <w:pPr>
              <w:keepNext/>
              <w:keepLines/>
              <w:rPr>
                <w:rFonts w:ascii="Arial Narrow" w:hAnsi="Arial Narrow"/>
                <w:bCs/>
                <w:sz w:val="20"/>
                <w:szCs w:val="20"/>
              </w:rPr>
            </w:pPr>
            <w:r w:rsidRPr="00DC0807">
              <w:rPr>
                <w:rFonts w:ascii="Arial Narrow" w:hAnsi="Arial Narrow"/>
                <w:bCs/>
                <w:sz w:val="20"/>
                <w:szCs w:val="20"/>
              </w:rPr>
              <w:t xml:space="preserve">Death </w:t>
            </w:r>
          </w:p>
        </w:tc>
        <w:tc>
          <w:tcPr>
            <w:tcW w:w="1134" w:type="dxa"/>
            <w:noWrap/>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134" w:type="dxa"/>
            <w:noWrap/>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274" w:type="dxa"/>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993" w:type="dxa"/>
            <w:noWrap/>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c>
          <w:tcPr>
            <w:tcW w:w="1225" w:type="dxa"/>
            <w:noWrap/>
            <w:vAlign w:val="center"/>
          </w:tcPr>
          <w:p w:rsidR="00725FF1" w:rsidRPr="00DC0807" w:rsidRDefault="00725FF1" w:rsidP="0023109F">
            <w:pPr>
              <w:keepNext/>
              <w:keepLines/>
              <w:jc w:val="center"/>
              <w:rPr>
                <w:rFonts w:ascii="Arial Narrow" w:hAnsi="Arial Narrow"/>
                <w:sz w:val="20"/>
                <w:szCs w:val="20"/>
              </w:rPr>
            </w:pPr>
            <w:r w:rsidRPr="00DC0807">
              <w:rPr>
                <w:rFonts w:ascii="Arial Narrow" w:hAnsi="Arial Narrow"/>
                <w:sz w:val="20"/>
                <w:szCs w:val="20"/>
              </w:rPr>
              <w:t>0</w:t>
            </w:r>
          </w:p>
        </w:tc>
      </w:tr>
      <w:tr w:rsidR="00725FF1" w:rsidRPr="00DC0807" w:rsidTr="00AD6A57">
        <w:trPr>
          <w:trHeight w:val="20"/>
        </w:trPr>
        <w:tc>
          <w:tcPr>
            <w:tcW w:w="3256" w:type="dxa"/>
            <w:noWrap/>
          </w:tcPr>
          <w:p w:rsidR="00725FF1" w:rsidRPr="00DC0807" w:rsidRDefault="00725FF1" w:rsidP="0023109F">
            <w:pPr>
              <w:keepNext/>
              <w:keepLines/>
              <w:rPr>
                <w:rFonts w:ascii="Arial Narrow" w:hAnsi="Arial Narrow"/>
                <w:bCs/>
                <w:sz w:val="20"/>
                <w:szCs w:val="20"/>
              </w:rPr>
            </w:pPr>
            <w:r w:rsidRPr="00DC0807">
              <w:rPr>
                <w:rFonts w:ascii="Arial Narrow" w:hAnsi="Arial Narrow"/>
                <w:bCs/>
                <w:sz w:val="20"/>
                <w:szCs w:val="20"/>
              </w:rPr>
              <w:t>Specific adverse events</w:t>
            </w:r>
          </w:p>
        </w:tc>
        <w:tc>
          <w:tcPr>
            <w:tcW w:w="1134" w:type="dxa"/>
            <w:noWrap/>
            <w:vAlign w:val="center"/>
          </w:tcPr>
          <w:p w:rsidR="00725FF1" w:rsidRPr="00DC0807" w:rsidRDefault="00725FF1" w:rsidP="0023109F">
            <w:pPr>
              <w:keepNext/>
              <w:keepLines/>
              <w:jc w:val="center"/>
              <w:rPr>
                <w:rFonts w:ascii="Arial Narrow" w:hAnsi="Arial Narrow"/>
                <w:sz w:val="20"/>
                <w:szCs w:val="20"/>
              </w:rPr>
            </w:pPr>
          </w:p>
        </w:tc>
        <w:tc>
          <w:tcPr>
            <w:tcW w:w="1134" w:type="dxa"/>
            <w:noWrap/>
            <w:vAlign w:val="center"/>
          </w:tcPr>
          <w:p w:rsidR="00725FF1" w:rsidRPr="00DC0807" w:rsidRDefault="00725FF1" w:rsidP="0023109F">
            <w:pPr>
              <w:keepNext/>
              <w:keepLines/>
              <w:jc w:val="center"/>
              <w:rPr>
                <w:rFonts w:ascii="Arial Narrow" w:hAnsi="Arial Narrow"/>
                <w:sz w:val="20"/>
                <w:szCs w:val="20"/>
              </w:rPr>
            </w:pPr>
          </w:p>
        </w:tc>
        <w:tc>
          <w:tcPr>
            <w:tcW w:w="1274" w:type="dxa"/>
          </w:tcPr>
          <w:p w:rsidR="00725FF1" w:rsidRPr="00DC0807" w:rsidRDefault="00725FF1" w:rsidP="0023109F">
            <w:pPr>
              <w:keepNext/>
              <w:keepLines/>
              <w:jc w:val="center"/>
              <w:rPr>
                <w:rFonts w:ascii="Arial Narrow" w:hAnsi="Arial Narrow"/>
                <w:sz w:val="20"/>
                <w:szCs w:val="20"/>
              </w:rPr>
            </w:pPr>
          </w:p>
        </w:tc>
        <w:tc>
          <w:tcPr>
            <w:tcW w:w="993" w:type="dxa"/>
            <w:noWrap/>
            <w:vAlign w:val="center"/>
          </w:tcPr>
          <w:p w:rsidR="00725FF1" w:rsidRPr="00DC0807" w:rsidRDefault="00725FF1" w:rsidP="0023109F">
            <w:pPr>
              <w:keepNext/>
              <w:keepLines/>
              <w:jc w:val="center"/>
              <w:rPr>
                <w:rFonts w:ascii="Arial Narrow" w:hAnsi="Arial Narrow"/>
                <w:sz w:val="20"/>
                <w:szCs w:val="20"/>
              </w:rPr>
            </w:pPr>
          </w:p>
        </w:tc>
        <w:tc>
          <w:tcPr>
            <w:tcW w:w="1225" w:type="dxa"/>
            <w:noWrap/>
            <w:vAlign w:val="center"/>
          </w:tcPr>
          <w:p w:rsidR="00725FF1" w:rsidRPr="00DC0807" w:rsidRDefault="00725FF1" w:rsidP="0023109F">
            <w:pPr>
              <w:keepNext/>
              <w:keepLines/>
              <w:jc w:val="center"/>
              <w:rPr>
                <w:rFonts w:ascii="Arial Narrow" w:hAnsi="Arial Narrow"/>
                <w:sz w:val="20"/>
                <w:szCs w:val="20"/>
              </w:rPr>
            </w:pPr>
          </w:p>
        </w:tc>
      </w:tr>
      <w:tr w:rsidR="00725FF1" w:rsidRPr="00DC0807" w:rsidTr="00AD6A57">
        <w:trPr>
          <w:trHeight w:val="20"/>
        </w:trPr>
        <w:tc>
          <w:tcPr>
            <w:tcW w:w="3256" w:type="dxa"/>
            <w:noWrap/>
            <w:vAlign w:val="center"/>
          </w:tcPr>
          <w:p w:rsidR="00725FF1" w:rsidRPr="00DC0807" w:rsidRDefault="00725FF1" w:rsidP="00725FF1">
            <w:pPr>
              <w:keepNext/>
              <w:keepLines/>
              <w:ind w:left="313"/>
              <w:rPr>
                <w:rFonts w:ascii="Arial Narrow" w:hAnsi="Arial Narrow"/>
                <w:bCs/>
                <w:sz w:val="20"/>
                <w:szCs w:val="20"/>
              </w:rPr>
            </w:pPr>
            <w:r w:rsidRPr="00DC0807">
              <w:rPr>
                <w:rFonts w:ascii="Arial Narrow" w:hAnsi="Arial Narrow"/>
                <w:bCs/>
                <w:sz w:val="20"/>
                <w:szCs w:val="20"/>
              </w:rPr>
              <w:t>Upper respiratory tract infection</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2 (5.4)</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3 (8.3)</w:t>
            </w:r>
          </w:p>
        </w:tc>
        <w:tc>
          <w:tcPr>
            <w:tcW w:w="1274" w:type="dxa"/>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5 (11.4)</w:t>
            </w:r>
          </w:p>
        </w:tc>
        <w:tc>
          <w:tcPr>
            <w:tcW w:w="993"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12 (11.4)</w:t>
            </w:r>
          </w:p>
        </w:tc>
        <w:tc>
          <w:tcPr>
            <w:tcW w:w="1225"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18 (17.0)</w:t>
            </w:r>
          </w:p>
        </w:tc>
      </w:tr>
      <w:tr w:rsidR="00725FF1" w:rsidRPr="00DC0807" w:rsidTr="00AD6A57">
        <w:trPr>
          <w:trHeight w:val="20"/>
        </w:trPr>
        <w:tc>
          <w:tcPr>
            <w:tcW w:w="3256" w:type="dxa"/>
            <w:noWrap/>
            <w:vAlign w:val="center"/>
          </w:tcPr>
          <w:p w:rsidR="00725FF1" w:rsidRPr="00DC0807" w:rsidRDefault="00725FF1" w:rsidP="00725FF1">
            <w:pPr>
              <w:keepNext/>
              <w:keepLines/>
              <w:ind w:left="313"/>
              <w:rPr>
                <w:rFonts w:ascii="Arial Narrow" w:hAnsi="Arial Narrow"/>
                <w:bCs/>
                <w:sz w:val="20"/>
                <w:szCs w:val="20"/>
              </w:rPr>
            </w:pPr>
            <w:r w:rsidRPr="00DC0807">
              <w:rPr>
                <w:rFonts w:ascii="Arial Narrow" w:hAnsi="Arial Narrow"/>
                <w:bCs/>
                <w:sz w:val="20"/>
                <w:szCs w:val="20"/>
              </w:rPr>
              <w:t>Gastroenteritis</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1 (2.7)</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0</w:t>
            </w:r>
          </w:p>
        </w:tc>
        <w:tc>
          <w:tcPr>
            <w:tcW w:w="1274" w:type="dxa"/>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0</w:t>
            </w:r>
          </w:p>
        </w:tc>
        <w:tc>
          <w:tcPr>
            <w:tcW w:w="993"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0</w:t>
            </w:r>
          </w:p>
        </w:tc>
        <w:tc>
          <w:tcPr>
            <w:tcW w:w="1225"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6 (5.7)</w:t>
            </w:r>
          </w:p>
        </w:tc>
      </w:tr>
      <w:tr w:rsidR="00725FF1" w:rsidRPr="00DC0807" w:rsidTr="00AD6A57">
        <w:trPr>
          <w:trHeight w:val="20"/>
        </w:trPr>
        <w:tc>
          <w:tcPr>
            <w:tcW w:w="3256" w:type="dxa"/>
            <w:noWrap/>
            <w:vAlign w:val="center"/>
          </w:tcPr>
          <w:p w:rsidR="00725FF1" w:rsidRPr="00DC0807" w:rsidRDefault="00725FF1" w:rsidP="00725FF1">
            <w:pPr>
              <w:keepNext/>
              <w:keepLines/>
              <w:ind w:left="313"/>
              <w:rPr>
                <w:rFonts w:ascii="Arial Narrow" w:hAnsi="Arial Narrow"/>
                <w:bCs/>
                <w:sz w:val="20"/>
                <w:szCs w:val="20"/>
              </w:rPr>
            </w:pPr>
            <w:r w:rsidRPr="00DC0807">
              <w:rPr>
                <w:rFonts w:ascii="Arial Narrow" w:hAnsi="Arial Narrow"/>
                <w:bCs/>
                <w:sz w:val="20"/>
                <w:szCs w:val="20"/>
              </w:rPr>
              <w:t>Influenza</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0</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1 (2.8)</w:t>
            </w:r>
          </w:p>
        </w:tc>
        <w:tc>
          <w:tcPr>
            <w:tcW w:w="1274" w:type="dxa"/>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0</w:t>
            </w:r>
          </w:p>
        </w:tc>
        <w:tc>
          <w:tcPr>
            <w:tcW w:w="993"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2 (1.9)</w:t>
            </w:r>
          </w:p>
        </w:tc>
        <w:tc>
          <w:tcPr>
            <w:tcW w:w="1225"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8 (7.6)</w:t>
            </w:r>
          </w:p>
        </w:tc>
      </w:tr>
      <w:tr w:rsidR="00725FF1" w:rsidRPr="00DC0807" w:rsidTr="00AD6A57">
        <w:trPr>
          <w:trHeight w:val="20"/>
        </w:trPr>
        <w:tc>
          <w:tcPr>
            <w:tcW w:w="3256" w:type="dxa"/>
            <w:noWrap/>
            <w:vAlign w:val="center"/>
          </w:tcPr>
          <w:p w:rsidR="00725FF1" w:rsidRPr="00DC0807" w:rsidRDefault="00725FF1" w:rsidP="00725FF1">
            <w:pPr>
              <w:keepNext/>
              <w:keepLines/>
              <w:ind w:left="313"/>
              <w:rPr>
                <w:rFonts w:ascii="Arial Narrow" w:hAnsi="Arial Narrow"/>
                <w:bCs/>
                <w:sz w:val="20"/>
                <w:szCs w:val="20"/>
              </w:rPr>
            </w:pPr>
            <w:r w:rsidRPr="00DC0807">
              <w:rPr>
                <w:rFonts w:ascii="Arial Narrow" w:hAnsi="Arial Narrow"/>
                <w:bCs/>
                <w:sz w:val="20"/>
                <w:szCs w:val="20"/>
              </w:rPr>
              <w:t>Nasopharyngitis</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10 (27.0)</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1 (2.8)</w:t>
            </w:r>
          </w:p>
        </w:tc>
        <w:tc>
          <w:tcPr>
            <w:tcW w:w="1274" w:type="dxa"/>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4 (9.1)</w:t>
            </w:r>
          </w:p>
        </w:tc>
        <w:tc>
          <w:tcPr>
            <w:tcW w:w="993"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9 (8.6)</w:t>
            </w:r>
          </w:p>
        </w:tc>
        <w:tc>
          <w:tcPr>
            <w:tcW w:w="1225"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8 (7.6)</w:t>
            </w:r>
          </w:p>
        </w:tc>
      </w:tr>
      <w:tr w:rsidR="00725FF1" w:rsidRPr="00DC0807" w:rsidTr="00AD6A57">
        <w:trPr>
          <w:trHeight w:val="20"/>
        </w:trPr>
        <w:tc>
          <w:tcPr>
            <w:tcW w:w="3256" w:type="dxa"/>
            <w:noWrap/>
          </w:tcPr>
          <w:p w:rsidR="00725FF1" w:rsidRPr="00DC0807" w:rsidRDefault="00725FF1" w:rsidP="00725FF1">
            <w:pPr>
              <w:keepNext/>
              <w:keepLines/>
              <w:ind w:left="313"/>
              <w:rPr>
                <w:rFonts w:ascii="Arial Narrow" w:hAnsi="Arial Narrow"/>
                <w:bCs/>
                <w:sz w:val="20"/>
                <w:szCs w:val="20"/>
              </w:rPr>
            </w:pPr>
            <w:r w:rsidRPr="00DC0807">
              <w:rPr>
                <w:rFonts w:ascii="Arial Narrow" w:hAnsi="Arial Narrow"/>
                <w:bCs/>
                <w:sz w:val="20"/>
                <w:szCs w:val="20"/>
              </w:rPr>
              <w:t>Injection site reaction</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0</w:t>
            </w:r>
          </w:p>
        </w:tc>
        <w:tc>
          <w:tcPr>
            <w:tcW w:w="1134"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1 (2.8)</w:t>
            </w:r>
          </w:p>
        </w:tc>
        <w:tc>
          <w:tcPr>
            <w:tcW w:w="1274" w:type="dxa"/>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5 (11.4)</w:t>
            </w:r>
          </w:p>
        </w:tc>
        <w:tc>
          <w:tcPr>
            <w:tcW w:w="993"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5 (4.8)</w:t>
            </w:r>
          </w:p>
        </w:tc>
        <w:tc>
          <w:tcPr>
            <w:tcW w:w="1225" w:type="dxa"/>
            <w:noWrap/>
            <w:vAlign w:val="center"/>
          </w:tcPr>
          <w:p w:rsidR="00725FF1" w:rsidRPr="00DC0807" w:rsidRDefault="00725FF1" w:rsidP="00725FF1">
            <w:pPr>
              <w:keepNext/>
              <w:keepLines/>
              <w:jc w:val="center"/>
              <w:rPr>
                <w:rFonts w:ascii="Arial Narrow" w:hAnsi="Arial Narrow"/>
                <w:sz w:val="20"/>
                <w:szCs w:val="20"/>
              </w:rPr>
            </w:pPr>
            <w:r w:rsidRPr="00DC0807">
              <w:rPr>
                <w:rFonts w:ascii="Arial Narrow" w:hAnsi="Arial Narrow"/>
                <w:sz w:val="20"/>
                <w:szCs w:val="20"/>
              </w:rPr>
              <w:t>7 (6.6)</w:t>
            </w:r>
          </w:p>
        </w:tc>
      </w:tr>
    </w:tbl>
    <w:p w:rsidR="00324549" w:rsidRPr="00DC0807" w:rsidRDefault="00324549" w:rsidP="004E2F29">
      <w:pPr>
        <w:pStyle w:val="TableFooter"/>
        <w:keepNext/>
        <w:keepLines/>
      </w:pPr>
      <w:r w:rsidRPr="00DC0807">
        <w:t>Source: Table 2-50, p120 and Table 2-56, p125 of the submission.</w:t>
      </w:r>
    </w:p>
    <w:p w:rsidR="00725FF1" w:rsidRPr="00DC0807" w:rsidRDefault="00725FF1" w:rsidP="004E2F29">
      <w:pPr>
        <w:pStyle w:val="TableFooter"/>
        <w:keepNext/>
        <w:keepLines/>
      </w:pPr>
      <w:r w:rsidRPr="00DC0807">
        <w:t>UST=ustekinumab; ETN=etanercept; AE=adverse events; SAE=serious adverse events; PBO=placebo</w:t>
      </w:r>
    </w:p>
    <w:p w:rsidR="00725FF1" w:rsidRPr="00DC0807" w:rsidRDefault="008C3DB4" w:rsidP="00725FF1">
      <w:pPr>
        <w:keepNext/>
        <w:keepLines/>
        <w:rPr>
          <w:rFonts w:ascii="Arial Narrow" w:hAnsi="Arial Narrow"/>
          <w:sz w:val="18"/>
        </w:rPr>
      </w:pPr>
      <w:r w:rsidRPr="00DC0807">
        <w:rPr>
          <w:rFonts w:ascii="Arial Narrow" w:hAnsi="Arial Narrow"/>
          <w:sz w:val="18"/>
          <w:vertAlign w:val="superscript"/>
        </w:rPr>
        <w:t xml:space="preserve">a </w:t>
      </w:r>
      <w:r w:rsidR="00725FF1" w:rsidRPr="00DC0807">
        <w:rPr>
          <w:rFonts w:ascii="Arial Narrow" w:hAnsi="Arial Narrow"/>
          <w:sz w:val="18"/>
        </w:rPr>
        <w:t>UST standard dosage is 0.75 mg/kg for subjects ≤60 kg, 45 mg for subjects &gt;60 kg but ≤100 kg, and 90 mg for subjects &gt;100 kg at Week 0 and 4 followed by q12w</w:t>
      </w:r>
    </w:p>
    <w:p w:rsidR="00725FF1" w:rsidRPr="00DC0807" w:rsidRDefault="008C3DB4" w:rsidP="00324549">
      <w:pPr>
        <w:pStyle w:val="TableFooter"/>
        <w:keepNext/>
        <w:keepLines/>
        <w:spacing w:after="240"/>
      </w:pPr>
      <w:r w:rsidRPr="00DC0807">
        <w:rPr>
          <w:vertAlign w:val="superscript"/>
        </w:rPr>
        <w:t>b</w:t>
      </w:r>
      <w:r w:rsidRPr="00DC0807">
        <w:t xml:space="preserve"> </w:t>
      </w:r>
      <w:r w:rsidR="00725FF1" w:rsidRPr="00DC0807">
        <w:t>0.8 mg/kg ETN up to max. dose of 50 mg once weekly</w:t>
      </w:r>
    </w:p>
    <w:p w:rsidR="004C3AC1" w:rsidRPr="00DC0807" w:rsidRDefault="004C3AC1" w:rsidP="00A927F1">
      <w:pPr>
        <w:pStyle w:val="ListParagraph"/>
        <w:widowControl/>
        <w:numPr>
          <w:ilvl w:val="1"/>
          <w:numId w:val="1"/>
        </w:numPr>
      </w:pPr>
      <w:r w:rsidRPr="00DC0807">
        <w:t xml:space="preserve">The submission </w:t>
      </w:r>
      <w:r w:rsidR="00725FF1" w:rsidRPr="00DC0807">
        <w:t xml:space="preserve">also </w:t>
      </w:r>
      <w:r w:rsidRPr="00DC0807">
        <w:t xml:space="preserve">provided Bucher ITCs for safety outcomes for ustekinumab (using pooled CADMUS and CADMUS JR safety outcomes) at </w:t>
      </w:r>
      <w:r w:rsidR="008534C9" w:rsidRPr="00DC0807">
        <w:t>W</w:t>
      </w:r>
      <w:r w:rsidRPr="00DC0807">
        <w:t xml:space="preserve">eek 24/28 versus etanercept at </w:t>
      </w:r>
      <w:r w:rsidR="008534C9" w:rsidRPr="00DC0807">
        <w:t>W</w:t>
      </w:r>
      <w:r w:rsidRPr="00DC0807">
        <w:t xml:space="preserve">eek 12. </w:t>
      </w:r>
      <w:r w:rsidR="00725FF1" w:rsidRPr="00DC0807">
        <w:t>The comparative safety of ustekinumab versus etanercept was assessed for the induction phase only (Weeks 12 and 24/28), since the submission stated that maintenance data for etanercept was not available in the published documents. The adverse events reported for CADMUS Week 24 and CADMUS JR at Week 12 and 28 could not be independently verified</w:t>
      </w:r>
      <w:r w:rsidR="00CC1C9E" w:rsidRPr="00DC0807">
        <w:t>.</w:t>
      </w:r>
      <w:r w:rsidR="00725FF1" w:rsidRPr="00DC0807">
        <w:t xml:space="preserve"> </w:t>
      </w:r>
    </w:p>
    <w:p w:rsidR="004C3AC1" w:rsidRPr="00DC0807" w:rsidRDefault="004C3AC1" w:rsidP="00A927F1">
      <w:pPr>
        <w:pStyle w:val="ListParagraph"/>
        <w:widowControl/>
        <w:numPr>
          <w:ilvl w:val="1"/>
          <w:numId w:val="1"/>
        </w:numPr>
      </w:pPr>
      <w:r w:rsidRPr="00DC0807">
        <w:t xml:space="preserve">The submission </w:t>
      </w:r>
      <w:r w:rsidR="004E2F29" w:rsidRPr="00DC0807">
        <w:t xml:space="preserve">claimed </w:t>
      </w:r>
      <w:r w:rsidRPr="00DC0807">
        <w:t xml:space="preserve">that ustekinumab </w:t>
      </w:r>
      <w:r w:rsidR="004E2F29" w:rsidRPr="00DC0807">
        <w:t>had</w:t>
      </w:r>
      <w:r w:rsidRPr="00DC0807">
        <w:t xml:space="preserve"> </w:t>
      </w:r>
      <w:r w:rsidRPr="00DC0807">
        <w:rPr>
          <w:szCs w:val="20"/>
        </w:rPr>
        <w:t>non-inferior safety compared to etanercept with an overall similar proportion of patients experiencing AEs. There was a trend towards a lower incidence of specific AEs</w:t>
      </w:r>
      <w:r w:rsidR="00CC1C9E" w:rsidRPr="00DC0807">
        <w:rPr>
          <w:szCs w:val="20"/>
        </w:rPr>
        <w:t xml:space="preserve"> with ustekinumab</w:t>
      </w:r>
      <w:r w:rsidRPr="00DC0807">
        <w:rPr>
          <w:szCs w:val="20"/>
        </w:rPr>
        <w:t xml:space="preserve"> such as upper respiratory tract infections, influenza, gastroenteritis, and nasopharyngitis during the </w:t>
      </w:r>
      <w:r w:rsidR="00F630E6" w:rsidRPr="00DC0807">
        <w:rPr>
          <w:szCs w:val="20"/>
        </w:rPr>
        <w:t>induction</w:t>
      </w:r>
      <w:r w:rsidRPr="00DC0807">
        <w:rPr>
          <w:szCs w:val="20"/>
        </w:rPr>
        <w:t xml:space="preserve"> </w:t>
      </w:r>
      <w:r w:rsidR="00B8612B" w:rsidRPr="00DC0807">
        <w:rPr>
          <w:szCs w:val="20"/>
        </w:rPr>
        <w:t>phase;</w:t>
      </w:r>
      <w:r w:rsidRPr="00DC0807">
        <w:rPr>
          <w:szCs w:val="20"/>
        </w:rPr>
        <w:t xml:space="preserve"> however</w:t>
      </w:r>
      <w:r w:rsidR="0028192B" w:rsidRPr="00DC0807">
        <w:rPr>
          <w:szCs w:val="20"/>
        </w:rPr>
        <w:t>,</w:t>
      </w:r>
      <w:r w:rsidRPr="00DC0807">
        <w:rPr>
          <w:szCs w:val="20"/>
        </w:rPr>
        <w:t xml:space="preserve"> the differences generally did not meet statistical significance </w:t>
      </w:r>
      <w:r w:rsidRPr="00DC0807">
        <w:t xml:space="preserve">during the </w:t>
      </w:r>
      <w:r w:rsidR="00F630E6" w:rsidRPr="00DC0807">
        <w:t>induction</w:t>
      </w:r>
      <w:r w:rsidRPr="00DC0807">
        <w:t xml:space="preserve"> period.</w:t>
      </w:r>
    </w:p>
    <w:p w:rsidR="004C3AC1" w:rsidRPr="00DC0807" w:rsidRDefault="004C3AC1" w:rsidP="00A927F1">
      <w:pPr>
        <w:pStyle w:val="ListParagraph"/>
        <w:widowControl/>
        <w:numPr>
          <w:ilvl w:val="1"/>
          <w:numId w:val="1"/>
        </w:numPr>
        <w:rPr>
          <w:iCs/>
        </w:rPr>
      </w:pPr>
      <w:r w:rsidRPr="00DC0807">
        <w:t xml:space="preserve">Overall, there was no evidence of any difference in adverse events between patients treated with ustekinumab standard dose in CADMUS and CADMUS JR and patients </w:t>
      </w:r>
      <w:r w:rsidR="00CC1C9E" w:rsidRPr="00DC0807">
        <w:t>treated with</w:t>
      </w:r>
      <w:r w:rsidRPr="00DC0807">
        <w:t xml:space="preserve"> etanercept in Paller 2008 except for:</w:t>
      </w:r>
    </w:p>
    <w:p w:rsidR="004C3AC1" w:rsidRPr="00DC0807" w:rsidRDefault="004C3AC1" w:rsidP="00A927F1">
      <w:pPr>
        <w:pStyle w:val="ListParagraph"/>
        <w:widowControl/>
        <w:numPr>
          <w:ilvl w:val="1"/>
          <w:numId w:val="4"/>
        </w:numPr>
        <w:ind w:left="1134" w:hanging="425"/>
      </w:pPr>
      <w:r w:rsidRPr="00DC0807">
        <w:t>In the indirect comparison of CADMUS with Paller 2008, the proportion of patients who reported one or more infections at 12 weeks was statistically significantly lower (RD = -0.32, 95%</w:t>
      </w:r>
      <w:r w:rsidR="00047385" w:rsidRPr="00DC0807">
        <w:t xml:space="preserve"> </w:t>
      </w:r>
      <w:r w:rsidRPr="00DC0807">
        <w:t>CI = -0.56, -0.08) in patients treated with ustekinumab in CADMUS than in patients treated with etanercept in Paller 2008. No statistically significant difference</w:t>
      </w:r>
      <w:r w:rsidR="00CC1C9E" w:rsidRPr="00DC0807">
        <w:t>s</w:t>
      </w:r>
      <w:r w:rsidRPr="00DC0807">
        <w:t xml:space="preserve"> were observed when using pooled ustekinumab data or at the end of ustekinumab </w:t>
      </w:r>
      <w:r w:rsidR="00F630E6" w:rsidRPr="00DC0807">
        <w:t>induction</w:t>
      </w:r>
      <w:r w:rsidRPr="00DC0807">
        <w:t xml:space="preserve"> (24 weeks) in CADMUS; and</w:t>
      </w:r>
    </w:p>
    <w:p w:rsidR="004C3AC1" w:rsidRPr="00DC0807" w:rsidRDefault="004C3AC1" w:rsidP="00A927F1">
      <w:pPr>
        <w:pStyle w:val="ListParagraph"/>
        <w:widowControl/>
        <w:numPr>
          <w:ilvl w:val="1"/>
          <w:numId w:val="4"/>
        </w:numPr>
        <w:ind w:left="1134" w:hanging="425"/>
      </w:pPr>
      <w:r w:rsidRPr="00DC0807">
        <w:t>The proportion of patients who reported any nasopharyngitis at 12 weeks was statistically significantly lower (RD = -0.23, 95%</w:t>
      </w:r>
      <w:r w:rsidR="00051C45" w:rsidRPr="00DC0807">
        <w:t xml:space="preserve"> </w:t>
      </w:r>
      <w:r w:rsidRPr="00DC0807">
        <w:t>CI = -0.30, -0.16) in patients treated with ustekinumab in CADMUS and when pooled with CADMUS JR (RD =</w:t>
      </w:r>
      <w:r w:rsidR="008634AD" w:rsidRPr="00DC0807">
        <w:br/>
        <w:t>-</w:t>
      </w:r>
      <w:r w:rsidRPr="00DC0807">
        <w:t xml:space="preserve">0.2, 95% CI = -0.37, -0.03) than in patients treated with etanercept in Paller 2008. However this was driven by an unusually high nasopharyngitis rate in patients randomised to placebo in CADMUS (10/37, 27%) compared to those randomised to placebo in Paller 2008 (9/105, 8.6%). </w:t>
      </w:r>
    </w:p>
    <w:p w:rsidR="004C3AC1" w:rsidRPr="00DC0807" w:rsidRDefault="004C3AC1" w:rsidP="004C3AC1">
      <w:pPr>
        <w:pStyle w:val="Heading2"/>
      </w:pPr>
      <w:bookmarkStart w:id="21" w:name="_Toc62032239"/>
      <w:r w:rsidRPr="00DC0807">
        <w:t>Benefits/harms</w:t>
      </w:r>
      <w:bookmarkEnd w:id="21"/>
    </w:p>
    <w:p w:rsidR="004C3AC1" w:rsidRPr="00DC0807" w:rsidRDefault="004C3AC1" w:rsidP="004C3AC1"/>
    <w:p w:rsidR="00AD6A57" w:rsidRPr="00DC0807" w:rsidRDefault="00AD6A57" w:rsidP="00AD6A57">
      <w:pPr>
        <w:pStyle w:val="ListParagraph"/>
        <w:widowControl/>
        <w:numPr>
          <w:ilvl w:val="1"/>
          <w:numId w:val="1"/>
        </w:numPr>
      </w:pPr>
      <w:r w:rsidRPr="00DC0807">
        <w:t>On the basis of the indirect comparison presented by the submission, for every 100 patients treated with ustekinumab in comparison with etanercept:</w:t>
      </w:r>
    </w:p>
    <w:p w:rsidR="00AD6A57" w:rsidRPr="00DC0807" w:rsidRDefault="00AD6A57" w:rsidP="00AD6A57">
      <w:pPr>
        <w:pStyle w:val="ListParagraph"/>
        <w:widowControl/>
        <w:numPr>
          <w:ilvl w:val="1"/>
          <w:numId w:val="4"/>
        </w:numPr>
        <w:ind w:left="1134" w:hanging="425"/>
      </w:pPr>
      <w:r w:rsidRPr="00DC0807">
        <w:t>Approximately 25 more patients would have a Psoriasis Area and Severity Index (PASI) 75 response after 12 weeks treatment.</w:t>
      </w:r>
    </w:p>
    <w:p w:rsidR="00AD6A57" w:rsidRPr="00DC0807" w:rsidRDefault="00AD6A57" w:rsidP="00AD6A57">
      <w:pPr>
        <w:pStyle w:val="ListParagraph"/>
        <w:widowControl/>
        <w:numPr>
          <w:ilvl w:val="1"/>
          <w:numId w:val="4"/>
        </w:numPr>
        <w:ind w:left="1134" w:hanging="425"/>
      </w:pPr>
      <w:r w:rsidRPr="00DC0807">
        <w:t>Approximately 35 more patients would have a PASI 90 response after 12 weeks treatment.</w:t>
      </w:r>
    </w:p>
    <w:p w:rsidR="004C3AC1" w:rsidRPr="00DC0807" w:rsidRDefault="00F94698" w:rsidP="00A927F1">
      <w:pPr>
        <w:pStyle w:val="ListParagraph"/>
        <w:widowControl/>
        <w:numPr>
          <w:ilvl w:val="1"/>
          <w:numId w:val="1"/>
        </w:numPr>
      </w:pPr>
      <w:r w:rsidRPr="00DC0807">
        <w:rPr>
          <w:rFonts w:cs="Calibri"/>
          <w:snapToGrid/>
          <w:szCs w:val="24"/>
          <w:lang w:eastAsia="en-AU"/>
        </w:rPr>
        <w:t>Comparative harms are not presented as the submission claimed non-inferior safety between ustekinumab and etanercept.</w:t>
      </w:r>
    </w:p>
    <w:p w:rsidR="004C3AC1" w:rsidRPr="00DC0807" w:rsidRDefault="004C3AC1" w:rsidP="008A23D8">
      <w:pPr>
        <w:pStyle w:val="Heading2"/>
        <w:keepNext/>
        <w:keepLines/>
      </w:pPr>
      <w:bookmarkStart w:id="22" w:name="_Toc62032240"/>
      <w:r w:rsidRPr="00DC0807">
        <w:t>Clinical claim</w:t>
      </w:r>
      <w:bookmarkEnd w:id="22"/>
    </w:p>
    <w:p w:rsidR="004C3AC1" w:rsidRPr="00DC0807" w:rsidRDefault="004C3AC1" w:rsidP="008A23D8">
      <w:pPr>
        <w:keepNext/>
        <w:keepLines/>
        <w:ind w:left="720" w:hanging="720"/>
      </w:pPr>
    </w:p>
    <w:p w:rsidR="00C2798B" w:rsidRDefault="004C3AC1" w:rsidP="00A927F1">
      <w:pPr>
        <w:pStyle w:val="ListParagraph"/>
        <w:keepNext/>
        <w:keepLines/>
        <w:widowControl/>
        <w:numPr>
          <w:ilvl w:val="1"/>
          <w:numId w:val="1"/>
        </w:numPr>
      </w:pPr>
      <w:r w:rsidRPr="00DC0807">
        <w:t>The submission described ustekinumab as superior in terms of effectiveness</w:t>
      </w:r>
      <w:r w:rsidR="00391DB7" w:rsidRPr="00DC0807">
        <w:t xml:space="preserve"> </w:t>
      </w:r>
      <w:r w:rsidRPr="00DC0807">
        <w:t>and no</w:t>
      </w:r>
      <w:r w:rsidR="009737C8" w:rsidRPr="00DC0807">
        <w:t>n-inferior in terms of safety</w:t>
      </w:r>
      <w:r w:rsidR="00E61D73" w:rsidRPr="00DC0807">
        <w:t xml:space="preserve"> compared to etanercept</w:t>
      </w:r>
      <w:r w:rsidR="009737C8" w:rsidRPr="00DC0807">
        <w:t xml:space="preserve">. </w:t>
      </w:r>
      <w:r w:rsidRPr="00DC0807">
        <w:t xml:space="preserve">The claims </w:t>
      </w:r>
      <w:proofErr w:type="gramStart"/>
      <w:r w:rsidRPr="00DC0807">
        <w:t>were based</w:t>
      </w:r>
      <w:proofErr w:type="gramEnd"/>
      <w:r w:rsidRPr="00DC0807">
        <w:t xml:space="preserve"> on a pooled analysis of </w:t>
      </w:r>
      <w:r w:rsidR="00C92D23" w:rsidRPr="00DC0807">
        <w:t>PASI 75</w:t>
      </w:r>
      <w:r w:rsidRPr="00DC0807">
        <w:t xml:space="preserve"> and </w:t>
      </w:r>
      <w:r w:rsidR="00C92D23" w:rsidRPr="00DC0807">
        <w:t>PASI 90</w:t>
      </w:r>
      <w:r w:rsidRPr="00DC0807">
        <w:t xml:space="preserve"> (non-)response rates and quality of life as measured by the CDLQI from CADMUS and CADMUS JR</w:t>
      </w:r>
      <w:r w:rsidR="00C04B23" w:rsidRPr="00DC0807">
        <w:t>,</w:t>
      </w:r>
      <w:r w:rsidRPr="00DC0807">
        <w:t xml:space="preserve"> and these results were compared in an ITC to results for etanercept from Paller 2008. </w:t>
      </w:r>
    </w:p>
    <w:p w:rsidR="004C3AC1" w:rsidRPr="00DC0807" w:rsidRDefault="00C2798B" w:rsidP="00C2798B">
      <w:pPr>
        <w:widowControl/>
        <w:jc w:val="left"/>
      </w:pPr>
      <w:r>
        <w:br w:type="page"/>
      </w:r>
    </w:p>
    <w:p w:rsidR="00E925EF" w:rsidRPr="00DC0807" w:rsidRDefault="00E92681" w:rsidP="007D66A7">
      <w:pPr>
        <w:pStyle w:val="ListParagraph"/>
        <w:numPr>
          <w:ilvl w:val="1"/>
          <w:numId w:val="1"/>
        </w:numPr>
        <w:rPr>
          <w:iCs/>
        </w:rPr>
      </w:pPr>
      <w:proofErr w:type="gramStart"/>
      <w:r w:rsidRPr="00DC0807">
        <w:rPr>
          <w:rFonts w:asciiTheme="minorHAnsi" w:hAnsiTheme="minorHAnsi"/>
          <w:szCs w:val="20"/>
        </w:rPr>
        <w:t>The PBAC considered that the claim of superior comparative effectiveness was reasonable</w:t>
      </w:r>
      <w:r w:rsidR="007D66A7" w:rsidRPr="00DC0807">
        <w:rPr>
          <w:rFonts w:asciiTheme="minorHAnsi" w:hAnsiTheme="minorHAnsi"/>
          <w:szCs w:val="20"/>
        </w:rPr>
        <w:t xml:space="preserve">, despite a number of limitations with </w:t>
      </w:r>
      <w:r w:rsidR="00380223" w:rsidRPr="00DC0807">
        <w:rPr>
          <w:rFonts w:asciiTheme="minorHAnsi" w:hAnsiTheme="minorHAnsi"/>
          <w:szCs w:val="20"/>
        </w:rPr>
        <w:t>the trials and the</w:t>
      </w:r>
      <w:r w:rsidR="007D66A7" w:rsidRPr="00DC0807">
        <w:rPr>
          <w:rFonts w:asciiTheme="minorHAnsi" w:hAnsiTheme="minorHAnsi"/>
          <w:szCs w:val="20"/>
        </w:rPr>
        <w:t xml:space="preserve"> indirect comparison including: small trial sizes; applicability issues to the PBS population; potential transitivity issues; discordant results between responders/non-responders for some measures; a reliance on Week 24/28 </w:t>
      </w:r>
      <w:r w:rsidR="00DE5D67" w:rsidRPr="00DC0807">
        <w:rPr>
          <w:rFonts w:asciiTheme="minorHAnsi" w:hAnsiTheme="minorHAnsi"/>
          <w:szCs w:val="20"/>
        </w:rPr>
        <w:t xml:space="preserve">CADMUS </w:t>
      </w:r>
      <w:r w:rsidR="007D66A7" w:rsidRPr="00DC0807">
        <w:rPr>
          <w:rFonts w:asciiTheme="minorHAnsi" w:hAnsiTheme="minorHAnsi"/>
          <w:szCs w:val="20"/>
        </w:rPr>
        <w:t>results for the primary analysis</w:t>
      </w:r>
      <w:r w:rsidR="00B2649D" w:rsidRPr="00DC0807">
        <w:rPr>
          <w:rFonts w:asciiTheme="minorHAnsi" w:hAnsiTheme="minorHAnsi"/>
          <w:szCs w:val="20"/>
        </w:rPr>
        <w:t xml:space="preserve"> (not Week 12 in the supporting analysis)</w:t>
      </w:r>
      <w:r w:rsidR="007D66A7" w:rsidRPr="00DC0807">
        <w:rPr>
          <w:rFonts w:asciiTheme="minorHAnsi" w:hAnsiTheme="minorHAnsi"/>
          <w:szCs w:val="20"/>
        </w:rPr>
        <w:t xml:space="preserve">; poorly defined MCIDs; </w:t>
      </w:r>
      <w:r w:rsidR="00EC0E5C" w:rsidRPr="00DC0807">
        <w:rPr>
          <w:rFonts w:asciiTheme="minorHAnsi" w:hAnsiTheme="minorHAnsi"/>
          <w:szCs w:val="20"/>
        </w:rPr>
        <w:t xml:space="preserve">and </w:t>
      </w:r>
      <w:r w:rsidR="007D66A7" w:rsidRPr="00DC0807">
        <w:rPr>
          <w:rFonts w:asciiTheme="minorHAnsi" w:hAnsiTheme="minorHAnsi"/>
          <w:szCs w:val="20"/>
        </w:rPr>
        <w:t>inappropriate pooling of the single-arm CA</w:t>
      </w:r>
      <w:r w:rsidR="00970ED2" w:rsidRPr="00DC0807">
        <w:rPr>
          <w:rFonts w:asciiTheme="minorHAnsi" w:hAnsiTheme="minorHAnsi"/>
          <w:szCs w:val="20"/>
        </w:rPr>
        <w:t>DMUS </w:t>
      </w:r>
      <w:r w:rsidR="00EC0E5C" w:rsidRPr="00DC0807">
        <w:rPr>
          <w:rFonts w:asciiTheme="minorHAnsi" w:hAnsiTheme="minorHAnsi"/>
          <w:szCs w:val="20"/>
        </w:rPr>
        <w:t>JR with CADMUS results.</w:t>
      </w:r>
      <w:proofErr w:type="gramEnd"/>
      <w:r w:rsidR="00EC0E5C" w:rsidRPr="00DC0807">
        <w:rPr>
          <w:rFonts w:asciiTheme="minorHAnsi" w:hAnsiTheme="minorHAnsi"/>
          <w:szCs w:val="20"/>
        </w:rPr>
        <w:t xml:space="preserve"> </w:t>
      </w:r>
    </w:p>
    <w:p w:rsidR="00735AD3" w:rsidRPr="00DC0807" w:rsidRDefault="00C310D7" w:rsidP="009239BC">
      <w:pPr>
        <w:pStyle w:val="ListParagraph"/>
        <w:numPr>
          <w:ilvl w:val="1"/>
          <w:numId w:val="1"/>
        </w:numPr>
        <w:rPr>
          <w:iCs/>
        </w:rPr>
      </w:pPr>
      <w:r w:rsidRPr="00DC0807">
        <w:t>The PBAC noted that ustekinumab showed a statistically significant benefit compared with etanercept</w:t>
      </w:r>
      <w:r w:rsidR="00680D97" w:rsidRPr="00DC0807">
        <w:t xml:space="preserve">, </w:t>
      </w:r>
      <w:r w:rsidRPr="00DC0807">
        <w:t>measured by RD, at both Weeks 12 and 24, for both PASI 75 and PASI</w:t>
      </w:r>
      <w:r w:rsidR="00B2649D" w:rsidRPr="00DC0807">
        <w:t> </w:t>
      </w:r>
      <w:r w:rsidRPr="00DC0807">
        <w:t>90 responses. The PBAC also noted that ustekinumab showed a statistically significant benef</w:t>
      </w:r>
      <w:r w:rsidR="00680D97" w:rsidRPr="00DC0807">
        <w:t xml:space="preserve">it compared with etanercept, </w:t>
      </w:r>
      <w:r w:rsidRPr="00DC0807">
        <w:t>measured by OR, at Week 24 for PASI</w:t>
      </w:r>
      <w:r w:rsidR="00970ED2" w:rsidRPr="00DC0807">
        <w:t> </w:t>
      </w:r>
      <w:r w:rsidRPr="00DC0807">
        <w:t>90 response</w:t>
      </w:r>
      <w:r w:rsidR="00735AD3" w:rsidRPr="00DC0807">
        <w:t xml:space="preserve"> (</w:t>
      </w:r>
      <w:r w:rsidR="00BE5395" w:rsidRPr="00DC0807">
        <w:t>after CADMUS JR was excluded)</w:t>
      </w:r>
      <w:r w:rsidRPr="00DC0807">
        <w:t xml:space="preserve">. Non-response analyses consistently showed a statistical benefit at Weeks 12/24 for PASI 75/90 using both RD and RR. </w:t>
      </w:r>
      <w:r w:rsidR="00970ED2" w:rsidRPr="00DC0807">
        <w:t>Whil</w:t>
      </w:r>
      <w:r w:rsidR="009F76B1" w:rsidRPr="00DC0807">
        <w:t>st</w:t>
      </w:r>
      <w:r w:rsidR="00970ED2" w:rsidRPr="00DC0807">
        <w:t xml:space="preserve"> none of these measures definitively overcame potential transitivity issues or issues related to the small trial sizes, the PBAC considered the totality of the evidence presented supported a claim of superior effectiveness compared with etanercept. In particular, a claim of clinically meaningful superiority was reasonable in the context of an unmet need for an alternative to eta</w:t>
      </w:r>
      <w:r w:rsidR="00BE5395" w:rsidRPr="00DC0807">
        <w:t xml:space="preserve">nercept, which </w:t>
      </w:r>
      <w:r w:rsidR="00372ADE" w:rsidRPr="00DC0807">
        <w:t>has</w:t>
      </w:r>
      <w:r w:rsidR="00E90FC4" w:rsidRPr="00DC0807">
        <w:t xml:space="preserve"> a TGA indication</w:t>
      </w:r>
      <w:r w:rsidR="00BE5395" w:rsidRPr="00DC0807">
        <w:t xml:space="preserve"> limited to</w:t>
      </w:r>
      <w:r w:rsidR="00E90FC4" w:rsidRPr="00DC0807">
        <w:t xml:space="preserve"> </w:t>
      </w:r>
      <w:r w:rsidR="00BE5395" w:rsidRPr="00DC0807">
        <w:t>24 </w:t>
      </w:r>
      <w:r w:rsidR="00970ED2" w:rsidRPr="00DC0807">
        <w:t>weeks</w:t>
      </w:r>
      <w:r w:rsidR="00BE5395" w:rsidRPr="00DC0807">
        <w:t>’ treatment</w:t>
      </w:r>
      <w:r w:rsidR="00970ED2" w:rsidRPr="00DC0807">
        <w:t xml:space="preserve"> </w:t>
      </w:r>
      <w:r w:rsidR="00E90FC4" w:rsidRPr="00DC0807">
        <w:t>in the paediatric population, as its safety profile depicts only short term use</w:t>
      </w:r>
      <w:r w:rsidR="00372ADE" w:rsidRPr="00DC0807">
        <w:rPr>
          <w:rStyle w:val="FootnoteReference"/>
        </w:rPr>
        <w:footnoteReference w:id="2"/>
      </w:r>
      <w:r w:rsidR="00970ED2" w:rsidRPr="00DC0807">
        <w:t xml:space="preserve">. </w:t>
      </w:r>
      <w:r w:rsidR="00BE5395" w:rsidRPr="00DC0807">
        <w:t>The claim was further</w:t>
      </w:r>
      <w:r w:rsidR="00970ED2" w:rsidRPr="00DC0807">
        <w:t xml:space="preserve"> supported </w:t>
      </w:r>
      <w:r w:rsidR="00970ED2" w:rsidRPr="00DC0807">
        <w:rPr>
          <w:iCs/>
        </w:rPr>
        <w:t>by the subgroup analysis provided with the PSCR to demonstrate applicability of the trials to the PBS population; the</w:t>
      </w:r>
      <w:r w:rsidR="00BE5395" w:rsidRPr="00DC0807">
        <w:rPr>
          <w:iCs/>
        </w:rPr>
        <w:t xml:space="preserve"> general</w:t>
      </w:r>
      <w:r w:rsidR="00970ED2" w:rsidRPr="00DC0807">
        <w:rPr>
          <w:iCs/>
        </w:rPr>
        <w:t xml:space="preserve"> stability of responses between Weeks 12 and 24/28; and the broadly consistent results after CADMUS JR results were removed during evaluation.</w:t>
      </w:r>
      <w:r w:rsidR="00BE5395" w:rsidRPr="00DC0807">
        <w:rPr>
          <w:iCs/>
        </w:rPr>
        <w:t xml:space="preserve"> </w:t>
      </w:r>
      <w:r w:rsidR="00E90FC4" w:rsidRPr="00DC0807">
        <w:rPr>
          <w:iCs/>
        </w:rPr>
        <w:t>However, the magnitude of the benefit remained uncertain.</w:t>
      </w:r>
    </w:p>
    <w:p w:rsidR="00C911D2" w:rsidRPr="00DC0807" w:rsidRDefault="00E92681" w:rsidP="00E92681">
      <w:pPr>
        <w:pStyle w:val="ListParagraph"/>
        <w:numPr>
          <w:ilvl w:val="1"/>
          <w:numId w:val="1"/>
        </w:numPr>
        <w:rPr>
          <w:iCs/>
        </w:rPr>
      </w:pPr>
      <w:r w:rsidRPr="00DC0807">
        <w:rPr>
          <w:rFonts w:asciiTheme="minorHAnsi" w:hAnsiTheme="minorHAnsi"/>
          <w:szCs w:val="20"/>
        </w:rPr>
        <w:t>The PBAC considered that the claim of non-inferior co</w:t>
      </w:r>
      <w:r w:rsidR="009809C4" w:rsidRPr="00DC0807">
        <w:rPr>
          <w:rFonts w:asciiTheme="minorHAnsi" w:hAnsiTheme="minorHAnsi"/>
          <w:szCs w:val="20"/>
        </w:rPr>
        <w:t xml:space="preserve">mparative safety was reasonable, given the lack of </w:t>
      </w:r>
      <w:r w:rsidR="009809C4" w:rsidRPr="00DC0807">
        <w:t>evidence of an overall difference in adverse events between patients treated with ustekinumab and patients treated with etanercept.</w:t>
      </w:r>
    </w:p>
    <w:p w:rsidR="00C2798B" w:rsidRDefault="002A6AF3" w:rsidP="009F76B1">
      <w:pPr>
        <w:pStyle w:val="ListParagraph"/>
        <w:numPr>
          <w:ilvl w:val="1"/>
          <w:numId w:val="1"/>
        </w:numPr>
      </w:pPr>
      <w:r w:rsidRPr="00DC0807">
        <w:rPr>
          <w:iCs/>
        </w:rPr>
        <w:t xml:space="preserve">BSC would be an appropriate comparator in some patients (see </w:t>
      </w:r>
      <w:r w:rsidRPr="00DC0807">
        <w:rPr>
          <w:i/>
          <w:iCs/>
        </w:rPr>
        <w:t xml:space="preserve">Comparator </w:t>
      </w:r>
      <w:r w:rsidRPr="00DC0807">
        <w:rPr>
          <w:iCs/>
        </w:rPr>
        <w:t xml:space="preserve">section). </w:t>
      </w:r>
      <w:r w:rsidR="00A3047C" w:rsidRPr="00DC0807">
        <w:rPr>
          <w:iCs/>
        </w:rPr>
        <w:t xml:space="preserve">Although placebo in CADMUS may not be entirely representative of BSC, the PBAC considered that a claim of superiority over BSC was reasonable based on CADMUS results for induction of PASI 75 and PASI 90 response at Week 24/28 and Week 12. Whilst the magnitude was uncertain, the claim was reasonable in the context of the available clinical evidence. </w:t>
      </w:r>
      <w:r w:rsidR="00E37544" w:rsidRPr="00DC0807">
        <w:t xml:space="preserve">Comparative safety with respect to BSC </w:t>
      </w:r>
      <w:proofErr w:type="gramStart"/>
      <w:r w:rsidR="00E37544" w:rsidRPr="00DC0807">
        <w:t>was not assessed</w:t>
      </w:r>
      <w:proofErr w:type="gramEnd"/>
      <w:r w:rsidR="009B7022" w:rsidRPr="00DC0807">
        <w:t>, although the PBAC considered it would not be worse than the safety of etanercept over placebo</w:t>
      </w:r>
      <w:r w:rsidR="00E37544" w:rsidRPr="00DC0807">
        <w:t>.</w:t>
      </w:r>
    </w:p>
    <w:p w:rsidR="00A3047C" w:rsidRPr="00C2798B" w:rsidRDefault="00C2798B" w:rsidP="00C2798B">
      <w:pPr>
        <w:widowControl/>
        <w:jc w:val="left"/>
      </w:pPr>
      <w:r>
        <w:br w:type="page"/>
      </w:r>
    </w:p>
    <w:p w:rsidR="004C3AC1" w:rsidRPr="00DC0807" w:rsidRDefault="004C3AC1" w:rsidP="000D72EF">
      <w:pPr>
        <w:pStyle w:val="Heading2"/>
        <w:spacing w:after="120"/>
        <w:rPr>
          <w:i w:val="0"/>
        </w:rPr>
      </w:pPr>
      <w:bookmarkStart w:id="23" w:name="_Toc62032241"/>
      <w:r w:rsidRPr="00DC0807">
        <w:t>Economic</w:t>
      </w:r>
      <w:r w:rsidRPr="00DC0807">
        <w:rPr>
          <w:i w:val="0"/>
        </w:rPr>
        <w:t xml:space="preserve"> </w:t>
      </w:r>
      <w:r w:rsidRPr="00DC0807">
        <w:t>analysis</w:t>
      </w:r>
      <w:bookmarkEnd w:id="23"/>
      <w:r w:rsidRPr="00DC0807">
        <w:rPr>
          <w:i w:val="0"/>
        </w:rPr>
        <w:t xml:space="preserve"> </w:t>
      </w:r>
    </w:p>
    <w:p w:rsidR="004C3AC1" w:rsidRPr="00DC0807" w:rsidRDefault="004C3AC1" w:rsidP="00796B6C">
      <w:pPr>
        <w:pStyle w:val="ListParagraph"/>
        <w:numPr>
          <w:ilvl w:val="1"/>
          <w:numId w:val="1"/>
        </w:numPr>
        <w:rPr>
          <w:iCs/>
        </w:rPr>
      </w:pPr>
      <w:r w:rsidRPr="00DC0807">
        <w:t xml:space="preserve">The submission presented </w:t>
      </w:r>
      <w:r w:rsidR="002D1042" w:rsidRPr="00DC0807">
        <w:t>a simple incremental cost per responder analysis</w:t>
      </w:r>
      <w:r w:rsidR="00EA7069" w:rsidRPr="00DC0807">
        <w:t xml:space="preserve"> (Table 11)</w:t>
      </w:r>
      <w:r w:rsidR="002D1042" w:rsidRPr="00DC0807">
        <w:t xml:space="preserve">. </w:t>
      </w:r>
      <w:r w:rsidR="00796B6C" w:rsidRPr="00DC0807">
        <w:t xml:space="preserve">The etanercept </w:t>
      </w:r>
      <w:r w:rsidR="003642F1" w:rsidRPr="00DC0807">
        <w:t>submission</w:t>
      </w:r>
      <w:r w:rsidR="00796B6C" w:rsidRPr="00DC0807">
        <w:t xml:space="preserve"> in March 2012 </w:t>
      </w:r>
      <w:r w:rsidR="003642F1" w:rsidRPr="00DC0807">
        <w:t>presented</w:t>
      </w:r>
      <w:r w:rsidR="00796B6C" w:rsidRPr="00DC0807">
        <w:t xml:space="preserve"> a trial-based cost per responder analysis, as determined by PASI 75 response to etanercept compared to best supportive care over a 12 week period, as the basis for the economic evaluation.</w:t>
      </w:r>
      <w:r w:rsidR="003642F1" w:rsidRPr="00DC0807">
        <w:t xml:space="preserve"> </w:t>
      </w:r>
      <w:r w:rsidR="00FC78C4" w:rsidRPr="00DC0807">
        <w:t xml:space="preserve">While etanercept was recommended for paediatric patients with severe CPP on the basis of a cost per responder analysis, the PBAC considered that this approach was not ideal </w:t>
      </w:r>
      <w:r w:rsidR="00A644EB" w:rsidRPr="00DC0807">
        <w:t xml:space="preserve">and a cost utility analysis was preferred </w:t>
      </w:r>
      <w:r w:rsidR="00FC78C4" w:rsidRPr="00DC0807">
        <w:t>(</w:t>
      </w:r>
      <w:r w:rsidR="000D72EF" w:rsidRPr="00DC0807">
        <w:t xml:space="preserve">paragraph 12.5, </w:t>
      </w:r>
      <w:r w:rsidR="00FC78C4" w:rsidRPr="00DC0807">
        <w:t xml:space="preserve">etanercept </w:t>
      </w:r>
      <w:r w:rsidR="000D72EF" w:rsidRPr="00DC0807">
        <w:t xml:space="preserve">PSD </w:t>
      </w:r>
      <w:r w:rsidR="00FC78C4" w:rsidRPr="00DC0807">
        <w:t xml:space="preserve">March 2012). </w:t>
      </w:r>
    </w:p>
    <w:p w:rsidR="00944C12" w:rsidRPr="00DC0807" w:rsidRDefault="00944C12" w:rsidP="00796B6C">
      <w:pPr>
        <w:pStyle w:val="ListParagraph"/>
        <w:numPr>
          <w:ilvl w:val="1"/>
          <w:numId w:val="1"/>
        </w:numPr>
        <w:rPr>
          <w:iCs/>
        </w:rPr>
      </w:pPr>
      <w:r w:rsidRPr="00DC0807">
        <w:t xml:space="preserve">To </w:t>
      </w:r>
      <w:r w:rsidR="00D15E82" w:rsidRPr="00DC0807">
        <w:t>show</w:t>
      </w:r>
      <w:r w:rsidRPr="00DC0807">
        <w:t xml:space="preserve"> cost-effectiveness of ustekinumab compared with BSC (an appropriate comparison for some patients), the PSCR presented a trial-based cost per responder analysis of ustekinumab and placebo over 28 weeks of treatment, which resulted in an incremental cost of $</w:t>
      </w:r>
      <w:r w:rsidR="006B6F2B">
        <w:rPr>
          <w:noProof/>
          <w:color w:val="000000"/>
          <w:highlight w:val="black"/>
        </w:rPr>
        <w:t>'''''''''''''''''</w:t>
      </w:r>
      <w:r w:rsidRPr="00DC0807">
        <w:t xml:space="preserve"> per PASI 75 responder. </w:t>
      </w:r>
      <w:r w:rsidR="00605BAB" w:rsidRPr="00DC0807">
        <w:t xml:space="preserve">Placebo in the CADMUS trial may not be entirely representative of BSC. </w:t>
      </w:r>
      <w:r w:rsidR="00A72FBB">
        <w:t>As this</w:t>
      </w:r>
      <w:r w:rsidR="00AD4098">
        <w:t xml:space="preserve"> analysis</w:t>
      </w:r>
      <w:r w:rsidR="00A72FBB">
        <w:t xml:space="preserve"> was presented in the PSCR, it was not evaluated. </w:t>
      </w:r>
    </w:p>
    <w:p w:rsidR="004C3AC1" w:rsidRPr="00DC0807" w:rsidRDefault="00A644EB" w:rsidP="000D72EF">
      <w:pPr>
        <w:pStyle w:val="TableFooter"/>
        <w:keepNext/>
        <w:keepLines/>
        <w:rPr>
          <w:b/>
          <w:sz w:val="20"/>
          <w:szCs w:val="20"/>
        </w:rPr>
      </w:pPr>
      <w:r w:rsidRPr="00DC0807">
        <w:rPr>
          <w:b/>
          <w:sz w:val="20"/>
          <w:szCs w:val="20"/>
        </w:rPr>
        <w:t xml:space="preserve">Table </w:t>
      </w:r>
      <w:r w:rsidR="00AE572A" w:rsidRPr="00DC0807">
        <w:rPr>
          <w:b/>
          <w:sz w:val="20"/>
          <w:szCs w:val="20"/>
        </w:rPr>
        <w:t>11</w:t>
      </w:r>
      <w:r w:rsidR="004C3AC1" w:rsidRPr="00DC0807">
        <w:rPr>
          <w:b/>
          <w:sz w:val="20"/>
          <w:szCs w:val="20"/>
        </w:rPr>
        <w:t>: Key components and assumptions of the cost per responder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0"/>
      </w:tblGrid>
      <w:tr w:rsidR="004C3AC1" w:rsidRPr="00DC0807" w:rsidTr="000049D3">
        <w:tc>
          <w:tcPr>
            <w:tcW w:w="924" w:type="pct"/>
            <w:vAlign w:val="center"/>
          </w:tcPr>
          <w:p w:rsidR="004C3AC1" w:rsidRPr="00DC0807" w:rsidRDefault="004C3AC1" w:rsidP="00A644EB">
            <w:pPr>
              <w:pStyle w:val="Tabletext"/>
              <w:keepNext/>
              <w:keepLines/>
              <w:rPr>
                <w:b/>
              </w:rPr>
            </w:pPr>
            <w:r w:rsidRPr="00DC0807">
              <w:rPr>
                <w:b/>
              </w:rPr>
              <w:t>Component</w:t>
            </w:r>
          </w:p>
        </w:tc>
        <w:tc>
          <w:tcPr>
            <w:tcW w:w="4076" w:type="pct"/>
            <w:vAlign w:val="center"/>
          </w:tcPr>
          <w:p w:rsidR="004C3AC1" w:rsidRPr="00DC0807" w:rsidRDefault="004C3AC1" w:rsidP="00A644EB">
            <w:pPr>
              <w:pStyle w:val="Tabletext"/>
              <w:keepNext/>
              <w:keepLines/>
              <w:jc w:val="center"/>
              <w:rPr>
                <w:b/>
              </w:rPr>
            </w:pPr>
            <w:r w:rsidRPr="00DC0807">
              <w:rPr>
                <w:b/>
              </w:rPr>
              <w:t>Claim or assumption</w:t>
            </w:r>
          </w:p>
        </w:tc>
      </w:tr>
      <w:tr w:rsidR="004C3AC1" w:rsidRPr="00DC0807" w:rsidTr="000049D3">
        <w:tc>
          <w:tcPr>
            <w:tcW w:w="924" w:type="pct"/>
            <w:vAlign w:val="center"/>
          </w:tcPr>
          <w:p w:rsidR="004C3AC1" w:rsidRPr="00DC0807" w:rsidRDefault="004C3AC1" w:rsidP="00A644EB">
            <w:pPr>
              <w:pStyle w:val="Tabletext"/>
              <w:keepNext/>
              <w:keepLines/>
            </w:pPr>
            <w:r w:rsidRPr="00DC0807">
              <w:t>Therapeutic claim: effectiveness</w:t>
            </w:r>
          </w:p>
        </w:tc>
        <w:tc>
          <w:tcPr>
            <w:tcW w:w="4076" w:type="pct"/>
            <w:vAlign w:val="center"/>
          </w:tcPr>
          <w:p w:rsidR="004C3AC1" w:rsidRPr="00DC0807" w:rsidRDefault="007766ED" w:rsidP="00A644EB">
            <w:pPr>
              <w:pStyle w:val="Tabletext"/>
              <w:keepNext/>
              <w:keepLines/>
            </w:pPr>
            <w:r w:rsidRPr="00DC0807">
              <w:t>Based on evidence presented</w:t>
            </w:r>
            <w:r w:rsidR="004C3AC1" w:rsidRPr="00DC0807">
              <w:t>, the submission stated that effectiveness was assumed to be superior to etanercept</w:t>
            </w:r>
          </w:p>
        </w:tc>
      </w:tr>
      <w:tr w:rsidR="004C3AC1" w:rsidRPr="00DC0807" w:rsidTr="000049D3">
        <w:tc>
          <w:tcPr>
            <w:tcW w:w="924" w:type="pct"/>
            <w:vAlign w:val="center"/>
          </w:tcPr>
          <w:p w:rsidR="004C3AC1" w:rsidRPr="00DC0807" w:rsidRDefault="004C3AC1" w:rsidP="00A644EB">
            <w:pPr>
              <w:pStyle w:val="Tabletext"/>
              <w:keepNext/>
              <w:keepLines/>
            </w:pPr>
            <w:r w:rsidRPr="00DC0807">
              <w:t>Therapeutic claim: safety</w:t>
            </w:r>
          </w:p>
        </w:tc>
        <w:tc>
          <w:tcPr>
            <w:tcW w:w="4076" w:type="pct"/>
            <w:vAlign w:val="center"/>
          </w:tcPr>
          <w:p w:rsidR="004C3AC1" w:rsidRPr="00DC0807" w:rsidRDefault="004C3AC1" w:rsidP="00A644EB">
            <w:pPr>
              <w:pStyle w:val="Tabletext"/>
              <w:keepNext/>
              <w:keepLines/>
            </w:pPr>
            <w:r w:rsidRPr="00DC0807">
              <w:t>Based on evidence presented, the submission stated that safety was assumed to be non-inferior to etanercept</w:t>
            </w:r>
          </w:p>
        </w:tc>
      </w:tr>
      <w:tr w:rsidR="004C3AC1" w:rsidRPr="00DC0807" w:rsidTr="000049D3">
        <w:tc>
          <w:tcPr>
            <w:tcW w:w="924" w:type="pct"/>
            <w:vAlign w:val="center"/>
          </w:tcPr>
          <w:p w:rsidR="004C3AC1" w:rsidRPr="00DC0807" w:rsidRDefault="004C3AC1" w:rsidP="00A644EB">
            <w:pPr>
              <w:pStyle w:val="Tabletext"/>
              <w:keepNext/>
              <w:keepLines/>
            </w:pPr>
            <w:r w:rsidRPr="00DC0807">
              <w:t>Evidence base</w:t>
            </w:r>
          </w:p>
        </w:tc>
        <w:tc>
          <w:tcPr>
            <w:tcW w:w="4076" w:type="pct"/>
            <w:tcBorders>
              <w:top w:val="single" w:sz="4" w:space="0" w:color="auto"/>
              <w:left w:val="single" w:sz="4" w:space="0" w:color="auto"/>
              <w:bottom w:val="single" w:sz="4" w:space="0" w:color="auto"/>
              <w:right w:val="single" w:sz="4" w:space="0" w:color="auto"/>
            </w:tcBorders>
          </w:tcPr>
          <w:p w:rsidR="004C3AC1" w:rsidRPr="00DC0807" w:rsidRDefault="004C3AC1" w:rsidP="00A644EB">
            <w:pPr>
              <w:pStyle w:val="Tabletext"/>
              <w:keepNext/>
              <w:keepLines/>
              <w:rPr>
                <w:szCs w:val="20"/>
              </w:rPr>
            </w:pPr>
            <w:r w:rsidRPr="00DC0807">
              <w:rPr>
                <w:color w:val="000000" w:themeColor="text1"/>
                <w:szCs w:val="20"/>
              </w:rPr>
              <w:t>Indirect comparison of three trials</w:t>
            </w:r>
            <w:r w:rsidR="00FC78C4" w:rsidRPr="00DC0807">
              <w:rPr>
                <w:color w:val="000000" w:themeColor="text1"/>
                <w:szCs w:val="20"/>
              </w:rPr>
              <w:t>/studies</w:t>
            </w:r>
            <w:r w:rsidRPr="00DC0807">
              <w:rPr>
                <w:color w:val="000000" w:themeColor="text1"/>
                <w:szCs w:val="20"/>
              </w:rPr>
              <w:t xml:space="preserve">; two with ustekinumab (CADMUS and CADMUS JR) and one with etanercept (Paller 2008) via a common placebo arm </w:t>
            </w:r>
          </w:p>
        </w:tc>
      </w:tr>
      <w:tr w:rsidR="004C3AC1" w:rsidRPr="00DC0807" w:rsidTr="000049D3">
        <w:tc>
          <w:tcPr>
            <w:tcW w:w="924" w:type="pct"/>
            <w:vAlign w:val="center"/>
          </w:tcPr>
          <w:p w:rsidR="004C3AC1" w:rsidRPr="00DC0807" w:rsidRDefault="004C3AC1" w:rsidP="008C3DB4">
            <w:pPr>
              <w:pStyle w:val="Tabletext"/>
              <w:keepNext/>
              <w:keepLines/>
            </w:pPr>
            <w:r w:rsidRPr="00DC0807">
              <w:t>Equi-effective doses</w:t>
            </w:r>
            <w:r w:rsidR="008C3DB4" w:rsidRPr="00DC0807">
              <w:rPr>
                <w:vertAlign w:val="superscript"/>
              </w:rPr>
              <w:t>b</w:t>
            </w:r>
          </w:p>
        </w:tc>
        <w:tc>
          <w:tcPr>
            <w:tcW w:w="4076" w:type="pct"/>
            <w:tcBorders>
              <w:top w:val="single" w:sz="4" w:space="0" w:color="auto"/>
              <w:left w:val="single" w:sz="4" w:space="0" w:color="auto"/>
              <w:bottom w:val="single" w:sz="4" w:space="0" w:color="auto"/>
              <w:right w:val="single" w:sz="4" w:space="0" w:color="auto"/>
            </w:tcBorders>
          </w:tcPr>
          <w:p w:rsidR="004C3AC1" w:rsidRPr="00DC0807" w:rsidRDefault="004C3AC1" w:rsidP="00A644EB">
            <w:pPr>
              <w:keepNext/>
              <w:keepLines/>
              <w:contextualSpacing/>
              <w:rPr>
                <w:rFonts w:ascii="Arial Narrow" w:hAnsi="Arial Narrow"/>
                <w:color w:val="000000" w:themeColor="text1"/>
                <w:sz w:val="20"/>
                <w:szCs w:val="20"/>
              </w:rPr>
            </w:pPr>
            <w:r w:rsidRPr="00DC0807">
              <w:rPr>
                <w:rFonts w:ascii="Arial Narrow" w:hAnsi="Arial Narrow"/>
                <w:color w:val="000000" w:themeColor="text1"/>
                <w:sz w:val="20"/>
                <w:szCs w:val="20"/>
              </w:rPr>
              <w:t xml:space="preserve">For </w:t>
            </w:r>
            <w:r w:rsidR="00F630E6" w:rsidRPr="00DC0807">
              <w:rPr>
                <w:rFonts w:ascii="Arial Narrow" w:hAnsi="Arial Narrow"/>
                <w:color w:val="000000" w:themeColor="text1"/>
                <w:sz w:val="20"/>
                <w:szCs w:val="20"/>
              </w:rPr>
              <w:t>induction</w:t>
            </w:r>
            <w:r w:rsidRPr="00DC0807">
              <w:rPr>
                <w:rFonts w:ascii="Arial Narrow" w:hAnsi="Arial Narrow"/>
                <w:color w:val="000000" w:themeColor="text1"/>
                <w:sz w:val="20"/>
                <w:szCs w:val="20"/>
              </w:rPr>
              <w:t>, ustekinumab 0.75 mg/kg (&lt;60 kg), 45 mg (≥60 kg to &lt;100 kg), or 90 mg (≥100 kg) at Weeks 0, 4 and 16 is equi-effective to etanercept 0.8 mg/kg</w:t>
            </w:r>
            <w:r w:rsidR="008C3DB4" w:rsidRPr="00DC0807">
              <w:rPr>
                <w:rFonts w:ascii="Arial Narrow" w:hAnsi="Arial Narrow"/>
                <w:color w:val="000000" w:themeColor="text1"/>
                <w:sz w:val="20"/>
                <w:szCs w:val="20"/>
                <w:vertAlign w:val="superscript"/>
              </w:rPr>
              <w:t>a</w:t>
            </w:r>
            <w:r w:rsidRPr="00DC0807">
              <w:rPr>
                <w:rFonts w:ascii="Arial Narrow" w:hAnsi="Arial Narrow"/>
                <w:color w:val="000000" w:themeColor="text1"/>
                <w:sz w:val="20"/>
                <w:szCs w:val="20"/>
              </w:rPr>
              <w:t xml:space="preserve"> (up to maximum 50 mg etanercept) every week for a ma</w:t>
            </w:r>
            <w:r w:rsidR="00044A05" w:rsidRPr="00DC0807">
              <w:rPr>
                <w:rFonts w:ascii="Arial Narrow" w:hAnsi="Arial Narrow"/>
                <w:color w:val="000000" w:themeColor="text1"/>
                <w:sz w:val="20"/>
                <w:szCs w:val="20"/>
              </w:rPr>
              <w:t>ximum 24-week treatment course.</w:t>
            </w:r>
          </w:p>
          <w:p w:rsidR="004C3AC1" w:rsidRPr="00DC0807" w:rsidRDefault="004C3AC1" w:rsidP="00A644EB">
            <w:pPr>
              <w:pStyle w:val="Tabletext"/>
              <w:keepNext/>
              <w:keepLines/>
              <w:rPr>
                <w:szCs w:val="20"/>
              </w:rPr>
            </w:pPr>
            <w:r w:rsidRPr="00DC0807">
              <w:rPr>
                <w:color w:val="000000" w:themeColor="text1"/>
                <w:szCs w:val="20"/>
              </w:rPr>
              <w:t>Note that ustekinumab is permitted for continuous use until inadequate response or treatment limiting intolerance develops.</w:t>
            </w:r>
          </w:p>
        </w:tc>
      </w:tr>
      <w:tr w:rsidR="004C3AC1" w:rsidRPr="00DC0807" w:rsidTr="000049D3">
        <w:tc>
          <w:tcPr>
            <w:tcW w:w="924" w:type="pct"/>
            <w:vAlign w:val="center"/>
          </w:tcPr>
          <w:p w:rsidR="004C3AC1" w:rsidRPr="00DC0807" w:rsidRDefault="004C3AC1" w:rsidP="00A644EB">
            <w:pPr>
              <w:pStyle w:val="Tabletext"/>
              <w:keepNext/>
              <w:keepLines/>
            </w:pPr>
            <w:r w:rsidRPr="00DC0807">
              <w:t>Direct medicine costs</w:t>
            </w:r>
          </w:p>
        </w:tc>
        <w:tc>
          <w:tcPr>
            <w:tcW w:w="4076" w:type="pct"/>
            <w:tcBorders>
              <w:top w:val="single" w:sz="4" w:space="0" w:color="auto"/>
              <w:left w:val="single" w:sz="4" w:space="0" w:color="auto"/>
              <w:bottom w:val="single" w:sz="4" w:space="0" w:color="auto"/>
              <w:right w:val="single" w:sz="4" w:space="0" w:color="auto"/>
            </w:tcBorders>
          </w:tcPr>
          <w:p w:rsidR="004C3AC1" w:rsidRPr="00DC0807" w:rsidRDefault="004C3AC1" w:rsidP="00A644EB">
            <w:pPr>
              <w:keepNext/>
              <w:keepLines/>
              <w:rPr>
                <w:rFonts w:ascii="Arial Narrow" w:hAnsi="Arial Narrow"/>
                <w:color w:val="000000" w:themeColor="text1"/>
                <w:sz w:val="20"/>
                <w:szCs w:val="20"/>
              </w:rPr>
            </w:pPr>
            <w:r w:rsidRPr="00DC0807">
              <w:rPr>
                <w:rFonts w:ascii="Arial Narrow" w:hAnsi="Arial Narrow"/>
                <w:color w:val="000000" w:themeColor="text1"/>
                <w:sz w:val="20"/>
                <w:szCs w:val="20"/>
              </w:rPr>
              <w:t>The treatment acquisition costs of ustekinumab (at Week 0, 4 and 16) and etanercept (weekly for a maximum 16-week treatment course) were inclu</w:t>
            </w:r>
            <w:r w:rsidR="00044A05" w:rsidRPr="00DC0807">
              <w:rPr>
                <w:rFonts w:ascii="Arial Narrow" w:hAnsi="Arial Narrow"/>
                <w:color w:val="000000" w:themeColor="text1"/>
                <w:sz w:val="20"/>
                <w:szCs w:val="20"/>
              </w:rPr>
              <w:t>ded in the economic evaluation.</w:t>
            </w:r>
          </w:p>
          <w:p w:rsidR="004C3AC1" w:rsidRPr="00DC0807" w:rsidRDefault="004C3AC1" w:rsidP="00A644EB">
            <w:pPr>
              <w:pStyle w:val="Tabletext"/>
              <w:keepNext/>
              <w:keepLines/>
              <w:rPr>
                <w:szCs w:val="20"/>
              </w:rPr>
            </w:pPr>
            <w:r w:rsidRPr="00DC0807">
              <w:rPr>
                <w:color w:val="000000" w:themeColor="text1"/>
                <w:szCs w:val="20"/>
              </w:rPr>
              <w:t>A supplementary analysis of the treatment acquisition costs of ustekinumab (at Week 0, 4 and 16) and etanercept (weekly for a maximum 24-week treatment course) were also included in the economic evaluation.</w:t>
            </w:r>
          </w:p>
        </w:tc>
      </w:tr>
      <w:tr w:rsidR="004C3AC1" w:rsidRPr="00DC0807" w:rsidTr="000049D3">
        <w:tc>
          <w:tcPr>
            <w:tcW w:w="924" w:type="pct"/>
            <w:vAlign w:val="center"/>
          </w:tcPr>
          <w:p w:rsidR="004C3AC1" w:rsidRPr="00DC0807" w:rsidRDefault="004C3AC1" w:rsidP="00A644EB">
            <w:pPr>
              <w:pStyle w:val="Tabletext"/>
              <w:keepNext/>
              <w:keepLines/>
            </w:pPr>
            <w:r w:rsidRPr="00DC0807">
              <w:t>Other costs or cost offsets</w:t>
            </w:r>
          </w:p>
        </w:tc>
        <w:tc>
          <w:tcPr>
            <w:tcW w:w="4076" w:type="pct"/>
            <w:tcBorders>
              <w:top w:val="single" w:sz="4" w:space="0" w:color="auto"/>
              <w:left w:val="single" w:sz="4" w:space="0" w:color="auto"/>
              <w:bottom w:val="single" w:sz="4" w:space="0" w:color="auto"/>
              <w:right w:val="single" w:sz="4" w:space="0" w:color="auto"/>
            </w:tcBorders>
          </w:tcPr>
          <w:p w:rsidR="004C3AC1" w:rsidRPr="00DC0807" w:rsidRDefault="004C3AC1" w:rsidP="00A644EB">
            <w:pPr>
              <w:pStyle w:val="Tabletext"/>
              <w:keepNext/>
              <w:keepLines/>
              <w:rPr>
                <w:szCs w:val="20"/>
              </w:rPr>
            </w:pPr>
            <w:r w:rsidRPr="00DC0807">
              <w:rPr>
                <w:szCs w:val="20"/>
              </w:rPr>
              <w:t>No, since the submission stated that both ustekinumab and etanercept are administered by subcutaneous injection, and most patients or carers are able to administer the injection after appropriate training.</w:t>
            </w:r>
          </w:p>
          <w:p w:rsidR="004C3AC1" w:rsidRPr="00DC0807" w:rsidRDefault="004C3AC1" w:rsidP="00A644EB">
            <w:pPr>
              <w:pStyle w:val="Tabletext"/>
              <w:keepNext/>
              <w:keepLines/>
              <w:rPr>
                <w:szCs w:val="20"/>
              </w:rPr>
            </w:pPr>
            <w:r w:rsidRPr="00DC0807">
              <w:rPr>
                <w:szCs w:val="20"/>
              </w:rPr>
              <w:t>No costs were assumed for BSC for patients who fail to respond to treatment, or for hospitalisations due to severe disease.</w:t>
            </w:r>
          </w:p>
        </w:tc>
      </w:tr>
    </w:tbl>
    <w:p w:rsidR="00324549" w:rsidRPr="00DC0807" w:rsidRDefault="00324549" w:rsidP="00324549">
      <w:pPr>
        <w:pStyle w:val="TableFooter"/>
        <w:keepNext/>
        <w:keepLines/>
        <w:rPr>
          <w:sz w:val="20"/>
        </w:rPr>
      </w:pPr>
      <w:r w:rsidRPr="00DC0807">
        <w:t>Source: Table 3-1, p182 of the submission.</w:t>
      </w:r>
    </w:p>
    <w:p w:rsidR="004C3AC1" w:rsidRPr="00DC0807" w:rsidRDefault="008C3DB4" w:rsidP="00A644EB">
      <w:pPr>
        <w:pStyle w:val="TableFooter"/>
        <w:keepNext/>
        <w:keepLines/>
      </w:pPr>
      <w:r w:rsidRPr="00DC0807">
        <w:rPr>
          <w:vertAlign w:val="superscript"/>
        </w:rPr>
        <w:t>a</w:t>
      </w:r>
      <w:r w:rsidRPr="00DC0807">
        <w:t xml:space="preserve"> </w:t>
      </w:r>
      <w:r w:rsidR="004C3AC1" w:rsidRPr="00DC0807">
        <w:t>Table 3-1 in the submission stated 50 mg/kg, however this was considered to be an error as the Approved PI for etanercept states 0.</w:t>
      </w:r>
      <w:r w:rsidR="004B5E69" w:rsidRPr="00DC0807">
        <w:t>8 </w:t>
      </w:r>
      <w:r w:rsidR="004C3AC1" w:rsidRPr="00DC0807">
        <w:t>mg/kg up to a maximum of 50 mg.</w:t>
      </w:r>
    </w:p>
    <w:p w:rsidR="00953196" w:rsidRPr="00DC0807" w:rsidRDefault="008C3DB4" w:rsidP="00A644EB">
      <w:pPr>
        <w:pStyle w:val="TableFooter"/>
        <w:keepNext/>
        <w:keepLines/>
      </w:pPr>
      <w:r w:rsidRPr="00DC0807">
        <w:rPr>
          <w:vertAlign w:val="superscript"/>
        </w:rPr>
        <w:t>b</w:t>
      </w:r>
      <w:r w:rsidR="00953196" w:rsidRPr="00DC0807">
        <w:t xml:space="preserve"> Inconsistent </w:t>
      </w:r>
      <w:r w:rsidR="004B5E69" w:rsidRPr="00DC0807">
        <w:t xml:space="preserve">terminology </w:t>
      </w:r>
      <w:r w:rsidR="00953196" w:rsidRPr="00DC0807">
        <w:t>with the clinical claim, as the submission claimed that ustekinumab was superior to etanercept.</w:t>
      </w:r>
    </w:p>
    <w:p w:rsidR="004C3AC1" w:rsidRPr="00DC0807" w:rsidRDefault="004C3AC1" w:rsidP="004C3AC1"/>
    <w:p w:rsidR="00F33887" w:rsidRPr="00DC0807" w:rsidRDefault="004C3AC1" w:rsidP="00FD2803">
      <w:pPr>
        <w:pStyle w:val="ListParagraph"/>
        <w:widowControl/>
        <w:numPr>
          <w:ilvl w:val="1"/>
          <w:numId w:val="1"/>
        </w:numPr>
        <w:spacing w:after="0"/>
        <w:rPr>
          <w:iCs/>
        </w:rPr>
      </w:pPr>
      <w:bookmarkStart w:id="24" w:name="_Ref67636818"/>
      <w:r w:rsidRPr="00DC0807">
        <w:t xml:space="preserve">The doses used in the cost component of the submission’s cost per responder analysis </w:t>
      </w:r>
      <w:r w:rsidR="00F33887" w:rsidRPr="00DC0807">
        <w:t>were:</w:t>
      </w:r>
      <w:bookmarkEnd w:id="24"/>
    </w:p>
    <w:p w:rsidR="00BF17B9" w:rsidRPr="00DC0807" w:rsidRDefault="004C3AC1" w:rsidP="00D958A1">
      <w:pPr>
        <w:pStyle w:val="ListParagraph"/>
        <w:widowControl/>
        <w:numPr>
          <w:ilvl w:val="1"/>
          <w:numId w:val="10"/>
        </w:numPr>
        <w:ind w:left="993" w:hanging="284"/>
      </w:pPr>
      <w:r w:rsidRPr="00DC0807">
        <w:t>45 mg of ustek</w:t>
      </w:r>
      <w:r w:rsidR="00F33887" w:rsidRPr="00DC0807">
        <w:t>inumab at Weeks 0, 4 and 16, based on the approved dose of ustekinumab</w:t>
      </w:r>
      <w:r w:rsidR="00BF17B9" w:rsidRPr="00DC0807">
        <w:t xml:space="preserve">. The PBAC noted that </w:t>
      </w:r>
      <w:r w:rsidR="00B46793" w:rsidRPr="00DC0807">
        <w:t xml:space="preserve">analysis did not account for </w:t>
      </w:r>
      <w:r w:rsidR="00BF17B9" w:rsidRPr="00DC0807">
        <w:t xml:space="preserve">the </w:t>
      </w:r>
      <w:r w:rsidR="00B46793" w:rsidRPr="00DC0807">
        <w:t>90 mg dose for patients weighing &gt;100 kg, or for the vial wastage associated with use in patients &lt;60 kg.</w:t>
      </w:r>
    </w:p>
    <w:p w:rsidR="004C3AC1" w:rsidRPr="00DC0807" w:rsidRDefault="00F33887" w:rsidP="00D958A1">
      <w:pPr>
        <w:pStyle w:val="ListParagraph"/>
        <w:widowControl/>
        <w:numPr>
          <w:ilvl w:val="1"/>
          <w:numId w:val="10"/>
        </w:numPr>
        <w:ind w:left="993" w:hanging="284"/>
      </w:pPr>
      <w:r w:rsidRPr="00DC0807">
        <w:t>47.32</w:t>
      </w:r>
      <w:r w:rsidR="00CF5F85" w:rsidRPr="00DC0807">
        <w:t xml:space="preserve"> </w:t>
      </w:r>
      <w:r w:rsidRPr="00DC0807">
        <w:t xml:space="preserve">mg </w:t>
      </w:r>
      <w:r w:rsidR="004C3AC1" w:rsidRPr="00DC0807">
        <w:t>etanercept</w:t>
      </w:r>
      <w:r w:rsidRPr="00DC0807">
        <w:t xml:space="preserve"> weekly</w:t>
      </w:r>
      <w:r w:rsidR="004C3AC1" w:rsidRPr="00DC0807">
        <w:t xml:space="preserve">, </w:t>
      </w:r>
      <w:r w:rsidRPr="00DC0807">
        <w:t xml:space="preserve">assuming 10.7% use 25 mg and 89.3% use </w:t>
      </w:r>
      <w:r w:rsidR="004C3AC1" w:rsidRPr="00DC0807">
        <w:t xml:space="preserve">50 mg for 24 weeks. </w:t>
      </w:r>
      <w:r w:rsidRPr="00DC0807">
        <w:t>The proportion of 25</w:t>
      </w:r>
      <w:r w:rsidR="0014343A" w:rsidRPr="00DC0807">
        <w:t xml:space="preserve"> </w:t>
      </w:r>
      <w:r w:rsidRPr="00DC0807">
        <w:t>mg and 50</w:t>
      </w:r>
      <w:r w:rsidR="0014343A" w:rsidRPr="00DC0807">
        <w:t xml:space="preserve"> </w:t>
      </w:r>
      <w:r w:rsidRPr="00DC0807">
        <w:t xml:space="preserve">mg dosing was </w:t>
      </w:r>
      <w:r w:rsidR="004C3AC1" w:rsidRPr="00DC0807">
        <w:t xml:space="preserve">based on PBS </w:t>
      </w:r>
      <w:r w:rsidRPr="00DC0807">
        <w:t xml:space="preserve">data from July 2018 to June </w:t>
      </w:r>
      <w:r w:rsidR="004C3AC1" w:rsidRPr="00DC0807">
        <w:t xml:space="preserve">2020. </w:t>
      </w:r>
    </w:p>
    <w:p w:rsidR="00A644EB" w:rsidRPr="00DC0807" w:rsidRDefault="00A644EB" w:rsidP="00A927F1">
      <w:pPr>
        <w:pStyle w:val="ListParagraph"/>
        <w:widowControl/>
        <w:numPr>
          <w:ilvl w:val="1"/>
          <w:numId w:val="1"/>
        </w:numPr>
        <w:rPr>
          <w:iCs/>
        </w:rPr>
      </w:pPr>
      <w:r w:rsidRPr="00DC0807">
        <w:t>In the base case, the submission compared treatment with 28 weeks of ustekinumab (informed by the pooled CADMUS and CADMUS JR response rate for ustekinumab at Week 24/28) to 16 weeks of treatment with etanercept (informed by the response rate for etanercept at Week 12 from Paller 2008). A supplementary comparison was also provided comparing 28 weeks of treatment with ustekinumab to 24 weeks of etanercept.</w:t>
      </w:r>
      <w:r w:rsidRPr="00DC0807">
        <w:rPr>
          <w:rFonts w:cs="Calibri"/>
          <w:snapToGrid/>
          <w:szCs w:val="24"/>
          <w:lang w:eastAsia="en-AU"/>
        </w:rPr>
        <w:t xml:space="preserve"> </w:t>
      </w:r>
    </w:p>
    <w:p w:rsidR="002D1042" w:rsidRPr="00DC0807" w:rsidRDefault="006C4DA8" w:rsidP="00A927F1">
      <w:pPr>
        <w:pStyle w:val="ListParagraph"/>
        <w:widowControl/>
        <w:numPr>
          <w:ilvl w:val="1"/>
          <w:numId w:val="1"/>
        </w:numPr>
        <w:rPr>
          <w:iCs/>
        </w:rPr>
      </w:pPr>
      <w:bookmarkStart w:id="25" w:name="_Ref67636822"/>
      <w:r w:rsidRPr="00DC0807">
        <w:t>T</w:t>
      </w:r>
      <w:r w:rsidR="002D1042" w:rsidRPr="00DC0807">
        <w:t xml:space="preserve">he regimens in the cost per responder analysis </w:t>
      </w:r>
      <w:r w:rsidR="00BB6680" w:rsidRPr="00DC0807">
        <w:t xml:space="preserve">may </w:t>
      </w:r>
      <w:r w:rsidR="002D1042" w:rsidRPr="00DC0807">
        <w:t>not capture the real-world use of either etanercept or ustekinumab:</w:t>
      </w:r>
      <w:bookmarkEnd w:id="25"/>
      <w:r w:rsidR="002D1042" w:rsidRPr="00DC0807">
        <w:t xml:space="preserve"> </w:t>
      </w:r>
    </w:p>
    <w:p w:rsidR="002D1042" w:rsidRPr="00DC0807" w:rsidRDefault="002D1042" w:rsidP="00A927F1">
      <w:pPr>
        <w:pStyle w:val="ListParagraph"/>
        <w:widowControl/>
        <w:numPr>
          <w:ilvl w:val="1"/>
          <w:numId w:val="5"/>
        </w:numPr>
        <w:ind w:left="993" w:hanging="295"/>
      </w:pPr>
      <w:r w:rsidRPr="00DC0807">
        <w:t>The current listing for etanercept allow</w:t>
      </w:r>
      <w:r w:rsidR="00A8339F" w:rsidRPr="00DC0807">
        <w:t>s</w:t>
      </w:r>
      <w:r w:rsidRPr="00DC0807">
        <w:t xml:space="preserve"> for a patient to be treated with up to 16 weeks of treatment, and only patients who achieve a </w:t>
      </w:r>
      <w:r w:rsidR="00C92D23" w:rsidRPr="00DC0807">
        <w:t>PASI 75</w:t>
      </w:r>
      <w:r w:rsidRPr="00DC0807">
        <w:t xml:space="preserve"> response </w:t>
      </w:r>
      <w:r w:rsidR="00A644EB" w:rsidRPr="00DC0807">
        <w:t xml:space="preserve">(assessed at </w:t>
      </w:r>
      <w:r w:rsidR="00DA2DC0" w:rsidRPr="00DC0807">
        <w:t>W</w:t>
      </w:r>
      <w:r w:rsidR="00A644EB" w:rsidRPr="00DC0807">
        <w:t xml:space="preserve">eek 12) </w:t>
      </w:r>
      <w:r w:rsidRPr="00DC0807">
        <w:t xml:space="preserve">may continue for another 8 weeks for a maximum of 24 weeks of treatment. This may be followed by another 24 weeks of treatment </w:t>
      </w:r>
      <w:r w:rsidR="00A644EB" w:rsidRPr="00DC0807">
        <w:t xml:space="preserve">(with another PASI assessment at 12 weeks) </w:t>
      </w:r>
      <w:r w:rsidRPr="00DC0807">
        <w:t>after a disease flare, with a mandated 12-month break in PBS-subsidised therapy after a loss of response to two courses of treatment. The cost per responder analysis consider</w:t>
      </w:r>
      <w:r w:rsidR="00BB6680" w:rsidRPr="00DC0807">
        <w:t>ed</w:t>
      </w:r>
      <w:r w:rsidRPr="00DC0807">
        <w:t xml:space="preserve"> only 16 or 24 weeks of treatment with no consideration for continuation rules; and </w:t>
      </w:r>
    </w:p>
    <w:p w:rsidR="002D1042" w:rsidRPr="00DC0807" w:rsidRDefault="002D1042" w:rsidP="00777C23">
      <w:pPr>
        <w:pStyle w:val="ListParagraph"/>
        <w:widowControl/>
        <w:numPr>
          <w:ilvl w:val="1"/>
          <w:numId w:val="5"/>
        </w:numPr>
        <w:ind w:left="993" w:hanging="295"/>
      </w:pPr>
      <w:r w:rsidRPr="00DC0807">
        <w:t>The proposed re</w:t>
      </w:r>
      <w:r w:rsidR="00A644EB" w:rsidRPr="00DC0807">
        <w:t>striction for ustekinumab allowed</w:t>
      </w:r>
      <w:r w:rsidRPr="00DC0807">
        <w:t xml:space="preserve"> for ongoing therapy until patients either lose response or develop treatment-limiting intolerance, whereas the cost per responder analysis was restricted to just 28 weeks. </w:t>
      </w:r>
      <w:r w:rsidR="003024C3" w:rsidRPr="00DC0807">
        <w:t>The</w:t>
      </w:r>
      <w:r w:rsidR="00707096" w:rsidRPr="00DC0807">
        <w:t xml:space="preserve"> </w:t>
      </w:r>
      <w:r w:rsidR="003024C3" w:rsidRPr="00DC0807">
        <w:t xml:space="preserve">cost effectiveness of ustekinumab beyond 28 weeks was unknown. </w:t>
      </w:r>
      <w:r w:rsidR="002346B6" w:rsidRPr="00DC0807">
        <w:t>The PSCR argued that the cost effectiveness of ustekinumab was appropriately presented based on a similar timepoint to etanercept’s maximum duration of therapy (24 weeks).</w:t>
      </w:r>
      <w:r w:rsidR="00F14E72" w:rsidRPr="00DC0807">
        <w:t xml:space="preserve"> The ESC commented that 28 weeks is a </w:t>
      </w:r>
      <w:r w:rsidR="00F14E72" w:rsidRPr="00DC0807">
        <w:rPr>
          <w:rFonts w:asciiTheme="minorHAnsi" w:hAnsiTheme="minorHAnsi" w:cstheme="minorHAnsi"/>
        </w:rPr>
        <w:t xml:space="preserve">short time horizon for an ongoing treatment, and </w:t>
      </w:r>
      <w:r w:rsidR="00F14E72" w:rsidRPr="00DC0807">
        <w:rPr>
          <w:rFonts w:asciiTheme="minorHAnsi" w:hAnsiTheme="minorHAnsi" w:cstheme="minorHAnsi"/>
          <w:u w:val="single"/>
        </w:rPr>
        <w:t>ongoing</w:t>
      </w:r>
      <w:r w:rsidR="00F14E72" w:rsidRPr="00DC0807">
        <w:rPr>
          <w:rFonts w:asciiTheme="minorHAnsi" w:hAnsiTheme="minorHAnsi" w:cstheme="minorHAnsi"/>
        </w:rPr>
        <w:t xml:space="preserve"> ustekinumab treatment should </w:t>
      </w:r>
      <w:r w:rsidR="003642F1" w:rsidRPr="00DC0807">
        <w:rPr>
          <w:rFonts w:asciiTheme="minorHAnsi" w:hAnsiTheme="minorHAnsi" w:cstheme="minorHAnsi"/>
        </w:rPr>
        <w:t xml:space="preserve">have </w:t>
      </w:r>
      <w:r w:rsidR="00F14E72" w:rsidRPr="00DC0807">
        <w:rPr>
          <w:rFonts w:asciiTheme="minorHAnsi" w:hAnsiTheme="minorHAnsi" w:cstheme="minorHAnsi"/>
        </w:rPr>
        <w:t>be</w:t>
      </w:r>
      <w:r w:rsidR="003642F1" w:rsidRPr="00DC0807">
        <w:rPr>
          <w:rFonts w:asciiTheme="minorHAnsi" w:hAnsiTheme="minorHAnsi" w:cstheme="minorHAnsi"/>
        </w:rPr>
        <w:t>en</w:t>
      </w:r>
      <w:r w:rsidR="00F14E72" w:rsidRPr="00DC0807">
        <w:rPr>
          <w:rFonts w:asciiTheme="minorHAnsi" w:hAnsiTheme="minorHAnsi" w:cstheme="minorHAnsi"/>
        </w:rPr>
        <w:t xml:space="preserve"> compared with </w:t>
      </w:r>
      <w:r w:rsidR="00F14E72" w:rsidRPr="00DC0807">
        <w:rPr>
          <w:rFonts w:asciiTheme="minorHAnsi" w:hAnsiTheme="minorHAnsi" w:cstheme="minorHAnsi"/>
          <w:u w:val="single"/>
        </w:rPr>
        <w:t>intermittent</w:t>
      </w:r>
      <w:r w:rsidR="00F14E72" w:rsidRPr="00DC0807">
        <w:rPr>
          <w:rFonts w:asciiTheme="minorHAnsi" w:hAnsiTheme="minorHAnsi" w:cstheme="minorHAnsi"/>
        </w:rPr>
        <w:t xml:space="preserve"> etanercept treatment.</w:t>
      </w:r>
      <w:r w:rsidR="006C4DA8" w:rsidRPr="00DC0807">
        <w:rPr>
          <w:rFonts w:asciiTheme="minorHAnsi" w:hAnsiTheme="minorHAnsi" w:cstheme="minorHAnsi"/>
        </w:rPr>
        <w:t xml:space="preserve"> The pre-PBAC response </w:t>
      </w:r>
      <w:r w:rsidR="009A40DF" w:rsidRPr="00DC0807">
        <w:rPr>
          <w:rFonts w:asciiTheme="minorHAnsi" w:hAnsiTheme="minorHAnsi" w:cstheme="minorHAnsi"/>
        </w:rPr>
        <w:t>argued that it was reasonable to assume that maintaining a response on continuous ustekinumab therapy is more effective than gaining (and losing) response on intermitten</w:t>
      </w:r>
      <w:r w:rsidR="007C10CA" w:rsidRPr="00DC0807">
        <w:rPr>
          <w:rFonts w:asciiTheme="minorHAnsi" w:hAnsiTheme="minorHAnsi" w:cstheme="minorHAnsi"/>
        </w:rPr>
        <w:t>t</w:t>
      </w:r>
      <w:r w:rsidR="009A40DF" w:rsidRPr="00DC0807">
        <w:rPr>
          <w:rFonts w:asciiTheme="minorHAnsi" w:hAnsiTheme="minorHAnsi" w:cstheme="minorHAnsi"/>
        </w:rPr>
        <w:t xml:space="preserve"> etanercept therapy. It noted </w:t>
      </w:r>
      <w:r w:rsidR="00D43261" w:rsidRPr="00DC0807">
        <w:rPr>
          <w:rFonts w:asciiTheme="minorHAnsi" w:hAnsiTheme="minorHAnsi" w:cstheme="minorHAnsi"/>
        </w:rPr>
        <w:t>the requested price of ustekinumab in paediatric severe CPP results in a total cost over 28 weeks that is $</w:t>
      </w:r>
      <w:r w:rsidR="006B6F2B">
        <w:rPr>
          <w:rFonts w:asciiTheme="minorHAnsi" w:hAnsiTheme="minorHAnsi" w:cstheme="minorHAnsi"/>
          <w:noProof/>
          <w:color w:val="000000"/>
          <w:highlight w:val="black"/>
        </w:rPr>
        <w:t>'''''''''''''</w:t>
      </w:r>
      <w:r w:rsidR="00D43261" w:rsidRPr="00DC0807">
        <w:rPr>
          <w:rFonts w:asciiTheme="minorHAnsi" w:hAnsiTheme="minorHAnsi" w:cstheme="minorHAnsi"/>
        </w:rPr>
        <w:t xml:space="preserve"> (</w:t>
      </w:r>
      <w:r w:rsidR="006B6F2B">
        <w:rPr>
          <w:rFonts w:asciiTheme="minorHAnsi" w:hAnsiTheme="minorHAnsi" w:cstheme="minorHAnsi"/>
          <w:noProof/>
          <w:color w:val="000000"/>
          <w:highlight w:val="black"/>
        </w:rPr>
        <w:t>''''''</w:t>
      </w:r>
      <w:r w:rsidR="00D43261" w:rsidRPr="00DC0807">
        <w:rPr>
          <w:rFonts w:asciiTheme="minorHAnsi" w:hAnsiTheme="minorHAnsi" w:cstheme="minorHAnsi"/>
        </w:rPr>
        <w:t>%) higher than the cost of etanercept over 24 weeks (that is, $</w:t>
      </w:r>
      <w:r w:rsidR="006B6F2B">
        <w:rPr>
          <w:rFonts w:asciiTheme="minorHAnsi" w:hAnsiTheme="minorHAnsi" w:cstheme="minorHAnsi"/>
          <w:noProof/>
          <w:color w:val="000000"/>
          <w:highlight w:val="black"/>
        </w:rPr>
        <w:t>''''''''''''''''</w:t>
      </w:r>
      <w:r w:rsidR="00D43261" w:rsidRPr="00DC0807">
        <w:rPr>
          <w:rFonts w:asciiTheme="minorHAnsi" w:hAnsiTheme="minorHAnsi" w:cstheme="minorHAnsi"/>
        </w:rPr>
        <w:t xml:space="preserve"> and $</w:t>
      </w:r>
      <w:r w:rsidR="006B6F2B">
        <w:rPr>
          <w:rFonts w:asciiTheme="minorHAnsi" w:hAnsiTheme="minorHAnsi" w:cstheme="minorHAnsi"/>
          <w:noProof/>
          <w:color w:val="000000"/>
          <w:highlight w:val="black"/>
        </w:rPr>
        <w:t>''''''''''''''''''</w:t>
      </w:r>
      <w:r w:rsidR="00D43261" w:rsidRPr="00DC0807">
        <w:rPr>
          <w:rFonts w:asciiTheme="minorHAnsi" w:hAnsiTheme="minorHAnsi" w:cstheme="minorHAnsi"/>
        </w:rPr>
        <w:t>, respectively)</w:t>
      </w:r>
      <w:r w:rsidR="009A40DF" w:rsidRPr="00DC0807">
        <w:rPr>
          <w:rFonts w:asciiTheme="minorHAnsi" w:hAnsiTheme="minorHAnsi" w:cstheme="minorHAnsi"/>
        </w:rPr>
        <w:t xml:space="preserve">. </w:t>
      </w:r>
      <w:r w:rsidR="00D43261" w:rsidRPr="00DC0807">
        <w:rPr>
          <w:rFonts w:asciiTheme="minorHAnsi" w:hAnsiTheme="minorHAnsi" w:cstheme="minorHAnsi"/>
        </w:rPr>
        <w:t>Thus, it argued t</w:t>
      </w:r>
      <w:r w:rsidR="009A40DF" w:rsidRPr="00DC0807">
        <w:rPr>
          <w:rFonts w:asciiTheme="minorHAnsi" w:hAnsiTheme="minorHAnsi" w:cstheme="minorHAnsi"/>
        </w:rPr>
        <w:t xml:space="preserve">hat </w:t>
      </w:r>
      <w:r w:rsidR="000341E9" w:rsidRPr="00DC0807">
        <w:rPr>
          <w:rFonts w:asciiTheme="minorHAnsi" w:hAnsiTheme="minorHAnsi" w:cstheme="minorHAnsi"/>
        </w:rPr>
        <w:t>given the large additional benefit of ustekinumab continuous therapy versus etanercept’s 24-week maximum treatment duration, and the small incremental cost of 28 weeks of uste</w:t>
      </w:r>
      <w:r w:rsidR="00AE5627">
        <w:rPr>
          <w:rFonts w:asciiTheme="minorHAnsi" w:hAnsiTheme="minorHAnsi" w:cstheme="minorHAnsi"/>
        </w:rPr>
        <w:t>kinumab versus 24 weeks of etan</w:t>
      </w:r>
      <w:r w:rsidR="000341E9" w:rsidRPr="00DC0807">
        <w:rPr>
          <w:rFonts w:asciiTheme="minorHAnsi" w:hAnsiTheme="minorHAnsi" w:cstheme="minorHAnsi"/>
        </w:rPr>
        <w:t>ercept, which is based on the price currently paid for ustekinumab in adult CPP, ustekinumab should be considered cost effective versus etanercept beyond the initial treatment period in paediatric severe CPP.</w:t>
      </w:r>
    </w:p>
    <w:p w:rsidR="002D1042" w:rsidRPr="00DC0807" w:rsidRDefault="002D1042" w:rsidP="00A927F1">
      <w:pPr>
        <w:pStyle w:val="ListParagraph"/>
        <w:widowControl/>
        <w:numPr>
          <w:ilvl w:val="1"/>
          <w:numId w:val="1"/>
        </w:numPr>
      </w:pPr>
      <w:bookmarkStart w:id="26" w:name="_Ref61683847"/>
      <w:r w:rsidRPr="00DC0807">
        <w:t xml:space="preserve">The results of the submission’s cost per responder analyses are presented in </w:t>
      </w:r>
      <w:r w:rsidR="005D7D2A" w:rsidRPr="00DC0807">
        <w:t>Table 12</w:t>
      </w:r>
      <w:r w:rsidRPr="00DC0807">
        <w:t xml:space="preserve"> and </w:t>
      </w:r>
      <w:r w:rsidR="005D7D2A" w:rsidRPr="00DC0807">
        <w:t>Table 13</w:t>
      </w:r>
      <w:r w:rsidRPr="00DC0807">
        <w:t>.</w:t>
      </w:r>
      <w:r w:rsidR="003269C1" w:rsidRPr="00DC0807">
        <w:t xml:space="preserve"> The </w:t>
      </w:r>
      <w:r w:rsidR="003269C1" w:rsidRPr="009324BD">
        <w:rPr>
          <w:bCs/>
        </w:rPr>
        <w:t>submission requested a price for ustekinumab 45 mg consistent with the current ustekinumab 45 mg vial price in adult severe CPP.</w:t>
      </w:r>
      <w:r w:rsidR="003729B3" w:rsidRPr="00DC0807">
        <w:t xml:space="preserve"> </w:t>
      </w:r>
      <w:bookmarkEnd w:id="26"/>
    </w:p>
    <w:p w:rsidR="004C3AC1" w:rsidRPr="00DC0807" w:rsidRDefault="002D1042" w:rsidP="002D1042">
      <w:pPr>
        <w:pStyle w:val="TableFigureFootnote"/>
        <w:keepNext/>
        <w:keepLines/>
        <w:spacing w:before="0" w:after="0"/>
        <w:rPr>
          <w:rFonts w:ascii="Arial Narrow" w:hAnsi="Arial Narrow"/>
          <w:b/>
          <w:sz w:val="20"/>
          <w:szCs w:val="20"/>
        </w:rPr>
      </w:pPr>
      <w:bookmarkStart w:id="27" w:name="_Ref61114290"/>
      <w:r w:rsidRPr="00DC0807">
        <w:rPr>
          <w:rFonts w:ascii="Arial Narrow" w:hAnsi="Arial Narrow"/>
          <w:b/>
          <w:sz w:val="20"/>
          <w:szCs w:val="20"/>
        </w:rPr>
        <w:t xml:space="preserve">Table </w:t>
      </w:r>
      <w:r w:rsidR="00AE572A" w:rsidRPr="00DC0807">
        <w:rPr>
          <w:rFonts w:ascii="Arial Narrow" w:hAnsi="Arial Narrow"/>
          <w:b/>
          <w:sz w:val="20"/>
          <w:szCs w:val="20"/>
        </w:rPr>
        <w:t>12</w:t>
      </w:r>
      <w:bookmarkEnd w:id="27"/>
      <w:r w:rsidR="004C3AC1" w:rsidRPr="00DC0807">
        <w:rPr>
          <w:rFonts w:ascii="Arial Narrow" w:hAnsi="Arial Narrow"/>
          <w:b/>
          <w:sz w:val="20"/>
          <w:szCs w:val="20"/>
        </w:rPr>
        <w:t>: Results of the base case cost per responder analysis</w:t>
      </w:r>
      <w:r w:rsidRPr="00DC0807">
        <w:rPr>
          <w:rFonts w:ascii="Arial Narrow" w:hAnsi="Arial Narrow"/>
          <w:b/>
          <w:sz w:val="20"/>
          <w:szCs w:val="20"/>
        </w:rPr>
        <w:t xml:space="preserve"> (16 weeks of etanercept)</w:t>
      </w:r>
    </w:p>
    <w:tbl>
      <w:tblPr>
        <w:tblStyle w:val="TableGrid"/>
        <w:tblW w:w="0" w:type="auto"/>
        <w:tblLook w:val="04A0" w:firstRow="1" w:lastRow="0" w:firstColumn="1" w:lastColumn="0" w:noHBand="0" w:noVBand="1"/>
        <w:tblCaption w:val="Table 12: Results of the base case cost per responder analysis (16 weeks of etanercept)"/>
      </w:tblPr>
      <w:tblGrid>
        <w:gridCol w:w="3930"/>
        <w:gridCol w:w="2389"/>
        <w:gridCol w:w="1473"/>
        <w:gridCol w:w="1224"/>
      </w:tblGrid>
      <w:tr w:rsidR="004C3AC1" w:rsidRPr="00DC0807" w:rsidTr="00CD1F63">
        <w:trPr>
          <w:trHeight w:val="20"/>
          <w:tblHeader/>
        </w:trPr>
        <w:tc>
          <w:tcPr>
            <w:tcW w:w="3930" w:type="dxa"/>
            <w:shd w:val="clear" w:color="auto" w:fill="auto"/>
            <w:noWrap/>
            <w:hideMark/>
          </w:tcPr>
          <w:p w:rsidR="004C3AC1" w:rsidRPr="00DC0807" w:rsidRDefault="004C3AC1" w:rsidP="00E77FA7">
            <w:pPr>
              <w:pStyle w:val="TableText0"/>
              <w:spacing w:before="0" w:after="0"/>
            </w:pPr>
          </w:p>
        </w:tc>
        <w:tc>
          <w:tcPr>
            <w:tcW w:w="2389" w:type="dxa"/>
            <w:shd w:val="clear" w:color="auto" w:fill="auto"/>
            <w:noWrap/>
            <w:hideMark/>
          </w:tcPr>
          <w:p w:rsidR="004C3AC1" w:rsidRPr="00DC0807" w:rsidRDefault="004C3AC1" w:rsidP="00E77FA7">
            <w:pPr>
              <w:pStyle w:val="TableText0"/>
              <w:spacing w:before="0" w:after="0"/>
              <w:jc w:val="center"/>
              <w:rPr>
                <w:b/>
                <w:bCs/>
              </w:rPr>
            </w:pPr>
            <w:r w:rsidRPr="00DC0807">
              <w:rPr>
                <w:b/>
                <w:bCs/>
              </w:rPr>
              <w:t>Ustekinumab</w:t>
            </w:r>
          </w:p>
        </w:tc>
        <w:tc>
          <w:tcPr>
            <w:tcW w:w="1473" w:type="dxa"/>
            <w:shd w:val="clear" w:color="auto" w:fill="auto"/>
            <w:noWrap/>
            <w:hideMark/>
          </w:tcPr>
          <w:p w:rsidR="004C3AC1" w:rsidRPr="00DC0807" w:rsidRDefault="004C3AC1" w:rsidP="00E77FA7">
            <w:pPr>
              <w:pStyle w:val="TableText0"/>
              <w:spacing w:before="0" w:after="0"/>
              <w:jc w:val="center"/>
              <w:rPr>
                <w:b/>
                <w:bCs/>
              </w:rPr>
            </w:pPr>
            <w:r w:rsidRPr="00DC0807">
              <w:rPr>
                <w:b/>
                <w:bCs/>
              </w:rPr>
              <w:t>Etanercept</w:t>
            </w:r>
          </w:p>
        </w:tc>
        <w:tc>
          <w:tcPr>
            <w:tcW w:w="1224" w:type="dxa"/>
            <w:shd w:val="clear" w:color="auto" w:fill="auto"/>
            <w:noWrap/>
            <w:hideMark/>
          </w:tcPr>
          <w:p w:rsidR="004C3AC1" w:rsidRPr="00DC0807" w:rsidRDefault="004C3AC1" w:rsidP="00E77FA7">
            <w:pPr>
              <w:pStyle w:val="TableText0"/>
              <w:spacing w:before="0" w:after="0"/>
              <w:jc w:val="center"/>
              <w:rPr>
                <w:b/>
                <w:bCs/>
              </w:rPr>
            </w:pPr>
            <w:r w:rsidRPr="00DC0807">
              <w:rPr>
                <w:b/>
                <w:bCs/>
              </w:rPr>
              <w:t>Difference</w:t>
            </w: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pPr>
            <w:r w:rsidRPr="00DC0807">
              <w:t>Length of treatment period, weeks</w:t>
            </w:r>
          </w:p>
        </w:tc>
        <w:tc>
          <w:tcPr>
            <w:tcW w:w="2389" w:type="dxa"/>
            <w:shd w:val="clear" w:color="auto" w:fill="auto"/>
            <w:noWrap/>
            <w:hideMark/>
          </w:tcPr>
          <w:p w:rsidR="004C3AC1" w:rsidRPr="00DC0807" w:rsidDel="00065D2E" w:rsidRDefault="004C3AC1" w:rsidP="00E77FA7">
            <w:pPr>
              <w:pStyle w:val="TableText0"/>
              <w:spacing w:before="0" w:after="0"/>
              <w:jc w:val="center"/>
            </w:pPr>
            <w:r w:rsidRPr="00DC0807">
              <w:t>28</w:t>
            </w:r>
          </w:p>
        </w:tc>
        <w:tc>
          <w:tcPr>
            <w:tcW w:w="1473" w:type="dxa"/>
            <w:shd w:val="clear" w:color="auto" w:fill="auto"/>
          </w:tcPr>
          <w:p w:rsidR="004C3AC1" w:rsidRPr="00DC0807" w:rsidRDefault="004C3AC1" w:rsidP="00E77FA7">
            <w:pPr>
              <w:pStyle w:val="TableText0"/>
              <w:spacing w:before="0" w:after="0"/>
              <w:jc w:val="center"/>
            </w:pPr>
            <w:r w:rsidRPr="00DC0807">
              <w:t>16</w:t>
            </w:r>
          </w:p>
        </w:tc>
        <w:tc>
          <w:tcPr>
            <w:tcW w:w="1224" w:type="dxa"/>
            <w:shd w:val="clear" w:color="auto" w:fill="auto"/>
            <w:noWrap/>
          </w:tcPr>
          <w:p w:rsidR="004C3AC1" w:rsidRPr="00DC0807" w:rsidRDefault="00CE2FBA" w:rsidP="00E77FA7">
            <w:pPr>
              <w:pStyle w:val="TableText0"/>
              <w:spacing w:before="0" w:after="0"/>
              <w:jc w:val="center"/>
            </w:pPr>
            <w:r w:rsidRPr="00DC0807">
              <w:t>12</w:t>
            </w: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pPr>
            <w:r w:rsidRPr="00DC0807">
              <w:t>Dose frequency</w:t>
            </w:r>
          </w:p>
        </w:tc>
        <w:tc>
          <w:tcPr>
            <w:tcW w:w="2389" w:type="dxa"/>
            <w:shd w:val="clear" w:color="auto" w:fill="auto"/>
            <w:hideMark/>
          </w:tcPr>
          <w:p w:rsidR="004C3AC1" w:rsidRPr="00DC0807" w:rsidRDefault="004C3AC1" w:rsidP="00E77FA7">
            <w:pPr>
              <w:pStyle w:val="TableText0"/>
              <w:spacing w:before="0" w:after="0"/>
              <w:jc w:val="center"/>
            </w:pPr>
            <w:r w:rsidRPr="00DC0807">
              <w:t xml:space="preserve">Week 0, 4, then q12w </w:t>
            </w:r>
          </w:p>
        </w:tc>
        <w:tc>
          <w:tcPr>
            <w:tcW w:w="1473" w:type="dxa"/>
            <w:shd w:val="clear" w:color="auto" w:fill="auto"/>
            <w:hideMark/>
          </w:tcPr>
          <w:p w:rsidR="004C3AC1" w:rsidRPr="00DC0807" w:rsidRDefault="004C3AC1" w:rsidP="00E77FA7">
            <w:pPr>
              <w:pStyle w:val="TableText0"/>
              <w:spacing w:before="0" w:after="0"/>
              <w:jc w:val="center"/>
            </w:pPr>
            <w:r w:rsidRPr="00DC0807">
              <w:t xml:space="preserve">Weekly </w:t>
            </w:r>
          </w:p>
        </w:tc>
        <w:tc>
          <w:tcPr>
            <w:tcW w:w="1224" w:type="dxa"/>
            <w:shd w:val="clear" w:color="auto" w:fill="auto"/>
            <w:noWrap/>
          </w:tcPr>
          <w:p w:rsidR="004C3AC1" w:rsidRPr="00DC0807" w:rsidRDefault="004C3AC1" w:rsidP="00E77FA7">
            <w:pPr>
              <w:pStyle w:val="TableText0"/>
              <w:spacing w:before="0" w:after="0"/>
              <w:jc w:val="center"/>
            </w:pP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pPr>
            <w:r w:rsidRPr="00DC0807">
              <w:t>Cost per script</w:t>
            </w:r>
          </w:p>
        </w:tc>
        <w:tc>
          <w:tcPr>
            <w:tcW w:w="2389" w:type="dxa"/>
            <w:shd w:val="clear" w:color="auto" w:fill="auto"/>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c>
          <w:tcPr>
            <w:tcW w:w="1473" w:type="dxa"/>
            <w:shd w:val="clear" w:color="auto" w:fill="auto"/>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c>
          <w:tcPr>
            <w:tcW w:w="1224" w:type="dxa"/>
            <w:shd w:val="clear" w:color="auto" w:fill="auto"/>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pPr>
            <w:r w:rsidRPr="00DC0807">
              <w:t>Scripts in the initial treatment period</w:t>
            </w:r>
          </w:p>
        </w:tc>
        <w:tc>
          <w:tcPr>
            <w:tcW w:w="2389" w:type="dxa"/>
            <w:shd w:val="clear" w:color="auto" w:fill="auto"/>
            <w:noWrap/>
            <w:hideMark/>
          </w:tcPr>
          <w:p w:rsidR="004C3AC1" w:rsidRPr="00DC0807" w:rsidRDefault="004C3AC1" w:rsidP="00E77FA7">
            <w:pPr>
              <w:pStyle w:val="TableText0"/>
              <w:spacing w:before="0" w:after="0"/>
              <w:jc w:val="center"/>
            </w:pPr>
            <w:r w:rsidRPr="00DC0807">
              <w:t>3</w:t>
            </w:r>
          </w:p>
        </w:tc>
        <w:tc>
          <w:tcPr>
            <w:tcW w:w="1473" w:type="dxa"/>
            <w:shd w:val="clear" w:color="auto" w:fill="auto"/>
            <w:noWrap/>
            <w:hideMark/>
          </w:tcPr>
          <w:p w:rsidR="004C3AC1" w:rsidRPr="00DC0807" w:rsidRDefault="004C3AC1" w:rsidP="00E77FA7">
            <w:pPr>
              <w:pStyle w:val="TableText0"/>
              <w:spacing w:before="0" w:after="0"/>
              <w:jc w:val="center"/>
            </w:pPr>
            <w:r w:rsidRPr="00DC0807">
              <w:t>4</w:t>
            </w:r>
          </w:p>
        </w:tc>
        <w:tc>
          <w:tcPr>
            <w:tcW w:w="1224" w:type="dxa"/>
            <w:shd w:val="clear" w:color="auto" w:fill="auto"/>
            <w:noWrap/>
          </w:tcPr>
          <w:p w:rsidR="004C3AC1" w:rsidRPr="00DC0807" w:rsidRDefault="004C3AC1" w:rsidP="00E77FA7">
            <w:pPr>
              <w:pStyle w:val="TableText0"/>
              <w:spacing w:before="0" w:after="0"/>
              <w:jc w:val="center"/>
            </w:pP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pPr>
            <w:r w:rsidRPr="00DC0807">
              <w:t>Cost of initial treatment period</w:t>
            </w:r>
          </w:p>
        </w:tc>
        <w:tc>
          <w:tcPr>
            <w:tcW w:w="2389" w:type="dxa"/>
            <w:shd w:val="clear" w:color="auto" w:fill="auto"/>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c>
          <w:tcPr>
            <w:tcW w:w="1473" w:type="dxa"/>
            <w:shd w:val="clear" w:color="auto" w:fill="auto"/>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c>
          <w:tcPr>
            <w:tcW w:w="1224" w:type="dxa"/>
            <w:shd w:val="clear" w:color="auto" w:fill="auto"/>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pPr>
            <w:r w:rsidRPr="00DC0807">
              <w:t xml:space="preserve">Incremental </w:t>
            </w:r>
            <w:r w:rsidR="00C92D23" w:rsidRPr="00DC0807">
              <w:t>PASI 75</w:t>
            </w:r>
            <w:r w:rsidRPr="00DC0807">
              <w:t xml:space="preserve"> response rate over placebo (based on PBS initial treatment period of biologic)</w:t>
            </w:r>
          </w:p>
        </w:tc>
        <w:tc>
          <w:tcPr>
            <w:tcW w:w="2389" w:type="dxa"/>
            <w:shd w:val="clear" w:color="auto" w:fill="auto"/>
            <w:noWrap/>
            <w:hideMark/>
          </w:tcPr>
          <w:p w:rsidR="004C3AC1" w:rsidRPr="00DC0807" w:rsidRDefault="004C3AC1" w:rsidP="00E77FA7">
            <w:pPr>
              <w:pStyle w:val="TableText0"/>
              <w:spacing w:before="0" w:after="0"/>
              <w:jc w:val="center"/>
            </w:pPr>
            <w:r w:rsidRPr="00DC0807">
              <w:t>74.2%</w:t>
            </w:r>
            <w:r w:rsidR="00420F0E" w:rsidRPr="00DC0807">
              <w:t xml:space="preserve"> </w:t>
            </w:r>
            <w:r w:rsidR="00EB1098" w:rsidRPr="00DC0807">
              <w:rPr>
                <w:vertAlign w:val="superscript"/>
              </w:rPr>
              <w:t>a</w:t>
            </w:r>
          </w:p>
          <w:p w:rsidR="004C3AC1" w:rsidRPr="00DC0807" w:rsidRDefault="004C3AC1" w:rsidP="00E77FA7">
            <w:pPr>
              <w:pStyle w:val="TableText0"/>
              <w:spacing w:before="0" w:after="0"/>
              <w:jc w:val="center"/>
            </w:pPr>
            <w:r w:rsidRPr="00DC0807">
              <w:t>(Week 24/28)</w:t>
            </w:r>
          </w:p>
        </w:tc>
        <w:tc>
          <w:tcPr>
            <w:tcW w:w="1473" w:type="dxa"/>
            <w:shd w:val="clear" w:color="auto" w:fill="auto"/>
            <w:noWrap/>
            <w:hideMark/>
          </w:tcPr>
          <w:p w:rsidR="004C3AC1" w:rsidRPr="00DC0807" w:rsidRDefault="004C3AC1" w:rsidP="00E77FA7">
            <w:pPr>
              <w:pStyle w:val="TableText0"/>
              <w:spacing w:before="0" w:after="0"/>
              <w:jc w:val="center"/>
            </w:pPr>
            <w:r w:rsidRPr="00DC0807">
              <w:t>45.2%</w:t>
            </w:r>
          </w:p>
          <w:p w:rsidR="004C3AC1" w:rsidRPr="00DC0807" w:rsidRDefault="004C3AC1" w:rsidP="00E77FA7">
            <w:pPr>
              <w:pStyle w:val="TableText0"/>
              <w:spacing w:before="0" w:after="0"/>
              <w:jc w:val="center"/>
            </w:pPr>
            <w:r w:rsidRPr="00DC0807">
              <w:t>(Week 12)</w:t>
            </w:r>
          </w:p>
        </w:tc>
        <w:tc>
          <w:tcPr>
            <w:tcW w:w="1224" w:type="dxa"/>
            <w:shd w:val="clear" w:color="auto" w:fill="auto"/>
            <w:noWrap/>
            <w:hideMark/>
          </w:tcPr>
          <w:p w:rsidR="004C3AC1" w:rsidRPr="00DC0807" w:rsidRDefault="004C3AC1" w:rsidP="00E77FA7">
            <w:pPr>
              <w:pStyle w:val="TableText0"/>
              <w:spacing w:before="0" w:after="0"/>
              <w:jc w:val="center"/>
            </w:pPr>
            <w:r w:rsidRPr="00DC0807">
              <w:t>29.0%</w:t>
            </w: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rPr>
                <w:b/>
                <w:bCs/>
              </w:rPr>
            </w:pPr>
            <w:r w:rsidRPr="00DC0807">
              <w:rPr>
                <w:b/>
                <w:bCs/>
              </w:rPr>
              <w:t xml:space="preserve">Incremental cost per </w:t>
            </w:r>
            <w:r w:rsidR="00C92D23" w:rsidRPr="00DC0807">
              <w:rPr>
                <w:b/>
                <w:bCs/>
              </w:rPr>
              <w:t>PASI 75</w:t>
            </w:r>
            <w:r w:rsidRPr="00DC0807">
              <w:rPr>
                <w:b/>
                <w:bCs/>
              </w:rPr>
              <w:t xml:space="preserve"> responder</w:t>
            </w:r>
          </w:p>
        </w:tc>
        <w:tc>
          <w:tcPr>
            <w:tcW w:w="5086" w:type="dxa"/>
            <w:gridSpan w:val="3"/>
            <w:shd w:val="clear" w:color="auto" w:fill="auto"/>
            <w:noWrap/>
            <w:hideMark/>
          </w:tcPr>
          <w:p w:rsidR="004C3AC1" w:rsidRPr="00DC0807" w:rsidRDefault="004C3AC1" w:rsidP="00E77FA7">
            <w:pPr>
              <w:pStyle w:val="TableText0"/>
              <w:spacing w:before="0" w:after="0"/>
              <w:jc w:val="center"/>
              <w:rPr>
                <w:b/>
                <w:bCs/>
              </w:rPr>
            </w:pPr>
            <w:r w:rsidRPr="00DC0807">
              <w:rPr>
                <w:b/>
                <w:bCs/>
              </w:rPr>
              <w:t>$</w:t>
            </w:r>
            <w:r w:rsidR="006B6F2B">
              <w:rPr>
                <w:b/>
                <w:bCs/>
                <w:noProof/>
                <w:color w:val="000000"/>
                <w:highlight w:val="black"/>
              </w:rPr>
              <w:t>''''''''''''''''''</w:t>
            </w: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pPr>
            <w:r w:rsidRPr="00DC0807">
              <w:t xml:space="preserve">Incremental </w:t>
            </w:r>
            <w:r w:rsidR="00C92D23" w:rsidRPr="00DC0807">
              <w:t>PASI 90</w:t>
            </w:r>
            <w:r w:rsidRPr="00DC0807">
              <w:t xml:space="preserve"> response rate over placebo (based on PBS initial treatment period of biologic)</w:t>
            </w:r>
          </w:p>
        </w:tc>
        <w:tc>
          <w:tcPr>
            <w:tcW w:w="2389" w:type="dxa"/>
            <w:shd w:val="clear" w:color="auto" w:fill="auto"/>
            <w:noWrap/>
            <w:hideMark/>
          </w:tcPr>
          <w:p w:rsidR="004C3AC1" w:rsidRPr="00DC0807" w:rsidRDefault="004C3AC1" w:rsidP="00E77FA7">
            <w:pPr>
              <w:pStyle w:val="TableText0"/>
              <w:spacing w:before="0" w:after="0"/>
              <w:jc w:val="center"/>
            </w:pPr>
            <w:r w:rsidRPr="00DC0807">
              <w:t>67.1%</w:t>
            </w:r>
            <w:r w:rsidR="00420F0E" w:rsidRPr="00DC0807">
              <w:t xml:space="preserve"> </w:t>
            </w:r>
            <w:r w:rsidR="00EB1098" w:rsidRPr="00DC0807">
              <w:rPr>
                <w:vertAlign w:val="superscript"/>
              </w:rPr>
              <w:t>a</w:t>
            </w:r>
          </w:p>
          <w:p w:rsidR="004C3AC1" w:rsidRPr="00DC0807" w:rsidRDefault="004C3AC1" w:rsidP="00E77FA7">
            <w:pPr>
              <w:pStyle w:val="TableText0"/>
              <w:spacing w:before="0" w:after="0"/>
              <w:jc w:val="center"/>
            </w:pPr>
            <w:r w:rsidRPr="00DC0807">
              <w:t>(Week 24/28)</w:t>
            </w:r>
          </w:p>
        </w:tc>
        <w:tc>
          <w:tcPr>
            <w:tcW w:w="1473" w:type="dxa"/>
            <w:shd w:val="clear" w:color="auto" w:fill="auto"/>
            <w:noWrap/>
            <w:hideMark/>
          </w:tcPr>
          <w:p w:rsidR="004C3AC1" w:rsidRPr="00DC0807" w:rsidRDefault="004C3AC1" w:rsidP="00E77FA7">
            <w:pPr>
              <w:pStyle w:val="TableText0"/>
              <w:spacing w:before="0" w:after="0"/>
              <w:jc w:val="center"/>
            </w:pPr>
            <w:r w:rsidRPr="00DC0807">
              <w:t>20.7%</w:t>
            </w:r>
          </w:p>
          <w:p w:rsidR="004C3AC1" w:rsidRPr="00DC0807" w:rsidRDefault="004C3AC1" w:rsidP="00E77FA7">
            <w:pPr>
              <w:pStyle w:val="TableText0"/>
              <w:spacing w:before="0" w:after="0"/>
              <w:jc w:val="center"/>
            </w:pPr>
            <w:r w:rsidRPr="00DC0807">
              <w:t>(Week 12)</w:t>
            </w:r>
          </w:p>
        </w:tc>
        <w:tc>
          <w:tcPr>
            <w:tcW w:w="1224" w:type="dxa"/>
            <w:shd w:val="clear" w:color="auto" w:fill="auto"/>
            <w:noWrap/>
            <w:hideMark/>
          </w:tcPr>
          <w:p w:rsidR="004C3AC1" w:rsidRPr="00DC0807" w:rsidRDefault="004C3AC1" w:rsidP="00E77FA7">
            <w:pPr>
              <w:pStyle w:val="TableText0"/>
              <w:spacing w:before="0" w:after="0"/>
              <w:jc w:val="center"/>
            </w:pPr>
            <w:r w:rsidRPr="00DC0807">
              <w:t>46.4%</w:t>
            </w:r>
          </w:p>
        </w:tc>
      </w:tr>
      <w:tr w:rsidR="004C3AC1" w:rsidRPr="00DC0807" w:rsidTr="00E27672">
        <w:trPr>
          <w:trHeight w:val="20"/>
        </w:trPr>
        <w:tc>
          <w:tcPr>
            <w:tcW w:w="3930" w:type="dxa"/>
            <w:shd w:val="clear" w:color="auto" w:fill="auto"/>
            <w:noWrap/>
            <w:hideMark/>
          </w:tcPr>
          <w:p w:rsidR="004C3AC1" w:rsidRPr="00DC0807" w:rsidRDefault="004C3AC1" w:rsidP="00E77FA7">
            <w:pPr>
              <w:pStyle w:val="TableText0"/>
              <w:spacing w:before="0" w:after="0"/>
              <w:rPr>
                <w:b/>
                <w:bCs/>
              </w:rPr>
            </w:pPr>
            <w:r w:rsidRPr="00DC0807">
              <w:rPr>
                <w:b/>
                <w:bCs/>
              </w:rPr>
              <w:t xml:space="preserve">Incremental cost per </w:t>
            </w:r>
            <w:r w:rsidR="00C92D23" w:rsidRPr="00DC0807">
              <w:rPr>
                <w:b/>
                <w:bCs/>
              </w:rPr>
              <w:t>PASI 90</w:t>
            </w:r>
            <w:r w:rsidRPr="00DC0807">
              <w:rPr>
                <w:b/>
                <w:bCs/>
              </w:rPr>
              <w:t xml:space="preserve"> responder</w:t>
            </w:r>
          </w:p>
        </w:tc>
        <w:tc>
          <w:tcPr>
            <w:tcW w:w="5086" w:type="dxa"/>
            <w:gridSpan w:val="3"/>
            <w:shd w:val="clear" w:color="auto" w:fill="auto"/>
            <w:noWrap/>
            <w:hideMark/>
          </w:tcPr>
          <w:p w:rsidR="004C3AC1" w:rsidRPr="00DC0807" w:rsidRDefault="004C3AC1" w:rsidP="00E77FA7">
            <w:pPr>
              <w:pStyle w:val="TableText0"/>
              <w:spacing w:before="0" w:after="0"/>
              <w:jc w:val="center"/>
              <w:rPr>
                <w:b/>
                <w:bCs/>
              </w:rPr>
            </w:pPr>
            <w:r w:rsidRPr="00DC0807">
              <w:rPr>
                <w:b/>
                <w:bCs/>
              </w:rPr>
              <w:t>$</w:t>
            </w:r>
            <w:r w:rsidR="006B6F2B">
              <w:rPr>
                <w:b/>
                <w:bCs/>
                <w:noProof/>
                <w:color w:val="000000"/>
                <w:highlight w:val="black"/>
              </w:rPr>
              <w:t>'''''''''''''''''</w:t>
            </w:r>
          </w:p>
        </w:tc>
      </w:tr>
    </w:tbl>
    <w:p w:rsidR="00324549" w:rsidRPr="00DC0807" w:rsidRDefault="00324549" w:rsidP="00324549">
      <w:pPr>
        <w:pStyle w:val="TableFooter"/>
        <w:rPr>
          <w:sz w:val="20"/>
        </w:rPr>
      </w:pPr>
      <w:r w:rsidRPr="00DC0807">
        <w:t>Source: Table 3-2 and 3-3, pp185-186 of the submission.</w:t>
      </w:r>
    </w:p>
    <w:p w:rsidR="00420F0E" w:rsidRPr="00DC0807" w:rsidRDefault="00EB1098" w:rsidP="00420F0E">
      <w:pPr>
        <w:pStyle w:val="TableFigureFootnote"/>
        <w:keepNext/>
        <w:keepLines/>
        <w:spacing w:before="0" w:after="0"/>
        <w:rPr>
          <w:rFonts w:ascii="Arial Narrow" w:hAnsi="Arial Narrow"/>
          <w:sz w:val="18"/>
          <w:szCs w:val="18"/>
        </w:rPr>
      </w:pPr>
      <w:r w:rsidRPr="00DC0807">
        <w:rPr>
          <w:rFonts w:ascii="Arial Narrow" w:hAnsi="Arial Narrow"/>
          <w:sz w:val="18"/>
          <w:szCs w:val="18"/>
          <w:vertAlign w:val="superscript"/>
        </w:rPr>
        <w:t>a</w:t>
      </w:r>
      <w:r w:rsidR="00420F0E" w:rsidRPr="00DC0807">
        <w:rPr>
          <w:rFonts w:ascii="Arial Narrow" w:hAnsi="Arial Narrow"/>
          <w:sz w:val="18"/>
          <w:szCs w:val="18"/>
        </w:rPr>
        <w:t xml:space="preserve"> Estimated by submission by subtracting placebo response rate at 12 weeks from ustekinumab 24 week response rate in CADMUS pooled with ustekinumab 28 week response rate in CADMUS JR</w:t>
      </w:r>
    </w:p>
    <w:p w:rsidR="004C3AC1" w:rsidRPr="00DC0807" w:rsidRDefault="004C3AC1" w:rsidP="004C3AC1"/>
    <w:p w:rsidR="004C3AC1" w:rsidRPr="00DC0807" w:rsidRDefault="002D1042" w:rsidP="002D1042">
      <w:pPr>
        <w:pStyle w:val="TableFigureFootnote"/>
        <w:keepNext/>
        <w:keepLines/>
        <w:spacing w:before="0" w:after="0"/>
        <w:rPr>
          <w:rFonts w:ascii="Arial Narrow" w:hAnsi="Arial Narrow"/>
          <w:b/>
          <w:sz w:val="20"/>
          <w:szCs w:val="20"/>
        </w:rPr>
      </w:pPr>
      <w:bookmarkStart w:id="28" w:name="_Ref61114294"/>
      <w:r w:rsidRPr="00DC0807">
        <w:rPr>
          <w:rFonts w:ascii="Arial Narrow" w:hAnsi="Arial Narrow"/>
          <w:b/>
          <w:sz w:val="20"/>
          <w:szCs w:val="20"/>
        </w:rPr>
        <w:t xml:space="preserve">Table </w:t>
      </w:r>
      <w:r w:rsidR="00AE572A" w:rsidRPr="00DC0807">
        <w:rPr>
          <w:rFonts w:ascii="Arial Narrow" w:hAnsi="Arial Narrow"/>
          <w:b/>
          <w:sz w:val="20"/>
          <w:szCs w:val="20"/>
        </w:rPr>
        <w:t>13</w:t>
      </w:r>
      <w:bookmarkEnd w:id="28"/>
      <w:r w:rsidRPr="00DC0807">
        <w:rPr>
          <w:rFonts w:ascii="Arial Narrow" w:hAnsi="Arial Narrow"/>
          <w:b/>
          <w:sz w:val="20"/>
          <w:szCs w:val="20"/>
        </w:rPr>
        <w:t>:</w:t>
      </w:r>
      <w:r w:rsidR="004C3AC1" w:rsidRPr="00DC0807">
        <w:rPr>
          <w:rFonts w:ascii="Arial Narrow" w:hAnsi="Arial Narrow"/>
          <w:b/>
          <w:sz w:val="20"/>
          <w:szCs w:val="20"/>
        </w:rPr>
        <w:t xml:space="preserve"> Results of the supplementary cost per responder analysis</w:t>
      </w:r>
      <w:r w:rsidR="0029614A" w:rsidRPr="00DC0807">
        <w:rPr>
          <w:rFonts w:ascii="Arial Narrow" w:hAnsi="Arial Narrow"/>
          <w:b/>
          <w:sz w:val="20"/>
          <w:szCs w:val="20"/>
        </w:rPr>
        <w:t xml:space="preserve"> (24 weeks of etanercept)</w:t>
      </w:r>
    </w:p>
    <w:tbl>
      <w:tblPr>
        <w:tblStyle w:val="TableGrid"/>
        <w:tblW w:w="0" w:type="auto"/>
        <w:tblLook w:val="04A0" w:firstRow="1" w:lastRow="0" w:firstColumn="1" w:lastColumn="0" w:noHBand="0" w:noVBand="1"/>
        <w:tblCaption w:val="Table 13: Results of the supplementary cost per responder analysis (24 weeks of etanercept)"/>
      </w:tblPr>
      <w:tblGrid>
        <w:gridCol w:w="3964"/>
        <w:gridCol w:w="2410"/>
        <w:gridCol w:w="1418"/>
        <w:gridCol w:w="1224"/>
      </w:tblGrid>
      <w:tr w:rsidR="004C3AC1" w:rsidRPr="00DC0807" w:rsidTr="00CD1F63">
        <w:trPr>
          <w:trHeight w:val="104"/>
          <w:tblHeader/>
        </w:trPr>
        <w:tc>
          <w:tcPr>
            <w:tcW w:w="3964" w:type="dxa"/>
            <w:noWrap/>
            <w:hideMark/>
          </w:tcPr>
          <w:p w:rsidR="004C3AC1" w:rsidRPr="00DC0807" w:rsidRDefault="004C3AC1" w:rsidP="00E77FA7">
            <w:pPr>
              <w:pStyle w:val="TableText0"/>
              <w:spacing w:before="0" w:after="0"/>
            </w:pPr>
          </w:p>
        </w:tc>
        <w:tc>
          <w:tcPr>
            <w:tcW w:w="2410" w:type="dxa"/>
            <w:noWrap/>
            <w:hideMark/>
          </w:tcPr>
          <w:p w:rsidR="004C3AC1" w:rsidRPr="00DC0807" w:rsidRDefault="004C3AC1" w:rsidP="00E77FA7">
            <w:pPr>
              <w:pStyle w:val="TableText0"/>
              <w:spacing w:before="0" w:after="0"/>
              <w:jc w:val="center"/>
              <w:rPr>
                <w:b/>
                <w:bCs/>
              </w:rPr>
            </w:pPr>
            <w:r w:rsidRPr="00DC0807">
              <w:rPr>
                <w:b/>
                <w:bCs/>
              </w:rPr>
              <w:t>Ustekinumab</w:t>
            </w:r>
          </w:p>
        </w:tc>
        <w:tc>
          <w:tcPr>
            <w:tcW w:w="1418" w:type="dxa"/>
            <w:noWrap/>
            <w:hideMark/>
          </w:tcPr>
          <w:p w:rsidR="004C3AC1" w:rsidRPr="00DC0807" w:rsidRDefault="004C3AC1" w:rsidP="00EB1098">
            <w:pPr>
              <w:pStyle w:val="TableText0"/>
              <w:spacing w:before="0" w:after="0"/>
              <w:jc w:val="center"/>
              <w:rPr>
                <w:b/>
                <w:bCs/>
              </w:rPr>
            </w:pPr>
            <w:r w:rsidRPr="00DC0807">
              <w:rPr>
                <w:b/>
                <w:bCs/>
              </w:rPr>
              <w:t xml:space="preserve">Etanercept </w:t>
            </w:r>
            <w:r w:rsidR="00EB1098" w:rsidRPr="00DC0807">
              <w:rPr>
                <w:b/>
                <w:bCs/>
                <w:vertAlign w:val="superscript"/>
              </w:rPr>
              <w:t>a</w:t>
            </w:r>
          </w:p>
        </w:tc>
        <w:tc>
          <w:tcPr>
            <w:tcW w:w="1224" w:type="dxa"/>
            <w:noWrap/>
            <w:hideMark/>
          </w:tcPr>
          <w:p w:rsidR="004C3AC1" w:rsidRPr="00DC0807" w:rsidRDefault="004C3AC1" w:rsidP="00E77FA7">
            <w:pPr>
              <w:pStyle w:val="TableText0"/>
              <w:spacing w:before="0" w:after="0"/>
              <w:jc w:val="center"/>
              <w:rPr>
                <w:b/>
                <w:bCs/>
              </w:rPr>
            </w:pPr>
            <w:r w:rsidRPr="00DC0807">
              <w:rPr>
                <w:b/>
                <w:bCs/>
              </w:rPr>
              <w:t>Difference</w:t>
            </w:r>
          </w:p>
        </w:tc>
      </w:tr>
      <w:tr w:rsidR="004C3AC1" w:rsidRPr="00DC0807" w:rsidTr="00D16A47">
        <w:trPr>
          <w:trHeight w:val="221"/>
        </w:trPr>
        <w:tc>
          <w:tcPr>
            <w:tcW w:w="3964" w:type="dxa"/>
            <w:noWrap/>
          </w:tcPr>
          <w:p w:rsidR="004C3AC1" w:rsidRPr="00DC0807" w:rsidRDefault="004C3AC1" w:rsidP="00E77FA7">
            <w:pPr>
              <w:pStyle w:val="TableText0"/>
              <w:spacing w:before="0" w:after="0"/>
            </w:pPr>
            <w:r w:rsidRPr="00DC0807">
              <w:t>Length of treatment period, weeks</w:t>
            </w:r>
          </w:p>
        </w:tc>
        <w:tc>
          <w:tcPr>
            <w:tcW w:w="2410" w:type="dxa"/>
          </w:tcPr>
          <w:p w:rsidR="004C3AC1" w:rsidRPr="00DC0807" w:rsidRDefault="004C3AC1" w:rsidP="00E77FA7">
            <w:pPr>
              <w:pStyle w:val="TableText0"/>
              <w:spacing w:before="0" w:after="0"/>
              <w:jc w:val="center"/>
            </w:pPr>
            <w:r w:rsidRPr="00DC0807">
              <w:t>28</w:t>
            </w:r>
          </w:p>
        </w:tc>
        <w:tc>
          <w:tcPr>
            <w:tcW w:w="1418" w:type="dxa"/>
          </w:tcPr>
          <w:p w:rsidR="004C3AC1" w:rsidRPr="00DC0807" w:rsidRDefault="004C3AC1" w:rsidP="00E77FA7">
            <w:pPr>
              <w:pStyle w:val="TableText0"/>
              <w:spacing w:before="0" w:after="0"/>
              <w:jc w:val="center"/>
            </w:pPr>
            <w:r w:rsidRPr="00DC0807">
              <w:t>24</w:t>
            </w:r>
          </w:p>
        </w:tc>
        <w:tc>
          <w:tcPr>
            <w:tcW w:w="1224" w:type="dxa"/>
            <w:noWrap/>
          </w:tcPr>
          <w:p w:rsidR="004C3AC1" w:rsidRPr="00DC0807" w:rsidRDefault="004C3AC1" w:rsidP="00E77FA7">
            <w:pPr>
              <w:pStyle w:val="TableText0"/>
              <w:spacing w:before="0" w:after="0"/>
              <w:jc w:val="center"/>
            </w:pPr>
            <w:r w:rsidRPr="00DC0807">
              <w:t>4</w:t>
            </w:r>
          </w:p>
        </w:tc>
      </w:tr>
      <w:tr w:rsidR="004C3AC1" w:rsidRPr="00DC0807" w:rsidTr="00D16A47">
        <w:trPr>
          <w:trHeight w:val="184"/>
        </w:trPr>
        <w:tc>
          <w:tcPr>
            <w:tcW w:w="3964" w:type="dxa"/>
            <w:noWrap/>
            <w:hideMark/>
          </w:tcPr>
          <w:p w:rsidR="004C3AC1" w:rsidRPr="00DC0807" w:rsidRDefault="004C3AC1" w:rsidP="00E77FA7">
            <w:pPr>
              <w:pStyle w:val="TableText0"/>
              <w:spacing w:before="0" w:after="0"/>
            </w:pPr>
            <w:r w:rsidRPr="00DC0807">
              <w:t>Dose frequency</w:t>
            </w:r>
          </w:p>
        </w:tc>
        <w:tc>
          <w:tcPr>
            <w:tcW w:w="2410" w:type="dxa"/>
            <w:shd w:val="clear" w:color="auto" w:fill="auto"/>
            <w:hideMark/>
          </w:tcPr>
          <w:p w:rsidR="004C3AC1" w:rsidRPr="00DC0807" w:rsidRDefault="004C3AC1" w:rsidP="00E77FA7">
            <w:pPr>
              <w:pStyle w:val="TableText0"/>
              <w:spacing w:before="0" w:after="0"/>
              <w:jc w:val="center"/>
            </w:pPr>
            <w:r w:rsidRPr="00DC0807">
              <w:t xml:space="preserve">Week 0, 4, then q12w </w:t>
            </w:r>
          </w:p>
        </w:tc>
        <w:tc>
          <w:tcPr>
            <w:tcW w:w="1418" w:type="dxa"/>
            <w:shd w:val="clear" w:color="auto" w:fill="auto"/>
            <w:hideMark/>
          </w:tcPr>
          <w:p w:rsidR="004C3AC1" w:rsidRPr="00DC0807" w:rsidRDefault="004C3AC1" w:rsidP="00E77FA7">
            <w:pPr>
              <w:pStyle w:val="TableText0"/>
              <w:spacing w:before="0" w:after="0"/>
              <w:jc w:val="center"/>
            </w:pPr>
            <w:r w:rsidRPr="00DC0807">
              <w:t xml:space="preserve">Weekly </w:t>
            </w:r>
          </w:p>
        </w:tc>
        <w:tc>
          <w:tcPr>
            <w:tcW w:w="1224" w:type="dxa"/>
            <w:shd w:val="clear" w:color="auto" w:fill="auto"/>
            <w:noWrap/>
          </w:tcPr>
          <w:p w:rsidR="004C3AC1" w:rsidRPr="00DC0807" w:rsidRDefault="004C3AC1" w:rsidP="00E77FA7">
            <w:pPr>
              <w:pStyle w:val="TableText0"/>
              <w:spacing w:before="0" w:after="0"/>
              <w:jc w:val="center"/>
            </w:pPr>
          </w:p>
        </w:tc>
      </w:tr>
      <w:tr w:rsidR="004C3AC1" w:rsidRPr="00DC0807" w:rsidTr="00D16A47">
        <w:trPr>
          <w:trHeight w:val="229"/>
        </w:trPr>
        <w:tc>
          <w:tcPr>
            <w:tcW w:w="3964" w:type="dxa"/>
            <w:noWrap/>
            <w:hideMark/>
          </w:tcPr>
          <w:p w:rsidR="004C3AC1" w:rsidRPr="00DC0807" w:rsidRDefault="004C3AC1" w:rsidP="00E77FA7">
            <w:pPr>
              <w:pStyle w:val="TableText0"/>
              <w:spacing w:before="0" w:after="0"/>
            </w:pPr>
            <w:r w:rsidRPr="00DC0807">
              <w:t>Cost per script</w:t>
            </w:r>
          </w:p>
        </w:tc>
        <w:tc>
          <w:tcPr>
            <w:tcW w:w="2410" w:type="dxa"/>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c>
          <w:tcPr>
            <w:tcW w:w="1418" w:type="dxa"/>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c>
          <w:tcPr>
            <w:tcW w:w="1224" w:type="dxa"/>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r>
      <w:tr w:rsidR="004C3AC1" w:rsidRPr="00DC0807" w:rsidTr="00D16A47">
        <w:trPr>
          <w:trHeight w:val="171"/>
        </w:trPr>
        <w:tc>
          <w:tcPr>
            <w:tcW w:w="3964" w:type="dxa"/>
            <w:noWrap/>
            <w:hideMark/>
          </w:tcPr>
          <w:p w:rsidR="004C3AC1" w:rsidRPr="00DC0807" w:rsidRDefault="004C3AC1" w:rsidP="00E77FA7">
            <w:pPr>
              <w:pStyle w:val="TableText0"/>
              <w:spacing w:before="0" w:after="0"/>
            </w:pPr>
            <w:r w:rsidRPr="00DC0807">
              <w:t>Scripts per 24-week treatment period</w:t>
            </w:r>
          </w:p>
        </w:tc>
        <w:tc>
          <w:tcPr>
            <w:tcW w:w="2410" w:type="dxa"/>
            <w:noWrap/>
            <w:hideMark/>
          </w:tcPr>
          <w:p w:rsidR="004C3AC1" w:rsidRPr="00DC0807" w:rsidRDefault="004C3AC1" w:rsidP="00E77FA7">
            <w:pPr>
              <w:pStyle w:val="TableText0"/>
              <w:spacing w:before="0" w:after="0"/>
              <w:jc w:val="center"/>
            </w:pPr>
            <w:r w:rsidRPr="00DC0807">
              <w:t>3</w:t>
            </w:r>
          </w:p>
        </w:tc>
        <w:tc>
          <w:tcPr>
            <w:tcW w:w="1418" w:type="dxa"/>
            <w:noWrap/>
            <w:hideMark/>
          </w:tcPr>
          <w:p w:rsidR="004C3AC1" w:rsidRPr="00DC0807" w:rsidRDefault="004C3AC1" w:rsidP="00E77FA7">
            <w:pPr>
              <w:pStyle w:val="TableText0"/>
              <w:spacing w:before="0" w:after="0"/>
              <w:jc w:val="center"/>
            </w:pPr>
            <w:r w:rsidRPr="00DC0807">
              <w:t>6</w:t>
            </w:r>
          </w:p>
        </w:tc>
        <w:tc>
          <w:tcPr>
            <w:tcW w:w="1224" w:type="dxa"/>
            <w:noWrap/>
          </w:tcPr>
          <w:p w:rsidR="004C3AC1" w:rsidRPr="00DC0807" w:rsidRDefault="004C3AC1" w:rsidP="00E77FA7">
            <w:pPr>
              <w:pStyle w:val="TableText0"/>
              <w:spacing w:before="0" w:after="0"/>
              <w:jc w:val="center"/>
            </w:pPr>
          </w:p>
        </w:tc>
      </w:tr>
      <w:tr w:rsidR="004C3AC1" w:rsidRPr="00DC0807" w:rsidTr="00D16A47">
        <w:trPr>
          <w:trHeight w:val="217"/>
        </w:trPr>
        <w:tc>
          <w:tcPr>
            <w:tcW w:w="3964" w:type="dxa"/>
            <w:noWrap/>
            <w:hideMark/>
          </w:tcPr>
          <w:p w:rsidR="004C3AC1" w:rsidRPr="00DC0807" w:rsidRDefault="004C3AC1" w:rsidP="00E77FA7">
            <w:pPr>
              <w:pStyle w:val="TableText0"/>
              <w:spacing w:before="0" w:after="0"/>
            </w:pPr>
            <w:r w:rsidRPr="00DC0807">
              <w:t>Cost of initial treatment period</w:t>
            </w:r>
          </w:p>
        </w:tc>
        <w:tc>
          <w:tcPr>
            <w:tcW w:w="2410" w:type="dxa"/>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c>
          <w:tcPr>
            <w:tcW w:w="1418" w:type="dxa"/>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c>
          <w:tcPr>
            <w:tcW w:w="1224" w:type="dxa"/>
            <w:noWrap/>
            <w:hideMark/>
          </w:tcPr>
          <w:p w:rsidR="004C3AC1" w:rsidRPr="00DC0807" w:rsidRDefault="004C3AC1" w:rsidP="00E77FA7">
            <w:pPr>
              <w:pStyle w:val="TableText0"/>
              <w:spacing w:before="0" w:after="0"/>
              <w:jc w:val="center"/>
            </w:pPr>
            <w:r w:rsidRPr="00DC0807">
              <w:t>$</w:t>
            </w:r>
            <w:r w:rsidR="006B6F2B">
              <w:rPr>
                <w:noProof/>
                <w:color w:val="000000"/>
                <w:highlight w:val="black"/>
              </w:rPr>
              <w:t>'''''''''''''''''</w:t>
            </w:r>
          </w:p>
        </w:tc>
      </w:tr>
      <w:tr w:rsidR="004C3AC1" w:rsidRPr="00DC0807" w:rsidTr="00D16A47">
        <w:trPr>
          <w:trHeight w:val="227"/>
        </w:trPr>
        <w:tc>
          <w:tcPr>
            <w:tcW w:w="3964" w:type="dxa"/>
            <w:noWrap/>
            <w:hideMark/>
          </w:tcPr>
          <w:p w:rsidR="004C3AC1" w:rsidRPr="00DC0807" w:rsidRDefault="004C3AC1" w:rsidP="00E77FA7">
            <w:pPr>
              <w:pStyle w:val="TableText0"/>
              <w:spacing w:before="0" w:after="0"/>
            </w:pPr>
            <w:r w:rsidRPr="00DC0807">
              <w:t xml:space="preserve">Incremental </w:t>
            </w:r>
            <w:r w:rsidR="00C92D23" w:rsidRPr="00DC0807">
              <w:t>PASI 75</w:t>
            </w:r>
            <w:r w:rsidRPr="00DC0807">
              <w:t xml:space="preserve"> response rate vs placebo </w:t>
            </w:r>
          </w:p>
        </w:tc>
        <w:tc>
          <w:tcPr>
            <w:tcW w:w="2410" w:type="dxa"/>
            <w:noWrap/>
            <w:hideMark/>
          </w:tcPr>
          <w:p w:rsidR="004C3AC1" w:rsidRPr="00DC0807" w:rsidRDefault="004C3AC1" w:rsidP="00E77FA7">
            <w:pPr>
              <w:pStyle w:val="TableText0"/>
              <w:spacing w:before="0" w:after="0"/>
              <w:jc w:val="center"/>
              <w:rPr>
                <w:vertAlign w:val="superscript"/>
              </w:rPr>
            </w:pPr>
            <w:r w:rsidRPr="00DC0807">
              <w:t>74.2%</w:t>
            </w:r>
            <w:r w:rsidR="00420F0E" w:rsidRPr="00DC0807">
              <w:t xml:space="preserve"> </w:t>
            </w:r>
            <w:r w:rsidR="00EB1098" w:rsidRPr="00DC0807">
              <w:rPr>
                <w:vertAlign w:val="superscript"/>
              </w:rPr>
              <w:t>b</w:t>
            </w:r>
          </w:p>
          <w:p w:rsidR="004C3AC1" w:rsidRPr="00DC0807" w:rsidRDefault="004C3AC1" w:rsidP="00E77FA7">
            <w:pPr>
              <w:pStyle w:val="TableText0"/>
              <w:spacing w:before="0" w:after="0"/>
              <w:jc w:val="center"/>
            </w:pPr>
            <w:r w:rsidRPr="00DC0807">
              <w:t>(Week 24/28)</w:t>
            </w:r>
          </w:p>
        </w:tc>
        <w:tc>
          <w:tcPr>
            <w:tcW w:w="1418" w:type="dxa"/>
            <w:noWrap/>
            <w:hideMark/>
          </w:tcPr>
          <w:p w:rsidR="004C3AC1" w:rsidRPr="00DC0807" w:rsidRDefault="004C3AC1" w:rsidP="00E77FA7">
            <w:pPr>
              <w:pStyle w:val="TableText0"/>
              <w:spacing w:before="0" w:after="0"/>
              <w:jc w:val="center"/>
            </w:pPr>
            <w:r w:rsidRPr="00DC0807">
              <w:t>56.5%</w:t>
            </w:r>
            <w:r w:rsidR="00420F0E" w:rsidRPr="00DC0807">
              <w:t xml:space="preserve"> </w:t>
            </w:r>
            <w:r w:rsidR="00EB1098" w:rsidRPr="00DC0807">
              <w:rPr>
                <w:vertAlign w:val="superscript"/>
              </w:rPr>
              <w:t>c</w:t>
            </w:r>
          </w:p>
          <w:p w:rsidR="004C3AC1" w:rsidRPr="00DC0807" w:rsidRDefault="004C3AC1" w:rsidP="00E77FA7">
            <w:pPr>
              <w:pStyle w:val="TableText0"/>
              <w:spacing w:before="0" w:after="0"/>
              <w:jc w:val="center"/>
            </w:pPr>
            <w:r w:rsidRPr="00DC0807">
              <w:t>(Week 24)</w:t>
            </w:r>
          </w:p>
        </w:tc>
        <w:tc>
          <w:tcPr>
            <w:tcW w:w="1224" w:type="dxa"/>
            <w:noWrap/>
            <w:hideMark/>
          </w:tcPr>
          <w:p w:rsidR="004C3AC1" w:rsidRPr="00DC0807" w:rsidRDefault="004C3AC1" w:rsidP="00E77FA7">
            <w:pPr>
              <w:pStyle w:val="TableText0"/>
              <w:spacing w:before="0" w:after="0"/>
              <w:jc w:val="center"/>
            </w:pPr>
            <w:r w:rsidRPr="00DC0807">
              <w:t>17.7%</w:t>
            </w:r>
          </w:p>
        </w:tc>
      </w:tr>
      <w:tr w:rsidR="004C3AC1" w:rsidRPr="00DC0807" w:rsidTr="00D16A47">
        <w:trPr>
          <w:trHeight w:val="191"/>
        </w:trPr>
        <w:tc>
          <w:tcPr>
            <w:tcW w:w="3964" w:type="dxa"/>
            <w:shd w:val="clear" w:color="auto" w:fill="auto"/>
            <w:noWrap/>
            <w:hideMark/>
          </w:tcPr>
          <w:p w:rsidR="004C3AC1" w:rsidRPr="00DC0807" w:rsidRDefault="004C3AC1" w:rsidP="00E77FA7">
            <w:pPr>
              <w:pStyle w:val="TableText0"/>
              <w:spacing w:before="0" w:after="0"/>
              <w:rPr>
                <w:b/>
                <w:bCs/>
              </w:rPr>
            </w:pPr>
            <w:r w:rsidRPr="00DC0807">
              <w:rPr>
                <w:b/>
                <w:bCs/>
              </w:rPr>
              <w:t xml:space="preserve">Incremental cost per </w:t>
            </w:r>
            <w:r w:rsidR="00C92D23" w:rsidRPr="00DC0807">
              <w:rPr>
                <w:b/>
                <w:bCs/>
              </w:rPr>
              <w:t>PASI 75</w:t>
            </w:r>
            <w:r w:rsidRPr="00DC0807">
              <w:rPr>
                <w:b/>
                <w:bCs/>
              </w:rPr>
              <w:t xml:space="preserve"> responder</w:t>
            </w:r>
          </w:p>
        </w:tc>
        <w:tc>
          <w:tcPr>
            <w:tcW w:w="5052" w:type="dxa"/>
            <w:gridSpan w:val="3"/>
            <w:shd w:val="clear" w:color="auto" w:fill="auto"/>
            <w:noWrap/>
            <w:hideMark/>
          </w:tcPr>
          <w:p w:rsidR="004C3AC1" w:rsidRPr="00DC0807" w:rsidRDefault="004C3AC1" w:rsidP="00E77FA7">
            <w:pPr>
              <w:pStyle w:val="TableText0"/>
              <w:spacing w:before="0" w:after="0"/>
              <w:jc w:val="center"/>
              <w:rPr>
                <w:b/>
                <w:bCs/>
              </w:rPr>
            </w:pPr>
            <w:r w:rsidRPr="00DC0807">
              <w:rPr>
                <w:b/>
                <w:bCs/>
              </w:rPr>
              <w:t>$</w:t>
            </w:r>
            <w:r w:rsidR="006B6F2B">
              <w:rPr>
                <w:b/>
                <w:bCs/>
                <w:noProof/>
                <w:color w:val="000000"/>
                <w:highlight w:val="black"/>
              </w:rPr>
              <w:t>'''''''''''''''</w:t>
            </w:r>
          </w:p>
        </w:tc>
      </w:tr>
      <w:tr w:rsidR="004C3AC1" w:rsidRPr="00DC0807" w:rsidTr="00D16A47">
        <w:trPr>
          <w:trHeight w:val="290"/>
        </w:trPr>
        <w:tc>
          <w:tcPr>
            <w:tcW w:w="3964" w:type="dxa"/>
            <w:shd w:val="clear" w:color="auto" w:fill="auto"/>
            <w:noWrap/>
            <w:hideMark/>
          </w:tcPr>
          <w:p w:rsidR="004C3AC1" w:rsidRPr="00DC0807" w:rsidRDefault="004C3AC1" w:rsidP="00FD5CB6">
            <w:pPr>
              <w:pStyle w:val="TableText0"/>
              <w:spacing w:before="0" w:after="0"/>
            </w:pPr>
            <w:r w:rsidRPr="00DC0807">
              <w:t xml:space="preserve">Incremental </w:t>
            </w:r>
            <w:r w:rsidR="00C92D23" w:rsidRPr="00DC0807">
              <w:t>PASI 90</w:t>
            </w:r>
            <w:r w:rsidRPr="00DC0807">
              <w:t xml:space="preserve"> response rate over placebo </w:t>
            </w:r>
          </w:p>
        </w:tc>
        <w:tc>
          <w:tcPr>
            <w:tcW w:w="2410" w:type="dxa"/>
            <w:shd w:val="clear" w:color="auto" w:fill="auto"/>
            <w:noWrap/>
            <w:hideMark/>
          </w:tcPr>
          <w:p w:rsidR="004C3AC1" w:rsidRPr="00DC0807" w:rsidRDefault="004C3AC1" w:rsidP="00E77FA7">
            <w:pPr>
              <w:pStyle w:val="TableText0"/>
              <w:spacing w:before="0" w:after="0"/>
              <w:jc w:val="center"/>
              <w:rPr>
                <w:vertAlign w:val="superscript"/>
              </w:rPr>
            </w:pPr>
            <w:r w:rsidRPr="00DC0807">
              <w:t>67.1%</w:t>
            </w:r>
            <w:r w:rsidR="00420F0E" w:rsidRPr="00DC0807">
              <w:t xml:space="preserve"> </w:t>
            </w:r>
            <w:r w:rsidR="00EB1098" w:rsidRPr="00DC0807">
              <w:rPr>
                <w:vertAlign w:val="superscript"/>
              </w:rPr>
              <w:t>b</w:t>
            </w:r>
          </w:p>
          <w:p w:rsidR="004C3AC1" w:rsidRPr="00DC0807" w:rsidRDefault="004C3AC1" w:rsidP="00E77FA7">
            <w:pPr>
              <w:pStyle w:val="TableText0"/>
              <w:spacing w:before="0" w:after="0"/>
              <w:jc w:val="center"/>
            </w:pPr>
            <w:r w:rsidRPr="00DC0807">
              <w:t>(Week 24/28)</w:t>
            </w:r>
          </w:p>
        </w:tc>
        <w:tc>
          <w:tcPr>
            <w:tcW w:w="1418" w:type="dxa"/>
            <w:shd w:val="clear" w:color="auto" w:fill="auto"/>
            <w:noWrap/>
            <w:hideMark/>
          </w:tcPr>
          <w:p w:rsidR="004C3AC1" w:rsidRPr="00DC0807" w:rsidRDefault="004C3AC1" w:rsidP="00E77FA7">
            <w:pPr>
              <w:pStyle w:val="TableText0"/>
              <w:spacing w:before="0" w:after="0"/>
              <w:jc w:val="center"/>
            </w:pPr>
            <w:r w:rsidRPr="00DC0807">
              <w:t>30.1%</w:t>
            </w:r>
            <w:r w:rsidR="00420F0E" w:rsidRPr="00DC0807">
              <w:t xml:space="preserve"> </w:t>
            </w:r>
            <w:r w:rsidR="00EB1098" w:rsidRPr="00DC0807">
              <w:rPr>
                <w:vertAlign w:val="superscript"/>
              </w:rPr>
              <w:t>c</w:t>
            </w:r>
          </w:p>
          <w:p w:rsidR="004C3AC1" w:rsidRPr="00DC0807" w:rsidRDefault="004C3AC1" w:rsidP="00E77FA7">
            <w:pPr>
              <w:pStyle w:val="TableText0"/>
              <w:spacing w:before="0" w:after="0"/>
              <w:jc w:val="center"/>
            </w:pPr>
            <w:r w:rsidRPr="00DC0807">
              <w:t>(Week 24)</w:t>
            </w:r>
          </w:p>
        </w:tc>
        <w:tc>
          <w:tcPr>
            <w:tcW w:w="1224" w:type="dxa"/>
            <w:shd w:val="clear" w:color="auto" w:fill="auto"/>
            <w:noWrap/>
            <w:hideMark/>
          </w:tcPr>
          <w:p w:rsidR="004C3AC1" w:rsidRPr="00DC0807" w:rsidRDefault="004C3AC1" w:rsidP="00E77FA7">
            <w:pPr>
              <w:pStyle w:val="TableText0"/>
              <w:spacing w:before="0" w:after="0"/>
              <w:jc w:val="center"/>
            </w:pPr>
            <w:r w:rsidRPr="00DC0807">
              <w:t>37.0%</w:t>
            </w:r>
          </w:p>
        </w:tc>
      </w:tr>
      <w:tr w:rsidR="004C3AC1" w:rsidRPr="00DC0807" w:rsidTr="00D16A47">
        <w:trPr>
          <w:trHeight w:val="118"/>
        </w:trPr>
        <w:tc>
          <w:tcPr>
            <w:tcW w:w="3964" w:type="dxa"/>
            <w:shd w:val="clear" w:color="auto" w:fill="auto"/>
            <w:noWrap/>
            <w:hideMark/>
          </w:tcPr>
          <w:p w:rsidR="004C3AC1" w:rsidRPr="00DC0807" w:rsidRDefault="004C3AC1" w:rsidP="00E77FA7">
            <w:pPr>
              <w:pStyle w:val="TableText0"/>
              <w:spacing w:before="0" w:after="0"/>
              <w:rPr>
                <w:b/>
                <w:bCs/>
              </w:rPr>
            </w:pPr>
            <w:r w:rsidRPr="00DC0807">
              <w:rPr>
                <w:b/>
                <w:bCs/>
              </w:rPr>
              <w:t xml:space="preserve">Incremental cost per </w:t>
            </w:r>
            <w:r w:rsidR="00C92D23" w:rsidRPr="00DC0807">
              <w:rPr>
                <w:b/>
                <w:bCs/>
              </w:rPr>
              <w:t>PASI 90</w:t>
            </w:r>
            <w:r w:rsidRPr="00DC0807">
              <w:rPr>
                <w:b/>
                <w:bCs/>
              </w:rPr>
              <w:t xml:space="preserve"> responder</w:t>
            </w:r>
          </w:p>
        </w:tc>
        <w:tc>
          <w:tcPr>
            <w:tcW w:w="5052" w:type="dxa"/>
            <w:gridSpan w:val="3"/>
            <w:shd w:val="clear" w:color="auto" w:fill="auto"/>
            <w:noWrap/>
            <w:hideMark/>
          </w:tcPr>
          <w:p w:rsidR="004C3AC1" w:rsidRPr="00DC0807" w:rsidRDefault="004C3AC1" w:rsidP="00E77FA7">
            <w:pPr>
              <w:pStyle w:val="TableText0"/>
              <w:spacing w:before="0" w:after="0"/>
              <w:jc w:val="center"/>
              <w:rPr>
                <w:b/>
                <w:bCs/>
              </w:rPr>
            </w:pPr>
            <w:r w:rsidRPr="00DC0807">
              <w:rPr>
                <w:b/>
                <w:bCs/>
              </w:rPr>
              <w:t>$</w:t>
            </w:r>
            <w:r w:rsidR="006B6F2B">
              <w:rPr>
                <w:b/>
                <w:bCs/>
                <w:noProof/>
                <w:color w:val="000000"/>
                <w:highlight w:val="black"/>
              </w:rPr>
              <w:t>''''''''''''</w:t>
            </w:r>
          </w:p>
        </w:tc>
      </w:tr>
    </w:tbl>
    <w:p w:rsidR="00324549" w:rsidRPr="00DC0807" w:rsidRDefault="00324549" w:rsidP="00324549">
      <w:pPr>
        <w:pStyle w:val="TableFooter"/>
        <w:rPr>
          <w:sz w:val="20"/>
        </w:rPr>
      </w:pPr>
      <w:r w:rsidRPr="00DC0807">
        <w:t>Source: Table 3-4 and 3-5, p187 of the submission.</w:t>
      </w:r>
    </w:p>
    <w:p w:rsidR="004C3AC1" w:rsidRPr="00DC0807" w:rsidRDefault="00EB1098" w:rsidP="004C3AC1">
      <w:pPr>
        <w:pStyle w:val="TableFigureFootnote"/>
        <w:rPr>
          <w:rFonts w:ascii="Arial Narrow" w:hAnsi="Arial Narrow"/>
          <w:sz w:val="18"/>
          <w:szCs w:val="18"/>
        </w:rPr>
      </w:pPr>
      <w:r w:rsidRPr="00DC0807">
        <w:rPr>
          <w:rFonts w:ascii="Arial Narrow" w:hAnsi="Arial Narrow"/>
          <w:sz w:val="18"/>
          <w:szCs w:val="18"/>
          <w:vertAlign w:val="superscript"/>
        </w:rPr>
        <w:t>a</w:t>
      </w:r>
      <w:r w:rsidR="004C3AC1" w:rsidRPr="00DC0807">
        <w:rPr>
          <w:rFonts w:ascii="Arial Narrow" w:hAnsi="Arial Narrow"/>
          <w:sz w:val="18"/>
          <w:szCs w:val="18"/>
        </w:rPr>
        <w:t xml:space="preserve"> Included all patients who received etanercept through the initial 12-week double-blind treatment period and the first 12 weeks of the 24-week open-label period that followed. </w:t>
      </w:r>
    </w:p>
    <w:p w:rsidR="00420F0E" w:rsidRPr="00DC0807" w:rsidRDefault="00EB1098" w:rsidP="00420F0E">
      <w:pPr>
        <w:pStyle w:val="TableFigureFootnote"/>
        <w:keepNext/>
        <w:keepLines/>
        <w:spacing w:before="0" w:after="0"/>
        <w:rPr>
          <w:rFonts w:ascii="Arial Narrow" w:hAnsi="Arial Narrow"/>
          <w:sz w:val="18"/>
          <w:szCs w:val="18"/>
        </w:rPr>
      </w:pPr>
      <w:r w:rsidRPr="00DC0807">
        <w:rPr>
          <w:rFonts w:ascii="Arial Narrow" w:hAnsi="Arial Narrow"/>
          <w:sz w:val="18"/>
          <w:szCs w:val="18"/>
          <w:vertAlign w:val="superscript"/>
        </w:rPr>
        <w:t>b</w:t>
      </w:r>
      <w:r w:rsidR="00420F0E" w:rsidRPr="00DC0807">
        <w:rPr>
          <w:rFonts w:ascii="Arial Narrow" w:hAnsi="Arial Narrow"/>
          <w:sz w:val="18"/>
          <w:szCs w:val="18"/>
        </w:rPr>
        <w:t xml:space="preserve"> Estimated by submission by subtracting placebo response rate at 12 weeks from ustekinumab 24 week response rate in CADMUS pooled with ustekinumab 28 week response rate in CADMUS JR</w:t>
      </w:r>
    </w:p>
    <w:p w:rsidR="00420F0E" w:rsidRPr="00DC0807" w:rsidRDefault="00EB1098" w:rsidP="00420F0E">
      <w:pPr>
        <w:pStyle w:val="TableFigureFootnote"/>
        <w:keepNext/>
        <w:keepLines/>
        <w:spacing w:before="0" w:after="0"/>
        <w:rPr>
          <w:rFonts w:ascii="Arial Narrow" w:hAnsi="Arial Narrow"/>
          <w:sz w:val="18"/>
          <w:szCs w:val="18"/>
        </w:rPr>
      </w:pPr>
      <w:r w:rsidRPr="00DC0807">
        <w:rPr>
          <w:rFonts w:ascii="Arial Narrow" w:hAnsi="Arial Narrow"/>
          <w:sz w:val="18"/>
          <w:szCs w:val="18"/>
          <w:vertAlign w:val="superscript"/>
        </w:rPr>
        <w:t>c</w:t>
      </w:r>
      <w:r w:rsidR="00420F0E" w:rsidRPr="00DC0807">
        <w:rPr>
          <w:rFonts w:ascii="Arial Narrow" w:hAnsi="Arial Narrow"/>
          <w:sz w:val="18"/>
          <w:szCs w:val="18"/>
        </w:rPr>
        <w:t xml:space="preserve"> Estimated by submission by subtracting placebo response rate at 12 weeks from etanercept 24 week response rate in Paller 2008.</w:t>
      </w:r>
    </w:p>
    <w:p w:rsidR="004C3AC1" w:rsidRPr="00DC0807" w:rsidRDefault="004C3AC1" w:rsidP="004C3AC1">
      <w:pPr>
        <w:rPr>
          <w:i/>
        </w:rPr>
      </w:pPr>
    </w:p>
    <w:p w:rsidR="004C3AC1" w:rsidRPr="00DC0807" w:rsidRDefault="004C3AC1" w:rsidP="00A927F1">
      <w:pPr>
        <w:pStyle w:val="ListParagraph"/>
        <w:widowControl/>
        <w:numPr>
          <w:ilvl w:val="1"/>
          <w:numId w:val="1"/>
        </w:numPr>
        <w:rPr>
          <w:iCs/>
        </w:rPr>
      </w:pPr>
      <w:r w:rsidRPr="00DC0807">
        <w:t>Using the response rate from the CADMUS trial only</w:t>
      </w:r>
      <w:r w:rsidR="00391485" w:rsidRPr="00DC0807">
        <w:t xml:space="preserve">, the cost per additional </w:t>
      </w:r>
      <w:r w:rsidR="00C92D23" w:rsidRPr="00DC0807">
        <w:t>PASI 75</w:t>
      </w:r>
      <w:r w:rsidR="00391485" w:rsidRPr="00DC0807">
        <w:t xml:space="preserve"> responder</w:t>
      </w:r>
      <w:r w:rsidRPr="00DC0807">
        <w:t xml:space="preserve"> </w:t>
      </w:r>
      <w:r w:rsidR="00E27672" w:rsidRPr="00DC0807">
        <w:t xml:space="preserve">compared to etanercept </w:t>
      </w:r>
      <w:r w:rsidRPr="00DC0807">
        <w:t>increased to $</w:t>
      </w:r>
      <w:r w:rsidR="006B6F2B">
        <w:rPr>
          <w:noProof/>
          <w:color w:val="000000"/>
          <w:highlight w:val="black"/>
        </w:rPr>
        <w:t>'''''''''''</w:t>
      </w:r>
      <w:r w:rsidRPr="00DC0807">
        <w:t xml:space="preserve"> and $</w:t>
      </w:r>
      <w:r w:rsidR="006B6F2B">
        <w:rPr>
          <w:noProof/>
          <w:color w:val="000000"/>
          <w:highlight w:val="black"/>
        </w:rPr>
        <w:t>'''''''''''</w:t>
      </w:r>
      <w:r w:rsidRPr="00DC0807">
        <w:t xml:space="preserve"> for the base </w:t>
      </w:r>
      <w:r w:rsidR="00391485" w:rsidRPr="00DC0807">
        <w:t xml:space="preserve">case </w:t>
      </w:r>
      <w:r w:rsidRPr="00DC0807">
        <w:t xml:space="preserve">and supplementary analyses respectively, and </w:t>
      </w:r>
      <w:r w:rsidR="00391485" w:rsidRPr="00DC0807">
        <w:t xml:space="preserve">the cost per additional </w:t>
      </w:r>
      <w:r w:rsidR="00D16A47" w:rsidRPr="00DC0807">
        <w:t>PASI </w:t>
      </w:r>
      <w:r w:rsidR="00C92D23" w:rsidRPr="00DC0807">
        <w:t>90</w:t>
      </w:r>
      <w:r w:rsidR="00391485" w:rsidRPr="00DC0807">
        <w:t xml:space="preserve"> responder </w:t>
      </w:r>
      <w:r w:rsidRPr="00DC0807">
        <w:t xml:space="preserve">increased </w:t>
      </w:r>
      <w:r w:rsidRPr="00F607C7">
        <w:t>to $</w:t>
      </w:r>
      <w:r w:rsidR="006B6F2B">
        <w:rPr>
          <w:noProof/>
          <w:color w:val="000000"/>
          <w:highlight w:val="black"/>
        </w:rPr>
        <w:t>'''''''''''</w:t>
      </w:r>
      <w:r w:rsidRPr="00F607C7">
        <w:t xml:space="preserve"> and $</w:t>
      </w:r>
      <w:r w:rsidR="006B6F2B">
        <w:rPr>
          <w:noProof/>
          <w:color w:val="000000"/>
          <w:highlight w:val="black"/>
        </w:rPr>
        <w:t>'''''''''''</w:t>
      </w:r>
      <w:r w:rsidRPr="00F607C7">
        <w:t xml:space="preserve"> for</w:t>
      </w:r>
      <w:r w:rsidRPr="00DC0807">
        <w:t xml:space="preserve"> the base </w:t>
      </w:r>
      <w:r w:rsidR="00391485" w:rsidRPr="00DC0807">
        <w:t xml:space="preserve">case </w:t>
      </w:r>
      <w:r w:rsidRPr="00DC0807">
        <w:t>and supplementary analyses respectively.</w:t>
      </w:r>
    </w:p>
    <w:p w:rsidR="00F7290B" w:rsidRPr="00DC0807" w:rsidRDefault="003024C3" w:rsidP="00A927F1">
      <w:pPr>
        <w:pStyle w:val="ListParagraph"/>
        <w:widowControl/>
        <w:numPr>
          <w:ilvl w:val="1"/>
          <w:numId w:val="1"/>
        </w:numPr>
      </w:pPr>
      <w:r w:rsidRPr="00DC0807">
        <w:t xml:space="preserve">An alternative scenario </w:t>
      </w:r>
      <w:r w:rsidR="00F7290B" w:rsidRPr="00DC0807">
        <w:t xml:space="preserve">that compared 28 weeks of treatment with ustekinumab with up to 24 weeks of etanercept </w:t>
      </w:r>
      <w:r w:rsidR="00391485" w:rsidRPr="00DC0807">
        <w:t xml:space="preserve">along with the </w:t>
      </w:r>
      <w:r w:rsidR="00F7290B" w:rsidRPr="00DC0807">
        <w:t>following assumptions</w:t>
      </w:r>
      <w:r w:rsidR="00391485" w:rsidRPr="00DC0807">
        <w:t xml:space="preserve"> (to more reasonably align with the most reliable clinical data and PBS listing), was considered during the evaluation</w:t>
      </w:r>
      <w:r w:rsidR="00F7290B" w:rsidRPr="00DC0807">
        <w:t>:</w:t>
      </w:r>
    </w:p>
    <w:p w:rsidR="00F7290B" w:rsidRPr="00DC0807" w:rsidRDefault="00584971" w:rsidP="00A927F1">
      <w:pPr>
        <w:pStyle w:val="ListParagraph"/>
        <w:widowControl/>
        <w:numPr>
          <w:ilvl w:val="1"/>
          <w:numId w:val="6"/>
        </w:numPr>
        <w:ind w:left="993" w:hanging="284"/>
      </w:pPr>
      <w:r w:rsidRPr="00DC0807">
        <w:t>U</w:t>
      </w:r>
      <w:r w:rsidR="003024C3" w:rsidRPr="00DC0807">
        <w:t xml:space="preserve">sing observed response rates from CADMUS </w:t>
      </w:r>
      <w:r w:rsidR="00F7290B" w:rsidRPr="00DC0807">
        <w:t xml:space="preserve">and Paller 2008 </w:t>
      </w:r>
      <w:r w:rsidR="00391485" w:rsidRPr="00DC0807">
        <w:t xml:space="preserve">only </w:t>
      </w:r>
      <w:r w:rsidR="00F7290B" w:rsidRPr="00DC0807">
        <w:t xml:space="preserve">as these </w:t>
      </w:r>
      <w:r w:rsidR="003024C3" w:rsidRPr="00DC0807">
        <w:t>provided the least biased efficacy results, and remov</w:t>
      </w:r>
      <w:r w:rsidR="00D16A47" w:rsidRPr="00DC0807">
        <w:t>ing</w:t>
      </w:r>
      <w:r w:rsidR="003024C3" w:rsidRPr="00DC0807">
        <w:t xml:space="preserve"> any numerical differences in place</w:t>
      </w:r>
      <w:r w:rsidR="00F7290B" w:rsidRPr="00DC0807">
        <w:t>bo response rate between trials;</w:t>
      </w:r>
      <w:r w:rsidR="003024C3" w:rsidRPr="00DC0807">
        <w:t xml:space="preserve"> and </w:t>
      </w:r>
    </w:p>
    <w:p w:rsidR="00F7290B" w:rsidRPr="00DC0807" w:rsidRDefault="00584971" w:rsidP="00A927F1">
      <w:pPr>
        <w:pStyle w:val="ListParagraph"/>
        <w:widowControl/>
        <w:numPr>
          <w:ilvl w:val="1"/>
          <w:numId w:val="6"/>
        </w:numPr>
        <w:ind w:left="993" w:hanging="284"/>
      </w:pPr>
      <w:r w:rsidRPr="00DC0807">
        <w:t>O</w:t>
      </w:r>
      <w:r w:rsidR="00F7290B" w:rsidRPr="00DC0807">
        <w:t xml:space="preserve">nly </w:t>
      </w:r>
      <w:r w:rsidR="003024C3" w:rsidRPr="00DC0807">
        <w:t xml:space="preserve">patients treated with etanercept who achieve </w:t>
      </w:r>
      <w:r w:rsidR="00C92D23" w:rsidRPr="00DC0807">
        <w:t>PASI 75</w:t>
      </w:r>
      <w:r w:rsidR="003024C3" w:rsidRPr="00DC0807">
        <w:t xml:space="preserve"> at </w:t>
      </w:r>
      <w:r w:rsidR="00DA2DC0" w:rsidRPr="00DC0807">
        <w:t>W</w:t>
      </w:r>
      <w:r w:rsidR="003024C3" w:rsidRPr="00DC0807">
        <w:t xml:space="preserve">eek 12 receive </w:t>
      </w:r>
      <w:r w:rsidR="00F7290B" w:rsidRPr="00DC0807">
        <w:t xml:space="preserve">a </w:t>
      </w:r>
      <w:r w:rsidR="003024C3" w:rsidRPr="00DC0807">
        <w:t xml:space="preserve">further </w:t>
      </w:r>
      <w:r w:rsidR="00F7290B" w:rsidRPr="00DC0807">
        <w:t xml:space="preserve">8 weeks </w:t>
      </w:r>
      <w:r w:rsidR="003024C3" w:rsidRPr="00DC0807">
        <w:t xml:space="preserve">treatment. </w:t>
      </w:r>
    </w:p>
    <w:p w:rsidR="003024C3" w:rsidRPr="00DC0807" w:rsidRDefault="003024C3" w:rsidP="00F7290B">
      <w:pPr>
        <w:widowControl/>
        <w:spacing w:after="120"/>
        <w:ind w:left="709"/>
      </w:pPr>
      <w:r w:rsidRPr="00DC0807">
        <w:t xml:space="preserve">The </w:t>
      </w:r>
      <w:r w:rsidRPr="00F607C7">
        <w:t>resultant cost per</w:t>
      </w:r>
      <w:r w:rsidR="00391485" w:rsidRPr="00F607C7">
        <w:t xml:space="preserve"> additional</w:t>
      </w:r>
      <w:r w:rsidRPr="00F607C7">
        <w:t xml:space="preserve"> </w:t>
      </w:r>
      <w:r w:rsidR="00C92D23" w:rsidRPr="00F607C7">
        <w:t>PASI 75</w:t>
      </w:r>
      <w:r w:rsidRPr="00F607C7">
        <w:t xml:space="preserve"> and </w:t>
      </w:r>
      <w:r w:rsidR="00C92D23" w:rsidRPr="00F607C7">
        <w:t>PASI 90</w:t>
      </w:r>
      <w:r w:rsidRPr="00F607C7">
        <w:t xml:space="preserve"> responder was $</w:t>
      </w:r>
      <w:r w:rsidR="006B6F2B">
        <w:rPr>
          <w:noProof/>
          <w:color w:val="000000"/>
          <w:highlight w:val="black"/>
        </w:rPr>
        <w:t>''''''''''''''''</w:t>
      </w:r>
      <w:r w:rsidRPr="00F607C7">
        <w:t xml:space="preserve"> and $</w:t>
      </w:r>
      <w:r w:rsidR="006B6F2B">
        <w:rPr>
          <w:noProof/>
          <w:color w:val="000000"/>
          <w:highlight w:val="black"/>
        </w:rPr>
        <w:t>''''''''''''''''''</w:t>
      </w:r>
      <w:r w:rsidRPr="00F607C7">
        <w:t xml:space="preserve"> respectively.</w:t>
      </w:r>
      <w:r w:rsidRPr="00DC0807">
        <w:t xml:space="preserve"> </w:t>
      </w:r>
    </w:p>
    <w:p w:rsidR="00A40E56" w:rsidRPr="00DC0807" w:rsidRDefault="0002140B" w:rsidP="00777C23">
      <w:pPr>
        <w:pStyle w:val="ListParagraph"/>
        <w:widowControl/>
        <w:numPr>
          <w:ilvl w:val="1"/>
          <w:numId w:val="1"/>
        </w:numPr>
      </w:pPr>
      <w:r w:rsidRPr="00DC0807">
        <w:t>The ESC’s</w:t>
      </w:r>
      <w:r w:rsidR="00D16A47" w:rsidRPr="00DC0807">
        <w:t xml:space="preserve"> </w:t>
      </w:r>
      <w:r w:rsidR="004C3AC1" w:rsidRPr="00DC0807">
        <w:t xml:space="preserve">preferred approach </w:t>
      </w:r>
      <w:r w:rsidR="00584971" w:rsidRPr="00DC0807">
        <w:t xml:space="preserve">for a claim of superior efficacy </w:t>
      </w:r>
      <w:r w:rsidR="004C3AC1" w:rsidRPr="00DC0807">
        <w:t xml:space="preserve">would have been a cost-utility analysis that modelled the costs and quality adjusted life years over a number of years. </w:t>
      </w:r>
      <w:r w:rsidR="00F30FBF" w:rsidRPr="00DC0807">
        <w:t>In contrast, the analysis provided</w:t>
      </w:r>
      <w:r w:rsidR="002346B6" w:rsidRPr="00DC0807">
        <w:t xml:space="preserve"> by the </w:t>
      </w:r>
      <w:r w:rsidR="000D6905" w:rsidRPr="00DC0807">
        <w:t>submission</w:t>
      </w:r>
      <w:r w:rsidR="002346B6" w:rsidRPr="00DC0807">
        <w:t xml:space="preserve"> did not </w:t>
      </w:r>
      <w:r w:rsidR="002346B6" w:rsidRPr="00DC0807">
        <w:rPr>
          <w:rFonts w:asciiTheme="minorHAnsi" w:hAnsiTheme="minorHAnsi" w:cstheme="minorHAnsi"/>
        </w:rPr>
        <w:t>consider duration of effect or ongoing costs to the PBS for ustekinumab.</w:t>
      </w:r>
      <w:r w:rsidR="00276B3D" w:rsidRPr="00DC0807">
        <w:rPr>
          <w:rFonts w:asciiTheme="minorHAnsi" w:hAnsiTheme="minorHAnsi" w:cstheme="minorHAnsi"/>
        </w:rPr>
        <w:t xml:space="preserve"> </w:t>
      </w:r>
      <w:r w:rsidR="00FF70CE" w:rsidRPr="00DC0807">
        <w:rPr>
          <w:rFonts w:asciiTheme="minorHAnsi" w:hAnsiTheme="minorHAnsi" w:cstheme="minorHAnsi"/>
        </w:rPr>
        <w:t xml:space="preserve">The </w:t>
      </w:r>
      <w:r w:rsidR="000D6905" w:rsidRPr="00DC0807">
        <w:rPr>
          <w:rFonts w:asciiTheme="minorHAnsi" w:hAnsiTheme="minorHAnsi" w:cstheme="minorHAnsi"/>
        </w:rPr>
        <w:t>submission</w:t>
      </w:r>
      <w:r w:rsidR="00FF70CE" w:rsidRPr="00DC0807">
        <w:rPr>
          <w:rFonts w:asciiTheme="minorHAnsi" w:hAnsiTheme="minorHAnsi" w:cstheme="minorHAnsi"/>
        </w:rPr>
        <w:t xml:space="preserve"> </w:t>
      </w:r>
      <w:r w:rsidR="00227C82" w:rsidRPr="00DC0807">
        <w:rPr>
          <w:rFonts w:asciiTheme="minorHAnsi" w:hAnsiTheme="minorHAnsi" w:cstheme="minorHAnsi"/>
        </w:rPr>
        <w:t xml:space="preserve">did </w:t>
      </w:r>
      <w:r w:rsidR="00FF70CE" w:rsidRPr="00DC0807">
        <w:rPr>
          <w:rFonts w:asciiTheme="minorHAnsi" w:hAnsiTheme="minorHAnsi" w:cstheme="minorHAnsi"/>
        </w:rPr>
        <w:t xml:space="preserve">not establish the health gain associated with </w:t>
      </w:r>
      <w:r w:rsidR="00FF70CE" w:rsidRPr="00DC0807">
        <w:rPr>
          <w:rFonts w:asciiTheme="minorHAnsi" w:hAnsiTheme="minorHAnsi" w:cstheme="minorHAnsi"/>
          <w:iCs/>
        </w:rPr>
        <w:t>the</w:t>
      </w:r>
      <w:r w:rsidR="00276B3D" w:rsidRPr="00DC0807">
        <w:rPr>
          <w:rFonts w:asciiTheme="minorHAnsi" w:hAnsiTheme="minorHAnsi" w:cstheme="minorHAnsi"/>
          <w:iCs/>
        </w:rPr>
        <w:t xml:space="preserve"> </w:t>
      </w:r>
      <w:r w:rsidR="00FF70CE" w:rsidRPr="00DC0807">
        <w:rPr>
          <w:rFonts w:asciiTheme="minorHAnsi" w:hAnsiTheme="minorHAnsi" w:cstheme="minorHAnsi"/>
          <w:iCs/>
        </w:rPr>
        <w:t>additional cost per responder</w:t>
      </w:r>
      <w:r w:rsidR="00276B3D" w:rsidRPr="00DC0807">
        <w:rPr>
          <w:rFonts w:asciiTheme="minorHAnsi" w:hAnsiTheme="minorHAnsi" w:cstheme="minorHAnsi"/>
          <w:iCs/>
        </w:rPr>
        <w:t xml:space="preserve"> for</w:t>
      </w:r>
      <w:r w:rsidR="00FF70CE" w:rsidRPr="00DC0807">
        <w:rPr>
          <w:rFonts w:asciiTheme="minorHAnsi" w:hAnsiTheme="minorHAnsi" w:cstheme="minorHAnsi"/>
          <w:iCs/>
        </w:rPr>
        <w:t xml:space="preserve"> ustekinumab.</w:t>
      </w:r>
      <w:r w:rsidR="00227C82" w:rsidRPr="00DC0807">
        <w:rPr>
          <w:rFonts w:asciiTheme="minorHAnsi" w:hAnsiTheme="minorHAnsi" w:cstheme="minorHAnsi"/>
          <w:iCs/>
        </w:rPr>
        <w:t xml:space="preserve"> </w:t>
      </w:r>
    </w:p>
    <w:p w:rsidR="00026466" w:rsidRPr="00DC0807" w:rsidRDefault="00026466" w:rsidP="00D43261">
      <w:pPr>
        <w:pStyle w:val="ListParagraph"/>
        <w:widowControl/>
        <w:numPr>
          <w:ilvl w:val="1"/>
          <w:numId w:val="1"/>
        </w:numPr>
        <w:spacing w:after="0"/>
      </w:pPr>
      <w:r w:rsidRPr="00DC0807">
        <w:t xml:space="preserve">The PSCR </w:t>
      </w:r>
      <w:r w:rsidR="002D425A" w:rsidRPr="00DC0807">
        <w:t xml:space="preserve">stated </w:t>
      </w:r>
      <w:r w:rsidRPr="00DC0807">
        <w:t>that it strongly consider</w:t>
      </w:r>
      <w:r w:rsidR="005718CC" w:rsidRPr="00DC0807">
        <w:t>ed</w:t>
      </w:r>
      <w:r w:rsidRPr="00DC0807">
        <w:t xml:space="preserve"> a trial-based cost per responder analysis remain</w:t>
      </w:r>
      <w:r w:rsidR="005718CC" w:rsidRPr="00DC0807">
        <w:t>ed</w:t>
      </w:r>
      <w:r w:rsidRPr="00DC0807">
        <w:t xml:space="preserve"> an appropriate economic evaluation as it is consistent with the PBAC’s acceptance and recommendation of etanercept for paediatric severe CPP where a trial-based cost per responder analysis versus BSC was presented and the PBAC noted that “</w:t>
      </w:r>
      <w:r w:rsidRPr="00DC0807">
        <w:rPr>
          <w:iCs/>
        </w:rPr>
        <w:t>there w[as] precedents in previous paediatric submissions</w:t>
      </w:r>
      <w:r w:rsidRPr="00DC0807">
        <w:t>” (etanercept PSD, March 2012).</w:t>
      </w:r>
      <w:r w:rsidR="009E74BA" w:rsidRPr="00DC0807">
        <w:t xml:space="preserve"> </w:t>
      </w:r>
      <w:r w:rsidR="005718CC" w:rsidRPr="00DC0807">
        <w:t>The</w:t>
      </w:r>
      <w:r w:rsidR="009E74BA" w:rsidRPr="00DC0807">
        <w:t xml:space="preserve"> pre-PBAC response</w:t>
      </w:r>
      <w:r w:rsidR="005718CC" w:rsidRPr="00DC0807">
        <w:t xml:space="preserve"> reiterated</w:t>
      </w:r>
      <w:r w:rsidR="009E74BA" w:rsidRPr="00DC0807">
        <w:t xml:space="preserve"> that </w:t>
      </w:r>
      <w:r w:rsidR="009E74BA" w:rsidRPr="00DC0807">
        <w:rPr>
          <w:bCs/>
        </w:rPr>
        <w:t xml:space="preserve">a trial-based cost per responder analysis </w:t>
      </w:r>
      <w:r w:rsidR="009E74BA" w:rsidRPr="00DC0807">
        <w:t>is reasonable for a small group of patients with a high clinical need.</w:t>
      </w:r>
      <w:r w:rsidR="00227C82" w:rsidRPr="00DC0807">
        <w:t xml:space="preserve"> </w:t>
      </w:r>
    </w:p>
    <w:p w:rsidR="003D1981" w:rsidRPr="00DC0807" w:rsidRDefault="003D1981" w:rsidP="003D1981"/>
    <w:p w:rsidR="004C3AC1" w:rsidRPr="00DC0807" w:rsidRDefault="004C3AC1" w:rsidP="00BD7AF1">
      <w:pPr>
        <w:pStyle w:val="Heading2"/>
        <w:keepNext/>
        <w:keepLines/>
      </w:pPr>
      <w:bookmarkStart w:id="29" w:name="_Toc62032242"/>
      <w:r w:rsidRPr="00DC0807">
        <w:t>Drug cost/patient/28-week induction phase for assessment for continuation of treatment</w:t>
      </w:r>
      <w:r w:rsidR="00CD6689" w:rsidRPr="00DC0807">
        <w:t>: $</w:t>
      </w:r>
      <w:bookmarkEnd w:id="29"/>
      <w:r w:rsidR="006B6F2B">
        <w:rPr>
          <w:noProof/>
          <w:color w:val="000000"/>
          <w:highlight w:val="black"/>
        </w:rPr>
        <w:t>''''''''''''''''</w:t>
      </w:r>
    </w:p>
    <w:p w:rsidR="004C3AC1" w:rsidRPr="00DC0807" w:rsidRDefault="004C3AC1" w:rsidP="004C3AC1">
      <w:pPr>
        <w:keepNext/>
        <w:widowControl/>
      </w:pPr>
    </w:p>
    <w:p w:rsidR="004C3AC1" w:rsidRPr="00DC0807" w:rsidRDefault="004C3AC1" w:rsidP="00A927F1">
      <w:pPr>
        <w:pStyle w:val="ListParagraph"/>
        <w:widowControl/>
        <w:numPr>
          <w:ilvl w:val="1"/>
          <w:numId w:val="1"/>
        </w:numPr>
        <w:spacing w:after="120"/>
        <w:rPr>
          <w:rFonts w:asciiTheme="minorHAnsi" w:hAnsiTheme="minorHAnsi" w:cstheme="minorHAnsi"/>
          <w:szCs w:val="24"/>
          <w:lang w:eastAsia="en-AU"/>
        </w:rPr>
      </w:pPr>
      <w:r w:rsidRPr="00DC0807">
        <w:t xml:space="preserve">Based on the proposed restriction, patients would be assessed for </w:t>
      </w:r>
      <w:r w:rsidR="00C92D23" w:rsidRPr="00DC0807">
        <w:t>PASI 75</w:t>
      </w:r>
      <w:r w:rsidR="00CD6689" w:rsidRPr="00DC0807">
        <w:t xml:space="preserve"> </w:t>
      </w:r>
      <w:r w:rsidRPr="00DC0807">
        <w:t xml:space="preserve">response with ustekinumab after 24 weeks of initial treatment, with responders being eligible for another 24 weeks of treatment. The dosing schedule of ustekinumab is such that patients </w:t>
      </w:r>
      <w:r w:rsidR="00B8612B" w:rsidRPr="00DC0807">
        <w:t>would not</w:t>
      </w:r>
      <w:r w:rsidRPr="00DC0807">
        <w:t xml:space="preserve"> require another</w:t>
      </w:r>
      <w:r w:rsidR="00524E5A" w:rsidRPr="00DC0807">
        <w:t xml:space="preserve"> script for</w:t>
      </w:r>
      <w:r w:rsidR="00470478" w:rsidRPr="00DC0807">
        <w:t xml:space="preserve"> </w:t>
      </w:r>
      <w:r w:rsidRPr="00DC0807">
        <w:t>ustekinumab until 28 weeks after initiation of treatment. Accordingly, the cost of ustekinumab in the cost per responder analysis covers the period up to 28 weeks after initiation. For this induction phase for assessment of response prior to assessment for continuation of treatment, the cost of ustekinumab would be equal to $</w:t>
      </w:r>
      <w:r w:rsidR="006B6F2B">
        <w:rPr>
          <w:noProof/>
          <w:color w:val="000000"/>
          <w:highlight w:val="black"/>
        </w:rPr>
        <w:t>''''''''''''''''</w:t>
      </w:r>
      <w:r w:rsidRPr="00DC0807">
        <w:t xml:space="preserve">, assuming all patients remain on treatment and based on ex-manufacturer prices. </w:t>
      </w:r>
    </w:p>
    <w:p w:rsidR="00E27672" w:rsidRPr="00DC0807" w:rsidRDefault="00E27672" w:rsidP="00A927F1">
      <w:pPr>
        <w:pStyle w:val="ListParagraph"/>
        <w:widowControl/>
        <w:numPr>
          <w:ilvl w:val="1"/>
          <w:numId w:val="1"/>
        </w:numPr>
        <w:spacing w:after="120"/>
        <w:rPr>
          <w:rFonts w:asciiTheme="minorHAnsi" w:hAnsiTheme="minorHAnsi" w:cstheme="minorHAnsi"/>
          <w:szCs w:val="24"/>
          <w:lang w:eastAsia="en-AU"/>
        </w:rPr>
      </w:pPr>
      <w:r w:rsidRPr="00DC0807">
        <w:t>Comparatively, the cost of 16 weeks of treatment with etanercept (induction period) was $</w:t>
      </w:r>
      <w:r w:rsidR="006B6F2B">
        <w:rPr>
          <w:noProof/>
          <w:color w:val="000000"/>
          <w:highlight w:val="black"/>
        </w:rPr>
        <w:t>''''''''''''''''</w:t>
      </w:r>
      <w:r w:rsidRPr="00DC0807">
        <w:t xml:space="preserve"> (</w:t>
      </w:r>
      <w:r w:rsidR="005D7D2A" w:rsidRPr="00DC0807">
        <w:t>Table 12</w:t>
      </w:r>
      <w:r w:rsidRPr="00DC0807">
        <w:t>) and the cost of 24 weeks of treatment with etanercept (maximum treatment duration) was $</w:t>
      </w:r>
      <w:r w:rsidR="006B6F2B">
        <w:rPr>
          <w:noProof/>
          <w:color w:val="000000"/>
          <w:highlight w:val="black"/>
        </w:rPr>
        <w:t>''''''''''''''''</w:t>
      </w:r>
      <w:r w:rsidRPr="00DC0807">
        <w:t xml:space="preserve"> (</w:t>
      </w:r>
      <w:r w:rsidR="005D7D2A" w:rsidRPr="00DC0807">
        <w:t>Table 13</w:t>
      </w:r>
      <w:r w:rsidRPr="00DC0807">
        <w:t>)</w:t>
      </w:r>
      <w:r w:rsidR="00704B8E" w:rsidRPr="00DC0807">
        <w:t>.</w:t>
      </w:r>
      <w:r w:rsidRPr="00DC0807">
        <w:t xml:space="preserve"> </w:t>
      </w:r>
    </w:p>
    <w:p w:rsidR="004C3AC1" w:rsidRPr="00DC0807" w:rsidRDefault="004C3AC1" w:rsidP="00A927F1">
      <w:pPr>
        <w:pStyle w:val="ListParagraph"/>
        <w:widowControl/>
        <w:numPr>
          <w:ilvl w:val="1"/>
          <w:numId w:val="1"/>
        </w:numPr>
        <w:spacing w:after="120"/>
        <w:rPr>
          <w:rFonts w:asciiTheme="minorHAnsi" w:hAnsiTheme="minorHAnsi" w:cstheme="minorHAnsi"/>
          <w:szCs w:val="24"/>
          <w:lang w:eastAsia="en-AU"/>
        </w:rPr>
      </w:pPr>
      <w:r w:rsidRPr="00DC0807">
        <w:t xml:space="preserve">As calculated during the evaluation, based on the </w:t>
      </w:r>
      <w:r w:rsidR="00C92D23" w:rsidRPr="00DC0807">
        <w:t>PASI 75</w:t>
      </w:r>
      <w:r w:rsidRPr="00DC0807">
        <w:t xml:space="preserve"> response rates for ustekinumab in CADMUS after 24 weeks of treatment (80.6%, not considering placebo response), and after a further 24 weeks of treatment, the cost for the first year of ustekinumab treatment would equal $</w:t>
      </w:r>
      <w:r w:rsidR="006B6F2B">
        <w:rPr>
          <w:noProof/>
          <w:color w:val="000000"/>
          <w:highlight w:val="black"/>
        </w:rPr>
        <w:t>'''''''''''''''</w:t>
      </w:r>
      <w:r w:rsidRPr="00DC0807">
        <w:t xml:space="preserve"> per responder (5 administrations at weeks 0, 4, 12, 28 </w:t>
      </w:r>
      <w:r w:rsidR="009239BC" w:rsidRPr="00DC0807">
        <w:softHyphen/>
      </w:r>
      <w:r w:rsidRPr="00DC0807">
        <w:t>and 40) and $</w:t>
      </w:r>
      <w:r w:rsidR="006B6F2B">
        <w:rPr>
          <w:noProof/>
          <w:color w:val="000000"/>
          <w:highlight w:val="black"/>
        </w:rPr>
        <w:t>'''''''''''''''''</w:t>
      </w:r>
      <w:r w:rsidRPr="00DC0807">
        <w:t xml:space="preserve"> per non-responder (3 administrations at weeks 0, 4, and 12), equating to a weighted cost of $</w:t>
      </w:r>
      <w:r w:rsidR="006B6F2B">
        <w:rPr>
          <w:noProof/>
          <w:color w:val="000000"/>
          <w:highlight w:val="black"/>
        </w:rPr>
        <w:t>'''''''''''''''''</w:t>
      </w:r>
      <w:r w:rsidRPr="00DC0807">
        <w:t xml:space="preserve"> per initiating patient. The ongoing treatment cost per year for responders would equal $</w:t>
      </w:r>
      <w:r w:rsidR="006B6F2B">
        <w:rPr>
          <w:noProof/>
          <w:color w:val="000000"/>
          <w:highlight w:val="black"/>
        </w:rPr>
        <w:t>''''''''''''''''''</w:t>
      </w:r>
      <w:r w:rsidRPr="00DC0807">
        <w:t>, with administration of ustekinumab required every 12 weeks. Response beyond 52 weeks was not assessed in the trial or study for ustekinumab presented in the submission.</w:t>
      </w:r>
    </w:p>
    <w:p w:rsidR="004C3AC1" w:rsidRPr="00DC0807" w:rsidRDefault="009239BC" w:rsidP="009239BC">
      <w:pPr>
        <w:pStyle w:val="Caption"/>
        <w:keepNext/>
        <w:spacing w:after="0"/>
        <w:rPr>
          <w:rStyle w:val="CommentReference"/>
          <w:b/>
          <w:color w:val="auto"/>
        </w:rPr>
      </w:pPr>
      <w:r w:rsidRPr="00DC0807">
        <w:rPr>
          <w:rFonts w:ascii="Arial Narrow" w:hAnsi="Arial Narrow"/>
          <w:color w:val="auto"/>
          <w:sz w:val="20"/>
          <w:szCs w:val="20"/>
        </w:rPr>
        <w:t xml:space="preserve">Table </w:t>
      </w:r>
      <w:r w:rsidR="00AE572A" w:rsidRPr="00DC0807">
        <w:rPr>
          <w:rFonts w:ascii="Arial Narrow" w:hAnsi="Arial Narrow"/>
          <w:color w:val="auto"/>
          <w:sz w:val="20"/>
          <w:szCs w:val="20"/>
        </w:rPr>
        <w:t>14</w:t>
      </w:r>
      <w:r w:rsidRPr="00DC0807">
        <w:rPr>
          <w:rFonts w:ascii="Arial Narrow" w:hAnsi="Arial Narrow"/>
          <w:b w:val="0"/>
          <w:color w:val="auto"/>
          <w:sz w:val="20"/>
          <w:szCs w:val="20"/>
        </w:rPr>
        <w:t xml:space="preserve">: </w:t>
      </w:r>
      <w:r w:rsidR="004C3AC1" w:rsidRPr="00DC0807">
        <w:rPr>
          <w:rStyle w:val="CommentReference"/>
          <w:b/>
          <w:color w:val="auto"/>
          <w:szCs w:val="20"/>
        </w:rPr>
        <w:t>Drug cost per patient</w:t>
      </w:r>
      <w:r w:rsidR="004C3AC1" w:rsidRPr="00DC0807">
        <w:rPr>
          <w:rStyle w:val="CommentReference"/>
          <w:b/>
          <w:color w:val="auto"/>
        </w:rPr>
        <w:t xml:space="preserve"> for ustekinumab and etanercept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9"/>
        <w:gridCol w:w="1381"/>
        <w:gridCol w:w="1383"/>
        <w:gridCol w:w="1383"/>
        <w:gridCol w:w="1271"/>
        <w:gridCol w:w="1159"/>
        <w:gridCol w:w="1340"/>
      </w:tblGrid>
      <w:tr w:rsidR="00246573" w:rsidRPr="00DC0807" w:rsidTr="00BD1C60">
        <w:trPr>
          <w:jc w:val="center"/>
        </w:trPr>
        <w:tc>
          <w:tcPr>
            <w:tcW w:w="609" w:type="pct"/>
            <w:shd w:val="clear" w:color="auto" w:fill="auto"/>
            <w:vAlign w:val="center"/>
          </w:tcPr>
          <w:p w:rsidR="004C3AC1" w:rsidRPr="00DC0807" w:rsidRDefault="004C3AC1" w:rsidP="001C1578">
            <w:pPr>
              <w:keepNext/>
              <w:keepLines/>
              <w:widowControl/>
              <w:jc w:val="left"/>
              <w:rPr>
                <w:rFonts w:ascii="Arial Narrow" w:hAnsi="Arial Narrow"/>
                <w:b/>
                <w:sz w:val="20"/>
              </w:rPr>
            </w:pPr>
          </w:p>
        </w:tc>
        <w:tc>
          <w:tcPr>
            <w:tcW w:w="766" w:type="pct"/>
            <w:shd w:val="clear" w:color="auto" w:fill="auto"/>
            <w:vAlign w:val="center"/>
          </w:tcPr>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Ustekinumab</w:t>
            </w:r>
            <w:r w:rsidR="001A4E91" w:rsidRPr="00DC0807">
              <w:rPr>
                <w:rFonts w:ascii="Arial Narrow" w:hAnsi="Arial Narrow"/>
                <w:b/>
                <w:sz w:val="20"/>
                <w:vertAlign w:val="superscript"/>
              </w:rPr>
              <w:t>a</w:t>
            </w:r>
          </w:p>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Trial dose and duration</w:t>
            </w:r>
          </w:p>
        </w:tc>
        <w:tc>
          <w:tcPr>
            <w:tcW w:w="767" w:type="pct"/>
            <w:shd w:val="clear" w:color="auto" w:fill="auto"/>
            <w:vAlign w:val="center"/>
          </w:tcPr>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Ustekinumab</w:t>
            </w:r>
          </w:p>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Cost per responder analysis</w:t>
            </w:r>
            <w:r w:rsidR="001A4E91" w:rsidRPr="00DC0807">
              <w:rPr>
                <w:rFonts w:ascii="Arial Narrow" w:hAnsi="Arial Narrow"/>
                <w:b/>
                <w:sz w:val="20"/>
                <w:vertAlign w:val="superscript"/>
              </w:rPr>
              <w:t>c</w:t>
            </w:r>
          </w:p>
        </w:tc>
        <w:tc>
          <w:tcPr>
            <w:tcW w:w="767" w:type="pct"/>
            <w:shd w:val="clear" w:color="auto" w:fill="auto"/>
            <w:vAlign w:val="center"/>
          </w:tcPr>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Ustekinumab</w:t>
            </w:r>
          </w:p>
          <w:p w:rsidR="004C3AC1" w:rsidRPr="00DC0807" w:rsidRDefault="004C3AC1" w:rsidP="00BD1C60">
            <w:pPr>
              <w:keepNext/>
              <w:keepLines/>
              <w:widowControl/>
              <w:jc w:val="center"/>
              <w:rPr>
                <w:rFonts w:ascii="Arial Narrow" w:hAnsi="Arial Narrow"/>
                <w:b/>
                <w:sz w:val="20"/>
                <w:vertAlign w:val="superscript"/>
              </w:rPr>
            </w:pPr>
            <w:r w:rsidRPr="00DC0807">
              <w:rPr>
                <w:rFonts w:ascii="Arial Narrow" w:hAnsi="Arial Narrow"/>
                <w:b/>
                <w:sz w:val="20"/>
              </w:rPr>
              <w:t>Financial estimates</w:t>
            </w:r>
            <w:r w:rsidR="001A4E91" w:rsidRPr="00DC0807">
              <w:rPr>
                <w:rFonts w:ascii="Arial Narrow" w:hAnsi="Arial Narrow"/>
                <w:b/>
                <w:sz w:val="20"/>
                <w:vertAlign w:val="superscript"/>
              </w:rPr>
              <w:t>m</w:t>
            </w:r>
          </w:p>
        </w:tc>
        <w:tc>
          <w:tcPr>
            <w:tcW w:w="705" w:type="pct"/>
            <w:shd w:val="clear" w:color="auto" w:fill="auto"/>
            <w:vAlign w:val="center"/>
          </w:tcPr>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Etanercept</w:t>
            </w:r>
          </w:p>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Trial dose and duration</w:t>
            </w:r>
            <w:r w:rsidR="00F04BE3" w:rsidRPr="00DC0807">
              <w:rPr>
                <w:rFonts w:ascii="Arial Narrow" w:hAnsi="Arial Narrow"/>
                <w:b/>
                <w:sz w:val="20"/>
                <w:vertAlign w:val="superscript"/>
              </w:rPr>
              <w:t>d</w:t>
            </w:r>
          </w:p>
        </w:tc>
        <w:tc>
          <w:tcPr>
            <w:tcW w:w="643" w:type="pct"/>
            <w:shd w:val="clear" w:color="auto" w:fill="auto"/>
            <w:vAlign w:val="center"/>
          </w:tcPr>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Etanercept</w:t>
            </w:r>
          </w:p>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Cost per responder analysis</w:t>
            </w:r>
            <w:r w:rsidR="001A4E91" w:rsidRPr="00DC0807">
              <w:rPr>
                <w:rFonts w:ascii="Arial Narrow" w:hAnsi="Arial Narrow"/>
                <w:b/>
                <w:sz w:val="20"/>
                <w:vertAlign w:val="superscript"/>
              </w:rPr>
              <w:t>d</w:t>
            </w:r>
          </w:p>
        </w:tc>
        <w:tc>
          <w:tcPr>
            <w:tcW w:w="744" w:type="pct"/>
            <w:vAlign w:val="center"/>
          </w:tcPr>
          <w:p w:rsidR="004C3AC1" w:rsidRPr="00DC0807" w:rsidRDefault="004C3AC1" w:rsidP="00BD1C60">
            <w:pPr>
              <w:keepNext/>
              <w:keepLines/>
              <w:widowControl/>
              <w:jc w:val="center"/>
              <w:rPr>
                <w:rFonts w:ascii="Arial Narrow" w:hAnsi="Arial Narrow"/>
                <w:b/>
                <w:sz w:val="20"/>
              </w:rPr>
            </w:pPr>
            <w:r w:rsidRPr="00DC0807">
              <w:rPr>
                <w:rFonts w:ascii="Arial Narrow" w:hAnsi="Arial Narrow"/>
                <w:b/>
                <w:sz w:val="20"/>
              </w:rPr>
              <w:t>Etanercept</w:t>
            </w:r>
          </w:p>
          <w:p w:rsidR="004C3AC1" w:rsidRPr="00DC0807" w:rsidRDefault="004C3AC1" w:rsidP="00BD1C60">
            <w:pPr>
              <w:keepNext/>
              <w:keepLines/>
              <w:widowControl/>
              <w:jc w:val="center"/>
              <w:rPr>
                <w:rFonts w:ascii="Arial Narrow" w:hAnsi="Arial Narrow"/>
                <w:b/>
                <w:sz w:val="20"/>
                <w:vertAlign w:val="superscript"/>
              </w:rPr>
            </w:pPr>
            <w:r w:rsidRPr="00DC0807">
              <w:rPr>
                <w:rFonts w:ascii="Arial Narrow" w:hAnsi="Arial Narrow"/>
                <w:b/>
                <w:sz w:val="20"/>
              </w:rPr>
              <w:t>Financial estimates</w:t>
            </w:r>
            <w:r w:rsidR="001A4E91" w:rsidRPr="00DC0807">
              <w:rPr>
                <w:rFonts w:ascii="Arial Narrow" w:hAnsi="Arial Narrow"/>
                <w:b/>
                <w:sz w:val="20"/>
                <w:vertAlign w:val="superscript"/>
              </w:rPr>
              <w:t>m</w:t>
            </w:r>
          </w:p>
        </w:tc>
      </w:tr>
      <w:tr w:rsidR="00246573" w:rsidRPr="00DC0807" w:rsidTr="00BD1C60">
        <w:trPr>
          <w:jc w:val="center"/>
        </w:trPr>
        <w:tc>
          <w:tcPr>
            <w:tcW w:w="609" w:type="pct"/>
            <w:shd w:val="clear" w:color="auto" w:fill="auto"/>
            <w:vAlign w:val="center"/>
          </w:tcPr>
          <w:p w:rsidR="004C3AC1" w:rsidRPr="00DC0807" w:rsidRDefault="004C3AC1" w:rsidP="001C1578">
            <w:pPr>
              <w:keepNext/>
              <w:keepLines/>
              <w:widowControl/>
              <w:jc w:val="left"/>
              <w:rPr>
                <w:rFonts w:ascii="Arial Narrow" w:hAnsi="Arial Narrow"/>
                <w:sz w:val="20"/>
              </w:rPr>
            </w:pPr>
            <w:r w:rsidRPr="00DC0807">
              <w:rPr>
                <w:rFonts w:ascii="Arial Narrow" w:hAnsi="Arial Narrow"/>
                <w:sz w:val="20"/>
              </w:rPr>
              <w:t>Mean dose</w:t>
            </w:r>
          </w:p>
        </w:tc>
        <w:tc>
          <w:tcPr>
            <w:tcW w:w="766"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42.32 mg in CADMUS</w:t>
            </w:r>
          </w:p>
          <w:p w:rsidR="004C3AC1" w:rsidRPr="00DC0807" w:rsidRDefault="004C3AC1" w:rsidP="001A4E91">
            <w:pPr>
              <w:keepNext/>
              <w:keepLines/>
              <w:widowControl/>
              <w:jc w:val="center"/>
              <w:rPr>
                <w:rFonts w:ascii="Arial Narrow" w:hAnsi="Arial Narrow"/>
                <w:sz w:val="20"/>
              </w:rPr>
            </w:pPr>
            <w:r w:rsidRPr="00DC0807">
              <w:rPr>
                <w:rFonts w:ascii="Arial Narrow" w:hAnsi="Arial Narrow"/>
                <w:sz w:val="20"/>
              </w:rPr>
              <w:t>and 29.73 mg in CADMUS JR</w:t>
            </w:r>
            <w:r w:rsidR="001A4E91" w:rsidRPr="00DC0807">
              <w:rPr>
                <w:rFonts w:ascii="Arial Narrow" w:hAnsi="Arial Narrow"/>
                <w:sz w:val="20"/>
                <w:vertAlign w:val="superscript"/>
              </w:rPr>
              <w:t>b</w:t>
            </w:r>
          </w:p>
        </w:tc>
        <w:tc>
          <w:tcPr>
            <w:tcW w:w="767"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45 mg at Week 0, 4 and 16</w:t>
            </w:r>
          </w:p>
        </w:tc>
        <w:tc>
          <w:tcPr>
            <w:tcW w:w="767"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 xml:space="preserve">45 mg at Week 0, 4 and 16, then every 12 weeks </w:t>
            </w:r>
          </w:p>
        </w:tc>
        <w:tc>
          <w:tcPr>
            <w:tcW w:w="705" w:type="pct"/>
            <w:shd w:val="clear" w:color="auto" w:fill="auto"/>
            <w:vAlign w:val="center"/>
          </w:tcPr>
          <w:p w:rsidR="004C3AC1" w:rsidRPr="00DC0807" w:rsidRDefault="004C3AC1" w:rsidP="001A4E91">
            <w:pPr>
              <w:keepNext/>
              <w:keepLines/>
              <w:widowControl/>
              <w:jc w:val="center"/>
              <w:rPr>
                <w:rFonts w:ascii="Arial Narrow" w:hAnsi="Arial Narrow"/>
                <w:sz w:val="20"/>
              </w:rPr>
            </w:pPr>
            <w:r w:rsidRPr="00DC0807">
              <w:rPr>
                <w:rFonts w:ascii="Arial Narrow" w:hAnsi="Arial Narrow"/>
                <w:sz w:val="20"/>
              </w:rPr>
              <w:t>Based on median weight of 59.6 kg = 47.68 mg weekly</w:t>
            </w:r>
            <w:r w:rsidR="001A4E91" w:rsidRPr="00DC0807">
              <w:rPr>
                <w:rFonts w:ascii="Arial Narrow" w:hAnsi="Arial Narrow"/>
                <w:sz w:val="20"/>
                <w:vertAlign w:val="superscript"/>
              </w:rPr>
              <w:t>g</w:t>
            </w:r>
          </w:p>
        </w:tc>
        <w:tc>
          <w:tcPr>
            <w:tcW w:w="643" w:type="pct"/>
            <w:shd w:val="clear" w:color="auto" w:fill="auto"/>
            <w:vAlign w:val="center"/>
          </w:tcPr>
          <w:p w:rsidR="004C3AC1" w:rsidRPr="00DC0807" w:rsidRDefault="004C3AC1" w:rsidP="001A4E91">
            <w:pPr>
              <w:keepNext/>
              <w:keepLines/>
              <w:widowControl/>
              <w:jc w:val="center"/>
              <w:rPr>
                <w:rFonts w:ascii="Arial Narrow" w:hAnsi="Arial Narrow"/>
                <w:sz w:val="20"/>
              </w:rPr>
            </w:pPr>
            <w:r w:rsidRPr="00DC0807">
              <w:rPr>
                <w:rFonts w:ascii="Arial Narrow" w:hAnsi="Arial Narrow"/>
                <w:sz w:val="20"/>
              </w:rPr>
              <w:t>42.37 mg weekly</w:t>
            </w:r>
            <w:r w:rsidR="001A4E91" w:rsidRPr="00DC0807">
              <w:rPr>
                <w:rFonts w:ascii="Arial Narrow" w:hAnsi="Arial Narrow"/>
                <w:sz w:val="20"/>
                <w:vertAlign w:val="superscript"/>
              </w:rPr>
              <w:t>h</w:t>
            </w:r>
          </w:p>
        </w:tc>
        <w:tc>
          <w:tcPr>
            <w:tcW w:w="744" w:type="pct"/>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50 mg</w:t>
            </w:r>
            <w:r w:rsidR="00B06637" w:rsidRPr="00DC0807">
              <w:rPr>
                <w:rFonts w:ascii="Arial Narrow" w:hAnsi="Arial Narrow"/>
                <w:sz w:val="20"/>
              </w:rPr>
              <w:t xml:space="preserve"> weekly</w:t>
            </w:r>
          </w:p>
        </w:tc>
      </w:tr>
      <w:tr w:rsidR="00246573" w:rsidRPr="00DC0807" w:rsidTr="00BD1C60">
        <w:trPr>
          <w:jc w:val="center"/>
        </w:trPr>
        <w:tc>
          <w:tcPr>
            <w:tcW w:w="609" w:type="pct"/>
            <w:shd w:val="clear" w:color="auto" w:fill="auto"/>
            <w:vAlign w:val="center"/>
          </w:tcPr>
          <w:p w:rsidR="004C3AC1" w:rsidRPr="00DC0807" w:rsidRDefault="004C3AC1" w:rsidP="001C1578">
            <w:pPr>
              <w:keepNext/>
              <w:keepLines/>
              <w:widowControl/>
              <w:jc w:val="left"/>
              <w:rPr>
                <w:rFonts w:ascii="Arial Narrow" w:hAnsi="Arial Narrow"/>
                <w:sz w:val="20"/>
              </w:rPr>
            </w:pPr>
            <w:r w:rsidRPr="00DC0807">
              <w:rPr>
                <w:rFonts w:ascii="Arial Narrow" w:hAnsi="Arial Narrow"/>
                <w:sz w:val="20"/>
              </w:rPr>
              <w:t>Mean duration</w:t>
            </w:r>
          </w:p>
        </w:tc>
        <w:tc>
          <w:tcPr>
            <w:tcW w:w="766"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37.76 weeks CADMUS</w:t>
            </w:r>
          </w:p>
          <w:p w:rsidR="004C3AC1" w:rsidRPr="00DC0807" w:rsidRDefault="004C3AC1" w:rsidP="001A4E91">
            <w:pPr>
              <w:keepNext/>
              <w:keepLines/>
              <w:widowControl/>
              <w:jc w:val="center"/>
              <w:rPr>
                <w:rFonts w:ascii="Arial Narrow" w:hAnsi="Arial Narrow"/>
                <w:sz w:val="20"/>
              </w:rPr>
            </w:pPr>
            <w:r w:rsidRPr="00DC0807">
              <w:rPr>
                <w:rFonts w:ascii="Arial Narrow" w:hAnsi="Arial Narrow"/>
                <w:sz w:val="20"/>
              </w:rPr>
              <w:t>37.28 weeks CADMUS JR</w:t>
            </w:r>
            <w:r w:rsidR="001A4E91" w:rsidRPr="00DC0807">
              <w:rPr>
                <w:rFonts w:ascii="Arial Narrow" w:hAnsi="Arial Narrow"/>
                <w:sz w:val="20"/>
                <w:vertAlign w:val="superscript"/>
              </w:rPr>
              <w:t>f</w:t>
            </w:r>
          </w:p>
        </w:tc>
        <w:tc>
          <w:tcPr>
            <w:tcW w:w="767"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24/28 weeks</w:t>
            </w:r>
          </w:p>
        </w:tc>
        <w:tc>
          <w:tcPr>
            <w:tcW w:w="767" w:type="pct"/>
            <w:shd w:val="clear" w:color="auto" w:fill="auto"/>
            <w:vAlign w:val="center"/>
          </w:tcPr>
          <w:p w:rsidR="004C3AC1" w:rsidRPr="00DC0807" w:rsidRDefault="006B6F2B" w:rsidP="001C1578">
            <w:pPr>
              <w:keepNext/>
              <w:keepLines/>
              <w:widowControl/>
              <w:jc w:val="center"/>
              <w:rPr>
                <w:rFonts w:ascii="Arial Narrow" w:hAnsi="Arial Narrow"/>
                <w:sz w:val="20"/>
              </w:rPr>
            </w:pPr>
            <w:r>
              <w:rPr>
                <w:rFonts w:ascii="Arial Narrow" w:hAnsi="Arial Narrow"/>
                <w:noProof/>
                <w:color w:val="000000"/>
                <w:sz w:val="20"/>
                <w:highlight w:val="black"/>
              </w:rPr>
              <w:t>'''''''''''</w:t>
            </w:r>
            <w:r w:rsidR="004C3AC1" w:rsidRPr="00DC0807">
              <w:rPr>
                <w:rFonts w:ascii="Arial Narrow" w:hAnsi="Arial Narrow"/>
                <w:sz w:val="20"/>
              </w:rPr>
              <w:t xml:space="preserve">% x 28 weeks and </w:t>
            </w:r>
            <w:r>
              <w:rPr>
                <w:rFonts w:ascii="Arial Narrow" w:hAnsi="Arial Narrow"/>
                <w:noProof/>
                <w:color w:val="000000"/>
                <w:sz w:val="20"/>
                <w:highlight w:val="black"/>
              </w:rPr>
              <w:t>'''''''''''</w:t>
            </w:r>
            <w:r w:rsidR="004C3AC1" w:rsidRPr="00DC0807">
              <w:rPr>
                <w:rFonts w:ascii="Arial Narrow" w:hAnsi="Arial Narrow"/>
                <w:sz w:val="20"/>
              </w:rPr>
              <w:t>% x 24 weeks ongoing</w:t>
            </w:r>
            <w:r w:rsidR="007766ED" w:rsidRPr="00DC0807">
              <w:rPr>
                <w:rFonts w:ascii="Arial Narrow" w:hAnsi="Arial Narrow"/>
                <w:sz w:val="20"/>
                <w:vertAlign w:val="superscript"/>
              </w:rPr>
              <w:t>n</w:t>
            </w:r>
          </w:p>
        </w:tc>
        <w:tc>
          <w:tcPr>
            <w:tcW w:w="705"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Not reported but up to 36 weeks</w:t>
            </w:r>
          </w:p>
        </w:tc>
        <w:tc>
          <w:tcPr>
            <w:tcW w:w="643"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16 weeks</w:t>
            </w:r>
          </w:p>
        </w:tc>
        <w:tc>
          <w:tcPr>
            <w:tcW w:w="744" w:type="pct"/>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24 weeks</w:t>
            </w:r>
          </w:p>
        </w:tc>
      </w:tr>
      <w:tr w:rsidR="00246573" w:rsidRPr="00DC0807" w:rsidTr="00BD1C60">
        <w:trPr>
          <w:jc w:val="center"/>
        </w:trPr>
        <w:tc>
          <w:tcPr>
            <w:tcW w:w="609" w:type="pct"/>
            <w:shd w:val="clear" w:color="auto" w:fill="auto"/>
            <w:vAlign w:val="center"/>
          </w:tcPr>
          <w:p w:rsidR="008E316D" w:rsidRPr="00DC0807" w:rsidRDefault="004C3AC1" w:rsidP="008E316D">
            <w:pPr>
              <w:keepNext/>
              <w:keepLines/>
              <w:widowControl/>
              <w:jc w:val="left"/>
              <w:rPr>
                <w:rFonts w:ascii="Arial Narrow" w:hAnsi="Arial Narrow"/>
                <w:sz w:val="20"/>
              </w:rPr>
            </w:pPr>
            <w:r w:rsidRPr="00DC0807">
              <w:rPr>
                <w:rFonts w:ascii="Arial Narrow" w:hAnsi="Arial Narrow"/>
                <w:sz w:val="20"/>
              </w:rPr>
              <w:t>Cost/patient/</w:t>
            </w:r>
          </w:p>
          <w:p w:rsidR="004C3AC1" w:rsidRPr="00DC0807" w:rsidRDefault="004C3AC1" w:rsidP="008E316D">
            <w:pPr>
              <w:keepNext/>
              <w:keepLines/>
              <w:widowControl/>
              <w:jc w:val="left"/>
              <w:rPr>
                <w:rFonts w:ascii="Arial Narrow" w:hAnsi="Arial Narrow"/>
                <w:sz w:val="20"/>
              </w:rPr>
            </w:pPr>
            <w:r w:rsidRPr="00DC0807">
              <w:rPr>
                <w:rFonts w:ascii="Arial Narrow" w:hAnsi="Arial Narrow"/>
                <w:sz w:val="20"/>
              </w:rPr>
              <w:t>4</w:t>
            </w:r>
            <w:r w:rsidR="008E316D" w:rsidRPr="00DC0807">
              <w:rPr>
                <w:rFonts w:ascii="Arial Narrow" w:hAnsi="Arial Narrow"/>
                <w:sz w:val="20"/>
              </w:rPr>
              <w:t> </w:t>
            </w:r>
            <w:r w:rsidRPr="00DC0807">
              <w:rPr>
                <w:rFonts w:ascii="Arial Narrow" w:hAnsi="Arial Narrow"/>
                <w:sz w:val="20"/>
              </w:rPr>
              <w:t>weeks</w:t>
            </w:r>
          </w:p>
        </w:tc>
        <w:tc>
          <w:tcPr>
            <w:tcW w:w="766" w:type="pct"/>
            <w:shd w:val="clear" w:color="auto" w:fill="auto"/>
            <w:vAlign w:val="center"/>
          </w:tcPr>
          <w:p w:rsidR="004C3AC1" w:rsidRPr="00DC0807" w:rsidRDefault="00246573" w:rsidP="001A4E91">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averaged over first 24</w:t>
            </w:r>
            <w:r w:rsidR="004C3AC1" w:rsidRPr="00DC0807">
              <w:rPr>
                <w:rFonts w:ascii="Arial Narrow" w:hAnsi="Arial Narrow"/>
                <w:sz w:val="20"/>
              </w:rPr>
              <w:t xml:space="preserve"> weeks then $</w:t>
            </w:r>
            <w:r w:rsidR="006B6F2B">
              <w:rPr>
                <w:rFonts w:ascii="Arial Narrow" w:hAnsi="Arial Narrow"/>
                <w:noProof/>
                <w:color w:val="000000"/>
                <w:sz w:val="20"/>
                <w:highlight w:val="black"/>
              </w:rPr>
              <w:t>''''''''''''''''</w:t>
            </w:r>
            <w:r w:rsidR="004C3AC1" w:rsidRPr="00DC0807">
              <w:rPr>
                <w:rFonts w:ascii="Arial Narrow" w:hAnsi="Arial Narrow"/>
                <w:sz w:val="20"/>
              </w:rPr>
              <w:t xml:space="preserve"> ongoing</w:t>
            </w:r>
            <w:r w:rsidR="001A4E91" w:rsidRPr="00DC0807">
              <w:rPr>
                <w:rFonts w:ascii="Arial Narrow" w:hAnsi="Arial Narrow"/>
                <w:sz w:val="20"/>
                <w:vertAlign w:val="superscript"/>
              </w:rPr>
              <w:t>j</w:t>
            </w:r>
          </w:p>
        </w:tc>
        <w:tc>
          <w:tcPr>
            <w:tcW w:w="767"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averaged over first 24 weeks then </w:t>
            </w:r>
          </w:p>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ongoing</w:t>
            </w:r>
          </w:p>
        </w:tc>
        <w:tc>
          <w:tcPr>
            <w:tcW w:w="767" w:type="pct"/>
            <w:shd w:val="clear" w:color="auto" w:fill="auto"/>
            <w:vAlign w:val="center"/>
          </w:tcPr>
          <w:p w:rsidR="00246573" w:rsidRPr="00DC0807" w:rsidRDefault="00246573" w:rsidP="001C1578">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averaged over first 28 weeks then </w:t>
            </w:r>
          </w:p>
          <w:p w:rsidR="004C3AC1" w:rsidRPr="00DC0807" w:rsidRDefault="00246573" w:rsidP="001C1578">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ongoing</w:t>
            </w:r>
          </w:p>
        </w:tc>
        <w:tc>
          <w:tcPr>
            <w:tcW w:w="705" w:type="pct"/>
            <w:shd w:val="clear" w:color="auto" w:fill="auto"/>
            <w:vAlign w:val="center"/>
          </w:tcPr>
          <w:p w:rsidR="004C3AC1" w:rsidRPr="00DC0807" w:rsidRDefault="004C3AC1" w:rsidP="001A4E91">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001A4E91" w:rsidRPr="00DC0807">
              <w:rPr>
                <w:rFonts w:ascii="Arial Narrow" w:hAnsi="Arial Narrow"/>
                <w:sz w:val="20"/>
                <w:vertAlign w:val="superscript"/>
              </w:rPr>
              <w:t>k</w:t>
            </w:r>
            <w:r w:rsidRPr="00DC0807">
              <w:rPr>
                <w:rFonts w:ascii="Arial Narrow" w:hAnsi="Arial Narrow"/>
                <w:sz w:val="20"/>
              </w:rPr>
              <w:t xml:space="preserve"> </w:t>
            </w:r>
          </w:p>
        </w:tc>
        <w:tc>
          <w:tcPr>
            <w:tcW w:w="643" w:type="pct"/>
            <w:shd w:val="clear" w:color="auto" w:fill="auto"/>
            <w:vAlign w:val="center"/>
          </w:tcPr>
          <w:p w:rsidR="004C3AC1" w:rsidRPr="00DC0807" w:rsidRDefault="004C3AC1" w:rsidP="001A4E91">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001A4E91" w:rsidRPr="00DC0807">
              <w:rPr>
                <w:rFonts w:ascii="Arial Narrow" w:hAnsi="Arial Narrow"/>
                <w:sz w:val="20"/>
                <w:vertAlign w:val="superscript"/>
              </w:rPr>
              <w:t>h</w:t>
            </w:r>
          </w:p>
        </w:tc>
        <w:tc>
          <w:tcPr>
            <w:tcW w:w="744" w:type="pct"/>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ex-man price and $</w:t>
            </w:r>
            <w:r w:rsidR="006B6F2B">
              <w:rPr>
                <w:rFonts w:ascii="Arial Narrow" w:hAnsi="Arial Narrow"/>
                <w:noProof/>
                <w:color w:val="000000"/>
                <w:sz w:val="20"/>
                <w:highlight w:val="black"/>
              </w:rPr>
              <w:t>''''''''''''''</w:t>
            </w:r>
            <w:r w:rsidRPr="00DC0807">
              <w:rPr>
                <w:rFonts w:ascii="Arial Narrow" w:hAnsi="Arial Narrow"/>
                <w:sz w:val="20"/>
              </w:rPr>
              <w:t xml:space="preserve"> corrected dispensed price</w:t>
            </w:r>
          </w:p>
        </w:tc>
      </w:tr>
      <w:tr w:rsidR="00246573" w:rsidRPr="00DC0807" w:rsidTr="00BD1C60">
        <w:trPr>
          <w:jc w:val="center"/>
        </w:trPr>
        <w:tc>
          <w:tcPr>
            <w:tcW w:w="609" w:type="pct"/>
            <w:shd w:val="clear" w:color="auto" w:fill="auto"/>
            <w:vAlign w:val="center"/>
          </w:tcPr>
          <w:p w:rsidR="004C3AC1" w:rsidRPr="00DC0807" w:rsidRDefault="004C3AC1" w:rsidP="001C1578">
            <w:pPr>
              <w:keepNext/>
              <w:keepLines/>
              <w:widowControl/>
              <w:jc w:val="left"/>
              <w:rPr>
                <w:rFonts w:ascii="Arial Narrow" w:hAnsi="Arial Narrow"/>
                <w:sz w:val="20"/>
              </w:rPr>
            </w:pPr>
            <w:r w:rsidRPr="00DC0807">
              <w:rPr>
                <w:rFonts w:ascii="Arial Narrow" w:hAnsi="Arial Narrow"/>
                <w:sz w:val="20"/>
              </w:rPr>
              <w:t>Cost/patient</w:t>
            </w:r>
          </w:p>
          <w:p w:rsidR="004C3AC1" w:rsidRPr="00DC0807" w:rsidRDefault="004C3AC1" w:rsidP="001C1578">
            <w:pPr>
              <w:keepNext/>
              <w:keepLines/>
              <w:widowControl/>
              <w:jc w:val="left"/>
              <w:rPr>
                <w:rFonts w:ascii="Arial Narrow" w:hAnsi="Arial Narrow"/>
                <w:sz w:val="20"/>
              </w:rPr>
            </w:pPr>
            <w:r w:rsidRPr="00DC0807">
              <w:rPr>
                <w:rFonts w:ascii="Arial Narrow" w:hAnsi="Arial Narrow"/>
                <w:sz w:val="20"/>
              </w:rPr>
              <w:t>/course</w:t>
            </w:r>
          </w:p>
        </w:tc>
        <w:tc>
          <w:tcPr>
            <w:tcW w:w="766"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for up to 40 weeks</w:t>
            </w:r>
          </w:p>
          <w:p w:rsidR="004C3AC1" w:rsidRPr="00DC0807" w:rsidRDefault="00B8612B" w:rsidP="001A4E91">
            <w:pPr>
              <w:keepNext/>
              <w:keepLines/>
              <w:widowControl/>
              <w:jc w:val="center"/>
              <w:rPr>
                <w:rFonts w:ascii="Arial Narrow" w:hAnsi="Arial Narrow"/>
                <w:sz w:val="20"/>
              </w:rPr>
            </w:pPr>
            <w:r w:rsidRPr="00DC0807">
              <w:rPr>
                <w:rFonts w:ascii="Arial Narrow" w:hAnsi="Arial Narrow"/>
                <w:sz w:val="20"/>
              </w:rPr>
              <w:t>(</w:t>
            </w:r>
            <w:r w:rsidR="004C3AC1" w:rsidRPr="00DC0807">
              <w:rPr>
                <w:rFonts w:ascii="Arial Narrow" w:hAnsi="Arial Narrow"/>
                <w:sz w:val="20"/>
              </w:rPr>
              <w:t>$</w:t>
            </w:r>
            <w:r w:rsidR="006B6F2B">
              <w:rPr>
                <w:rFonts w:ascii="Arial Narrow" w:hAnsi="Arial Narrow"/>
                <w:noProof/>
                <w:color w:val="000000"/>
                <w:sz w:val="20"/>
                <w:highlight w:val="black"/>
              </w:rPr>
              <w:t>'''''''''''''''''''</w:t>
            </w:r>
            <w:r w:rsidR="004C3AC1" w:rsidRPr="00DC0807">
              <w:rPr>
                <w:rFonts w:ascii="Arial Narrow" w:hAnsi="Arial Narrow"/>
                <w:sz w:val="20"/>
              </w:rPr>
              <w:t xml:space="preserve"> for first 24/28 weeks</w:t>
            </w:r>
            <w:r w:rsidR="001A4E91" w:rsidRPr="00DC0807">
              <w:rPr>
                <w:rFonts w:ascii="Arial Narrow" w:hAnsi="Arial Narrow"/>
                <w:sz w:val="20"/>
              </w:rPr>
              <w:t>)</w:t>
            </w:r>
            <w:r w:rsidR="001A4E91" w:rsidRPr="00DC0807">
              <w:rPr>
                <w:rFonts w:ascii="Arial Narrow" w:hAnsi="Arial Narrow"/>
                <w:sz w:val="20"/>
                <w:vertAlign w:val="superscript"/>
              </w:rPr>
              <w:t>l</w:t>
            </w:r>
          </w:p>
        </w:tc>
        <w:tc>
          <w:tcPr>
            <w:tcW w:w="767" w:type="pct"/>
            <w:shd w:val="clear" w:color="auto" w:fill="auto"/>
            <w:vAlign w:val="center"/>
          </w:tcPr>
          <w:p w:rsidR="004C3AC1" w:rsidRPr="00DC0807" w:rsidRDefault="004C3AC1" w:rsidP="001C1578">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for the 24/28 weeks</w:t>
            </w:r>
          </w:p>
        </w:tc>
        <w:tc>
          <w:tcPr>
            <w:tcW w:w="767" w:type="pct"/>
            <w:shd w:val="clear" w:color="auto" w:fill="auto"/>
            <w:vAlign w:val="center"/>
          </w:tcPr>
          <w:p w:rsidR="004C3AC1" w:rsidRPr="00DC0807" w:rsidRDefault="00CD6689" w:rsidP="001C1578">
            <w:pPr>
              <w:keepNext/>
              <w:keepLines/>
              <w:widowControl/>
              <w:jc w:val="center"/>
              <w:rPr>
                <w:rFonts w:ascii="Arial Narrow" w:hAnsi="Arial Narrow"/>
                <w:sz w:val="20"/>
                <w:vertAlign w:val="superscript"/>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for 28 weeks</w:t>
            </w:r>
          </w:p>
        </w:tc>
        <w:tc>
          <w:tcPr>
            <w:tcW w:w="705" w:type="pct"/>
            <w:shd w:val="clear" w:color="auto" w:fill="auto"/>
            <w:vAlign w:val="center"/>
          </w:tcPr>
          <w:p w:rsidR="004C3AC1" w:rsidRPr="00DC0807" w:rsidRDefault="004C3AC1" w:rsidP="001A4E91">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for 16 weeks</w:t>
            </w:r>
            <w:r w:rsidR="001A4E91" w:rsidRPr="00DC0807">
              <w:rPr>
                <w:rFonts w:ascii="Arial Narrow" w:hAnsi="Arial Narrow"/>
                <w:sz w:val="20"/>
                <w:vertAlign w:val="superscript"/>
              </w:rPr>
              <w:t>k</w:t>
            </w:r>
          </w:p>
        </w:tc>
        <w:tc>
          <w:tcPr>
            <w:tcW w:w="643" w:type="pct"/>
            <w:shd w:val="clear" w:color="auto" w:fill="auto"/>
            <w:vAlign w:val="center"/>
          </w:tcPr>
          <w:p w:rsidR="004C3AC1" w:rsidRPr="00DC0807" w:rsidRDefault="004C3AC1" w:rsidP="001A4E91">
            <w:pPr>
              <w:keepNext/>
              <w:keepLines/>
              <w:widowControl/>
              <w:jc w:val="center"/>
              <w:rPr>
                <w:rFonts w:ascii="Arial Narrow" w:hAnsi="Arial Narrow"/>
                <w:sz w:val="20"/>
              </w:rPr>
            </w:pPr>
            <w:r w:rsidRPr="00DC0807">
              <w:rPr>
                <w:rFonts w:ascii="Arial Narrow" w:hAnsi="Arial Narrow"/>
                <w:sz w:val="20"/>
              </w:rPr>
              <w:t>$</w:t>
            </w:r>
            <w:r w:rsidR="006B6F2B">
              <w:rPr>
                <w:rFonts w:ascii="Arial Narrow" w:hAnsi="Arial Narrow"/>
                <w:noProof/>
                <w:color w:val="000000"/>
                <w:sz w:val="20"/>
                <w:highlight w:val="black"/>
              </w:rPr>
              <w:t>'''''''''''''</w:t>
            </w:r>
            <w:r w:rsidRPr="00DC0807">
              <w:rPr>
                <w:rFonts w:ascii="Arial Narrow" w:hAnsi="Arial Narrow"/>
                <w:sz w:val="20"/>
              </w:rPr>
              <w:t xml:space="preserve"> for 16 weeks</w:t>
            </w:r>
            <w:r w:rsidR="001A4E91" w:rsidRPr="00DC0807">
              <w:rPr>
                <w:rFonts w:ascii="Arial Narrow" w:hAnsi="Arial Narrow"/>
                <w:sz w:val="20"/>
                <w:vertAlign w:val="superscript"/>
              </w:rPr>
              <w:t>h</w:t>
            </w:r>
          </w:p>
        </w:tc>
        <w:tc>
          <w:tcPr>
            <w:tcW w:w="744" w:type="pct"/>
            <w:vAlign w:val="center"/>
          </w:tcPr>
          <w:p w:rsidR="004C3AC1" w:rsidRPr="00DC0807" w:rsidRDefault="00246573" w:rsidP="001C1578">
            <w:pPr>
              <w:keepNext/>
              <w:keepLines/>
              <w:widowControl/>
              <w:jc w:val="center"/>
              <w:rPr>
                <w:rFonts w:ascii="Arial Narrow" w:hAnsi="Arial Narrow"/>
                <w:sz w:val="20"/>
                <w:vertAlign w:val="superscript"/>
              </w:rPr>
            </w:pPr>
            <w:r w:rsidRPr="00DC0807">
              <w:rPr>
                <w:rFonts w:ascii="Arial Narrow" w:hAnsi="Arial Narrow"/>
                <w:sz w:val="20"/>
              </w:rPr>
              <w:t>$</w:t>
            </w:r>
            <w:r w:rsidR="006B6F2B">
              <w:rPr>
                <w:rFonts w:ascii="Arial Narrow" w:hAnsi="Arial Narrow"/>
                <w:noProof/>
                <w:color w:val="000000"/>
                <w:sz w:val="20"/>
                <w:highlight w:val="black"/>
              </w:rPr>
              <w:t>'''''''''''''''''''''</w:t>
            </w:r>
            <w:r w:rsidR="004C3AC1" w:rsidRPr="00DC0807">
              <w:rPr>
                <w:rFonts w:ascii="Arial Narrow" w:hAnsi="Arial Narrow"/>
                <w:sz w:val="20"/>
              </w:rPr>
              <w:t xml:space="preserve"> for 24 weeks</w:t>
            </w:r>
          </w:p>
        </w:tc>
      </w:tr>
    </w:tbl>
    <w:p w:rsidR="00324549" w:rsidRPr="00DC0807" w:rsidRDefault="00324549" w:rsidP="00324549">
      <w:pPr>
        <w:pStyle w:val="TableFooter"/>
        <w:keepNext/>
        <w:keepLines/>
        <w:widowControl/>
        <w:rPr>
          <w:szCs w:val="18"/>
        </w:rPr>
      </w:pPr>
      <w:r w:rsidRPr="00DC0807">
        <w:rPr>
          <w:szCs w:val="18"/>
        </w:rPr>
        <w:t>Source: compiled during the evaluation from Sections 2, 3 and 4 of the submission and the CADMUS and CADMUS JR CSRs.</w:t>
      </w:r>
      <w:r w:rsidR="00344C4E" w:rsidRPr="00DC0807">
        <w:rPr>
          <w:szCs w:val="18"/>
        </w:rPr>
        <w:t xml:space="preserve"> Does not incorporate amendments to financials</w:t>
      </w:r>
      <w:r w:rsidR="00EF6962">
        <w:rPr>
          <w:szCs w:val="18"/>
        </w:rPr>
        <w:t xml:space="preserve"> made in the PSCR</w:t>
      </w:r>
      <w:r w:rsidR="00344C4E" w:rsidRPr="00DC0807">
        <w:rPr>
          <w:szCs w:val="18"/>
        </w:rPr>
        <w:t xml:space="preserve"> (see </w:t>
      </w:r>
      <w:r w:rsidR="00344C4E" w:rsidRPr="00DC0807">
        <w:rPr>
          <w:i/>
          <w:szCs w:val="18"/>
        </w:rPr>
        <w:t>Estimated PBS usage &amp; financial estimates</w:t>
      </w:r>
      <w:r w:rsidR="00344C4E" w:rsidRPr="00DC0807">
        <w:rPr>
          <w:szCs w:val="18"/>
        </w:rPr>
        <w:t>)</w:t>
      </w:r>
      <w:r w:rsidR="00A07D50">
        <w:rPr>
          <w:szCs w:val="18"/>
        </w:rPr>
        <w:t>.</w:t>
      </w:r>
    </w:p>
    <w:p w:rsidR="004C3AC1" w:rsidRPr="00DC0807" w:rsidRDefault="001A4E91" w:rsidP="001C1578">
      <w:pPr>
        <w:pStyle w:val="TableFooter"/>
        <w:keepNext/>
        <w:keepLines/>
        <w:widowControl/>
        <w:rPr>
          <w:szCs w:val="18"/>
        </w:rPr>
      </w:pPr>
      <w:r w:rsidRPr="00DC0807">
        <w:rPr>
          <w:szCs w:val="18"/>
          <w:vertAlign w:val="superscript"/>
        </w:rPr>
        <w:t>a</w:t>
      </w:r>
      <w:r w:rsidR="00AE5627">
        <w:rPr>
          <w:szCs w:val="18"/>
        </w:rPr>
        <w:t xml:space="preserve"> Standard dose group in CADMUS</w:t>
      </w:r>
      <w:r w:rsidR="004C3AC1" w:rsidRPr="00DC0807">
        <w:rPr>
          <w:szCs w:val="18"/>
        </w:rPr>
        <w:t xml:space="preserve"> </w:t>
      </w:r>
    </w:p>
    <w:p w:rsidR="004C3AC1" w:rsidRPr="00DC0807" w:rsidRDefault="001A4E91" w:rsidP="001C1578">
      <w:pPr>
        <w:pStyle w:val="TableFooter"/>
        <w:keepNext/>
        <w:keepLines/>
        <w:widowControl/>
        <w:rPr>
          <w:szCs w:val="18"/>
        </w:rPr>
      </w:pPr>
      <w:r w:rsidRPr="00DC0807">
        <w:rPr>
          <w:szCs w:val="18"/>
          <w:vertAlign w:val="superscript"/>
        </w:rPr>
        <w:t>b</w:t>
      </w:r>
      <w:r w:rsidR="004C3AC1" w:rsidRPr="00DC0807">
        <w:rPr>
          <w:szCs w:val="18"/>
        </w:rPr>
        <w:t xml:space="preserve"> Actual dose intensity in the trials: 207.38 mg over 4.9 administrations (Page 132 of the CADMUS CSR) and 142.7 mg in over 4.8 administrations (Page 213 of the CADMUS JR CSR)</w:t>
      </w:r>
    </w:p>
    <w:p w:rsidR="004C3AC1" w:rsidRPr="00DC0807" w:rsidRDefault="001A4E91" w:rsidP="001C1578">
      <w:pPr>
        <w:pStyle w:val="TableFooter"/>
        <w:keepNext/>
        <w:keepLines/>
        <w:widowControl/>
        <w:rPr>
          <w:szCs w:val="18"/>
        </w:rPr>
      </w:pPr>
      <w:r w:rsidRPr="00DC0807">
        <w:rPr>
          <w:szCs w:val="18"/>
          <w:vertAlign w:val="superscript"/>
        </w:rPr>
        <w:t>c</w:t>
      </w:r>
      <w:r w:rsidRPr="00DC0807">
        <w:rPr>
          <w:szCs w:val="18"/>
        </w:rPr>
        <w:t xml:space="preserve"> </w:t>
      </w:r>
      <w:r w:rsidR="004C3AC1" w:rsidRPr="00DC0807">
        <w:rPr>
          <w:szCs w:val="18"/>
        </w:rPr>
        <w:t>Base case cost per responder analysis, and based on ex-manufacturer prices</w:t>
      </w:r>
    </w:p>
    <w:p w:rsidR="004C3AC1" w:rsidRPr="00DC0807" w:rsidRDefault="001A4E91" w:rsidP="001C1578">
      <w:pPr>
        <w:pStyle w:val="TableFooter"/>
        <w:keepNext/>
        <w:keepLines/>
        <w:widowControl/>
        <w:rPr>
          <w:szCs w:val="18"/>
        </w:rPr>
      </w:pPr>
      <w:r w:rsidRPr="00DC0807">
        <w:rPr>
          <w:szCs w:val="18"/>
          <w:vertAlign w:val="superscript"/>
        </w:rPr>
        <w:t xml:space="preserve">d </w:t>
      </w:r>
      <w:r w:rsidR="004C3AC1" w:rsidRPr="00DC0807">
        <w:rPr>
          <w:szCs w:val="18"/>
        </w:rPr>
        <w:t>Ex-manufacturer prices</w:t>
      </w:r>
    </w:p>
    <w:p w:rsidR="004C3AC1" w:rsidRPr="00DC0807" w:rsidRDefault="001A4E91" w:rsidP="001C1578">
      <w:pPr>
        <w:pStyle w:val="TableFooter"/>
        <w:keepNext/>
        <w:keepLines/>
        <w:widowControl/>
        <w:rPr>
          <w:szCs w:val="18"/>
        </w:rPr>
      </w:pPr>
      <w:r w:rsidRPr="00DC0807">
        <w:rPr>
          <w:szCs w:val="18"/>
          <w:vertAlign w:val="superscript"/>
        </w:rPr>
        <w:t>e</w:t>
      </w:r>
      <w:r w:rsidR="004C3AC1" w:rsidRPr="00DC0807">
        <w:rPr>
          <w:szCs w:val="18"/>
        </w:rPr>
        <w:t xml:space="preserve"> Based on dose of 0.75 mg/kg for patients ≤60 kg, 45 mg for patients &gt;60 kg to ≤100 kg, and 90 mg for patients &gt;100 kg; at Week 0, 4, and every 12 weeks thereafter through Week 40</w:t>
      </w:r>
    </w:p>
    <w:p w:rsidR="004C3AC1" w:rsidRPr="00DC0807" w:rsidRDefault="001A4E91" w:rsidP="001C1578">
      <w:pPr>
        <w:pStyle w:val="TableFooter"/>
        <w:keepNext/>
        <w:keepLines/>
        <w:widowControl/>
        <w:rPr>
          <w:szCs w:val="18"/>
        </w:rPr>
      </w:pPr>
      <w:r w:rsidRPr="00DC0807">
        <w:rPr>
          <w:szCs w:val="18"/>
          <w:vertAlign w:val="superscript"/>
        </w:rPr>
        <w:t>f</w:t>
      </w:r>
      <w:r w:rsidRPr="00DC0807">
        <w:rPr>
          <w:szCs w:val="18"/>
        </w:rPr>
        <w:t xml:space="preserve"> </w:t>
      </w:r>
      <w:r w:rsidR="004C3AC1" w:rsidRPr="00DC0807">
        <w:rPr>
          <w:szCs w:val="18"/>
        </w:rPr>
        <w:t>Page 214 of the CADMUS JR CSR and page 145 of the CADMUS CSR</w:t>
      </w:r>
    </w:p>
    <w:p w:rsidR="004C3AC1" w:rsidRPr="00DC0807" w:rsidRDefault="001A4E91" w:rsidP="001C1578">
      <w:pPr>
        <w:pStyle w:val="TableFooter"/>
        <w:keepNext/>
        <w:keepLines/>
        <w:widowControl/>
        <w:rPr>
          <w:szCs w:val="18"/>
        </w:rPr>
      </w:pPr>
      <w:r w:rsidRPr="00DC0807">
        <w:rPr>
          <w:szCs w:val="18"/>
          <w:vertAlign w:val="superscript"/>
        </w:rPr>
        <w:t>g</w:t>
      </w:r>
      <w:r w:rsidRPr="00DC0807">
        <w:rPr>
          <w:szCs w:val="18"/>
        </w:rPr>
        <w:t xml:space="preserve"> </w:t>
      </w:r>
      <w:r w:rsidR="004C3AC1" w:rsidRPr="00DC0807">
        <w:rPr>
          <w:szCs w:val="18"/>
        </w:rPr>
        <w:t>0.8 mg/kg up to 50 mg weekly.</w:t>
      </w:r>
    </w:p>
    <w:p w:rsidR="004C3AC1" w:rsidRPr="00DC0807" w:rsidRDefault="001A4E91" w:rsidP="001C1578">
      <w:pPr>
        <w:pStyle w:val="TableFooter"/>
        <w:keepNext/>
        <w:keepLines/>
        <w:widowControl/>
        <w:rPr>
          <w:szCs w:val="18"/>
        </w:rPr>
      </w:pPr>
      <w:r w:rsidRPr="00DC0807">
        <w:rPr>
          <w:szCs w:val="18"/>
          <w:vertAlign w:val="superscript"/>
        </w:rPr>
        <w:t>h</w:t>
      </w:r>
      <w:r w:rsidRPr="00DC0807">
        <w:rPr>
          <w:szCs w:val="18"/>
        </w:rPr>
        <w:t xml:space="preserve"> </w:t>
      </w:r>
      <w:r w:rsidR="004C3AC1" w:rsidRPr="00DC0807">
        <w:rPr>
          <w:szCs w:val="18"/>
        </w:rPr>
        <w:t>Presumably based on split of 25 mg and 50 mg etanercept prescriptions for the paediatric patient population on the PBS</w:t>
      </w:r>
    </w:p>
    <w:p w:rsidR="004C3AC1" w:rsidRPr="00DC0807" w:rsidRDefault="001A4E91" w:rsidP="001C1578">
      <w:pPr>
        <w:pStyle w:val="TableFooter"/>
        <w:keepNext/>
        <w:keepLines/>
        <w:widowControl/>
        <w:rPr>
          <w:szCs w:val="18"/>
        </w:rPr>
      </w:pPr>
      <w:r w:rsidRPr="00DC0807">
        <w:rPr>
          <w:szCs w:val="18"/>
          <w:vertAlign w:val="superscript"/>
        </w:rPr>
        <w:t>i</w:t>
      </w:r>
      <w:r w:rsidRPr="00DC0807">
        <w:rPr>
          <w:szCs w:val="18"/>
        </w:rPr>
        <w:t xml:space="preserve"> </w:t>
      </w:r>
      <w:r w:rsidR="004C3AC1" w:rsidRPr="00DC0807">
        <w:rPr>
          <w:szCs w:val="18"/>
        </w:rPr>
        <w:t xml:space="preserve">Averaged over 24 weeks </w:t>
      </w:r>
    </w:p>
    <w:p w:rsidR="004C3AC1" w:rsidRPr="00DC0807" w:rsidRDefault="001A4E91" w:rsidP="001C1578">
      <w:pPr>
        <w:pStyle w:val="TableFooter"/>
        <w:keepNext/>
        <w:keepLines/>
        <w:widowControl/>
        <w:rPr>
          <w:szCs w:val="18"/>
        </w:rPr>
      </w:pPr>
      <w:r w:rsidRPr="00DC0807">
        <w:rPr>
          <w:szCs w:val="18"/>
          <w:vertAlign w:val="superscript"/>
        </w:rPr>
        <w:t>j</w:t>
      </w:r>
      <w:r w:rsidR="004C3AC1" w:rsidRPr="00DC0807">
        <w:rPr>
          <w:szCs w:val="18"/>
          <w:vertAlign w:val="superscript"/>
        </w:rPr>
        <w:t xml:space="preserve"> </w:t>
      </w:r>
      <w:r w:rsidR="004C3AC1" w:rsidRPr="00DC0807">
        <w:rPr>
          <w:szCs w:val="18"/>
        </w:rPr>
        <w:t>With 1/36 in CADMUS and 1/44 in CADMUS JR receiving a 90 mg dose in CADMUS and 1/44 in CADMUS JR</w:t>
      </w:r>
    </w:p>
    <w:p w:rsidR="004C3AC1" w:rsidRPr="00DC0807" w:rsidRDefault="001A4E91" w:rsidP="001C1578">
      <w:pPr>
        <w:pStyle w:val="TableFooter"/>
        <w:keepNext/>
        <w:keepLines/>
        <w:widowControl/>
        <w:rPr>
          <w:szCs w:val="18"/>
        </w:rPr>
      </w:pPr>
      <w:r w:rsidRPr="00DC0807">
        <w:rPr>
          <w:szCs w:val="18"/>
          <w:vertAlign w:val="superscript"/>
        </w:rPr>
        <w:t xml:space="preserve">k </w:t>
      </w:r>
      <w:r w:rsidR="004C3AC1" w:rsidRPr="00DC0807">
        <w:rPr>
          <w:szCs w:val="18"/>
        </w:rPr>
        <w:t>Based on all patients receiving 50 mg weekly</w:t>
      </w:r>
    </w:p>
    <w:p w:rsidR="004C3AC1" w:rsidRPr="00DC0807" w:rsidRDefault="001A4E91" w:rsidP="001C1578">
      <w:pPr>
        <w:pStyle w:val="TableFooter"/>
        <w:keepNext/>
        <w:keepLines/>
        <w:widowControl/>
        <w:rPr>
          <w:szCs w:val="18"/>
        </w:rPr>
      </w:pPr>
      <w:r w:rsidRPr="00DC0807">
        <w:rPr>
          <w:szCs w:val="18"/>
          <w:vertAlign w:val="superscript"/>
        </w:rPr>
        <w:t xml:space="preserve">l </w:t>
      </w:r>
      <w:r w:rsidR="004C3AC1" w:rsidRPr="00DC0807">
        <w:rPr>
          <w:szCs w:val="18"/>
        </w:rPr>
        <w:t xml:space="preserve">Based on administration at </w:t>
      </w:r>
      <w:r w:rsidR="00DA2DC0" w:rsidRPr="00DC0807">
        <w:rPr>
          <w:szCs w:val="18"/>
        </w:rPr>
        <w:t>W</w:t>
      </w:r>
      <w:r w:rsidR="004C3AC1" w:rsidRPr="00DC0807">
        <w:rPr>
          <w:szCs w:val="18"/>
        </w:rPr>
        <w:t>eek 0, 4, 16, 28 and 40 and 2/80 patients receiving 90 mg dose and with 1/36 in CADMUS and 1/44 in CADMUS JR receiving a 90 mg dose in CADMUS and 1/44 in CADMUS JR,</w:t>
      </w:r>
    </w:p>
    <w:p w:rsidR="00CD6689" w:rsidRPr="00DC0807" w:rsidRDefault="001A4E91" w:rsidP="001C1578">
      <w:pPr>
        <w:pStyle w:val="TableFooter"/>
        <w:keepNext/>
        <w:keepLines/>
        <w:widowControl/>
        <w:rPr>
          <w:szCs w:val="18"/>
        </w:rPr>
      </w:pPr>
      <w:r w:rsidRPr="00DC0807">
        <w:rPr>
          <w:szCs w:val="18"/>
          <w:vertAlign w:val="superscript"/>
        </w:rPr>
        <w:t>m</w:t>
      </w:r>
      <w:r w:rsidR="00CD6689" w:rsidRPr="00DC0807">
        <w:rPr>
          <w:szCs w:val="18"/>
        </w:rPr>
        <w:t xml:space="preserve"> Dispensed price for maximum quantity used in financial estimates, based on </w:t>
      </w:r>
      <w:r w:rsidR="00246573" w:rsidRPr="00DC0807">
        <w:rPr>
          <w:szCs w:val="18"/>
        </w:rPr>
        <w:t>approved ex-manufacturer price.</w:t>
      </w:r>
    </w:p>
    <w:p w:rsidR="007766ED" w:rsidRPr="00DC0807" w:rsidRDefault="007766ED" w:rsidP="001C1578">
      <w:pPr>
        <w:pStyle w:val="TableFooter"/>
        <w:keepNext/>
        <w:keepLines/>
        <w:widowControl/>
        <w:rPr>
          <w:szCs w:val="18"/>
        </w:rPr>
      </w:pPr>
      <w:r w:rsidRPr="00DC0807">
        <w:rPr>
          <w:szCs w:val="18"/>
          <w:vertAlign w:val="superscript"/>
        </w:rPr>
        <w:t xml:space="preserve">n </w:t>
      </w:r>
      <w:r w:rsidR="00AE5627">
        <w:rPr>
          <w:szCs w:val="18"/>
        </w:rPr>
        <w:t>Persiste</w:t>
      </w:r>
      <w:r w:rsidR="00344C4E" w:rsidRPr="00DC0807">
        <w:rPr>
          <w:szCs w:val="18"/>
        </w:rPr>
        <w:t xml:space="preserve">nce to therapy was assumed to be </w:t>
      </w:r>
      <w:r w:rsidR="006B6F2B">
        <w:rPr>
          <w:noProof/>
          <w:color w:val="000000"/>
          <w:szCs w:val="18"/>
          <w:highlight w:val="black"/>
        </w:rPr>
        <w:t>''''''''''</w:t>
      </w:r>
      <w:r w:rsidR="00344C4E" w:rsidRPr="00DC0807">
        <w:rPr>
          <w:szCs w:val="18"/>
        </w:rPr>
        <w:t xml:space="preserve">% for initial treatment, and </w:t>
      </w:r>
      <w:r w:rsidR="006B6F2B">
        <w:rPr>
          <w:noProof/>
          <w:color w:val="000000"/>
          <w:szCs w:val="18"/>
          <w:highlight w:val="black"/>
        </w:rPr>
        <w:t>'''''''''''</w:t>
      </w:r>
      <w:r w:rsidR="00344C4E" w:rsidRPr="00DC0807">
        <w:rPr>
          <w:szCs w:val="18"/>
        </w:rPr>
        <w:t>% for continuing treatment.</w:t>
      </w:r>
    </w:p>
    <w:p w:rsidR="009C43E9" w:rsidRPr="00DC0807" w:rsidRDefault="009C43E9" w:rsidP="009C43E9">
      <w:pPr>
        <w:pStyle w:val="TableFooter"/>
        <w:widowControl/>
      </w:pPr>
    </w:p>
    <w:p w:rsidR="00B60939" w:rsidRPr="00DC0807" w:rsidRDefault="00B60939" w:rsidP="009A0E75">
      <w:pPr>
        <w:pStyle w:val="Heading2"/>
        <w:keepNext/>
        <w:keepLines/>
      </w:pPr>
      <w:bookmarkStart w:id="30" w:name="_Toc62032243"/>
      <w:r w:rsidRPr="00DC0807">
        <w:t>Estimated PBS usage &amp; financial implications</w:t>
      </w:r>
      <w:bookmarkEnd w:id="30"/>
    </w:p>
    <w:p w:rsidR="00B60939" w:rsidRPr="00DC0807" w:rsidRDefault="00B60939" w:rsidP="009A0E75">
      <w:pPr>
        <w:keepNext/>
        <w:keepLines/>
        <w:ind w:left="720" w:hanging="720"/>
        <w:rPr>
          <w:b/>
          <w:i/>
        </w:rPr>
      </w:pPr>
    </w:p>
    <w:p w:rsidR="004C3AC1" w:rsidRPr="00DC0807" w:rsidRDefault="004C3AC1" w:rsidP="009A0E75">
      <w:pPr>
        <w:pStyle w:val="ListParagraph"/>
        <w:keepNext/>
        <w:keepLines/>
        <w:widowControl/>
        <w:numPr>
          <w:ilvl w:val="1"/>
          <w:numId w:val="1"/>
        </w:numPr>
      </w:pPr>
      <w:r w:rsidRPr="00DC0807">
        <w:t xml:space="preserve">This submission </w:t>
      </w:r>
      <w:r w:rsidR="000559F9" w:rsidRPr="00DC0807">
        <w:t>was</w:t>
      </w:r>
      <w:r w:rsidR="00A8339F" w:rsidRPr="00DC0807">
        <w:t xml:space="preserve"> not </w:t>
      </w:r>
      <w:r w:rsidRPr="00DC0807">
        <w:t xml:space="preserve">considered by DUSC. The submission expected that once PBS-listed, ustekinumab will substitute </w:t>
      </w:r>
      <w:r w:rsidR="00F87EFD" w:rsidRPr="00DC0807">
        <w:t xml:space="preserve">for </w:t>
      </w:r>
      <w:r w:rsidRPr="00DC0807">
        <w:t>etanercept</w:t>
      </w:r>
      <w:r w:rsidR="003F0CCF" w:rsidRPr="00DC0807">
        <w:t>,</w:t>
      </w:r>
      <w:r w:rsidRPr="00DC0807">
        <w:t xml:space="preserve"> which is the only biological agent listed on the PBS for paediatric severe CPP, </w:t>
      </w:r>
      <w:r w:rsidR="00F87EFD" w:rsidRPr="00DC0807">
        <w:t xml:space="preserve">and </w:t>
      </w:r>
      <w:r w:rsidRPr="00DC0807">
        <w:t xml:space="preserve">will </w:t>
      </w:r>
      <w:r w:rsidR="00F87EFD" w:rsidRPr="00DC0807">
        <w:t xml:space="preserve">also </w:t>
      </w:r>
      <w:r w:rsidRPr="00DC0807">
        <w:t xml:space="preserve">lead to an increase in the number of paediatric severe CPP patients receiving biological treatment who are not currently treated with etanercept. </w:t>
      </w:r>
    </w:p>
    <w:p w:rsidR="00792F57" w:rsidRPr="00DC0807" w:rsidRDefault="00792F57" w:rsidP="00A927F1">
      <w:pPr>
        <w:pStyle w:val="ListParagraph"/>
        <w:widowControl/>
        <w:numPr>
          <w:ilvl w:val="1"/>
          <w:numId w:val="1"/>
        </w:numPr>
      </w:pPr>
      <w:r w:rsidRPr="00DC0807">
        <w:t xml:space="preserve">Key assumptions and inputs for estimation of the financial estimates </w:t>
      </w:r>
      <w:r w:rsidR="003F0CCF" w:rsidRPr="00DC0807">
        <w:t>are</w:t>
      </w:r>
      <w:r w:rsidRPr="00DC0807">
        <w:t xml:space="preserve"> presented </w:t>
      </w:r>
      <w:r w:rsidR="009239BC" w:rsidRPr="00DC0807">
        <w:t>in the table below</w:t>
      </w:r>
      <w:r w:rsidR="00A8339F" w:rsidRPr="00DC0807">
        <w:t>.</w:t>
      </w:r>
    </w:p>
    <w:p w:rsidR="00792F57" w:rsidRPr="00DC0807" w:rsidRDefault="009239BC" w:rsidP="009239BC">
      <w:pPr>
        <w:pStyle w:val="Caption"/>
        <w:keepNext/>
        <w:spacing w:after="0"/>
        <w:rPr>
          <w:rStyle w:val="CommentReference"/>
          <w:b/>
          <w:color w:val="auto"/>
          <w:sz w:val="18"/>
          <w:szCs w:val="18"/>
        </w:rPr>
      </w:pPr>
      <w:bookmarkStart w:id="31" w:name="_Ref61137626"/>
      <w:r w:rsidRPr="00DC0807">
        <w:rPr>
          <w:rFonts w:ascii="Arial Narrow" w:hAnsi="Arial Narrow"/>
          <w:color w:val="auto"/>
          <w:sz w:val="20"/>
          <w:szCs w:val="20"/>
        </w:rPr>
        <w:t xml:space="preserve">Table </w:t>
      </w:r>
      <w:r w:rsidR="00AE572A" w:rsidRPr="00DC0807">
        <w:rPr>
          <w:rFonts w:ascii="Arial Narrow" w:hAnsi="Arial Narrow"/>
          <w:color w:val="auto"/>
          <w:sz w:val="20"/>
          <w:szCs w:val="20"/>
        </w:rPr>
        <w:t>15</w:t>
      </w:r>
      <w:bookmarkEnd w:id="31"/>
      <w:r w:rsidR="00792F57" w:rsidRPr="00DC0807">
        <w:rPr>
          <w:rStyle w:val="CommentReference"/>
          <w:color w:val="auto"/>
          <w:szCs w:val="20"/>
        </w:rPr>
        <w:t>:</w:t>
      </w:r>
      <w:r w:rsidR="00792F57" w:rsidRPr="00DC0807">
        <w:rPr>
          <w:rStyle w:val="CommentReference"/>
          <w:b/>
          <w:color w:val="auto"/>
        </w:rPr>
        <w:t xml:space="preserve"> Key </w:t>
      </w:r>
      <w:r w:rsidR="00684052" w:rsidRPr="00DC0807">
        <w:rPr>
          <w:rStyle w:val="CommentReference"/>
          <w:b/>
          <w:color w:val="auto"/>
        </w:rPr>
        <w:t>d</w:t>
      </w:r>
      <w:r w:rsidR="00792F57" w:rsidRPr="00DC0807">
        <w:rPr>
          <w:rStyle w:val="CommentReference"/>
          <w:b/>
          <w:color w:val="auto"/>
        </w:rPr>
        <w:t>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853"/>
        <w:gridCol w:w="3891"/>
      </w:tblGrid>
      <w:tr w:rsidR="00792F57" w:rsidRPr="00DC0807" w:rsidTr="000F09F4">
        <w:trPr>
          <w:cantSplit/>
          <w:tblHeader/>
        </w:trPr>
        <w:tc>
          <w:tcPr>
            <w:tcW w:w="705" w:type="pct"/>
            <w:vAlign w:val="center"/>
          </w:tcPr>
          <w:p w:rsidR="00792F57" w:rsidRPr="00DC0807" w:rsidRDefault="00792F57" w:rsidP="00B8612B">
            <w:pPr>
              <w:pStyle w:val="Tabletext"/>
              <w:rPr>
                <w:b/>
              </w:rPr>
            </w:pPr>
            <w:r w:rsidRPr="00DC0807">
              <w:rPr>
                <w:b/>
              </w:rPr>
              <w:t>Data</w:t>
            </w:r>
          </w:p>
        </w:tc>
        <w:tc>
          <w:tcPr>
            <w:tcW w:w="2137" w:type="pct"/>
            <w:vAlign w:val="center"/>
          </w:tcPr>
          <w:p w:rsidR="00792F57" w:rsidRPr="00DC0807" w:rsidRDefault="00792F57" w:rsidP="00B8612B">
            <w:pPr>
              <w:pStyle w:val="Tabletext"/>
              <w:jc w:val="center"/>
              <w:rPr>
                <w:b/>
              </w:rPr>
            </w:pPr>
            <w:r w:rsidRPr="00DC0807">
              <w:rPr>
                <w:b/>
              </w:rPr>
              <w:t>Value and Source</w:t>
            </w:r>
          </w:p>
        </w:tc>
        <w:tc>
          <w:tcPr>
            <w:tcW w:w="2158" w:type="pct"/>
            <w:vAlign w:val="center"/>
          </w:tcPr>
          <w:p w:rsidR="00792F57" w:rsidRPr="00DC0807" w:rsidRDefault="00792F57" w:rsidP="00B8612B">
            <w:pPr>
              <w:pStyle w:val="Tabletext"/>
              <w:jc w:val="center"/>
              <w:rPr>
                <w:b/>
              </w:rPr>
            </w:pPr>
            <w:r w:rsidRPr="00DC0807">
              <w:rPr>
                <w:b/>
              </w:rPr>
              <w:t>Comment</w:t>
            </w:r>
          </w:p>
        </w:tc>
      </w:tr>
      <w:tr w:rsidR="00792F57" w:rsidRPr="00DC0807" w:rsidTr="000F09F4">
        <w:trPr>
          <w:cantSplit/>
        </w:trPr>
        <w:tc>
          <w:tcPr>
            <w:tcW w:w="5000" w:type="pct"/>
            <w:gridSpan w:val="3"/>
            <w:vAlign w:val="center"/>
          </w:tcPr>
          <w:p w:rsidR="00792F57" w:rsidRPr="00DC0807" w:rsidRDefault="00792F57" w:rsidP="00B8612B">
            <w:pPr>
              <w:pStyle w:val="Tabletext"/>
              <w:rPr>
                <w:b/>
              </w:rPr>
            </w:pPr>
            <w:r w:rsidRPr="00DC0807">
              <w:rPr>
                <w:b/>
              </w:rPr>
              <w:t>Eligible population</w:t>
            </w:r>
          </w:p>
        </w:tc>
      </w:tr>
      <w:tr w:rsidR="00792F57" w:rsidRPr="00DC0807" w:rsidTr="000F09F4">
        <w:trPr>
          <w:cantSplit/>
        </w:trPr>
        <w:tc>
          <w:tcPr>
            <w:tcW w:w="705" w:type="pct"/>
            <w:vAlign w:val="center"/>
          </w:tcPr>
          <w:p w:rsidR="00792F57" w:rsidRPr="00DC0807" w:rsidRDefault="00792F57" w:rsidP="00B8612B">
            <w:pPr>
              <w:pStyle w:val="Tabletext"/>
            </w:pPr>
            <w:r w:rsidRPr="00DC0807">
              <w:t>Estimated etanercept-treated patients</w:t>
            </w:r>
          </w:p>
        </w:tc>
        <w:tc>
          <w:tcPr>
            <w:tcW w:w="2137" w:type="pct"/>
            <w:vAlign w:val="center"/>
          </w:tcPr>
          <w:p w:rsidR="00792F57" w:rsidRPr="00DC0807" w:rsidRDefault="00792F57" w:rsidP="00B8612B">
            <w:pPr>
              <w:pStyle w:val="Tabletext"/>
            </w:pPr>
            <w:r w:rsidRPr="00DC0807">
              <w:t>Yr1: 36</w:t>
            </w:r>
            <w:r w:rsidR="004F2701" w:rsidRPr="00DC0807">
              <w:t xml:space="preserve">, </w:t>
            </w:r>
            <w:r w:rsidRPr="00DC0807">
              <w:t>Yr2: 36</w:t>
            </w:r>
            <w:r w:rsidR="004F2701" w:rsidRPr="00DC0807">
              <w:t xml:space="preserve">, </w:t>
            </w:r>
            <w:r w:rsidRPr="00DC0807">
              <w:t>Yr3: 37</w:t>
            </w:r>
            <w:r w:rsidR="004F2701" w:rsidRPr="00DC0807">
              <w:t xml:space="preserve">, </w:t>
            </w:r>
            <w:r w:rsidRPr="00DC0807">
              <w:t>Yr4: 37</w:t>
            </w:r>
            <w:r w:rsidR="004F2701" w:rsidRPr="00DC0807">
              <w:t xml:space="preserve">, </w:t>
            </w:r>
            <w:r w:rsidRPr="00DC0807">
              <w:t>Yr5: 38</w:t>
            </w:r>
            <w:r w:rsidR="004F2701" w:rsidRPr="00DC0807">
              <w:t xml:space="preserve">, </w:t>
            </w:r>
            <w:r w:rsidRPr="00DC0807">
              <w:t>Yr6: 38</w:t>
            </w:r>
          </w:p>
          <w:p w:rsidR="00792F57" w:rsidRPr="00DC0807" w:rsidRDefault="00792F57" w:rsidP="000F09F4">
            <w:pPr>
              <w:pStyle w:val="Tabletext"/>
            </w:pPr>
            <w:r w:rsidRPr="00DC0807">
              <w:t>Source: PBS/RPBS dispensed etanercept scripts (208) in 2019</w:t>
            </w:r>
            <w:r w:rsidR="00E00355" w:rsidRPr="00DC0807">
              <w:t xml:space="preserve">, </w:t>
            </w:r>
            <w:r w:rsidRPr="00DC0807">
              <w:t xml:space="preserve">divided by 6 scripts, assuming, on average, a patient received </w:t>
            </w:r>
            <w:r w:rsidR="00F37C15" w:rsidRPr="00DC0807">
              <w:t xml:space="preserve">a </w:t>
            </w:r>
            <w:r w:rsidRPr="00DC0807">
              <w:t xml:space="preserve">full 24 </w:t>
            </w:r>
            <w:r w:rsidR="000F09F4" w:rsidRPr="00DC0807">
              <w:t xml:space="preserve">wk </w:t>
            </w:r>
            <w:r w:rsidRPr="00DC0807">
              <w:t xml:space="preserve">course of treatment in the year. </w:t>
            </w:r>
            <w:r w:rsidR="00F37C15" w:rsidRPr="00DC0807">
              <w:t>E</w:t>
            </w:r>
            <w:r w:rsidRPr="00DC0807">
              <w:t xml:space="preserve">xtrapolated using ABS-projected population growth for the 4-17 age segment. </w:t>
            </w:r>
          </w:p>
        </w:tc>
        <w:tc>
          <w:tcPr>
            <w:tcW w:w="2158" w:type="pct"/>
            <w:vAlign w:val="center"/>
          </w:tcPr>
          <w:p w:rsidR="00792F57" w:rsidRPr="00DC0807" w:rsidRDefault="00792F57" w:rsidP="000F09F4">
            <w:pPr>
              <w:pStyle w:val="Tabletext"/>
            </w:pPr>
            <w:r w:rsidRPr="00DC0807">
              <w:t>Assuming all etanercept patients completed the 24-</w:t>
            </w:r>
            <w:r w:rsidR="000F09F4" w:rsidRPr="00DC0807">
              <w:t xml:space="preserve">wk </w:t>
            </w:r>
            <w:r w:rsidRPr="00DC0807">
              <w:t>treatment (6 scripts) result</w:t>
            </w:r>
            <w:r w:rsidR="00853875" w:rsidRPr="00DC0807">
              <w:t>ed</w:t>
            </w:r>
            <w:r w:rsidRPr="00DC0807">
              <w:t xml:space="preserve"> in the lowest possible number of current biologic-treated patients. Given that only 56.6% of patients achieved efficacy (</w:t>
            </w:r>
            <w:r w:rsidR="00C92D23" w:rsidRPr="00DC0807">
              <w:t>PASI 75</w:t>
            </w:r>
            <w:r w:rsidRPr="00DC0807">
              <w:t xml:space="preserve">) at </w:t>
            </w:r>
            <w:r w:rsidR="000F09F4" w:rsidRPr="00DC0807">
              <w:t xml:space="preserve">wk </w:t>
            </w:r>
            <w:r w:rsidRPr="00DC0807">
              <w:t>12 with etanercept (required for continuation), the number of patients treated with etanercept was likely underestimated.</w:t>
            </w:r>
            <w:r w:rsidR="00853875" w:rsidRPr="00DC0807">
              <w:t xml:space="preserve"> Updated to 5 scripts the PSCR.</w:t>
            </w:r>
          </w:p>
        </w:tc>
      </w:tr>
      <w:tr w:rsidR="00792F57" w:rsidRPr="00DC0807" w:rsidTr="000F09F4">
        <w:trPr>
          <w:cantSplit/>
        </w:trPr>
        <w:tc>
          <w:tcPr>
            <w:tcW w:w="705" w:type="pct"/>
            <w:vAlign w:val="center"/>
          </w:tcPr>
          <w:p w:rsidR="00792F57" w:rsidRPr="00DC0807" w:rsidRDefault="00792F57" w:rsidP="00B8612B">
            <w:pPr>
              <w:pStyle w:val="Tabletext"/>
            </w:pPr>
            <w:r w:rsidRPr="00DC0807">
              <w:t>Estimated additional patients initiating ustekinumab (beyond those replacing etanercept)</w:t>
            </w:r>
          </w:p>
        </w:tc>
        <w:tc>
          <w:tcPr>
            <w:tcW w:w="2137" w:type="pct"/>
            <w:vAlign w:val="center"/>
          </w:tcPr>
          <w:p w:rsidR="00792F57" w:rsidRPr="00DC0807" w:rsidRDefault="00792F57" w:rsidP="00B8612B">
            <w:pPr>
              <w:pStyle w:val="Tabletext"/>
            </w:pPr>
            <w:r w:rsidRPr="00DC0807">
              <w:t>Yr1: Double the number of patients that use ustekinumab in the replacement of etanercept</w:t>
            </w:r>
          </w:p>
          <w:p w:rsidR="00792F57" w:rsidRPr="00DC0807" w:rsidRDefault="00792F57" w:rsidP="00B8612B">
            <w:pPr>
              <w:pStyle w:val="Tabletext"/>
            </w:pPr>
            <w:r w:rsidRPr="00DC0807">
              <w:t>Yr2-6: 7.6% per annum growth</w:t>
            </w:r>
          </w:p>
          <w:p w:rsidR="00792F57" w:rsidRPr="00DC0807" w:rsidRDefault="00792F57" w:rsidP="00B8612B">
            <w:pPr>
              <w:pStyle w:val="Tabletext"/>
            </w:pPr>
          </w:p>
          <w:p w:rsidR="00F37C15" w:rsidRPr="00DC0807" w:rsidRDefault="00792F57" w:rsidP="00B8612B">
            <w:pPr>
              <w:pStyle w:val="Tabletext"/>
            </w:pPr>
            <w:r w:rsidRPr="00DC0807">
              <w:t>Source:</w:t>
            </w:r>
          </w:p>
          <w:p w:rsidR="00792F57" w:rsidRPr="00DC0807" w:rsidRDefault="00792F57" w:rsidP="00B8612B">
            <w:pPr>
              <w:pStyle w:val="Tabletext"/>
            </w:pPr>
            <w:r w:rsidRPr="00DC0807">
              <w:t xml:space="preserve">Yr1: unclear/not reported. </w:t>
            </w:r>
          </w:p>
          <w:p w:rsidR="00792F57" w:rsidRPr="00DC0807" w:rsidRDefault="00792F57" w:rsidP="00B8612B">
            <w:pPr>
              <w:pStyle w:val="Tabletext"/>
            </w:pPr>
            <w:r w:rsidRPr="00DC0807">
              <w:t xml:space="preserve">Yr2-6: Growth trend of ustekinumab in adult severe CPP following its PBS listing (PBS 10% sample data from January 2005-June 2020). </w:t>
            </w:r>
          </w:p>
          <w:p w:rsidR="00792F57" w:rsidRPr="00DC0807" w:rsidRDefault="00792F57" w:rsidP="00B8612B">
            <w:pPr>
              <w:pStyle w:val="Tabletext"/>
            </w:pPr>
            <w:r w:rsidRPr="00DC0807">
              <w:t>Submission noted there is currently no published epidemiological data on paediatric severe CPP or the proportion of the patient population who would be eligible for treatment in Australia.</w:t>
            </w:r>
          </w:p>
        </w:tc>
        <w:tc>
          <w:tcPr>
            <w:tcW w:w="2158" w:type="pct"/>
            <w:vAlign w:val="center"/>
          </w:tcPr>
          <w:p w:rsidR="00792F57" w:rsidRPr="00DC0807" w:rsidRDefault="00792F57" w:rsidP="00B8612B">
            <w:pPr>
              <w:pStyle w:val="Tabletext"/>
            </w:pPr>
            <w:r w:rsidRPr="00DC0807">
              <w:t xml:space="preserve">Yr1: </w:t>
            </w:r>
            <w:r w:rsidR="004F2701" w:rsidRPr="00DC0807">
              <w:t>T</w:t>
            </w:r>
            <w:r w:rsidRPr="00DC0807">
              <w:t xml:space="preserve">here is likely to be a pool of paediatric patients eligible and ready to use PBS-subsidised ustekinumab once listed, but </w:t>
            </w:r>
            <w:r w:rsidR="00853875" w:rsidRPr="00DC0807">
              <w:t>no</w:t>
            </w:r>
            <w:r w:rsidRPr="00DC0807">
              <w:t xml:space="preserve"> </w:t>
            </w:r>
            <w:r w:rsidR="00391485" w:rsidRPr="00DC0807">
              <w:t xml:space="preserve">details on </w:t>
            </w:r>
            <w:r w:rsidRPr="00DC0807">
              <w:t xml:space="preserve">how </w:t>
            </w:r>
            <w:r w:rsidR="00391485" w:rsidRPr="00DC0807">
              <w:t>the magnitude of</w:t>
            </w:r>
            <w:r w:rsidRPr="00DC0807">
              <w:t xml:space="preserve"> increase</w:t>
            </w:r>
            <w:r w:rsidR="00AC0C89" w:rsidRPr="00DC0807">
              <w:t xml:space="preserve"> was determined</w:t>
            </w:r>
            <w:r w:rsidRPr="00DC0807">
              <w:t xml:space="preserve">. </w:t>
            </w:r>
          </w:p>
          <w:p w:rsidR="00792F57" w:rsidRPr="00DC0807" w:rsidRDefault="00792F57" w:rsidP="00B8612B">
            <w:pPr>
              <w:pStyle w:val="Tabletext"/>
            </w:pPr>
          </w:p>
          <w:p w:rsidR="00792F57" w:rsidRPr="00DC0807" w:rsidRDefault="00792F57" w:rsidP="00B8612B">
            <w:pPr>
              <w:pStyle w:val="Tabletext"/>
            </w:pPr>
            <w:r w:rsidRPr="00DC0807">
              <w:t xml:space="preserve">Yr2-6: 2010-2014 (first 5 years of listing) data was used to estimate annual growth. </w:t>
            </w:r>
            <w:r w:rsidR="00853875" w:rsidRPr="00DC0807">
              <w:t>Yr6</w:t>
            </w:r>
            <w:r w:rsidRPr="00DC0807">
              <w:t xml:space="preserve"> </w:t>
            </w:r>
            <w:r w:rsidR="00853875" w:rsidRPr="00DC0807">
              <w:t xml:space="preserve">was excluded because </w:t>
            </w:r>
            <w:r w:rsidRPr="00DC0807">
              <w:t>new biologics listed impact</w:t>
            </w:r>
            <w:r w:rsidR="00B8612B" w:rsidRPr="00DC0807">
              <w:t>ed</w:t>
            </w:r>
            <w:r w:rsidRPr="00DC0807">
              <w:t xml:space="preserve"> the growth of ustekinumab initiations.</w:t>
            </w:r>
            <w:r w:rsidR="00853875" w:rsidRPr="00DC0807">
              <w:t xml:space="preserve"> I</w:t>
            </w:r>
            <w:r w:rsidRPr="00DC0807">
              <w:t xml:space="preserve">f </w:t>
            </w:r>
            <w:r w:rsidR="00853875" w:rsidRPr="00DC0807">
              <w:t>Yr6</w:t>
            </w:r>
            <w:r w:rsidRPr="00DC0807">
              <w:t xml:space="preserve"> was included, the growth rate would be higher (9.5%). </w:t>
            </w:r>
          </w:p>
          <w:p w:rsidR="00792F57" w:rsidRPr="00DC0807" w:rsidRDefault="00792F57" w:rsidP="00B8612B">
            <w:pPr>
              <w:pStyle w:val="Tabletext"/>
            </w:pPr>
          </w:p>
          <w:p w:rsidR="00792F57" w:rsidRPr="00DC0807" w:rsidRDefault="00792F57" w:rsidP="00853875">
            <w:pPr>
              <w:pStyle w:val="Tabletext"/>
            </w:pPr>
            <w:r w:rsidRPr="00DC0807">
              <w:t xml:space="preserve">40 patients </w:t>
            </w:r>
            <w:r w:rsidR="00853875" w:rsidRPr="00DC0807">
              <w:t>were proposed to be</w:t>
            </w:r>
            <w:r w:rsidRPr="00DC0807">
              <w:t xml:space="preserve"> grandfathered to PBS supply upon listing, but </w:t>
            </w:r>
            <w:r w:rsidR="00B849B7" w:rsidRPr="00DC0807">
              <w:t xml:space="preserve">they were not </w:t>
            </w:r>
            <w:r w:rsidRPr="00DC0807">
              <w:t xml:space="preserve">included in the submission’s financial estimates. </w:t>
            </w:r>
            <w:r w:rsidR="00853875" w:rsidRPr="00DC0807">
              <w:t>This was addressed in the PSCR.</w:t>
            </w:r>
          </w:p>
        </w:tc>
      </w:tr>
      <w:tr w:rsidR="00792F57" w:rsidRPr="00DC0807" w:rsidTr="000F09F4">
        <w:trPr>
          <w:cantSplit/>
        </w:trPr>
        <w:tc>
          <w:tcPr>
            <w:tcW w:w="705" w:type="pct"/>
            <w:vAlign w:val="center"/>
          </w:tcPr>
          <w:p w:rsidR="00792F57" w:rsidRPr="00DC0807" w:rsidRDefault="00792F57" w:rsidP="00B8612B">
            <w:pPr>
              <w:pStyle w:val="Tabletext"/>
            </w:pPr>
            <w:r w:rsidRPr="00DC0807">
              <w:t>Total prevalent population</w:t>
            </w:r>
          </w:p>
        </w:tc>
        <w:tc>
          <w:tcPr>
            <w:tcW w:w="2137" w:type="pct"/>
            <w:vAlign w:val="center"/>
          </w:tcPr>
          <w:p w:rsidR="00792F57" w:rsidRPr="00DC0807" w:rsidRDefault="00792F57" w:rsidP="00B8612B">
            <w:pPr>
              <w:pStyle w:val="Tabletext"/>
            </w:pPr>
            <w:r w:rsidRPr="00DC0807">
              <w:t xml:space="preserve">Calculated via the sum of the estimated biologic-treated patients and the estimated additional patients initiating ustekinumab (beyond those replacing etanercept). </w:t>
            </w:r>
          </w:p>
        </w:tc>
        <w:tc>
          <w:tcPr>
            <w:tcW w:w="2158" w:type="pct"/>
            <w:vAlign w:val="center"/>
          </w:tcPr>
          <w:p w:rsidR="00792F57" w:rsidRPr="00DC0807" w:rsidRDefault="00853875" w:rsidP="00853875">
            <w:pPr>
              <w:pStyle w:val="Tabletext"/>
            </w:pPr>
            <w:r w:rsidRPr="00DC0807">
              <w:t>May be overestimated as the submission did</w:t>
            </w:r>
            <w:r w:rsidR="00792F57" w:rsidRPr="00DC0807">
              <w:t xml:space="preserve"> not allow for the removal patients over the age of 18</w:t>
            </w:r>
            <w:r w:rsidR="00BD0BB5" w:rsidRPr="00DC0807">
              <w:t xml:space="preserve"> in the forecast</w:t>
            </w:r>
            <w:r w:rsidR="00792F57" w:rsidRPr="00DC0807">
              <w:t xml:space="preserve">. </w:t>
            </w:r>
          </w:p>
        </w:tc>
      </w:tr>
      <w:tr w:rsidR="00792F57" w:rsidRPr="00DC0807" w:rsidTr="000F09F4">
        <w:trPr>
          <w:cantSplit/>
        </w:trPr>
        <w:tc>
          <w:tcPr>
            <w:tcW w:w="5000" w:type="pct"/>
            <w:gridSpan w:val="3"/>
            <w:vAlign w:val="center"/>
          </w:tcPr>
          <w:p w:rsidR="00792F57" w:rsidRPr="00DC0807" w:rsidRDefault="00792F57" w:rsidP="001C1578">
            <w:pPr>
              <w:pStyle w:val="Tabletext"/>
              <w:keepNext/>
              <w:keepLines/>
              <w:rPr>
                <w:b/>
              </w:rPr>
            </w:pPr>
            <w:r w:rsidRPr="00DC0807">
              <w:rPr>
                <w:b/>
              </w:rPr>
              <w:t>Treatment utilisation</w:t>
            </w:r>
          </w:p>
        </w:tc>
      </w:tr>
      <w:tr w:rsidR="00792F57" w:rsidRPr="00DC0807" w:rsidTr="000F09F4">
        <w:trPr>
          <w:cantSplit/>
        </w:trPr>
        <w:tc>
          <w:tcPr>
            <w:tcW w:w="705" w:type="pct"/>
            <w:vAlign w:val="center"/>
          </w:tcPr>
          <w:p w:rsidR="00792F57" w:rsidRPr="00DC0807" w:rsidRDefault="00792F57" w:rsidP="00B8612B">
            <w:pPr>
              <w:pStyle w:val="Tabletext"/>
            </w:pPr>
            <w:r w:rsidRPr="00DC0807">
              <w:t>Uptake rate</w:t>
            </w:r>
          </w:p>
        </w:tc>
        <w:tc>
          <w:tcPr>
            <w:tcW w:w="2137" w:type="pct"/>
            <w:vAlign w:val="center"/>
          </w:tcPr>
          <w:p w:rsidR="00792F57" w:rsidRPr="00DC0807" w:rsidRDefault="00792F57" w:rsidP="001C1578">
            <w:pPr>
              <w:pStyle w:val="Tabletext"/>
              <w:keepNext/>
              <w:keepLines/>
            </w:pPr>
            <w:r w:rsidRPr="00DC0807">
              <w:t xml:space="preserve">Yr1-6: </w:t>
            </w:r>
            <w:r w:rsidR="006B6F2B">
              <w:rPr>
                <w:noProof/>
                <w:color w:val="000000"/>
                <w:highlight w:val="black"/>
              </w:rPr>
              <w:t>''''''</w:t>
            </w:r>
            <w:r w:rsidRPr="00DC0807">
              <w:t>%</w:t>
            </w:r>
          </w:p>
          <w:p w:rsidR="00792F57" w:rsidRPr="00DC0807" w:rsidRDefault="00792F57" w:rsidP="001C1578">
            <w:pPr>
              <w:pStyle w:val="Tabletext"/>
              <w:keepNext/>
              <w:keepLines/>
            </w:pPr>
            <w:r w:rsidRPr="00DC0807">
              <w:t>Source: Expert advice from Australian dermatologists who treat paediatric severe CPP.</w:t>
            </w:r>
          </w:p>
        </w:tc>
        <w:tc>
          <w:tcPr>
            <w:tcW w:w="2158" w:type="pct"/>
            <w:vAlign w:val="center"/>
          </w:tcPr>
          <w:p w:rsidR="00792F57" w:rsidRPr="00DC0807" w:rsidRDefault="00AC0C89" w:rsidP="001C1578">
            <w:pPr>
              <w:pStyle w:val="Tabletext"/>
              <w:keepNext/>
              <w:keepLines/>
            </w:pPr>
            <w:r w:rsidRPr="00DC0807">
              <w:rPr>
                <w:iCs/>
              </w:rPr>
              <w:t>T</w:t>
            </w:r>
            <w:r w:rsidR="00792F57" w:rsidRPr="00DC0807">
              <w:t xml:space="preserve">he sample of dermatologists involved, demographics/characteristics of the sample and </w:t>
            </w:r>
            <w:r w:rsidRPr="00DC0807">
              <w:t xml:space="preserve">what questions were asked were </w:t>
            </w:r>
            <w:r w:rsidR="00391485" w:rsidRPr="00DC0807">
              <w:t xml:space="preserve">not </w:t>
            </w:r>
            <w:r w:rsidRPr="00DC0807">
              <w:t>provided</w:t>
            </w:r>
            <w:r w:rsidR="0013651F" w:rsidRPr="00DC0807">
              <w:t>.</w:t>
            </w:r>
          </w:p>
        </w:tc>
      </w:tr>
      <w:tr w:rsidR="00792F57" w:rsidRPr="00DC0807" w:rsidTr="009A0E75">
        <w:tc>
          <w:tcPr>
            <w:tcW w:w="705" w:type="pct"/>
            <w:vAlign w:val="center"/>
          </w:tcPr>
          <w:p w:rsidR="00792F57" w:rsidRPr="00DC0807" w:rsidRDefault="00792F57" w:rsidP="00B8612B">
            <w:pPr>
              <w:pStyle w:val="Tabletext"/>
            </w:pPr>
            <w:r w:rsidRPr="00DC0807">
              <w:t>Persistence to therapy</w:t>
            </w:r>
          </w:p>
        </w:tc>
        <w:tc>
          <w:tcPr>
            <w:tcW w:w="2137" w:type="pct"/>
            <w:vAlign w:val="center"/>
          </w:tcPr>
          <w:p w:rsidR="00792F57" w:rsidRPr="00DC0807" w:rsidRDefault="00792F57" w:rsidP="00B8612B">
            <w:pPr>
              <w:pStyle w:val="Tabletext"/>
            </w:pPr>
            <w:r w:rsidRPr="00DC0807">
              <w:t xml:space="preserve">Initial treatment: </w:t>
            </w:r>
            <w:r w:rsidR="006B6F2B">
              <w:rPr>
                <w:noProof/>
                <w:color w:val="000000"/>
                <w:highlight w:val="black"/>
              </w:rPr>
              <w:t>'''''''''</w:t>
            </w:r>
            <w:r w:rsidR="000F09F4" w:rsidRPr="00DC0807">
              <w:t>%; c</w:t>
            </w:r>
            <w:r w:rsidRPr="00DC0807">
              <w:t xml:space="preserve">alculated using patients who achieved </w:t>
            </w:r>
            <w:r w:rsidR="00C92D23" w:rsidRPr="00DC0807">
              <w:t>PASI 75</w:t>
            </w:r>
            <w:r w:rsidRPr="00DC0807">
              <w:t xml:space="preserve"> and remained on treatment up until </w:t>
            </w:r>
            <w:r w:rsidR="000F09F4" w:rsidRPr="00DC0807">
              <w:t xml:space="preserve">wk </w:t>
            </w:r>
            <w:r w:rsidRPr="00DC0807">
              <w:t xml:space="preserve">28 from the CADMUS (30/36) and CADMUS JR (39/44) trials. </w:t>
            </w:r>
            <w:r w:rsidR="0062442F" w:rsidRPr="00DC0807">
              <w:t>W</w:t>
            </w:r>
            <w:r w:rsidRPr="00DC0807">
              <w:t xml:space="preserve">eighted based on the Australian distribution of ages. </w:t>
            </w:r>
          </w:p>
          <w:p w:rsidR="00792F57" w:rsidRPr="00DC0807" w:rsidRDefault="00792F57" w:rsidP="00B8612B">
            <w:pPr>
              <w:pStyle w:val="Tabletext"/>
            </w:pPr>
          </w:p>
          <w:p w:rsidR="00792F57" w:rsidRPr="00DC0807" w:rsidRDefault="00792F57" w:rsidP="000F09F4">
            <w:pPr>
              <w:pStyle w:val="Tabletext"/>
            </w:pPr>
            <w:r w:rsidRPr="00DC0807">
              <w:t xml:space="preserve">Continuing treatment: </w:t>
            </w:r>
            <w:r w:rsidR="006B6F2B">
              <w:rPr>
                <w:noProof/>
                <w:color w:val="000000"/>
                <w:highlight w:val="black"/>
              </w:rPr>
              <w:t>''''''''''''</w:t>
            </w:r>
            <w:r w:rsidR="000F09F4" w:rsidRPr="00DC0807">
              <w:t>%; c</w:t>
            </w:r>
            <w:r w:rsidRPr="00DC0807">
              <w:t xml:space="preserve">alculated using proportion who had </w:t>
            </w:r>
            <w:r w:rsidR="00C92D23" w:rsidRPr="00DC0807">
              <w:t>PASI 75</w:t>
            </w:r>
            <w:r w:rsidRPr="00DC0807">
              <w:t xml:space="preserve"> at </w:t>
            </w:r>
            <w:r w:rsidR="000F09F4" w:rsidRPr="00DC0807">
              <w:t xml:space="preserve">wk </w:t>
            </w:r>
            <w:r w:rsidRPr="00DC0807">
              <w:t xml:space="preserve">28 and continued treatment till </w:t>
            </w:r>
            <w:r w:rsidR="000F09F4" w:rsidRPr="00DC0807">
              <w:t xml:space="preserve">wk </w:t>
            </w:r>
            <w:r w:rsidRPr="00DC0807">
              <w:t xml:space="preserve">52 in CADMUS (28/30) and CADMUS JR trials (36/39). </w:t>
            </w:r>
            <w:r w:rsidR="0062442F" w:rsidRPr="00DC0807">
              <w:t>A</w:t>
            </w:r>
            <w:r w:rsidRPr="00DC0807">
              <w:t>veraged and weighted based on the based on the Australian distribution of ages, and then converted from a 24-</w:t>
            </w:r>
            <w:r w:rsidR="000F09F4" w:rsidRPr="00DC0807">
              <w:t xml:space="preserve">wk </w:t>
            </w:r>
            <w:r w:rsidRPr="00DC0807">
              <w:t>rate to 52-</w:t>
            </w:r>
            <w:r w:rsidR="000F09F4" w:rsidRPr="00DC0807">
              <w:t xml:space="preserve">wk </w:t>
            </w:r>
            <w:r w:rsidRPr="00DC0807">
              <w:t xml:space="preserve">rate. </w:t>
            </w:r>
          </w:p>
        </w:tc>
        <w:tc>
          <w:tcPr>
            <w:tcW w:w="2158" w:type="pct"/>
            <w:vAlign w:val="center"/>
          </w:tcPr>
          <w:p w:rsidR="00792F57" w:rsidRPr="00DC0807" w:rsidRDefault="00792F57" w:rsidP="00B8612B">
            <w:pPr>
              <w:pStyle w:val="Tabletext"/>
            </w:pPr>
            <w:r w:rsidRPr="00DC0807">
              <w:t>The proportion of patients who continue treatment in the first year of initiation was underestimated. Given the initial treatment rate was a 28-</w:t>
            </w:r>
            <w:r w:rsidR="000F09F4" w:rsidRPr="00DC0807">
              <w:t xml:space="preserve">wk </w:t>
            </w:r>
            <w:r w:rsidRPr="00DC0807">
              <w:t>rate, and the first continuing treatment is 24-</w:t>
            </w:r>
            <w:r w:rsidR="000F09F4" w:rsidRPr="00DC0807">
              <w:t>wks</w:t>
            </w:r>
            <w:r w:rsidRPr="00DC0807">
              <w:t>, the continuing treatment rate for the first continuing treatment should be the 24-</w:t>
            </w:r>
            <w:r w:rsidR="000F09F4" w:rsidRPr="00DC0807">
              <w:t xml:space="preserve">wk </w:t>
            </w:r>
            <w:r w:rsidRPr="00DC0807">
              <w:t xml:space="preserve">rate (92.7%), instead of the annual 52 </w:t>
            </w:r>
            <w:r w:rsidR="000F09F4" w:rsidRPr="00DC0807">
              <w:t xml:space="preserve">wk </w:t>
            </w:r>
            <w:r w:rsidRPr="00DC0807">
              <w:t xml:space="preserve">rate (84.9%) used in the submission. </w:t>
            </w:r>
            <w:r w:rsidR="000F09F4" w:rsidRPr="00DC0807">
              <w:t xml:space="preserve">This was addressed in the PSCR. </w:t>
            </w:r>
          </w:p>
          <w:p w:rsidR="00792F57" w:rsidRPr="00DC0807" w:rsidRDefault="00792F57" w:rsidP="00B8612B">
            <w:pPr>
              <w:pStyle w:val="Tabletext"/>
            </w:pPr>
          </w:p>
          <w:p w:rsidR="00792F57" w:rsidRPr="00DC0807" w:rsidRDefault="0062442F" w:rsidP="0062442F">
            <w:pPr>
              <w:pStyle w:val="Tabletext"/>
            </w:pPr>
            <w:r w:rsidRPr="00DC0807">
              <w:t>T</w:t>
            </w:r>
            <w:r w:rsidR="00792F57" w:rsidRPr="00DC0807">
              <w:t>rial conditions in CADMUS may be different to real-world setting and the persistence to therapy may be uncertain.</w:t>
            </w:r>
          </w:p>
        </w:tc>
      </w:tr>
      <w:tr w:rsidR="00792F57" w:rsidRPr="00DC0807" w:rsidTr="000F09F4">
        <w:trPr>
          <w:cantSplit/>
        </w:trPr>
        <w:tc>
          <w:tcPr>
            <w:tcW w:w="705" w:type="pct"/>
            <w:vAlign w:val="center"/>
          </w:tcPr>
          <w:p w:rsidR="00792F57" w:rsidRPr="00DC0807" w:rsidRDefault="00792F57" w:rsidP="00B8612B">
            <w:pPr>
              <w:pStyle w:val="Tabletext"/>
            </w:pPr>
            <w:r w:rsidRPr="00DC0807">
              <w:t>Scripts dispensed</w:t>
            </w:r>
          </w:p>
        </w:tc>
        <w:tc>
          <w:tcPr>
            <w:tcW w:w="2137" w:type="pct"/>
            <w:vAlign w:val="center"/>
          </w:tcPr>
          <w:p w:rsidR="00792F57" w:rsidRPr="00DC0807" w:rsidRDefault="00792F57" w:rsidP="00B8612B">
            <w:pPr>
              <w:pStyle w:val="Tabletext"/>
              <w:rPr>
                <w:b/>
              </w:rPr>
            </w:pPr>
            <w:r w:rsidRPr="00DC0807">
              <w:rPr>
                <w:b/>
              </w:rPr>
              <w:t>Number of scripts for ustekinumab</w:t>
            </w:r>
          </w:p>
          <w:tbl>
            <w:tblPr>
              <w:tblStyle w:val="TableGrid"/>
              <w:tblW w:w="3517" w:type="dxa"/>
              <w:tblLook w:val="04A0" w:firstRow="1" w:lastRow="0" w:firstColumn="1" w:lastColumn="0" w:noHBand="0" w:noVBand="1"/>
              <w:tblCaption w:val="Number of scripts for ustekinumab"/>
            </w:tblPr>
            <w:tblGrid>
              <w:gridCol w:w="2017"/>
              <w:gridCol w:w="832"/>
              <w:gridCol w:w="668"/>
            </w:tblGrid>
            <w:tr w:rsidR="00792F57" w:rsidRPr="00DC0807" w:rsidTr="00CD1F63">
              <w:trPr>
                <w:tblHeader/>
              </w:trPr>
              <w:tc>
                <w:tcPr>
                  <w:tcW w:w="2099" w:type="dxa"/>
                </w:tcPr>
                <w:p w:rsidR="00792F57" w:rsidRPr="00DC0807" w:rsidRDefault="00792F57" w:rsidP="00B8612B">
                  <w:pPr>
                    <w:pStyle w:val="Tabletext"/>
                    <w:rPr>
                      <w:sz w:val="18"/>
                      <w:szCs w:val="18"/>
                    </w:rPr>
                  </w:pPr>
                  <w:r w:rsidRPr="00DC0807">
                    <w:rPr>
                      <w:sz w:val="18"/>
                      <w:szCs w:val="18"/>
                    </w:rPr>
                    <w:t>Ustekinumab</w:t>
                  </w:r>
                </w:p>
              </w:tc>
              <w:tc>
                <w:tcPr>
                  <w:tcW w:w="750" w:type="dxa"/>
                </w:tcPr>
                <w:p w:rsidR="00792F57" w:rsidRPr="00DC0807" w:rsidRDefault="00792F57" w:rsidP="00B8612B">
                  <w:pPr>
                    <w:pStyle w:val="Tabletext"/>
                    <w:rPr>
                      <w:sz w:val="18"/>
                      <w:szCs w:val="18"/>
                    </w:rPr>
                  </w:pPr>
                  <w:r w:rsidRPr="00DC0807">
                    <w:rPr>
                      <w:sz w:val="18"/>
                      <w:szCs w:val="18"/>
                    </w:rPr>
                    <w:t>Duration*</w:t>
                  </w:r>
                </w:p>
              </w:tc>
              <w:tc>
                <w:tcPr>
                  <w:tcW w:w="668" w:type="dxa"/>
                </w:tcPr>
                <w:p w:rsidR="00792F57" w:rsidRPr="00DC0807" w:rsidRDefault="00792F57" w:rsidP="00B8612B">
                  <w:pPr>
                    <w:pStyle w:val="Tabletext"/>
                    <w:rPr>
                      <w:sz w:val="18"/>
                      <w:szCs w:val="18"/>
                    </w:rPr>
                  </w:pPr>
                  <w:r w:rsidRPr="00DC0807">
                    <w:rPr>
                      <w:sz w:val="18"/>
                      <w:szCs w:val="18"/>
                    </w:rPr>
                    <w:t>Scripts</w:t>
                  </w:r>
                </w:p>
              </w:tc>
            </w:tr>
            <w:tr w:rsidR="00792F57" w:rsidRPr="00DC0807" w:rsidTr="0062442F">
              <w:tc>
                <w:tcPr>
                  <w:tcW w:w="2099" w:type="dxa"/>
                </w:tcPr>
                <w:p w:rsidR="00792F57" w:rsidRPr="00DC0807" w:rsidRDefault="00792F57" w:rsidP="00B8612B">
                  <w:pPr>
                    <w:pStyle w:val="Tabletext"/>
                    <w:rPr>
                      <w:sz w:val="18"/>
                      <w:szCs w:val="18"/>
                    </w:rPr>
                  </w:pPr>
                  <w:r w:rsidRPr="00DC0807">
                    <w:rPr>
                      <w:sz w:val="18"/>
                      <w:szCs w:val="18"/>
                    </w:rPr>
                    <w:t>Initial treatment</w:t>
                  </w:r>
                </w:p>
              </w:tc>
              <w:tc>
                <w:tcPr>
                  <w:tcW w:w="750" w:type="dxa"/>
                </w:tcPr>
                <w:p w:rsidR="00792F57" w:rsidRPr="00DC0807" w:rsidRDefault="00792F57" w:rsidP="00B8612B">
                  <w:pPr>
                    <w:pStyle w:val="Tabletext"/>
                    <w:rPr>
                      <w:sz w:val="18"/>
                      <w:szCs w:val="18"/>
                    </w:rPr>
                  </w:pPr>
                  <w:r w:rsidRPr="00DC0807">
                    <w:rPr>
                      <w:sz w:val="18"/>
                      <w:szCs w:val="18"/>
                    </w:rPr>
                    <w:t>28</w:t>
                  </w:r>
                </w:p>
              </w:tc>
              <w:tc>
                <w:tcPr>
                  <w:tcW w:w="668" w:type="dxa"/>
                </w:tcPr>
                <w:p w:rsidR="00792F57" w:rsidRPr="00DC0807" w:rsidRDefault="00792F57" w:rsidP="00B8612B">
                  <w:pPr>
                    <w:pStyle w:val="Tabletext"/>
                    <w:rPr>
                      <w:sz w:val="18"/>
                      <w:szCs w:val="18"/>
                    </w:rPr>
                  </w:pPr>
                  <w:r w:rsidRPr="00DC0807">
                    <w:rPr>
                      <w:sz w:val="18"/>
                      <w:szCs w:val="18"/>
                    </w:rPr>
                    <w:t>3</w:t>
                  </w:r>
                </w:p>
              </w:tc>
            </w:tr>
            <w:tr w:rsidR="00792F57" w:rsidRPr="00DC0807" w:rsidTr="0062442F">
              <w:tc>
                <w:tcPr>
                  <w:tcW w:w="2099" w:type="dxa"/>
                </w:tcPr>
                <w:p w:rsidR="00792F57" w:rsidRPr="00DC0807" w:rsidRDefault="00792F57" w:rsidP="00B8612B">
                  <w:pPr>
                    <w:pStyle w:val="Tabletext"/>
                    <w:rPr>
                      <w:sz w:val="18"/>
                      <w:szCs w:val="18"/>
                    </w:rPr>
                  </w:pPr>
                  <w:r w:rsidRPr="00DC0807">
                    <w:rPr>
                      <w:sz w:val="18"/>
                      <w:szCs w:val="18"/>
                    </w:rPr>
                    <w:t>First continuing treatment</w:t>
                  </w:r>
                </w:p>
              </w:tc>
              <w:tc>
                <w:tcPr>
                  <w:tcW w:w="750" w:type="dxa"/>
                </w:tcPr>
                <w:p w:rsidR="00792F57" w:rsidRPr="00DC0807" w:rsidRDefault="00792F57" w:rsidP="00B8612B">
                  <w:pPr>
                    <w:pStyle w:val="Tabletext"/>
                    <w:rPr>
                      <w:sz w:val="18"/>
                      <w:szCs w:val="18"/>
                    </w:rPr>
                  </w:pPr>
                  <w:r w:rsidRPr="00DC0807">
                    <w:rPr>
                      <w:sz w:val="18"/>
                      <w:szCs w:val="18"/>
                    </w:rPr>
                    <w:t>24</w:t>
                  </w:r>
                </w:p>
              </w:tc>
              <w:tc>
                <w:tcPr>
                  <w:tcW w:w="668" w:type="dxa"/>
                </w:tcPr>
                <w:p w:rsidR="00792F57" w:rsidRPr="00DC0807" w:rsidRDefault="00792F57" w:rsidP="00B8612B">
                  <w:pPr>
                    <w:pStyle w:val="Tabletext"/>
                    <w:rPr>
                      <w:sz w:val="18"/>
                      <w:szCs w:val="18"/>
                    </w:rPr>
                  </w:pPr>
                  <w:r w:rsidRPr="00DC0807">
                    <w:rPr>
                      <w:sz w:val="18"/>
                      <w:szCs w:val="18"/>
                    </w:rPr>
                    <w:t>2</w:t>
                  </w:r>
                </w:p>
              </w:tc>
            </w:tr>
            <w:tr w:rsidR="00792F57" w:rsidRPr="00DC0807" w:rsidTr="0062442F">
              <w:tc>
                <w:tcPr>
                  <w:tcW w:w="2099" w:type="dxa"/>
                </w:tcPr>
                <w:p w:rsidR="00792F57" w:rsidRPr="00DC0807" w:rsidRDefault="00792F57" w:rsidP="00B8612B">
                  <w:pPr>
                    <w:pStyle w:val="Tabletext"/>
                    <w:rPr>
                      <w:sz w:val="18"/>
                      <w:szCs w:val="18"/>
                    </w:rPr>
                  </w:pPr>
                  <w:r w:rsidRPr="00DC0807">
                    <w:rPr>
                      <w:sz w:val="18"/>
                      <w:szCs w:val="18"/>
                    </w:rPr>
                    <w:t xml:space="preserve">Subsequent continuing treatments </w:t>
                  </w:r>
                </w:p>
              </w:tc>
              <w:tc>
                <w:tcPr>
                  <w:tcW w:w="750" w:type="dxa"/>
                </w:tcPr>
                <w:p w:rsidR="00792F57" w:rsidRPr="00DC0807" w:rsidRDefault="00792F57" w:rsidP="00B8612B">
                  <w:pPr>
                    <w:pStyle w:val="Tabletext"/>
                    <w:rPr>
                      <w:sz w:val="18"/>
                      <w:szCs w:val="18"/>
                    </w:rPr>
                  </w:pPr>
                  <w:r w:rsidRPr="00DC0807">
                    <w:rPr>
                      <w:sz w:val="18"/>
                      <w:szCs w:val="18"/>
                    </w:rPr>
                    <w:t>52</w:t>
                  </w:r>
                </w:p>
              </w:tc>
              <w:tc>
                <w:tcPr>
                  <w:tcW w:w="668" w:type="dxa"/>
                </w:tcPr>
                <w:p w:rsidR="00792F57" w:rsidRPr="00DC0807" w:rsidRDefault="00792F57" w:rsidP="00B8612B">
                  <w:pPr>
                    <w:pStyle w:val="Tabletext"/>
                    <w:rPr>
                      <w:sz w:val="18"/>
                      <w:szCs w:val="18"/>
                    </w:rPr>
                  </w:pPr>
                  <w:r w:rsidRPr="00DC0807">
                    <w:rPr>
                      <w:sz w:val="18"/>
                      <w:szCs w:val="18"/>
                    </w:rPr>
                    <w:t>4.33^</w:t>
                  </w:r>
                </w:p>
              </w:tc>
            </w:tr>
          </w:tbl>
          <w:p w:rsidR="00792F57" w:rsidRPr="00DC0807" w:rsidRDefault="00792F57" w:rsidP="00B8612B">
            <w:pPr>
              <w:pStyle w:val="Tabletext"/>
            </w:pPr>
            <w:r w:rsidRPr="00DC0807">
              <w:t xml:space="preserve">*in </w:t>
            </w:r>
            <w:r w:rsidR="000F09F4" w:rsidRPr="00DC0807">
              <w:t xml:space="preserve">wks </w:t>
            </w:r>
          </w:p>
          <w:p w:rsidR="00792F57" w:rsidRPr="00DC0807" w:rsidRDefault="00792F57" w:rsidP="000F09F4">
            <w:pPr>
              <w:pStyle w:val="Tabletext"/>
            </w:pPr>
            <w:r w:rsidRPr="00DC0807">
              <w:t>^based on</w:t>
            </w:r>
            <w:r w:rsidR="00391485" w:rsidRPr="00DC0807">
              <w:t xml:space="preserve"> 52wks/24wks*2 treatments</w:t>
            </w:r>
          </w:p>
        </w:tc>
        <w:tc>
          <w:tcPr>
            <w:tcW w:w="2158" w:type="pct"/>
            <w:vAlign w:val="center"/>
          </w:tcPr>
          <w:p w:rsidR="00792F57" w:rsidRPr="00DC0807" w:rsidRDefault="00792F57" w:rsidP="00B8612B">
            <w:pPr>
              <w:pStyle w:val="Tabletext"/>
            </w:pPr>
            <w:r w:rsidRPr="00DC0807">
              <w:t xml:space="preserve">Reasonable. </w:t>
            </w:r>
          </w:p>
        </w:tc>
      </w:tr>
      <w:tr w:rsidR="00792F57" w:rsidRPr="00DC0807" w:rsidTr="000F09F4">
        <w:trPr>
          <w:cantSplit/>
        </w:trPr>
        <w:tc>
          <w:tcPr>
            <w:tcW w:w="705" w:type="pct"/>
            <w:vAlign w:val="center"/>
          </w:tcPr>
          <w:p w:rsidR="00792F57" w:rsidRPr="00DC0807" w:rsidRDefault="00391485" w:rsidP="00391485">
            <w:pPr>
              <w:pStyle w:val="Tabletext"/>
            </w:pPr>
            <w:r w:rsidRPr="00DC0807">
              <w:t>Etanercept s</w:t>
            </w:r>
            <w:r w:rsidR="00792F57" w:rsidRPr="00DC0807">
              <w:t xml:space="preserve">cripts replaced </w:t>
            </w:r>
          </w:p>
        </w:tc>
        <w:tc>
          <w:tcPr>
            <w:tcW w:w="2137" w:type="pct"/>
            <w:vAlign w:val="center"/>
          </w:tcPr>
          <w:p w:rsidR="00792F57" w:rsidRPr="00DC0807" w:rsidRDefault="00792F57" w:rsidP="00B8612B">
            <w:pPr>
              <w:pStyle w:val="Tabletext"/>
            </w:pPr>
            <w:r w:rsidRPr="00DC0807">
              <w:t>Calculated by assuming each etanercept patient received a full 24-</w:t>
            </w:r>
            <w:r w:rsidR="000F09F4" w:rsidRPr="00DC0807">
              <w:t xml:space="preserve">wk </w:t>
            </w:r>
            <w:r w:rsidRPr="00DC0807">
              <w:t>treatment (6 scripts)</w:t>
            </w:r>
            <w:r w:rsidR="00DC0807">
              <w:t xml:space="preserve">. </w:t>
            </w:r>
          </w:p>
          <w:p w:rsidR="00792F57" w:rsidRPr="00DC0807" w:rsidRDefault="00792F57" w:rsidP="00B8612B">
            <w:pPr>
              <w:pStyle w:val="Tabletext"/>
            </w:pPr>
          </w:p>
          <w:p w:rsidR="00792F57" w:rsidRPr="00DC0807" w:rsidRDefault="00792F57" w:rsidP="00B8612B">
            <w:pPr>
              <w:pStyle w:val="Tabletext"/>
            </w:pPr>
            <w:r w:rsidRPr="00DC0807">
              <w:t>Source: Sheet 4a of the submission’s financial model.</w:t>
            </w:r>
          </w:p>
        </w:tc>
        <w:tc>
          <w:tcPr>
            <w:tcW w:w="2158" w:type="pct"/>
            <w:vAlign w:val="center"/>
          </w:tcPr>
          <w:p w:rsidR="00792F57" w:rsidRPr="00DC0807" w:rsidRDefault="00792F57" w:rsidP="000B71DC">
            <w:pPr>
              <w:pStyle w:val="Tabletext"/>
            </w:pPr>
            <w:r w:rsidRPr="00DC0807">
              <w:t xml:space="preserve">The submission was inconsistent applying continuation rates. While it was assumed that </w:t>
            </w:r>
            <w:r w:rsidR="006B6F2B">
              <w:rPr>
                <w:noProof/>
                <w:color w:val="000000"/>
                <w:highlight w:val="black"/>
              </w:rPr>
              <w:t>'''''''''''</w:t>
            </w:r>
            <w:r w:rsidRPr="00DC0807">
              <w:t xml:space="preserve">% of patients would not achieve </w:t>
            </w:r>
            <w:r w:rsidR="00C92D23" w:rsidRPr="00DC0807">
              <w:t>PASI 75</w:t>
            </w:r>
            <w:r w:rsidRPr="00DC0807">
              <w:t xml:space="preserve"> after initiation of ustekinumab and would discontinue treatment, it was assumed that 100% of patients who initiated etanercept would achieve </w:t>
            </w:r>
            <w:r w:rsidR="00C92D23" w:rsidRPr="00DC0807">
              <w:t>PASI 75</w:t>
            </w:r>
            <w:r w:rsidR="00076757" w:rsidRPr="00DC0807">
              <w:t xml:space="preserve"> (</w:t>
            </w:r>
            <w:r w:rsidRPr="00DC0807">
              <w:t xml:space="preserve">significantly higher than the 56.6% at </w:t>
            </w:r>
            <w:r w:rsidR="000F09F4" w:rsidRPr="00DC0807">
              <w:t xml:space="preserve">wk </w:t>
            </w:r>
            <w:r w:rsidRPr="00DC0807">
              <w:t>12 reported in Paller 2008</w:t>
            </w:r>
            <w:r w:rsidR="00076757" w:rsidRPr="00DC0807">
              <w:t>)</w:t>
            </w:r>
            <w:r w:rsidRPr="00DC0807">
              <w:t xml:space="preserve">. This would lead to an overestimate in the cost offset. </w:t>
            </w:r>
            <w:r w:rsidR="00076757" w:rsidRPr="00DC0807">
              <w:t>The PSCR estimates assumed that etanercept patient</w:t>
            </w:r>
            <w:r w:rsidR="000B71DC" w:rsidRPr="00DC0807">
              <w:t>s received 5 scripts (on average).</w:t>
            </w:r>
          </w:p>
        </w:tc>
      </w:tr>
      <w:tr w:rsidR="00792F57" w:rsidRPr="00DC0807" w:rsidTr="000F09F4">
        <w:trPr>
          <w:cantSplit/>
        </w:trPr>
        <w:tc>
          <w:tcPr>
            <w:tcW w:w="5000" w:type="pct"/>
            <w:gridSpan w:val="3"/>
            <w:vAlign w:val="center"/>
          </w:tcPr>
          <w:p w:rsidR="00792F57" w:rsidRPr="00DC0807" w:rsidRDefault="00792F57" w:rsidP="00B8612B">
            <w:pPr>
              <w:pStyle w:val="Tabletext"/>
              <w:rPr>
                <w:b/>
              </w:rPr>
            </w:pPr>
            <w:r w:rsidRPr="00DC0807">
              <w:rPr>
                <w:b/>
              </w:rPr>
              <w:t>Costs</w:t>
            </w:r>
          </w:p>
        </w:tc>
      </w:tr>
      <w:tr w:rsidR="00792F57" w:rsidRPr="00DC0807" w:rsidTr="000F09F4">
        <w:trPr>
          <w:cantSplit/>
        </w:trPr>
        <w:tc>
          <w:tcPr>
            <w:tcW w:w="705" w:type="pct"/>
            <w:vAlign w:val="center"/>
          </w:tcPr>
          <w:p w:rsidR="00792F57" w:rsidRPr="00DC0807" w:rsidRDefault="00792F57" w:rsidP="00B8612B">
            <w:pPr>
              <w:pStyle w:val="Tabletext"/>
            </w:pPr>
            <w:r w:rsidRPr="00DC0807">
              <w:t>Proposed medicine</w:t>
            </w:r>
          </w:p>
        </w:tc>
        <w:tc>
          <w:tcPr>
            <w:tcW w:w="2137" w:type="pct"/>
            <w:vAlign w:val="center"/>
          </w:tcPr>
          <w:p w:rsidR="00792F57" w:rsidRPr="00DC0807" w:rsidRDefault="00792F57" w:rsidP="00B8612B">
            <w:pPr>
              <w:pStyle w:val="Tabletext"/>
              <w:rPr>
                <w:b/>
              </w:rPr>
            </w:pPr>
            <w:r w:rsidRPr="00DC0807">
              <w:rPr>
                <w:b/>
              </w:rPr>
              <w:t xml:space="preserve">Requested price for ustekinumab 45mg, initiating and continuing </w:t>
            </w:r>
          </w:p>
          <w:tbl>
            <w:tblPr>
              <w:tblStyle w:val="TableGrid"/>
              <w:tblW w:w="3575" w:type="dxa"/>
              <w:tblLook w:val="04A0" w:firstRow="1" w:lastRow="0" w:firstColumn="1" w:lastColumn="0" w:noHBand="0" w:noVBand="1"/>
              <w:tblCaption w:val="Requested price for ustekinumab 45mg, initiating and continuing "/>
            </w:tblPr>
            <w:tblGrid>
              <w:gridCol w:w="889"/>
              <w:gridCol w:w="705"/>
              <w:gridCol w:w="950"/>
              <w:gridCol w:w="1031"/>
            </w:tblGrid>
            <w:tr w:rsidR="00792F57" w:rsidRPr="00DC0807" w:rsidTr="00CD1F63">
              <w:trPr>
                <w:tblHeader/>
              </w:trPr>
              <w:tc>
                <w:tcPr>
                  <w:tcW w:w="893" w:type="dxa"/>
                </w:tcPr>
                <w:p w:rsidR="00792F57" w:rsidRPr="00DC0807" w:rsidRDefault="00792F57" w:rsidP="00B8612B">
                  <w:pPr>
                    <w:pStyle w:val="Tabletext"/>
                    <w:rPr>
                      <w:sz w:val="18"/>
                      <w:szCs w:val="18"/>
                    </w:rPr>
                  </w:pPr>
                </w:p>
              </w:tc>
              <w:tc>
                <w:tcPr>
                  <w:tcW w:w="749" w:type="dxa"/>
                </w:tcPr>
                <w:p w:rsidR="00792F57" w:rsidRPr="00DC0807" w:rsidRDefault="00792F57" w:rsidP="00B8612B">
                  <w:pPr>
                    <w:pStyle w:val="Tabletext"/>
                    <w:rPr>
                      <w:sz w:val="18"/>
                      <w:szCs w:val="18"/>
                    </w:rPr>
                  </w:pPr>
                  <w:r w:rsidRPr="00DC0807">
                    <w:rPr>
                      <w:sz w:val="18"/>
                      <w:szCs w:val="18"/>
                    </w:rPr>
                    <w:t>Max qty</w:t>
                  </w:r>
                </w:p>
              </w:tc>
              <w:tc>
                <w:tcPr>
                  <w:tcW w:w="873" w:type="dxa"/>
                </w:tcPr>
                <w:p w:rsidR="00792F57" w:rsidRPr="00DC0807" w:rsidRDefault="00792F57" w:rsidP="00B8612B">
                  <w:pPr>
                    <w:pStyle w:val="Tabletext"/>
                    <w:rPr>
                      <w:sz w:val="18"/>
                      <w:szCs w:val="18"/>
                    </w:rPr>
                  </w:pPr>
                  <w:r w:rsidRPr="00DC0807">
                    <w:rPr>
                      <w:sz w:val="18"/>
                      <w:szCs w:val="18"/>
                    </w:rPr>
                    <w:t>AEMP</w:t>
                  </w:r>
                </w:p>
              </w:tc>
              <w:tc>
                <w:tcPr>
                  <w:tcW w:w="1060" w:type="dxa"/>
                </w:tcPr>
                <w:p w:rsidR="00792F57" w:rsidRPr="00DC0807" w:rsidRDefault="00792F57" w:rsidP="00B8612B">
                  <w:pPr>
                    <w:pStyle w:val="Tabletext"/>
                    <w:rPr>
                      <w:sz w:val="18"/>
                      <w:szCs w:val="18"/>
                    </w:rPr>
                  </w:pPr>
                  <w:r w:rsidRPr="00DC0807">
                    <w:rPr>
                      <w:sz w:val="18"/>
                      <w:szCs w:val="18"/>
                    </w:rPr>
                    <w:t>DPMQ</w:t>
                  </w:r>
                </w:p>
              </w:tc>
            </w:tr>
            <w:tr w:rsidR="00792F57" w:rsidRPr="00DC0807" w:rsidTr="00AF048F">
              <w:tc>
                <w:tcPr>
                  <w:tcW w:w="893" w:type="dxa"/>
                </w:tcPr>
                <w:p w:rsidR="00792F57" w:rsidRPr="00DC0807" w:rsidRDefault="00792F57" w:rsidP="00B8612B">
                  <w:pPr>
                    <w:pStyle w:val="Tabletext"/>
                    <w:rPr>
                      <w:sz w:val="18"/>
                      <w:szCs w:val="18"/>
                    </w:rPr>
                  </w:pPr>
                  <w:r w:rsidRPr="00DC0807">
                    <w:rPr>
                      <w:sz w:val="18"/>
                      <w:szCs w:val="18"/>
                    </w:rPr>
                    <w:t>Published</w:t>
                  </w:r>
                </w:p>
              </w:tc>
              <w:tc>
                <w:tcPr>
                  <w:tcW w:w="749" w:type="dxa"/>
                </w:tcPr>
                <w:p w:rsidR="00792F57" w:rsidRPr="00DC0807" w:rsidRDefault="00792F57" w:rsidP="00B8612B">
                  <w:pPr>
                    <w:pStyle w:val="Tabletext"/>
                    <w:rPr>
                      <w:sz w:val="18"/>
                      <w:szCs w:val="18"/>
                    </w:rPr>
                  </w:pPr>
                  <w:r w:rsidRPr="00DC0807">
                    <w:rPr>
                      <w:sz w:val="18"/>
                      <w:szCs w:val="18"/>
                    </w:rPr>
                    <w:t>1</w:t>
                  </w:r>
                </w:p>
              </w:tc>
              <w:tc>
                <w:tcPr>
                  <w:tcW w:w="873" w:type="dxa"/>
                </w:tcPr>
                <w:p w:rsidR="00792F57" w:rsidRPr="00DC0807" w:rsidRDefault="00792F57" w:rsidP="00B8612B">
                  <w:pPr>
                    <w:pStyle w:val="Tabletext"/>
                    <w:rPr>
                      <w:sz w:val="18"/>
                      <w:szCs w:val="18"/>
                    </w:rPr>
                  </w:pPr>
                  <w:r w:rsidRPr="00DC0807">
                    <w:rPr>
                      <w:sz w:val="18"/>
                      <w:szCs w:val="18"/>
                    </w:rPr>
                    <w:t>$3,809.08</w:t>
                  </w:r>
                </w:p>
              </w:tc>
              <w:tc>
                <w:tcPr>
                  <w:tcW w:w="1060" w:type="dxa"/>
                </w:tcPr>
                <w:p w:rsidR="00792F57" w:rsidRPr="00DC0807" w:rsidRDefault="00792F57" w:rsidP="00B8612B">
                  <w:pPr>
                    <w:pStyle w:val="Tabletext"/>
                    <w:rPr>
                      <w:sz w:val="18"/>
                      <w:szCs w:val="18"/>
                    </w:rPr>
                  </w:pPr>
                  <w:r w:rsidRPr="00DC0807">
                    <w:rPr>
                      <w:sz w:val="18"/>
                      <w:szCs w:val="18"/>
                    </w:rPr>
                    <w:t>$3,951.07</w:t>
                  </w:r>
                </w:p>
              </w:tc>
            </w:tr>
            <w:tr w:rsidR="00792F57" w:rsidRPr="00DC0807" w:rsidTr="00AF048F">
              <w:tc>
                <w:tcPr>
                  <w:tcW w:w="893" w:type="dxa"/>
                </w:tcPr>
                <w:p w:rsidR="00792F57" w:rsidRPr="00DC0807" w:rsidRDefault="00792F57" w:rsidP="00B8612B">
                  <w:pPr>
                    <w:pStyle w:val="Tabletext"/>
                    <w:rPr>
                      <w:sz w:val="18"/>
                      <w:szCs w:val="18"/>
                    </w:rPr>
                  </w:pPr>
                  <w:r w:rsidRPr="00DC0807">
                    <w:rPr>
                      <w:sz w:val="18"/>
                      <w:szCs w:val="18"/>
                    </w:rPr>
                    <w:t xml:space="preserve">Effective </w:t>
                  </w:r>
                </w:p>
              </w:tc>
              <w:tc>
                <w:tcPr>
                  <w:tcW w:w="749" w:type="dxa"/>
                </w:tcPr>
                <w:p w:rsidR="00792F57" w:rsidRPr="00DC0807" w:rsidRDefault="00792F57" w:rsidP="00B8612B">
                  <w:pPr>
                    <w:pStyle w:val="Tabletext"/>
                    <w:rPr>
                      <w:sz w:val="18"/>
                      <w:szCs w:val="18"/>
                    </w:rPr>
                  </w:pPr>
                  <w:r w:rsidRPr="00DC0807">
                    <w:rPr>
                      <w:sz w:val="18"/>
                      <w:szCs w:val="18"/>
                    </w:rPr>
                    <w:t>1</w:t>
                  </w:r>
                </w:p>
              </w:tc>
              <w:tc>
                <w:tcPr>
                  <w:tcW w:w="873" w:type="dxa"/>
                </w:tcPr>
                <w:p w:rsidR="00792F57" w:rsidRPr="00DC0807" w:rsidRDefault="00792F57" w:rsidP="00B8612B">
                  <w:pPr>
                    <w:pStyle w:val="Tabletext"/>
                    <w:rPr>
                      <w:sz w:val="18"/>
                      <w:szCs w:val="18"/>
                    </w:rPr>
                  </w:pPr>
                  <w:r w:rsidRPr="00DC0807">
                    <w:rPr>
                      <w:sz w:val="18"/>
                      <w:szCs w:val="18"/>
                    </w:rPr>
                    <w:t>$</w:t>
                  </w:r>
                  <w:r w:rsidR="006B6F2B">
                    <w:rPr>
                      <w:noProof/>
                      <w:color w:val="000000"/>
                      <w:sz w:val="18"/>
                      <w:szCs w:val="18"/>
                      <w:highlight w:val="black"/>
                    </w:rPr>
                    <w:t>'''''''''''''''''''''''</w:t>
                  </w:r>
                </w:p>
              </w:tc>
              <w:tc>
                <w:tcPr>
                  <w:tcW w:w="1060" w:type="dxa"/>
                </w:tcPr>
                <w:p w:rsidR="00792F57" w:rsidRPr="00DC0807" w:rsidRDefault="00792F57" w:rsidP="00B8612B">
                  <w:pPr>
                    <w:pStyle w:val="Tabletext"/>
                    <w:rPr>
                      <w:sz w:val="18"/>
                      <w:szCs w:val="18"/>
                    </w:rPr>
                  </w:pPr>
                  <w:r w:rsidRPr="00DC0807">
                    <w:rPr>
                      <w:sz w:val="18"/>
                      <w:szCs w:val="18"/>
                    </w:rPr>
                    <w:t>$</w:t>
                  </w:r>
                  <w:r w:rsidR="006B6F2B">
                    <w:rPr>
                      <w:noProof/>
                      <w:color w:val="000000"/>
                      <w:sz w:val="18"/>
                      <w:szCs w:val="18"/>
                      <w:highlight w:val="black"/>
                    </w:rPr>
                    <w:t>'''''''''''''''''''''</w:t>
                  </w:r>
                </w:p>
              </w:tc>
            </w:tr>
          </w:tbl>
          <w:p w:rsidR="00792F57" w:rsidRPr="00DC0807" w:rsidRDefault="00792F57" w:rsidP="00B8612B">
            <w:pPr>
              <w:pStyle w:val="Tabletext"/>
            </w:pPr>
          </w:p>
        </w:tc>
        <w:tc>
          <w:tcPr>
            <w:tcW w:w="2158" w:type="pct"/>
            <w:vAlign w:val="center"/>
          </w:tcPr>
          <w:p w:rsidR="00792F57" w:rsidRPr="00DC0807" w:rsidRDefault="000F09F4" w:rsidP="00B8612B">
            <w:pPr>
              <w:pStyle w:val="Tabletext"/>
            </w:pPr>
            <w:r w:rsidRPr="00DC0807">
              <w:t xml:space="preserve">Requested same price as ustekinumab for adult CPP. Updated during evaluation to account for new PBS fees from 1 </w:t>
            </w:r>
            <w:r w:rsidR="00792F57" w:rsidRPr="00DC0807">
              <w:t>January 2021</w:t>
            </w:r>
            <w:r w:rsidRPr="00DC0807">
              <w:t>.</w:t>
            </w:r>
          </w:p>
          <w:p w:rsidR="00792F57" w:rsidRPr="00DC0807" w:rsidRDefault="00792F57" w:rsidP="00B8612B">
            <w:pPr>
              <w:pStyle w:val="Tabletext"/>
            </w:pPr>
          </w:p>
          <w:p w:rsidR="00792F57" w:rsidRPr="00DC0807" w:rsidRDefault="00792F57" w:rsidP="00D6056B">
            <w:pPr>
              <w:pStyle w:val="Tabletext"/>
            </w:pPr>
          </w:p>
        </w:tc>
      </w:tr>
      <w:tr w:rsidR="00792F57" w:rsidRPr="00DC0807" w:rsidTr="000F09F4">
        <w:trPr>
          <w:cantSplit/>
        </w:trPr>
        <w:tc>
          <w:tcPr>
            <w:tcW w:w="705" w:type="pct"/>
            <w:vAlign w:val="center"/>
          </w:tcPr>
          <w:p w:rsidR="00792F57" w:rsidRPr="00DC0807" w:rsidRDefault="00792F57" w:rsidP="00B8612B">
            <w:pPr>
              <w:pStyle w:val="Tabletext"/>
            </w:pPr>
            <w:r w:rsidRPr="00DC0807">
              <w:t>Comparator</w:t>
            </w:r>
          </w:p>
        </w:tc>
        <w:tc>
          <w:tcPr>
            <w:tcW w:w="2137" w:type="pct"/>
            <w:vAlign w:val="center"/>
          </w:tcPr>
          <w:p w:rsidR="00792F57" w:rsidRPr="00DC0807" w:rsidRDefault="00792F57" w:rsidP="00B8612B">
            <w:pPr>
              <w:pStyle w:val="Tabletext"/>
              <w:rPr>
                <w:b/>
              </w:rPr>
            </w:pPr>
            <w:r w:rsidRPr="00DC0807">
              <w:t xml:space="preserve"> </w:t>
            </w:r>
            <w:r w:rsidRPr="00DC0807">
              <w:rPr>
                <w:b/>
              </w:rPr>
              <w:t>Current DPMQ for etanercept</w:t>
            </w:r>
          </w:p>
          <w:tbl>
            <w:tblPr>
              <w:tblStyle w:val="TableGrid"/>
              <w:tblW w:w="3539" w:type="dxa"/>
              <w:tblLook w:val="04A0" w:firstRow="1" w:lastRow="0" w:firstColumn="1" w:lastColumn="0" w:noHBand="0" w:noVBand="1"/>
              <w:tblCaption w:val="Current DPMQ for etanercept"/>
            </w:tblPr>
            <w:tblGrid>
              <w:gridCol w:w="1592"/>
              <w:gridCol w:w="495"/>
              <w:gridCol w:w="640"/>
              <w:gridCol w:w="812"/>
            </w:tblGrid>
            <w:tr w:rsidR="00792F57" w:rsidRPr="00DC0807" w:rsidTr="00CD1F63">
              <w:trPr>
                <w:tblHeader/>
              </w:trPr>
              <w:tc>
                <w:tcPr>
                  <w:tcW w:w="1724" w:type="dxa"/>
                </w:tcPr>
                <w:p w:rsidR="00792F57" w:rsidRPr="00DC0807" w:rsidRDefault="00792F57" w:rsidP="00B8612B">
                  <w:pPr>
                    <w:pStyle w:val="Tabletext"/>
                    <w:rPr>
                      <w:sz w:val="18"/>
                      <w:szCs w:val="18"/>
                    </w:rPr>
                  </w:pPr>
                  <w:bookmarkStart w:id="32" w:name="_GoBack" w:colFirst="0" w:colLast="4"/>
                </w:p>
              </w:tc>
              <w:tc>
                <w:tcPr>
                  <w:tcW w:w="352" w:type="dxa"/>
                </w:tcPr>
                <w:p w:rsidR="00792F57" w:rsidRPr="00DC0807" w:rsidRDefault="00792F57" w:rsidP="00B8612B">
                  <w:pPr>
                    <w:pStyle w:val="Tabletext"/>
                    <w:rPr>
                      <w:sz w:val="18"/>
                      <w:szCs w:val="18"/>
                    </w:rPr>
                  </w:pPr>
                  <w:r w:rsidRPr="00DC0807">
                    <w:rPr>
                      <w:sz w:val="18"/>
                      <w:szCs w:val="18"/>
                    </w:rPr>
                    <w:t>Max qty</w:t>
                  </w:r>
                </w:p>
              </w:tc>
              <w:tc>
                <w:tcPr>
                  <w:tcW w:w="640" w:type="dxa"/>
                </w:tcPr>
                <w:p w:rsidR="00792F57" w:rsidRPr="00DC0807" w:rsidRDefault="00792F57" w:rsidP="00B8612B">
                  <w:pPr>
                    <w:pStyle w:val="Tabletext"/>
                    <w:rPr>
                      <w:sz w:val="18"/>
                      <w:szCs w:val="18"/>
                    </w:rPr>
                  </w:pPr>
                  <w:r w:rsidRPr="00DC0807">
                    <w:rPr>
                      <w:sz w:val="18"/>
                      <w:szCs w:val="18"/>
                    </w:rPr>
                    <w:t>AEMP</w:t>
                  </w:r>
                </w:p>
              </w:tc>
              <w:tc>
                <w:tcPr>
                  <w:tcW w:w="823" w:type="dxa"/>
                </w:tcPr>
                <w:p w:rsidR="00792F57" w:rsidRPr="00DC0807" w:rsidRDefault="00792F57" w:rsidP="002034E2">
                  <w:pPr>
                    <w:pStyle w:val="Tabletext"/>
                    <w:ind w:right="-55"/>
                    <w:rPr>
                      <w:sz w:val="18"/>
                      <w:szCs w:val="18"/>
                    </w:rPr>
                  </w:pPr>
                  <w:r w:rsidRPr="00DC0807">
                    <w:rPr>
                      <w:sz w:val="18"/>
                      <w:szCs w:val="18"/>
                    </w:rPr>
                    <w:t>DPMQ</w:t>
                  </w:r>
                </w:p>
              </w:tc>
            </w:tr>
            <w:bookmarkEnd w:id="32"/>
            <w:tr w:rsidR="00792F57" w:rsidRPr="00DC0807" w:rsidTr="00A409A4">
              <w:tc>
                <w:tcPr>
                  <w:tcW w:w="1724" w:type="dxa"/>
                </w:tcPr>
                <w:p w:rsidR="00792F57" w:rsidRPr="00DC0807" w:rsidRDefault="00792F57" w:rsidP="00A409A4">
                  <w:pPr>
                    <w:pStyle w:val="Tabletext"/>
                    <w:ind w:left="-82"/>
                    <w:rPr>
                      <w:sz w:val="18"/>
                      <w:szCs w:val="18"/>
                    </w:rPr>
                  </w:pPr>
                  <w:r w:rsidRPr="00DC0807">
                    <w:rPr>
                      <w:sz w:val="18"/>
                      <w:szCs w:val="18"/>
                    </w:rPr>
                    <w:t>1954W 25mg vials</w:t>
                  </w:r>
                </w:p>
              </w:tc>
              <w:tc>
                <w:tcPr>
                  <w:tcW w:w="352" w:type="dxa"/>
                  <w:vAlign w:val="center"/>
                </w:tcPr>
                <w:p w:rsidR="00792F57" w:rsidRPr="00DC0807" w:rsidRDefault="00792F57" w:rsidP="00B8612B">
                  <w:pPr>
                    <w:pStyle w:val="Tabletext"/>
                    <w:jc w:val="center"/>
                    <w:rPr>
                      <w:sz w:val="18"/>
                      <w:szCs w:val="18"/>
                    </w:rPr>
                  </w:pPr>
                  <w:r w:rsidRPr="00DC0807">
                    <w:rPr>
                      <w:sz w:val="18"/>
                      <w:szCs w:val="18"/>
                    </w:rPr>
                    <w:t>2</w:t>
                  </w:r>
                </w:p>
              </w:tc>
              <w:tc>
                <w:tcPr>
                  <w:tcW w:w="640" w:type="dxa"/>
                  <w:vAlign w:val="center"/>
                </w:tcPr>
                <w:p w:rsidR="00792F57" w:rsidRPr="00DC0807" w:rsidRDefault="00792F57" w:rsidP="00A409A4">
                  <w:pPr>
                    <w:pStyle w:val="Tabletext"/>
                    <w:ind w:left="-110" w:right="-111"/>
                    <w:jc w:val="center"/>
                    <w:rPr>
                      <w:sz w:val="18"/>
                      <w:szCs w:val="18"/>
                    </w:rPr>
                  </w:pPr>
                  <w:r w:rsidRPr="00DC0807">
                    <w:rPr>
                      <w:sz w:val="18"/>
                      <w:szCs w:val="18"/>
                    </w:rPr>
                    <w:t>$469.93</w:t>
                  </w:r>
                </w:p>
              </w:tc>
              <w:tc>
                <w:tcPr>
                  <w:tcW w:w="823" w:type="dxa"/>
                  <w:vAlign w:val="center"/>
                </w:tcPr>
                <w:p w:rsidR="00792F57" w:rsidRPr="00DC0807" w:rsidRDefault="00792F57" w:rsidP="002034E2">
                  <w:pPr>
                    <w:pStyle w:val="Tabletext"/>
                    <w:ind w:left="-140" w:right="-55"/>
                    <w:jc w:val="center"/>
                    <w:rPr>
                      <w:sz w:val="18"/>
                      <w:szCs w:val="18"/>
                    </w:rPr>
                  </w:pPr>
                  <w:r w:rsidRPr="00DC0807">
                    <w:rPr>
                      <w:sz w:val="18"/>
                      <w:szCs w:val="18"/>
                    </w:rPr>
                    <w:t>$1,066.68</w:t>
                  </w:r>
                </w:p>
              </w:tc>
            </w:tr>
            <w:tr w:rsidR="00792F57" w:rsidRPr="00DC0807" w:rsidTr="00A409A4">
              <w:tc>
                <w:tcPr>
                  <w:tcW w:w="1724" w:type="dxa"/>
                </w:tcPr>
                <w:p w:rsidR="00792F57" w:rsidRPr="00DC0807" w:rsidRDefault="00792F57" w:rsidP="00A409A4">
                  <w:pPr>
                    <w:pStyle w:val="Tabletext"/>
                    <w:ind w:left="-82"/>
                    <w:rPr>
                      <w:sz w:val="18"/>
                      <w:szCs w:val="18"/>
                    </w:rPr>
                  </w:pPr>
                  <w:r w:rsidRPr="00DC0807">
                    <w:rPr>
                      <w:sz w:val="18"/>
                      <w:szCs w:val="18"/>
                    </w:rPr>
                    <w:t>1963H 50mg syringes</w:t>
                  </w:r>
                </w:p>
              </w:tc>
              <w:tc>
                <w:tcPr>
                  <w:tcW w:w="352" w:type="dxa"/>
                  <w:vAlign w:val="center"/>
                </w:tcPr>
                <w:p w:rsidR="00792F57" w:rsidRPr="00DC0807" w:rsidRDefault="00792F57" w:rsidP="00B8612B">
                  <w:pPr>
                    <w:pStyle w:val="Tabletext"/>
                    <w:jc w:val="center"/>
                    <w:rPr>
                      <w:sz w:val="18"/>
                      <w:szCs w:val="18"/>
                    </w:rPr>
                  </w:pPr>
                  <w:r w:rsidRPr="00DC0807">
                    <w:rPr>
                      <w:sz w:val="18"/>
                      <w:szCs w:val="18"/>
                    </w:rPr>
                    <w:t>1</w:t>
                  </w:r>
                </w:p>
              </w:tc>
              <w:tc>
                <w:tcPr>
                  <w:tcW w:w="640" w:type="dxa"/>
                  <w:vAlign w:val="center"/>
                </w:tcPr>
                <w:p w:rsidR="00792F57" w:rsidRPr="00DC0807" w:rsidRDefault="00792F57" w:rsidP="00A409A4">
                  <w:pPr>
                    <w:pStyle w:val="Tabletext"/>
                    <w:ind w:left="-110" w:right="-111"/>
                    <w:jc w:val="center"/>
                    <w:rPr>
                      <w:sz w:val="18"/>
                      <w:szCs w:val="18"/>
                    </w:rPr>
                  </w:pPr>
                  <w:r w:rsidRPr="00DC0807">
                    <w:rPr>
                      <w:sz w:val="18"/>
                      <w:szCs w:val="18"/>
                    </w:rPr>
                    <w:t>$939.25</w:t>
                  </w:r>
                </w:p>
              </w:tc>
              <w:tc>
                <w:tcPr>
                  <w:tcW w:w="823" w:type="dxa"/>
                  <w:vAlign w:val="center"/>
                </w:tcPr>
                <w:p w:rsidR="00792F57" w:rsidRPr="00DC0807" w:rsidRDefault="00792F57" w:rsidP="002034E2">
                  <w:pPr>
                    <w:pStyle w:val="Tabletext"/>
                    <w:ind w:left="-140" w:right="-55"/>
                    <w:jc w:val="center"/>
                    <w:rPr>
                      <w:sz w:val="18"/>
                      <w:szCs w:val="18"/>
                    </w:rPr>
                  </w:pPr>
                  <w:r w:rsidRPr="00DC0807">
                    <w:rPr>
                      <w:sz w:val="18"/>
                      <w:szCs w:val="18"/>
                    </w:rPr>
                    <w:t>$1,066.67</w:t>
                  </w:r>
                </w:p>
              </w:tc>
            </w:tr>
            <w:tr w:rsidR="00792F57" w:rsidRPr="00DC0807" w:rsidTr="00A409A4">
              <w:tc>
                <w:tcPr>
                  <w:tcW w:w="1724" w:type="dxa"/>
                </w:tcPr>
                <w:p w:rsidR="00792F57" w:rsidRPr="00DC0807" w:rsidRDefault="00792F57" w:rsidP="00A409A4">
                  <w:pPr>
                    <w:pStyle w:val="Tabletext"/>
                    <w:ind w:left="-82"/>
                    <w:rPr>
                      <w:sz w:val="18"/>
                      <w:szCs w:val="18"/>
                    </w:rPr>
                  </w:pPr>
                  <w:r w:rsidRPr="00DC0807">
                    <w:rPr>
                      <w:sz w:val="18"/>
                      <w:szCs w:val="18"/>
                    </w:rPr>
                    <w:t>1964J 50mg pens</w:t>
                  </w:r>
                </w:p>
              </w:tc>
              <w:tc>
                <w:tcPr>
                  <w:tcW w:w="352" w:type="dxa"/>
                  <w:vAlign w:val="center"/>
                </w:tcPr>
                <w:p w:rsidR="00792F57" w:rsidRPr="00DC0807" w:rsidRDefault="00792F57" w:rsidP="00B8612B">
                  <w:pPr>
                    <w:pStyle w:val="Tabletext"/>
                    <w:jc w:val="center"/>
                    <w:rPr>
                      <w:sz w:val="18"/>
                      <w:szCs w:val="18"/>
                    </w:rPr>
                  </w:pPr>
                  <w:r w:rsidRPr="00DC0807">
                    <w:rPr>
                      <w:sz w:val="18"/>
                      <w:szCs w:val="18"/>
                    </w:rPr>
                    <w:t>1</w:t>
                  </w:r>
                </w:p>
              </w:tc>
              <w:tc>
                <w:tcPr>
                  <w:tcW w:w="640" w:type="dxa"/>
                  <w:vAlign w:val="center"/>
                </w:tcPr>
                <w:p w:rsidR="00792F57" w:rsidRPr="00DC0807" w:rsidRDefault="00792F57" w:rsidP="00A409A4">
                  <w:pPr>
                    <w:pStyle w:val="Tabletext"/>
                    <w:ind w:left="-110" w:right="-111"/>
                    <w:jc w:val="center"/>
                    <w:rPr>
                      <w:sz w:val="18"/>
                      <w:szCs w:val="18"/>
                    </w:rPr>
                  </w:pPr>
                  <w:r w:rsidRPr="00DC0807">
                    <w:rPr>
                      <w:sz w:val="18"/>
                      <w:szCs w:val="18"/>
                    </w:rPr>
                    <w:t>$939.25</w:t>
                  </w:r>
                </w:p>
              </w:tc>
              <w:tc>
                <w:tcPr>
                  <w:tcW w:w="823" w:type="dxa"/>
                  <w:vAlign w:val="center"/>
                </w:tcPr>
                <w:p w:rsidR="00792F57" w:rsidRPr="00DC0807" w:rsidRDefault="00792F57" w:rsidP="002034E2">
                  <w:pPr>
                    <w:pStyle w:val="Tabletext"/>
                    <w:ind w:left="-140" w:right="-55"/>
                    <w:jc w:val="center"/>
                    <w:rPr>
                      <w:sz w:val="18"/>
                      <w:szCs w:val="18"/>
                    </w:rPr>
                  </w:pPr>
                  <w:r w:rsidRPr="00DC0807">
                    <w:rPr>
                      <w:sz w:val="18"/>
                      <w:szCs w:val="18"/>
                    </w:rPr>
                    <w:t>$1,066.67</w:t>
                  </w:r>
                </w:p>
              </w:tc>
            </w:tr>
          </w:tbl>
          <w:p w:rsidR="00792F57" w:rsidRPr="00DC0807" w:rsidRDefault="00792F57" w:rsidP="00B8612B">
            <w:pPr>
              <w:pStyle w:val="Tabletext"/>
            </w:pPr>
          </w:p>
        </w:tc>
        <w:tc>
          <w:tcPr>
            <w:tcW w:w="2158" w:type="pct"/>
            <w:vAlign w:val="center"/>
          </w:tcPr>
          <w:p w:rsidR="00792F57" w:rsidRPr="00DC0807" w:rsidRDefault="00792F57" w:rsidP="00B8612B">
            <w:pPr>
              <w:pStyle w:val="Tabletext"/>
            </w:pPr>
            <w:r w:rsidRPr="00DC0807">
              <w:t>The submission assumed all etanercept patients received 50</w:t>
            </w:r>
            <w:r w:rsidR="0013651F" w:rsidRPr="00DC0807">
              <w:t xml:space="preserve"> </w:t>
            </w:r>
            <w:r w:rsidRPr="00DC0807">
              <w:t xml:space="preserve">mg </w:t>
            </w:r>
            <w:r w:rsidR="00391485" w:rsidRPr="00DC0807">
              <w:t>per dose</w:t>
            </w:r>
            <w:r w:rsidRPr="00DC0807">
              <w:t>. This was inconsistent with the approach taken in the economic evaluation</w:t>
            </w:r>
            <w:r w:rsidR="00AA1D26">
              <w:t>,</w:t>
            </w:r>
            <w:r w:rsidRPr="00DC0807">
              <w:t xml:space="preserve"> </w:t>
            </w:r>
            <w:r w:rsidR="00391485" w:rsidRPr="00DC0807">
              <w:t xml:space="preserve">which </w:t>
            </w:r>
            <w:r w:rsidRPr="00DC0807">
              <w:t>assumed 10.7% of etanercep</w:t>
            </w:r>
            <w:r w:rsidR="00391485" w:rsidRPr="00DC0807">
              <w:t>t patients were dosed at 25</w:t>
            </w:r>
            <w:r w:rsidR="0013651F" w:rsidRPr="00DC0807">
              <w:t xml:space="preserve"> </w:t>
            </w:r>
            <w:r w:rsidR="00391485" w:rsidRPr="00DC0807">
              <w:t xml:space="preserve">mg. </w:t>
            </w:r>
            <w:r w:rsidRPr="00DC0807">
              <w:t>AEMP for each dose of etanercept was estimated to be $</w:t>
            </w:r>
            <w:r w:rsidR="006B6F2B">
              <w:rPr>
                <w:noProof/>
                <w:color w:val="000000"/>
                <w:highlight w:val="black"/>
              </w:rPr>
              <w:t>''''''''</w:t>
            </w:r>
            <w:r w:rsidRPr="00DC0807">
              <w:t xml:space="preserve"> in the economic evaluation. This resulted in an overestimate in the cost offsets in the financial estimates. </w:t>
            </w:r>
            <w:r w:rsidR="000F09F4" w:rsidRPr="00DC0807">
              <w:t>This was addressed in the PSCR.</w:t>
            </w:r>
          </w:p>
          <w:p w:rsidR="00792F57" w:rsidRPr="00DC0807" w:rsidRDefault="00792F57" w:rsidP="00B8612B">
            <w:pPr>
              <w:pStyle w:val="Tabletext"/>
            </w:pPr>
          </w:p>
          <w:p w:rsidR="00792F57" w:rsidRPr="00DC0807" w:rsidRDefault="000F09F4" w:rsidP="00B8612B">
            <w:pPr>
              <w:pStyle w:val="Tabletext"/>
            </w:pPr>
            <w:r w:rsidRPr="00DC0807">
              <w:t>Updated during evaluation to account for new PBS fees from 1 January 2021.</w:t>
            </w:r>
          </w:p>
        </w:tc>
      </w:tr>
    </w:tbl>
    <w:p w:rsidR="00792F57" w:rsidRPr="00DC0807" w:rsidRDefault="00792F57" w:rsidP="00792F57">
      <w:pPr>
        <w:pStyle w:val="TableFooter"/>
      </w:pPr>
      <w:r w:rsidRPr="00DC0807">
        <w:t xml:space="preserve">Source: Table 4-1, p193 of the submission, and complied during evaluation. </w:t>
      </w:r>
    </w:p>
    <w:p w:rsidR="00792F57" w:rsidRPr="00DC0807" w:rsidRDefault="00792F57" w:rsidP="00AC0C89">
      <w:pPr>
        <w:pStyle w:val="TableFooter"/>
        <w:spacing w:after="120"/>
        <w:rPr>
          <w:sz w:val="20"/>
        </w:rPr>
      </w:pPr>
      <w:r w:rsidRPr="00DC0807">
        <w:t>ABS = Australia Bureau of Statistics; PASI = psoriasis area and severity index; CPP = chronic plaque psoriasis; PBS = pharmaceutical benefits scheme; RPBS = repatriation pharmac</w:t>
      </w:r>
      <w:r w:rsidR="00E27672" w:rsidRPr="00DC0807">
        <w:t>eutical benefits scheme; MBS = M</w:t>
      </w:r>
      <w:r w:rsidRPr="00DC0807">
        <w:t>edicare benefits schedule; AEMP = approved ex-manufacturer price; DPMQ = dispensed price for maximum quantity; qty = quantity</w:t>
      </w:r>
      <w:r w:rsidR="000F09F4" w:rsidRPr="00DC0807">
        <w:t>; wk = week</w:t>
      </w:r>
      <w:r w:rsidRPr="00DC0807">
        <w:t xml:space="preserve">. </w:t>
      </w:r>
    </w:p>
    <w:p w:rsidR="004C3AC1" w:rsidRPr="00DC0807" w:rsidRDefault="004C3AC1" w:rsidP="00A927F1">
      <w:pPr>
        <w:pStyle w:val="ListParagraph"/>
        <w:widowControl/>
        <w:numPr>
          <w:ilvl w:val="1"/>
          <w:numId w:val="1"/>
        </w:numPr>
      </w:pPr>
      <w:r w:rsidRPr="00DC0807">
        <w:t xml:space="preserve">The submission used a mixed market share and epidemiological approach to estimate the utilisation and financial impact of listing ustekinumab on the PBS for paediatric severe CPP. </w:t>
      </w:r>
    </w:p>
    <w:p w:rsidR="00AC0C89" w:rsidRPr="00DC0807" w:rsidRDefault="00AC0C89" w:rsidP="00A927F1">
      <w:pPr>
        <w:pStyle w:val="ListParagraph"/>
        <w:widowControl/>
        <w:numPr>
          <w:ilvl w:val="1"/>
          <w:numId w:val="1"/>
        </w:numPr>
      </w:pPr>
      <w:r w:rsidRPr="00DC0807">
        <w:t xml:space="preserve">The estimated financial </w:t>
      </w:r>
      <w:r w:rsidR="00AA1D26">
        <w:t>implications</w:t>
      </w:r>
      <w:r w:rsidR="00AA1D26" w:rsidRPr="00DC0807">
        <w:t xml:space="preserve"> </w:t>
      </w:r>
      <w:r w:rsidRPr="00DC0807">
        <w:t xml:space="preserve">of listing ustekinumab for paediatric severe CPP are presented in </w:t>
      </w:r>
      <w:r w:rsidR="00AE572A" w:rsidRPr="00DC0807">
        <w:t>the table below.</w:t>
      </w:r>
      <w:r w:rsidRPr="00DC0807">
        <w:t xml:space="preserve"> </w:t>
      </w:r>
    </w:p>
    <w:p w:rsidR="004C3AC1" w:rsidRPr="00DC0807" w:rsidRDefault="00AE572A" w:rsidP="00AE572A">
      <w:pPr>
        <w:pStyle w:val="Caption"/>
        <w:keepNext/>
        <w:spacing w:after="0"/>
        <w:rPr>
          <w:rStyle w:val="CommentReference"/>
          <w:b/>
          <w:color w:val="auto"/>
          <w:szCs w:val="22"/>
        </w:rPr>
      </w:pPr>
      <w:bookmarkStart w:id="33" w:name="_Ref61138726"/>
      <w:r w:rsidRPr="00DC0807">
        <w:rPr>
          <w:rFonts w:ascii="Arial Narrow" w:hAnsi="Arial Narrow"/>
          <w:color w:val="auto"/>
          <w:sz w:val="20"/>
          <w:szCs w:val="22"/>
        </w:rPr>
        <w:t>Table 16</w:t>
      </w:r>
      <w:bookmarkEnd w:id="33"/>
      <w:r w:rsidR="004C3AC1" w:rsidRPr="00DC0807">
        <w:rPr>
          <w:rStyle w:val="CommentReference"/>
          <w:color w:val="auto"/>
          <w:szCs w:val="22"/>
        </w:rPr>
        <w:t>:</w:t>
      </w:r>
      <w:r w:rsidR="004C3AC1" w:rsidRPr="00DC0807">
        <w:rPr>
          <w:rStyle w:val="CommentReference"/>
          <w:b/>
          <w:color w:val="auto"/>
          <w:szCs w:val="22"/>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61"/>
        <w:gridCol w:w="990"/>
        <w:gridCol w:w="990"/>
        <w:gridCol w:w="990"/>
        <w:gridCol w:w="1114"/>
        <w:gridCol w:w="985"/>
        <w:gridCol w:w="986"/>
      </w:tblGrid>
      <w:tr w:rsidR="00ED4F33" w:rsidRPr="00DC0807" w:rsidTr="006B6F2B">
        <w:trPr>
          <w:tblHeader/>
        </w:trPr>
        <w:tc>
          <w:tcPr>
            <w:tcW w:w="1642" w:type="pct"/>
            <w:shd w:val="clear" w:color="auto" w:fill="auto"/>
            <w:vAlign w:val="center"/>
          </w:tcPr>
          <w:p w:rsidR="004C3AC1" w:rsidRPr="00DC0807" w:rsidRDefault="004C3AC1" w:rsidP="00AC0C89">
            <w:pPr>
              <w:pStyle w:val="Tabletext"/>
              <w:keepNext/>
              <w:keepLines/>
              <w:rPr>
                <w:b/>
                <w:szCs w:val="20"/>
              </w:rPr>
            </w:pPr>
          </w:p>
        </w:tc>
        <w:tc>
          <w:tcPr>
            <w:tcW w:w="549" w:type="pct"/>
            <w:shd w:val="clear" w:color="auto" w:fill="auto"/>
            <w:vAlign w:val="center"/>
          </w:tcPr>
          <w:p w:rsidR="004C3AC1" w:rsidRPr="00DC0807" w:rsidRDefault="004C3AC1" w:rsidP="00AC0C89">
            <w:pPr>
              <w:pStyle w:val="Tabletext"/>
              <w:keepNext/>
              <w:keepLines/>
              <w:jc w:val="center"/>
              <w:rPr>
                <w:b/>
                <w:szCs w:val="20"/>
              </w:rPr>
            </w:pPr>
            <w:r w:rsidRPr="00DC0807">
              <w:rPr>
                <w:b/>
                <w:szCs w:val="20"/>
              </w:rPr>
              <w:t>Year 1</w:t>
            </w:r>
          </w:p>
        </w:tc>
        <w:tc>
          <w:tcPr>
            <w:tcW w:w="549" w:type="pct"/>
            <w:shd w:val="clear" w:color="auto" w:fill="auto"/>
            <w:vAlign w:val="center"/>
          </w:tcPr>
          <w:p w:rsidR="004C3AC1" w:rsidRPr="00DC0807" w:rsidRDefault="004C3AC1" w:rsidP="00AC0C89">
            <w:pPr>
              <w:pStyle w:val="Tabletext"/>
              <w:keepNext/>
              <w:keepLines/>
              <w:jc w:val="center"/>
              <w:rPr>
                <w:b/>
                <w:szCs w:val="20"/>
              </w:rPr>
            </w:pPr>
            <w:r w:rsidRPr="00DC0807">
              <w:rPr>
                <w:b/>
                <w:szCs w:val="20"/>
              </w:rPr>
              <w:t>Year 2</w:t>
            </w:r>
          </w:p>
        </w:tc>
        <w:tc>
          <w:tcPr>
            <w:tcW w:w="549" w:type="pct"/>
            <w:shd w:val="clear" w:color="auto" w:fill="auto"/>
            <w:vAlign w:val="center"/>
          </w:tcPr>
          <w:p w:rsidR="004C3AC1" w:rsidRPr="00DC0807" w:rsidRDefault="004C3AC1" w:rsidP="00AC0C89">
            <w:pPr>
              <w:pStyle w:val="Tabletext"/>
              <w:keepNext/>
              <w:keepLines/>
              <w:jc w:val="center"/>
              <w:rPr>
                <w:b/>
                <w:szCs w:val="20"/>
              </w:rPr>
            </w:pPr>
            <w:r w:rsidRPr="00DC0807">
              <w:rPr>
                <w:b/>
                <w:szCs w:val="20"/>
              </w:rPr>
              <w:t>Year 3</w:t>
            </w:r>
          </w:p>
        </w:tc>
        <w:tc>
          <w:tcPr>
            <w:tcW w:w="618" w:type="pct"/>
            <w:shd w:val="clear" w:color="auto" w:fill="auto"/>
            <w:vAlign w:val="center"/>
          </w:tcPr>
          <w:p w:rsidR="004C3AC1" w:rsidRPr="00DC0807" w:rsidRDefault="004C3AC1" w:rsidP="00AC0C89">
            <w:pPr>
              <w:pStyle w:val="Tabletext"/>
              <w:keepNext/>
              <w:keepLines/>
              <w:jc w:val="center"/>
              <w:rPr>
                <w:b/>
                <w:szCs w:val="20"/>
              </w:rPr>
            </w:pPr>
            <w:r w:rsidRPr="00DC0807">
              <w:rPr>
                <w:b/>
                <w:szCs w:val="20"/>
              </w:rPr>
              <w:t>Year 4</w:t>
            </w:r>
          </w:p>
        </w:tc>
        <w:tc>
          <w:tcPr>
            <w:tcW w:w="546" w:type="pct"/>
            <w:shd w:val="clear" w:color="auto" w:fill="auto"/>
            <w:vAlign w:val="center"/>
          </w:tcPr>
          <w:p w:rsidR="004C3AC1" w:rsidRPr="00DC0807" w:rsidRDefault="004C3AC1" w:rsidP="00AC0C89">
            <w:pPr>
              <w:pStyle w:val="Tabletext"/>
              <w:keepNext/>
              <w:keepLines/>
              <w:jc w:val="center"/>
              <w:rPr>
                <w:b/>
                <w:szCs w:val="20"/>
              </w:rPr>
            </w:pPr>
            <w:r w:rsidRPr="00DC0807">
              <w:rPr>
                <w:b/>
                <w:szCs w:val="20"/>
              </w:rPr>
              <w:t>Year 5</w:t>
            </w:r>
          </w:p>
        </w:tc>
        <w:tc>
          <w:tcPr>
            <w:tcW w:w="546" w:type="pct"/>
            <w:shd w:val="clear" w:color="auto" w:fill="auto"/>
            <w:vAlign w:val="center"/>
          </w:tcPr>
          <w:p w:rsidR="004C3AC1" w:rsidRPr="00DC0807" w:rsidRDefault="004C3AC1" w:rsidP="00AC0C89">
            <w:pPr>
              <w:pStyle w:val="Tabletext"/>
              <w:keepNext/>
              <w:keepLines/>
              <w:jc w:val="center"/>
              <w:rPr>
                <w:b/>
                <w:szCs w:val="20"/>
              </w:rPr>
            </w:pPr>
            <w:r w:rsidRPr="00DC0807">
              <w:rPr>
                <w:b/>
                <w:szCs w:val="20"/>
              </w:rPr>
              <w:t>Year 6</w:t>
            </w:r>
          </w:p>
        </w:tc>
      </w:tr>
      <w:tr w:rsidR="004C3AC1" w:rsidRPr="00DC0807" w:rsidTr="006B6F2B">
        <w:tc>
          <w:tcPr>
            <w:tcW w:w="5000" w:type="pct"/>
            <w:gridSpan w:val="7"/>
            <w:shd w:val="clear" w:color="auto" w:fill="auto"/>
            <w:vAlign w:val="center"/>
          </w:tcPr>
          <w:p w:rsidR="004C3AC1" w:rsidRPr="00DC0807" w:rsidRDefault="002850D9" w:rsidP="002850D9">
            <w:pPr>
              <w:pStyle w:val="Tabletext"/>
              <w:keepNext/>
              <w:keepLines/>
              <w:rPr>
                <w:rFonts w:cs="Arial"/>
                <w:b/>
                <w:color w:val="000000"/>
                <w:szCs w:val="20"/>
              </w:rPr>
            </w:pPr>
            <w:r>
              <w:rPr>
                <w:rFonts w:cs="Arial"/>
                <w:b/>
                <w:color w:val="000000"/>
                <w:szCs w:val="20"/>
              </w:rPr>
              <w:t>Estimated</w:t>
            </w:r>
            <w:r w:rsidR="004C3AC1" w:rsidRPr="00DC0807">
              <w:rPr>
                <w:rFonts w:cs="Arial"/>
                <w:b/>
                <w:color w:val="000000"/>
                <w:szCs w:val="20"/>
              </w:rPr>
              <w:t xml:space="preserve"> use and financial </w:t>
            </w:r>
            <w:r>
              <w:rPr>
                <w:rFonts w:cs="Arial"/>
                <w:b/>
                <w:color w:val="000000"/>
                <w:szCs w:val="20"/>
              </w:rPr>
              <w:t>implications</w:t>
            </w:r>
            <w:r w:rsidRPr="00DC0807">
              <w:rPr>
                <w:rFonts w:cs="Arial"/>
                <w:b/>
                <w:color w:val="000000"/>
                <w:szCs w:val="20"/>
              </w:rPr>
              <w:t xml:space="preserve"> </w:t>
            </w:r>
            <w:r w:rsidR="004C3AC1" w:rsidRPr="00DC0807">
              <w:rPr>
                <w:rFonts w:cs="Arial"/>
                <w:b/>
                <w:color w:val="000000"/>
                <w:szCs w:val="20"/>
              </w:rPr>
              <w:t xml:space="preserve">of </w:t>
            </w:r>
            <w:r>
              <w:rPr>
                <w:rFonts w:cs="Arial"/>
                <w:b/>
                <w:color w:val="000000"/>
                <w:szCs w:val="20"/>
              </w:rPr>
              <w:t>ustekinumab</w:t>
            </w:r>
            <w:r w:rsidR="004C3AC1" w:rsidRPr="00DC0807">
              <w:rPr>
                <w:rFonts w:cs="Arial"/>
                <w:b/>
                <w:color w:val="000000"/>
                <w:szCs w:val="20"/>
              </w:rPr>
              <w:t xml:space="preserve"> (PBS</w:t>
            </w:r>
            <w:r>
              <w:rPr>
                <w:rFonts w:cs="Arial"/>
                <w:b/>
                <w:color w:val="000000"/>
                <w:szCs w:val="20"/>
              </w:rPr>
              <w:t>/</w:t>
            </w:r>
            <w:r w:rsidR="004C3AC1" w:rsidRPr="00DC0807">
              <w:rPr>
                <w:rFonts w:cs="Arial"/>
                <w:b/>
                <w:color w:val="000000"/>
                <w:szCs w:val="20"/>
              </w:rPr>
              <w:t>RPBS)</w:t>
            </w:r>
          </w:p>
        </w:tc>
      </w:tr>
      <w:tr w:rsidR="00ED4F33" w:rsidRPr="00DC0807" w:rsidTr="006B6F2B">
        <w:tc>
          <w:tcPr>
            <w:tcW w:w="1642" w:type="pct"/>
            <w:shd w:val="clear" w:color="auto" w:fill="auto"/>
            <w:vAlign w:val="center"/>
          </w:tcPr>
          <w:p w:rsidR="004C3AC1" w:rsidRPr="00DC0807" w:rsidRDefault="004C3AC1" w:rsidP="00AC0C89">
            <w:pPr>
              <w:pStyle w:val="Tabletext"/>
              <w:keepNext/>
              <w:keepLines/>
              <w:rPr>
                <w:szCs w:val="20"/>
              </w:rPr>
            </w:pPr>
            <w:r w:rsidRPr="00DC0807">
              <w:rPr>
                <w:szCs w:val="20"/>
              </w:rPr>
              <w:t xml:space="preserve">Initiating patients </w:t>
            </w:r>
          </w:p>
        </w:tc>
        <w:tc>
          <w:tcPr>
            <w:tcW w:w="549" w:type="pct"/>
            <w:shd w:val="clear" w:color="auto" w:fill="auto"/>
            <w:vAlign w:val="center"/>
          </w:tcPr>
          <w:p w:rsidR="004C3AC1" w:rsidRPr="006B6F2B" w:rsidRDefault="006B6F2B" w:rsidP="00AC0C89">
            <w:pPr>
              <w:pStyle w:val="Tabletext"/>
              <w:keepNext/>
              <w:keepLines/>
              <w:jc w:val="center"/>
              <w:rPr>
                <w:rFonts w:cs="Arial"/>
                <w:color w:val="000000"/>
                <w:szCs w:val="20"/>
                <w:vertAlign w:val="superscript"/>
              </w:rPr>
            </w:pPr>
            <w:r>
              <w:rPr>
                <w:rFonts w:cs="Arial"/>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color w:val="000000"/>
                <w:szCs w:val="20"/>
              </w:rPr>
            </w:pPr>
            <w:r>
              <w:rPr>
                <w:rFonts w:cs="Arial"/>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color w:val="000000"/>
                <w:szCs w:val="20"/>
              </w:rPr>
            </w:pPr>
            <w:r>
              <w:rPr>
                <w:rFonts w:cs="Arial"/>
                <w:noProof/>
                <w:color w:val="000000"/>
                <w:szCs w:val="20"/>
                <w:highlight w:val="black"/>
              </w:rPr>
              <w:t>'''''''</w:t>
            </w:r>
            <w:r w:rsidR="00837034" w:rsidRPr="00837034">
              <w:rPr>
                <w:rFonts w:cs="Arial"/>
                <w:color w:val="000000"/>
                <w:szCs w:val="20"/>
                <w:vertAlign w:val="superscript"/>
              </w:rPr>
              <w:t>1</w:t>
            </w:r>
          </w:p>
        </w:tc>
        <w:tc>
          <w:tcPr>
            <w:tcW w:w="618" w:type="pct"/>
            <w:shd w:val="clear" w:color="auto" w:fill="auto"/>
            <w:vAlign w:val="center"/>
          </w:tcPr>
          <w:p w:rsidR="004C3AC1" w:rsidRPr="006B6F2B" w:rsidRDefault="006B6F2B" w:rsidP="00AC0C89">
            <w:pPr>
              <w:pStyle w:val="Tabletext"/>
              <w:keepNext/>
              <w:keepLines/>
              <w:jc w:val="center"/>
              <w:rPr>
                <w:rFonts w:cs="Arial"/>
                <w:color w:val="000000"/>
                <w:szCs w:val="20"/>
              </w:rPr>
            </w:pPr>
            <w:r>
              <w:rPr>
                <w:rFonts w:cs="Arial"/>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color w:val="000000"/>
                <w:szCs w:val="20"/>
              </w:rPr>
            </w:pPr>
            <w:r>
              <w:rPr>
                <w:rFonts w:cs="Arial"/>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ED4F33">
            <w:pPr>
              <w:pStyle w:val="Tabletext"/>
              <w:keepNext/>
              <w:keepLines/>
              <w:jc w:val="center"/>
              <w:rPr>
                <w:rFonts w:cs="Arial"/>
                <w:color w:val="000000"/>
                <w:szCs w:val="20"/>
              </w:rPr>
            </w:pPr>
            <w:r>
              <w:rPr>
                <w:rFonts w:cs="Arial"/>
                <w:noProof/>
                <w:color w:val="000000"/>
                <w:szCs w:val="20"/>
                <w:highlight w:val="black"/>
              </w:rPr>
              <w:t>''''''</w:t>
            </w:r>
            <w:r w:rsidR="00837034" w:rsidRPr="00837034">
              <w:rPr>
                <w:rFonts w:cs="Arial"/>
                <w:color w:val="000000"/>
                <w:szCs w:val="20"/>
                <w:vertAlign w:val="superscript"/>
              </w:rPr>
              <w:t>1</w:t>
            </w:r>
          </w:p>
        </w:tc>
      </w:tr>
      <w:tr w:rsidR="00ED4F33" w:rsidRPr="00DC0807" w:rsidTr="006B6F2B">
        <w:tc>
          <w:tcPr>
            <w:tcW w:w="1642" w:type="pct"/>
            <w:shd w:val="clear" w:color="auto" w:fill="auto"/>
            <w:vAlign w:val="center"/>
          </w:tcPr>
          <w:p w:rsidR="004C3AC1" w:rsidRPr="00DC0807" w:rsidRDefault="004C3AC1" w:rsidP="0002233C">
            <w:pPr>
              <w:pStyle w:val="Tabletext"/>
              <w:keepNext/>
              <w:keepLines/>
              <w:rPr>
                <w:szCs w:val="20"/>
              </w:rPr>
            </w:pPr>
            <w:r w:rsidRPr="00DC0807">
              <w:rPr>
                <w:szCs w:val="20"/>
              </w:rPr>
              <w:t>Cont</w:t>
            </w:r>
            <w:r w:rsidR="0002233C">
              <w:rPr>
                <w:szCs w:val="20"/>
              </w:rPr>
              <w:t>.</w:t>
            </w:r>
            <w:r w:rsidRPr="00DC0807">
              <w:rPr>
                <w:szCs w:val="20"/>
              </w:rPr>
              <w:t xml:space="preserve"> patients (first cont</w:t>
            </w:r>
            <w:r w:rsidR="0002233C">
              <w:rPr>
                <w:szCs w:val="20"/>
              </w:rPr>
              <w:t xml:space="preserve">. </w:t>
            </w:r>
            <w:r w:rsidRPr="00DC0807">
              <w:rPr>
                <w:szCs w:val="20"/>
              </w:rPr>
              <w:t>treatment)</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618"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r>
      <w:tr w:rsidR="00ED4F33" w:rsidRPr="00DC0807" w:rsidTr="006B6F2B">
        <w:tc>
          <w:tcPr>
            <w:tcW w:w="1642" w:type="pct"/>
            <w:shd w:val="clear" w:color="auto" w:fill="auto"/>
            <w:vAlign w:val="center"/>
          </w:tcPr>
          <w:p w:rsidR="004C3AC1" w:rsidRPr="00DC0807" w:rsidRDefault="004C3AC1" w:rsidP="00AC0C89">
            <w:pPr>
              <w:pStyle w:val="Tabletext"/>
              <w:keepNext/>
              <w:keepLines/>
              <w:rPr>
                <w:szCs w:val="20"/>
              </w:rPr>
            </w:pPr>
            <w:r w:rsidRPr="00DC0807">
              <w:rPr>
                <w:szCs w:val="20"/>
              </w:rPr>
              <w:t>Cont</w:t>
            </w:r>
            <w:r w:rsidR="0002233C">
              <w:rPr>
                <w:szCs w:val="20"/>
              </w:rPr>
              <w:t>.</w:t>
            </w:r>
            <w:r w:rsidRPr="00DC0807">
              <w:rPr>
                <w:szCs w:val="20"/>
              </w:rPr>
              <w:t xml:space="preserve"> patients (subsequent treatments)</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618"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rFonts w:cs="Arial"/>
                <w:noProof/>
                <w:color w:val="000000"/>
                <w:szCs w:val="20"/>
                <w:highlight w:val="black"/>
              </w:rPr>
              <w:t>''''''''</w:t>
            </w:r>
            <w:r w:rsidR="00837034" w:rsidRPr="00837034">
              <w:rPr>
                <w:rFonts w:cs="Arial"/>
                <w:color w:val="000000"/>
                <w:szCs w:val="20"/>
                <w:vertAlign w:val="superscript"/>
              </w:rPr>
              <w:t>1</w:t>
            </w:r>
          </w:p>
        </w:tc>
      </w:tr>
      <w:tr w:rsidR="004C3AC1" w:rsidRPr="00DC0807" w:rsidTr="006B6F2B">
        <w:tc>
          <w:tcPr>
            <w:tcW w:w="5000" w:type="pct"/>
            <w:gridSpan w:val="7"/>
            <w:shd w:val="clear" w:color="auto" w:fill="auto"/>
            <w:vAlign w:val="center"/>
          </w:tcPr>
          <w:p w:rsidR="004C3AC1" w:rsidRPr="00ED4F33" w:rsidRDefault="004C3AC1" w:rsidP="00AC0C89">
            <w:pPr>
              <w:pStyle w:val="Tabletext"/>
              <w:keepNext/>
              <w:keepLines/>
              <w:rPr>
                <w:szCs w:val="20"/>
              </w:rPr>
            </w:pPr>
            <w:r w:rsidRPr="00ED4F33">
              <w:rPr>
                <w:szCs w:val="20"/>
              </w:rPr>
              <w:t>Script numbers</w:t>
            </w:r>
            <w:r w:rsidRPr="00ED4F33">
              <w:rPr>
                <w:szCs w:val="20"/>
                <w:vertAlign w:val="superscript"/>
              </w:rPr>
              <w:t>a</w:t>
            </w:r>
          </w:p>
        </w:tc>
      </w:tr>
      <w:tr w:rsidR="00ED4F33" w:rsidRPr="00DC0807" w:rsidTr="006B6F2B">
        <w:tc>
          <w:tcPr>
            <w:tcW w:w="1642" w:type="pct"/>
            <w:shd w:val="clear" w:color="auto" w:fill="auto"/>
            <w:vAlign w:val="center"/>
          </w:tcPr>
          <w:p w:rsidR="004C3AC1" w:rsidRPr="00DC0807" w:rsidRDefault="004C3AC1" w:rsidP="00AC0C89">
            <w:pPr>
              <w:pStyle w:val="Tabletext"/>
              <w:keepNext/>
              <w:keepLines/>
              <w:rPr>
                <w:szCs w:val="20"/>
              </w:rPr>
            </w:pPr>
            <w:r w:rsidRPr="00DC0807">
              <w:rPr>
                <w:szCs w:val="20"/>
              </w:rPr>
              <w:t xml:space="preserve">Initial treatment </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618"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r>
      <w:tr w:rsidR="00ED4F33" w:rsidRPr="00DC0807" w:rsidTr="006B6F2B">
        <w:tc>
          <w:tcPr>
            <w:tcW w:w="1642" w:type="pct"/>
            <w:shd w:val="clear" w:color="auto" w:fill="auto"/>
            <w:vAlign w:val="center"/>
          </w:tcPr>
          <w:p w:rsidR="004C3AC1" w:rsidRPr="00DC0807" w:rsidRDefault="004C3AC1" w:rsidP="0002233C">
            <w:pPr>
              <w:pStyle w:val="Tabletext"/>
              <w:keepNext/>
              <w:keepLines/>
              <w:rPr>
                <w:szCs w:val="20"/>
              </w:rPr>
            </w:pPr>
            <w:r w:rsidRPr="00DC0807">
              <w:rPr>
                <w:szCs w:val="20"/>
              </w:rPr>
              <w:t>First cont</w:t>
            </w:r>
            <w:r w:rsidR="0002233C">
              <w:rPr>
                <w:szCs w:val="20"/>
              </w:rPr>
              <w:t>.</w:t>
            </w:r>
            <w:r w:rsidRPr="00DC0807">
              <w:rPr>
                <w:szCs w:val="20"/>
              </w:rPr>
              <w:t xml:space="preserve"> treatment </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618"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r>
      <w:tr w:rsidR="00ED4F33" w:rsidRPr="00DC0807" w:rsidTr="006B6F2B">
        <w:tc>
          <w:tcPr>
            <w:tcW w:w="1642" w:type="pct"/>
            <w:shd w:val="clear" w:color="auto" w:fill="auto"/>
            <w:vAlign w:val="center"/>
          </w:tcPr>
          <w:p w:rsidR="004C3AC1" w:rsidRPr="00DC0807" w:rsidRDefault="004C3AC1" w:rsidP="00AC0C89">
            <w:pPr>
              <w:pStyle w:val="Tabletext"/>
              <w:keepNext/>
              <w:keepLines/>
              <w:rPr>
                <w:szCs w:val="20"/>
              </w:rPr>
            </w:pPr>
            <w:r w:rsidRPr="00DC0807">
              <w:rPr>
                <w:szCs w:val="20"/>
              </w:rPr>
              <w:t>Subsequent cont</w:t>
            </w:r>
            <w:r w:rsidR="0002233C">
              <w:rPr>
                <w:szCs w:val="20"/>
              </w:rPr>
              <w:t>.</w:t>
            </w:r>
            <w:r w:rsidRPr="00DC0807">
              <w:rPr>
                <w:szCs w:val="20"/>
              </w:rPr>
              <w:t xml:space="preserve"> treatments</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618"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r>
      <w:tr w:rsidR="00ED4F33" w:rsidRPr="00DC0807" w:rsidTr="006B6F2B">
        <w:tc>
          <w:tcPr>
            <w:tcW w:w="1642" w:type="pct"/>
            <w:shd w:val="clear" w:color="auto" w:fill="auto"/>
            <w:vAlign w:val="center"/>
          </w:tcPr>
          <w:p w:rsidR="004C3AC1" w:rsidRPr="00DC0807" w:rsidRDefault="004C3AC1" w:rsidP="002850D9">
            <w:pPr>
              <w:pStyle w:val="Tabletext"/>
              <w:keepNext/>
              <w:keepLines/>
              <w:rPr>
                <w:szCs w:val="20"/>
              </w:rPr>
            </w:pPr>
            <w:r w:rsidRPr="00DC0807">
              <w:rPr>
                <w:szCs w:val="20"/>
              </w:rPr>
              <w:t xml:space="preserve">Total ustekinumab scripts </w:t>
            </w:r>
          </w:p>
        </w:tc>
        <w:tc>
          <w:tcPr>
            <w:tcW w:w="549" w:type="pct"/>
            <w:shd w:val="clear" w:color="auto" w:fill="auto"/>
            <w:vAlign w:val="center"/>
          </w:tcPr>
          <w:p w:rsidR="004C3AC1" w:rsidRPr="00DC0807" w:rsidRDefault="006B6F2B" w:rsidP="00AC0C89">
            <w:pPr>
              <w:pStyle w:val="Tabletext"/>
              <w:keepNext/>
              <w:keepLines/>
              <w:jc w:val="center"/>
              <w:rPr>
                <w:rFonts w:cs="Arial"/>
                <w:szCs w:val="20"/>
              </w:rPr>
            </w:pPr>
            <w:r>
              <w:rPr>
                <w:noProof/>
                <w:color w:val="000000"/>
                <w:szCs w:val="20"/>
                <w:highlight w:val="black"/>
              </w:rPr>
              <w:t>'''''''''</w:t>
            </w:r>
            <w:r w:rsidR="00837034" w:rsidRPr="00837034">
              <w:rPr>
                <w:rFonts w:cs="Arial"/>
                <w:color w:val="000000"/>
                <w:szCs w:val="20"/>
                <w:vertAlign w:val="superscript"/>
              </w:rPr>
              <w:t>1</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549"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618"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546" w:type="pct"/>
            <w:shd w:val="clear" w:color="auto" w:fill="auto"/>
            <w:vAlign w:val="center"/>
          </w:tcPr>
          <w:p w:rsidR="004C3AC1" w:rsidRPr="006B6F2B" w:rsidRDefault="006B6F2B" w:rsidP="00AC0C89">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r>
      <w:tr w:rsidR="004C3AC1" w:rsidRPr="00DC0807" w:rsidTr="006B6F2B">
        <w:tc>
          <w:tcPr>
            <w:tcW w:w="5000" w:type="pct"/>
            <w:gridSpan w:val="7"/>
            <w:shd w:val="clear" w:color="auto" w:fill="auto"/>
            <w:vAlign w:val="center"/>
          </w:tcPr>
          <w:p w:rsidR="004C3AC1" w:rsidRPr="002850D9" w:rsidRDefault="00ED4F33" w:rsidP="002850D9">
            <w:pPr>
              <w:pStyle w:val="Tabletext"/>
              <w:keepNext/>
              <w:keepLines/>
              <w:rPr>
                <w:rFonts w:cs="Arial"/>
                <w:szCs w:val="20"/>
              </w:rPr>
            </w:pPr>
            <w:r w:rsidRPr="002850D9">
              <w:rPr>
                <w:szCs w:val="20"/>
              </w:rPr>
              <w:t>Estimated financial implications of ustekinumab (</w:t>
            </w:r>
            <w:r w:rsidR="004C3AC1" w:rsidRPr="002850D9">
              <w:rPr>
                <w:szCs w:val="20"/>
              </w:rPr>
              <w:t>PBS/RPBS cost less co-pay</w:t>
            </w:r>
            <w:r w:rsidR="002850D9">
              <w:rPr>
                <w:szCs w:val="20"/>
              </w:rPr>
              <w:t>, effective prices</w:t>
            </w:r>
            <w:r w:rsidRPr="002850D9">
              <w:rPr>
                <w:szCs w:val="20"/>
              </w:rPr>
              <w:t>)</w:t>
            </w:r>
            <w:r w:rsidR="002850D9" w:rsidRPr="00DC0807">
              <w:rPr>
                <w:szCs w:val="20"/>
                <w:vertAlign w:val="superscript"/>
              </w:rPr>
              <w:t>b</w:t>
            </w:r>
          </w:p>
        </w:tc>
      </w:tr>
      <w:tr w:rsidR="00ED4F33" w:rsidRPr="00DC0807" w:rsidTr="006B6F2B">
        <w:tc>
          <w:tcPr>
            <w:tcW w:w="1642" w:type="pct"/>
            <w:shd w:val="clear" w:color="auto" w:fill="auto"/>
            <w:vAlign w:val="center"/>
          </w:tcPr>
          <w:p w:rsidR="00D6056B" w:rsidRPr="00DC0807" w:rsidRDefault="00D6056B" w:rsidP="002850D9">
            <w:pPr>
              <w:pStyle w:val="Tabletext"/>
              <w:keepNext/>
              <w:keepLines/>
              <w:rPr>
                <w:szCs w:val="20"/>
                <w:vertAlign w:val="superscript"/>
              </w:rPr>
            </w:pPr>
            <w:r w:rsidRPr="00DC0807">
              <w:rPr>
                <w:szCs w:val="20"/>
              </w:rPr>
              <w:t>Initial treatment</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618"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r>
      <w:tr w:rsidR="00ED4F33" w:rsidRPr="00DC0807" w:rsidTr="006B6F2B">
        <w:tc>
          <w:tcPr>
            <w:tcW w:w="1642" w:type="pct"/>
            <w:shd w:val="clear" w:color="auto" w:fill="auto"/>
            <w:vAlign w:val="center"/>
          </w:tcPr>
          <w:p w:rsidR="00D6056B" w:rsidRPr="00DC0807" w:rsidRDefault="00D6056B" w:rsidP="002850D9">
            <w:pPr>
              <w:pStyle w:val="Tabletext"/>
              <w:keepNext/>
              <w:keepLines/>
              <w:rPr>
                <w:szCs w:val="20"/>
                <w:vertAlign w:val="superscript"/>
              </w:rPr>
            </w:pPr>
            <w:r w:rsidRPr="00DC0807">
              <w:rPr>
                <w:szCs w:val="20"/>
              </w:rPr>
              <w:t>First cont</w:t>
            </w:r>
            <w:r w:rsidR="0002233C">
              <w:rPr>
                <w:szCs w:val="20"/>
              </w:rPr>
              <w:t>.</w:t>
            </w:r>
            <w:r w:rsidRPr="00DC0807">
              <w:rPr>
                <w:szCs w:val="20"/>
              </w:rPr>
              <w:t xml:space="preserve"> treatment</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618"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r>
      <w:tr w:rsidR="00ED4F33" w:rsidRPr="00DC0807" w:rsidTr="006B6F2B">
        <w:tc>
          <w:tcPr>
            <w:tcW w:w="1642" w:type="pct"/>
            <w:shd w:val="clear" w:color="auto" w:fill="auto"/>
            <w:vAlign w:val="center"/>
          </w:tcPr>
          <w:p w:rsidR="00D6056B" w:rsidRPr="00DC0807" w:rsidRDefault="00D6056B" w:rsidP="00D6056B">
            <w:pPr>
              <w:pStyle w:val="Tabletext"/>
              <w:keepNext/>
              <w:keepLines/>
              <w:rPr>
                <w:szCs w:val="20"/>
                <w:vertAlign w:val="superscript"/>
              </w:rPr>
            </w:pPr>
            <w:r w:rsidRPr="00DC0807">
              <w:rPr>
                <w:szCs w:val="20"/>
              </w:rPr>
              <w:t>Subsequent cont</w:t>
            </w:r>
            <w:r w:rsidR="0002233C">
              <w:rPr>
                <w:szCs w:val="20"/>
              </w:rPr>
              <w:t>.</w:t>
            </w:r>
            <w:r w:rsidRPr="00DC0807">
              <w:rPr>
                <w:szCs w:val="20"/>
              </w:rPr>
              <w:t xml:space="preserve"> treatments</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618"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r>
      <w:tr w:rsidR="00ED4F33" w:rsidRPr="00DC0807" w:rsidTr="006B6F2B">
        <w:tc>
          <w:tcPr>
            <w:tcW w:w="1642" w:type="pct"/>
            <w:shd w:val="clear" w:color="auto" w:fill="auto"/>
            <w:vAlign w:val="center"/>
          </w:tcPr>
          <w:p w:rsidR="00D6056B" w:rsidRPr="00DC0807" w:rsidRDefault="00D6056B" w:rsidP="002850D9">
            <w:pPr>
              <w:pStyle w:val="Tabletext"/>
              <w:keepNext/>
              <w:keepLines/>
              <w:rPr>
                <w:szCs w:val="20"/>
                <w:vertAlign w:val="superscript"/>
              </w:rPr>
            </w:pPr>
            <w:r w:rsidRPr="00DC0807">
              <w:rPr>
                <w:szCs w:val="20"/>
              </w:rPr>
              <w:t>Total</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618"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D6056B" w:rsidRPr="00DC0807" w:rsidRDefault="00D6056B" w:rsidP="00D6056B">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r>
      <w:tr w:rsidR="004C3AC1" w:rsidRPr="00DC0807" w:rsidTr="006B6F2B">
        <w:tc>
          <w:tcPr>
            <w:tcW w:w="5000" w:type="pct"/>
            <w:gridSpan w:val="7"/>
            <w:shd w:val="clear" w:color="auto" w:fill="auto"/>
            <w:vAlign w:val="center"/>
          </w:tcPr>
          <w:p w:rsidR="004C3AC1" w:rsidRPr="00DC0807" w:rsidRDefault="002850D9" w:rsidP="002850D9">
            <w:pPr>
              <w:pStyle w:val="Tabletext"/>
              <w:keepNext/>
              <w:keepLines/>
              <w:rPr>
                <w:rFonts w:cs="Arial"/>
                <w:b/>
                <w:szCs w:val="20"/>
              </w:rPr>
            </w:pPr>
            <w:r>
              <w:rPr>
                <w:rFonts w:cs="Arial"/>
                <w:b/>
                <w:szCs w:val="20"/>
              </w:rPr>
              <w:t>Estimated</w:t>
            </w:r>
            <w:r w:rsidR="004C3AC1" w:rsidRPr="00DC0807">
              <w:rPr>
                <w:rFonts w:cs="Arial"/>
                <w:b/>
                <w:szCs w:val="20"/>
              </w:rPr>
              <w:t xml:space="preserve"> changes in use and financial </w:t>
            </w:r>
            <w:r>
              <w:rPr>
                <w:rFonts w:cs="Arial"/>
                <w:b/>
                <w:szCs w:val="20"/>
              </w:rPr>
              <w:t>implications</w:t>
            </w:r>
            <w:r w:rsidRPr="00DC0807">
              <w:rPr>
                <w:rFonts w:cs="Arial"/>
                <w:b/>
                <w:szCs w:val="20"/>
              </w:rPr>
              <w:t xml:space="preserve"> </w:t>
            </w:r>
            <w:r w:rsidR="004C3AC1" w:rsidRPr="00DC0807">
              <w:rPr>
                <w:rFonts w:cs="Arial"/>
                <w:b/>
                <w:szCs w:val="20"/>
              </w:rPr>
              <w:t xml:space="preserve">of </w:t>
            </w:r>
            <w:r>
              <w:rPr>
                <w:rFonts w:cs="Arial"/>
                <w:b/>
                <w:szCs w:val="20"/>
              </w:rPr>
              <w:t>etanercept</w:t>
            </w:r>
            <w:r w:rsidR="004C3AC1" w:rsidRPr="00DC0807">
              <w:rPr>
                <w:rFonts w:cs="Arial"/>
                <w:b/>
                <w:szCs w:val="20"/>
              </w:rPr>
              <w:t xml:space="preserve"> (PBS</w:t>
            </w:r>
            <w:r w:rsidR="00ED4F33">
              <w:rPr>
                <w:rFonts w:cs="Arial"/>
                <w:b/>
                <w:szCs w:val="20"/>
              </w:rPr>
              <w:t>/</w:t>
            </w:r>
            <w:r w:rsidR="004C3AC1" w:rsidRPr="00DC0807">
              <w:rPr>
                <w:rFonts w:cs="Arial"/>
                <w:b/>
                <w:szCs w:val="20"/>
              </w:rPr>
              <w:t>RPBS)</w:t>
            </w:r>
          </w:p>
        </w:tc>
      </w:tr>
      <w:tr w:rsidR="00ED4F33" w:rsidRPr="00DC0807" w:rsidTr="006B6F2B">
        <w:tc>
          <w:tcPr>
            <w:tcW w:w="1642" w:type="pct"/>
            <w:shd w:val="clear" w:color="auto" w:fill="auto"/>
            <w:vAlign w:val="center"/>
          </w:tcPr>
          <w:p w:rsidR="004C3AC1" w:rsidRPr="00DC0807" w:rsidRDefault="004C3AC1" w:rsidP="00AC0C89">
            <w:pPr>
              <w:pStyle w:val="Tabletext"/>
              <w:keepNext/>
              <w:keepLines/>
              <w:rPr>
                <w:szCs w:val="20"/>
              </w:rPr>
            </w:pPr>
            <w:r w:rsidRPr="00DC0807">
              <w:rPr>
                <w:szCs w:val="20"/>
              </w:rPr>
              <w:t>Changes in script numbers</w:t>
            </w:r>
            <w:r w:rsidR="00D6056B" w:rsidRPr="00DC0807">
              <w:rPr>
                <w:szCs w:val="20"/>
                <w:vertAlign w:val="superscript"/>
              </w:rPr>
              <w:t>c</w:t>
            </w:r>
          </w:p>
        </w:tc>
        <w:tc>
          <w:tcPr>
            <w:tcW w:w="549" w:type="pct"/>
            <w:shd w:val="clear" w:color="auto" w:fill="auto"/>
          </w:tcPr>
          <w:p w:rsidR="004C3AC1" w:rsidRPr="00DC0807" w:rsidRDefault="004C3AC1" w:rsidP="00AC0C89">
            <w:pPr>
              <w:pStyle w:val="Tabletext"/>
              <w:keepNext/>
              <w:keepLines/>
              <w:jc w:val="center"/>
              <w:rPr>
                <w:rFonts w:cs="Arial"/>
                <w:szCs w:val="20"/>
              </w:rPr>
            </w:pPr>
            <w:r w:rsidRPr="00DC0807">
              <w:rPr>
                <w:szCs w:val="20"/>
              </w:rPr>
              <w:t>-</w:t>
            </w:r>
            <w:r w:rsidR="006B6F2B">
              <w:rPr>
                <w:noProof/>
                <w:color w:val="000000"/>
                <w:szCs w:val="20"/>
                <w:highlight w:val="black"/>
              </w:rPr>
              <w:t>'''''''''</w:t>
            </w:r>
            <w:r w:rsidR="00837034" w:rsidRPr="00837034">
              <w:rPr>
                <w:szCs w:val="20"/>
                <w:vertAlign w:val="superscript"/>
              </w:rPr>
              <w:t>1</w:t>
            </w:r>
          </w:p>
        </w:tc>
        <w:tc>
          <w:tcPr>
            <w:tcW w:w="549" w:type="pct"/>
            <w:shd w:val="clear" w:color="auto" w:fill="auto"/>
          </w:tcPr>
          <w:p w:rsidR="004C3AC1" w:rsidRPr="00DC0807" w:rsidRDefault="004C3AC1" w:rsidP="00AC0C89">
            <w:pPr>
              <w:pStyle w:val="Tabletext"/>
              <w:keepNext/>
              <w:keepLines/>
              <w:jc w:val="center"/>
              <w:rPr>
                <w:rFonts w:cs="Arial"/>
                <w:szCs w:val="20"/>
              </w:rPr>
            </w:pPr>
            <w:r w:rsidRPr="00DC0807">
              <w:rPr>
                <w:szCs w:val="20"/>
              </w:rPr>
              <w:t>-</w:t>
            </w:r>
            <w:r w:rsidR="006B6F2B">
              <w:rPr>
                <w:noProof/>
                <w:color w:val="000000"/>
                <w:szCs w:val="20"/>
                <w:highlight w:val="black"/>
              </w:rPr>
              <w:t>''''''''</w:t>
            </w:r>
            <w:r w:rsidR="00837034" w:rsidRPr="00837034">
              <w:rPr>
                <w:szCs w:val="20"/>
                <w:vertAlign w:val="superscript"/>
              </w:rPr>
              <w:t>1</w:t>
            </w:r>
          </w:p>
        </w:tc>
        <w:tc>
          <w:tcPr>
            <w:tcW w:w="549" w:type="pct"/>
            <w:shd w:val="clear" w:color="auto" w:fill="auto"/>
          </w:tcPr>
          <w:p w:rsidR="004C3AC1" w:rsidRPr="00DC0807" w:rsidRDefault="004C3AC1" w:rsidP="00AC0C89">
            <w:pPr>
              <w:pStyle w:val="Tabletext"/>
              <w:keepNext/>
              <w:keepLines/>
              <w:jc w:val="center"/>
              <w:rPr>
                <w:rFonts w:cs="Arial"/>
                <w:szCs w:val="20"/>
              </w:rPr>
            </w:pPr>
            <w:r w:rsidRPr="00DC0807">
              <w:rPr>
                <w:szCs w:val="20"/>
              </w:rPr>
              <w:t>-</w:t>
            </w:r>
            <w:r w:rsidR="006B6F2B">
              <w:rPr>
                <w:noProof/>
                <w:color w:val="000000"/>
                <w:szCs w:val="20"/>
                <w:highlight w:val="black"/>
              </w:rPr>
              <w:t>'''''''''</w:t>
            </w:r>
            <w:r w:rsidR="00837034" w:rsidRPr="00837034">
              <w:rPr>
                <w:szCs w:val="20"/>
                <w:vertAlign w:val="superscript"/>
              </w:rPr>
              <w:t>1</w:t>
            </w:r>
            <w:r w:rsidRPr="00DC0807">
              <w:rPr>
                <w:szCs w:val="20"/>
              </w:rPr>
              <w:t xml:space="preserve"> </w:t>
            </w:r>
          </w:p>
        </w:tc>
        <w:tc>
          <w:tcPr>
            <w:tcW w:w="618" w:type="pct"/>
            <w:shd w:val="clear" w:color="auto" w:fill="auto"/>
          </w:tcPr>
          <w:p w:rsidR="004C3AC1" w:rsidRPr="00DC0807" w:rsidRDefault="004C3AC1" w:rsidP="00AC0C89">
            <w:pPr>
              <w:pStyle w:val="Tabletext"/>
              <w:keepNext/>
              <w:keepLines/>
              <w:jc w:val="center"/>
              <w:rPr>
                <w:rFonts w:cs="Arial"/>
                <w:szCs w:val="20"/>
              </w:rPr>
            </w:pPr>
            <w:r w:rsidRPr="00DC0807">
              <w:rPr>
                <w:szCs w:val="20"/>
              </w:rPr>
              <w:t>-</w:t>
            </w:r>
            <w:r w:rsidR="006B6F2B">
              <w:rPr>
                <w:noProof/>
                <w:color w:val="000000"/>
                <w:szCs w:val="20"/>
                <w:highlight w:val="black"/>
              </w:rPr>
              <w:t>''''''''''</w:t>
            </w:r>
            <w:r w:rsidR="00837034" w:rsidRPr="00837034">
              <w:rPr>
                <w:szCs w:val="20"/>
                <w:vertAlign w:val="superscript"/>
              </w:rPr>
              <w:t>1</w:t>
            </w:r>
          </w:p>
        </w:tc>
        <w:tc>
          <w:tcPr>
            <w:tcW w:w="546" w:type="pct"/>
            <w:shd w:val="clear" w:color="auto" w:fill="auto"/>
          </w:tcPr>
          <w:p w:rsidR="004C3AC1" w:rsidRPr="00DC0807" w:rsidRDefault="004C3AC1" w:rsidP="00AC0C89">
            <w:pPr>
              <w:pStyle w:val="Tabletext"/>
              <w:keepNext/>
              <w:keepLines/>
              <w:jc w:val="center"/>
              <w:rPr>
                <w:rFonts w:cs="Arial"/>
                <w:szCs w:val="20"/>
              </w:rPr>
            </w:pPr>
            <w:r w:rsidRPr="00DC0807">
              <w:rPr>
                <w:szCs w:val="20"/>
              </w:rPr>
              <w:t>-</w:t>
            </w:r>
            <w:r w:rsidR="006B6F2B">
              <w:rPr>
                <w:noProof/>
                <w:color w:val="000000"/>
                <w:szCs w:val="20"/>
                <w:highlight w:val="black"/>
              </w:rPr>
              <w:t>'''''''''</w:t>
            </w:r>
            <w:r w:rsidR="00837034" w:rsidRPr="00837034">
              <w:rPr>
                <w:szCs w:val="20"/>
                <w:vertAlign w:val="superscript"/>
              </w:rPr>
              <w:t>1</w:t>
            </w:r>
            <w:r w:rsidRPr="00DC0807">
              <w:rPr>
                <w:szCs w:val="20"/>
              </w:rPr>
              <w:t xml:space="preserve"> </w:t>
            </w:r>
          </w:p>
        </w:tc>
        <w:tc>
          <w:tcPr>
            <w:tcW w:w="546" w:type="pct"/>
            <w:shd w:val="clear" w:color="auto" w:fill="auto"/>
          </w:tcPr>
          <w:p w:rsidR="004C3AC1" w:rsidRPr="00DC0807" w:rsidRDefault="004C3AC1" w:rsidP="00AC0C89">
            <w:pPr>
              <w:pStyle w:val="Tabletext"/>
              <w:keepNext/>
              <w:keepLines/>
              <w:jc w:val="center"/>
              <w:rPr>
                <w:rFonts w:cs="Arial"/>
                <w:szCs w:val="20"/>
              </w:rPr>
            </w:pPr>
            <w:r w:rsidRPr="00DC0807">
              <w:rPr>
                <w:szCs w:val="20"/>
              </w:rPr>
              <w:t>-</w:t>
            </w:r>
            <w:r w:rsidR="006B6F2B">
              <w:rPr>
                <w:noProof/>
                <w:color w:val="000000"/>
                <w:szCs w:val="20"/>
                <w:highlight w:val="black"/>
              </w:rPr>
              <w:t>''''''''</w:t>
            </w:r>
            <w:r w:rsidR="00837034" w:rsidRPr="00837034">
              <w:rPr>
                <w:szCs w:val="20"/>
                <w:vertAlign w:val="superscript"/>
              </w:rPr>
              <w:t>1</w:t>
            </w:r>
            <w:r w:rsidRPr="00DC0807">
              <w:rPr>
                <w:szCs w:val="20"/>
              </w:rPr>
              <w:t xml:space="preserve"> </w:t>
            </w:r>
          </w:p>
        </w:tc>
      </w:tr>
      <w:tr w:rsidR="00ED4F33" w:rsidRPr="00DC0807" w:rsidTr="006B6F2B">
        <w:tc>
          <w:tcPr>
            <w:tcW w:w="1642" w:type="pct"/>
            <w:shd w:val="clear" w:color="auto" w:fill="auto"/>
            <w:vAlign w:val="center"/>
          </w:tcPr>
          <w:p w:rsidR="004C3AC1" w:rsidRPr="00DC0807" w:rsidRDefault="004C3AC1" w:rsidP="00AC0C89">
            <w:pPr>
              <w:pStyle w:val="Tabletext"/>
              <w:keepNext/>
              <w:keepLines/>
              <w:rPr>
                <w:szCs w:val="20"/>
              </w:rPr>
            </w:pPr>
            <w:r w:rsidRPr="00DC0807">
              <w:rPr>
                <w:color w:val="000000" w:themeColor="text1"/>
                <w:szCs w:val="20"/>
              </w:rPr>
              <w:t>PBS/RPBS cost less co-pay (DPMQ)</w:t>
            </w:r>
            <w:r w:rsidR="00D6056B" w:rsidRPr="00DC0807">
              <w:rPr>
                <w:color w:val="000000" w:themeColor="text1"/>
                <w:szCs w:val="20"/>
                <w:vertAlign w:val="superscript"/>
              </w:rPr>
              <w:t>d</w:t>
            </w:r>
          </w:p>
        </w:tc>
        <w:tc>
          <w:tcPr>
            <w:tcW w:w="549" w:type="pct"/>
            <w:shd w:val="clear" w:color="auto" w:fill="auto"/>
            <w:vAlign w:val="center"/>
          </w:tcPr>
          <w:p w:rsidR="004C3AC1" w:rsidRPr="00DC0807" w:rsidRDefault="004C3AC1" w:rsidP="002850D9">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4C3AC1" w:rsidRPr="00DC0807" w:rsidRDefault="004C3AC1" w:rsidP="002850D9">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9" w:type="pct"/>
            <w:shd w:val="clear" w:color="auto" w:fill="auto"/>
            <w:vAlign w:val="center"/>
          </w:tcPr>
          <w:p w:rsidR="004C3AC1" w:rsidRPr="00DC0807" w:rsidRDefault="004C3AC1" w:rsidP="002850D9">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618" w:type="pct"/>
            <w:shd w:val="clear" w:color="auto" w:fill="auto"/>
            <w:vAlign w:val="center"/>
          </w:tcPr>
          <w:p w:rsidR="004C3AC1" w:rsidRPr="00DC0807" w:rsidRDefault="004C3AC1" w:rsidP="002850D9">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4C3AC1" w:rsidRPr="00DC0807" w:rsidRDefault="004C3AC1" w:rsidP="002850D9">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c>
          <w:tcPr>
            <w:tcW w:w="546" w:type="pct"/>
            <w:shd w:val="clear" w:color="auto" w:fill="auto"/>
            <w:vAlign w:val="center"/>
          </w:tcPr>
          <w:p w:rsidR="004C3AC1" w:rsidRPr="00DC0807" w:rsidRDefault="004C3AC1" w:rsidP="002850D9">
            <w:pPr>
              <w:pStyle w:val="Tabletext"/>
              <w:keepNext/>
              <w:keepLines/>
              <w:jc w:val="center"/>
              <w:rPr>
                <w:rFonts w:cs="Arial"/>
                <w:szCs w:val="20"/>
              </w:rPr>
            </w:pPr>
            <w:r w:rsidRPr="00DC0807">
              <w:rPr>
                <w:szCs w:val="20"/>
              </w:rPr>
              <w:t>-$</w:t>
            </w:r>
            <w:r w:rsidR="006B6F2B">
              <w:rPr>
                <w:noProof/>
                <w:color w:val="000000"/>
                <w:szCs w:val="20"/>
                <w:highlight w:val="black"/>
              </w:rPr>
              <w:t>''''''''''''''''''</w:t>
            </w:r>
            <w:r w:rsidR="00661A77">
              <w:rPr>
                <w:rFonts w:cs="Arial"/>
                <w:color w:val="000000"/>
                <w:szCs w:val="20"/>
                <w:vertAlign w:val="superscript"/>
              </w:rPr>
              <w:t>3</w:t>
            </w:r>
          </w:p>
        </w:tc>
      </w:tr>
      <w:tr w:rsidR="004C3AC1" w:rsidRPr="00DC0807" w:rsidTr="006B6F2B">
        <w:tc>
          <w:tcPr>
            <w:tcW w:w="5000" w:type="pct"/>
            <w:gridSpan w:val="7"/>
            <w:shd w:val="clear" w:color="auto" w:fill="auto"/>
            <w:vAlign w:val="center"/>
          </w:tcPr>
          <w:p w:rsidR="004C3AC1" w:rsidRPr="00DC0807" w:rsidRDefault="00A7596F" w:rsidP="00A7596F">
            <w:pPr>
              <w:pStyle w:val="Tabletext"/>
              <w:keepNext/>
              <w:keepLines/>
              <w:rPr>
                <w:rFonts w:cs="Arial"/>
                <w:b/>
                <w:szCs w:val="20"/>
              </w:rPr>
            </w:pPr>
            <w:r>
              <w:rPr>
                <w:rFonts w:cs="Arial"/>
                <w:b/>
                <w:szCs w:val="20"/>
              </w:rPr>
              <w:t>Estimated n</w:t>
            </w:r>
            <w:r w:rsidR="002C5F1F">
              <w:rPr>
                <w:rFonts w:cs="Arial"/>
                <w:b/>
                <w:szCs w:val="20"/>
              </w:rPr>
              <w:t>et</w:t>
            </w:r>
            <w:r w:rsidR="002C5F1F" w:rsidRPr="00DC0807">
              <w:rPr>
                <w:rFonts w:cs="Arial"/>
                <w:b/>
                <w:szCs w:val="20"/>
              </w:rPr>
              <w:t xml:space="preserve"> </w:t>
            </w:r>
            <w:r w:rsidR="004C3AC1" w:rsidRPr="00DC0807">
              <w:rPr>
                <w:rFonts w:cs="Arial"/>
                <w:b/>
                <w:szCs w:val="20"/>
              </w:rPr>
              <w:t>implications for the PBS/RPBS</w:t>
            </w:r>
          </w:p>
        </w:tc>
      </w:tr>
      <w:tr w:rsidR="00ED4F33" w:rsidRPr="00DC0807" w:rsidTr="006B6F2B">
        <w:tc>
          <w:tcPr>
            <w:tcW w:w="1642" w:type="pct"/>
            <w:shd w:val="clear" w:color="auto" w:fill="auto"/>
            <w:vAlign w:val="center"/>
          </w:tcPr>
          <w:p w:rsidR="002C5F1F" w:rsidRPr="00DC0807" w:rsidRDefault="002C5F1F" w:rsidP="00E04848">
            <w:pPr>
              <w:pStyle w:val="Tabletext"/>
              <w:keepNext/>
              <w:keepLines/>
              <w:rPr>
                <w:szCs w:val="20"/>
              </w:rPr>
            </w:pPr>
            <w:r w:rsidRPr="00DC0807">
              <w:rPr>
                <w:szCs w:val="20"/>
              </w:rPr>
              <w:t>Net change in PBS/RPBS scripts</w:t>
            </w:r>
          </w:p>
        </w:tc>
        <w:tc>
          <w:tcPr>
            <w:tcW w:w="549" w:type="pct"/>
            <w:shd w:val="clear" w:color="auto" w:fill="auto"/>
            <w:vAlign w:val="center"/>
          </w:tcPr>
          <w:p w:rsidR="002C5F1F" w:rsidRPr="006B6F2B" w:rsidRDefault="006B6F2B" w:rsidP="00E04848">
            <w:pPr>
              <w:pStyle w:val="Tabletext"/>
              <w:keepNext/>
              <w:keepLines/>
              <w:jc w:val="center"/>
              <w:rPr>
                <w:rFonts w:cs="Arial"/>
                <w:szCs w:val="20"/>
              </w:rPr>
            </w:pPr>
            <w:r>
              <w:rPr>
                <w:noProof/>
                <w:color w:val="000000"/>
                <w:szCs w:val="20"/>
                <w:highlight w:val="black"/>
              </w:rPr>
              <w:t>'''''''''</w:t>
            </w:r>
            <w:r w:rsidR="00837034" w:rsidRPr="00837034">
              <w:rPr>
                <w:szCs w:val="20"/>
                <w:vertAlign w:val="superscript"/>
              </w:rPr>
              <w:t>1</w:t>
            </w:r>
          </w:p>
        </w:tc>
        <w:tc>
          <w:tcPr>
            <w:tcW w:w="549" w:type="pct"/>
            <w:shd w:val="clear" w:color="auto" w:fill="auto"/>
            <w:vAlign w:val="center"/>
          </w:tcPr>
          <w:p w:rsidR="002C5F1F" w:rsidRPr="006B6F2B" w:rsidRDefault="006B6F2B" w:rsidP="00E04848">
            <w:pPr>
              <w:pStyle w:val="Tabletext"/>
              <w:keepNext/>
              <w:keepLines/>
              <w:jc w:val="center"/>
              <w:rPr>
                <w:rFonts w:cs="Arial"/>
                <w:szCs w:val="20"/>
              </w:rPr>
            </w:pPr>
            <w:r>
              <w:rPr>
                <w:noProof/>
                <w:color w:val="000000"/>
                <w:szCs w:val="20"/>
                <w:highlight w:val="black"/>
              </w:rPr>
              <w:t>'''''''''</w:t>
            </w:r>
            <w:r w:rsidR="00837034" w:rsidRPr="00837034">
              <w:rPr>
                <w:szCs w:val="20"/>
                <w:vertAlign w:val="superscript"/>
              </w:rPr>
              <w:t>1</w:t>
            </w:r>
          </w:p>
        </w:tc>
        <w:tc>
          <w:tcPr>
            <w:tcW w:w="549" w:type="pct"/>
            <w:shd w:val="clear" w:color="auto" w:fill="auto"/>
            <w:vAlign w:val="center"/>
          </w:tcPr>
          <w:p w:rsidR="002C5F1F" w:rsidRPr="006B6F2B" w:rsidRDefault="006B6F2B" w:rsidP="00E04848">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618" w:type="pct"/>
            <w:shd w:val="clear" w:color="auto" w:fill="auto"/>
            <w:vAlign w:val="center"/>
          </w:tcPr>
          <w:p w:rsidR="002C5F1F" w:rsidRPr="006B6F2B" w:rsidRDefault="006B6F2B" w:rsidP="00E04848">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546" w:type="pct"/>
            <w:shd w:val="clear" w:color="auto" w:fill="auto"/>
            <w:vAlign w:val="center"/>
          </w:tcPr>
          <w:p w:rsidR="002C5F1F" w:rsidRPr="006B6F2B" w:rsidRDefault="006B6F2B" w:rsidP="00E04848">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c>
          <w:tcPr>
            <w:tcW w:w="546" w:type="pct"/>
            <w:shd w:val="clear" w:color="auto" w:fill="auto"/>
            <w:vAlign w:val="center"/>
          </w:tcPr>
          <w:p w:rsidR="002C5F1F" w:rsidRPr="006B6F2B" w:rsidRDefault="006B6F2B" w:rsidP="00E04848">
            <w:pPr>
              <w:pStyle w:val="Tabletext"/>
              <w:keepNext/>
              <w:keepLines/>
              <w:jc w:val="center"/>
              <w:rPr>
                <w:rFonts w:cs="Arial"/>
                <w:szCs w:val="20"/>
              </w:rPr>
            </w:pPr>
            <w:r>
              <w:rPr>
                <w:noProof/>
                <w:color w:val="000000"/>
                <w:szCs w:val="20"/>
                <w:highlight w:val="black"/>
              </w:rPr>
              <w:t>'''''''''''''</w:t>
            </w:r>
            <w:r w:rsidR="00837034">
              <w:rPr>
                <w:rFonts w:cs="Arial"/>
                <w:color w:val="000000"/>
                <w:szCs w:val="20"/>
                <w:vertAlign w:val="superscript"/>
              </w:rPr>
              <w:t>2</w:t>
            </w:r>
          </w:p>
        </w:tc>
      </w:tr>
      <w:tr w:rsidR="00ED4F33" w:rsidRPr="00DC0807" w:rsidTr="006B6F2B">
        <w:tc>
          <w:tcPr>
            <w:tcW w:w="1642" w:type="pct"/>
            <w:shd w:val="clear" w:color="auto" w:fill="auto"/>
          </w:tcPr>
          <w:p w:rsidR="00D6056B" w:rsidRPr="00DC0807" w:rsidRDefault="00D6056B" w:rsidP="00D6056B">
            <w:pPr>
              <w:pStyle w:val="Tabletext"/>
              <w:keepNext/>
              <w:keepLines/>
              <w:rPr>
                <w:szCs w:val="20"/>
              </w:rPr>
            </w:pPr>
            <w:r w:rsidRPr="00DC0807">
              <w:rPr>
                <w:szCs w:val="20"/>
              </w:rPr>
              <w:t>Net cost to PBS/RPBS (effective)</w:t>
            </w:r>
          </w:p>
        </w:tc>
        <w:tc>
          <w:tcPr>
            <w:tcW w:w="549" w:type="pct"/>
            <w:shd w:val="clear" w:color="auto" w:fill="auto"/>
          </w:tcPr>
          <w:p w:rsidR="00D6056B" w:rsidRPr="00DC0807" w:rsidRDefault="00D6056B" w:rsidP="00D6056B">
            <w:pPr>
              <w:pStyle w:val="Tabletext"/>
              <w:keepNext/>
              <w:keepLines/>
              <w:jc w:val="center"/>
              <w:rPr>
                <w:rFonts w:cs="Arial"/>
                <w:b/>
                <w:szCs w:val="20"/>
              </w:rPr>
            </w:pPr>
            <w:r w:rsidRPr="00DC0807">
              <w:rPr>
                <w:b/>
                <w:szCs w:val="20"/>
              </w:rPr>
              <w:t>$</w:t>
            </w:r>
            <w:r w:rsidR="006B6F2B">
              <w:rPr>
                <w:b/>
                <w:noProof/>
                <w:color w:val="000000"/>
                <w:szCs w:val="20"/>
                <w:highlight w:val="black"/>
              </w:rPr>
              <w:t>'''''''''''''''</w:t>
            </w:r>
            <w:r w:rsidR="00661A77">
              <w:rPr>
                <w:rFonts w:cs="Arial"/>
                <w:color w:val="000000"/>
                <w:szCs w:val="20"/>
                <w:vertAlign w:val="superscript"/>
              </w:rPr>
              <w:t>3</w:t>
            </w:r>
          </w:p>
        </w:tc>
        <w:tc>
          <w:tcPr>
            <w:tcW w:w="549" w:type="pct"/>
            <w:shd w:val="clear" w:color="auto" w:fill="auto"/>
          </w:tcPr>
          <w:p w:rsidR="00D6056B" w:rsidRPr="00DC0807" w:rsidRDefault="00D6056B" w:rsidP="00D6056B">
            <w:pPr>
              <w:pStyle w:val="Tabletext"/>
              <w:keepNext/>
              <w:keepLines/>
              <w:jc w:val="center"/>
              <w:rPr>
                <w:rFonts w:cs="Arial"/>
                <w:b/>
                <w:szCs w:val="20"/>
              </w:rPr>
            </w:pPr>
            <w:r w:rsidRPr="00DC0807">
              <w:rPr>
                <w:b/>
                <w:szCs w:val="20"/>
              </w:rPr>
              <w:t>$</w:t>
            </w:r>
            <w:r w:rsidR="006B6F2B">
              <w:rPr>
                <w:b/>
                <w:noProof/>
                <w:color w:val="000000"/>
                <w:szCs w:val="20"/>
                <w:highlight w:val="black"/>
              </w:rPr>
              <w:t>'''''''''''''''</w:t>
            </w:r>
            <w:r w:rsidR="00661A77">
              <w:rPr>
                <w:rFonts w:cs="Arial"/>
                <w:color w:val="000000"/>
                <w:szCs w:val="20"/>
                <w:vertAlign w:val="superscript"/>
              </w:rPr>
              <w:t>3</w:t>
            </w:r>
          </w:p>
        </w:tc>
        <w:tc>
          <w:tcPr>
            <w:tcW w:w="549" w:type="pct"/>
            <w:shd w:val="clear" w:color="auto" w:fill="auto"/>
          </w:tcPr>
          <w:p w:rsidR="00D6056B" w:rsidRPr="00DC0807" w:rsidRDefault="00D6056B" w:rsidP="00D6056B">
            <w:pPr>
              <w:pStyle w:val="Tabletext"/>
              <w:keepNext/>
              <w:keepLines/>
              <w:jc w:val="center"/>
              <w:rPr>
                <w:rFonts w:cs="Arial"/>
                <w:b/>
                <w:szCs w:val="20"/>
              </w:rPr>
            </w:pPr>
            <w:r w:rsidRPr="00DC0807">
              <w:rPr>
                <w:b/>
                <w:szCs w:val="20"/>
              </w:rPr>
              <w:t>$</w:t>
            </w:r>
            <w:r w:rsidR="006B6F2B">
              <w:rPr>
                <w:b/>
                <w:noProof/>
                <w:color w:val="000000"/>
                <w:szCs w:val="20"/>
                <w:highlight w:val="black"/>
              </w:rPr>
              <w:t>''''''''''''''''''''</w:t>
            </w:r>
            <w:r w:rsidR="00661A77">
              <w:rPr>
                <w:rFonts w:cs="Arial"/>
                <w:color w:val="000000"/>
                <w:szCs w:val="20"/>
                <w:vertAlign w:val="superscript"/>
              </w:rPr>
              <w:t>3</w:t>
            </w:r>
          </w:p>
        </w:tc>
        <w:tc>
          <w:tcPr>
            <w:tcW w:w="618" w:type="pct"/>
            <w:shd w:val="clear" w:color="auto" w:fill="auto"/>
          </w:tcPr>
          <w:p w:rsidR="00D6056B" w:rsidRPr="00DC0807" w:rsidRDefault="00D6056B" w:rsidP="00D6056B">
            <w:pPr>
              <w:pStyle w:val="Tabletext"/>
              <w:keepNext/>
              <w:keepLines/>
              <w:jc w:val="center"/>
              <w:rPr>
                <w:rFonts w:cs="Arial"/>
                <w:b/>
                <w:szCs w:val="20"/>
              </w:rPr>
            </w:pPr>
            <w:r w:rsidRPr="00DC0807">
              <w:rPr>
                <w:b/>
                <w:szCs w:val="20"/>
              </w:rPr>
              <w:t>$</w:t>
            </w:r>
            <w:r w:rsidR="006B6F2B">
              <w:rPr>
                <w:b/>
                <w:noProof/>
                <w:color w:val="000000"/>
                <w:szCs w:val="20"/>
                <w:highlight w:val="black"/>
              </w:rPr>
              <w:t>'''''''''''''''''''''</w:t>
            </w:r>
            <w:r w:rsidR="00661A77">
              <w:rPr>
                <w:rFonts w:cs="Arial"/>
                <w:color w:val="000000"/>
                <w:szCs w:val="20"/>
                <w:vertAlign w:val="superscript"/>
              </w:rPr>
              <w:t>3</w:t>
            </w:r>
          </w:p>
        </w:tc>
        <w:tc>
          <w:tcPr>
            <w:tcW w:w="546" w:type="pct"/>
            <w:shd w:val="clear" w:color="auto" w:fill="auto"/>
          </w:tcPr>
          <w:p w:rsidR="00D6056B" w:rsidRPr="00DC0807" w:rsidRDefault="00D6056B" w:rsidP="00D6056B">
            <w:pPr>
              <w:pStyle w:val="Tabletext"/>
              <w:keepNext/>
              <w:keepLines/>
              <w:jc w:val="center"/>
              <w:rPr>
                <w:rFonts w:cs="Arial"/>
                <w:b/>
                <w:szCs w:val="20"/>
              </w:rPr>
            </w:pPr>
            <w:r w:rsidRPr="00DC0807">
              <w:rPr>
                <w:b/>
                <w:szCs w:val="20"/>
              </w:rPr>
              <w:t>$</w:t>
            </w:r>
            <w:r w:rsidR="006B6F2B">
              <w:rPr>
                <w:b/>
                <w:noProof/>
                <w:color w:val="000000"/>
                <w:szCs w:val="20"/>
                <w:highlight w:val="black"/>
              </w:rPr>
              <w:t>''''''''''''''''''</w:t>
            </w:r>
            <w:r w:rsidR="00661A77">
              <w:rPr>
                <w:rFonts w:cs="Arial"/>
                <w:color w:val="000000"/>
                <w:szCs w:val="20"/>
                <w:vertAlign w:val="superscript"/>
              </w:rPr>
              <w:t>3</w:t>
            </w:r>
          </w:p>
        </w:tc>
        <w:tc>
          <w:tcPr>
            <w:tcW w:w="546" w:type="pct"/>
            <w:shd w:val="clear" w:color="auto" w:fill="auto"/>
          </w:tcPr>
          <w:p w:rsidR="00D6056B" w:rsidRPr="00DC0807" w:rsidRDefault="00D6056B" w:rsidP="00D6056B">
            <w:pPr>
              <w:pStyle w:val="Tabletext"/>
              <w:keepNext/>
              <w:keepLines/>
              <w:jc w:val="center"/>
              <w:rPr>
                <w:rFonts w:cs="Arial"/>
                <w:b/>
                <w:szCs w:val="20"/>
              </w:rPr>
            </w:pPr>
            <w:r w:rsidRPr="00DC0807">
              <w:rPr>
                <w:b/>
                <w:szCs w:val="20"/>
              </w:rPr>
              <w:t>$</w:t>
            </w:r>
            <w:r w:rsidR="006B6F2B">
              <w:rPr>
                <w:b/>
                <w:noProof/>
                <w:color w:val="000000"/>
                <w:szCs w:val="20"/>
                <w:highlight w:val="black"/>
              </w:rPr>
              <w:t>''''''''''''''''''''</w:t>
            </w:r>
            <w:r w:rsidR="00661A77">
              <w:rPr>
                <w:rFonts w:cs="Arial"/>
                <w:color w:val="000000"/>
                <w:szCs w:val="20"/>
                <w:vertAlign w:val="superscript"/>
              </w:rPr>
              <w:t>3</w:t>
            </w:r>
          </w:p>
        </w:tc>
      </w:tr>
    </w:tbl>
    <w:p w:rsidR="00324549" w:rsidRPr="00DC0807" w:rsidRDefault="00324549" w:rsidP="00324549">
      <w:pPr>
        <w:pStyle w:val="TableFooter"/>
        <w:keepNext/>
        <w:keepLines/>
      </w:pPr>
      <w:r w:rsidRPr="00DC0807">
        <w:t>Source: Table 4-1 to 4-3, 4-5 to 4-10, p193-199 of the submission.</w:t>
      </w:r>
    </w:p>
    <w:p w:rsidR="004C3AC1" w:rsidRPr="00DC0807" w:rsidRDefault="004C3AC1" w:rsidP="00AC0C89">
      <w:pPr>
        <w:pStyle w:val="TableFooter"/>
        <w:keepNext/>
        <w:keepLines/>
        <w:tabs>
          <w:tab w:val="left" w:pos="142"/>
        </w:tabs>
      </w:pPr>
      <w:r w:rsidRPr="00DC0807">
        <w:rPr>
          <w:vertAlign w:val="superscript"/>
        </w:rPr>
        <w:t>a</w:t>
      </w:r>
      <w:r w:rsidRPr="00DC0807">
        <w:t xml:space="preserve"> Assuming 3 scripts for initial treatment (28 weeks), 2 scripts for first continuing treatment (24 weeks), and 4.33 scripts per year for subsequent continuing treatment, as estimated by the submission.</w:t>
      </w:r>
    </w:p>
    <w:p w:rsidR="00D6056B" w:rsidRPr="00DC0807" w:rsidRDefault="00D6056B" w:rsidP="00AC0C89">
      <w:pPr>
        <w:pStyle w:val="TableFooter"/>
        <w:keepNext/>
        <w:keepLines/>
        <w:tabs>
          <w:tab w:val="left" w:pos="142"/>
        </w:tabs>
      </w:pPr>
      <w:r w:rsidRPr="00DC0807">
        <w:rPr>
          <w:vertAlign w:val="superscript"/>
        </w:rPr>
        <w:t>b</w:t>
      </w:r>
      <w:r w:rsidRPr="00DC0807">
        <w:t xml:space="preserve"> The DPMQ of ustekinumab based on t</w:t>
      </w:r>
      <w:r w:rsidR="003729B3" w:rsidRPr="00DC0807">
        <w:t>he proposed effective price was</w:t>
      </w:r>
      <w:r w:rsidRPr="00DC0807">
        <w:t xml:space="preserve"> updated using pricing </w:t>
      </w:r>
      <w:r w:rsidR="003729B3" w:rsidRPr="00DC0807">
        <w:t xml:space="preserve">formula </w:t>
      </w:r>
      <w:r w:rsidRPr="00DC0807">
        <w:t>from 1 January 2021.</w:t>
      </w:r>
    </w:p>
    <w:p w:rsidR="004C3AC1" w:rsidRPr="00DC0807" w:rsidRDefault="00D6056B" w:rsidP="00AC0C89">
      <w:pPr>
        <w:pStyle w:val="TableFooter"/>
        <w:keepNext/>
        <w:keepLines/>
        <w:tabs>
          <w:tab w:val="left" w:pos="142"/>
        </w:tabs>
      </w:pPr>
      <w:r w:rsidRPr="00DC0807">
        <w:rPr>
          <w:vertAlign w:val="superscript"/>
        </w:rPr>
        <w:t>c</w:t>
      </w:r>
      <w:r w:rsidR="004C3AC1" w:rsidRPr="00DC0807">
        <w:t xml:space="preserve"> Assuming 6 scripts per patient (each patient completed the 24-week treatment), as estimated by the submission. </w:t>
      </w:r>
    </w:p>
    <w:p w:rsidR="004C3AC1" w:rsidRPr="00DC0807" w:rsidRDefault="00D6056B" w:rsidP="00AC0C89">
      <w:pPr>
        <w:pStyle w:val="TableFooter"/>
        <w:keepNext/>
        <w:keepLines/>
        <w:tabs>
          <w:tab w:val="left" w:pos="142"/>
        </w:tabs>
      </w:pPr>
      <w:r w:rsidRPr="00DC0807">
        <w:rPr>
          <w:vertAlign w:val="superscript"/>
        </w:rPr>
        <w:t>d</w:t>
      </w:r>
      <w:r w:rsidR="004C3AC1" w:rsidRPr="00DC0807">
        <w:t xml:space="preserve"> </w:t>
      </w:r>
      <w:r w:rsidR="002850D9">
        <w:t xml:space="preserve">Updated during evaluation to account for changes to PBS fees from </w:t>
      </w:r>
      <w:r w:rsidR="003729B3" w:rsidRPr="00DC0807">
        <w:t>1</w:t>
      </w:r>
      <w:r w:rsidR="00EC6B35" w:rsidRPr="00DC0807">
        <w:t> </w:t>
      </w:r>
      <w:r w:rsidR="003729B3" w:rsidRPr="00DC0807">
        <w:t>January</w:t>
      </w:r>
      <w:r w:rsidR="00EC6B35" w:rsidRPr="00DC0807">
        <w:t> </w:t>
      </w:r>
      <w:r w:rsidR="003729B3" w:rsidRPr="00DC0807">
        <w:t>2021</w:t>
      </w:r>
      <w:r w:rsidR="004C3AC1" w:rsidRPr="00DC0807">
        <w:t>.</w:t>
      </w:r>
    </w:p>
    <w:p w:rsidR="004C3AC1" w:rsidRDefault="0002233C" w:rsidP="00AC0C89">
      <w:pPr>
        <w:pStyle w:val="TableFooter"/>
        <w:keepNext/>
        <w:keepLines/>
      </w:pPr>
      <w:r>
        <w:t xml:space="preserve">Cont. = continuing; </w:t>
      </w:r>
      <w:r w:rsidRPr="00DC0807">
        <w:t>DPMQ = dispensed price for maximum quantity</w:t>
      </w:r>
      <w:r>
        <w:t xml:space="preserve">; </w:t>
      </w:r>
      <w:r w:rsidR="004C3AC1" w:rsidRPr="00DC0807">
        <w:t>PBS = pharmaceutical benefits scheme; RPBS = repatriation pharmac</w:t>
      </w:r>
      <w:r w:rsidR="00E27672" w:rsidRPr="00DC0807">
        <w:t>eutical benefits scheme</w:t>
      </w:r>
      <w:r>
        <w:t>.</w:t>
      </w:r>
      <w:r w:rsidR="00E27672" w:rsidRPr="00DC0807">
        <w:t xml:space="preserve"> </w:t>
      </w:r>
    </w:p>
    <w:p w:rsidR="00837034" w:rsidRPr="00073C60" w:rsidRDefault="00837034" w:rsidP="00AC0C89">
      <w:pPr>
        <w:pStyle w:val="TableFooter"/>
        <w:keepNext/>
        <w:keepLines/>
        <w:rPr>
          <w:i/>
        </w:rPr>
      </w:pPr>
      <w:r w:rsidRPr="00073C60">
        <w:rPr>
          <w:i/>
        </w:rPr>
        <w:t>The redacted values correspond to the following ranges:</w:t>
      </w:r>
    </w:p>
    <w:p w:rsidR="00837034" w:rsidRPr="00073C60" w:rsidRDefault="00837034" w:rsidP="00AC0C89">
      <w:pPr>
        <w:pStyle w:val="TableFooter"/>
        <w:keepNext/>
        <w:keepLines/>
        <w:rPr>
          <w:i/>
        </w:rPr>
      </w:pPr>
      <w:r w:rsidRPr="00073C60">
        <w:rPr>
          <w:i/>
          <w:vertAlign w:val="superscript"/>
        </w:rPr>
        <w:t>1</w:t>
      </w:r>
      <w:r w:rsidRPr="00073C60">
        <w:rPr>
          <w:i/>
        </w:rPr>
        <w:t>&lt;500</w:t>
      </w:r>
    </w:p>
    <w:p w:rsidR="00837034" w:rsidRPr="00073C60" w:rsidRDefault="00837034" w:rsidP="00AC0C89">
      <w:pPr>
        <w:pStyle w:val="TableFooter"/>
        <w:keepNext/>
        <w:keepLines/>
        <w:rPr>
          <w:i/>
        </w:rPr>
      </w:pPr>
      <w:r w:rsidRPr="00073C60">
        <w:rPr>
          <w:i/>
          <w:vertAlign w:val="superscript"/>
        </w:rPr>
        <w:t>2</w:t>
      </w:r>
      <w:r w:rsidRPr="00073C60">
        <w:rPr>
          <w:i/>
        </w:rPr>
        <w:t>500 to &lt;5,000</w:t>
      </w:r>
    </w:p>
    <w:p w:rsidR="007C55A2" w:rsidRPr="00073C60" w:rsidRDefault="007C55A2" w:rsidP="00AC0C89">
      <w:pPr>
        <w:pStyle w:val="TableFooter"/>
        <w:keepNext/>
        <w:keepLines/>
        <w:rPr>
          <w:i/>
        </w:rPr>
      </w:pPr>
      <w:r w:rsidRPr="00073C60">
        <w:rPr>
          <w:i/>
          <w:vertAlign w:val="superscript"/>
        </w:rPr>
        <w:t>3</w:t>
      </w:r>
      <w:r w:rsidR="00661A77" w:rsidRPr="00073C60">
        <w:rPr>
          <w:i/>
        </w:rPr>
        <w:t>$0 to &lt;$10 million</w:t>
      </w:r>
    </w:p>
    <w:p w:rsidR="004C3AC1" w:rsidRPr="00DC0807" w:rsidRDefault="004C3AC1" w:rsidP="004C3AC1">
      <w:pPr>
        <w:widowControl/>
      </w:pPr>
    </w:p>
    <w:p w:rsidR="004C3AC1" w:rsidRPr="00DC0807" w:rsidRDefault="004C3AC1" w:rsidP="00A927F1">
      <w:pPr>
        <w:pStyle w:val="ListParagraph"/>
        <w:widowControl/>
        <w:numPr>
          <w:ilvl w:val="1"/>
          <w:numId w:val="1"/>
        </w:numPr>
      </w:pPr>
      <w:r w:rsidRPr="00DC0807">
        <w:t xml:space="preserve">The </w:t>
      </w:r>
      <w:r w:rsidR="004134ED" w:rsidRPr="00DC0807">
        <w:t>estimated total cost to the</w:t>
      </w:r>
      <w:r w:rsidRPr="00DC0807">
        <w:t xml:space="preserve"> PBS/RPBS</w:t>
      </w:r>
      <w:r w:rsidR="004134ED" w:rsidRPr="00DC0807">
        <w:t xml:space="preserve"> of listing ustekinumab</w:t>
      </w:r>
      <w:r w:rsidRPr="00DC0807">
        <w:t xml:space="preserve"> at the proposed effective price was $</w:t>
      </w:r>
      <w:r w:rsidR="00073C60">
        <w:t>0 to &lt;$10 million</w:t>
      </w:r>
      <w:r w:rsidRPr="00DC0807">
        <w:t xml:space="preserve"> in Year 1, increasing to $</w:t>
      </w:r>
      <w:r w:rsidR="00073C60">
        <w:t>0 to &lt;$10</w:t>
      </w:r>
      <w:r w:rsidRPr="00DC0807">
        <w:t xml:space="preserve"> million in Year 6. The total cost over the </w:t>
      </w:r>
      <w:r w:rsidR="004134ED" w:rsidRPr="00DC0807">
        <w:t>first 6 years of listing</w:t>
      </w:r>
      <w:r w:rsidRPr="00DC0807">
        <w:t xml:space="preserve"> was $</w:t>
      </w:r>
      <w:r w:rsidR="00073C60">
        <w:t>0 to &lt;$10</w:t>
      </w:r>
      <w:r w:rsidRPr="00DC0807">
        <w:t xml:space="preserve"> million. </w:t>
      </w:r>
      <w:r w:rsidR="007F7DCC" w:rsidRPr="00DC0807">
        <w:t>There were no estimated incremental costs for the MBS.</w:t>
      </w:r>
    </w:p>
    <w:p w:rsidR="00055EDE" w:rsidRPr="00DC0807" w:rsidRDefault="00055EDE" w:rsidP="00A927F1">
      <w:pPr>
        <w:pStyle w:val="ListParagraph"/>
        <w:widowControl/>
        <w:numPr>
          <w:ilvl w:val="1"/>
          <w:numId w:val="1"/>
        </w:numPr>
        <w:spacing w:after="120"/>
      </w:pPr>
      <w:r w:rsidRPr="00DC0807">
        <w:t>Overall, the submission’s financial estimates were likely underestimated as the submission:</w:t>
      </w:r>
    </w:p>
    <w:p w:rsidR="00055EDE" w:rsidRPr="00DC0807" w:rsidRDefault="000277D7" w:rsidP="00E27672">
      <w:pPr>
        <w:pStyle w:val="Bulletpoints"/>
        <w:spacing w:after="120"/>
        <w:ind w:left="993" w:hanging="284"/>
      </w:pPr>
      <w:r w:rsidRPr="00DC0807">
        <w:t>Ma</w:t>
      </w:r>
      <w:r w:rsidR="00055EDE" w:rsidRPr="00DC0807">
        <w:t xml:space="preserve">y </w:t>
      </w:r>
      <w:r w:rsidRPr="00DC0807">
        <w:t xml:space="preserve">have </w:t>
      </w:r>
      <w:r w:rsidR="00055EDE" w:rsidRPr="00DC0807">
        <w:t xml:space="preserve">underestimated </w:t>
      </w:r>
      <w:r w:rsidRPr="00DC0807">
        <w:t xml:space="preserve">the number of patients treated with ustekinumab, which was based on the estimated number of patients who would otherwise be treated with etanercept. </w:t>
      </w:r>
      <w:r w:rsidR="00055EDE" w:rsidRPr="00DC0807">
        <w:t xml:space="preserve">The submission acknowledged that the number of patients initiating etanercept in a year </w:t>
      </w:r>
      <w:r w:rsidR="00391485" w:rsidRPr="00DC0807">
        <w:t xml:space="preserve">may be underestimated </w:t>
      </w:r>
      <w:r w:rsidR="00055EDE" w:rsidRPr="00DC0807">
        <w:t>if there were patients who did not receive the full course of treatment (i.e. scr</w:t>
      </w:r>
      <w:r w:rsidR="00391485" w:rsidRPr="00DC0807">
        <w:t xml:space="preserve">ipts per patient is less than six). </w:t>
      </w:r>
      <w:r w:rsidR="00B8612B" w:rsidRPr="00DC0807">
        <w:t>I</w:t>
      </w:r>
      <w:r w:rsidR="00391485" w:rsidRPr="00DC0807">
        <w:t xml:space="preserve">t </w:t>
      </w:r>
      <w:r w:rsidR="002534AE" w:rsidRPr="00DC0807">
        <w:t xml:space="preserve">also </w:t>
      </w:r>
      <w:r w:rsidR="00055EDE" w:rsidRPr="00DC0807">
        <w:t xml:space="preserve">argued that there were </w:t>
      </w:r>
      <w:r w:rsidR="00391485" w:rsidRPr="00DC0807">
        <w:t xml:space="preserve">also </w:t>
      </w:r>
      <w:r w:rsidR="00055EDE" w:rsidRPr="00DC0807">
        <w:t>patients experiencing a disease flare and receiving a retreatment in the same year (i.e. scrip</w:t>
      </w:r>
      <w:r w:rsidR="00391485" w:rsidRPr="00DC0807">
        <w:t>ts per patient is greater than six</w:t>
      </w:r>
      <w:r w:rsidR="00055EDE" w:rsidRPr="00DC0807">
        <w:t>)</w:t>
      </w:r>
      <w:r w:rsidR="00391485" w:rsidRPr="00DC0807">
        <w:t xml:space="preserve"> who were not considered, and </w:t>
      </w:r>
      <w:r w:rsidR="00055EDE" w:rsidRPr="00DC0807">
        <w:t xml:space="preserve">would offset each other. However, there was no consideration of patients who discontinued from ustekinumab going back onto treatment when their disease worsens (similar to patients with disease flares being retreated with etanercept), </w:t>
      </w:r>
      <w:r w:rsidRPr="00DC0807">
        <w:t>and it was un</w:t>
      </w:r>
      <w:r w:rsidR="00391485" w:rsidRPr="00DC0807">
        <w:t>l</w:t>
      </w:r>
      <w:r w:rsidRPr="00DC0807">
        <w:t xml:space="preserve">ikely that the proportion of patients who experience a disease flare would be greater than the proportion who failed to respond to etanercept as only 56.6% of patients achieved </w:t>
      </w:r>
      <w:r w:rsidR="00C92D23" w:rsidRPr="00DC0807">
        <w:t>PASI 75</w:t>
      </w:r>
      <w:r w:rsidRPr="00DC0807">
        <w:t xml:space="preserve"> at </w:t>
      </w:r>
      <w:r w:rsidR="00DA2DC0" w:rsidRPr="00DC0807">
        <w:t>W</w:t>
      </w:r>
      <w:r w:rsidRPr="00DC0807">
        <w:t>eek 12</w:t>
      </w:r>
      <w:r w:rsidR="00642A60" w:rsidRPr="00DC0807">
        <w:t xml:space="preserve"> </w:t>
      </w:r>
      <w:r w:rsidRPr="00DC0807">
        <w:t>in Paller 2008</w:t>
      </w:r>
      <w:r w:rsidR="00055EDE" w:rsidRPr="00DC0807">
        <w:t xml:space="preserve">; </w:t>
      </w:r>
    </w:p>
    <w:p w:rsidR="00055EDE" w:rsidRPr="00DC0807" w:rsidRDefault="00F33887" w:rsidP="00E27672">
      <w:pPr>
        <w:pStyle w:val="Bulletpoints"/>
        <w:spacing w:after="120"/>
        <w:ind w:left="993" w:hanging="284"/>
      </w:pPr>
      <w:r w:rsidRPr="00DC0807">
        <w:t>May have overestimated the dosage of etanercept. T</w:t>
      </w:r>
      <w:r w:rsidR="00055EDE" w:rsidRPr="00DC0807">
        <w:t>he assumption that all patients would be treated with 50</w:t>
      </w:r>
      <w:r w:rsidR="00642A60" w:rsidRPr="00DC0807">
        <w:t xml:space="preserve"> </w:t>
      </w:r>
      <w:r w:rsidR="00055EDE" w:rsidRPr="00DC0807">
        <w:t xml:space="preserve">mg etanercept dosing was inconsistent with the </w:t>
      </w:r>
      <w:r w:rsidRPr="00DC0807">
        <w:t>economic evaluation</w:t>
      </w:r>
      <w:r w:rsidR="00055EDE" w:rsidRPr="00DC0807">
        <w:t>, which assumed that 10.7% of all patients would be treated with 25</w:t>
      </w:r>
      <w:r w:rsidR="00642A60" w:rsidRPr="00DC0807">
        <w:t xml:space="preserve"> </w:t>
      </w:r>
      <w:r w:rsidR="00055EDE" w:rsidRPr="00DC0807">
        <w:t xml:space="preserve">mg of etanercept. </w:t>
      </w:r>
      <w:r w:rsidRPr="00DC0807">
        <w:t xml:space="preserve">This </w:t>
      </w:r>
      <w:r w:rsidR="00055EDE" w:rsidRPr="00DC0807">
        <w:t xml:space="preserve">led to an overestimated cost offset for etanercept; </w:t>
      </w:r>
    </w:p>
    <w:p w:rsidR="00055EDE" w:rsidRPr="00DC0807" w:rsidRDefault="00055EDE" w:rsidP="00E27672">
      <w:pPr>
        <w:pStyle w:val="Bulletpoints"/>
        <w:spacing w:after="120"/>
        <w:ind w:left="993" w:hanging="284"/>
      </w:pPr>
      <w:r w:rsidRPr="00DC0807">
        <w:t xml:space="preserve">Did not consider grandfathered patients (estimated to be 40 patients) in </w:t>
      </w:r>
      <w:r w:rsidR="00EC6B35" w:rsidRPr="00DC0807">
        <w:t xml:space="preserve">its </w:t>
      </w:r>
      <w:r w:rsidRPr="00DC0807">
        <w:t>estimates, underestimating the number of patients who may be treated with ustekinumab; and</w:t>
      </w:r>
    </w:p>
    <w:p w:rsidR="00055EDE" w:rsidRPr="00DC0807" w:rsidRDefault="00055EDE" w:rsidP="00E27672">
      <w:pPr>
        <w:pStyle w:val="Bulletpoints"/>
        <w:spacing w:after="120"/>
        <w:ind w:left="993" w:hanging="284"/>
      </w:pPr>
      <w:r w:rsidRPr="00DC0807">
        <w:t>Erroneously applied a continuation rate for 52 weeks of treatment for the patients continuing treatment of ustekinumab after initiation. Given the initial treatment is 28-weeks and a 28-week continuation rate was used, and the first continuing treatment is 24-weeks, then the continuing treatment rate for the first continuing treatment should be the 24-week rate. Using the 52-week continuation rate as performed in the submission would result in an underestimation in the number of initiation patients who would continue treatment.</w:t>
      </w:r>
    </w:p>
    <w:p w:rsidR="00055EDE" w:rsidRPr="00DC0807" w:rsidRDefault="00055EDE" w:rsidP="00A927F1">
      <w:pPr>
        <w:pStyle w:val="ListParagraph"/>
        <w:widowControl/>
        <w:numPr>
          <w:ilvl w:val="1"/>
          <w:numId w:val="1"/>
        </w:numPr>
        <w:spacing w:after="120"/>
        <w:rPr>
          <w:iCs/>
        </w:rPr>
      </w:pPr>
      <w:r w:rsidRPr="00DC0807">
        <w:t>Additionally, there were other areas of uncertainty, including:</w:t>
      </w:r>
    </w:p>
    <w:p w:rsidR="00A34EB6" w:rsidRPr="00DC0807" w:rsidRDefault="00A34EB6" w:rsidP="00A34EB6">
      <w:pPr>
        <w:pStyle w:val="ListParagraph"/>
        <w:widowControl/>
        <w:numPr>
          <w:ilvl w:val="0"/>
          <w:numId w:val="20"/>
        </w:numPr>
        <w:spacing w:after="120"/>
        <w:ind w:left="993" w:hanging="284"/>
        <w:rPr>
          <w:iCs/>
        </w:rPr>
      </w:pPr>
      <w:r w:rsidRPr="00DC0807">
        <w:t>Uncertainty regarding the uptake rate. The submission did not provide sufficient detail on how this rate was elicited; and</w:t>
      </w:r>
    </w:p>
    <w:p w:rsidR="00CC7A59" w:rsidRPr="00DC0807" w:rsidRDefault="00A34EB6" w:rsidP="00CC7A59">
      <w:pPr>
        <w:pStyle w:val="ListParagraph"/>
        <w:widowControl/>
        <w:numPr>
          <w:ilvl w:val="0"/>
          <w:numId w:val="20"/>
        </w:numPr>
        <w:spacing w:after="120"/>
        <w:ind w:left="993" w:hanging="284"/>
        <w:rPr>
          <w:iCs/>
        </w:rPr>
      </w:pPr>
      <w:r w:rsidRPr="00DC0807">
        <w:t>Uncertainty around the paediatric severe CPP prevalent population. The submission likely underestimated the number of patients currently treated with etanercept but overestimated the eligible population by not accounting for the removal of eligible patients once they become over 18 years of age over the forecasted years.</w:t>
      </w:r>
    </w:p>
    <w:p w:rsidR="00076757" w:rsidRPr="00DC0807" w:rsidRDefault="00076757" w:rsidP="00CC7A59">
      <w:pPr>
        <w:pStyle w:val="ListParagraph"/>
        <w:widowControl/>
        <w:numPr>
          <w:ilvl w:val="0"/>
          <w:numId w:val="20"/>
        </w:numPr>
        <w:spacing w:after="120"/>
        <w:ind w:left="993" w:hanging="284"/>
        <w:rPr>
          <w:iCs/>
        </w:rPr>
      </w:pPr>
      <w:r w:rsidRPr="00DC0807">
        <w:t>Wastage associated with use in patients &lt;60 kg, and additional scripts associated with a 90 mg dose for patients weighing &gt;100 kg.</w:t>
      </w:r>
    </w:p>
    <w:p w:rsidR="00C71CAE" w:rsidRPr="00DC0807" w:rsidRDefault="001E684A" w:rsidP="00A34EB6">
      <w:pPr>
        <w:pStyle w:val="ListParagraph"/>
        <w:widowControl/>
        <w:numPr>
          <w:ilvl w:val="1"/>
          <w:numId w:val="1"/>
        </w:numPr>
        <w:spacing w:after="120"/>
        <w:rPr>
          <w:iCs/>
        </w:rPr>
      </w:pPr>
      <w:r w:rsidRPr="00DC0807">
        <w:rPr>
          <w:iCs/>
        </w:rPr>
        <w:t>The PSCR</w:t>
      </w:r>
      <w:r w:rsidR="00C43207">
        <w:rPr>
          <w:iCs/>
        </w:rPr>
        <w:t xml:space="preserve"> </w:t>
      </w:r>
      <w:r w:rsidR="00470478" w:rsidRPr="00DC0807">
        <w:rPr>
          <w:iCs/>
        </w:rPr>
        <w:t xml:space="preserve">presented a revised financial analysis </w:t>
      </w:r>
      <w:r w:rsidRPr="00DC0807">
        <w:rPr>
          <w:iCs/>
        </w:rPr>
        <w:t>to address the concerns raised b</w:t>
      </w:r>
      <w:r w:rsidR="00456BE3" w:rsidRPr="00DC0807">
        <w:rPr>
          <w:iCs/>
        </w:rPr>
        <w:t>y the evaluation, specifically:</w:t>
      </w:r>
      <w:r w:rsidRPr="00DC0807">
        <w:rPr>
          <w:iCs/>
        </w:rPr>
        <w:t xml:space="preserve"> </w:t>
      </w:r>
      <w:r w:rsidRPr="00DC0807">
        <w:t>(i) applying an average of 5 scripts to the current etanercept patients, derived based on ~</w:t>
      </w:r>
      <w:r w:rsidR="006B6F2B">
        <w:rPr>
          <w:noProof/>
          <w:color w:val="000000"/>
          <w:highlight w:val="black"/>
        </w:rPr>
        <w:t>'''''</w:t>
      </w:r>
      <w:r w:rsidRPr="00DC0807">
        <w:t>% of etanercept patients achieving PASI 75 response at Week 12 and receiving 6 scripts, and the</w:t>
      </w:r>
      <w:r w:rsidR="00026466" w:rsidRPr="00DC0807">
        <w:t xml:space="preserve"> other </w:t>
      </w:r>
      <w:r w:rsidR="006B6F2B">
        <w:rPr>
          <w:noProof/>
          <w:color w:val="000000"/>
          <w:highlight w:val="black"/>
        </w:rPr>
        <w:t>'''''</w:t>
      </w:r>
      <w:r w:rsidR="00026466" w:rsidRPr="00DC0807">
        <w:t>% receiving 4 scripts;</w:t>
      </w:r>
      <w:r w:rsidR="00494DCD" w:rsidRPr="00DC0807">
        <w:t xml:space="preserve"> (ii) </w:t>
      </w:r>
      <w:r w:rsidRPr="00DC0807">
        <w:t xml:space="preserve">applying a </w:t>
      </w:r>
      <w:r w:rsidR="006B6F2B">
        <w:rPr>
          <w:noProof/>
          <w:color w:val="000000"/>
          <w:highlight w:val="black"/>
        </w:rPr>
        <w:t>''''''''</w:t>
      </w:r>
      <w:r w:rsidRPr="00DC0807">
        <w:t>% increase in the number of ustekinumab initiations in Year 1</w:t>
      </w:r>
      <w:r w:rsidR="00AC4F2D" w:rsidRPr="00DC0807">
        <w:t xml:space="preserve"> to include grandfathered patients</w:t>
      </w:r>
      <w:r w:rsidRPr="00DC0807">
        <w:t xml:space="preserve">, resulting in an increment of </w:t>
      </w:r>
      <w:r w:rsidR="009464F9">
        <w:t>&lt; 500</w:t>
      </w:r>
      <w:r w:rsidRPr="00DC0807">
        <w:t xml:space="preserve"> patients receiving ustekinumab</w:t>
      </w:r>
      <w:r w:rsidR="00026466" w:rsidRPr="00DC0807">
        <w:t>;</w:t>
      </w:r>
      <w:r w:rsidRPr="00DC0807">
        <w:t xml:space="preserve"> and (iii)</w:t>
      </w:r>
      <w:r w:rsidR="00494DCD" w:rsidRPr="00DC0807">
        <w:t xml:space="preserve"> applying</w:t>
      </w:r>
      <w:r w:rsidRPr="00DC0807">
        <w:t xml:space="preserve"> the 24-week continuation rate to patients receiving the first continuing treatment. </w:t>
      </w:r>
      <w:r w:rsidR="00494DCD" w:rsidRPr="00DC0807">
        <w:t>T</w:t>
      </w:r>
      <w:r w:rsidRPr="00DC0807">
        <w:t xml:space="preserve">he DPMQ of the drugs and the patient co-payment </w:t>
      </w:r>
      <w:r w:rsidR="00494DCD" w:rsidRPr="00DC0807">
        <w:t>were</w:t>
      </w:r>
      <w:r w:rsidRPr="00DC0807">
        <w:t xml:space="preserve"> updated to those effective from Jan</w:t>
      </w:r>
      <w:r w:rsidR="00470478" w:rsidRPr="00DC0807">
        <w:t>uary</w:t>
      </w:r>
      <w:r w:rsidRPr="00DC0807">
        <w:t xml:space="preserve"> 2021, and the cost offset from etanercept </w:t>
      </w:r>
      <w:r w:rsidR="00494DCD" w:rsidRPr="00DC0807">
        <w:t>was</w:t>
      </w:r>
      <w:r w:rsidRPr="00DC0807">
        <w:t xml:space="preserve"> revised down to account for 10.7% of patients receiving the 25 mg etanercept dose. The revised analysis is shown in </w:t>
      </w:r>
      <w:r w:rsidR="00EC6B35" w:rsidRPr="00DC0807">
        <w:t>the table below</w:t>
      </w:r>
      <w:r w:rsidRPr="00DC0807">
        <w:t>. These changes result</w:t>
      </w:r>
      <w:r w:rsidR="00494DCD" w:rsidRPr="00DC0807">
        <w:t>ed</w:t>
      </w:r>
      <w:r w:rsidRPr="00DC0807">
        <w:t xml:space="preserve"> in an estimated $</w:t>
      </w:r>
      <w:r w:rsidR="00073C60">
        <w:t>10</w:t>
      </w:r>
      <w:r w:rsidR="00F607C7">
        <w:t xml:space="preserve"> million</w:t>
      </w:r>
      <w:r w:rsidR="00073C60">
        <w:t xml:space="preserve"> to &lt;$20 </w:t>
      </w:r>
      <w:r w:rsidRPr="00DC0807">
        <w:t>million net cost for the health budget over the first six years of PBS listing, representing a $</w:t>
      </w:r>
      <w:r w:rsidR="00073C60">
        <w:t>0 to &lt;$10</w:t>
      </w:r>
      <w:r w:rsidRPr="00DC0807">
        <w:t xml:space="preserve"> million increase from the base case in the submission.</w:t>
      </w:r>
      <w:r w:rsidR="007F7DCC" w:rsidRPr="00DC0807">
        <w:t xml:space="preserve"> As these calculations were provided with the </w:t>
      </w:r>
      <w:r w:rsidR="00D265F8" w:rsidRPr="00DC0807">
        <w:t>PSCR</w:t>
      </w:r>
      <w:r w:rsidR="007F7DCC" w:rsidRPr="00DC0807">
        <w:t>, they have not been evaluated.</w:t>
      </w:r>
    </w:p>
    <w:p w:rsidR="00C71CAE" w:rsidRPr="00DC0807" w:rsidRDefault="00AE572A" w:rsidP="00AE572A">
      <w:pPr>
        <w:pStyle w:val="Caption"/>
        <w:keepNext/>
        <w:spacing w:after="0"/>
        <w:rPr>
          <w:rFonts w:ascii="Arial Narrow" w:hAnsi="Arial Narrow"/>
          <w:color w:val="auto"/>
          <w:sz w:val="20"/>
          <w:szCs w:val="20"/>
        </w:rPr>
      </w:pPr>
      <w:r w:rsidRPr="00DC0807">
        <w:rPr>
          <w:rFonts w:ascii="Arial Narrow" w:hAnsi="Arial Narrow"/>
          <w:color w:val="auto"/>
          <w:sz w:val="20"/>
          <w:szCs w:val="20"/>
        </w:rPr>
        <w:t>Table 17:</w:t>
      </w:r>
      <w:r w:rsidR="00C71CAE" w:rsidRPr="00DC0807">
        <w:rPr>
          <w:rFonts w:ascii="Arial Narrow" w:hAnsi="Arial Narrow"/>
          <w:color w:val="auto"/>
          <w:sz w:val="20"/>
          <w:szCs w:val="20"/>
        </w:rPr>
        <w:t xml:space="preserve"> Updated estimated use and financial implications</w:t>
      </w:r>
      <w:r w:rsidR="0002233C">
        <w:rPr>
          <w:rFonts w:ascii="Arial Narrow" w:hAnsi="Arial Narrow"/>
          <w:color w:val="auto"/>
          <w:sz w:val="20"/>
          <w:szCs w:val="20"/>
        </w:rPr>
        <w:t xml:space="preserve"> (effective prices)</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56"/>
        <w:gridCol w:w="1106"/>
        <w:gridCol w:w="1109"/>
        <w:gridCol w:w="1242"/>
        <w:gridCol w:w="1246"/>
        <w:gridCol w:w="1107"/>
        <w:gridCol w:w="1242"/>
      </w:tblGrid>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7A42D0">
            <w:pPr>
              <w:rPr>
                <w:rFonts w:ascii="Arial Narrow" w:hAnsi="Arial Narrow"/>
                <w:color w:val="000000"/>
                <w:sz w:val="20"/>
                <w:szCs w:val="20"/>
              </w:rPr>
            </w:pPr>
          </w:p>
        </w:tc>
        <w:tc>
          <w:tcPr>
            <w:tcW w:w="582"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bCs/>
                <w:color w:val="000000"/>
                <w:sz w:val="20"/>
                <w:szCs w:val="20"/>
              </w:rPr>
            </w:pPr>
            <w:r w:rsidRPr="00DC0807">
              <w:rPr>
                <w:rFonts w:ascii="Arial Narrow" w:hAnsi="Arial Narrow"/>
                <w:b/>
                <w:bCs/>
                <w:color w:val="000000"/>
                <w:sz w:val="20"/>
                <w:szCs w:val="20"/>
              </w:rPr>
              <w:t>Year 1</w:t>
            </w:r>
          </w:p>
        </w:tc>
        <w:tc>
          <w:tcPr>
            <w:tcW w:w="583"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bCs/>
                <w:color w:val="000000"/>
                <w:sz w:val="20"/>
                <w:szCs w:val="20"/>
              </w:rPr>
            </w:pPr>
            <w:r w:rsidRPr="00DC0807">
              <w:rPr>
                <w:rFonts w:ascii="Arial Narrow" w:hAnsi="Arial Narrow"/>
                <w:b/>
                <w:bCs/>
                <w:color w:val="000000"/>
                <w:sz w:val="20"/>
                <w:szCs w:val="20"/>
              </w:rPr>
              <w:t>Year 2</w:t>
            </w:r>
          </w:p>
        </w:tc>
        <w:tc>
          <w:tcPr>
            <w:tcW w:w="653"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bCs/>
                <w:color w:val="000000"/>
                <w:sz w:val="20"/>
                <w:szCs w:val="20"/>
              </w:rPr>
            </w:pPr>
            <w:r w:rsidRPr="00DC0807">
              <w:rPr>
                <w:rFonts w:ascii="Arial Narrow" w:hAnsi="Arial Narrow"/>
                <w:b/>
                <w:bCs/>
                <w:color w:val="000000"/>
                <w:sz w:val="20"/>
                <w:szCs w:val="20"/>
              </w:rPr>
              <w:t>Year 3</w:t>
            </w:r>
          </w:p>
        </w:tc>
        <w:tc>
          <w:tcPr>
            <w:tcW w:w="655"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bCs/>
                <w:color w:val="000000"/>
                <w:sz w:val="20"/>
                <w:szCs w:val="20"/>
              </w:rPr>
            </w:pPr>
            <w:r w:rsidRPr="00DC0807">
              <w:rPr>
                <w:rFonts w:ascii="Arial Narrow" w:hAnsi="Arial Narrow"/>
                <w:b/>
                <w:bCs/>
                <w:color w:val="000000"/>
                <w:sz w:val="20"/>
                <w:szCs w:val="20"/>
              </w:rPr>
              <w:t>Year 4</w:t>
            </w:r>
          </w:p>
        </w:tc>
        <w:tc>
          <w:tcPr>
            <w:tcW w:w="582"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bCs/>
                <w:color w:val="000000"/>
                <w:sz w:val="20"/>
                <w:szCs w:val="20"/>
              </w:rPr>
            </w:pPr>
            <w:r w:rsidRPr="00DC0807">
              <w:rPr>
                <w:rFonts w:ascii="Arial Narrow" w:hAnsi="Arial Narrow"/>
                <w:b/>
                <w:bCs/>
                <w:color w:val="000000"/>
                <w:sz w:val="20"/>
                <w:szCs w:val="20"/>
              </w:rPr>
              <w:t>Year 5</w:t>
            </w:r>
          </w:p>
        </w:tc>
        <w:tc>
          <w:tcPr>
            <w:tcW w:w="654"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bCs/>
                <w:color w:val="000000"/>
                <w:sz w:val="20"/>
                <w:szCs w:val="20"/>
              </w:rPr>
            </w:pPr>
            <w:r w:rsidRPr="00DC0807">
              <w:rPr>
                <w:rFonts w:ascii="Arial Narrow" w:hAnsi="Arial Narrow"/>
                <w:b/>
                <w:bCs/>
                <w:color w:val="000000"/>
                <w:sz w:val="20"/>
                <w:szCs w:val="20"/>
              </w:rPr>
              <w:t>Year 6</w:t>
            </w: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A07D50" w:rsidP="008C3698">
            <w:pPr>
              <w:ind w:left="-85"/>
              <w:rPr>
                <w:rFonts w:ascii="Arial Narrow" w:hAnsi="Arial Narrow"/>
                <w:b/>
                <w:iCs/>
                <w:color w:val="4F81BD"/>
                <w:sz w:val="20"/>
                <w:szCs w:val="20"/>
              </w:rPr>
            </w:pPr>
            <w:r>
              <w:rPr>
                <w:rFonts w:ascii="Arial Narrow" w:hAnsi="Arial Narrow"/>
                <w:b/>
                <w:iCs/>
                <w:sz w:val="20"/>
                <w:szCs w:val="20"/>
              </w:rPr>
              <w:t>I</w:t>
            </w:r>
            <w:r w:rsidR="00C71CAE" w:rsidRPr="00DC0807">
              <w:rPr>
                <w:rFonts w:ascii="Arial Narrow" w:hAnsi="Arial Narrow"/>
                <w:b/>
                <w:iCs/>
                <w:sz w:val="20"/>
                <w:szCs w:val="20"/>
              </w:rPr>
              <w:t>nitial submission</w:t>
            </w:r>
          </w:p>
        </w:tc>
        <w:tc>
          <w:tcPr>
            <w:tcW w:w="582" w:type="pct"/>
            <w:noWrap/>
            <w:tcMar>
              <w:top w:w="0" w:type="dxa"/>
              <w:left w:w="108" w:type="dxa"/>
              <w:bottom w:w="0" w:type="dxa"/>
              <w:right w:w="108" w:type="dxa"/>
            </w:tcMar>
            <w:vAlign w:val="center"/>
            <w:hideMark/>
          </w:tcPr>
          <w:p w:rsidR="00C71CAE" w:rsidRPr="00DC0807" w:rsidRDefault="00C71CAE" w:rsidP="007A42D0">
            <w:pPr>
              <w:rPr>
                <w:rFonts w:ascii="Arial Narrow" w:hAnsi="Arial Narrow"/>
                <w:iCs/>
                <w:color w:val="4F81BD"/>
                <w:sz w:val="20"/>
                <w:szCs w:val="20"/>
              </w:rPr>
            </w:pPr>
          </w:p>
        </w:tc>
        <w:tc>
          <w:tcPr>
            <w:tcW w:w="583"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c>
          <w:tcPr>
            <w:tcW w:w="653"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c>
          <w:tcPr>
            <w:tcW w:w="655"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c>
          <w:tcPr>
            <w:tcW w:w="582"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c>
          <w:tcPr>
            <w:tcW w:w="654"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8C3698">
            <w:pPr>
              <w:ind w:left="-85"/>
              <w:rPr>
                <w:rFonts w:ascii="Arial Narrow" w:hAnsi="Arial Narrow"/>
                <w:color w:val="000000"/>
                <w:sz w:val="20"/>
                <w:szCs w:val="20"/>
              </w:rPr>
            </w:pPr>
            <w:r w:rsidRPr="00DC0807">
              <w:rPr>
                <w:rFonts w:ascii="Arial Narrow" w:hAnsi="Arial Narrow"/>
                <w:color w:val="000000"/>
                <w:sz w:val="20"/>
                <w:szCs w:val="20"/>
              </w:rPr>
              <w:t>Number of ustekinumab initiations</w:t>
            </w:r>
          </w:p>
        </w:tc>
        <w:tc>
          <w:tcPr>
            <w:tcW w:w="582"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vertAlign w:val="superscript"/>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583"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653"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655"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582"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654"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8C3698">
            <w:pPr>
              <w:ind w:left="-85"/>
              <w:rPr>
                <w:rFonts w:ascii="Arial Narrow" w:hAnsi="Arial Narrow"/>
                <w:color w:val="000000"/>
                <w:sz w:val="20"/>
                <w:szCs w:val="20"/>
              </w:rPr>
            </w:pPr>
            <w:r w:rsidRPr="00DC0807">
              <w:rPr>
                <w:rFonts w:ascii="Arial Narrow" w:hAnsi="Arial Narrow"/>
                <w:color w:val="000000"/>
                <w:sz w:val="20"/>
                <w:szCs w:val="20"/>
              </w:rPr>
              <w:t>Number of ustekinumab scripts</w:t>
            </w:r>
          </w:p>
        </w:tc>
        <w:tc>
          <w:tcPr>
            <w:tcW w:w="582" w:type="pct"/>
            <w:noWrap/>
            <w:tcMar>
              <w:top w:w="0" w:type="dxa"/>
              <w:left w:w="108" w:type="dxa"/>
              <w:bottom w:w="0" w:type="dxa"/>
              <w:right w:w="108" w:type="dxa"/>
            </w:tcMar>
            <w:vAlign w:val="center"/>
            <w:hideMark/>
          </w:tcPr>
          <w:p w:rsidR="00C71CAE" w:rsidRPr="00DC0807"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583"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c>
          <w:tcPr>
            <w:tcW w:w="653"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c>
          <w:tcPr>
            <w:tcW w:w="655"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c>
          <w:tcPr>
            <w:tcW w:w="582"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c>
          <w:tcPr>
            <w:tcW w:w="654"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8C3698">
            <w:pPr>
              <w:ind w:left="-85"/>
              <w:jc w:val="left"/>
              <w:rPr>
                <w:rFonts w:ascii="Arial Narrow" w:hAnsi="Arial Narrow"/>
                <w:color w:val="000000"/>
                <w:sz w:val="20"/>
                <w:szCs w:val="20"/>
              </w:rPr>
            </w:pPr>
            <w:r w:rsidRPr="00DC0807">
              <w:rPr>
                <w:rFonts w:ascii="Arial Narrow" w:hAnsi="Arial Narrow"/>
                <w:color w:val="000000"/>
                <w:sz w:val="20"/>
                <w:szCs w:val="20"/>
              </w:rPr>
              <w:t xml:space="preserve">Net cost </w:t>
            </w:r>
            <w:r w:rsidR="00D265F8" w:rsidRPr="00DC0807">
              <w:rPr>
                <w:rFonts w:ascii="Arial Narrow" w:hAnsi="Arial Narrow"/>
                <w:color w:val="000000"/>
                <w:sz w:val="20"/>
                <w:szCs w:val="20"/>
              </w:rPr>
              <w:t>to the PBS/RPBS</w:t>
            </w:r>
            <w:r w:rsidR="0002233C">
              <w:rPr>
                <w:rFonts w:ascii="Arial Narrow" w:hAnsi="Arial Narrow"/>
                <w:color w:val="000000"/>
                <w:sz w:val="20"/>
                <w:szCs w:val="20"/>
              </w:rPr>
              <w:t xml:space="preserve"> (uncorrected)</w:t>
            </w:r>
          </w:p>
        </w:tc>
        <w:tc>
          <w:tcPr>
            <w:tcW w:w="582" w:type="pct"/>
            <w:noWrap/>
            <w:tcMar>
              <w:top w:w="0" w:type="dxa"/>
              <w:left w:w="108" w:type="dxa"/>
              <w:bottom w:w="0" w:type="dxa"/>
              <w:right w:w="108" w:type="dxa"/>
            </w:tcMar>
            <w:vAlign w:val="center"/>
            <w:hideMark/>
          </w:tcPr>
          <w:p w:rsidR="00C71CAE" w:rsidRPr="00F57FB5" w:rsidRDefault="00C71CAE" w:rsidP="007A42D0">
            <w:pPr>
              <w:jc w:val="center"/>
              <w:rPr>
                <w:rFonts w:ascii="Arial Narrow" w:hAnsi="Arial Narrow"/>
                <w:b/>
                <w:color w:val="000000"/>
                <w:sz w:val="20"/>
                <w:szCs w:val="20"/>
                <w:vertAlign w:val="superscript"/>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F57FB5" w:rsidRPr="00F57FB5">
              <w:rPr>
                <w:rFonts w:ascii="Arial Narrow" w:hAnsi="Arial Narrow"/>
                <w:color w:val="000000"/>
                <w:sz w:val="20"/>
                <w:szCs w:val="20"/>
                <w:vertAlign w:val="superscript"/>
              </w:rPr>
              <w:t>3</w:t>
            </w:r>
          </w:p>
        </w:tc>
        <w:tc>
          <w:tcPr>
            <w:tcW w:w="583"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F57FB5" w:rsidRPr="00F57FB5">
              <w:rPr>
                <w:rFonts w:ascii="Arial Narrow" w:hAnsi="Arial Narrow"/>
                <w:color w:val="000000"/>
                <w:sz w:val="20"/>
                <w:szCs w:val="20"/>
                <w:vertAlign w:val="superscript"/>
              </w:rPr>
              <w:t>3</w:t>
            </w:r>
          </w:p>
        </w:tc>
        <w:tc>
          <w:tcPr>
            <w:tcW w:w="653" w:type="pct"/>
            <w:noWrap/>
            <w:tcMar>
              <w:top w:w="0" w:type="dxa"/>
              <w:left w:w="108" w:type="dxa"/>
              <w:bottom w:w="0" w:type="dxa"/>
              <w:right w:w="108" w:type="dxa"/>
            </w:tcMar>
            <w:vAlign w:val="center"/>
            <w:hideMark/>
          </w:tcPr>
          <w:p w:rsidR="00C71CAE" w:rsidRPr="00DC0807" w:rsidRDefault="00C71CAE" w:rsidP="00F57FB5">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F57FB5" w:rsidRPr="00F57FB5">
              <w:rPr>
                <w:rFonts w:ascii="Arial Narrow" w:hAnsi="Arial Narrow"/>
                <w:color w:val="000000"/>
                <w:sz w:val="20"/>
                <w:szCs w:val="20"/>
                <w:vertAlign w:val="superscript"/>
              </w:rPr>
              <w:t>3</w:t>
            </w:r>
          </w:p>
        </w:tc>
        <w:tc>
          <w:tcPr>
            <w:tcW w:w="655"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F57FB5" w:rsidRPr="00F57FB5">
              <w:rPr>
                <w:rFonts w:ascii="Arial Narrow" w:hAnsi="Arial Narrow"/>
                <w:color w:val="000000"/>
                <w:sz w:val="20"/>
                <w:szCs w:val="20"/>
                <w:vertAlign w:val="superscript"/>
              </w:rPr>
              <w:t>3</w:t>
            </w:r>
          </w:p>
        </w:tc>
        <w:tc>
          <w:tcPr>
            <w:tcW w:w="582"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F57FB5" w:rsidRPr="00F57FB5">
              <w:rPr>
                <w:rFonts w:ascii="Arial Narrow" w:hAnsi="Arial Narrow"/>
                <w:color w:val="000000"/>
                <w:sz w:val="20"/>
                <w:szCs w:val="20"/>
                <w:vertAlign w:val="superscript"/>
              </w:rPr>
              <w:t>3</w:t>
            </w:r>
          </w:p>
        </w:tc>
        <w:tc>
          <w:tcPr>
            <w:tcW w:w="654"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F57FB5" w:rsidRPr="00F57FB5">
              <w:rPr>
                <w:rFonts w:ascii="Arial Narrow" w:hAnsi="Arial Narrow"/>
                <w:color w:val="000000"/>
                <w:sz w:val="20"/>
                <w:szCs w:val="20"/>
                <w:vertAlign w:val="superscript"/>
              </w:rPr>
              <w:t>3</w:t>
            </w: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8C3698">
            <w:pPr>
              <w:ind w:left="-85"/>
              <w:rPr>
                <w:rFonts w:ascii="Arial Narrow" w:hAnsi="Arial Narrow"/>
                <w:b/>
                <w:iCs/>
                <w:color w:val="4F81BD"/>
                <w:sz w:val="20"/>
                <w:szCs w:val="20"/>
              </w:rPr>
            </w:pPr>
            <w:r w:rsidRPr="00DC0807">
              <w:rPr>
                <w:rFonts w:ascii="Arial Narrow" w:hAnsi="Arial Narrow"/>
                <w:b/>
                <w:iCs/>
                <w:sz w:val="20"/>
                <w:szCs w:val="20"/>
              </w:rPr>
              <w:t>Revised for the PSCR</w:t>
            </w:r>
          </w:p>
        </w:tc>
        <w:tc>
          <w:tcPr>
            <w:tcW w:w="582" w:type="pct"/>
            <w:noWrap/>
            <w:tcMar>
              <w:top w:w="0" w:type="dxa"/>
              <w:left w:w="108" w:type="dxa"/>
              <w:bottom w:w="0" w:type="dxa"/>
              <w:right w:w="108" w:type="dxa"/>
            </w:tcMar>
            <w:vAlign w:val="center"/>
            <w:hideMark/>
          </w:tcPr>
          <w:p w:rsidR="00C71CAE" w:rsidRPr="00DC0807" w:rsidRDefault="00C71CAE" w:rsidP="007A42D0">
            <w:pPr>
              <w:rPr>
                <w:rFonts w:ascii="Arial Narrow" w:hAnsi="Arial Narrow"/>
                <w:iCs/>
                <w:color w:val="4F81BD"/>
                <w:sz w:val="20"/>
                <w:szCs w:val="20"/>
              </w:rPr>
            </w:pPr>
          </w:p>
        </w:tc>
        <w:tc>
          <w:tcPr>
            <w:tcW w:w="583"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c>
          <w:tcPr>
            <w:tcW w:w="653"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c>
          <w:tcPr>
            <w:tcW w:w="655"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c>
          <w:tcPr>
            <w:tcW w:w="582"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c>
          <w:tcPr>
            <w:tcW w:w="654" w:type="pct"/>
            <w:noWrap/>
            <w:tcMar>
              <w:top w:w="0" w:type="dxa"/>
              <w:left w:w="108" w:type="dxa"/>
              <w:bottom w:w="0" w:type="dxa"/>
              <w:right w:w="108" w:type="dxa"/>
            </w:tcMar>
            <w:vAlign w:val="center"/>
            <w:hideMark/>
          </w:tcPr>
          <w:p w:rsidR="00C71CAE" w:rsidRPr="00DC0807" w:rsidRDefault="00C71CAE" w:rsidP="007A42D0">
            <w:pPr>
              <w:rPr>
                <w:rFonts w:ascii="Arial Narrow" w:hAnsi="Arial Narrow" w:cs="Times New Roman"/>
                <w:sz w:val="20"/>
                <w:szCs w:val="20"/>
              </w:rPr>
            </w:pP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8C3698">
            <w:pPr>
              <w:ind w:left="-85"/>
              <w:rPr>
                <w:rFonts w:ascii="Arial Narrow" w:hAnsi="Arial Narrow"/>
                <w:color w:val="000000"/>
                <w:sz w:val="20"/>
                <w:szCs w:val="20"/>
              </w:rPr>
            </w:pPr>
            <w:r w:rsidRPr="00DC0807">
              <w:rPr>
                <w:rFonts w:ascii="Arial Narrow" w:hAnsi="Arial Narrow"/>
                <w:color w:val="000000"/>
                <w:sz w:val="20"/>
                <w:szCs w:val="20"/>
              </w:rPr>
              <w:t>Number of ustekinumab initiations</w:t>
            </w:r>
          </w:p>
        </w:tc>
        <w:tc>
          <w:tcPr>
            <w:tcW w:w="582"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583"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653"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655"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582"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654"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8C3698">
            <w:pPr>
              <w:ind w:left="-85"/>
              <w:rPr>
                <w:rFonts w:ascii="Arial Narrow" w:hAnsi="Arial Narrow"/>
                <w:color w:val="000000"/>
                <w:sz w:val="20"/>
                <w:szCs w:val="20"/>
              </w:rPr>
            </w:pPr>
            <w:r w:rsidRPr="00DC0807">
              <w:rPr>
                <w:rFonts w:ascii="Arial Narrow" w:hAnsi="Arial Narrow"/>
                <w:color w:val="000000"/>
                <w:sz w:val="20"/>
                <w:szCs w:val="20"/>
              </w:rPr>
              <w:t>Number of ustekinumab scripts</w:t>
            </w:r>
          </w:p>
        </w:tc>
        <w:tc>
          <w:tcPr>
            <w:tcW w:w="582" w:type="pct"/>
            <w:noWrap/>
            <w:tcMar>
              <w:top w:w="0" w:type="dxa"/>
              <w:left w:w="108" w:type="dxa"/>
              <w:bottom w:w="0" w:type="dxa"/>
              <w:right w:w="108" w:type="dxa"/>
            </w:tcMar>
            <w:vAlign w:val="center"/>
            <w:hideMark/>
          </w:tcPr>
          <w:p w:rsidR="00C71CAE" w:rsidRPr="00DC0807"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sidRPr="00073C60">
              <w:rPr>
                <w:rFonts w:ascii="Arial Narrow" w:hAnsi="Arial Narrow"/>
                <w:color w:val="000000"/>
                <w:sz w:val="20"/>
                <w:szCs w:val="20"/>
                <w:vertAlign w:val="superscript"/>
              </w:rPr>
              <w:t>1</w:t>
            </w:r>
          </w:p>
        </w:tc>
        <w:tc>
          <w:tcPr>
            <w:tcW w:w="583"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c>
          <w:tcPr>
            <w:tcW w:w="653"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c>
          <w:tcPr>
            <w:tcW w:w="655"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c>
          <w:tcPr>
            <w:tcW w:w="582"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c>
          <w:tcPr>
            <w:tcW w:w="654" w:type="pct"/>
            <w:noWrap/>
            <w:tcMar>
              <w:top w:w="0" w:type="dxa"/>
              <w:left w:w="108" w:type="dxa"/>
              <w:bottom w:w="0" w:type="dxa"/>
              <w:right w:w="108" w:type="dxa"/>
            </w:tcMar>
            <w:vAlign w:val="center"/>
            <w:hideMark/>
          </w:tcPr>
          <w:p w:rsidR="00C71CAE" w:rsidRPr="006B6F2B" w:rsidRDefault="006B6F2B" w:rsidP="007A42D0">
            <w:pPr>
              <w:jc w:val="center"/>
              <w:rPr>
                <w:rFonts w:ascii="Arial Narrow" w:hAnsi="Arial Narrow"/>
                <w:color w:val="000000"/>
                <w:sz w:val="20"/>
                <w:szCs w:val="20"/>
              </w:rPr>
            </w:pPr>
            <w:r>
              <w:rPr>
                <w:rFonts w:ascii="Arial Narrow" w:hAnsi="Arial Narrow"/>
                <w:noProof/>
                <w:color w:val="000000"/>
                <w:sz w:val="20"/>
                <w:szCs w:val="20"/>
                <w:highlight w:val="black"/>
              </w:rPr>
              <w:t>'''''''''''''</w:t>
            </w:r>
            <w:r w:rsidR="00073C60">
              <w:rPr>
                <w:rFonts w:ascii="Arial Narrow" w:hAnsi="Arial Narrow"/>
                <w:color w:val="000000"/>
                <w:sz w:val="20"/>
                <w:szCs w:val="20"/>
                <w:vertAlign w:val="superscript"/>
              </w:rPr>
              <w:t>2</w:t>
            </w:r>
          </w:p>
        </w:tc>
      </w:tr>
      <w:tr w:rsidR="006B6F2B" w:rsidRPr="00DC0807" w:rsidTr="006B6F2B">
        <w:trPr>
          <w:trHeight w:val="58"/>
        </w:trPr>
        <w:tc>
          <w:tcPr>
            <w:tcW w:w="1292" w:type="pct"/>
            <w:noWrap/>
            <w:tcMar>
              <w:top w:w="0" w:type="dxa"/>
              <w:left w:w="108" w:type="dxa"/>
              <w:bottom w:w="0" w:type="dxa"/>
              <w:right w:w="108" w:type="dxa"/>
            </w:tcMar>
            <w:vAlign w:val="center"/>
          </w:tcPr>
          <w:p w:rsidR="008C3698" w:rsidRPr="00DC0807" w:rsidRDefault="008C3698" w:rsidP="008C3698">
            <w:pPr>
              <w:ind w:left="-85" w:right="-106"/>
              <w:rPr>
                <w:rFonts w:ascii="Arial Narrow" w:hAnsi="Arial Narrow"/>
                <w:color w:val="000000"/>
                <w:sz w:val="20"/>
                <w:szCs w:val="20"/>
              </w:rPr>
            </w:pPr>
            <w:r>
              <w:rPr>
                <w:rFonts w:ascii="Arial Narrow" w:hAnsi="Arial Narrow"/>
                <w:color w:val="000000"/>
                <w:sz w:val="20"/>
                <w:szCs w:val="20"/>
              </w:rPr>
              <w:t>Net cost to PBS/RPBS (ustekinumab)</w:t>
            </w:r>
          </w:p>
        </w:tc>
        <w:tc>
          <w:tcPr>
            <w:tcW w:w="582"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 xml:space="preserve"> $</w:t>
            </w:r>
            <w:r w:rsidR="006B6F2B">
              <w:rPr>
                <w:rFonts w:ascii="Arial Narrow" w:hAnsi="Arial Narrow"/>
                <w:noProof/>
                <w:color w:val="000000"/>
                <w:sz w:val="20"/>
                <w:szCs w:val="20"/>
                <w:highlight w:val="black"/>
              </w:rPr>
              <w:t>'''''''''''''''''''''</w:t>
            </w:r>
            <w:r w:rsidR="00B25730" w:rsidRPr="00F57FB5">
              <w:rPr>
                <w:rFonts w:ascii="Arial Narrow" w:hAnsi="Arial Narrow"/>
                <w:color w:val="000000"/>
                <w:sz w:val="20"/>
                <w:szCs w:val="20"/>
                <w:vertAlign w:val="superscript"/>
              </w:rPr>
              <w:t>3</w:t>
            </w:r>
          </w:p>
        </w:tc>
        <w:tc>
          <w:tcPr>
            <w:tcW w:w="583"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 xml:space="preserve"> </w:t>
            </w:r>
            <w:r w:rsidR="00F57FB5">
              <w:rPr>
                <w:rFonts w:ascii="Arial Narrow" w:hAnsi="Arial Narrow"/>
                <w:color w:val="000000"/>
                <w:sz w:val="20"/>
                <w:szCs w:val="20"/>
              </w:rPr>
              <w:t>$</w:t>
            </w:r>
            <w:r w:rsidR="006B6F2B">
              <w:rPr>
                <w:rFonts w:ascii="Arial Narrow" w:hAnsi="Arial Narrow"/>
                <w:noProof/>
                <w:color w:val="000000"/>
                <w:sz w:val="20"/>
                <w:szCs w:val="20"/>
                <w:highlight w:val="black"/>
              </w:rPr>
              <w:t>''''''''''''''''''''''''</w:t>
            </w:r>
            <w:r w:rsidR="00B25730" w:rsidRPr="00F57FB5">
              <w:rPr>
                <w:rFonts w:ascii="Arial Narrow" w:hAnsi="Arial Narrow"/>
                <w:color w:val="000000"/>
                <w:sz w:val="20"/>
                <w:szCs w:val="20"/>
                <w:vertAlign w:val="superscript"/>
              </w:rPr>
              <w:t>3</w:t>
            </w:r>
          </w:p>
        </w:tc>
        <w:tc>
          <w:tcPr>
            <w:tcW w:w="653"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B25730" w:rsidRPr="00F57FB5">
              <w:rPr>
                <w:rFonts w:ascii="Arial Narrow" w:hAnsi="Arial Narrow"/>
                <w:color w:val="000000"/>
                <w:sz w:val="20"/>
                <w:szCs w:val="20"/>
                <w:vertAlign w:val="superscript"/>
              </w:rPr>
              <w:t>3</w:t>
            </w:r>
          </w:p>
        </w:tc>
        <w:tc>
          <w:tcPr>
            <w:tcW w:w="655"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B25730" w:rsidRPr="00F57FB5">
              <w:rPr>
                <w:rFonts w:ascii="Arial Narrow" w:hAnsi="Arial Narrow"/>
                <w:color w:val="000000"/>
                <w:sz w:val="20"/>
                <w:szCs w:val="20"/>
                <w:vertAlign w:val="superscript"/>
              </w:rPr>
              <w:t>3</w:t>
            </w:r>
            <w:r w:rsidRPr="008C3698">
              <w:rPr>
                <w:rFonts w:ascii="Arial Narrow" w:hAnsi="Arial Narrow"/>
                <w:color w:val="000000"/>
                <w:sz w:val="20"/>
                <w:szCs w:val="20"/>
              </w:rPr>
              <w:t xml:space="preserve"> </w:t>
            </w:r>
          </w:p>
        </w:tc>
        <w:tc>
          <w:tcPr>
            <w:tcW w:w="582" w:type="pct"/>
            <w:noWrap/>
            <w:tcMar>
              <w:top w:w="0" w:type="dxa"/>
              <w:left w:w="108" w:type="dxa"/>
              <w:bottom w:w="0" w:type="dxa"/>
              <w:right w:w="108" w:type="dxa"/>
            </w:tcMar>
          </w:tcPr>
          <w:p w:rsidR="008C3698" w:rsidRPr="00DC0807" w:rsidRDefault="008C3698" w:rsidP="008C3698">
            <w:pP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B25730" w:rsidRPr="00F57FB5">
              <w:rPr>
                <w:rFonts w:ascii="Arial Narrow" w:hAnsi="Arial Narrow"/>
                <w:color w:val="000000"/>
                <w:sz w:val="20"/>
                <w:szCs w:val="20"/>
                <w:vertAlign w:val="superscript"/>
              </w:rPr>
              <w:t>3</w:t>
            </w:r>
            <w:r w:rsidRPr="008C3698">
              <w:rPr>
                <w:rFonts w:ascii="Arial Narrow" w:hAnsi="Arial Narrow"/>
                <w:color w:val="000000"/>
                <w:sz w:val="20"/>
                <w:szCs w:val="20"/>
              </w:rPr>
              <w:t xml:space="preserve"> </w:t>
            </w:r>
          </w:p>
        </w:tc>
        <w:tc>
          <w:tcPr>
            <w:tcW w:w="654"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B25730" w:rsidRPr="00F57FB5">
              <w:rPr>
                <w:rFonts w:ascii="Arial Narrow" w:hAnsi="Arial Narrow"/>
                <w:color w:val="000000"/>
                <w:sz w:val="20"/>
                <w:szCs w:val="20"/>
                <w:vertAlign w:val="superscript"/>
              </w:rPr>
              <w:t>3</w:t>
            </w:r>
          </w:p>
        </w:tc>
      </w:tr>
      <w:tr w:rsidR="006B6F2B" w:rsidRPr="00DC0807" w:rsidTr="006B6F2B">
        <w:trPr>
          <w:trHeight w:val="58"/>
        </w:trPr>
        <w:tc>
          <w:tcPr>
            <w:tcW w:w="1292" w:type="pct"/>
            <w:noWrap/>
            <w:tcMar>
              <w:top w:w="0" w:type="dxa"/>
              <w:left w:w="108" w:type="dxa"/>
              <w:bottom w:w="0" w:type="dxa"/>
              <w:right w:w="108" w:type="dxa"/>
            </w:tcMar>
            <w:vAlign w:val="center"/>
          </w:tcPr>
          <w:p w:rsidR="008C3698" w:rsidRPr="00DC0807" w:rsidRDefault="008C3698" w:rsidP="008C3698">
            <w:pPr>
              <w:ind w:left="-85"/>
              <w:rPr>
                <w:rFonts w:ascii="Arial Narrow" w:hAnsi="Arial Narrow"/>
                <w:color w:val="000000"/>
                <w:sz w:val="20"/>
                <w:szCs w:val="20"/>
              </w:rPr>
            </w:pPr>
            <w:r>
              <w:rPr>
                <w:rFonts w:ascii="Arial Narrow" w:hAnsi="Arial Narrow"/>
                <w:color w:val="000000"/>
                <w:sz w:val="20"/>
                <w:szCs w:val="20"/>
              </w:rPr>
              <w:t>Net cost to PBS/PRBS (etanercept)</w:t>
            </w:r>
          </w:p>
        </w:tc>
        <w:tc>
          <w:tcPr>
            <w:tcW w:w="582"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r w:rsidRPr="008C3698">
              <w:rPr>
                <w:rFonts w:ascii="Arial Narrow" w:hAnsi="Arial Narrow"/>
                <w:color w:val="000000"/>
                <w:sz w:val="20"/>
                <w:szCs w:val="20"/>
              </w:rPr>
              <w:t xml:space="preserve"> </w:t>
            </w:r>
          </w:p>
        </w:tc>
        <w:tc>
          <w:tcPr>
            <w:tcW w:w="583"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r w:rsidRPr="008C3698">
              <w:rPr>
                <w:rFonts w:ascii="Arial Narrow" w:hAnsi="Arial Narrow"/>
                <w:color w:val="000000"/>
                <w:sz w:val="20"/>
                <w:szCs w:val="20"/>
              </w:rPr>
              <w:t xml:space="preserve"> </w:t>
            </w:r>
          </w:p>
        </w:tc>
        <w:tc>
          <w:tcPr>
            <w:tcW w:w="653"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r w:rsidRPr="008C3698">
              <w:rPr>
                <w:rFonts w:ascii="Arial Narrow" w:hAnsi="Arial Narrow"/>
                <w:color w:val="000000"/>
                <w:sz w:val="20"/>
                <w:szCs w:val="20"/>
              </w:rPr>
              <w:t xml:space="preserve"> </w:t>
            </w:r>
          </w:p>
        </w:tc>
        <w:tc>
          <w:tcPr>
            <w:tcW w:w="655"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r w:rsidRPr="008C3698">
              <w:rPr>
                <w:rFonts w:ascii="Arial Narrow" w:hAnsi="Arial Narrow"/>
                <w:color w:val="000000"/>
                <w:sz w:val="20"/>
                <w:szCs w:val="20"/>
              </w:rPr>
              <w:t xml:space="preserve"> </w:t>
            </w:r>
          </w:p>
        </w:tc>
        <w:tc>
          <w:tcPr>
            <w:tcW w:w="582"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r w:rsidRPr="008C3698">
              <w:rPr>
                <w:rFonts w:ascii="Arial Narrow" w:hAnsi="Arial Narrow"/>
                <w:color w:val="000000"/>
                <w:sz w:val="20"/>
                <w:szCs w:val="20"/>
              </w:rPr>
              <w:t xml:space="preserve"> </w:t>
            </w:r>
          </w:p>
        </w:tc>
        <w:tc>
          <w:tcPr>
            <w:tcW w:w="654" w:type="pct"/>
            <w:noWrap/>
            <w:tcMar>
              <w:top w:w="0" w:type="dxa"/>
              <w:left w:w="108" w:type="dxa"/>
              <w:bottom w:w="0" w:type="dxa"/>
              <w:right w:w="108" w:type="dxa"/>
            </w:tcMar>
          </w:tcPr>
          <w:p w:rsidR="008C3698" w:rsidRPr="00DC0807" w:rsidRDefault="008C3698" w:rsidP="008C3698">
            <w:pPr>
              <w:jc w:val="center"/>
              <w:rPr>
                <w:rFonts w:ascii="Arial Narrow" w:hAnsi="Arial Narrow"/>
                <w:color w:val="000000"/>
                <w:sz w:val="20"/>
                <w:szCs w:val="20"/>
              </w:rPr>
            </w:pPr>
            <w:r w:rsidRPr="008C3698">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r w:rsidRPr="008C3698">
              <w:rPr>
                <w:rFonts w:ascii="Arial Narrow" w:hAnsi="Arial Narrow"/>
                <w:color w:val="000000"/>
                <w:sz w:val="20"/>
                <w:szCs w:val="20"/>
              </w:rPr>
              <w:t xml:space="preserve"> </w:t>
            </w: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8C3698">
            <w:pPr>
              <w:ind w:left="-85"/>
              <w:rPr>
                <w:rFonts w:ascii="Arial Narrow" w:hAnsi="Arial Narrow"/>
                <w:color w:val="000000"/>
                <w:sz w:val="20"/>
                <w:szCs w:val="20"/>
              </w:rPr>
            </w:pPr>
            <w:r w:rsidRPr="00DC0807">
              <w:rPr>
                <w:rFonts w:ascii="Arial Narrow" w:hAnsi="Arial Narrow"/>
                <w:color w:val="000000"/>
                <w:sz w:val="20"/>
                <w:szCs w:val="20"/>
              </w:rPr>
              <w:t xml:space="preserve">Net cost </w:t>
            </w:r>
            <w:r w:rsidR="00D41471" w:rsidRPr="00DC0807">
              <w:rPr>
                <w:rFonts w:ascii="Arial Narrow" w:hAnsi="Arial Narrow"/>
                <w:color w:val="000000"/>
                <w:sz w:val="20"/>
                <w:szCs w:val="20"/>
              </w:rPr>
              <w:t>to the PBS/RPBS</w:t>
            </w:r>
          </w:p>
        </w:tc>
        <w:tc>
          <w:tcPr>
            <w:tcW w:w="582"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A66F30" w:rsidRPr="00F57FB5">
              <w:rPr>
                <w:rFonts w:ascii="Arial Narrow" w:hAnsi="Arial Narrow"/>
                <w:color w:val="000000"/>
                <w:sz w:val="20"/>
                <w:szCs w:val="20"/>
                <w:vertAlign w:val="superscript"/>
              </w:rPr>
              <w:t>3</w:t>
            </w:r>
          </w:p>
        </w:tc>
        <w:tc>
          <w:tcPr>
            <w:tcW w:w="583"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A66F30" w:rsidRPr="00F57FB5">
              <w:rPr>
                <w:rFonts w:ascii="Arial Narrow" w:hAnsi="Arial Narrow"/>
                <w:color w:val="000000"/>
                <w:sz w:val="20"/>
                <w:szCs w:val="20"/>
                <w:vertAlign w:val="superscript"/>
              </w:rPr>
              <w:t>3</w:t>
            </w:r>
          </w:p>
        </w:tc>
        <w:tc>
          <w:tcPr>
            <w:tcW w:w="653"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A66F30" w:rsidRPr="00F57FB5">
              <w:rPr>
                <w:rFonts w:ascii="Arial Narrow" w:hAnsi="Arial Narrow"/>
                <w:color w:val="000000"/>
                <w:sz w:val="20"/>
                <w:szCs w:val="20"/>
                <w:vertAlign w:val="superscript"/>
              </w:rPr>
              <w:t>3</w:t>
            </w:r>
          </w:p>
        </w:tc>
        <w:tc>
          <w:tcPr>
            <w:tcW w:w="655"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A66F30" w:rsidRPr="00F57FB5">
              <w:rPr>
                <w:rFonts w:ascii="Arial Narrow" w:hAnsi="Arial Narrow"/>
                <w:color w:val="000000"/>
                <w:sz w:val="20"/>
                <w:szCs w:val="20"/>
                <w:vertAlign w:val="superscript"/>
              </w:rPr>
              <w:t>3</w:t>
            </w:r>
          </w:p>
        </w:tc>
        <w:tc>
          <w:tcPr>
            <w:tcW w:w="582"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A66F30" w:rsidRPr="00F57FB5">
              <w:rPr>
                <w:rFonts w:ascii="Arial Narrow" w:hAnsi="Arial Narrow"/>
                <w:color w:val="000000"/>
                <w:sz w:val="20"/>
                <w:szCs w:val="20"/>
                <w:vertAlign w:val="superscript"/>
              </w:rPr>
              <w:t>3</w:t>
            </w:r>
          </w:p>
        </w:tc>
        <w:tc>
          <w:tcPr>
            <w:tcW w:w="654"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b/>
                <w:color w:val="000000"/>
                <w:sz w:val="20"/>
                <w:szCs w:val="20"/>
              </w:rPr>
            </w:pPr>
            <w:r w:rsidRPr="00DC0807">
              <w:rPr>
                <w:rFonts w:ascii="Arial Narrow" w:hAnsi="Arial Narrow"/>
                <w:b/>
                <w:color w:val="000000"/>
                <w:sz w:val="20"/>
                <w:szCs w:val="20"/>
              </w:rPr>
              <w:t>$</w:t>
            </w:r>
            <w:r w:rsidR="006B6F2B">
              <w:rPr>
                <w:rFonts w:ascii="Arial Narrow" w:hAnsi="Arial Narrow"/>
                <w:b/>
                <w:noProof/>
                <w:color w:val="000000"/>
                <w:sz w:val="20"/>
                <w:szCs w:val="20"/>
                <w:highlight w:val="black"/>
              </w:rPr>
              <w:t>'''''''''''''''''''''</w:t>
            </w:r>
            <w:r w:rsidR="00A66F30" w:rsidRPr="00F57FB5">
              <w:rPr>
                <w:rFonts w:ascii="Arial Narrow" w:hAnsi="Arial Narrow"/>
                <w:color w:val="000000"/>
                <w:sz w:val="20"/>
                <w:szCs w:val="20"/>
                <w:vertAlign w:val="superscript"/>
              </w:rPr>
              <w:t>3</w:t>
            </w:r>
          </w:p>
        </w:tc>
      </w:tr>
      <w:tr w:rsidR="006B6F2B" w:rsidRPr="00DC0807" w:rsidTr="006B6F2B">
        <w:trPr>
          <w:trHeight w:val="58"/>
        </w:trPr>
        <w:tc>
          <w:tcPr>
            <w:tcW w:w="1292" w:type="pct"/>
            <w:noWrap/>
            <w:tcMar>
              <w:top w:w="0" w:type="dxa"/>
              <w:left w:w="108" w:type="dxa"/>
              <w:bottom w:w="0" w:type="dxa"/>
              <w:right w:w="108" w:type="dxa"/>
            </w:tcMar>
            <w:vAlign w:val="center"/>
            <w:hideMark/>
          </w:tcPr>
          <w:p w:rsidR="00C71CAE" w:rsidRPr="00DC0807" w:rsidRDefault="00C71CAE" w:rsidP="008C3698">
            <w:pPr>
              <w:ind w:left="-85"/>
              <w:rPr>
                <w:rFonts w:ascii="Arial Narrow" w:hAnsi="Arial Narrow"/>
                <w:iCs/>
                <w:color w:val="000000"/>
                <w:sz w:val="20"/>
                <w:szCs w:val="20"/>
              </w:rPr>
            </w:pPr>
            <w:r w:rsidRPr="00DC0807">
              <w:rPr>
                <w:rFonts w:ascii="Arial Narrow" w:hAnsi="Arial Narrow"/>
                <w:iCs/>
                <w:color w:val="000000"/>
                <w:sz w:val="20"/>
                <w:szCs w:val="20"/>
              </w:rPr>
              <w:t>Variance vs. submission base case</w:t>
            </w:r>
          </w:p>
        </w:tc>
        <w:tc>
          <w:tcPr>
            <w:tcW w:w="582"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color w:val="000000"/>
                <w:sz w:val="20"/>
                <w:szCs w:val="20"/>
              </w:rPr>
            </w:pPr>
            <w:r w:rsidRPr="00DC0807">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p>
        </w:tc>
        <w:tc>
          <w:tcPr>
            <w:tcW w:w="583"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color w:val="000000"/>
                <w:sz w:val="20"/>
                <w:szCs w:val="20"/>
              </w:rPr>
            </w:pPr>
            <w:r w:rsidRPr="00DC0807">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p>
        </w:tc>
        <w:tc>
          <w:tcPr>
            <w:tcW w:w="653"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color w:val="000000"/>
                <w:sz w:val="20"/>
                <w:szCs w:val="20"/>
              </w:rPr>
            </w:pPr>
            <w:r w:rsidRPr="00DC0807">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p>
        </w:tc>
        <w:tc>
          <w:tcPr>
            <w:tcW w:w="655"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color w:val="000000"/>
                <w:sz w:val="20"/>
                <w:szCs w:val="20"/>
              </w:rPr>
            </w:pPr>
            <w:r w:rsidRPr="00DC0807">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p>
        </w:tc>
        <w:tc>
          <w:tcPr>
            <w:tcW w:w="582"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color w:val="000000"/>
                <w:sz w:val="20"/>
                <w:szCs w:val="20"/>
              </w:rPr>
            </w:pPr>
            <w:r w:rsidRPr="00DC0807">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p>
        </w:tc>
        <w:tc>
          <w:tcPr>
            <w:tcW w:w="654" w:type="pct"/>
            <w:noWrap/>
            <w:tcMar>
              <w:top w:w="0" w:type="dxa"/>
              <w:left w:w="108" w:type="dxa"/>
              <w:bottom w:w="0" w:type="dxa"/>
              <w:right w:w="108" w:type="dxa"/>
            </w:tcMar>
            <w:vAlign w:val="center"/>
            <w:hideMark/>
          </w:tcPr>
          <w:p w:rsidR="00C71CAE" w:rsidRPr="00DC0807" w:rsidRDefault="00C71CAE" w:rsidP="007A42D0">
            <w:pPr>
              <w:jc w:val="center"/>
              <w:rPr>
                <w:rFonts w:ascii="Arial Narrow" w:hAnsi="Arial Narrow"/>
                <w:color w:val="000000"/>
                <w:sz w:val="20"/>
                <w:szCs w:val="20"/>
              </w:rPr>
            </w:pPr>
            <w:r w:rsidRPr="00DC0807">
              <w:rPr>
                <w:rFonts w:ascii="Arial Narrow" w:hAnsi="Arial Narrow"/>
                <w:color w:val="000000"/>
                <w:sz w:val="20"/>
                <w:szCs w:val="20"/>
              </w:rPr>
              <w:t>$</w:t>
            </w:r>
            <w:r w:rsidR="006B6F2B">
              <w:rPr>
                <w:rFonts w:ascii="Arial Narrow" w:hAnsi="Arial Narrow"/>
                <w:noProof/>
                <w:color w:val="000000"/>
                <w:sz w:val="20"/>
                <w:szCs w:val="20"/>
                <w:highlight w:val="black"/>
              </w:rPr>
              <w:t>''''''''''''''''''''''''</w:t>
            </w:r>
            <w:r w:rsidR="00A66F30" w:rsidRPr="00F57FB5">
              <w:rPr>
                <w:rFonts w:ascii="Arial Narrow" w:hAnsi="Arial Narrow"/>
                <w:color w:val="000000"/>
                <w:sz w:val="20"/>
                <w:szCs w:val="20"/>
                <w:vertAlign w:val="superscript"/>
              </w:rPr>
              <w:t>3</w:t>
            </w:r>
          </w:p>
        </w:tc>
      </w:tr>
    </w:tbl>
    <w:p w:rsidR="0002233C" w:rsidRDefault="00EC6B35" w:rsidP="0002233C">
      <w:pPr>
        <w:widowControl/>
        <w:rPr>
          <w:rFonts w:ascii="Arial Narrow" w:hAnsi="Arial Narrow"/>
          <w:iCs/>
          <w:sz w:val="18"/>
          <w:szCs w:val="20"/>
        </w:rPr>
      </w:pPr>
      <w:r w:rsidRPr="0002233C">
        <w:rPr>
          <w:rFonts w:ascii="Arial Narrow" w:hAnsi="Arial Narrow"/>
          <w:iCs/>
          <w:sz w:val="18"/>
          <w:szCs w:val="20"/>
        </w:rPr>
        <w:t>Source: Table 5, PSCR, p6</w:t>
      </w:r>
      <w:r w:rsidR="008C3698">
        <w:rPr>
          <w:rFonts w:ascii="Arial Narrow" w:hAnsi="Arial Narrow"/>
          <w:iCs/>
          <w:sz w:val="18"/>
          <w:szCs w:val="20"/>
        </w:rPr>
        <w:t>, and sheets 3c and 4c of financial estimates spreadsheet provided with PSCR.</w:t>
      </w:r>
    </w:p>
    <w:p w:rsidR="00073C60" w:rsidRPr="00A66F30" w:rsidRDefault="00073C60" w:rsidP="0002233C">
      <w:pPr>
        <w:widowControl/>
        <w:rPr>
          <w:rFonts w:ascii="Arial Narrow" w:hAnsi="Arial Narrow"/>
          <w:i/>
          <w:iCs/>
          <w:sz w:val="18"/>
          <w:szCs w:val="20"/>
        </w:rPr>
      </w:pPr>
      <w:r w:rsidRPr="00A66F30">
        <w:rPr>
          <w:rFonts w:ascii="Arial Narrow" w:hAnsi="Arial Narrow"/>
          <w:i/>
          <w:iCs/>
          <w:sz w:val="18"/>
          <w:szCs w:val="20"/>
        </w:rPr>
        <w:t>The redacted values correspond to the following ranges:</w:t>
      </w:r>
    </w:p>
    <w:p w:rsidR="00073C60" w:rsidRPr="00A66F30" w:rsidRDefault="00073C60" w:rsidP="0002233C">
      <w:pPr>
        <w:widowControl/>
        <w:rPr>
          <w:rFonts w:ascii="Arial Narrow" w:hAnsi="Arial Narrow"/>
          <w:i/>
          <w:iCs/>
          <w:sz w:val="18"/>
          <w:szCs w:val="20"/>
        </w:rPr>
      </w:pPr>
      <w:r w:rsidRPr="00A66F30">
        <w:rPr>
          <w:rFonts w:ascii="Arial Narrow" w:hAnsi="Arial Narrow"/>
          <w:i/>
          <w:iCs/>
          <w:sz w:val="18"/>
          <w:szCs w:val="20"/>
          <w:vertAlign w:val="superscript"/>
        </w:rPr>
        <w:t>1</w:t>
      </w:r>
      <w:r w:rsidRPr="00A66F30">
        <w:rPr>
          <w:rFonts w:ascii="Arial Narrow" w:hAnsi="Arial Narrow"/>
          <w:i/>
          <w:iCs/>
          <w:sz w:val="18"/>
          <w:szCs w:val="20"/>
        </w:rPr>
        <w:t>&lt;500</w:t>
      </w:r>
    </w:p>
    <w:p w:rsidR="00073C60" w:rsidRPr="00A66F30" w:rsidRDefault="00073C60" w:rsidP="0002233C">
      <w:pPr>
        <w:widowControl/>
        <w:rPr>
          <w:rFonts w:ascii="Arial Narrow" w:hAnsi="Arial Narrow"/>
          <w:i/>
          <w:iCs/>
          <w:sz w:val="18"/>
          <w:szCs w:val="20"/>
        </w:rPr>
      </w:pPr>
      <w:r w:rsidRPr="00A66F30">
        <w:rPr>
          <w:rFonts w:ascii="Arial Narrow" w:hAnsi="Arial Narrow"/>
          <w:i/>
          <w:iCs/>
          <w:sz w:val="18"/>
          <w:szCs w:val="20"/>
          <w:vertAlign w:val="superscript"/>
        </w:rPr>
        <w:t>2</w:t>
      </w:r>
      <w:r w:rsidRPr="00A66F30">
        <w:rPr>
          <w:rFonts w:ascii="Arial Narrow" w:hAnsi="Arial Narrow"/>
          <w:i/>
          <w:iCs/>
          <w:sz w:val="18"/>
          <w:szCs w:val="20"/>
        </w:rPr>
        <w:t>500 to &lt;5,000</w:t>
      </w:r>
    </w:p>
    <w:p w:rsidR="00F57FB5" w:rsidRPr="00A66F30" w:rsidRDefault="00F57FB5" w:rsidP="0002233C">
      <w:pPr>
        <w:widowControl/>
        <w:rPr>
          <w:rFonts w:ascii="Arial Narrow" w:hAnsi="Arial Narrow"/>
          <w:i/>
          <w:iCs/>
          <w:sz w:val="18"/>
          <w:szCs w:val="20"/>
        </w:rPr>
      </w:pPr>
      <w:r w:rsidRPr="00A66F30">
        <w:rPr>
          <w:rFonts w:ascii="Arial Narrow" w:hAnsi="Arial Narrow"/>
          <w:i/>
          <w:iCs/>
          <w:sz w:val="18"/>
          <w:szCs w:val="20"/>
          <w:vertAlign w:val="superscript"/>
        </w:rPr>
        <w:t>3</w:t>
      </w:r>
      <w:r w:rsidRPr="00A66F30">
        <w:rPr>
          <w:rFonts w:ascii="Arial Narrow" w:hAnsi="Arial Narrow"/>
          <w:i/>
          <w:iCs/>
          <w:sz w:val="18"/>
          <w:szCs w:val="20"/>
        </w:rPr>
        <w:t>$0 to &lt;$10 million</w:t>
      </w:r>
    </w:p>
    <w:p w:rsidR="0002233C" w:rsidRPr="0002233C" w:rsidRDefault="0002233C" w:rsidP="0002233C">
      <w:pPr>
        <w:widowControl/>
        <w:rPr>
          <w:rFonts w:ascii="Arial Narrow" w:hAnsi="Arial Narrow"/>
          <w:iCs/>
          <w:sz w:val="18"/>
          <w:szCs w:val="20"/>
        </w:rPr>
      </w:pPr>
    </w:p>
    <w:p w:rsidR="001E684A" w:rsidRPr="006F57BD" w:rsidRDefault="001E684A" w:rsidP="009A4311">
      <w:pPr>
        <w:pStyle w:val="ListParagraph"/>
        <w:widowControl/>
        <w:numPr>
          <w:ilvl w:val="1"/>
          <w:numId w:val="1"/>
        </w:numPr>
        <w:spacing w:after="120"/>
        <w:rPr>
          <w:iCs/>
        </w:rPr>
      </w:pPr>
      <w:r w:rsidRPr="00DC0807">
        <w:t xml:space="preserve">The </w:t>
      </w:r>
      <w:r w:rsidR="00470478" w:rsidRPr="00DC0807">
        <w:t>PSCR</w:t>
      </w:r>
      <w:r w:rsidRPr="00DC0807">
        <w:t xml:space="preserve"> </w:t>
      </w:r>
      <w:r w:rsidR="00C71CAE" w:rsidRPr="00DC0807">
        <w:t>stated</w:t>
      </w:r>
      <w:r w:rsidRPr="00DC0807">
        <w:t xml:space="preserve"> that since the financial estimates model continues to capture the utilisation of ustekinumab in patients after they turn 18 years of age, </w:t>
      </w:r>
      <w:r w:rsidR="00494DCD" w:rsidRPr="00DC0807">
        <w:t xml:space="preserve">and </w:t>
      </w:r>
      <w:r w:rsidRPr="00DC0807">
        <w:t xml:space="preserve">also assumes grandfathered patients have the same utilisation as those initiated on the PBS, the true net cost of </w:t>
      </w:r>
      <w:r w:rsidR="00BA15F3" w:rsidRPr="00DC0807">
        <w:t xml:space="preserve">ustekinumab </w:t>
      </w:r>
      <w:r w:rsidRPr="00DC0807">
        <w:t>for the health budget will likely fall within the range of $</w:t>
      </w:r>
      <w:r w:rsidR="00C61E07">
        <w:t>0 to &lt;$10</w:t>
      </w:r>
      <w:r w:rsidRPr="00DC0807">
        <w:t xml:space="preserve"> million (submission base case) and $</w:t>
      </w:r>
      <w:r w:rsidR="00C61E07">
        <w:t>10</w:t>
      </w:r>
      <w:r w:rsidR="00F607C7">
        <w:t xml:space="preserve"> million</w:t>
      </w:r>
      <w:r w:rsidR="00C61E07">
        <w:t xml:space="preserve"> to &lt;$20</w:t>
      </w:r>
      <w:r w:rsidRPr="00DC0807">
        <w:t xml:space="preserve"> million (revised for the PSCR) over the six-year listing period.</w:t>
      </w:r>
    </w:p>
    <w:p w:rsidR="006F57BD" w:rsidRPr="006F57BD" w:rsidRDefault="006F57BD" w:rsidP="009A4311">
      <w:pPr>
        <w:pStyle w:val="ListParagraph"/>
        <w:widowControl/>
        <w:numPr>
          <w:ilvl w:val="1"/>
          <w:numId w:val="1"/>
        </w:numPr>
        <w:spacing w:after="120"/>
        <w:rPr>
          <w:iCs/>
        </w:rPr>
      </w:pPr>
      <w:r>
        <w:t xml:space="preserve">However, the PBAC considered that there remained a risk of leakage to less severe patients, given that ustekinumab has </w:t>
      </w:r>
      <w:r w:rsidR="0070423E">
        <w:t xml:space="preserve">superior effectiveness and </w:t>
      </w:r>
      <w:r>
        <w:t xml:space="preserve">a lower frequency of injections </w:t>
      </w:r>
      <w:r w:rsidR="0070423E">
        <w:t>compared to etanercept.</w:t>
      </w:r>
    </w:p>
    <w:p w:rsidR="006F57BD" w:rsidRPr="002A7D1F" w:rsidRDefault="006F57BD" w:rsidP="006F57BD">
      <w:pPr>
        <w:pStyle w:val="Heading2"/>
        <w:spacing w:after="120"/>
      </w:pPr>
      <w:bookmarkStart w:id="34" w:name="_Toc62032245"/>
      <w:r w:rsidRPr="002A7D1F">
        <w:t>Financial Management – Risk Sharing Arrangements</w:t>
      </w:r>
      <w:bookmarkEnd w:id="34"/>
    </w:p>
    <w:p w:rsidR="00EB2F7B" w:rsidRPr="00DC0807" w:rsidRDefault="0070423E" w:rsidP="00AE5627">
      <w:pPr>
        <w:pStyle w:val="ListParagraph"/>
        <w:widowControl/>
        <w:numPr>
          <w:ilvl w:val="1"/>
          <w:numId w:val="1"/>
        </w:numPr>
        <w:spacing w:after="240"/>
        <w:rPr>
          <w:iCs/>
        </w:rPr>
      </w:pPr>
      <w:r w:rsidRPr="0070423E">
        <w:rPr>
          <w:iCs/>
        </w:rPr>
        <w:t xml:space="preserve">The PBAC considered that a Risk Sharing Arrangement, based on the PSCR estimates </w:t>
      </w:r>
      <w:r>
        <w:rPr>
          <w:iCs/>
        </w:rPr>
        <w:t xml:space="preserve">with a rebate of </w:t>
      </w:r>
      <w:r w:rsidR="006B6F2B">
        <w:rPr>
          <w:iCs/>
          <w:noProof/>
          <w:color w:val="000000"/>
          <w:highlight w:val="black"/>
        </w:rPr>
        <w:t>'''''''</w:t>
      </w:r>
      <w:r>
        <w:rPr>
          <w:iCs/>
        </w:rPr>
        <w:t xml:space="preserve">% above the subsidy caps, </w:t>
      </w:r>
      <w:r w:rsidRPr="0070423E">
        <w:rPr>
          <w:iCs/>
        </w:rPr>
        <w:t>would be need</w:t>
      </w:r>
      <w:r>
        <w:rPr>
          <w:iCs/>
        </w:rPr>
        <w:t>ed</w:t>
      </w:r>
      <w:r w:rsidRPr="0070423E">
        <w:rPr>
          <w:iCs/>
        </w:rPr>
        <w:t xml:space="preserve"> to manage the risk that the market may grow </w:t>
      </w:r>
      <w:r>
        <w:rPr>
          <w:iCs/>
        </w:rPr>
        <w:t xml:space="preserve">beyond the estimates presented. </w:t>
      </w:r>
    </w:p>
    <w:p w:rsidR="004C3AC1" w:rsidRPr="00DC0807" w:rsidRDefault="004C3AC1" w:rsidP="00AE5627">
      <w:pPr>
        <w:pStyle w:val="Heading2"/>
        <w:spacing w:after="240"/>
      </w:pPr>
      <w:bookmarkStart w:id="35" w:name="_Toc62032244"/>
      <w:r w:rsidRPr="00DC0807">
        <w:t>Quality Use of Medicines</w:t>
      </w:r>
      <w:bookmarkEnd w:id="35"/>
      <w:r w:rsidRPr="00DC0807">
        <w:t xml:space="preserve"> </w:t>
      </w:r>
    </w:p>
    <w:p w:rsidR="00AF048F" w:rsidRPr="00DC0807" w:rsidRDefault="00AF048F" w:rsidP="00AF048F">
      <w:pPr>
        <w:pStyle w:val="ListParagraph"/>
        <w:widowControl/>
        <w:numPr>
          <w:ilvl w:val="1"/>
          <w:numId w:val="1"/>
        </w:numPr>
      </w:pPr>
      <w:r w:rsidRPr="00DC0807">
        <w:t>The sponsor has a patient support program (PSP) for adults with severe CPP and intends for this PSP to also be available for paediatric severe CPP patients and carers. This will likely include multiple initiatives and information such as: a patient and carer starter pack; patient and carer injection/administration training and education to ensure the appropriate required dose is received; a reminder service for upcoming doses; free replacement services for sharps/swabs and syringes; and support material and resources.</w:t>
      </w:r>
    </w:p>
    <w:p w:rsidR="00214EDA" w:rsidRPr="00DC0807" w:rsidRDefault="00214EDA" w:rsidP="00214EDA">
      <w:pPr>
        <w:pStyle w:val="Bulletpoints"/>
        <w:numPr>
          <w:ilvl w:val="0"/>
          <w:numId w:val="0"/>
        </w:numPr>
        <w:spacing w:after="120"/>
        <w:ind w:left="709"/>
        <w:rPr>
          <w:rFonts w:asciiTheme="minorHAnsi" w:hAnsiTheme="minorHAnsi"/>
          <w:i/>
        </w:rPr>
      </w:pPr>
      <w:r w:rsidRPr="00DC0807">
        <w:rPr>
          <w:rFonts w:asciiTheme="minorHAnsi" w:hAnsiTheme="minorHAnsi"/>
          <w:i/>
        </w:rPr>
        <w:t>For more detail on PBAC’s view, see section 7 PBAC outcome.</w:t>
      </w:r>
    </w:p>
    <w:p w:rsidR="007742D8" w:rsidRPr="00DC0807" w:rsidRDefault="007742D8" w:rsidP="00BE3BC8">
      <w:pPr>
        <w:pStyle w:val="PBACHeading1"/>
        <w:spacing w:before="240" w:after="120"/>
      </w:pPr>
      <w:r w:rsidRPr="00DC0807">
        <w:t>PBAC Outcome</w:t>
      </w:r>
    </w:p>
    <w:p w:rsidR="00626A77" w:rsidRPr="00E401F0" w:rsidRDefault="00E76F45" w:rsidP="00C25993">
      <w:pPr>
        <w:numPr>
          <w:ilvl w:val="1"/>
          <w:numId w:val="1"/>
        </w:numPr>
        <w:spacing w:after="120"/>
        <w:rPr>
          <w:rFonts w:asciiTheme="minorHAnsi" w:hAnsiTheme="minorHAnsi"/>
          <w:bCs/>
        </w:rPr>
      </w:pPr>
      <w:r w:rsidRPr="00E401F0">
        <w:rPr>
          <w:rFonts w:asciiTheme="minorHAnsi" w:hAnsiTheme="minorHAnsi"/>
          <w:bCs/>
        </w:rPr>
        <w:t xml:space="preserve">The PBAC recommended the listing of ustekinumab on the General Schedule for the treatment of </w:t>
      </w:r>
      <w:r w:rsidRPr="00DC0807">
        <w:t>paediatric patients with severe chronic plaque psoriasis (CPP)</w:t>
      </w:r>
      <w:r w:rsidR="002C7A17" w:rsidRPr="00DC0807">
        <w:t>, and</w:t>
      </w:r>
      <w:r w:rsidR="002C7A17" w:rsidRPr="00E401F0">
        <w:rPr>
          <w:rFonts w:asciiTheme="minorHAnsi" w:hAnsiTheme="minorHAnsi"/>
          <w:bCs/>
        </w:rPr>
        <w:t xml:space="preserve"> is</w:t>
      </w:r>
      <w:r w:rsidR="00F44C92" w:rsidRPr="00E401F0">
        <w:rPr>
          <w:rFonts w:asciiTheme="minorHAnsi" w:hAnsiTheme="minorHAnsi"/>
          <w:bCs/>
        </w:rPr>
        <w:t xml:space="preserve"> satisfied that ustekinumab provides, for some patients, a </w:t>
      </w:r>
      <w:r w:rsidR="002C7A17" w:rsidRPr="00E401F0">
        <w:rPr>
          <w:rFonts w:asciiTheme="minorHAnsi" w:hAnsiTheme="minorHAnsi"/>
          <w:bCs/>
        </w:rPr>
        <w:t>significant</w:t>
      </w:r>
      <w:r w:rsidR="00F44C92" w:rsidRPr="00E401F0">
        <w:rPr>
          <w:rFonts w:asciiTheme="minorHAnsi" w:hAnsiTheme="minorHAnsi"/>
          <w:bCs/>
        </w:rPr>
        <w:t xml:space="preserve"> improvement in efficacy over etanercept.</w:t>
      </w:r>
      <w:r w:rsidR="00E401F0" w:rsidRPr="00E401F0">
        <w:rPr>
          <w:rFonts w:asciiTheme="minorHAnsi" w:hAnsiTheme="minorHAnsi"/>
          <w:bCs/>
        </w:rPr>
        <w:t xml:space="preserve"> </w:t>
      </w:r>
      <w:r w:rsidR="00626A77" w:rsidRPr="00E401F0">
        <w:rPr>
          <w:rFonts w:asciiTheme="minorHAnsi" w:hAnsiTheme="minorHAnsi"/>
          <w:bCs/>
        </w:rPr>
        <w:t>The PBAC’s recommendation for listing was based on, among other matters, its assessment</w:t>
      </w:r>
      <w:r w:rsidR="0009475E" w:rsidRPr="00E401F0">
        <w:rPr>
          <w:rFonts w:asciiTheme="minorHAnsi" w:hAnsiTheme="minorHAnsi"/>
          <w:bCs/>
        </w:rPr>
        <w:t xml:space="preserve"> </w:t>
      </w:r>
      <w:r w:rsidR="00626A77" w:rsidRPr="00E401F0">
        <w:rPr>
          <w:rFonts w:asciiTheme="minorHAnsi" w:hAnsiTheme="minorHAnsi"/>
          <w:bCs/>
        </w:rPr>
        <w:t xml:space="preserve">that ustekinumab would be cost-effective </w:t>
      </w:r>
      <w:r w:rsidR="001F259D" w:rsidRPr="00E401F0">
        <w:rPr>
          <w:rFonts w:asciiTheme="minorHAnsi" w:hAnsiTheme="minorHAnsi"/>
          <w:bCs/>
        </w:rPr>
        <w:t xml:space="preserve">at a price no greater than the </w:t>
      </w:r>
      <w:r w:rsidR="00626A77" w:rsidRPr="00E401F0">
        <w:rPr>
          <w:rFonts w:asciiTheme="minorHAnsi" w:hAnsiTheme="minorHAnsi"/>
          <w:bCs/>
        </w:rPr>
        <w:t>price for adults in the same indication.</w:t>
      </w:r>
      <w:r w:rsidR="001F259D" w:rsidRPr="00E401F0">
        <w:rPr>
          <w:rFonts w:asciiTheme="minorHAnsi" w:hAnsiTheme="minorHAnsi"/>
          <w:bCs/>
        </w:rPr>
        <w:t xml:space="preserve"> </w:t>
      </w:r>
    </w:p>
    <w:p w:rsidR="003D7F74" w:rsidRPr="00DC0807" w:rsidRDefault="00F32C95" w:rsidP="00D958A1">
      <w:pPr>
        <w:numPr>
          <w:ilvl w:val="1"/>
          <w:numId w:val="1"/>
        </w:numPr>
        <w:spacing w:after="120"/>
        <w:rPr>
          <w:rFonts w:asciiTheme="minorHAnsi" w:hAnsiTheme="minorHAnsi"/>
          <w:bCs/>
        </w:rPr>
      </w:pPr>
      <w:r w:rsidRPr="00DC0807">
        <w:rPr>
          <w:rFonts w:asciiTheme="minorHAnsi" w:hAnsiTheme="minorHAnsi"/>
          <w:bCs/>
        </w:rPr>
        <w:t xml:space="preserve">The PBAC considered that the strong consumer support for ustekinumab reflected </w:t>
      </w:r>
      <w:r w:rsidR="005F7A06" w:rsidRPr="00DC0807">
        <w:rPr>
          <w:rFonts w:asciiTheme="minorHAnsi" w:hAnsiTheme="minorHAnsi"/>
          <w:bCs/>
        </w:rPr>
        <w:t>an</w:t>
      </w:r>
      <w:r w:rsidRPr="00DC0807">
        <w:rPr>
          <w:rFonts w:asciiTheme="minorHAnsi" w:hAnsiTheme="minorHAnsi"/>
          <w:bCs/>
        </w:rPr>
        <w:t xml:space="preserve"> unmet clinicial need</w:t>
      </w:r>
      <w:r w:rsidR="007B334D" w:rsidRPr="00DC0807">
        <w:rPr>
          <w:rFonts w:asciiTheme="minorHAnsi" w:hAnsiTheme="minorHAnsi"/>
          <w:bCs/>
        </w:rPr>
        <w:t xml:space="preserve"> for a drug with an alternative mechanism of action to etanercept</w:t>
      </w:r>
      <w:r w:rsidRPr="00DC0807">
        <w:rPr>
          <w:rFonts w:asciiTheme="minorHAnsi" w:hAnsiTheme="minorHAnsi"/>
          <w:bCs/>
        </w:rPr>
        <w:t>.</w:t>
      </w:r>
      <w:r w:rsidR="00B807FE" w:rsidRPr="00DC0807">
        <w:rPr>
          <w:rFonts w:asciiTheme="minorHAnsi" w:hAnsiTheme="minorHAnsi"/>
          <w:bCs/>
        </w:rPr>
        <w:t xml:space="preserve"> </w:t>
      </w:r>
      <w:r w:rsidR="00536542" w:rsidRPr="00DC0807">
        <w:rPr>
          <w:rFonts w:asciiTheme="minorHAnsi" w:hAnsiTheme="minorHAnsi"/>
          <w:bCs/>
        </w:rPr>
        <w:t>It noted that a</w:t>
      </w:r>
      <w:r w:rsidR="00B807FE" w:rsidRPr="00DC0807">
        <w:rPr>
          <w:rFonts w:asciiTheme="minorHAnsi" w:hAnsiTheme="minorHAnsi"/>
          <w:bCs/>
        </w:rPr>
        <w:t xml:space="preserve">lthough </w:t>
      </w:r>
      <w:r w:rsidR="007B334D" w:rsidRPr="00DC0807">
        <w:rPr>
          <w:rFonts w:asciiTheme="minorHAnsi" w:hAnsiTheme="minorHAnsi"/>
          <w:bCs/>
        </w:rPr>
        <w:t xml:space="preserve">etanercept is currently available for </w:t>
      </w:r>
      <w:r w:rsidR="007A53CD" w:rsidRPr="00DC0807">
        <w:rPr>
          <w:rFonts w:asciiTheme="minorHAnsi" w:hAnsiTheme="minorHAnsi"/>
          <w:bCs/>
        </w:rPr>
        <w:t>the paediatric CPP population</w:t>
      </w:r>
      <w:r w:rsidR="007B334D" w:rsidRPr="00DC0807">
        <w:rPr>
          <w:rFonts w:asciiTheme="minorHAnsi" w:hAnsiTheme="minorHAnsi"/>
          <w:bCs/>
        </w:rPr>
        <w:t xml:space="preserve"> on the PBS, </w:t>
      </w:r>
      <w:r w:rsidR="00D41471" w:rsidRPr="00DC0807">
        <w:rPr>
          <w:rFonts w:asciiTheme="minorHAnsi" w:hAnsiTheme="minorHAnsi"/>
          <w:bCs/>
        </w:rPr>
        <w:t>it has a TGA indication</w:t>
      </w:r>
      <w:r w:rsidR="007B334D" w:rsidRPr="00DC0807">
        <w:rPr>
          <w:rFonts w:asciiTheme="minorHAnsi" w:hAnsiTheme="minorHAnsi"/>
          <w:bCs/>
        </w:rPr>
        <w:t xml:space="preserve"> limited to 24 weeks’ treatment</w:t>
      </w:r>
      <w:r w:rsidR="00D41471" w:rsidRPr="00DC0807">
        <w:rPr>
          <w:rFonts w:asciiTheme="minorHAnsi" w:hAnsiTheme="minorHAnsi"/>
          <w:bCs/>
        </w:rPr>
        <w:t>, as its safety profile depicts only short term use</w:t>
      </w:r>
      <w:r w:rsidR="007A53CD" w:rsidRPr="00DC0807">
        <w:rPr>
          <w:rFonts w:asciiTheme="minorHAnsi" w:hAnsiTheme="minorHAnsi"/>
          <w:bCs/>
        </w:rPr>
        <w:t>.</w:t>
      </w:r>
    </w:p>
    <w:p w:rsidR="00296317" w:rsidRPr="00DC0807" w:rsidRDefault="00296317" w:rsidP="00D958A1">
      <w:pPr>
        <w:numPr>
          <w:ilvl w:val="1"/>
          <w:numId w:val="1"/>
        </w:numPr>
        <w:spacing w:after="120"/>
        <w:rPr>
          <w:rFonts w:asciiTheme="minorHAnsi" w:hAnsiTheme="minorHAnsi"/>
          <w:bCs/>
        </w:rPr>
      </w:pPr>
      <w:r w:rsidRPr="00DC0807">
        <w:rPr>
          <w:rFonts w:asciiTheme="minorHAnsi" w:hAnsiTheme="minorHAnsi"/>
          <w:bCs/>
        </w:rPr>
        <w:t xml:space="preserve">In terms of the clinical place for ustekinumab, the PBAC </w:t>
      </w:r>
      <w:r w:rsidR="00932223" w:rsidRPr="00DC0807">
        <w:rPr>
          <w:rFonts w:asciiTheme="minorHAnsi" w:hAnsiTheme="minorHAnsi"/>
          <w:bCs/>
        </w:rPr>
        <w:t>agreed with the submission that ustekinumab will be used as an alternative to etanercept, and that choice and order of these therapies will likely depend on clinician discretion and patient preference.</w:t>
      </w:r>
    </w:p>
    <w:p w:rsidR="003D7F74" w:rsidRPr="00DC0807" w:rsidRDefault="0097093B" w:rsidP="00296317">
      <w:pPr>
        <w:numPr>
          <w:ilvl w:val="1"/>
          <w:numId w:val="1"/>
        </w:numPr>
        <w:spacing w:after="120"/>
        <w:rPr>
          <w:rFonts w:asciiTheme="minorHAnsi" w:hAnsiTheme="minorHAnsi"/>
          <w:bCs/>
        </w:rPr>
      </w:pPr>
      <w:r w:rsidRPr="00DC0807">
        <w:rPr>
          <w:rFonts w:cs="Calibri"/>
          <w:snapToGrid/>
          <w:szCs w:val="24"/>
          <w:lang w:eastAsia="en-AU"/>
        </w:rPr>
        <w:t>The</w:t>
      </w:r>
      <w:r w:rsidR="00296317" w:rsidRPr="00DC0807">
        <w:rPr>
          <w:rFonts w:cs="Calibri"/>
          <w:snapToGrid/>
          <w:szCs w:val="24"/>
          <w:lang w:eastAsia="en-AU"/>
        </w:rPr>
        <w:t xml:space="preserve"> PBAC considered that</w:t>
      </w:r>
      <w:r w:rsidRPr="00DC0807">
        <w:rPr>
          <w:rFonts w:cs="Calibri"/>
          <w:snapToGrid/>
          <w:szCs w:val="24"/>
          <w:lang w:eastAsia="en-AU"/>
        </w:rPr>
        <w:t xml:space="preserve"> </w:t>
      </w:r>
      <w:r w:rsidR="00BF0934" w:rsidRPr="00DC0807">
        <w:rPr>
          <w:rFonts w:cs="Calibri"/>
          <w:snapToGrid/>
          <w:szCs w:val="24"/>
          <w:lang w:eastAsia="en-AU"/>
        </w:rPr>
        <w:t xml:space="preserve">the </w:t>
      </w:r>
      <w:r w:rsidRPr="00DC0807">
        <w:rPr>
          <w:rFonts w:cs="Calibri"/>
          <w:snapToGrid/>
          <w:szCs w:val="24"/>
          <w:lang w:eastAsia="en-AU"/>
        </w:rPr>
        <w:t xml:space="preserve">nominated </w:t>
      </w:r>
      <w:r w:rsidR="00296317" w:rsidRPr="00DC0807">
        <w:rPr>
          <w:rFonts w:cs="Calibri"/>
          <w:snapToGrid/>
          <w:szCs w:val="24"/>
          <w:lang w:eastAsia="en-AU"/>
        </w:rPr>
        <w:t xml:space="preserve">main comparator of </w:t>
      </w:r>
      <w:r w:rsidRPr="00DC0807">
        <w:rPr>
          <w:rFonts w:cs="Calibri"/>
          <w:snapToGrid/>
          <w:szCs w:val="24"/>
          <w:lang w:eastAsia="en-AU"/>
        </w:rPr>
        <w:t xml:space="preserve">etanercept </w:t>
      </w:r>
      <w:r w:rsidR="00296317" w:rsidRPr="00DC0807">
        <w:rPr>
          <w:rFonts w:cs="Calibri"/>
          <w:snapToGrid/>
          <w:szCs w:val="24"/>
          <w:lang w:eastAsia="en-AU"/>
        </w:rPr>
        <w:t>was appropriate</w:t>
      </w:r>
      <w:r w:rsidRPr="00DC0807">
        <w:rPr>
          <w:rFonts w:cs="Calibri"/>
          <w:snapToGrid/>
          <w:szCs w:val="24"/>
          <w:lang w:eastAsia="en-AU"/>
        </w:rPr>
        <w:t>, as it is the only biologic currently PBS</w:t>
      </w:r>
      <w:r w:rsidR="00BF0934" w:rsidRPr="00DC0807">
        <w:rPr>
          <w:rFonts w:cs="Calibri"/>
          <w:snapToGrid/>
          <w:szCs w:val="24"/>
          <w:lang w:eastAsia="en-AU"/>
        </w:rPr>
        <w:t xml:space="preserve"> </w:t>
      </w:r>
      <w:r w:rsidRPr="00DC0807">
        <w:rPr>
          <w:rFonts w:cs="Calibri"/>
          <w:snapToGrid/>
          <w:szCs w:val="24"/>
          <w:lang w:eastAsia="en-AU"/>
        </w:rPr>
        <w:t xml:space="preserve">listed for severe CPP in paediatric patients after inadequate response to conventional therapies. </w:t>
      </w:r>
      <w:r w:rsidR="00536542" w:rsidRPr="00DC0807">
        <w:rPr>
          <w:rFonts w:cs="Calibri"/>
          <w:snapToGrid/>
          <w:szCs w:val="24"/>
          <w:lang w:eastAsia="en-AU"/>
        </w:rPr>
        <w:t>T</w:t>
      </w:r>
      <w:r w:rsidR="00932223" w:rsidRPr="00DC0807">
        <w:rPr>
          <w:rFonts w:cs="Calibri"/>
          <w:snapToGrid/>
          <w:szCs w:val="24"/>
          <w:lang w:eastAsia="en-AU"/>
        </w:rPr>
        <w:t>he</w:t>
      </w:r>
      <w:r w:rsidR="00296317" w:rsidRPr="00DC0807">
        <w:rPr>
          <w:rFonts w:cs="Calibri"/>
          <w:snapToGrid/>
          <w:szCs w:val="24"/>
          <w:lang w:eastAsia="en-AU"/>
        </w:rPr>
        <w:t xml:space="preserve"> PBAC </w:t>
      </w:r>
      <w:r w:rsidR="00536542" w:rsidRPr="00DC0807">
        <w:rPr>
          <w:rFonts w:cs="Calibri"/>
          <w:snapToGrid/>
          <w:szCs w:val="24"/>
          <w:lang w:eastAsia="en-AU"/>
        </w:rPr>
        <w:t xml:space="preserve">also </w:t>
      </w:r>
      <w:r w:rsidR="00296317" w:rsidRPr="00DC0807">
        <w:rPr>
          <w:rFonts w:cs="Calibri"/>
          <w:snapToGrid/>
          <w:szCs w:val="24"/>
          <w:lang w:eastAsia="en-AU"/>
        </w:rPr>
        <w:t xml:space="preserve">considered that </w:t>
      </w:r>
      <w:r w:rsidR="00BF0934" w:rsidRPr="00DC0807">
        <w:rPr>
          <w:rFonts w:cs="Calibri"/>
          <w:snapToGrid/>
          <w:szCs w:val="24"/>
          <w:lang w:eastAsia="en-AU"/>
        </w:rPr>
        <w:t>best supportive care (</w:t>
      </w:r>
      <w:r w:rsidR="00296317" w:rsidRPr="00DC0807">
        <w:rPr>
          <w:rFonts w:cs="Calibri"/>
          <w:snapToGrid/>
          <w:szCs w:val="24"/>
          <w:lang w:eastAsia="en-AU"/>
        </w:rPr>
        <w:t>BSC</w:t>
      </w:r>
      <w:r w:rsidR="00BF0934" w:rsidRPr="00DC0807">
        <w:rPr>
          <w:rFonts w:cs="Calibri"/>
          <w:snapToGrid/>
          <w:szCs w:val="24"/>
          <w:lang w:eastAsia="en-AU"/>
        </w:rPr>
        <w:t>)</w:t>
      </w:r>
      <w:r w:rsidR="00296317" w:rsidRPr="00DC0807">
        <w:rPr>
          <w:rFonts w:cs="Calibri"/>
          <w:snapToGrid/>
          <w:szCs w:val="24"/>
          <w:lang w:eastAsia="en-AU"/>
        </w:rPr>
        <w:t xml:space="preserve"> would be a</w:t>
      </w:r>
      <w:r w:rsidR="00932223" w:rsidRPr="00DC0807">
        <w:rPr>
          <w:rFonts w:cs="Calibri"/>
          <w:snapToGrid/>
          <w:szCs w:val="24"/>
          <w:lang w:eastAsia="en-AU"/>
        </w:rPr>
        <w:t xml:space="preserve">n appropriate </w:t>
      </w:r>
      <w:r w:rsidR="00296317" w:rsidRPr="00DC0807">
        <w:rPr>
          <w:rFonts w:cs="Calibri"/>
          <w:snapToGrid/>
          <w:szCs w:val="24"/>
          <w:lang w:eastAsia="en-AU"/>
        </w:rPr>
        <w:t xml:space="preserve">comparator for patients who had failed to respond to all other treatment options, including etanercept, or were unable or unwilling to be treated with etanercept due to safety concerns or treatment duration restrictions. However, it agreed with the ESC that this additional comparison would be complicated and clinical evidence would be limited. </w:t>
      </w:r>
    </w:p>
    <w:p w:rsidR="00607C1F" w:rsidRPr="00DC0807" w:rsidRDefault="009E3A21" w:rsidP="00607C1F">
      <w:pPr>
        <w:numPr>
          <w:ilvl w:val="1"/>
          <w:numId w:val="1"/>
        </w:numPr>
        <w:spacing w:after="120"/>
        <w:rPr>
          <w:rFonts w:asciiTheme="minorHAnsi" w:hAnsiTheme="minorHAnsi"/>
          <w:bCs/>
        </w:rPr>
      </w:pPr>
      <w:r w:rsidRPr="00DC0807">
        <w:rPr>
          <w:rFonts w:asciiTheme="minorHAnsi" w:hAnsiTheme="minorHAnsi"/>
          <w:bCs/>
        </w:rPr>
        <w:t>The PBAC noted several issues with the reliability of the trial evidence presented in the sub</w:t>
      </w:r>
      <w:r w:rsidR="00607C1F" w:rsidRPr="00DC0807">
        <w:rPr>
          <w:rFonts w:asciiTheme="minorHAnsi" w:hAnsiTheme="minorHAnsi"/>
          <w:bCs/>
        </w:rPr>
        <w:t>mission;</w:t>
      </w:r>
      <w:r w:rsidRPr="00DC0807">
        <w:rPr>
          <w:rFonts w:asciiTheme="minorHAnsi" w:hAnsiTheme="minorHAnsi"/>
          <w:bCs/>
        </w:rPr>
        <w:t xml:space="preserve"> including </w:t>
      </w:r>
      <w:r w:rsidR="00563414" w:rsidRPr="00DC0807">
        <w:rPr>
          <w:rFonts w:asciiTheme="minorHAnsi" w:hAnsiTheme="minorHAnsi"/>
          <w:bCs/>
        </w:rPr>
        <w:t>the small sample size of the CADMUS trial</w:t>
      </w:r>
      <w:r w:rsidR="00813161" w:rsidRPr="00DC0807">
        <w:rPr>
          <w:rFonts w:asciiTheme="minorHAnsi" w:hAnsiTheme="minorHAnsi"/>
          <w:bCs/>
        </w:rPr>
        <w:t>s</w:t>
      </w:r>
      <w:r w:rsidR="00607C1F" w:rsidRPr="00DC0807">
        <w:rPr>
          <w:rFonts w:asciiTheme="minorHAnsi" w:hAnsiTheme="minorHAnsi"/>
          <w:bCs/>
        </w:rPr>
        <w:t>;</w:t>
      </w:r>
      <w:r w:rsidR="00563414" w:rsidRPr="00DC0807">
        <w:rPr>
          <w:rFonts w:asciiTheme="minorHAnsi" w:hAnsiTheme="minorHAnsi"/>
          <w:bCs/>
        </w:rPr>
        <w:t xml:space="preserve"> </w:t>
      </w:r>
      <w:r w:rsidR="00813161" w:rsidRPr="00DC0807">
        <w:rPr>
          <w:rFonts w:asciiTheme="minorHAnsi" w:hAnsiTheme="minorHAnsi"/>
          <w:bCs/>
        </w:rPr>
        <w:t>the non-randomised non-comparative nature of CADMUS JR</w:t>
      </w:r>
      <w:r w:rsidR="00607C1F" w:rsidRPr="00DC0807">
        <w:rPr>
          <w:rFonts w:asciiTheme="minorHAnsi" w:hAnsiTheme="minorHAnsi"/>
          <w:bCs/>
        </w:rPr>
        <w:t>;</w:t>
      </w:r>
      <w:r w:rsidR="00813161" w:rsidRPr="00DC0807">
        <w:rPr>
          <w:rFonts w:asciiTheme="minorHAnsi" w:hAnsiTheme="minorHAnsi"/>
          <w:bCs/>
        </w:rPr>
        <w:t xml:space="preserve"> </w:t>
      </w:r>
      <w:r w:rsidR="00563414" w:rsidRPr="00DC0807">
        <w:rPr>
          <w:rFonts w:asciiTheme="minorHAnsi" w:hAnsiTheme="minorHAnsi"/>
          <w:bCs/>
        </w:rPr>
        <w:t>the difference in early escape rate in the placebo arm of CADMUS compared to Paller 2008</w:t>
      </w:r>
      <w:r w:rsidR="00DE5D67" w:rsidRPr="00DC0807">
        <w:rPr>
          <w:rFonts w:asciiTheme="minorHAnsi" w:hAnsiTheme="minorHAnsi"/>
          <w:bCs/>
        </w:rPr>
        <w:t xml:space="preserve"> (signalling potential transitivity issues)</w:t>
      </w:r>
      <w:r w:rsidR="00607C1F" w:rsidRPr="00DC0807">
        <w:rPr>
          <w:rFonts w:asciiTheme="minorHAnsi" w:hAnsiTheme="minorHAnsi"/>
          <w:bCs/>
        </w:rPr>
        <w:t xml:space="preserve">; and applicability to the PBS population both in terms of disease severity and prior and concomitant treatments. </w:t>
      </w:r>
      <w:r w:rsidR="00563414" w:rsidRPr="00DC0807">
        <w:rPr>
          <w:rFonts w:asciiTheme="minorHAnsi" w:hAnsiTheme="minorHAnsi"/>
          <w:bCs/>
        </w:rPr>
        <w:t xml:space="preserve">However, </w:t>
      </w:r>
      <w:r w:rsidR="00607C1F" w:rsidRPr="00DC0807">
        <w:rPr>
          <w:rFonts w:asciiTheme="minorHAnsi" w:hAnsiTheme="minorHAnsi"/>
          <w:bCs/>
        </w:rPr>
        <w:t>the PBAC considered that:</w:t>
      </w:r>
    </w:p>
    <w:p w:rsidR="00607C1F" w:rsidRPr="00DC0807" w:rsidRDefault="00607C1F" w:rsidP="00607C1F">
      <w:pPr>
        <w:pStyle w:val="ListParagraph"/>
        <w:widowControl/>
        <w:numPr>
          <w:ilvl w:val="0"/>
          <w:numId w:val="20"/>
        </w:numPr>
        <w:spacing w:after="120"/>
        <w:ind w:left="993" w:hanging="284"/>
        <w:rPr>
          <w:rFonts w:asciiTheme="minorHAnsi" w:hAnsiTheme="minorHAnsi"/>
          <w:bCs/>
        </w:rPr>
      </w:pPr>
      <w:r w:rsidRPr="00DC0807">
        <w:rPr>
          <w:rFonts w:asciiTheme="minorHAnsi" w:hAnsiTheme="minorHAnsi"/>
          <w:bCs/>
        </w:rPr>
        <w:t>the exclusion of CADMUS JR from the comparisons produced broadly consistent results.</w:t>
      </w:r>
    </w:p>
    <w:p w:rsidR="00554EFB" w:rsidRPr="00DC0807" w:rsidRDefault="00607C1F" w:rsidP="00554EFB">
      <w:pPr>
        <w:pStyle w:val="ListParagraph"/>
        <w:widowControl/>
        <w:numPr>
          <w:ilvl w:val="0"/>
          <w:numId w:val="20"/>
        </w:numPr>
        <w:spacing w:after="120"/>
        <w:ind w:left="993" w:hanging="284"/>
        <w:rPr>
          <w:rFonts w:asciiTheme="minorHAnsi" w:hAnsiTheme="minorHAnsi"/>
          <w:bCs/>
        </w:rPr>
      </w:pPr>
      <w:r w:rsidRPr="00DC0807">
        <w:rPr>
          <w:rFonts w:asciiTheme="minorHAnsi" w:hAnsiTheme="minorHAnsi"/>
          <w:bCs/>
        </w:rPr>
        <w:t xml:space="preserve">the difference in early escape rates in the placebo arms were unlikely to be an issue given </w:t>
      </w:r>
      <w:r w:rsidR="00563414" w:rsidRPr="00DC0807">
        <w:rPr>
          <w:rFonts w:asciiTheme="minorHAnsi" w:hAnsiTheme="minorHAnsi"/>
          <w:bCs/>
        </w:rPr>
        <w:t xml:space="preserve">that the benefit of ustekinumab over placebo was greater than that achieved by etanercept, and the placebo arms </w:t>
      </w:r>
      <w:r w:rsidRPr="00DC0807">
        <w:rPr>
          <w:rFonts w:asciiTheme="minorHAnsi" w:hAnsiTheme="minorHAnsi"/>
          <w:bCs/>
        </w:rPr>
        <w:t xml:space="preserve">response rates </w:t>
      </w:r>
      <w:r w:rsidR="00563414" w:rsidRPr="00DC0807">
        <w:rPr>
          <w:rFonts w:asciiTheme="minorHAnsi" w:hAnsiTheme="minorHAnsi"/>
          <w:bCs/>
        </w:rPr>
        <w:t>and the early escape rates in the treatment arms were similar</w:t>
      </w:r>
      <w:r w:rsidRPr="00DC0807">
        <w:rPr>
          <w:rFonts w:asciiTheme="minorHAnsi" w:hAnsiTheme="minorHAnsi"/>
          <w:bCs/>
        </w:rPr>
        <w:t>.</w:t>
      </w:r>
    </w:p>
    <w:p w:rsidR="00563414" w:rsidRPr="00DC0807" w:rsidRDefault="00554EFB" w:rsidP="00554EFB">
      <w:pPr>
        <w:pStyle w:val="ListParagraph"/>
        <w:widowControl/>
        <w:numPr>
          <w:ilvl w:val="0"/>
          <w:numId w:val="20"/>
        </w:numPr>
        <w:spacing w:after="120"/>
        <w:ind w:left="993" w:hanging="284"/>
        <w:rPr>
          <w:rFonts w:asciiTheme="minorHAnsi" w:hAnsiTheme="minorHAnsi"/>
          <w:bCs/>
        </w:rPr>
      </w:pPr>
      <w:r w:rsidRPr="00DC0807">
        <w:rPr>
          <w:rFonts w:asciiTheme="minorHAnsi" w:hAnsiTheme="minorHAnsi"/>
          <w:bCs/>
        </w:rPr>
        <w:t>in the context of the available evidence, and noting the limitations identified by ESC, the Pre-Sub-Committee Response (PSCR) subgroup analysis supported that the overall findings in the trials were likely applicable to the proposed PBS population (baseline PASI score &gt;15 and patients who received 2 of prior methotrexate, acitretin or phototherapy).</w:t>
      </w:r>
    </w:p>
    <w:p w:rsidR="007943D4" w:rsidRPr="00DC0807" w:rsidRDefault="00DE5D67" w:rsidP="00197000">
      <w:pPr>
        <w:numPr>
          <w:ilvl w:val="1"/>
          <w:numId w:val="1"/>
        </w:numPr>
        <w:spacing w:after="120"/>
        <w:rPr>
          <w:rFonts w:asciiTheme="minorHAnsi" w:hAnsiTheme="minorHAnsi"/>
          <w:bCs/>
        </w:rPr>
      </w:pPr>
      <w:r w:rsidRPr="00DC0807">
        <w:t>In terms of comparative benefits, the submission presented indirect treatment comparisons (ITCs) of ustekinumab and eta</w:t>
      </w:r>
      <w:r w:rsidR="00D45D17">
        <w:t>n</w:t>
      </w:r>
      <w:r w:rsidRPr="00DC0807">
        <w:t>ercept. Along with the limitations in the studies (identified above), the PBAC noted: some statistical inconsistencies with the response and non-response analyses; poorly defined MCIDs;</w:t>
      </w:r>
      <w:r w:rsidR="00197000" w:rsidRPr="00DC0807">
        <w:t xml:space="preserve"> and a reliance on week 24/28 CADMUS results compared with week 12 Paller 2008 results in the primary analysis. The submission based its claim of superiority on PASI 75, PASI 90 and CLDQI results. Whilst none of these measures definitively overcame potential transitivity issues or the small trial sizes, the PBAC considered the totality of the evidence presented supported a claim of superior effectiveness compared with etanercept. </w:t>
      </w:r>
      <w:r w:rsidR="00CF4755" w:rsidRPr="00DC0807">
        <w:t>The PBAC considered there was</w:t>
      </w:r>
      <w:r w:rsidR="00197000" w:rsidRPr="00DC0807">
        <w:t xml:space="preserve"> clinically meaningful </w:t>
      </w:r>
      <w:r w:rsidR="00CF4755" w:rsidRPr="00DC0807">
        <w:t xml:space="preserve">superiority </w:t>
      </w:r>
      <w:r w:rsidR="00197000" w:rsidRPr="00DC0807">
        <w:t>in the context of an unmet need for an alternative to etanercept, which is limited to 24 weeks’ treatment due to its safety profile. The claim was further supported by: the general stability of responses between Weeks 12 and 24/28: and (as noted above) the PSCR subgroup analysis showing applicability of the trials to the PBS population; and the broadly consistent results after CADMUS JR results were removed during evaluation.</w:t>
      </w:r>
      <w:r w:rsidR="00D41471" w:rsidRPr="00DC0807">
        <w:t xml:space="preserve"> However, the magnitude of the benefit remained uncertain.</w:t>
      </w:r>
      <w:r w:rsidR="00197000" w:rsidRPr="00DC0807">
        <w:t xml:space="preserve"> </w:t>
      </w:r>
    </w:p>
    <w:p w:rsidR="00E37544" w:rsidRPr="00DC0807" w:rsidRDefault="00E37544" w:rsidP="00E37544">
      <w:pPr>
        <w:pStyle w:val="ListParagraph"/>
        <w:numPr>
          <w:ilvl w:val="1"/>
          <w:numId w:val="1"/>
        </w:numPr>
        <w:rPr>
          <w:rFonts w:asciiTheme="minorHAnsi" w:hAnsiTheme="minorHAnsi"/>
          <w:bCs/>
        </w:rPr>
      </w:pPr>
      <w:r w:rsidRPr="00DC0807">
        <w:rPr>
          <w:rFonts w:asciiTheme="minorHAnsi" w:hAnsiTheme="minorHAnsi"/>
          <w:bCs/>
        </w:rPr>
        <w:t xml:space="preserve">The PBAC considered that a claim of superiority over BSC was reasonable based on CADMUS results for induction of PASI 75 and PASI 90 response at Week 24/28 and Week 12. Whilst the magnitude was uncertain, and the CADMUS placebo arm may not be entirely representative of BSC, the claim was reasonable in the context of the available clinical evidence. </w:t>
      </w:r>
    </w:p>
    <w:p w:rsidR="003D7F74" w:rsidRPr="00DC0807" w:rsidRDefault="004A4C4A" w:rsidP="003D7F74">
      <w:pPr>
        <w:numPr>
          <w:ilvl w:val="1"/>
          <w:numId w:val="1"/>
        </w:numPr>
        <w:spacing w:after="120"/>
        <w:rPr>
          <w:rFonts w:asciiTheme="minorHAnsi" w:hAnsiTheme="minorHAnsi"/>
          <w:bCs/>
        </w:rPr>
      </w:pPr>
      <w:r w:rsidRPr="00DC0807">
        <w:rPr>
          <w:rFonts w:asciiTheme="minorHAnsi" w:hAnsiTheme="minorHAnsi"/>
          <w:szCs w:val="20"/>
        </w:rPr>
        <w:t xml:space="preserve">The PBAC considered that the claim of non-inferior comparative safety was reasonable, given the lack of </w:t>
      </w:r>
      <w:r w:rsidRPr="00DC0807">
        <w:t>evidence of an overall difference in adverse events between patients treated with ustekinumab and patients treated with etanercept.</w:t>
      </w:r>
      <w:r w:rsidR="00E37544" w:rsidRPr="00DC0807">
        <w:t xml:space="preserve"> Comparative safety with respect to BSC was not assessed, although the PBAC considered it would not be </w:t>
      </w:r>
      <w:r w:rsidR="009B7022" w:rsidRPr="00DC0807">
        <w:t>worse than the safety of etanercept over placebo</w:t>
      </w:r>
      <w:r w:rsidR="00E37544" w:rsidRPr="00DC0807">
        <w:t>.</w:t>
      </w:r>
    </w:p>
    <w:p w:rsidR="003D7F74" w:rsidRPr="00DC0807" w:rsidRDefault="00C122BD" w:rsidP="007C10CA">
      <w:pPr>
        <w:numPr>
          <w:ilvl w:val="1"/>
          <w:numId w:val="1"/>
        </w:numPr>
        <w:spacing w:after="120"/>
        <w:rPr>
          <w:rFonts w:asciiTheme="minorHAnsi" w:hAnsiTheme="minorHAnsi"/>
          <w:bCs/>
        </w:rPr>
      </w:pPr>
      <w:r w:rsidRPr="00DC0807">
        <w:t>The submission presented a simple incremental cost per responder analysis, consistent with the etanercept submission for the same population in March</w:t>
      </w:r>
      <w:r w:rsidR="00B77267" w:rsidRPr="00DC0807">
        <w:t> </w:t>
      </w:r>
      <w:r w:rsidRPr="00DC0807">
        <w:t xml:space="preserve">2012. </w:t>
      </w:r>
      <w:r w:rsidR="007C10CA" w:rsidRPr="00DC0807">
        <w:t>(A supplementary cost per responder analysis comparing ustekinumab with BSC was presented in the PSCR). T</w:t>
      </w:r>
      <w:r w:rsidRPr="00DC0807">
        <w:t xml:space="preserve">he PBAC </w:t>
      </w:r>
      <w:r w:rsidR="00B77267" w:rsidRPr="00DC0807">
        <w:t xml:space="preserve">did not </w:t>
      </w:r>
      <w:r w:rsidR="00445C39" w:rsidRPr="00DC0807">
        <w:t>see</w:t>
      </w:r>
      <w:r w:rsidR="00B77267" w:rsidRPr="00DC0807">
        <w:t xml:space="preserve"> these analyses as</w:t>
      </w:r>
      <w:r w:rsidRPr="00DC0807">
        <w:t xml:space="preserve"> ideal, and </w:t>
      </w:r>
      <w:r w:rsidR="00B77267" w:rsidRPr="00DC0807">
        <w:t xml:space="preserve">preferred a </w:t>
      </w:r>
      <w:r w:rsidRPr="00DC0807">
        <w:t xml:space="preserve">cost utility analysis, </w:t>
      </w:r>
      <w:r w:rsidR="007C10CA" w:rsidRPr="00DC0807">
        <w:t>in view of the issues identified by the evaluation and ESC (see paragraphs 6.47–6.49)</w:t>
      </w:r>
      <w:r w:rsidR="00445C39" w:rsidRPr="00DC0807">
        <w:t xml:space="preserve">, particularly the unknown cost-effectiveness beyond 28 weeks. </w:t>
      </w:r>
      <w:r w:rsidR="007C10CA" w:rsidRPr="00DC0807">
        <w:rPr>
          <w:rFonts w:asciiTheme="minorHAnsi" w:hAnsiTheme="minorHAnsi"/>
          <w:bCs/>
        </w:rPr>
        <w:t xml:space="preserve">However, </w:t>
      </w:r>
      <w:r w:rsidRPr="00DC0807">
        <w:t>it considered that</w:t>
      </w:r>
      <w:r w:rsidR="004D76F9" w:rsidRPr="00DC0807">
        <w:t xml:space="preserve"> it was not unreasonable to provide access to ustekinumab at the same price as the adult population</w:t>
      </w:r>
      <w:r w:rsidR="00EE1BC3" w:rsidRPr="00DC0807">
        <w:t>.</w:t>
      </w:r>
      <w:r w:rsidR="004D76F9" w:rsidRPr="00DC0807">
        <w:t xml:space="preserve"> </w:t>
      </w:r>
    </w:p>
    <w:p w:rsidR="003D7F74" w:rsidRPr="00DC0807" w:rsidRDefault="00523152" w:rsidP="004F676E">
      <w:pPr>
        <w:numPr>
          <w:ilvl w:val="1"/>
          <w:numId w:val="1"/>
        </w:numPr>
        <w:spacing w:after="120"/>
      </w:pPr>
      <w:r w:rsidRPr="00DC0807">
        <w:t xml:space="preserve">The PBAC considered that the submission’s financial estimates likely underestimated the impact of listing ustekinumab for the paediatric population, as it overestimated the dosage and usage of etanercept. It also did not include ustekinumab patients to be grandfathered and underestimated patients continuing treatment with ustekinumab. The PBAC </w:t>
      </w:r>
      <w:r w:rsidR="00D51A0F">
        <w:t xml:space="preserve">considered that the </w:t>
      </w:r>
      <w:r w:rsidRPr="00DC0807">
        <w:t xml:space="preserve">updated financial estimates </w:t>
      </w:r>
      <w:r w:rsidR="00D51A0F">
        <w:t>in the</w:t>
      </w:r>
      <w:r w:rsidRPr="00DC0807">
        <w:t xml:space="preserve"> PSCR </w:t>
      </w:r>
      <w:r w:rsidR="00D51A0F">
        <w:t>addressed these concerns</w:t>
      </w:r>
      <w:r w:rsidRPr="00DC0807">
        <w:t>.</w:t>
      </w:r>
      <w:r w:rsidR="001C7A55" w:rsidRPr="00DC0807">
        <w:rPr>
          <w:rFonts w:asciiTheme="minorHAnsi" w:hAnsiTheme="minorHAnsi"/>
          <w:bCs/>
        </w:rPr>
        <w:t xml:space="preserve"> </w:t>
      </w:r>
      <w:r w:rsidR="0070423E">
        <w:rPr>
          <w:rFonts w:asciiTheme="minorHAnsi" w:hAnsiTheme="minorHAnsi"/>
          <w:bCs/>
        </w:rPr>
        <w:t xml:space="preserve">However, the PBAC considered that there remained a risk of leakage to less severe patients, given that ustekinumab has superior effectiveness and a lower frequency of injections </w:t>
      </w:r>
      <w:r w:rsidR="00F33EBA">
        <w:rPr>
          <w:rFonts w:asciiTheme="minorHAnsi" w:hAnsiTheme="minorHAnsi"/>
          <w:bCs/>
        </w:rPr>
        <w:t xml:space="preserve">compared to etanercept. The PBAC considered that a Risk Sharing Arrangement, based on the PSCR estimates with a rebate of </w:t>
      </w:r>
      <w:r w:rsidR="006B6F2B">
        <w:rPr>
          <w:rFonts w:asciiTheme="minorHAnsi" w:hAnsiTheme="minorHAnsi"/>
          <w:bCs/>
          <w:noProof/>
          <w:color w:val="000000"/>
          <w:highlight w:val="black"/>
        </w:rPr>
        <w:t>'''''''</w:t>
      </w:r>
      <w:r w:rsidR="00F33EBA">
        <w:rPr>
          <w:rFonts w:asciiTheme="minorHAnsi" w:hAnsiTheme="minorHAnsi"/>
          <w:bCs/>
        </w:rPr>
        <w:t xml:space="preserve">% above the subsidy caps would be needed to manage the risk that the market may grow beyond the estimates presented. </w:t>
      </w:r>
    </w:p>
    <w:p w:rsidR="00C87E8D" w:rsidRPr="00DC0807" w:rsidRDefault="00296317" w:rsidP="00296317">
      <w:pPr>
        <w:numPr>
          <w:ilvl w:val="1"/>
          <w:numId w:val="1"/>
        </w:numPr>
        <w:spacing w:after="120"/>
        <w:rPr>
          <w:rFonts w:asciiTheme="minorHAnsi" w:hAnsiTheme="minorHAnsi"/>
          <w:bCs/>
        </w:rPr>
      </w:pPr>
      <w:r w:rsidRPr="00DC0807">
        <w:rPr>
          <w:rFonts w:asciiTheme="minorHAnsi" w:hAnsiTheme="minorHAnsi"/>
          <w:bCs/>
        </w:rPr>
        <w:t xml:space="preserve">The PBAC </w:t>
      </w:r>
      <w:r w:rsidR="00C87E8D" w:rsidRPr="00DC0807">
        <w:rPr>
          <w:rFonts w:asciiTheme="minorHAnsi" w:hAnsiTheme="minorHAnsi"/>
          <w:bCs/>
        </w:rPr>
        <w:t>noted that the restrictions (and those for etanercept) were complex, and as written Authority Required listings, will need to be finalised in consultation with Services Australia</w:t>
      </w:r>
      <w:r w:rsidR="0059759E" w:rsidRPr="00DC0807">
        <w:rPr>
          <w:rFonts w:asciiTheme="minorHAnsi" w:hAnsiTheme="minorHAnsi"/>
          <w:bCs/>
        </w:rPr>
        <w:t xml:space="preserve"> and the sponsor</w:t>
      </w:r>
      <w:r w:rsidR="00C87E8D" w:rsidRPr="00DC0807">
        <w:rPr>
          <w:rFonts w:asciiTheme="minorHAnsi" w:hAnsiTheme="minorHAnsi"/>
          <w:bCs/>
        </w:rPr>
        <w:t xml:space="preserve">. </w:t>
      </w:r>
      <w:r w:rsidR="00804AA4" w:rsidRPr="00DC0807">
        <w:rPr>
          <w:rFonts w:asciiTheme="minorHAnsi" w:hAnsiTheme="minorHAnsi"/>
          <w:bCs/>
        </w:rPr>
        <w:t xml:space="preserve">Noting that the restrictions would require substantial revision, </w:t>
      </w:r>
      <w:r w:rsidR="008F6892" w:rsidRPr="00DC0807">
        <w:rPr>
          <w:rFonts w:asciiTheme="minorHAnsi" w:hAnsiTheme="minorHAnsi"/>
          <w:bCs/>
        </w:rPr>
        <w:t>with flow-on changes to the etanercept listings</w:t>
      </w:r>
      <w:r w:rsidR="00E719D5">
        <w:rPr>
          <w:rFonts w:asciiTheme="minorHAnsi" w:hAnsiTheme="minorHAnsi"/>
          <w:bCs/>
        </w:rPr>
        <w:t xml:space="preserve"> where appropriate</w:t>
      </w:r>
      <w:r w:rsidR="008F6892" w:rsidRPr="00DC0807">
        <w:rPr>
          <w:rFonts w:asciiTheme="minorHAnsi" w:hAnsiTheme="minorHAnsi"/>
          <w:bCs/>
        </w:rPr>
        <w:t xml:space="preserve">, </w:t>
      </w:r>
      <w:r w:rsidR="00804AA4" w:rsidRPr="00DC0807">
        <w:rPr>
          <w:rFonts w:asciiTheme="minorHAnsi" w:hAnsiTheme="minorHAnsi"/>
          <w:bCs/>
        </w:rPr>
        <w:t>the PBAC considered that:</w:t>
      </w:r>
    </w:p>
    <w:p w:rsidR="00804AA4" w:rsidRPr="00DC0807" w:rsidRDefault="00E719D5" w:rsidP="00804AA4">
      <w:pPr>
        <w:pStyle w:val="ListParagraph"/>
        <w:widowControl/>
        <w:numPr>
          <w:ilvl w:val="0"/>
          <w:numId w:val="20"/>
        </w:numPr>
        <w:spacing w:after="120"/>
        <w:ind w:left="993" w:hanging="284"/>
        <w:rPr>
          <w:rFonts w:asciiTheme="minorHAnsi" w:hAnsiTheme="minorHAnsi"/>
          <w:bCs/>
        </w:rPr>
      </w:pPr>
      <w:r w:rsidRPr="00DC0807">
        <w:rPr>
          <w:rFonts w:asciiTheme="minorHAnsi" w:hAnsiTheme="minorHAnsi"/>
          <w:bCs/>
        </w:rPr>
        <w:t>The</w:t>
      </w:r>
      <w:r w:rsidR="00296317" w:rsidRPr="00DC0807">
        <w:rPr>
          <w:rFonts w:asciiTheme="minorHAnsi" w:hAnsiTheme="minorHAnsi"/>
          <w:bCs/>
        </w:rPr>
        <w:t xml:space="preserve"> restriction for ustekinumab should align to the </w:t>
      </w:r>
      <w:r>
        <w:rPr>
          <w:rFonts w:asciiTheme="minorHAnsi" w:hAnsiTheme="minorHAnsi"/>
          <w:bCs/>
        </w:rPr>
        <w:t xml:space="preserve">general </w:t>
      </w:r>
      <w:r w:rsidR="00296317" w:rsidRPr="00DC0807">
        <w:rPr>
          <w:rFonts w:asciiTheme="minorHAnsi" w:hAnsiTheme="minorHAnsi"/>
          <w:bCs/>
        </w:rPr>
        <w:t>concepts of initiation, continuation, and balance of supply</w:t>
      </w:r>
      <w:r w:rsidR="00343723" w:rsidRPr="00DC0807">
        <w:rPr>
          <w:rFonts w:asciiTheme="minorHAnsi" w:hAnsiTheme="minorHAnsi"/>
          <w:bCs/>
        </w:rPr>
        <w:t xml:space="preserve">. </w:t>
      </w:r>
      <w:r>
        <w:rPr>
          <w:rFonts w:asciiTheme="minorHAnsi" w:hAnsiTheme="minorHAnsi"/>
          <w:bCs/>
        </w:rPr>
        <w:t>A g</w:t>
      </w:r>
      <w:r w:rsidR="008E2728" w:rsidRPr="00DC0807">
        <w:rPr>
          <w:rFonts w:asciiTheme="minorHAnsi" w:hAnsiTheme="minorHAnsi"/>
          <w:bCs/>
        </w:rPr>
        <w:t>randfather</w:t>
      </w:r>
      <w:r>
        <w:rPr>
          <w:rFonts w:asciiTheme="minorHAnsi" w:hAnsiTheme="minorHAnsi"/>
          <w:bCs/>
        </w:rPr>
        <w:t>ing restriction s</w:t>
      </w:r>
      <w:r w:rsidR="008E2728" w:rsidRPr="00DC0807">
        <w:rPr>
          <w:rFonts w:asciiTheme="minorHAnsi" w:hAnsiTheme="minorHAnsi"/>
          <w:bCs/>
        </w:rPr>
        <w:t xml:space="preserve">hould be </w:t>
      </w:r>
      <w:r>
        <w:rPr>
          <w:rFonts w:asciiTheme="minorHAnsi" w:hAnsiTheme="minorHAnsi"/>
          <w:bCs/>
        </w:rPr>
        <w:t>included</w:t>
      </w:r>
      <w:r w:rsidR="00804AA4" w:rsidRPr="00DC0807">
        <w:rPr>
          <w:rFonts w:asciiTheme="minorHAnsi" w:hAnsiTheme="minorHAnsi"/>
          <w:bCs/>
        </w:rPr>
        <w:t xml:space="preserve">. </w:t>
      </w:r>
    </w:p>
    <w:p w:rsidR="00343723" w:rsidRDefault="00804AA4" w:rsidP="00343723">
      <w:pPr>
        <w:pStyle w:val="ListParagraph"/>
        <w:widowControl/>
        <w:numPr>
          <w:ilvl w:val="0"/>
          <w:numId w:val="20"/>
        </w:numPr>
        <w:spacing w:after="120"/>
        <w:ind w:left="993" w:hanging="284"/>
        <w:rPr>
          <w:rFonts w:asciiTheme="minorHAnsi" w:hAnsiTheme="minorHAnsi"/>
          <w:bCs/>
        </w:rPr>
      </w:pPr>
      <w:r w:rsidRPr="00DC0807">
        <w:rPr>
          <w:rFonts w:asciiTheme="minorHAnsi" w:hAnsiTheme="minorHAnsi"/>
          <w:bCs/>
        </w:rPr>
        <w:t>Patients</w:t>
      </w:r>
      <w:r w:rsidR="00296317" w:rsidRPr="00DC0807">
        <w:rPr>
          <w:rFonts w:asciiTheme="minorHAnsi" w:hAnsiTheme="minorHAnsi"/>
          <w:bCs/>
        </w:rPr>
        <w:t xml:space="preserve"> </w:t>
      </w:r>
      <w:r w:rsidR="00146496">
        <w:rPr>
          <w:rFonts w:asciiTheme="minorHAnsi" w:hAnsiTheme="minorHAnsi"/>
          <w:bCs/>
        </w:rPr>
        <w:t>can swap between etanercept and ustekinumab without having to experience a disease</w:t>
      </w:r>
      <w:r w:rsidR="0045619E">
        <w:rPr>
          <w:rFonts w:asciiTheme="minorHAnsi" w:hAnsiTheme="minorHAnsi"/>
          <w:bCs/>
        </w:rPr>
        <w:t xml:space="preserve"> flare</w:t>
      </w:r>
      <w:r w:rsidR="00E719D5">
        <w:rPr>
          <w:rFonts w:asciiTheme="minorHAnsi" w:hAnsiTheme="minorHAnsi"/>
          <w:bCs/>
        </w:rPr>
        <w:t xml:space="preserve"> within a treatment cycle</w:t>
      </w:r>
      <w:r w:rsidRPr="00DC0807">
        <w:rPr>
          <w:rFonts w:asciiTheme="minorHAnsi" w:hAnsiTheme="minorHAnsi"/>
          <w:bCs/>
        </w:rPr>
        <w:t>.</w:t>
      </w:r>
      <w:r w:rsidR="00343723" w:rsidRPr="00DC0807">
        <w:rPr>
          <w:rFonts w:asciiTheme="minorHAnsi" w:hAnsiTheme="minorHAnsi"/>
          <w:bCs/>
        </w:rPr>
        <w:t xml:space="preserve"> Patients should be allowed to trial and fail </w:t>
      </w:r>
      <w:r w:rsidR="00E719D5">
        <w:rPr>
          <w:rFonts w:asciiTheme="minorHAnsi" w:hAnsiTheme="minorHAnsi"/>
          <w:bCs/>
        </w:rPr>
        <w:t xml:space="preserve">therapy </w:t>
      </w:r>
      <w:r w:rsidR="008F6892" w:rsidRPr="00DC0807">
        <w:rPr>
          <w:rFonts w:asciiTheme="minorHAnsi" w:hAnsiTheme="minorHAnsi"/>
          <w:bCs/>
        </w:rPr>
        <w:t>no more than 3</w:t>
      </w:r>
      <w:r w:rsidR="00343723" w:rsidRPr="00DC0807">
        <w:rPr>
          <w:rFonts w:asciiTheme="minorHAnsi" w:hAnsiTheme="minorHAnsi"/>
          <w:bCs/>
        </w:rPr>
        <w:t xml:space="preserve"> times </w:t>
      </w:r>
      <w:r w:rsidR="0045619E">
        <w:rPr>
          <w:rFonts w:asciiTheme="minorHAnsi" w:hAnsiTheme="minorHAnsi"/>
          <w:bCs/>
        </w:rPr>
        <w:t>within a treatment cycle, before</w:t>
      </w:r>
      <w:r w:rsidR="00343723" w:rsidRPr="00DC0807">
        <w:rPr>
          <w:rFonts w:asciiTheme="minorHAnsi" w:hAnsiTheme="minorHAnsi"/>
          <w:bCs/>
        </w:rPr>
        <w:t xml:space="preserve"> taking a treatment break of at least </w:t>
      </w:r>
      <w:r w:rsidR="00C258F0" w:rsidRPr="00DC0807">
        <w:rPr>
          <w:rFonts w:asciiTheme="minorHAnsi" w:hAnsiTheme="minorHAnsi"/>
          <w:bCs/>
        </w:rPr>
        <w:t xml:space="preserve"> 5 years</w:t>
      </w:r>
      <w:r w:rsidR="00E719D5">
        <w:rPr>
          <w:rFonts w:asciiTheme="minorHAnsi" w:hAnsiTheme="minorHAnsi"/>
          <w:bCs/>
        </w:rPr>
        <w:t xml:space="preserve"> (e.g. up to twice with one drug, and once with the other)</w:t>
      </w:r>
      <w:r w:rsidR="008F6892" w:rsidRPr="00DC0807">
        <w:rPr>
          <w:rFonts w:asciiTheme="minorHAnsi" w:hAnsiTheme="minorHAnsi"/>
          <w:bCs/>
        </w:rPr>
        <w:t>.</w:t>
      </w:r>
      <w:r w:rsidR="00BA0ED8">
        <w:rPr>
          <w:rFonts w:asciiTheme="minorHAnsi" w:hAnsiTheme="minorHAnsi"/>
          <w:bCs/>
        </w:rPr>
        <w:t xml:space="preserve"> </w:t>
      </w:r>
    </w:p>
    <w:p w:rsidR="00894AC2" w:rsidRPr="00DC0807" w:rsidRDefault="00894AC2" w:rsidP="00343723">
      <w:pPr>
        <w:pStyle w:val="ListParagraph"/>
        <w:widowControl/>
        <w:numPr>
          <w:ilvl w:val="0"/>
          <w:numId w:val="20"/>
        </w:numPr>
        <w:spacing w:after="120"/>
        <w:ind w:left="993" w:hanging="284"/>
        <w:rPr>
          <w:rFonts w:asciiTheme="minorHAnsi" w:hAnsiTheme="minorHAnsi"/>
          <w:bCs/>
        </w:rPr>
      </w:pPr>
      <w:r>
        <w:rPr>
          <w:rFonts w:asciiTheme="minorHAnsi" w:hAnsiTheme="minorHAnsi"/>
          <w:bCs/>
        </w:rPr>
        <w:t xml:space="preserve">Patients who </w:t>
      </w:r>
      <w:r w:rsidR="00146496">
        <w:rPr>
          <w:rFonts w:asciiTheme="minorHAnsi" w:hAnsiTheme="minorHAnsi"/>
          <w:bCs/>
        </w:rPr>
        <w:t>re-commence</w:t>
      </w:r>
      <w:r>
        <w:rPr>
          <w:rFonts w:asciiTheme="minorHAnsi" w:hAnsiTheme="minorHAnsi"/>
          <w:bCs/>
        </w:rPr>
        <w:t xml:space="preserve"> after a 5-year treatment break should not have to retrial conventional therapies. </w:t>
      </w:r>
    </w:p>
    <w:p w:rsidR="00804AA4" w:rsidRPr="00DC0807" w:rsidRDefault="00804AA4" w:rsidP="00804AA4">
      <w:pPr>
        <w:pStyle w:val="ListParagraph"/>
        <w:widowControl/>
        <w:numPr>
          <w:ilvl w:val="0"/>
          <w:numId w:val="20"/>
        </w:numPr>
        <w:spacing w:after="120"/>
        <w:ind w:left="993" w:hanging="284"/>
        <w:rPr>
          <w:rFonts w:asciiTheme="minorHAnsi" w:hAnsiTheme="minorHAnsi"/>
          <w:bCs/>
        </w:rPr>
      </w:pPr>
      <w:r w:rsidRPr="00DC0807">
        <w:rPr>
          <w:rFonts w:asciiTheme="minorHAnsi" w:hAnsiTheme="minorHAnsi"/>
          <w:bCs/>
        </w:rPr>
        <w:t>The rest</w:t>
      </w:r>
      <w:r w:rsidR="00D45D17">
        <w:rPr>
          <w:rFonts w:asciiTheme="minorHAnsi" w:hAnsiTheme="minorHAnsi"/>
          <w:bCs/>
        </w:rPr>
        <w:t>r</w:t>
      </w:r>
      <w:r w:rsidRPr="00DC0807">
        <w:rPr>
          <w:rFonts w:asciiTheme="minorHAnsi" w:hAnsiTheme="minorHAnsi"/>
          <w:bCs/>
        </w:rPr>
        <w:t>ictions should accommodate the treatment of patients greater than 100 kg (that is, requiring a 90 mg dose).</w:t>
      </w:r>
    </w:p>
    <w:p w:rsidR="008E2728" w:rsidRPr="00DC0807" w:rsidRDefault="008E2728" w:rsidP="00804AA4">
      <w:pPr>
        <w:pStyle w:val="ListParagraph"/>
        <w:widowControl/>
        <w:numPr>
          <w:ilvl w:val="0"/>
          <w:numId w:val="20"/>
        </w:numPr>
        <w:spacing w:after="120"/>
        <w:ind w:left="993" w:hanging="284"/>
        <w:rPr>
          <w:rFonts w:asciiTheme="minorHAnsi" w:hAnsiTheme="minorHAnsi"/>
          <w:bCs/>
        </w:rPr>
      </w:pPr>
      <w:r w:rsidRPr="00DC0807">
        <w:rPr>
          <w:rFonts w:asciiTheme="minorHAnsi" w:hAnsiTheme="minorHAnsi"/>
          <w:bCs/>
        </w:rPr>
        <w:t xml:space="preserve">Definitions and instructions for determining response (and inadequate response to prior therapies) should align with the existing paediatric listings for etanercept for CPP, although assessment of response to access continuing therapy should take place no later than 24 weeks from initiation. </w:t>
      </w:r>
    </w:p>
    <w:p w:rsidR="00560052" w:rsidRPr="00DC0807" w:rsidRDefault="00560052" w:rsidP="009F46E3">
      <w:pPr>
        <w:numPr>
          <w:ilvl w:val="1"/>
          <w:numId w:val="1"/>
        </w:numPr>
        <w:rPr>
          <w:rFonts w:asciiTheme="minorHAnsi" w:hAnsiTheme="minorHAnsi"/>
          <w:bCs/>
          <w:szCs w:val="24"/>
        </w:rPr>
      </w:pPr>
      <w:r w:rsidRPr="00DC0807">
        <w:rPr>
          <w:szCs w:val="24"/>
        </w:rPr>
        <w:t xml:space="preserve">The PBAC found that the criteria prescribed by the </w:t>
      </w:r>
      <w:r w:rsidRPr="00DC0807">
        <w:rPr>
          <w:i/>
          <w:szCs w:val="24"/>
        </w:rPr>
        <w:t>National Health (Pharmaceuticals and Vaccines – Cost Recovery) Regulations 2009</w:t>
      </w:r>
      <w:r w:rsidRPr="00DC0807">
        <w:rPr>
          <w:szCs w:val="24"/>
        </w:rPr>
        <w:t xml:space="preserve"> for Pricing Pathway A were not met. Specifically, the PBAC found that in the circumstances of its recommendation for ustekinumab:</w:t>
      </w:r>
    </w:p>
    <w:p w:rsidR="00560052" w:rsidRPr="00DC0807" w:rsidRDefault="00560052" w:rsidP="009F46E3">
      <w:pPr>
        <w:pStyle w:val="ListParagraph"/>
        <w:numPr>
          <w:ilvl w:val="0"/>
          <w:numId w:val="32"/>
        </w:numPr>
        <w:spacing w:after="0"/>
        <w:ind w:left="993" w:hanging="284"/>
        <w:contextualSpacing/>
        <w:rPr>
          <w:szCs w:val="24"/>
        </w:rPr>
      </w:pPr>
      <w:r w:rsidRPr="00DC0807">
        <w:rPr>
          <w:szCs w:val="24"/>
        </w:rPr>
        <w:t xml:space="preserve">The treatment is expected to provide a substantial and clinically relevant improvement in efficacy, over alternative therapies; </w:t>
      </w:r>
    </w:p>
    <w:p w:rsidR="00560052" w:rsidRPr="00DC0807" w:rsidRDefault="00560052" w:rsidP="009F46E3">
      <w:pPr>
        <w:pStyle w:val="ListParagraph"/>
        <w:numPr>
          <w:ilvl w:val="0"/>
          <w:numId w:val="32"/>
        </w:numPr>
        <w:spacing w:after="0"/>
        <w:ind w:left="993" w:hanging="284"/>
        <w:contextualSpacing/>
        <w:rPr>
          <w:szCs w:val="24"/>
        </w:rPr>
      </w:pPr>
      <w:r w:rsidRPr="00DC0807">
        <w:rPr>
          <w:szCs w:val="24"/>
        </w:rPr>
        <w:t>The treatment</w:t>
      </w:r>
      <w:r w:rsidR="009F46E3" w:rsidRPr="00DC0807">
        <w:rPr>
          <w:szCs w:val="24"/>
        </w:rPr>
        <w:t xml:space="preserve"> i</w:t>
      </w:r>
      <w:r w:rsidRPr="00DC0807">
        <w:rPr>
          <w:szCs w:val="24"/>
        </w:rPr>
        <w:t>s not expected to address a high and urgent unmet clinical need</w:t>
      </w:r>
      <w:r w:rsidR="009F46E3" w:rsidRPr="00DC0807">
        <w:rPr>
          <w:szCs w:val="24"/>
        </w:rPr>
        <w:t xml:space="preserve"> </w:t>
      </w:r>
      <w:r w:rsidRPr="00DC0807">
        <w:rPr>
          <w:szCs w:val="24"/>
        </w:rPr>
        <w:t>because</w:t>
      </w:r>
      <w:r w:rsidR="009F46E3" w:rsidRPr="00DC0807">
        <w:rPr>
          <w:szCs w:val="24"/>
        </w:rPr>
        <w:t xml:space="preserve"> an existing therapy is available</w:t>
      </w:r>
      <w:r w:rsidRPr="00DC0807">
        <w:rPr>
          <w:szCs w:val="24"/>
        </w:rPr>
        <w:t>;</w:t>
      </w:r>
    </w:p>
    <w:p w:rsidR="004F676E" w:rsidRPr="00DC0807" w:rsidRDefault="00560052" w:rsidP="009C207F">
      <w:pPr>
        <w:pStyle w:val="ListParagraph"/>
        <w:numPr>
          <w:ilvl w:val="0"/>
          <w:numId w:val="32"/>
        </w:numPr>
        <w:spacing w:after="120"/>
        <w:ind w:left="993" w:hanging="284"/>
        <w:contextualSpacing/>
        <w:rPr>
          <w:szCs w:val="24"/>
        </w:rPr>
      </w:pPr>
      <w:r w:rsidRPr="00DC0807">
        <w:rPr>
          <w:szCs w:val="24"/>
        </w:rPr>
        <w:t>It was not necessary to make a finding in relation to whether it would be in the public interest for the subsequent pricing application to be progressed under Pricing Pathway A because one or more of the preceding tests had failed.</w:t>
      </w:r>
    </w:p>
    <w:p w:rsidR="003D7F74" w:rsidRPr="00DC0807" w:rsidRDefault="008C1F57" w:rsidP="008C1F57">
      <w:pPr>
        <w:numPr>
          <w:ilvl w:val="1"/>
          <w:numId w:val="1"/>
        </w:numPr>
        <w:spacing w:after="120"/>
        <w:rPr>
          <w:rFonts w:asciiTheme="minorHAnsi" w:hAnsiTheme="minorHAnsi"/>
          <w:bCs/>
        </w:rPr>
      </w:pPr>
      <w:r w:rsidRPr="00DC0807">
        <w:t>The PBAC noted that this submission is not eligible for an Independent Review as it received a positive recommendation</w:t>
      </w:r>
      <w:r w:rsidRPr="00DC0807">
        <w:rPr>
          <w:rFonts w:asciiTheme="minorHAnsi" w:hAnsiTheme="minorHAnsi"/>
          <w:bCs/>
        </w:rPr>
        <w:t>.</w:t>
      </w:r>
    </w:p>
    <w:p w:rsidR="003D7F74" w:rsidRPr="00DC0807" w:rsidRDefault="003D7F74" w:rsidP="003D7F74">
      <w:pPr>
        <w:spacing w:before="240"/>
        <w:rPr>
          <w:rFonts w:asciiTheme="minorHAnsi" w:hAnsiTheme="minorHAnsi"/>
          <w:b/>
          <w:bCs/>
        </w:rPr>
      </w:pPr>
      <w:r w:rsidRPr="00DC0807">
        <w:rPr>
          <w:rFonts w:asciiTheme="minorHAnsi" w:hAnsiTheme="minorHAnsi"/>
          <w:b/>
          <w:bCs/>
        </w:rPr>
        <w:t>Outcome:</w:t>
      </w:r>
    </w:p>
    <w:p w:rsidR="003D7F74" w:rsidRPr="00DC0807" w:rsidRDefault="008C1F57" w:rsidP="00D01A10">
      <w:pPr>
        <w:spacing w:after="240"/>
        <w:rPr>
          <w:rFonts w:asciiTheme="minorHAnsi" w:hAnsiTheme="minorHAnsi"/>
          <w:bCs/>
        </w:rPr>
      </w:pPr>
      <w:r w:rsidRPr="00DC0807">
        <w:rPr>
          <w:rFonts w:asciiTheme="minorHAnsi" w:hAnsiTheme="minorHAnsi"/>
          <w:bCs/>
        </w:rPr>
        <w:t>Recommended</w:t>
      </w:r>
    </w:p>
    <w:p w:rsidR="007742D8" w:rsidRPr="00DC0807" w:rsidRDefault="007742D8" w:rsidP="007742D8">
      <w:pPr>
        <w:pStyle w:val="PBACHeading1"/>
        <w:spacing w:after="120"/>
      </w:pPr>
      <w:r w:rsidRPr="00DC0807">
        <w:t>Recommended listing</w:t>
      </w:r>
    </w:p>
    <w:p w:rsidR="003D7F74" w:rsidRDefault="00F10AC3" w:rsidP="00F10AC3">
      <w:pPr>
        <w:spacing w:after="120"/>
        <w:ind w:left="720"/>
        <w:rPr>
          <w:rFonts w:asciiTheme="minorHAnsi" w:hAnsiTheme="minorHAnsi"/>
          <w:bCs/>
          <w:i/>
        </w:rPr>
      </w:pPr>
      <w:r w:rsidRPr="00DC0807">
        <w:rPr>
          <w:rFonts w:asciiTheme="minorHAnsi" w:hAnsiTheme="minorHAnsi"/>
          <w:bCs/>
          <w:i/>
        </w:rPr>
        <w:t>Restriction to be finalised.</w:t>
      </w:r>
    </w:p>
    <w:p w:rsidR="0022101F" w:rsidRPr="0022101F" w:rsidRDefault="0022101F" w:rsidP="0022101F">
      <w:pPr>
        <w:pStyle w:val="PBACHeading1"/>
        <w:spacing w:after="120"/>
      </w:pPr>
      <w:r w:rsidRPr="0022101F">
        <w:t>Context for Decision</w:t>
      </w:r>
    </w:p>
    <w:p w:rsidR="0022101F" w:rsidRPr="007129F2" w:rsidRDefault="0022101F" w:rsidP="00F607C7">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2101F" w:rsidRPr="0022101F" w:rsidRDefault="0022101F" w:rsidP="0022101F">
      <w:pPr>
        <w:pStyle w:val="PBACHeading1"/>
        <w:spacing w:after="120"/>
      </w:pPr>
      <w:r w:rsidRPr="0022101F">
        <w:t>Sponsor’s Comment</w:t>
      </w:r>
    </w:p>
    <w:p w:rsidR="0022101F" w:rsidRPr="001179AC" w:rsidRDefault="0022101F" w:rsidP="00F607C7">
      <w:pPr>
        <w:spacing w:after="120"/>
        <w:ind w:left="426" w:firstLine="294"/>
        <w:rPr>
          <w:rFonts w:asciiTheme="minorHAnsi" w:hAnsiTheme="minorHAnsi"/>
          <w:bCs/>
        </w:rPr>
      </w:pPr>
      <w:r w:rsidRPr="00C07617">
        <w:rPr>
          <w:rFonts w:asciiTheme="minorHAnsi" w:hAnsiTheme="minorHAnsi"/>
          <w:bCs/>
        </w:rPr>
        <w:t>The sponsor had no comment.</w:t>
      </w:r>
    </w:p>
    <w:p w:rsidR="00B36252" w:rsidRPr="00DC0807" w:rsidRDefault="00B36252" w:rsidP="000F316A">
      <w:pPr>
        <w:rPr>
          <w:rFonts w:ascii="Arial Narrow" w:hAnsi="Arial Narrow"/>
          <w:sz w:val="20"/>
          <w:szCs w:val="20"/>
        </w:rPr>
      </w:pPr>
    </w:p>
    <w:sectPr w:rsidR="00B36252" w:rsidRPr="00DC0807" w:rsidSect="005243B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A8107" w16cid:durableId="241021BF"/>
  <w16cid:commentId w16cid:paraId="1A22281B" w16cid:durableId="241021CF"/>
  <w16cid:commentId w16cid:paraId="2C265602" w16cid:durableId="241021C0"/>
  <w16cid:commentId w16cid:paraId="1BD69255" w16cid:durableId="241021D0"/>
  <w16cid:commentId w16cid:paraId="020EC1AF" w16cid:durableId="241021C1"/>
  <w16cid:commentId w16cid:paraId="55F9327B" w16cid:durableId="241021C2"/>
  <w16cid:commentId w16cid:paraId="70E70FC6" w16cid:durableId="241021EF"/>
  <w16cid:commentId w16cid:paraId="71C53291" w16cid:durableId="241021C3"/>
  <w16cid:commentId w16cid:paraId="0E13ADB6" w16cid:durableId="241021C4"/>
  <w16cid:commentId w16cid:paraId="0C79FD8A" w16cid:durableId="241021FE"/>
  <w16cid:commentId w16cid:paraId="135375FE" w16cid:durableId="241021C5"/>
  <w16cid:commentId w16cid:paraId="0CCF3472" w16cid:durableId="24102227"/>
  <w16cid:commentId w16cid:paraId="5E45559D" w16cid:durableId="241021C6"/>
  <w16cid:commentId w16cid:paraId="23F1079F" w16cid:durableId="24102232"/>
  <w16cid:commentId w16cid:paraId="6D60E539" w16cid:durableId="241021C7"/>
  <w16cid:commentId w16cid:paraId="69DC9D59" w16cid:durableId="2410223D"/>
  <w16cid:commentId w16cid:paraId="22AF7321" w16cid:durableId="241021C8"/>
  <w16cid:commentId w16cid:paraId="704A9A05" w16cid:durableId="24102247"/>
  <w16cid:commentId w16cid:paraId="59C4CD67" w16cid:durableId="241021C9"/>
  <w16cid:commentId w16cid:paraId="45D9F07F" w16cid:durableId="24102250"/>
  <w16cid:commentId w16cid:paraId="100F68F8" w16cid:durableId="241021CA"/>
  <w16cid:commentId w16cid:paraId="61553AEB" w16cid:durableId="241022D8"/>
  <w16cid:commentId w16cid:paraId="210C3363" w16cid:durableId="241021CB"/>
  <w16cid:commentId w16cid:paraId="245FD9BD" w16cid:durableId="241022F0"/>
  <w16cid:commentId w16cid:paraId="3D3FD9A1" w16cid:durableId="241021CC"/>
  <w16cid:commentId w16cid:paraId="7B3212A6" w16cid:durableId="2410233F"/>
  <w16cid:commentId w16cid:paraId="71DBA5F5" w16cid:durableId="241021CD"/>
  <w16cid:commentId w16cid:paraId="0B81FD25" w16cid:durableId="2410253A"/>
  <w16cid:commentId w16cid:paraId="225D0AE1" w16cid:durableId="241021CE"/>
  <w16cid:commentId w16cid:paraId="30A7ECC7" w16cid:durableId="241025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F2B" w:rsidRDefault="006B6F2B" w:rsidP="00124A51">
      <w:r>
        <w:separator/>
      </w:r>
    </w:p>
    <w:p w:rsidR="006B6F2B" w:rsidRDefault="006B6F2B"/>
  </w:endnote>
  <w:endnote w:type="continuationSeparator" w:id="0">
    <w:p w:rsidR="006B6F2B" w:rsidRDefault="006B6F2B" w:rsidP="00124A51">
      <w:r>
        <w:continuationSeparator/>
      </w:r>
    </w:p>
    <w:p w:rsidR="006B6F2B" w:rsidRDefault="006B6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2B" w:rsidRDefault="006B6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0E" w:rsidRDefault="0051440E">
    <w:pPr>
      <w:pStyle w:val="Footer"/>
      <w:jc w:val="center"/>
    </w:pPr>
  </w:p>
  <w:p w:rsidR="0051440E" w:rsidRPr="009843EE" w:rsidRDefault="007F14E7" w:rsidP="009843EE">
    <w:pPr>
      <w:pStyle w:val="Footer"/>
      <w:jc w:val="center"/>
      <w:rPr>
        <w:b/>
      </w:rPr>
    </w:pPr>
    <w:sdt>
      <w:sdtPr>
        <w:id w:val="-1854494074"/>
        <w:docPartObj>
          <w:docPartGallery w:val="Page Numbers (Bottom of Page)"/>
          <w:docPartUnique/>
        </w:docPartObj>
      </w:sdtPr>
      <w:sdtEndPr>
        <w:rPr>
          <w:b/>
          <w:noProof/>
        </w:rPr>
      </w:sdtEndPr>
      <w:sdtContent>
        <w:r w:rsidR="0051440E" w:rsidRPr="009843EE">
          <w:rPr>
            <w:b/>
          </w:rPr>
          <w:fldChar w:fldCharType="begin"/>
        </w:r>
        <w:r w:rsidR="0051440E" w:rsidRPr="009843EE">
          <w:rPr>
            <w:b/>
          </w:rPr>
          <w:instrText xml:space="preserve"> PAGE   \* MERGEFORMAT </w:instrText>
        </w:r>
        <w:r w:rsidR="0051440E" w:rsidRPr="009843EE">
          <w:rPr>
            <w:b/>
          </w:rPr>
          <w:fldChar w:fldCharType="separate"/>
        </w:r>
        <w:r>
          <w:rPr>
            <w:b/>
            <w:noProof/>
          </w:rPr>
          <w:t>26</w:t>
        </w:r>
        <w:r w:rsidR="0051440E" w:rsidRPr="009843EE">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2B" w:rsidRDefault="006B6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F2B" w:rsidRDefault="006B6F2B" w:rsidP="00124A51">
      <w:r>
        <w:separator/>
      </w:r>
    </w:p>
    <w:p w:rsidR="006B6F2B" w:rsidRDefault="006B6F2B"/>
  </w:footnote>
  <w:footnote w:type="continuationSeparator" w:id="0">
    <w:p w:rsidR="006B6F2B" w:rsidRDefault="006B6F2B" w:rsidP="00124A51">
      <w:r>
        <w:continuationSeparator/>
      </w:r>
    </w:p>
    <w:p w:rsidR="006B6F2B" w:rsidRDefault="006B6F2B"/>
  </w:footnote>
  <w:footnote w:id="1">
    <w:p w:rsidR="0051440E" w:rsidRPr="00AF6421" w:rsidRDefault="0051440E" w:rsidP="0080369E">
      <w:pPr>
        <w:pStyle w:val="FootnoteText"/>
        <w:rPr>
          <w:rFonts w:ascii="Arial Narrow" w:hAnsi="Arial Narrow"/>
          <w:sz w:val="18"/>
          <w:szCs w:val="18"/>
        </w:rPr>
      </w:pPr>
      <w:r w:rsidRPr="00AF6421">
        <w:rPr>
          <w:rStyle w:val="FootnoteReference"/>
          <w:rFonts w:ascii="Arial Narrow" w:hAnsi="Arial Narrow"/>
          <w:sz w:val="18"/>
          <w:szCs w:val="18"/>
        </w:rPr>
        <w:footnoteRef/>
      </w:r>
      <w:r w:rsidRPr="00AF6421">
        <w:rPr>
          <w:rFonts w:ascii="Arial Narrow" w:hAnsi="Arial Narrow"/>
          <w:sz w:val="18"/>
          <w:szCs w:val="18"/>
        </w:rPr>
        <w:t xml:space="preserve"> Wan MT, Alvarez J, Shin DB, Dommasch ED, Wu JJ, Gelfand JM. Head-to-head trials of systemic psoriasis therapies: a systematic review of study design and maximum acceptable treatment differences. J Eur Acad Dermatol Venereol. 2019;33(1):42-55. doi:10.1111/jdv.15174</w:t>
      </w:r>
    </w:p>
  </w:footnote>
  <w:footnote w:id="2">
    <w:p w:rsidR="0051440E" w:rsidRDefault="0051440E" w:rsidP="00E90FC4">
      <w:pPr>
        <w:pStyle w:val="FootnoteText"/>
        <w:jc w:val="left"/>
      </w:pPr>
      <w:r>
        <w:rPr>
          <w:rStyle w:val="FootnoteReference"/>
        </w:rPr>
        <w:footnoteRef/>
      </w:r>
      <w:r>
        <w:t xml:space="preserve"> See the TGA </w:t>
      </w:r>
      <w:r w:rsidRPr="00E90FC4">
        <w:rPr>
          <w:i/>
        </w:rPr>
        <w:t>Australian Public Assessment Report</w:t>
      </w:r>
      <w:r>
        <w:t xml:space="preserve">, etanercept March 2012, p28: </w:t>
      </w:r>
      <w:hyperlink r:id="rId1" w:history="1">
        <w:r w:rsidRPr="00572856">
          <w:rPr>
            <w:rStyle w:val="Hyperlink"/>
          </w:rPr>
          <w:t>https://www.tga.gov.au/auspar/auspar-etanercept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2B" w:rsidRDefault="006B6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0E" w:rsidRPr="00056684" w:rsidRDefault="0051440E" w:rsidP="009843EE">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rsidR="0051440E" w:rsidRDefault="005144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2B" w:rsidRDefault="006B6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45DED"/>
    <w:multiLevelType w:val="hybridMultilevel"/>
    <w:tmpl w:val="4906D7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3B7183"/>
    <w:multiLevelType w:val="hybridMultilevel"/>
    <w:tmpl w:val="FAF6373E"/>
    <w:lvl w:ilvl="0" w:tplc="95B0F32A">
      <w:start w:val="1"/>
      <w:numFmt w:val="bullet"/>
      <w:lvlText w:val="•"/>
      <w:lvlJc w:val="left"/>
      <w:pPr>
        <w:tabs>
          <w:tab w:val="num" w:pos="720"/>
        </w:tabs>
        <w:ind w:left="720" w:hanging="360"/>
      </w:pPr>
      <w:rPr>
        <w:rFonts w:ascii="Arial" w:hAnsi="Arial" w:hint="default"/>
      </w:rPr>
    </w:lvl>
    <w:lvl w:ilvl="1" w:tplc="4254EBC0" w:tentative="1">
      <w:start w:val="1"/>
      <w:numFmt w:val="bullet"/>
      <w:lvlText w:val="•"/>
      <w:lvlJc w:val="left"/>
      <w:pPr>
        <w:tabs>
          <w:tab w:val="num" w:pos="1440"/>
        </w:tabs>
        <w:ind w:left="1440" w:hanging="360"/>
      </w:pPr>
      <w:rPr>
        <w:rFonts w:ascii="Arial" w:hAnsi="Arial" w:hint="default"/>
      </w:rPr>
    </w:lvl>
    <w:lvl w:ilvl="2" w:tplc="D0E6C7DC" w:tentative="1">
      <w:start w:val="1"/>
      <w:numFmt w:val="bullet"/>
      <w:lvlText w:val="•"/>
      <w:lvlJc w:val="left"/>
      <w:pPr>
        <w:tabs>
          <w:tab w:val="num" w:pos="2160"/>
        </w:tabs>
        <w:ind w:left="2160" w:hanging="360"/>
      </w:pPr>
      <w:rPr>
        <w:rFonts w:ascii="Arial" w:hAnsi="Arial" w:hint="default"/>
      </w:rPr>
    </w:lvl>
    <w:lvl w:ilvl="3" w:tplc="B97A1798" w:tentative="1">
      <w:start w:val="1"/>
      <w:numFmt w:val="bullet"/>
      <w:lvlText w:val="•"/>
      <w:lvlJc w:val="left"/>
      <w:pPr>
        <w:tabs>
          <w:tab w:val="num" w:pos="2880"/>
        </w:tabs>
        <w:ind w:left="2880" w:hanging="360"/>
      </w:pPr>
      <w:rPr>
        <w:rFonts w:ascii="Arial" w:hAnsi="Arial" w:hint="default"/>
      </w:rPr>
    </w:lvl>
    <w:lvl w:ilvl="4" w:tplc="807204EA" w:tentative="1">
      <w:start w:val="1"/>
      <w:numFmt w:val="bullet"/>
      <w:lvlText w:val="•"/>
      <w:lvlJc w:val="left"/>
      <w:pPr>
        <w:tabs>
          <w:tab w:val="num" w:pos="3600"/>
        </w:tabs>
        <w:ind w:left="3600" w:hanging="360"/>
      </w:pPr>
      <w:rPr>
        <w:rFonts w:ascii="Arial" w:hAnsi="Arial" w:hint="default"/>
      </w:rPr>
    </w:lvl>
    <w:lvl w:ilvl="5" w:tplc="06A66CC0" w:tentative="1">
      <w:start w:val="1"/>
      <w:numFmt w:val="bullet"/>
      <w:lvlText w:val="•"/>
      <w:lvlJc w:val="left"/>
      <w:pPr>
        <w:tabs>
          <w:tab w:val="num" w:pos="4320"/>
        </w:tabs>
        <w:ind w:left="4320" w:hanging="360"/>
      </w:pPr>
      <w:rPr>
        <w:rFonts w:ascii="Arial" w:hAnsi="Arial" w:hint="default"/>
      </w:rPr>
    </w:lvl>
    <w:lvl w:ilvl="6" w:tplc="927E64EA" w:tentative="1">
      <w:start w:val="1"/>
      <w:numFmt w:val="bullet"/>
      <w:lvlText w:val="•"/>
      <w:lvlJc w:val="left"/>
      <w:pPr>
        <w:tabs>
          <w:tab w:val="num" w:pos="5040"/>
        </w:tabs>
        <w:ind w:left="5040" w:hanging="360"/>
      </w:pPr>
      <w:rPr>
        <w:rFonts w:ascii="Arial" w:hAnsi="Arial" w:hint="default"/>
      </w:rPr>
    </w:lvl>
    <w:lvl w:ilvl="7" w:tplc="BBE49B76" w:tentative="1">
      <w:start w:val="1"/>
      <w:numFmt w:val="bullet"/>
      <w:lvlText w:val="•"/>
      <w:lvlJc w:val="left"/>
      <w:pPr>
        <w:tabs>
          <w:tab w:val="num" w:pos="5760"/>
        </w:tabs>
        <w:ind w:left="5760" w:hanging="360"/>
      </w:pPr>
      <w:rPr>
        <w:rFonts w:ascii="Arial" w:hAnsi="Arial" w:hint="default"/>
      </w:rPr>
    </w:lvl>
    <w:lvl w:ilvl="8" w:tplc="64DCDF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4B5228"/>
    <w:multiLevelType w:val="multilevel"/>
    <w:tmpl w:val="9446E0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5C36A7"/>
    <w:multiLevelType w:val="hybridMultilevel"/>
    <w:tmpl w:val="2FF6486E"/>
    <w:lvl w:ilvl="0" w:tplc="0C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B72C11"/>
    <w:multiLevelType w:val="multilevel"/>
    <w:tmpl w:val="9EE8AB5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967405"/>
    <w:multiLevelType w:val="multilevel"/>
    <w:tmpl w:val="4558CD1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63280"/>
    <w:multiLevelType w:val="hybridMultilevel"/>
    <w:tmpl w:val="85906F70"/>
    <w:lvl w:ilvl="0" w:tplc="8A9CFB7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213540"/>
    <w:multiLevelType w:val="multilevel"/>
    <w:tmpl w:val="9446E0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54ED7"/>
    <w:multiLevelType w:val="multilevel"/>
    <w:tmpl w:val="9E627E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D5E9A"/>
    <w:multiLevelType w:val="hybridMultilevel"/>
    <w:tmpl w:val="D0886A50"/>
    <w:lvl w:ilvl="0" w:tplc="7CE4C8B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B07B75"/>
    <w:multiLevelType w:val="hybridMultilevel"/>
    <w:tmpl w:val="31421D7C"/>
    <w:lvl w:ilvl="0" w:tplc="A192D0BA">
      <w:start w:val="1"/>
      <w:numFmt w:val="bullet"/>
      <w:lvlText w:val="•"/>
      <w:lvlJc w:val="left"/>
      <w:pPr>
        <w:tabs>
          <w:tab w:val="num" w:pos="720"/>
        </w:tabs>
        <w:ind w:left="720" w:hanging="360"/>
      </w:pPr>
      <w:rPr>
        <w:rFonts w:ascii="Arial" w:hAnsi="Arial" w:hint="default"/>
      </w:rPr>
    </w:lvl>
    <w:lvl w:ilvl="1" w:tplc="F3407614">
      <w:start w:val="82"/>
      <w:numFmt w:val="bullet"/>
      <w:lvlText w:val="•"/>
      <w:lvlJc w:val="left"/>
      <w:pPr>
        <w:tabs>
          <w:tab w:val="num" w:pos="1440"/>
        </w:tabs>
        <w:ind w:left="1440" w:hanging="360"/>
      </w:pPr>
      <w:rPr>
        <w:rFonts w:ascii="Arial" w:hAnsi="Arial" w:hint="default"/>
      </w:rPr>
    </w:lvl>
    <w:lvl w:ilvl="2" w:tplc="7F380736" w:tentative="1">
      <w:start w:val="1"/>
      <w:numFmt w:val="bullet"/>
      <w:lvlText w:val="•"/>
      <w:lvlJc w:val="left"/>
      <w:pPr>
        <w:tabs>
          <w:tab w:val="num" w:pos="2160"/>
        </w:tabs>
        <w:ind w:left="2160" w:hanging="360"/>
      </w:pPr>
      <w:rPr>
        <w:rFonts w:ascii="Arial" w:hAnsi="Arial" w:hint="default"/>
      </w:rPr>
    </w:lvl>
    <w:lvl w:ilvl="3" w:tplc="F2A677D4" w:tentative="1">
      <w:start w:val="1"/>
      <w:numFmt w:val="bullet"/>
      <w:lvlText w:val="•"/>
      <w:lvlJc w:val="left"/>
      <w:pPr>
        <w:tabs>
          <w:tab w:val="num" w:pos="2880"/>
        </w:tabs>
        <w:ind w:left="2880" w:hanging="360"/>
      </w:pPr>
      <w:rPr>
        <w:rFonts w:ascii="Arial" w:hAnsi="Arial" w:hint="default"/>
      </w:rPr>
    </w:lvl>
    <w:lvl w:ilvl="4" w:tplc="772AF2E0" w:tentative="1">
      <w:start w:val="1"/>
      <w:numFmt w:val="bullet"/>
      <w:lvlText w:val="•"/>
      <w:lvlJc w:val="left"/>
      <w:pPr>
        <w:tabs>
          <w:tab w:val="num" w:pos="3600"/>
        </w:tabs>
        <w:ind w:left="3600" w:hanging="360"/>
      </w:pPr>
      <w:rPr>
        <w:rFonts w:ascii="Arial" w:hAnsi="Arial" w:hint="default"/>
      </w:rPr>
    </w:lvl>
    <w:lvl w:ilvl="5" w:tplc="37B0A22C" w:tentative="1">
      <w:start w:val="1"/>
      <w:numFmt w:val="bullet"/>
      <w:lvlText w:val="•"/>
      <w:lvlJc w:val="left"/>
      <w:pPr>
        <w:tabs>
          <w:tab w:val="num" w:pos="4320"/>
        </w:tabs>
        <w:ind w:left="4320" w:hanging="360"/>
      </w:pPr>
      <w:rPr>
        <w:rFonts w:ascii="Arial" w:hAnsi="Arial" w:hint="default"/>
      </w:rPr>
    </w:lvl>
    <w:lvl w:ilvl="6" w:tplc="FCC848AA" w:tentative="1">
      <w:start w:val="1"/>
      <w:numFmt w:val="bullet"/>
      <w:lvlText w:val="•"/>
      <w:lvlJc w:val="left"/>
      <w:pPr>
        <w:tabs>
          <w:tab w:val="num" w:pos="5040"/>
        </w:tabs>
        <w:ind w:left="5040" w:hanging="360"/>
      </w:pPr>
      <w:rPr>
        <w:rFonts w:ascii="Arial" w:hAnsi="Arial" w:hint="default"/>
      </w:rPr>
    </w:lvl>
    <w:lvl w:ilvl="7" w:tplc="13BA12BA" w:tentative="1">
      <w:start w:val="1"/>
      <w:numFmt w:val="bullet"/>
      <w:lvlText w:val="•"/>
      <w:lvlJc w:val="left"/>
      <w:pPr>
        <w:tabs>
          <w:tab w:val="num" w:pos="5760"/>
        </w:tabs>
        <w:ind w:left="5760" w:hanging="360"/>
      </w:pPr>
      <w:rPr>
        <w:rFonts w:ascii="Arial" w:hAnsi="Arial" w:hint="default"/>
      </w:rPr>
    </w:lvl>
    <w:lvl w:ilvl="8" w:tplc="B7CCC6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E26CAB"/>
    <w:multiLevelType w:val="hybridMultilevel"/>
    <w:tmpl w:val="745443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B0F1CA1"/>
    <w:multiLevelType w:val="hybridMultilevel"/>
    <w:tmpl w:val="2C169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37728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B60F9B"/>
    <w:multiLevelType w:val="multilevel"/>
    <w:tmpl w:val="9E627E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A05864"/>
    <w:multiLevelType w:val="hybridMultilevel"/>
    <w:tmpl w:val="965A8B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0843BF3"/>
    <w:multiLevelType w:val="multilevel"/>
    <w:tmpl w:val="9446E0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3F4CA3"/>
    <w:multiLevelType w:val="hybridMultilevel"/>
    <w:tmpl w:val="A3D6C2CC"/>
    <w:lvl w:ilvl="0" w:tplc="ABD6BF68">
      <w:start w:val="1"/>
      <w:numFmt w:val="bullet"/>
      <w:lvlText w:val="•"/>
      <w:lvlJc w:val="left"/>
      <w:pPr>
        <w:tabs>
          <w:tab w:val="num" w:pos="720"/>
        </w:tabs>
        <w:ind w:left="720" w:hanging="360"/>
      </w:pPr>
      <w:rPr>
        <w:rFonts w:ascii="Arial" w:hAnsi="Arial" w:hint="default"/>
      </w:rPr>
    </w:lvl>
    <w:lvl w:ilvl="1" w:tplc="74FE92DC">
      <w:start w:val="1"/>
      <w:numFmt w:val="bullet"/>
      <w:lvlText w:val="•"/>
      <w:lvlJc w:val="left"/>
      <w:pPr>
        <w:tabs>
          <w:tab w:val="num" w:pos="1440"/>
        </w:tabs>
        <w:ind w:left="1440" w:hanging="360"/>
      </w:pPr>
      <w:rPr>
        <w:rFonts w:ascii="Arial" w:hAnsi="Arial" w:hint="default"/>
      </w:rPr>
    </w:lvl>
    <w:lvl w:ilvl="2" w:tplc="8DF43538" w:tentative="1">
      <w:start w:val="1"/>
      <w:numFmt w:val="bullet"/>
      <w:lvlText w:val="•"/>
      <w:lvlJc w:val="left"/>
      <w:pPr>
        <w:tabs>
          <w:tab w:val="num" w:pos="2160"/>
        </w:tabs>
        <w:ind w:left="2160" w:hanging="360"/>
      </w:pPr>
      <w:rPr>
        <w:rFonts w:ascii="Arial" w:hAnsi="Arial" w:hint="default"/>
      </w:rPr>
    </w:lvl>
    <w:lvl w:ilvl="3" w:tplc="FCFE35BC" w:tentative="1">
      <w:start w:val="1"/>
      <w:numFmt w:val="bullet"/>
      <w:lvlText w:val="•"/>
      <w:lvlJc w:val="left"/>
      <w:pPr>
        <w:tabs>
          <w:tab w:val="num" w:pos="2880"/>
        </w:tabs>
        <w:ind w:left="2880" w:hanging="360"/>
      </w:pPr>
      <w:rPr>
        <w:rFonts w:ascii="Arial" w:hAnsi="Arial" w:hint="default"/>
      </w:rPr>
    </w:lvl>
    <w:lvl w:ilvl="4" w:tplc="EC90F096" w:tentative="1">
      <w:start w:val="1"/>
      <w:numFmt w:val="bullet"/>
      <w:lvlText w:val="•"/>
      <w:lvlJc w:val="left"/>
      <w:pPr>
        <w:tabs>
          <w:tab w:val="num" w:pos="3600"/>
        </w:tabs>
        <w:ind w:left="3600" w:hanging="360"/>
      </w:pPr>
      <w:rPr>
        <w:rFonts w:ascii="Arial" w:hAnsi="Arial" w:hint="default"/>
      </w:rPr>
    </w:lvl>
    <w:lvl w:ilvl="5" w:tplc="690212B8" w:tentative="1">
      <w:start w:val="1"/>
      <w:numFmt w:val="bullet"/>
      <w:lvlText w:val="•"/>
      <w:lvlJc w:val="left"/>
      <w:pPr>
        <w:tabs>
          <w:tab w:val="num" w:pos="4320"/>
        </w:tabs>
        <w:ind w:left="4320" w:hanging="360"/>
      </w:pPr>
      <w:rPr>
        <w:rFonts w:ascii="Arial" w:hAnsi="Arial" w:hint="default"/>
      </w:rPr>
    </w:lvl>
    <w:lvl w:ilvl="6" w:tplc="814E104E" w:tentative="1">
      <w:start w:val="1"/>
      <w:numFmt w:val="bullet"/>
      <w:lvlText w:val="•"/>
      <w:lvlJc w:val="left"/>
      <w:pPr>
        <w:tabs>
          <w:tab w:val="num" w:pos="5040"/>
        </w:tabs>
        <w:ind w:left="5040" w:hanging="360"/>
      </w:pPr>
      <w:rPr>
        <w:rFonts w:ascii="Arial" w:hAnsi="Arial" w:hint="default"/>
      </w:rPr>
    </w:lvl>
    <w:lvl w:ilvl="7" w:tplc="FF805FEC" w:tentative="1">
      <w:start w:val="1"/>
      <w:numFmt w:val="bullet"/>
      <w:lvlText w:val="•"/>
      <w:lvlJc w:val="left"/>
      <w:pPr>
        <w:tabs>
          <w:tab w:val="num" w:pos="5760"/>
        </w:tabs>
        <w:ind w:left="5760" w:hanging="360"/>
      </w:pPr>
      <w:rPr>
        <w:rFonts w:ascii="Arial" w:hAnsi="Arial" w:hint="default"/>
      </w:rPr>
    </w:lvl>
    <w:lvl w:ilvl="8" w:tplc="630055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98477B"/>
    <w:multiLevelType w:val="hybridMultilevel"/>
    <w:tmpl w:val="11B253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84D033C"/>
    <w:multiLevelType w:val="multilevel"/>
    <w:tmpl w:val="75BAE37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29518C"/>
    <w:multiLevelType w:val="hybridMultilevel"/>
    <w:tmpl w:val="5DFAAD7A"/>
    <w:lvl w:ilvl="0" w:tplc="C91A8A3E">
      <w:start w:val="1"/>
      <w:numFmt w:val="bullet"/>
      <w:lvlText w:val="•"/>
      <w:lvlJc w:val="left"/>
      <w:pPr>
        <w:tabs>
          <w:tab w:val="num" w:pos="720"/>
        </w:tabs>
        <w:ind w:left="720" w:hanging="360"/>
      </w:pPr>
      <w:rPr>
        <w:rFonts w:ascii="Arial" w:hAnsi="Arial" w:hint="default"/>
      </w:rPr>
    </w:lvl>
    <w:lvl w:ilvl="1" w:tplc="049E5AC8" w:tentative="1">
      <w:start w:val="1"/>
      <w:numFmt w:val="bullet"/>
      <w:lvlText w:val="•"/>
      <w:lvlJc w:val="left"/>
      <w:pPr>
        <w:tabs>
          <w:tab w:val="num" w:pos="1440"/>
        </w:tabs>
        <w:ind w:left="1440" w:hanging="360"/>
      </w:pPr>
      <w:rPr>
        <w:rFonts w:ascii="Arial" w:hAnsi="Arial" w:hint="default"/>
      </w:rPr>
    </w:lvl>
    <w:lvl w:ilvl="2" w:tplc="376CB646" w:tentative="1">
      <w:start w:val="1"/>
      <w:numFmt w:val="bullet"/>
      <w:lvlText w:val="•"/>
      <w:lvlJc w:val="left"/>
      <w:pPr>
        <w:tabs>
          <w:tab w:val="num" w:pos="2160"/>
        </w:tabs>
        <w:ind w:left="2160" w:hanging="360"/>
      </w:pPr>
      <w:rPr>
        <w:rFonts w:ascii="Arial" w:hAnsi="Arial" w:hint="default"/>
      </w:rPr>
    </w:lvl>
    <w:lvl w:ilvl="3" w:tplc="0F2A4336" w:tentative="1">
      <w:start w:val="1"/>
      <w:numFmt w:val="bullet"/>
      <w:lvlText w:val="•"/>
      <w:lvlJc w:val="left"/>
      <w:pPr>
        <w:tabs>
          <w:tab w:val="num" w:pos="2880"/>
        </w:tabs>
        <w:ind w:left="2880" w:hanging="360"/>
      </w:pPr>
      <w:rPr>
        <w:rFonts w:ascii="Arial" w:hAnsi="Arial" w:hint="default"/>
      </w:rPr>
    </w:lvl>
    <w:lvl w:ilvl="4" w:tplc="E4ECC3B8" w:tentative="1">
      <w:start w:val="1"/>
      <w:numFmt w:val="bullet"/>
      <w:lvlText w:val="•"/>
      <w:lvlJc w:val="left"/>
      <w:pPr>
        <w:tabs>
          <w:tab w:val="num" w:pos="3600"/>
        </w:tabs>
        <w:ind w:left="3600" w:hanging="360"/>
      </w:pPr>
      <w:rPr>
        <w:rFonts w:ascii="Arial" w:hAnsi="Arial" w:hint="default"/>
      </w:rPr>
    </w:lvl>
    <w:lvl w:ilvl="5" w:tplc="0E845C8A" w:tentative="1">
      <w:start w:val="1"/>
      <w:numFmt w:val="bullet"/>
      <w:lvlText w:val="•"/>
      <w:lvlJc w:val="left"/>
      <w:pPr>
        <w:tabs>
          <w:tab w:val="num" w:pos="4320"/>
        </w:tabs>
        <w:ind w:left="4320" w:hanging="360"/>
      </w:pPr>
      <w:rPr>
        <w:rFonts w:ascii="Arial" w:hAnsi="Arial" w:hint="default"/>
      </w:rPr>
    </w:lvl>
    <w:lvl w:ilvl="6" w:tplc="878205F8" w:tentative="1">
      <w:start w:val="1"/>
      <w:numFmt w:val="bullet"/>
      <w:lvlText w:val="•"/>
      <w:lvlJc w:val="left"/>
      <w:pPr>
        <w:tabs>
          <w:tab w:val="num" w:pos="5040"/>
        </w:tabs>
        <w:ind w:left="5040" w:hanging="360"/>
      </w:pPr>
      <w:rPr>
        <w:rFonts w:ascii="Arial" w:hAnsi="Arial" w:hint="default"/>
      </w:rPr>
    </w:lvl>
    <w:lvl w:ilvl="7" w:tplc="3438A00A" w:tentative="1">
      <w:start w:val="1"/>
      <w:numFmt w:val="bullet"/>
      <w:lvlText w:val="•"/>
      <w:lvlJc w:val="left"/>
      <w:pPr>
        <w:tabs>
          <w:tab w:val="num" w:pos="5760"/>
        </w:tabs>
        <w:ind w:left="5760" w:hanging="360"/>
      </w:pPr>
      <w:rPr>
        <w:rFonts w:ascii="Arial" w:hAnsi="Arial" w:hint="default"/>
      </w:rPr>
    </w:lvl>
    <w:lvl w:ilvl="8" w:tplc="2DB860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F40F64"/>
    <w:multiLevelType w:val="hybridMultilevel"/>
    <w:tmpl w:val="665EAF0A"/>
    <w:lvl w:ilvl="0" w:tplc="7CE4C8B4">
      <w:start w:val="1"/>
      <w:numFmt w:val="decimal"/>
      <w:lvlText w:val="%1."/>
      <w:lvlJc w:val="left"/>
      <w:pPr>
        <w:ind w:left="720" w:hanging="360"/>
      </w:pPr>
      <w:rPr>
        <w:b w:val="0"/>
      </w:rPr>
    </w:lvl>
    <w:lvl w:ilvl="1" w:tplc="0C09000F">
      <w:start w:val="1"/>
      <w:numFmt w:val="decimal"/>
      <w:lvlText w:val="%2."/>
      <w:lvlJc w:val="left"/>
      <w:pPr>
        <w:ind w:left="1440" w:hanging="360"/>
      </w:pPr>
    </w:lvl>
    <w:lvl w:ilvl="2" w:tplc="A3B4A6E0">
      <w:numFmt w:val="bullet"/>
      <w:lvlText w:val="-"/>
      <w:lvlJc w:val="left"/>
      <w:pPr>
        <w:ind w:left="2340" w:hanging="360"/>
      </w:pPr>
      <w:rPr>
        <w:rFonts w:ascii="Calibri" w:eastAsia="Calibri" w:hAnsi="Calibri" w:cs="Calibr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CF069AC"/>
    <w:multiLevelType w:val="multilevel"/>
    <w:tmpl w:val="9446E0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6"/>
  </w:num>
  <w:num w:numId="3">
    <w:abstractNumId w:val="14"/>
  </w:num>
  <w:num w:numId="4">
    <w:abstractNumId w:val="24"/>
  </w:num>
  <w:num w:numId="5">
    <w:abstractNumId w:val="9"/>
  </w:num>
  <w:num w:numId="6">
    <w:abstractNumId w:val="10"/>
  </w:num>
  <w:num w:numId="7">
    <w:abstractNumId w:val="5"/>
  </w:num>
  <w:num w:numId="8">
    <w:abstractNumId w:val="13"/>
  </w:num>
  <w:num w:numId="9">
    <w:abstractNumId w:val="32"/>
  </w:num>
  <w:num w:numId="10">
    <w:abstractNumId w:val="26"/>
  </w:num>
  <w:num w:numId="11">
    <w:abstractNumId w:val="3"/>
  </w:num>
  <w:num w:numId="12">
    <w:abstractNumId w:val="6"/>
  </w:num>
  <w:num w:numId="13">
    <w:abstractNumId w:val="17"/>
  </w:num>
  <w:num w:numId="14">
    <w:abstractNumId w:val="25"/>
  </w:num>
  <w:num w:numId="15">
    <w:abstractNumId w:val="31"/>
  </w:num>
  <w:num w:numId="16">
    <w:abstractNumId w:val="22"/>
  </w:num>
  <w:num w:numId="17">
    <w:abstractNumId w:val="20"/>
  </w:num>
  <w:num w:numId="18">
    <w:abstractNumId w:val="30"/>
  </w:num>
  <w:num w:numId="19">
    <w:abstractNumId w:val="4"/>
  </w:num>
  <w:num w:numId="20">
    <w:abstractNumId w:val="28"/>
  </w:num>
  <w:num w:numId="21">
    <w:abstractNumId w:val="16"/>
  </w:num>
  <w:num w:numId="22">
    <w:abstractNumId w:val="1"/>
  </w:num>
  <w:num w:numId="23">
    <w:abstractNumId w:val="18"/>
  </w:num>
  <w:num w:numId="24">
    <w:abstractNumId w:val="19"/>
  </w:num>
  <w:num w:numId="25">
    <w:abstractNumId w:val="2"/>
  </w:num>
  <w:num w:numId="26">
    <w:abstractNumId w:val="0"/>
  </w:num>
  <w:num w:numId="27">
    <w:abstractNumId w:val="8"/>
  </w:num>
  <w:num w:numId="28">
    <w:abstractNumId w:val="11"/>
  </w:num>
  <w:num w:numId="29">
    <w:abstractNumId w:val="7"/>
  </w:num>
  <w:num w:numId="30">
    <w:abstractNumId w:val="21"/>
  </w:num>
  <w:num w:numId="31">
    <w:abstractNumId w:val="27"/>
  </w:num>
  <w:num w:numId="32">
    <w:abstractNumId w:val="15"/>
  </w:num>
  <w:num w:numId="33">
    <w:abstractNumId w:val="23"/>
  </w:num>
  <w:num w:numId="34">
    <w:abstractNumId w:val="12"/>
  </w:num>
  <w:num w:numId="35">
    <w:abstractNumId w:val="29"/>
  </w:num>
  <w:num w:numId="3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hideSpellingErrors/>
  <w:proofState w:spelling="clean" w:grammar="clean"/>
  <w:doNotTrackFormattin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594"/>
    <w:rsid w:val="000006D8"/>
    <w:rsid w:val="00000790"/>
    <w:rsid w:val="0000110B"/>
    <w:rsid w:val="00001226"/>
    <w:rsid w:val="00001ECD"/>
    <w:rsid w:val="00001EEF"/>
    <w:rsid w:val="00003355"/>
    <w:rsid w:val="0000346D"/>
    <w:rsid w:val="0000347C"/>
    <w:rsid w:val="00003499"/>
    <w:rsid w:val="000039B7"/>
    <w:rsid w:val="00003FBD"/>
    <w:rsid w:val="000049D3"/>
    <w:rsid w:val="00004C6F"/>
    <w:rsid w:val="000054CD"/>
    <w:rsid w:val="00006B24"/>
    <w:rsid w:val="00010DD3"/>
    <w:rsid w:val="000119B4"/>
    <w:rsid w:val="00013247"/>
    <w:rsid w:val="000132A1"/>
    <w:rsid w:val="000152BF"/>
    <w:rsid w:val="00015886"/>
    <w:rsid w:val="000162EF"/>
    <w:rsid w:val="00017CD1"/>
    <w:rsid w:val="0002049A"/>
    <w:rsid w:val="0002140B"/>
    <w:rsid w:val="0002225F"/>
    <w:rsid w:val="0002233C"/>
    <w:rsid w:val="000226D8"/>
    <w:rsid w:val="00023763"/>
    <w:rsid w:val="00023E38"/>
    <w:rsid w:val="000249AB"/>
    <w:rsid w:val="00024AFB"/>
    <w:rsid w:val="00024F47"/>
    <w:rsid w:val="0002535A"/>
    <w:rsid w:val="00025B3B"/>
    <w:rsid w:val="00025C51"/>
    <w:rsid w:val="000261D8"/>
    <w:rsid w:val="00026466"/>
    <w:rsid w:val="0002648C"/>
    <w:rsid w:val="00026CC3"/>
    <w:rsid w:val="00026F3B"/>
    <w:rsid w:val="000277D4"/>
    <w:rsid w:val="000277D7"/>
    <w:rsid w:val="00030322"/>
    <w:rsid w:val="00030601"/>
    <w:rsid w:val="0003109C"/>
    <w:rsid w:val="000310E8"/>
    <w:rsid w:val="00031550"/>
    <w:rsid w:val="00031D63"/>
    <w:rsid w:val="00032E57"/>
    <w:rsid w:val="00033863"/>
    <w:rsid w:val="000341E9"/>
    <w:rsid w:val="000354AC"/>
    <w:rsid w:val="00035DC0"/>
    <w:rsid w:val="000361DD"/>
    <w:rsid w:val="0003646A"/>
    <w:rsid w:val="00036829"/>
    <w:rsid w:val="000368A3"/>
    <w:rsid w:val="0003790B"/>
    <w:rsid w:val="00037C77"/>
    <w:rsid w:val="00040895"/>
    <w:rsid w:val="00040BBF"/>
    <w:rsid w:val="00040C08"/>
    <w:rsid w:val="00040C62"/>
    <w:rsid w:val="0004214C"/>
    <w:rsid w:val="00042969"/>
    <w:rsid w:val="00043958"/>
    <w:rsid w:val="00043C37"/>
    <w:rsid w:val="00044A05"/>
    <w:rsid w:val="00045017"/>
    <w:rsid w:val="000451FC"/>
    <w:rsid w:val="00045205"/>
    <w:rsid w:val="00045A2B"/>
    <w:rsid w:val="00045CA3"/>
    <w:rsid w:val="000463B6"/>
    <w:rsid w:val="0004698F"/>
    <w:rsid w:val="00047264"/>
    <w:rsid w:val="00047385"/>
    <w:rsid w:val="00047C32"/>
    <w:rsid w:val="000506B5"/>
    <w:rsid w:val="0005078F"/>
    <w:rsid w:val="000510B6"/>
    <w:rsid w:val="0005112D"/>
    <w:rsid w:val="00051C45"/>
    <w:rsid w:val="00051F2E"/>
    <w:rsid w:val="00051F4D"/>
    <w:rsid w:val="000520BF"/>
    <w:rsid w:val="0005295B"/>
    <w:rsid w:val="000532DC"/>
    <w:rsid w:val="000539D0"/>
    <w:rsid w:val="000543E2"/>
    <w:rsid w:val="00054452"/>
    <w:rsid w:val="00054621"/>
    <w:rsid w:val="000546D7"/>
    <w:rsid w:val="000559F9"/>
    <w:rsid w:val="00055A22"/>
    <w:rsid w:val="00055EDE"/>
    <w:rsid w:val="0005742B"/>
    <w:rsid w:val="00061621"/>
    <w:rsid w:val="00061846"/>
    <w:rsid w:val="00061C4C"/>
    <w:rsid w:val="000634F0"/>
    <w:rsid w:val="00066360"/>
    <w:rsid w:val="0006743F"/>
    <w:rsid w:val="00070BAA"/>
    <w:rsid w:val="00070DFF"/>
    <w:rsid w:val="00071248"/>
    <w:rsid w:val="00071CDB"/>
    <w:rsid w:val="00071E0D"/>
    <w:rsid w:val="000720B9"/>
    <w:rsid w:val="00072A4A"/>
    <w:rsid w:val="000737F7"/>
    <w:rsid w:val="00073C60"/>
    <w:rsid w:val="0007672F"/>
    <w:rsid w:val="00076757"/>
    <w:rsid w:val="000774F0"/>
    <w:rsid w:val="00080742"/>
    <w:rsid w:val="000808DB"/>
    <w:rsid w:val="00080909"/>
    <w:rsid w:val="000812CA"/>
    <w:rsid w:val="00081591"/>
    <w:rsid w:val="0008258D"/>
    <w:rsid w:val="00083B1E"/>
    <w:rsid w:val="00083E99"/>
    <w:rsid w:val="000845D0"/>
    <w:rsid w:val="000856BE"/>
    <w:rsid w:val="000856C5"/>
    <w:rsid w:val="000861E5"/>
    <w:rsid w:val="00086DCC"/>
    <w:rsid w:val="00090C7E"/>
    <w:rsid w:val="00090DA9"/>
    <w:rsid w:val="000922D2"/>
    <w:rsid w:val="00092600"/>
    <w:rsid w:val="0009262B"/>
    <w:rsid w:val="0009327D"/>
    <w:rsid w:val="00093310"/>
    <w:rsid w:val="00093DDF"/>
    <w:rsid w:val="00094255"/>
    <w:rsid w:val="0009445C"/>
    <w:rsid w:val="000945F5"/>
    <w:rsid w:val="000946AB"/>
    <w:rsid w:val="0009475E"/>
    <w:rsid w:val="0009488B"/>
    <w:rsid w:val="000958DC"/>
    <w:rsid w:val="00095FE5"/>
    <w:rsid w:val="00096284"/>
    <w:rsid w:val="00096C95"/>
    <w:rsid w:val="00096DF8"/>
    <w:rsid w:val="00097528"/>
    <w:rsid w:val="000A174D"/>
    <w:rsid w:val="000A2DED"/>
    <w:rsid w:val="000A31CD"/>
    <w:rsid w:val="000A3265"/>
    <w:rsid w:val="000A34C4"/>
    <w:rsid w:val="000A4642"/>
    <w:rsid w:val="000A62ED"/>
    <w:rsid w:val="000A7A6C"/>
    <w:rsid w:val="000A7AB5"/>
    <w:rsid w:val="000A7D08"/>
    <w:rsid w:val="000B0670"/>
    <w:rsid w:val="000B0E75"/>
    <w:rsid w:val="000B14AD"/>
    <w:rsid w:val="000B166A"/>
    <w:rsid w:val="000B1CCB"/>
    <w:rsid w:val="000B1E6A"/>
    <w:rsid w:val="000B21B5"/>
    <w:rsid w:val="000B3B60"/>
    <w:rsid w:val="000B4051"/>
    <w:rsid w:val="000B421F"/>
    <w:rsid w:val="000B424D"/>
    <w:rsid w:val="000B42FD"/>
    <w:rsid w:val="000B450B"/>
    <w:rsid w:val="000B462F"/>
    <w:rsid w:val="000B59EE"/>
    <w:rsid w:val="000B6C44"/>
    <w:rsid w:val="000B6CAC"/>
    <w:rsid w:val="000B6F88"/>
    <w:rsid w:val="000B709D"/>
    <w:rsid w:val="000B71DC"/>
    <w:rsid w:val="000B7612"/>
    <w:rsid w:val="000C0C5A"/>
    <w:rsid w:val="000C1637"/>
    <w:rsid w:val="000C1FDF"/>
    <w:rsid w:val="000C27B8"/>
    <w:rsid w:val="000C3DF9"/>
    <w:rsid w:val="000C471E"/>
    <w:rsid w:val="000C4A1F"/>
    <w:rsid w:val="000C4FD6"/>
    <w:rsid w:val="000C5E4F"/>
    <w:rsid w:val="000C6713"/>
    <w:rsid w:val="000C70DF"/>
    <w:rsid w:val="000D0797"/>
    <w:rsid w:val="000D0A75"/>
    <w:rsid w:val="000D0E2F"/>
    <w:rsid w:val="000D1BFC"/>
    <w:rsid w:val="000D22EF"/>
    <w:rsid w:val="000D281A"/>
    <w:rsid w:val="000D326A"/>
    <w:rsid w:val="000D33A8"/>
    <w:rsid w:val="000D3E02"/>
    <w:rsid w:val="000D49B6"/>
    <w:rsid w:val="000D51FB"/>
    <w:rsid w:val="000D6905"/>
    <w:rsid w:val="000D72EF"/>
    <w:rsid w:val="000E08B7"/>
    <w:rsid w:val="000E0E5E"/>
    <w:rsid w:val="000E135D"/>
    <w:rsid w:val="000E19F2"/>
    <w:rsid w:val="000E21EE"/>
    <w:rsid w:val="000E3145"/>
    <w:rsid w:val="000E39C4"/>
    <w:rsid w:val="000E3E5B"/>
    <w:rsid w:val="000E4FA0"/>
    <w:rsid w:val="000E5017"/>
    <w:rsid w:val="000E5041"/>
    <w:rsid w:val="000E51FC"/>
    <w:rsid w:val="000E7231"/>
    <w:rsid w:val="000F00BA"/>
    <w:rsid w:val="000F09F4"/>
    <w:rsid w:val="000F2F1F"/>
    <w:rsid w:val="000F316A"/>
    <w:rsid w:val="000F3B97"/>
    <w:rsid w:val="000F3C74"/>
    <w:rsid w:val="000F4411"/>
    <w:rsid w:val="000F4A07"/>
    <w:rsid w:val="000F4BB8"/>
    <w:rsid w:val="000F52CA"/>
    <w:rsid w:val="000F66DE"/>
    <w:rsid w:val="000F6ED2"/>
    <w:rsid w:val="000F7127"/>
    <w:rsid w:val="00100C6A"/>
    <w:rsid w:val="00100F8A"/>
    <w:rsid w:val="00101798"/>
    <w:rsid w:val="00102B89"/>
    <w:rsid w:val="001038AA"/>
    <w:rsid w:val="00103DC0"/>
    <w:rsid w:val="0010474C"/>
    <w:rsid w:val="001047A5"/>
    <w:rsid w:val="00104FCD"/>
    <w:rsid w:val="001053CF"/>
    <w:rsid w:val="00105AE2"/>
    <w:rsid w:val="00105CE2"/>
    <w:rsid w:val="00106B80"/>
    <w:rsid w:val="00106D3E"/>
    <w:rsid w:val="00106FB6"/>
    <w:rsid w:val="0010727E"/>
    <w:rsid w:val="00110205"/>
    <w:rsid w:val="0011032E"/>
    <w:rsid w:val="00111B61"/>
    <w:rsid w:val="00111B77"/>
    <w:rsid w:val="00112C49"/>
    <w:rsid w:val="0011348B"/>
    <w:rsid w:val="00115982"/>
    <w:rsid w:val="0011654E"/>
    <w:rsid w:val="00116C53"/>
    <w:rsid w:val="00117BE3"/>
    <w:rsid w:val="0012152D"/>
    <w:rsid w:val="0012160B"/>
    <w:rsid w:val="00121799"/>
    <w:rsid w:val="001222FC"/>
    <w:rsid w:val="001225B4"/>
    <w:rsid w:val="00122E18"/>
    <w:rsid w:val="00123E0F"/>
    <w:rsid w:val="00123F41"/>
    <w:rsid w:val="0012426E"/>
    <w:rsid w:val="00124A51"/>
    <w:rsid w:val="00124FFB"/>
    <w:rsid w:val="00126007"/>
    <w:rsid w:val="00126621"/>
    <w:rsid w:val="00126BF7"/>
    <w:rsid w:val="001274E0"/>
    <w:rsid w:val="0013004A"/>
    <w:rsid w:val="001301E9"/>
    <w:rsid w:val="00130ADA"/>
    <w:rsid w:val="001316C4"/>
    <w:rsid w:val="00131D82"/>
    <w:rsid w:val="0013246B"/>
    <w:rsid w:val="00133D36"/>
    <w:rsid w:val="00133DF8"/>
    <w:rsid w:val="00134344"/>
    <w:rsid w:val="00134D9A"/>
    <w:rsid w:val="0013512A"/>
    <w:rsid w:val="0013651F"/>
    <w:rsid w:val="00137645"/>
    <w:rsid w:val="001376CD"/>
    <w:rsid w:val="0014015A"/>
    <w:rsid w:val="00140E99"/>
    <w:rsid w:val="001417D6"/>
    <w:rsid w:val="00142D42"/>
    <w:rsid w:val="00142FFD"/>
    <w:rsid w:val="0014343A"/>
    <w:rsid w:val="0014351F"/>
    <w:rsid w:val="0014387B"/>
    <w:rsid w:val="00145225"/>
    <w:rsid w:val="001452BD"/>
    <w:rsid w:val="00145540"/>
    <w:rsid w:val="001456B0"/>
    <w:rsid w:val="00146106"/>
    <w:rsid w:val="00146496"/>
    <w:rsid w:val="00146BC5"/>
    <w:rsid w:val="00146BFB"/>
    <w:rsid w:val="00147666"/>
    <w:rsid w:val="0014792D"/>
    <w:rsid w:val="001505DF"/>
    <w:rsid w:val="00150FF6"/>
    <w:rsid w:val="00151EAA"/>
    <w:rsid w:val="00152304"/>
    <w:rsid w:val="001523F1"/>
    <w:rsid w:val="00152F29"/>
    <w:rsid w:val="00153B54"/>
    <w:rsid w:val="001559AE"/>
    <w:rsid w:val="0015626B"/>
    <w:rsid w:val="00156771"/>
    <w:rsid w:val="00157130"/>
    <w:rsid w:val="001576B1"/>
    <w:rsid w:val="001577A1"/>
    <w:rsid w:val="00160795"/>
    <w:rsid w:val="00160A40"/>
    <w:rsid w:val="00160A4C"/>
    <w:rsid w:val="00160D03"/>
    <w:rsid w:val="00161480"/>
    <w:rsid w:val="0016242B"/>
    <w:rsid w:val="001624A2"/>
    <w:rsid w:val="00162913"/>
    <w:rsid w:val="00162DDD"/>
    <w:rsid w:val="00163944"/>
    <w:rsid w:val="00163C8D"/>
    <w:rsid w:val="00163EFF"/>
    <w:rsid w:val="001640E9"/>
    <w:rsid w:val="0016460C"/>
    <w:rsid w:val="00164E6D"/>
    <w:rsid w:val="001656F4"/>
    <w:rsid w:val="00165BDF"/>
    <w:rsid w:val="001661FB"/>
    <w:rsid w:val="00167B0D"/>
    <w:rsid w:val="001707EF"/>
    <w:rsid w:val="00170D2E"/>
    <w:rsid w:val="00173565"/>
    <w:rsid w:val="00173762"/>
    <w:rsid w:val="00173B07"/>
    <w:rsid w:val="00173E04"/>
    <w:rsid w:val="00173E7B"/>
    <w:rsid w:val="00174184"/>
    <w:rsid w:val="00175425"/>
    <w:rsid w:val="001801A9"/>
    <w:rsid w:val="001801C5"/>
    <w:rsid w:val="00180B3D"/>
    <w:rsid w:val="001812CC"/>
    <w:rsid w:val="00181CE4"/>
    <w:rsid w:val="00181D9C"/>
    <w:rsid w:val="00182ACF"/>
    <w:rsid w:val="00182D35"/>
    <w:rsid w:val="001845C2"/>
    <w:rsid w:val="00185ECF"/>
    <w:rsid w:val="001861AA"/>
    <w:rsid w:val="00186A48"/>
    <w:rsid w:val="0018752F"/>
    <w:rsid w:val="00190D37"/>
    <w:rsid w:val="00190E50"/>
    <w:rsid w:val="00192150"/>
    <w:rsid w:val="00193057"/>
    <w:rsid w:val="00193755"/>
    <w:rsid w:val="00194113"/>
    <w:rsid w:val="00194310"/>
    <w:rsid w:val="00194CD9"/>
    <w:rsid w:val="0019512D"/>
    <w:rsid w:val="00195222"/>
    <w:rsid w:val="0019691B"/>
    <w:rsid w:val="00197000"/>
    <w:rsid w:val="001974CC"/>
    <w:rsid w:val="001975D8"/>
    <w:rsid w:val="001A10AE"/>
    <w:rsid w:val="001A1610"/>
    <w:rsid w:val="001A2B43"/>
    <w:rsid w:val="001A302C"/>
    <w:rsid w:val="001A31AD"/>
    <w:rsid w:val="001A3C7E"/>
    <w:rsid w:val="001A43FA"/>
    <w:rsid w:val="001A4735"/>
    <w:rsid w:val="001A4CE3"/>
    <w:rsid w:val="001A4E91"/>
    <w:rsid w:val="001A59FB"/>
    <w:rsid w:val="001A5BA0"/>
    <w:rsid w:val="001A5F34"/>
    <w:rsid w:val="001A6354"/>
    <w:rsid w:val="001A646A"/>
    <w:rsid w:val="001A64C6"/>
    <w:rsid w:val="001A64F5"/>
    <w:rsid w:val="001A6872"/>
    <w:rsid w:val="001A7AE8"/>
    <w:rsid w:val="001B11B2"/>
    <w:rsid w:val="001B204E"/>
    <w:rsid w:val="001B2DB2"/>
    <w:rsid w:val="001B3118"/>
    <w:rsid w:val="001B33D1"/>
    <w:rsid w:val="001B3443"/>
    <w:rsid w:val="001B4475"/>
    <w:rsid w:val="001B4AC1"/>
    <w:rsid w:val="001B4D20"/>
    <w:rsid w:val="001B5BFF"/>
    <w:rsid w:val="001B5E6B"/>
    <w:rsid w:val="001B6016"/>
    <w:rsid w:val="001B6105"/>
    <w:rsid w:val="001B62B6"/>
    <w:rsid w:val="001B62BA"/>
    <w:rsid w:val="001B6B8E"/>
    <w:rsid w:val="001B6DFE"/>
    <w:rsid w:val="001B7485"/>
    <w:rsid w:val="001B7C4B"/>
    <w:rsid w:val="001C01FF"/>
    <w:rsid w:val="001C05D5"/>
    <w:rsid w:val="001C0B2A"/>
    <w:rsid w:val="001C1578"/>
    <w:rsid w:val="001C1FA6"/>
    <w:rsid w:val="001C2589"/>
    <w:rsid w:val="001C2A9B"/>
    <w:rsid w:val="001C4299"/>
    <w:rsid w:val="001C4FE0"/>
    <w:rsid w:val="001C5F94"/>
    <w:rsid w:val="001C6E66"/>
    <w:rsid w:val="001C7A55"/>
    <w:rsid w:val="001C7A5A"/>
    <w:rsid w:val="001D1AB0"/>
    <w:rsid w:val="001D5621"/>
    <w:rsid w:val="001D6312"/>
    <w:rsid w:val="001D6EF4"/>
    <w:rsid w:val="001D72D1"/>
    <w:rsid w:val="001E02F8"/>
    <w:rsid w:val="001E0A67"/>
    <w:rsid w:val="001E110E"/>
    <w:rsid w:val="001E1FC4"/>
    <w:rsid w:val="001E238E"/>
    <w:rsid w:val="001E2483"/>
    <w:rsid w:val="001E2B1E"/>
    <w:rsid w:val="001E30D4"/>
    <w:rsid w:val="001E52EB"/>
    <w:rsid w:val="001E5A3A"/>
    <w:rsid w:val="001E61D2"/>
    <w:rsid w:val="001E684A"/>
    <w:rsid w:val="001E740C"/>
    <w:rsid w:val="001E7609"/>
    <w:rsid w:val="001F067D"/>
    <w:rsid w:val="001F1235"/>
    <w:rsid w:val="001F173F"/>
    <w:rsid w:val="001F1CB3"/>
    <w:rsid w:val="001F259D"/>
    <w:rsid w:val="001F38B5"/>
    <w:rsid w:val="001F38FA"/>
    <w:rsid w:val="001F49E2"/>
    <w:rsid w:val="001F7361"/>
    <w:rsid w:val="001F7470"/>
    <w:rsid w:val="001F7857"/>
    <w:rsid w:val="001F7B7D"/>
    <w:rsid w:val="00200BC5"/>
    <w:rsid w:val="002011B0"/>
    <w:rsid w:val="0020301C"/>
    <w:rsid w:val="00203181"/>
    <w:rsid w:val="002034E2"/>
    <w:rsid w:val="00203783"/>
    <w:rsid w:val="0020385F"/>
    <w:rsid w:val="00204AB7"/>
    <w:rsid w:val="0020567E"/>
    <w:rsid w:val="002058D5"/>
    <w:rsid w:val="00206E57"/>
    <w:rsid w:val="00207021"/>
    <w:rsid w:val="00207155"/>
    <w:rsid w:val="0020732F"/>
    <w:rsid w:val="00207D00"/>
    <w:rsid w:val="002105C1"/>
    <w:rsid w:val="00210FBC"/>
    <w:rsid w:val="002130B4"/>
    <w:rsid w:val="00213A15"/>
    <w:rsid w:val="00214AC0"/>
    <w:rsid w:val="00214EDA"/>
    <w:rsid w:val="00214F6C"/>
    <w:rsid w:val="00215D5C"/>
    <w:rsid w:val="00216435"/>
    <w:rsid w:val="00220645"/>
    <w:rsid w:val="002207A4"/>
    <w:rsid w:val="0022101F"/>
    <w:rsid w:val="00221D43"/>
    <w:rsid w:val="00221FD8"/>
    <w:rsid w:val="00223596"/>
    <w:rsid w:val="002239A5"/>
    <w:rsid w:val="00223B49"/>
    <w:rsid w:val="00224DD4"/>
    <w:rsid w:val="0022545C"/>
    <w:rsid w:val="00225FB9"/>
    <w:rsid w:val="00226A29"/>
    <w:rsid w:val="00227C82"/>
    <w:rsid w:val="00227EAC"/>
    <w:rsid w:val="002302CA"/>
    <w:rsid w:val="0023088A"/>
    <w:rsid w:val="002309CC"/>
    <w:rsid w:val="0023109F"/>
    <w:rsid w:val="002311AE"/>
    <w:rsid w:val="0023209F"/>
    <w:rsid w:val="00233198"/>
    <w:rsid w:val="00234162"/>
    <w:rsid w:val="0023459F"/>
    <w:rsid w:val="002346B6"/>
    <w:rsid w:val="00235770"/>
    <w:rsid w:val="0023629D"/>
    <w:rsid w:val="002366DE"/>
    <w:rsid w:val="00236D6E"/>
    <w:rsid w:val="00237040"/>
    <w:rsid w:val="00237255"/>
    <w:rsid w:val="00237CE6"/>
    <w:rsid w:val="00241C91"/>
    <w:rsid w:val="002424AF"/>
    <w:rsid w:val="00242F52"/>
    <w:rsid w:val="002439DC"/>
    <w:rsid w:val="00244672"/>
    <w:rsid w:val="00244DC8"/>
    <w:rsid w:val="00245613"/>
    <w:rsid w:val="002458BA"/>
    <w:rsid w:val="0024612F"/>
    <w:rsid w:val="0024636C"/>
    <w:rsid w:val="00246573"/>
    <w:rsid w:val="002469AA"/>
    <w:rsid w:val="00247679"/>
    <w:rsid w:val="00247925"/>
    <w:rsid w:val="00247A77"/>
    <w:rsid w:val="00250574"/>
    <w:rsid w:val="00250849"/>
    <w:rsid w:val="0025209E"/>
    <w:rsid w:val="00252C48"/>
    <w:rsid w:val="00252EFC"/>
    <w:rsid w:val="002534AE"/>
    <w:rsid w:val="00254BA9"/>
    <w:rsid w:val="00254DCF"/>
    <w:rsid w:val="0025534B"/>
    <w:rsid w:val="00255494"/>
    <w:rsid w:val="00255BB7"/>
    <w:rsid w:val="00255EF1"/>
    <w:rsid w:val="00257541"/>
    <w:rsid w:val="00261509"/>
    <w:rsid w:val="00261B49"/>
    <w:rsid w:val="00261BEE"/>
    <w:rsid w:val="00261F71"/>
    <w:rsid w:val="002621E2"/>
    <w:rsid w:val="002625C5"/>
    <w:rsid w:val="00262A1A"/>
    <w:rsid w:val="00262A87"/>
    <w:rsid w:val="00262D3D"/>
    <w:rsid w:val="0026429A"/>
    <w:rsid w:val="00264D26"/>
    <w:rsid w:val="0026503D"/>
    <w:rsid w:val="002663E3"/>
    <w:rsid w:val="00267453"/>
    <w:rsid w:val="00267642"/>
    <w:rsid w:val="00267AEA"/>
    <w:rsid w:val="00267F12"/>
    <w:rsid w:val="002700E6"/>
    <w:rsid w:val="002711C1"/>
    <w:rsid w:val="0027294B"/>
    <w:rsid w:val="00273676"/>
    <w:rsid w:val="00274FB1"/>
    <w:rsid w:val="00275C5A"/>
    <w:rsid w:val="00275EB9"/>
    <w:rsid w:val="00276B3D"/>
    <w:rsid w:val="00281014"/>
    <w:rsid w:val="0028192B"/>
    <w:rsid w:val="00281BCF"/>
    <w:rsid w:val="00281C01"/>
    <w:rsid w:val="00281F05"/>
    <w:rsid w:val="00283849"/>
    <w:rsid w:val="00283C57"/>
    <w:rsid w:val="00284C42"/>
    <w:rsid w:val="002850D9"/>
    <w:rsid w:val="0028513F"/>
    <w:rsid w:val="002856F5"/>
    <w:rsid w:val="00287011"/>
    <w:rsid w:val="002870E0"/>
    <w:rsid w:val="002903F5"/>
    <w:rsid w:val="00290459"/>
    <w:rsid w:val="00290A45"/>
    <w:rsid w:val="0029189D"/>
    <w:rsid w:val="0029205D"/>
    <w:rsid w:val="0029256C"/>
    <w:rsid w:val="0029403A"/>
    <w:rsid w:val="002943BC"/>
    <w:rsid w:val="002945F7"/>
    <w:rsid w:val="0029614A"/>
    <w:rsid w:val="00296317"/>
    <w:rsid w:val="00296A39"/>
    <w:rsid w:val="002970A9"/>
    <w:rsid w:val="00297202"/>
    <w:rsid w:val="002A0AB0"/>
    <w:rsid w:val="002A0E52"/>
    <w:rsid w:val="002A1352"/>
    <w:rsid w:val="002A14AB"/>
    <w:rsid w:val="002A1F7B"/>
    <w:rsid w:val="002A25B8"/>
    <w:rsid w:val="002A2C86"/>
    <w:rsid w:val="002A2F50"/>
    <w:rsid w:val="002A3DED"/>
    <w:rsid w:val="002A4A2D"/>
    <w:rsid w:val="002A514E"/>
    <w:rsid w:val="002A5995"/>
    <w:rsid w:val="002A63EC"/>
    <w:rsid w:val="002A6AF3"/>
    <w:rsid w:val="002A7D1F"/>
    <w:rsid w:val="002B00D0"/>
    <w:rsid w:val="002B09A4"/>
    <w:rsid w:val="002B0AE8"/>
    <w:rsid w:val="002B1B28"/>
    <w:rsid w:val="002B1C1F"/>
    <w:rsid w:val="002B32A6"/>
    <w:rsid w:val="002B3D9E"/>
    <w:rsid w:val="002B3DC2"/>
    <w:rsid w:val="002B3F55"/>
    <w:rsid w:val="002B432F"/>
    <w:rsid w:val="002B4DA3"/>
    <w:rsid w:val="002B5658"/>
    <w:rsid w:val="002B5CCD"/>
    <w:rsid w:val="002B62B3"/>
    <w:rsid w:val="002B6754"/>
    <w:rsid w:val="002B6CCE"/>
    <w:rsid w:val="002B7241"/>
    <w:rsid w:val="002C0510"/>
    <w:rsid w:val="002C1213"/>
    <w:rsid w:val="002C2510"/>
    <w:rsid w:val="002C2775"/>
    <w:rsid w:val="002C27C1"/>
    <w:rsid w:val="002C3373"/>
    <w:rsid w:val="002C466D"/>
    <w:rsid w:val="002C4931"/>
    <w:rsid w:val="002C5099"/>
    <w:rsid w:val="002C52BE"/>
    <w:rsid w:val="002C5889"/>
    <w:rsid w:val="002C5F1F"/>
    <w:rsid w:val="002C67E3"/>
    <w:rsid w:val="002C71CE"/>
    <w:rsid w:val="002C757C"/>
    <w:rsid w:val="002C7A17"/>
    <w:rsid w:val="002D02BB"/>
    <w:rsid w:val="002D0934"/>
    <w:rsid w:val="002D1042"/>
    <w:rsid w:val="002D1418"/>
    <w:rsid w:val="002D1B66"/>
    <w:rsid w:val="002D425A"/>
    <w:rsid w:val="002D577C"/>
    <w:rsid w:val="002D59BA"/>
    <w:rsid w:val="002D67CA"/>
    <w:rsid w:val="002D74C1"/>
    <w:rsid w:val="002E15B9"/>
    <w:rsid w:val="002E2158"/>
    <w:rsid w:val="002E2F5D"/>
    <w:rsid w:val="002E3193"/>
    <w:rsid w:val="002E32CE"/>
    <w:rsid w:val="002E3D23"/>
    <w:rsid w:val="002E3FE9"/>
    <w:rsid w:val="002E416E"/>
    <w:rsid w:val="002E433D"/>
    <w:rsid w:val="002E467A"/>
    <w:rsid w:val="002E5390"/>
    <w:rsid w:val="002E583B"/>
    <w:rsid w:val="002E65B4"/>
    <w:rsid w:val="002E7377"/>
    <w:rsid w:val="002E7722"/>
    <w:rsid w:val="002F07BA"/>
    <w:rsid w:val="002F0A8B"/>
    <w:rsid w:val="002F0D63"/>
    <w:rsid w:val="002F0DA9"/>
    <w:rsid w:val="002F10F9"/>
    <w:rsid w:val="002F21AF"/>
    <w:rsid w:val="002F2909"/>
    <w:rsid w:val="002F2ABF"/>
    <w:rsid w:val="002F50BF"/>
    <w:rsid w:val="002F55CB"/>
    <w:rsid w:val="002F5905"/>
    <w:rsid w:val="002F643C"/>
    <w:rsid w:val="002F6C91"/>
    <w:rsid w:val="002F6CCE"/>
    <w:rsid w:val="002F71C0"/>
    <w:rsid w:val="00300B83"/>
    <w:rsid w:val="00300D5E"/>
    <w:rsid w:val="00301017"/>
    <w:rsid w:val="0030155F"/>
    <w:rsid w:val="00301C0D"/>
    <w:rsid w:val="00301CCB"/>
    <w:rsid w:val="003024C3"/>
    <w:rsid w:val="003046A0"/>
    <w:rsid w:val="00304861"/>
    <w:rsid w:val="0030587B"/>
    <w:rsid w:val="00305937"/>
    <w:rsid w:val="00306193"/>
    <w:rsid w:val="00306D98"/>
    <w:rsid w:val="0030707B"/>
    <w:rsid w:val="0030786C"/>
    <w:rsid w:val="00307D74"/>
    <w:rsid w:val="00310305"/>
    <w:rsid w:val="0031031A"/>
    <w:rsid w:val="003107D6"/>
    <w:rsid w:val="00310981"/>
    <w:rsid w:val="003126D2"/>
    <w:rsid w:val="00312AB7"/>
    <w:rsid w:val="00313B11"/>
    <w:rsid w:val="00315498"/>
    <w:rsid w:val="00316A8D"/>
    <w:rsid w:val="003203A1"/>
    <w:rsid w:val="0032046C"/>
    <w:rsid w:val="003207A2"/>
    <w:rsid w:val="00322107"/>
    <w:rsid w:val="00322846"/>
    <w:rsid w:val="00322B90"/>
    <w:rsid w:val="00324549"/>
    <w:rsid w:val="00324D6E"/>
    <w:rsid w:val="003265EA"/>
    <w:rsid w:val="003269C1"/>
    <w:rsid w:val="00326DA7"/>
    <w:rsid w:val="003270E4"/>
    <w:rsid w:val="00330F5C"/>
    <w:rsid w:val="00332703"/>
    <w:rsid w:val="0033295A"/>
    <w:rsid w:val="00332C96"/>
    <w:rsid w:val="003341F7"/>
    <w:rsid w:val="00334FE8"/>
    <w:rsid w:val="003366C9"/>
    <w:rsid w:val="00336DC3"/>
    <w:rsid w:val="003371B0"/>
    <w:rsid w:val="0033751A"/>
    <w:rsid w:val="0034014A"/>
    <w:rsid w:val="003404FD"/>
    <w:rsid w:val="00340DF1"/>
    <w:rsid w:val="0034216A"/>
    <w:rsid w:val="00342FD7"/>
    <w:rsid w:val="00343723"/>
    <w:rsid w:val="00344C4E"/>
    <w:rsid w:val="003451FC"/>
    <w:rsid w:val="00345F21"/>
    <w:rsid w:val="00346264"/>
    <w:rsid w:val="00347732"/>
    <w:rsid w:val="0035006C"/>
    <w:rsid w:val="003502EC"/>
    <w:rsid w:val="003517F9"/>
    <w:rsid w:val="00351CF5"/>
    <w:rsid w:val="0035245F"/>
    <w:rsid w:val="00352E96"/>
    <w:rsid w:val="003539FB"/>
    <w:rsid w:val="003542AE"/>
    <w:rsid w:val="0035450F"/>
    <w:rsid w:val="00354692"/>
    <w:rsid w:val="003552C6"/>
    <w:rsid w:val="00355A1B"/>
    <w:rsid w:val="00355AC4"/>
    <w:rsid w:val="0035620E"/>
    <w:rsid w:val="003575B8"/>
    <w:rsid w:val="0036083D"/>
    <w:rsid w:val="00360DA9"/>
    <w:rsid w:val="00361A21"/>
    <w:rsid w:val="00361AA9"/>
    <w:rsid w:val="003624C4"/>
    <w:rsid w:val="0036291E"/>
    <w:rsid w:val="00362E2A"/>
    <w:rsid w:val="003642F1"/>
    <w:rsid w:val="00364654"/>
    <w:rsid w:val="003654AC"/>
    <w:rsid w:val="00365BBF"/>
    <w:rsid w:val="003661C6"/>
    <w:rsid w:val="00366BB5"/>
    <w:rsid w:val="00370AD5"/>
    <w:rsid w:val="003710CF"/>
    <w:rsid w:val="003717BC"/>
    <w:rsid w:val="003729B3"/>
    <w:rsid w:val="00372ADE"/>
    <w:rsid w:val="0037358A"/>
    <w:rsid w:val="00373A37"/>
    <w:rsid w:val="00373B40"/>
    <w:rsid w:val="0037439E"/>
    <w:rsid w:val="003750F6"/>
    <w:rsid w:val="003760FC"/>
    <w:rsid w:val="003764CE"/>
    <w:rsid w:val="003773C3"/>
    <w:rsid w:val="00377BA8"/>
    <w:rsid w:val="00377F67"/>
    <w:rsid w:val="00380223"/>
    <w:rsid w:val="003803B5"/>
    <w:rsid w:val="00380F8A"/>
    <w:rsid w:val="00382D39"/>
    <w:rsid w:val="0038365C"/>
    <w:rsid w:val="0038369B"/>
    <w:rsid w:val="00383B78"/>
    <w:rsid w:val="00383FD5"/>
    <w:rsid w:val="00384643"/>
    <w:rsid w:val="00385A9D"/>
    <w:rsid w:val="003902B1"/>
    <w:rsid w:val="0039045B"/>
    <w:rsid w:val="00391485"/>
    <w:rsid w:val="00391523"/>
    <w:rsid w:val="00391529"/>
    <w:rsid w:val="00391DB7"/>
    <w:rsid w:val="003927CC"/>
    <w:rsid w:val="00395475"/>
    <w:rsid w:val="00396896"/>
    <w:rsid w:val="00396FD0"/>
    <w:rsid w:val="003A13F7"/>
    <w:rsid w:val="003A1A1C"/>
    <w:rsid w:val="003A1A7A"/>
    <w:rsid w:val="003A2392"/>
    <w:rsid w:val="003A27A5"/>
    <w:rsid w:val="003A2806"/>
    <w:rsid w:val="003A2831"/>
    <w:rsid w:val="003A2A79"/>
    <w:rsid w:val="003A3ED1"/>
    <w:rsid w:val="003A4628"/>
    <w:rsid w:val="003A5470"/>
    <w:rsid w:val="003A566F"/>
    <w:rsid w:val="003A6635"/>
    <w:rsid w:val="003A76BF"/>
    <w:rsid w:val="003A77E6"/>
    <w:rsid w:val="003B07BE"/>
    <w:rsid w:val="003B0990"/>
    <w:rsid w:val="003B0A0F"/>
    <w:rsid w:val="003B0CCD"/>
    <w:rsid w:val="003B3010"/>
    <w:rsid w:val="003B357B"/>
    <w:rsid w:val="003B472C"/>
    <w:rsid w:val="003B4DEE"/>
    <w:rsid w:val="003B571C"/>
    <w:rsid w:val="003B59AD"/>
    <w:rsid w:val="003B5B61"/>
    <w:rsid w:val="003B6F54"/>
    <w:rsid w:val="003B7CED"/>
    <w:rsid w:val="003B7E2E"/>
    <w:rsid w:val="003C0624"/>
    <w:rsid w:val="003C115D"/>
    <w:rsid w:val="003C1654"/>
    <w:rsid w:val="003C17BE"/>
    <w:rsid w:val="003C1892"/>
    <w:rsid w:val="003C1A96"/>
    <w:rsid w:val="003C22F8"/>
    <w:rsid w:val="003C2A4D"/>
    <w:rsid w:val="003C4F7C"/>
    <w:rsid w:val="003C4FF6"/>
    <w:rsid w:val="003C530C"/>
    <w:rsid w:val="003C56A7"/>
    <w:rsid w:val="003C6E37"/>
    <w:rsid w:val="003C7D19"/>
    <w:rsid w:val="003D016E"/>
    <w:rsid w:val="003D1828"/>
    <w:rsid w:val="003D1981"/>
    <w:rsid w:val="003D1B11"/>
    <w:rsid w:val="003D1DE4"/>
    <w:rsid w:val="003D1F9D"/>
    <w:rsid w:val="003D2368"/>
    <w:rsid w:val="003D2422"/>
    <w:rsid w:val="003D291E"/>
    <w:rsid w:val="003D2CF3"/>
    <w:rsid w:val="003D32EC"/>
    <w:rsid w:val="003D385C"/>
    <w:rsid w:val="003D39A1"/>
    <w:rsid w:val="003D3FBF"/>
    <w:rsid w:val="003D41C5"/>
    <w:rsid w:val="003D48B3"/>
    <w:rsid w:val="003D4A30"/>
    <w:rsid w:val="003D51C1"/>
    <w:rsid w:val="003D555D"/>
    <w:rsid w:val="003D79BB"/>
    <w:rsid w:val="003D7C98"/>
    <w:rsid w:val="003D7ECF"/>
    <w:rsid w:val="003D7F74"/>
    <w:rsid w:val="003E0543"/>
    <w:rsid w:val="003E158B"/>
    <w:rsid w:val="003E2750"/>
    <w:rsid w:val="003E2C6F"/>
    <w:rsid w:val="003E3936"/>
    <w:rsid w:val="003E3ADC"/>
    <w:rsid w:val="003E3E23"/>
    <w:rsid w:val="003E40AF"/>
    <w:rsid w:val="003E4C7B"/>
    <w:rsid w:val="003E4FB1"/>
    <w:rsid w:val="003E53B0"/>
    <w:rsid w:val="003E6CA3"/>
    <w:rsid w:val="003E7501"/>
    <w:rsid w:val="003F0CCF"/>
    <w:rsid w:val="003F0FB5"/>
    <w:rsid w:val="003F1209"/>
    <w:rsid w:val="003F14CD"/>
    <w:rsid w:val="003F1506"/>
    <w:rsid w:val="003F1B6B"/>
    <w:rsid w:val="003F258E"/>
    <w:rsid w:val="003F2A93"/>
    <w:rsid w:val="003F2C47"/>
    <w:rsid w:val="003F2FEC"/>
    <w:rsid w:val="003F4156"/>
    <w:rsid w:val="003F4DB4"/>
    <w:rsid w:val="003F551A"/>
    <w:rsid w:val="003F5F22"/>
    <w:rsid w:val="003F7A1B"/>
    <w:rsid w:val="00400B29"/>
    <w:rsid w:val="004012F0"/>
    <w:rsid w:val="004022CF"/>
    <w:rsid w:val="00402AF2"/>
    <w:rsid w:val="00403254"/>
    <w:rsid w:val="00404EC4"/>
    <w:rsid w:val="0040504B"/>
    <w:rsid w:val="004075FF"/>
    <w:rsid w:val="00410708"/>
    <w:rsid w:val="00410EC7"/>
    <w:rsid w:val="00411B39"/>
    <w:rsid w:val="00412A70"/>
    <w:rsid w:val="004130B6"/>
    <w:rsid w:val="004133D0"/>
    <w:rsid w:val="004134ED"/>
    <w:rsid w:val="0041364B"/>
    <w:rsid w:val="00413A07"/>
    <w:rsid w:val="00413A1E"/>
    <w:rsid w:val="00414340"/>
    <w:rsid w:val="00414476"/>
    <w:rsid w:val="004145AD"/>
    <w:rsid w:val="00414C2E"/>
    <w:rsid w:val="004151CF"/>
    <w:rsid w:val="0041537A"/>
    <w:rsid w:val="00416364"/>
    <w:rsid w:val="0041647B"/>
    <w:rsid w:val="00416757"/>
    <w:rsid w:val="00416764"/>
    <w:rsid w:val="00416B2D"/>
    <w:rsid w:val="00420AA6"/>
    <w:rsid w:val="00420AB3"/>
    <w:rsid w:val="00420B9F"/>
    <w:rsid w:val="00420DD0"/>
    <w:rsid w:val="00420F0E"/>
    <w:rsid w:val="00422260"/>
    <w:rsid w:val="0042413F"/>
    <w:rsid w:val="0042423F"/>
    <w:rsid w:val="004251D6"/>
    <w:rsid w:val="0042578E"/>
    <w:rsid w:val="00427201"/>
    <w:rsid w:val="00431307"/>
    <w:rsid w:val="004319F8"/>
    <w:rsid w:val="00431E55"/>
    <w:rsid w:val="004321F6"/>
    <w:rsid w:val="00433044"/>
    <w:rsid w:val="00434619"/>
    <w:rsid w:val="00434B0F"/>
    <w:rsid w:val="00435101"/>
    <w:rsid w:val="00435D30"/>
    <w:rsid w:val="00436542"/>
    <w:rsid w:val="004375B9"/>
    <w:rsid w:val="004375F6"/>
    <w:rsid w:val="00437D22"/>
    <w:rsid w:val="00440539"/>
    <w:rsid w:val="0044204F"/>
    <w:rsid w:val="004424D4"/>
    <w:rsid w:val="004428D0"/>
    <w:rsid w:val="00443838"/>
    <w:rsid w:val="00443961"/>
    <w:rsid w:val="004443A7"/>
    <w:rsid w:val="0044442C"/>
    <w:rsid w:val="00444E0F"/>
    <w:rsid w:val="00445291"/>
    <w:rsid w:val="00445941"/>
    <w:rsid w:val="004459A3"/>
    <w:rsid w:val="00445C39"/>
    <w:rsid w:val="00445CDD"/>
    <w:rsid w:val="00445FD8"/>
    <w:rsid w:val="004464EB"/>
    <w:rsid w:val="00446AE2"/>
    <w:rsid w:val="00447D26"/>
    <w:rsid w:val="00450223"/>
    <w:rsid w:val="004502A2"/>
    <w:rsid w:val="00450636"/>
    <w:rsid w:val="00450FB6"/>
    <w:rsid w:val="00451711"/>
    <w:rsid w:val="00451C60"/>
    <w:rsid w:val="00452DDD"/>
    <w:rsid w:val="00454811"/>
    <w:rsid w:val="0045490E"/>
    <w:rsid w:val="00455D45"/>
    <w:rsid w:val="0045619E"/>
    <w:rsid w:val="00456213"/>
    <w:rsid w:val="004563FE"/>
    <w:rsid w:val="004564A7"/>
    <w:rsid w:val="00456BE3"/>
    <w:rsid w:val="00457062"/>
    <w:rsid w:val="0045779A"/>
    <w:rsid w:val="00457CC3"/>
    <w:rsid w:val="0046043B"/>
    <w:rsid w:val="004605F2"/>
    <w:rsid w:val="00460C5C"/>
    <w:rsid w:val="00461251"/>
    <w:rsid w:val="00461791"/>
    <w:rsid w:val="00461ED1"/>
    <w:rsid w:val="00463BC4"/>
    <w:rsid w:val="00463EEB"/>
    <w:rsid w:val="00464595"/>
    <w:rsid w:val="00464912"/>
    <w:rsid w:val="00466E04"/>
    <w:rsid w:val="00467100"/>
    <w:rsid w:val="004673FD"/>
    <w:rsid w:val="00470478"/>
    <w:rsid w:val="004706A9"/>
    <w:rsid w:val="004706D2"/>
    <w:rsid w:val="004711E7"/>
    <w:rsid w:val="00472A79"/>
    <w:rsid w:val="00472B13"/>
    <w:rsid w:val="00472EC0"/>
    <w:rsid w:val="00473289"/>
    <w:rsid w:val="004732E4"/>
    <w:rsid w:val="00473BBD"/>
    <w:rsid w:val="00473BCA"/>
    <w:rsid w:val="00473F19"/>
    <w:rsid w:val="00474119"/>
    <w:rsid w:val="0047463B"/>
    <w:rsid w:val="00474817"/>
    <w:rsid w:val="00475390"/>
    <w:rsid w:val="00475737"/>
    <w:rsid w:val="00475852"/>
    <w:rsid w:val="00475C21"/>
    <w:rsid w:val="00475E22"/>
    <w:rsid w:val="00475E67"/>
    <w:rsid w:val="0047642B"/>
    <w:rsid w:val="0047654A"/>
    <w:rsid w:val="00476D1D"/>
    <w:rsid w:val="00476D60"/>
    <w:rsid w:val="00477815"/>
    <w:rsid w:val="0048088E"/>
    <w:rsid w:val="00482720"/>
    <w:rsid w:val="004828D0"/>
    <w:rsid w:val="004835E7"/>
    <w:rsid w:val="00484354"/>
    <w:rsid w:val="00485811"/>
    <w:rsid w:val="00486576"/>
    <w:rsid w:val="00486593"/>
    <w:rsid w:val="004867E2"/>
    <w:rsid w:val="00490C1E"/>
    <w:rsid w:val="00490C63"/>
    <w:rsid w:val="004917DB"/>
    <w:rsid w:val="00491B3A"/>
    <w:rsid w:val="0049267B"/>
    <w:rsid w:val="00492CFD"/>
    <w:rsid w:val="00493528"/>
    <w:rsid w:val="0049426E"/>
    <w:rsid w:val="00494D30"/>
    <w:rsid w:val="00494DCD"/>
    <w:rsid w:val="00494DD5"/>
    <w:rsid w:val="004959DD"/>
    <w:rsid w:val="00495CF6"/>
    <w:rsid w:val="00496278"/>
    <w:rsid w:val="004962D2"/>
    <w:rsid w:val="00496801"/>
    <w:rsid w:val="0049687A"/>
    <w:rsid w:val="004977AF"/>
    <w:rsid w:val="004A04AB"/>
    <w:rsid w:val="004A0538"/>
    <w:rsid w:val="004A086E"/>
    <w:rsid w:val="004A0BEF"/>
    <w:rsid w:val="004A0DA1"/>
    <w:rsid w:val="004A136F"/>
    <w:rsid w:val="004A1AC4"/>
    <w:rsid w:val="004A2BA0"/>
    <w:rsid w:val="004A3CA5"/>
    <w:rsid w:val="004A4416"/>
    <w:rsid w:val="004A47BD"/>
    <w:rsid w:val="004A4C4A"/>
    <w:rsid w:val="004A4D73"/>
    <w:rsid w:val="004A52E9"/>
    <w:rsid w:val="004A602B"/>
    <w:rsid w:val="004A6597"/>
    <w:rsid w:val="004A7848"/>
    <w:rsid w:val="004A7871"/>
    <w:rsid w:val="004B05B1"/>
    <w:rsid w:val="004B1C8B"/>
    <w:rsid w:val="004B1CB4"/>
    <w:rsid w:val="004B1FD0"/>
    <w:rsid w:val="004B21B1"/>
    <w:rsid w:val="004B23A7"/>
    <w:rsid w:val="004B2512"/>
    <w:rsid w:val="004B2C45"/>
    <w:rsid w:val="004B2F18"/>
    <w:rsid w:val="004B377E"/>
    <w:rsid w:val="004B3C89"/>
    <w:rsid w:val="004B3DDB"/>
    <w:rsid w:val="004B40C9"/>
    <w:rsid w:val="004B44FD"/>
    <w:rsid w:val="004B45B8"/>
    <w:rsid w:val="004B5CFC"/>
    <w:rsid w:val="004B5E69"/>
    <w:rsid w:val="004B5FE7"/>
    <w:rsid w:val="004B66DE"/>
    <w:rsid w:val="004B698E"/>
    <w:rsid w:val="004B6BB8"/>
    <w:rsid w:val="004B7689"/>
    <w:rsid w:val="004B774D"/>
    <w:rsid w:val="004B7957"/>
    <w:rsid w:val="004C38C9"/>
    <w:rsid w:val="004C3974"/>
    <w:rsid w:val="004C3AA3"/>
    <w:rsid w:val="004C3AC1"/>
    <w:rsid w:val="004C4AED"/>
    <w:rsid w:val="004C4F01"/>
    <w:rsid w:val="004C4FC5"/>
    <w:rsid w:val="004C5672"/>
    <w:rsid w:val="004C61EC"/>
    <w:rsid w:val="004D0247"/>
    <w:rsid w:val="004D09B7"/>
    <w:rsid w:val="004D10B2"/>
    <w:rsid w:val="004D2A81"/>
    <w:rsid w:val="004D2C2D"/>
    <w:rsid w:val="004D2E5F"/>
    <w:rsid w:val="004D3A7C"/>
    <w:rsid w:val="004D41A6"/>
    <w:rsid w:val="004D4ECA"/>
    <w:rsid w:val="004D7227"/>
    <w:rsid w:val="004D76F9"/>
    <w:rsid w:val="004E0E7F"/>
    <w:rsid w:val="004E0EB8"/>
    <w:rsid w:val="004E1066"/>
    <w:rsid w:val="004E2067"/>
    <w:rsid w:val="004E295D"/>
    <w:rsid w:val="004E29EB"/>
    <w:rsid w:val="004E2ADC"/>
    <w:rsid w:val="004E2F29"/>
    <w:rsid w:val="004E43B2"/>
    <w:rsid w:val="004E573D"/>
    <w:rsid w:val="004E67A8"/>
    <w:rsid w:val="004E6A97"/>
    <w:rsid w:val="004E7B69"/>
    <w:rsid w:val="004F042D"/>
    <w:rsid w:val="004F1D02"/>
    <w:rsid w:val="004F228D"/>
    <w:rsid w:val="004F2679"/>
    <w:rsid w:val="004F2701"/>
    <w:rsid w:val="004F2BF6"/>
    <w:rsid w:val="004F2E75"/>
    <w:rsid w:val="004F2F21"/>
    <w:rsid w:val="004F35DB"/>
    <w:rsid w:val="004F4A26"/>
    <w:rsid w:val="004F676E"/>
    <w:rsid w:val="004F67DD"/>
    <w:rsid w:val="004F6913"/>
    <w:rsid w:val="004F6E5A"/>
    <w:rsid w:val="004F6F4A"/>
    <w:rsid w:val="004F7865"/>
    <w:rsid w:val="004F7B52"/>
    <w:rsid w:val="004F7B7D"/>
    <w:rsid w:val="005006FE"/>
    <w:rsid w:val="00500934"/>
    <w:rsid w:val="00500EAC"/>
    <w:rsid w:val="005017EF"/>
    <w:rsid w:val="00501A8C"/>
    <w:rsid w:val="0050219B"/>
    <w:rsid w:val="00503451"/>
    <w:rsid w:val="00503F17"/>
    <w:rsid w:val="0050427F"/>
    <w:rsid w:val="00504434"/>
    <w:rsid w:val="00504A94"/>
    <w:rsid w:val="005066F1"/>
    <w:rsid w:val="00506928"/>
    <w:rsid w:val="005108CA"/>
    <w:rsid w:val="00511180"/>
    <w:rsid w:val="00513498"/>
    <w:rsid w:val="00513829"/>
    <w:rsid w:val="00513F16"/>
    <w:rsid w:val="0051440E"/>
    <w:rsid w:val="00514416"/>
    <w:rsid w:val="00514A96"/>
    <w:rsid w:val="005152B5"/>
    <w:rsid w:val="00515D9C"/>
    <w:rsid w:val="00517187"/>
    <w:rsid w:val="00517866"/>
    <w:rsid w:val="00517902"/>
    <w:rsid w:val="00521319"/>
    <w:rsid w:val="00521833"/>
    <w:rsid w:val="00521EC1"/>
    <w:rsid w:val="00522037"/>
    <w:rsid w:val="00522BC8"/>
    <w:rsid w:val="00523018"/>
    <w:rsid w:val="00523152"/>
    <w:rsid w:val="00523657"/>
    <w:rsid w:val="00523C28"/>
    <w:rsid w:val="005243BA"/>
    <w:rsid w:val="005246EE"/>
    <w:rsid w:val="00524C3D"/>
    <w:rsid w:val="00524E5A"/>
    <w:rsid w:val="00526DFA"/>
    <w:rsid w:val="005271F0"/>
    <w:rsid w:val="005302A0"/>
    <w:rsid w:val="00531BDA"/>
    <w:rsid w:val="00531C0A"/>
    <w:rsid w:val="00531C84"/>
    <w:rsid w:val="005339F9"/>
    <w:rsid w:val="00533A67"/>
    <w:rsid w:val="0053436B"/>
    <w:rsid w:val="005349F9"/>
    <w:rsid w:val="00536428"/>
    <w:rsid w:val="00536542"/>
    <w:rsid w:val="00536E21"/>
    <w:rsid w:val="00536F42"/>
    <w:rsid w:val="00537182"/>
    <w:rsid w:val="00537ACD"/>
    <w:rsid w:val="00540283"/>
    <w:rsid w:val="00541BAF"/>
    <w:rsid w:val="00541EDB"/>
    <w:rsid w:val="00542743"/>
    <w:rsid w:val="00542C2D"/>
    <w:rsid w:val="00542EED"/>
    <w:rsid w:val="00543E0C"/>
    <w:rsid w:val="00545222"/>
    <w:rsid w:val="00545EFC"/>
    <w:rsid w:val="00546C40"/>
    <w:rsid w:val="00547973"/>
    <w:rsid w:val="00551939"/>
    <w:rsid w:val="00551985"/>
    <w:rsid w:val="0055216A"/>
    <w:rsid w:val="00552275"/>
    <w:rsid w:val="005525B7"/>
    <w:rsid w:val="00552BD3"/>
    <w:rsid w:val="005544E2"/>
    <w:rsid w:val="00554EFB"/>
    <w:rsid w:val="00555109"/>
    <w:rsid w:val="00555B1E"/>
    <w:rsid w:val="00556074"/>
    <w:rsid w:val="00556900"/>
    <w:rsid w:val="00557857"/>
    <w:rsid w:val="00560052"/>
    <w:rsid w:val="00560553"/>
    <w:rsid w:val="00560AF4"/>
    <w:rsid w:val="00560D62"/>
    <w:rsid w:val="005614BA"/>
    <w:rsid w:val="00561DEC"/>
    <w:rsid w:val="005633B3"/>
    <w:rsid w:val="00563414"/>
    <w:rsid w:val="00565F2A"/>
    <w:rsid w:val="0056696F"/>
    <w:rsid w:val="00566EC7"/>
    <w:rsid w:val="00567FEE"/>
    <w:rsid w:val="0057032B"/>
    <w:rsid w:val="00570695"/>
    <w:rsid w:val="005709B0"/>
    <w:rsid w:val="005709E1"/>
    <w:rsid w:val="005718CC"/>
    <w:rsid w:val="00571EB4"/>
    <w:rsid w:val="00572269"/>
    <w:rsid w:val="0057244A"/>
    <w:rsid w:val="005734FE"/>
    <w:rsid w:val="0057544A"/>
    <w:rsid w:val="00575D8D"/>
    <w:rsid w:val="00576291"/>
    <w:rsid w:val="005765FB"/>
    <w:rsid w:val="005766AD"/>
    <w:rsid w:val="00576972"/>
    <w:rsid w:val="005771F7"/>
    <w:rsid w:val="0057744C"/>
    <w:rsid w:val="00582053"/>
    <w:rsid w:val="00583699"/>
    <w:rsid w:val="00583B31"/>
    <w:rsid w:val="00584971"/>
    <w:rsid w:val="00585CDD"/>
    <w:rsid w:val="005863ED"/>
    <w:rsid w:val="00586E81"/>
    <w:rsid w:val="00587058"/>
    <w:rsid w:val="0058748B"/>
    <w:rsid w:val="0059004B"/>
    <w:rsid w:val="00590F16"/>
    <w:rsid w:val="00591899"/>
    <w:rsid w:val="00591957"/>
    <w:rsid w:val="00592C3A"/>
    <w:rsid w:val="00592F45"/>
    <w:rsid w:val="0059368D"/>
    <w:rsid w:val="00593DBC"/>
    <w:rsid w:val="0059470B"/>
    <w:rsid w:val="00595421"/>
    <w:rsid w:val="00595E0C"/>
    <w:rsid w:val="0059609E"/>
    <w:rsid w:val="00596A50"/>
    <w:rsid w:val="00596B2F"/>
    <w:rsid w:val="0059759E"/>
    <w:rsid w:val="00597BF9"/>
    <w:rsid w:val="00597E33"/>
    <w:rsid w:val="00597FAD"/>
    <w:rsid w:val="005A0586"/>
    <w:rsid w:val="005A10F3"/>
    <w:rsid w:val="005A241E"/>
    <w:rsid w:val="005A30D8"/>
    <w:rsid w:val="005A3291"/>
    <w:rsid w:val="005A373D"/>
    <w:rsid w:val="005A3B7B"/>
    <w:rsid w:val="005A550D"/>
    <w:rsid w:val="005A57E5"/>
    <w:rsid w:val="005A5A18"/>
    <w:rsid w:val="005A5C93"/>
    <w:rsid w:val="005A5E9F"/>
    <w:rsid w:val="005A6878"/>
    <w:rsid w:val="005A7688"/>
    <w:rsid w:val="005B01C6"/>
    <w:rsid w:val="005B085E"/>
    <w:rsid w:val="005B1BDA"/>
    <w:rsid w:val="005B1C32"/>
    <w:rsid w:val="005B23BF"/>
    <w:rsid w:val="005B3AFC"/>
    <w:rsid w:val="005B5857"/>
    <w:rsid w:val="005B6383"/>
    <w:rsid w:val="005B661E"/>
    <w:rsid w:val="005B6AAD"/>
    <w:rsid w:val="005B70F8"/>
    <w:rsid w:val="005C002F"/>
    <w:rsid w:val="005C0577"/>
    <w:rsid w:val="005C05CE"/>
    <w:rsid w:val="005C1B83"/>
    <w:rsid w:val="005C2546"/>
    <w:rsid w:val="005C297A"/>
    <w:rsid w:val="005C2D55"/>
    <w:rsid w:val="005C346B"/>
    <w:rsid w:val="005C389C"/>
    <w:rsid w:val="005C3CA0"/>
    <w:rsid w:val="005C4F9A"/>
    <w:rsid w:val="005C536B"/>
    <w:rsid w:val="005C6C6B"/>
    <w:rsid w:val="005C705F"/>
    <w:rsid w:val="005C71EE"/>
    <w:rsid w:val="005D044D"/>
    <w:rsid w:val="005D0ABD"/>
    <w:rsid w:val="005D0F20"/>
    <w:rsid w:val="005D120B"/>
    <w:rsid w:val="005D1637"/>
    <w:rsid w:val="005D16D5"/>
    <w:rsid w:val="005D1879"/>
    <w:rsid w:val="005D18AD"/>
    <w:rsid w:val="005D26B4"/>
    <w:rsid w:val="005D30F8"/>
    <w:rsid w:val="005D47A3"/>
    <w:rsid w:val="005D4FCB"/>
    <w:rsid w:val="005D5269"/>
    <w:rsid w:val="005D5F34"/>
    <w:rsid w:val="005D6A3D"/>
    <w:rsid w:val="005D7029"/>
    <w:rsid w:val="005D72EA"/>
    <w:rsid w:val="005D7977"/>
    <w:rsid w:val="005D7D2A"/>
    <w:rsid w:val="005E0510"/>
    <w:rsid w:val="005E0583"/>
    <w:rsid w:val="005E14CB"/>
    <w:rsid w:val="005E2A23"/>
    <w:rsid w:val="005E313C"/>
    <w:rsid w:val="005E3A5B"/>
    <w:rsid w:val="005E4528"/>
    <w:rsid w:val="005E6030"/>
    <w:rsid w:val="005E63E4"/>
    <w:rsid w:val="005E6CBC"/>
    <w:rsid w:val="005E73C0"/>
    <w:rsid w:val="005F1BDF"/>
    <w:rsid w:val="005F2706"/>
    <w:rsid w:val="005F48B2"/>
    <w:rsid w:val="005F54DD"/>
    <w:rsid w:val="005F5D82"/>
    <w:rsid w:val="005F6A8F"/>
    <w:rsid w:val="005F6D40"/>
    <w:rsid w:val="005F7A06"/>
    <w:rsid w:val="0060026D"/>
    <w:rsid w:val="0060031A"/>
    <w:rsid w:val="0060083B"/>
    <w:rsid w:val="00600E06"/>
    <w:rsid w:val="006016E3"/>
    <w:rsid w:val="006021D8"/>
    <w:rsid w:val="006023DB"/>
    <w:rsid w:val="006030B2"/>
    <w:rsid w:val="00603DB9"/>
    <w:rsid w:val="00604303"/>
    <w:rsid w:val="00604B25"/>
    <w:rsid w:val="00605230"/>
    <w:rsid w:val="0060550B"/>
    <w:rsid w:val="00605A77"/>
    <w:rsid w:val="00605BAB"/>
    <w:rsid w:val="00606BD2"/>
    <w:rsid w:val="00607159"/>
    <w:rsid w:val="00607669"/>
    <w:rsid w:val="00607918"/>
    <w:rsid w:val="00607AFD"/>
    <w:rsid w:val="00607C1F"/>
    <w:rsid w:val="00611953"/>
    <w:rsid w:val="00611A23"/>
    <w:rsid w:val="006123AC"/>
    <w:rsid w:val="006126C1"/>
    <w:rsid w:val="00612F76"/>
    <w:rsid w:val="00612F97"/>
    <w:rsid w:val="0061345D"/>
    <w:rsid w:val="00613B80"/>
    <w:rsid w:val="006143F6"/>
    <w:rsid w:val="00614FC5"/>
    <w:rsid w:val="006155B1"/>
    <w:rsid w:val="0061588F"/>
    <w:rsid w:val="00615BDC"/>
    <w:rsid w:val="00616459"/>
    <w:rsid w:val="00616802"/>
    <w:rsid w:val="00617123"/>
    <w:rsid w:val="006175A1"/>
    <w:rsid w:val="00617E12"/>
    <w:rsid w:val="00620051"/>
    <w:rsid w:val="0062050E"/>
    <w:rsid w:val="0062106F"/>
    <w:rsid w:val="00621477"/>
    <w:rsid w:val="00622770"/>
    <w:rsid w:val="00622FC4"/>
    <w:rsid w:val="006235AD"/>
    <w:rsid w:val="00623A88"/>
    <w:rsid w:val="006241F1"/>
    <w:rsid w:val="0062442F"/>
    <w:rsid w:val="006247B3"/>
    <w:rsid w:val="006252A0"/>
    <w:rsid w:val="00626306"/>
    <w:rsid w:val="00626A77"/>
    <w:rsid w:val="00626E88"/>
    <w:rsid w:val="00630153"/>
    <w:rsid w:val="0063095E"/>
    <w:rsid w:val="00630DC7"/>
    <w:rsid w:val="0063158F"/>
    <w:rsid w:val="00631929"/>
    <w:rsid w:val="00631D6B"/>
    <w:rsid w:val="00631E41"/>
    <w:rsid w:val="00632651"/>
    <w:rsid w:val="00632E31"/>
    <w:rsid w:val="006330A1"/>
    <w:rsid w:val="0063479F"/>
    <w:rsid w:val="006351D3"/>
    <w:rsid w:val="006353F0"/>
    <w:rsid w:val="00635474"/>
    <w:rsid w:val="006364A1"/>
    <w:rsid w:val="00636E56"/>
    <w:rsid w:val="0063725F"/>
    <w:rsid w:val="006377DF"/>
    <w:rsid w:val="00637BFD"/>
    <w:rsid w:val="00637F17"/>
    <w:rsid w:val="00641833"/>
    <w:rsid w:val="00641C4E"/>
    <w:rsid w:val="00641F39"/>
    <w:rsid w:val="00642A60"/>
    <w:rsid w:val="006436F6"/>
    <w:rsid w:val="00643974"/>
    <w:rsid w:val="006440E3"/>
    <w:rsid w:val="006449BE"/>
    <w:rsid w:val="00645283"/>
    <w:rsid w:val="00645420"/>
    <w:rsid w:val="00646F6E"/>
    <w:rsid w:val="006471CC"/>
    <w:rsid w:val="00647F11"/>
    <w:rsid w:val="0065079F"/>
    <w:rsid w:val="00651722"/>
    <w:rsid w:val="00651B70"/>
    <w:rsid w:val="00652539"/>
    <w:rsid w:val="0065379F"/>
    <w:rsid w:val="0065399B"/>
    <w:rsid w:val="00653BD6"/>
    <w:rsid w:val="00654860"/>
    <w:rsid w:val="00655760"/>
    <w:rsid w:val="00655A10"/>
    <w:rsid w:val="006616E3"/>
    <w:rsid w:val="0066187F"/>
    <w:rsid w:val="00661A77"/>
    <w:rsid w:val="00661C6B"/>
    <w:rsid w:val="0066238B"/>
    <w:rsid w:val="0066417B"/>
    <w:rsid w:val="00667E0F"/>
    <w:rsid w:val="00672F75"/>
    <w:rsid w:val="00673E4A"/>
    <w:rsid w:val="00674388"/>
    <w:rsid w:val="0067460C"/>
    <w:rsid w:val="00674B57"/>
    <w:rsid w:val="00674D85"/>
    <w:rsid w:val="00674E42"/>
    <w:rsid w:val="0067544E"/>
    <w:rsid w:val="0067559F"/>
    <w:rsid w:val="00680008"/>
    <w:rsid w:val="00680D97"/>
    <w:rsid w:val="00681990"/>
    <w:rsid w:val="00681C6F"/>
    <w:rsid w:val="00682112"/>
    <w:rsid w:val="00682B2C"/>
    <w:rsid w:val="00682F09"/>
    <w:rsid w:val="00683BD0"/>
    <w:rsid w:val="00684052"/>
    <w:rsid w:val="006841BB"/>
    <w:rsid w:val="00684599"/>
    <w:rsid w:val="006849F3"/>
    <w:rsid w:val="00685003"/>
    <w:rsid w:val="00686957"/>
    <w:rsid w:val="006872BA"/>
    <w:rsid w:val="0068787C"/>
    <w:rsid w:val="00690614"/>
    <w:rsid w:val="00691648"/>
    <w:rsid w:val="006917D7"/>
    <w:rsid w:val="00692F0F"/>
    <w:rsid w:val="00693915"/>
    <w:rsid w:val="00694F44"/>
    <w:rsid w:val="0069669C"/>
    <w:rsid w:val="006A0197"/>
    <w:rsid w:val="006A04FF"/>
    <w:rsid w:val="006A1089"/>
    <w:rsid w:val="006A2678"/>
    <w:rsid w:val="006A38A4"/>
    <w:rsid w:val="006A39EA"/>
    <w:rsid w:val="006A3A9F"/>
    <w:rsid w:val="006A44C8"/>
    <w:rsid w:val="006A5035"/>
    <w:rsid w:val="006A6239"/>
    <w:rsid w:val="006A7E5F"/>
    <w:rsid w:val="006B027E"/>
    <w:rsid w:val="006B0519"/>
    <w:rsid w:val="006B1785"/>
    <w:rsid w:val="006B1979"/>
    <w:rsid w:val="006B261B"/>
    <w:rsid w:val="006B2C90"/>
    <w:rsid w:val="006B2CF7"/>
    <w:rsid w:val="006B406E"/>
    <w:rsid w:val="006B4F8B"/>
    <w:rsid w:val="006B6DD0"/>
    <w:rsid w:val="006B6F2B"/>
    <w:rsid w:val="006B7366"/>
    <w:rsid w:val="006C018E"/>
    <w:rsid w:val="006C03B6"/>
    <w:rsid w:val="006C0A28"/>
    <w:rsid w:val="006C1065"/>
    <w:rsid w:val="006C26BA"/>
    <w:rsid w:val="006C2A8E"/>
    <w:rsid w:val="006C3BA4"/>
    <w:rsid w:val="006C4685"/>
    <w:rsid w:val="006C472C"/>
    <w:rsid w:val="006C4869"/>
    <w:rsid w:val="006C4C4B"/>
    <w:rsid w:val="006C4DA8"/>
    <w:rsid w:val="006C4FA6"/>
    <w:rsid w:val="006C5A8C"/>
    <w:rsid w:val="006C5B8D"/>
    <w:rsid w:val="006D0207"/>
    <w:rsid w:val="006D13A6"/>
    <w:rsid w:val="006D1E09"/>
    <w:rsid w:val="006D25A6"/>
    <w:rsid w:val="006D2824"/>
    <w:rsid w:val="006D2A01"/>
    <w:rsid w:val="006D3C7D"/>
    <w:rsid w:val="006D4005"/>
    <w:rsid w:val="006D477F"/>
    <w:rsid w:val="006D4C14"/>
    <w:rsid w:val="006D5A0A"/>
    <w:rsid w:val="006D5D5F"/>
    <w:rsid w:val="006D6C2E"/>
    <w:rsid w:val="006D7111"/>
    <w:rsid w:val="006D7531"/>
    <w:rsid w:val="006D7DB7"/>
    <w:rsid w:val="006E06A6"/>
    <w:rsid w:val="006E5191"/>
    <w:rsid w:val="006E5427"/>
    <w:rsid w:val="006E5CC1"/>
    <w:rsid w:val="006E63A3"/>
    <w:rsid w:val="006E647E"/>
    <w:rsid w:val="006E6D84"/>
    <w:rsid w:val="006F0232"/>
    <w:rsid w:val="006F0D6C"/>
    <w:rsid w:val="006F116F"/>
    <w:rsid w:val="006F1D6D"/>
    <w:rsid w:val="006F1E89"/>
    <w:rsid w:val="006F25BC"/>
    <w:rsid w:val="006F2DDD"/>
    <w:rsid w:val="006F2DFC"/>
    <w:rsid w:val="006F306C"/>
    <w:rsid w:val="006F3C48"/>
    <w:rsid w:val="006F3E32"/>
    <w:rsid w:val="006F57BD"/>
    <w:rsid w:val="006F59FA"/>
    <w:rsid w:val="006F5C28"/>
    <w:rsid w:val="006F63A5"/>
    <w:rsid w:val="006F64F0"/>
    <w:rsid w:val="007009C0"/>
    <w:rsid w:val="0070142B"/>
    <w:rsid w:val="0070276E"/>
    <w:rsid w:val="00702A79"/>
    <w:rsid w:val="00702F8F"/>
    <w:rsid w:val="0070339D"/>
    <w:rsid w:val="0070423E"/>
    <w:rsid w:val="00704747"/>
    <w:rsid w:val="00704B8E"/>
    <w:rsid w:val="007062A6"/>
    <w:rsid w:val="00706957"/>
    <w:rsid w:val="00706D83"/>
    <w:rsid w:val="00706EF7"/>
    <w:rsid w:val="00707096"/>
    <w:rsid w:val="00707ADD"/>
    <w:rsid w:val="00711483"/>
    <w:rsid w:val="00711A36"/>
    <w:rsid w:val="00711A8F"/>
    <w:rsid w:val="00711AF1"/>
    <w:rsid w:val="0071399B"/>
    <w:rsid w:val="007144B5"/>
    <w:rsid w:val="00714811"/>
    <w:rsid w:val="0071529C"/>
    <w:rsid w:val="007162BD"/>
    <w:rsid w:val="00716F63"/>
    <w:rsid w:val="00716F68"/>
    <w:rsid w:val="007172AD"/>
    <w:rsid w:val="0072033E"/>
    <w:rsid w:val="00721237"/>
    <w:rsid w:val="007219C0"/>
    <w:rsid w:val="00722257"/>
    <w:rsid w:val="0072291D"/>
    <w:rsid w:val="00722B1B"/>
    <w:rsid w:val="00723179"/>
    <w:rsid w:val="0072324D"/>
    <w:rsid w:val="00723280"/>
    <w:rsid w:val="0072416F"/>
    <w:rsid w:val="00724739"/>
    <w:rsid w:val="007248E3"/>
    <w:rsid w:val="00725BC6"/>
    <w:rsid w:val="00725FF1"/>
    <w:rsid w:val="0072610E"/>
    <w:rsid w:val="0072676B"/>
    <w:rsid w:val="00727748"/>
    <w:rsid w:val="00727C94"/>
    <w:rsid w:val="007302CB"/>
    <w:rsid w:val="007303EE"/>
    <w:rsid w:val="00731EAE"/>
    <w:rsid w:val="0073203A"/>
    <w:rsid w:val="0073328C"/>
    <w:rsid w:val="007333CC"/>
    <w:rsid w:val="00735033"/>
    <w:rsid w:val="00735328"/>
    <w:rsid w:val="00735AD3"/>
    <w:rsid w:val="0073685B"/>
    <w:rsid w:val="00736F7A"/>
    <w:rsid w:val="00737877"/>
    <w:rsid w:val="00737D19"/>
    <w:rsid w:val="00740584"/>
    <w:rsid w:val="00743607"/>
    <w:rsid w:val="007436B0"/>
    <w:rsid w:val="00743D05"/>
    <w:rsid w:val="00744402"/>
    <w:rsid w:val="007447AE"/>
    <w:rsid w:val="00744878"/>
    <w:rsid w:val="00745259"/>
    <w:rsid w:val="0074543D"/>
    <w:rsid w:val="00745AD5"/>
    <w:rsid w:val="00745CB8"/>
    <w:rsid w:val="00746B08"/>
    <w:rsid w:val="0074784D"/>
    <w:rsid w:val="00751F2B"/>
    <w:rsid w:val="00752142"/>
    <w:rsid w:val="007523F9"/>
    <w:rsid w:val="00752907"/>
    <w:rsid w:val="00752E1E"/>
    <w:rsid w:val="007544A6"/>
    <w:rsid w:val="0075533E"/>
    <w:rsid w:val="007557FB"/>
    <w:rsid w:val="00756099"/>
    <w:rsid w:val="007566B1"/>
    <w:rsid w:val="00756E64"/>
    <w:rsid w:val="007573E8"/>
    <w:rsid w:val="00757C34"/>
    <w:rsid w:val="00760C36"/>
    <w:rsid w:val="00760C4E"/>
    <w:rsid w:val="007625F8"/>
    <w:rsid w:val="007632D1"/>
    <w:rsid w:val="00763B38"/>
    <w:rsid w:val="00763F1B"/>
    <w:rsid w:val="007640CB"/>
    <w:rsid w:val="0076453A"/>
    <w:rsid w:val="00765B1A"/>
    <w:rsid w:val="00766E0F"/>
    <w:rsid w:val="007703FA"/>
    <w:rsid w:val="00770C8A"/>
    <w:rsid w:val="00771DBE"/>
    <w:rsid w:val="00771E42"/>
    <w:rsid w:val="007725B9"/>
    <w:rsid w:val="00772C05"/>
    <w:rsid w:val="00773A71"/>
    <w:rsid w:val="007742D8"/>
    <w:rsid w:val="00774324"/>
    <w:rsid w:val="007753B0"/>
    <w:rsid w:val="007755F9"/>
    <w:rsid w:val="007766ED"/>
    <w:rsid w:val="007772BF"/>
    <w:rsid w:val="00777A43"/>
    <w:rsid w:val="00777C23"/>
    <w:rsid w:val="0078050B"/>
    <w:rsid w:val="0078204C"/>
    <w:rsid w:val="00782D51"/>
    <w:rsid w:val="007843F2"/>
    <w:rsid w:val="00784BB2"/>
    <w:rsid w:val="00784D41"/>
    <w:rsid w:val="00784F13"/>
    <w:rsid w:val="00785BD7"/>
    <w:rsid w:val="00785CAB"/>
    <w:rsid w:val="00785EF6"/>
    <w:rsid w:val="00786481"/>
    <w:rsid w:val="007918D3"/>
    <w:rsid w:val="00792BD6"/>
    <w:rsid w:val="00792F57"/>
    <w:rsid w:val="007934BD"/>
    <w:rsid w:val="007943D4"/>
    <w:rsid w:val="00795681"/>
    <w:rsid w:val="007958BE"/>
    <w:rsid w:val="00796A29"/>
    <w:rsid w:val="00796B6C"/>
    <w:rsid w:val="007978D7"/>
    <w:rsid w:val="007A07D0"/>
    <w:rsid w:val="007A0A12"/>
    <w:rsid w:val="007A132D"/>
    <w:rsid w:val="007A1C7E"/>
    <w:rsid w:val="007A1F7D"/>
    <w:rsid w:val="007A27FB"/>
    <w:rsid w:val="007A307A"/>
    <w:rsid w:val="007A30AD"/>
    <w:rsid w:val="007A42D0"/>
    <w:rsid w:val="007A53CD"/>
    <w:rsid w:val="007A5CDD"/>
    <w:rsid w:val="007A6125"/>
    <w:rsid w:val="007A6363"/>
    <w:rsid w:val="007A6DB8"/>
    <w:rsid w:val="007B0D68"/>
    <w:rsid w:val="007B1153"/>
    <w:rsid w:val="007B130D"/>
    <w:rsid w:val="007B16DB"/>
    <w:rsid w:val="007B1D23"/>
    <w:rsid w:val="007B251D"/>
    <w:rsid w:val="007B2CD5"/>
    <w:rsid w:val="007B334D"/>
    <w:rsid w:val="007B450E"/>
    <w:rsid w:val="007B4927"/>
    <w:rsid w:val="007B4F58"/>
    <w:rsid w:val="007B528D"/>
    <w:rsid w:val="007B55E7"/>
    <w:rsid w:val="007B67D2"/>
    <w:rsid w:val="007B6891"/>
    <w:rsid w:val="007B77D1"/>
    <w:rsid w:val="007B7DFF"/>
    <w:rsid w:val="007C0518"/>
    <w:rsid w:val="007C0DCF"/>
    <w:rsid w:val="007C10CA"/>
    <w:rsid w:val="007C1CD9"/>
    <w:rsid w:val="007C2C50"/>
    <w:rsid w:val="007C361D"/>
    <w:rsid w:val="007C4299"/>
    <w:rsid w:val="007C4812"/>
    <w:rsid w:val="007C4B84"/>
    <w:rsid w:val="007C55A2"/>
    <w:rsid w:val="007C651C"/>
    <w:rsid w:val="007C659A"/>
    <w:rsid w:val="007D004F"/>
    <w:rsid w:val="007D0B38"/>
    <w:rsid w:val="007D1B23"/>
    <w:rsid w:val="007D1F6A"/>
    <w:rsid w:val="007D2288"/>
    <w:rsid w:val="007D34B7"/>
    <w:rsid w:val="007D3F64"/>
    <w:rsid w:val="007D4FB3"/>
    <w:rsid w:val="007D5046"/>
    <w:rsid w:val="007D5440"/>
    <w:rsid w:val="007D5737"/>
    <w:rsid w:val="007D64F0"/>
    <w:rsid w:val="007D66A7"/>
    <w:rsid w:val="007D6BDF"/>
    <w:rsid w:val="007D6C76"/>
    <w:rsid w:val="007E04A9"/>
    <w:rsid w:val="007E0D6B"/>
    <w:rsid w:val="007E0E6E"/>
    <w:rsid w:val="007E0E80"/>
    <w:rsid w:val="007E1A66"/>
    <w:rsid w:val="007E2658"/>
    <w:rsid w:val="007E2B99"/>
    <w:rsid w:val="007E4BC6"/>
    <w:rsid w:val="007E5B6F"/>
    <w:rsid w:val="007E60D8"/>
    <w:rsid w:val="007E6B86"/>
    <w:rsid w:val="007E6EDB"/>
    <w:rsid w:val="007F0F5F"/>
    <w:rsid w:val="007F1017"/>
    <w:rsid w:val="007F14E7"/>
    <w:rsid w:val="007F20E1"/>
    <w:rsid w:val="007F26CE"/>
    <w:rsid w:val="007F2D2E"/>
    <w:rsid w:val="007F33EE"/>
    <w:rsid w:val="007F37BF"/>
    <w:rsid w:val="007F406F"/>
    <w:rsid w:val="007F4A3F"/>
    <w:rsid w:val="007F4A61"/>
    <w:rsid w:val="007F4AB0"/>
    <w:rsid w:val="007F61C2"/>
    <w:rsid w:val="007F7DCC"/>
    <w:rsid w:val="00801023"/>
    <w:rsid w:val="00801B14"/>
    <w:rsid w:val="00801DC0"/>
    <w:rsid w:val="008030C2"/>
    <w:rsid w:val="0080369E"/>
    <w:rsid w:val="00804252"/>
    <w:rsid w:val="00804AA4"/>
    <w:rsid w:val="00804AC3"/>
    <w:rsid w:val="00805142"/>
    <w:rsid w:val="008054BC"/>
    <w:rsid w:val="00805907"/>
    <w:rsid w:val="00806334"/>
    <w:rsid w:val="00807A8B"/>
    <w:rsid w:val="00807C1E"/>
    <w:rsid w:val="00807F2B"/>
    <w:rsid w:val="00810FA8"/>
    <w:rsid w:val="00811145"/>
    <w:rsid w:val="00811383"/>
    <w:rsid w:val="0081146C"/>
    <w:rsid w:val="00812149"/>
    <w:rsid w:val="00812C4E"/>
    <w:rsid w:val="00812CAC"/>
    <w:rsid w:val="00813161"/>
    <w:rsid w:val="00813235"/>
    <w:rsid w:val="00814111"/>
    <w:rsid w:val="0081492C"/>
    <w:rsid w:val="0081502D"/>
    <w:rsid w:val="008156C4"/>
    <w:rsid w:val="00815B20"/>
    <w:rsid w:val="00816465"/>
    <w:rsid w:val="008165EC"/>
    <w:rsid w:val="008166EF"/>
    <w:rsid w:val="008168E3"/>
    <w:rsid w:val="00817793"/>
    <w:rsid w:val="00820D9A"/>
    <w:rsid w:val="00821C38"/>
    <w:rsid w:val="00821C8A"/>
    <w:rsid w:val="00821F5C"/>
    <w:rsid w:val="008223DB"/>
    <w:rsid w:val="008226A0"/>
    <w:rsid w:val="008234C5"/>
    <w:rsid w:val="00823D5A"/>
    <w:rsid w:val="00824AD0"/>
    <w:rsid w:val="00825751"/>
    <w:rsid w:val="008264EB"/>
    <w:rsid w:val="00827CD5"/>
    <w:rsid w:val="008301CA"/>
    <w:rsid w:val="0083073D"/>
    <w:rsid w:val="00830B96"/>
    <w:rsid w:val="00831FDA"/>
    <w:rsid w:val="0083340A"/>
    <w:rsid w:val="00833B05"/>
    <w:rsid w:val="00833C27"/>
    <w:rsid w:val="00834383"/>
    <w:rsid w:val="008344E4"/>
    <w:rsid w:val="00834FF3"/>
    <w:rsid w:val="0083508D"/>
    <w:rsid w:val="0083559A"/>
    <w:rsid w:val="008362B4"/>
    <w:rsid w:val="0083689F"/>
    <w:rsid w:val="00837034"/>
    <w:rsid w:val="00837871"/>
    <w:rsid w:val="00837CFA"/>
    <w:rsid w:val="00840CA2"/>
    <w:rsid w:val="00841931"/>
    <w:rsid w:val="008420FD"/>
    <w:rsid w:val="00842AEA"/>
    <w:rsid w:val="0084374F"/>
    <w:rsid w:val="00845388"/>
    <w:rsid w:val="00845709"/>
    <w:rsid w:val="00845B6D"/>
    <w:rsid w:val="00846888"/>
    <w:rsid w:val="0084708F"/>
    <w:rsid w:val="00847DF5"/>
    <w:rsid w:val="00847F8C"/>
    <w:rsid w:val="008507E5"/>
    <w:rsid w:val="008508C3"/>
    <w:rsid w:val="00850E60"/>
    <w:rsid w:val="00851325"/>
    <w:rsid w:val="008514BC"/>
    <w:rsid w:val="00851EB1"/>
    <w:rsid w:val="00852041"/>
    <w:rsid w:val="0085263E"/>
    <w:rsid w:val="00852B9A"/>
    <w:rsid w:val="0085309D"/>
    <w:rsid w:val="008532A9"/>
    <w:rsid w:val="008534C9"/>
    <w:rsid w:val="00853875"/>
    <w:rsid w:val="0085501D"/>
    <w:rsid w:val="0085590F"/>
    <w:rsid w:val="0085593A"/>
    <w:rsid w:val="00855CDD"/>
    <w:rsid w:val="00855DBA"/>
    <w:rsid w:val="00856897"/>
    <w:rsid w:val="00856C10"/>
    <w:rsid w:val="00856E6E"/>
    <w:rsid w:val="00856E9A"/>
    <w:rsid w:val="0086024D"/>
    <w:rsid w:val="0086075D"/>
    <w:rsid w:val="00861050"/>
    <w:rsid w:val="008618C3"/>
    <w:rsid w:val="00862502"/>
    <w:rsid w:val="00862F35"/>
    <w:rsid w:val="008634AD"/>
    <w:rsid w:val="00863839"/>
    <w:rsid w:val="00863CD7"/>
    <w:rsid w:val="00863E1D"/>
    <w:rsid w:val="008641E4"/>
    <w:rsid w:val="008660D4"/>
    <w:rsid w:val="00866C19"/>
    <w:rsid w:val="00866C63"/>
    <w:rsid w:val="00867244"/>
    <w:rsid w:val="00867DEA"/>
    <w:rsid w:val="008701A2"/>
    <w:rsid w:val="0087171F"/>
    <w:rsid w:val="008719BB"/>
    <w:rsid w:val="00871FA9"/>
    <w:rsid w:val="008722D6"/>
    <w:rsid w:val="0087245E"/>
    <w:rsid w:val="008726FE"/>
    <w:rsid w:val="008728E9"/>
    <w:rsid w:val="008732F0"/>
    <w:rsid w:val="0087410F"/>
    <w:rsid w:val="00874DD6"/>
    <w:rsid w:val="008750BD"/>
    <w:rsid w:val="00877D46"/>
    <w:rsid w:val="008809B2"/>
    <w:rsid w:val="00882874"/>
    <w:rsid w:val="00882D49"/>
    <w:rsid w:val="00883787"/>
    <w:rsid w:val="0088392A"/>
    <w:rsid w:val="00884F67"/>
    <w:rsid w:val="008850A3"/>
    <w:rsid w:val="00885316"/>
    <w:rsid w:val="008859B1"/>
    <w:rsid w:val="0088607C"/>
    <w:rsid w:val="00886CD2"/>
    <w:rsid w:val="00887167"/>
    <w:rsid w:val="00892A36"/>
    <w:rsid w:val="00893239"/>
    <w:rsid w:val="00893A53"/>
    <w:rsid w:val="00894489"/>
    <w:rsid w:val="00894492"/>
    <w:rsid w:val="00894AC2"/>
    <w:rsid w:val="00894CCA"/>
    <w:rsid w:val="008963A5"/>
    <w:rsid w:val="00896998"/>
    <w:rsid w:val="008A04C8"/>
    <w:rsid w:val="008A09BA"/>
    <w:rsid w:val="008A0E59"/>
    <w:rsid w:val="008A1F85"/>
    <w:rsid w:val="008A23D8"/>
    <w:rsid w:val="008A24F0"/>
    <w:rsid w:val="008A2A21"/>
    <w:rsid w:val="008A31B8"/>
    <w:rsid w:val="008A3363"/>
    <w:rsid w:val="008A3371"/>
    <w:rsid w:val="008A3C3E"/>
    <w:rsid w:val="008A46E7"/>
    <w:rsid w:val="008A4C83"/>
    <w:rsid w:val="008A5A84"/>
    <w:rsid w:val="008A79DE"/>
    <w:rsid w:val="008B020D"/>
    <w:rsid w:val="008B0B53"/>
    <w:rsid w:val="008B129B"/>
    <w:rsid w:val="008B12BF"/>
    <w:rsid w:val="008B1757"/>
    <w:rsid w:val="008B18EC"/>
    <w:rsid w:val="008B1F4D"/>
    <w:rsid w:val="008B22A1"/>
    <w:rsid w:val="008B234A"/>
    <w:rsid w:val="008B2836"/>
    <w:rsid w:val="008B2C20"/>
    <w:rsid w:val="008B32EE"/>
    <w:rsid w:val="008B3588"/>
    <w:rsid w:val="008B3812"/>
    <w:rsid w:val="008B3B87"/>
    <w:rsid w:val="008B5D22"/>
    <w:rsid w:val="008B6960"/>
    <w:rsid w:val="008B6CB3"/>
    <w:rsid w:val="008B6E3B"/>
    <w:rsid w:val="008B7923"/>
    <w:rsid w:val="008B7A3F"/>
    <w:rsid w:val="008B7D7E"/>
    <w:rsid w:val="008C04F3"/>
    <w:rsid w:val="008C1084"/>
    <w:rsid w:val="008C19C7"/>
    <w:rsid w:val="008C1C44"/>
    <w:rsid w:val="008C1F57"/>
    <w:rsid w:val="008C2237"/>
    <w:rsid w:val="008C240F"/>
    <w:rsid w:val="008C26E9"/>
    <w:rsid w:val="008C3698"/>
    <w:rsid w:val="008C3DB4"/>
    <w:rsid w:val="008C416C"/>
    <w:rsid w:val="008C47FE"/>
    <w:rsid w:val="008C5F2E"/>
    <w:rsid w:val="008C6AB0"/>
    <w:rsid w:val="008C7049"/>
    <w:rsid w:val="008C7115"/>
    <w:rsid w:val="008C7368"/>
    <w:rsid w:val="008C75DD"/>
    <w:rsid w:val="008C7ECB"/>
    <w:rsid w:val="008D1491"/>
    <w:rsid w:val="008D14E8"/>
    <w:rsid w:val="008D15BD"/>
    <w:rsid w:val="008D207B"/>
    <w:rsid w:val="008D2288"/>
    <w:rsid w:val="008D28CB"/>
    <w:rsid w:val="008D370F"/>
    <w:rsid w:val="008D3991"/>
    <w:rsid w:val="008D3CAF"/>
    <w:rsid w:val="008D412A"/>
    <w:rsid w:val="008D4755"/>
    <w:rsid w:val="008D4C3D"/>
    <w:rsid w:val="008D4FF2"/>
    <w:rsid w:val="008D67BF"/>
    <w:rsid w:val="008D6B3C"/>
    <w:rsid w:val="008E0775"/>
    <w:rsid w:val="008E0D3C"/>
    <w:rsid w:val="008E1169"/>
    <w:rsid w:val="008E1B9E"/>
    <w:rsid w:val="008E2728"/>
    <w:rsid w:val="008E316D"/>
    <w:rsid w:val="008E43DA"/>
    <w:rsid w:val="008E4954"/>
    <w:rsid w:val="008E544A"/>
    <w:rsid w:val="008E55AB"/>
    <w:rsid w:val="008E5724"/>
    <w:rsid w:val="008E5CE5"/>
    <w:rsid w:val="008E5D18"/>
    <w:rsid w:val="008E645A"/>
    <w:rsid w:val="008F01E5"/>
    <w:rsid w:val="008F042F"/>
    <w:rsid w:val="008F051F"/>
    <w:rsid w:val="008F0DE0"/>
    <w:rsid w:val="008F120A"/>
    <w:rsid w:val="008F13B2"/>
    <w:rsid w:val="008F27E0"/>
    <w:rsid w:val="008F3D8F"/>
    <w:rsid w:val="008F42BE"/>
    <w:rsid w:val="008F48EB"/>
    <w:rsid w:val="008F4F0B"/>
    <w:rsid w:val="008F5518"/>
    <w:rsid w:val="008F57EF"/>
    <w:rsid w:val="008F6892"/>
    <w:rsid w:val="00900004"/>
    <w:rsid w:val="00900C18"/>
    <w:rsid w:val="00901E62"/>
    <w:rsid w:val="009033F2"/>
    <w:rsid w:val="00903C7A"/>
    <w:rsid w:val="009042F3"/>
    <w:rsid w:val="009046A8"/>
    <w:rsid w:val="009046C4"/>
    <w:rsid w:val="00906163"/>
    <w:rsid w:val="009062A5"/>
    <w:rsid w:val="009062EF"/>
    <w:rsid w:val="00906EEC"/>
    <w:rsid w:val="00907C94"/>
    <w:rsid w:val="009100BF"/>
    <w:rsid w:val="0091025C"/>
    <w:rsid w:val="00911272"/>
    <w:rsid w:val="009121CA"/>
    <w:rsid w:val="009135D6"/>
    <w:rsid w:val="00913EC1"/>
    <w:rsid w:val="009149E2"/>
    <w:rsid w:val="00914C77"/>
    <w:rsid w:val="009153F0"/>
    <w:rsid w:val="009203D9"/>
    <w:rsid w:val="00920F56"/>
    <w:rsid w:val="009218FD"/>
    <w:rsid w:val="00921A33"/>
    <w:rsid w:val="0092369B"/>
    <w:rsid w:val="009237AF"/>
    <w:rsid w:val="009239BC"/>
    <w:rsid w:val="00924222"/>
    <w:rsid w:val="009247AB"/>
    <w:rsid w:val="009249F4"/>
    <w:rsid w:val="0092509C"/>
    <w:rsid w:val="0092554E"/>
    <w:rsid w:val="00925882"/>
    <w:rsid w:val="00926B13"/>
    <w:rsid w:val="00927D6E"/>
    <w:rsid w:val="00930A9A"/>
    <w:rsid w:val="00930D8E"/>
    <w:rsid w:val="00931128"/>
    <w:rsid w:val="0093152A"/>
    <w:rsid w:val="00932223"/>
    <w:rsid w:val="009323BE"/>
    <w:rsid w:val="009324BD"/>
    <w:rsid w:val="00932EAC"/>
    <w:rsid w:val="009338EB"/>
    <w:rsid w:val="00934716"/>
    <w:rsid w:val="0093483A"/>
    <w:rsid w:val="00935802"/>
    <w:rsid w:val="0093683B"/>
    <w:rsid w:val="009368D9"/>
    <w:rsid w:val="009371B8"/>
    <w:rsid w:val="00937686"/>
    <w:rsid w:val="00937782"/>
    <w:rsid w:val="0094004B"/>
    <w:rsid w:val="00940FC0"/>
    <w:rsid w:val="00941218"/>
    <w:rsid w:val="0094123E"/>
    <w:rsid w:val="009428C6"/>
    <w:rsid w:val="0094296F"/>
    <w:rsid w:val="00942C60"/>
    <w:rsid w:val="00943276"/>
    <w:rsid w:val="009432D7"/>
    <w:rsid w:val="00944C12"/>
    <w:rsid w:val="009460D3"/>
    <w:rsid w:val="009464F9"/>
    <w:rsid w:val="00947095"/>
    <w:rsid w:val="00947AD3"/>
    <w:rsid w:val="00947FBD"/>
    <w:rsid w:val="009510A2"/>
    <w:rsid w:val="00951B3D"/>
    <w:rsid w:val="00951ED9"/>
    <w:rsid w:val="00951EE8"/>
    <w:rsid w:val="00953196"/>
    <w:rsid w:val="00953257"/>
    <w:rsid w:val="00953835"/>
    <w:rsid w:val="00953898"/>
    <w:rsid w:val="00953AA9"/>
    <w:rsid w:val="009545DC"/>
    <w:rsid w:val="00955EEA"/>
    <w:rsid w:val="009562A7"/>
    <w:rsid w:val="009562F3"/>
    <w:rsid w:val="00956D60"/>
    <w:rsid w:val="00957991"/>
    <w:rsid w:val="009602CE"/>
    <w:rsid w:val="00961BDD"/>
    <w:rsid w:val="009623D9"/>
    <w:rsid w:val="009624ED"/>
    <w:rsid w:val="00962CB9"/>
    <w:rsid w:val="00962D0E"/>
    <w:rsid w:val="009631F9"/>
    <w:rsid w:val="009632E0"/>
    <w:rsid w:val="00963A03"/>
    <w:rsid w:val="0096409F"/>
    <w:rsid w:val="00964312"/>
    <w:rsid w:val="009657B6"/>
    <w:rsid w:val="00965B8A"/>
    <w:rsid w:val="00965E99"/>
    <w:rsid w:val="00965FEC"/>
    <w:rsid w:val="00966FC9"/>
    <w:rsid w:val="0096751C"/>
    <w:rsid w:val="009700CC"/>
    <w:rsid w:val="0097093B"/>
    <w:rsid w:val="00970ED2"/>
    <w:rsid w:val="009717AC"/>
    <w:rsid w:val="009728C2"/>
    <w:rsid w:val="00973147"/>
    <w:rsid w:val="00973183"/>
    <w:rsid w:val="009737C8"/>
    <w:rsid w:val="00973908"/>
    <w:rsid w:val="00974874"/>
    <w:rsid w:val="0097681F"/>
    <w:rsid w:val="009769A2"/>
    <w:rsid w:val="009809C4"/>
    <w:rsid w:val="00980A16"/>
    <w:rsid w:val="009822BA"/>
    <w:rsid w:val="009824E9"/>
    <w:rsid w:val="00982FAA"/>
    <w:rsid w:val="0098391C"/>
    <w:rsid w:val="00983E57"/>
    <w:rsid w:val="009843EE"/>
    <w:rsid w:val="00984A5D"/>
    <w:rsid w:val="00984D5A"/>
    <w:rsid w:val="009851C9"/>
    <w:rsid w:val="0098675D"/>
    <w:rsid w:val="00990403"/>
    <w:rsid w:val="00990997"/>
    <w:rsid w:val="00990CF6"/>
    <w:rsid w:val="00991B46"/>
    <w:rsid w:val="00992317"/>
    <w:rsid w:val="009923B8"/>
    <w:rsid w:val="00996B1A"/>
    <w:rsid w:val="009974D7"/>
    <w:rsid w:val="00997552"/>
    <w:rsid w:val="009A0A2E"/>
    <w:rsid w:val="009A0A3F"/>
    <w:rsid w:val="009A0E24"/>
    <w:rsid w:val="009A0E75"/>
    <w:rsid w:val="009A18E9"/>
    <w:rsid w:val="009A2200"/>
    <w:rsid w:val="009A386D"/>
    <w:rsid w:val="009A40DF"/>
    <w:rsid w:val="009A4311"/>
    <w:rsid w:val="009A4AAB"/>
    <w:rsid w:val="009A560C"/>
    <w:rsid w:val="009A5900"/>
    <w:rsid w:val="009A5BBF"/>
    <w:rsid w:val="009A766A"/>
    <w:rsid w:val="009A77FF"/>
    <w:rsid w:val="009A7F10"/>
    <w:rsid w:val="009B0AA9"/>
    <w:rsid w:val="009B1E03"/>
    <w:rsid w:val="009B2665"/>
    <w:rsid w:val="009B344C"/>
    <w:rsid w:val="009B3C1E"/>
    <w:rsid w:val="009B3E26"/>
    <w:rsid w:val="009B4965"/>
    <w:rsid w:val="009B4FD9"/>
    <w:rsid w:val="009B610B"/>
    <w:rsid w:val="009B6978"/>
    <w:rsid w:val="009B6A74"/>
    <w:rsid w:val="009B6D21"/>
    <w:rsid w:val="009B7022"/>
    <w:rsid w:val="009B7A7B"/>
    <w:rsid w:val="009C01ED"/>
    <w:rsid w:val="009C1C52"/>
    <w:rsid w:val="009C207F"/>
    <w:rsid w:val="009C20C7"/>
    <w:rsid w:val="009C311D"/>
    <w:rsid w:val="009C3CA9"/>
    <w:rsid w:val="009C43E9"/>
    <w:rsid w:val="009C5183"/>
    <w:rsid w:val="009C524D"/>
    <w:rsid w:val="009C5EEF"/>
    <w:rsid w:val="009C6CEA"/>
    <w:rsid w:val="009C7B66"/>
    <w:rsid w:val="009C7B85"/>
    <w:rsid w:val="009C7BFE"/>
    <w:rsid w:val="009D05AB"/>
    <w:rsid w:val="009D074A"/>
    <w:rsid w:val="009D220E"/>
    <w:rsid w:val="009D305D"/>
    <w:rsid w:val="009D3628"/>
    <w:rsid w:val="009D43AF"/>
    <w:rsid w:val="009D44E9"/>
    <w:rsid w:val="009D4A83"/>
    <w:rsid w:val="009D5087"/>
    <w:rsid w:val="009D528C"/>
    <w:rsid w:val="009D5B91"/>
    <w:rsid w:val="009D7583"/>
    <w:rsid w:val="009D792E"/>
    <w:rsid w:val="009D7D46"/>
    <w:rsid w:val="009D7EA2"/>
    <w:rsid w:val="009E0612"/>
    <w:rsid w:val="009E0DFE"/>
    <w:rsid w:val="009E24CB"/>
    <w:rsid w:val="009E25F8"/>
    <w:rsid w:val="009E2D7E"/>
    <w:rsid w:val="009E3A21"/>
    <w:rsid w:val="009E3CA9"/>
    <w:rsid w:val="009E4A00"/>
    <w:rsid w:val="009E4C07"/>
    <w:rsid w:val="009E5407"/>
    <w:rsid w:val="009E74BA"/>
    <w:rsid w:val="009E7640"/>
    <w:rsid w:val="009E7916"/>
    <w:rsid w:val="009F051E"/>
    <w:rsid w:val="009F0825"/>
    <w:rsid w:val="009F08AE"/>
    <w:rsid w:val="009F10E4"/>
    <w:rsid w:val="009F168E"/>
    <w:rsid w:val="009F16EB"/>
    <w:rsid w:val="009F3ABA"/>
    <w:rsid w:val="009F3C35"/>
    <w:rsid w:val="009F46E3"/>
    <w:rsid w:val="009F47A7"/>
    <w:rsid w:val="009F4E70"/>
    <w:rsid w:val="009F5624"/>
    <w:rsid w:val="009F5633"/>
    <w:rsid w:val="009F6EA4"/>
    <w:rsid w:val="009F76B1"/>
    <w:rsid w:val="009F7755"/>
    <w:rsid w:val="00A00EAA"/>
    <w:rsid w:val="00A01184"/>
    <w:rsid w:val="00A01DD1"/>
    <w:rsid w:val="00A01E0C"/>
    <w:rsid w:val="00A02DA1"/>
    <w:rsid w:val="00A03127"/>
    <w:rsid w:val="00A0362E"/>
    <w:rsid w:val="00A03D43"/>
    <w:rsid w:val="00A0413F"/>
    <w:rsid w:val="00A04380"/>
    <w:rsid w:val="00A04684"/>
    <w:rsid w:val="00A05A02"/>
    <w:rsid w:val="00A0659E"/>
    <w:rsid w:val="00A065A2"/>
    <w:rsid w:val="00A06690"/>
    <w:rsid w:val="00A06954"/>
    <w:rsid w:val="00A07373"/>
    <w:rsid w:val="00A0747C"/>
    <w:rsid w:val="00A07D50"/>
    <w:rsid w:val="00A11CD0"/>
    <w:rsid w:val="00A11EA7"/>
    <w:rsid w:val="00A122EA"/>
    <w:rsid w:val="00A1304D"/>
    <w:rsid w:val="00A13948"/>
    <w:rsid w:val="00A1555B"/>
    <w:rsid w:val="00A155C5"/>
    <w:rsid w:val="00A15B46"/>
    <w:rsid w:val="00A15D80"/>
    <w:rsid w:val="00A166D6"/>
    <w:rsid w:val="00A16908"/>
    <w:rsid w:val="00A16AD8"/>
    <w:rsid w:val="00A16E7E"/>
    <w:rsid w:val="00A1750D"/>
    <w:rsid w:val="00A21CF3"/>
    <w:rsid w:val="00A227BE"/>
    <w:rsid w:val="00A22803"/>
    <w:rsid w:val="00A22DD8"/>
    <w:rsid w:val="00A22EA3"/>
    <w:rsid w:val="00A23311"/>
    <w:rsid w:val="00A23366"/>
    <w:rsid w:val="00A24522"/>
    <w:rsid w:val="00A27AEC"/>
    <w:rsid w:val="00A3047C"/>
    <w:rsid w:val="00A307A2"/>
    <w:rsid w:val="00A30A36"/>
    <w:rsid w:val="00A31059"/>
    <w:rsid w:val="00A320DB"/>
    <w:rsid w:val="00A324D2"/>
    <w:rsid w:val="00A32BCB"/>
    <w:rsid w:val="00A3473B"/>
    <w:rsid w:val="00A34A98"/>
    <w:rsid w:val="00A34EB6"/>
    <w:rsid w:val="00A35593"/>
    <w:rsid w:val="00A35D16"/>
    <w:rsid w:val="00A361B3"/>
    <w:rsid w:val="00A369C5"/>
    <w:rsid w:val="00A37BCD"/>
    <w:rsid w:val="00A407A1"/>
    <w:rsid w:val="00A40964"/>
    <w:rsid w:val="00A409A4"/>
    <w:rsid w:val="00A40E56"/>
    <w:rsid w:val="00A4200B"/>
    <w:rsid w:val="00A42E76"/>
    <w:rsid w:val="00A4355D"/>
    <w:rsid w:val="00A43C59"/>
    <w:rsid w:val="00A44864"/>
    <w:rsid w:val="00A456A7"/>
    <w:rsid w:val="00A458B2"/>
    <w:rsid w:val="00A463D7"/>
    <w:rsid w:val="00A47BCC"/>
    <w:rsid w:val="00A50D76"/>
    <w:rsid w:val="00A50ECD"/>
    <w:rsid w:val="00A512DA"/>
    <w:rsid w:val="00A51323"/>
    <w:rsid w:val="00A5184C"/>
    <w:rsid w:val="00A518F3"/>
    <w:rsid w:val="00A521F4"/>
    <w:rsid w:val="00A52729"/>
    <w:rsid w:val="00A528F9"/>
    <w:rsid w:val="00A53675"/>
    <w:rsid w:val="00A53876"/>
    <w:rsid w:val="00A53942"/>
    <w:rsid w:val="00A54DC0"/>
    <w:rsid w:val="00A5530D"/>
    <w:rsid w:val="00A564D7"/>
    <w:rsid w:val="00A56B6A"/>
    <w:rsid w:val="00A57655"/>
    <w:rsid w:val="00A5779E"/>
    <w:rsid w:val="00A578DC"/>
    <w:rsid w:val="00A60092"/>
    <w:rsid w:val="00A63CBF"/>
    <w:rsid w:val="00A644EB"/>
    <w:rsid w:val="00A64BC4"/>
    <w:rsid w:val="00A6593A"/>
    <w:rsid w:val="00A667A7"/>
    <w:rsid w:val="00A66F30"/>
    <w:rsid w:val="00A67008"/>
    <w:rsid w:val="00A670EE"/>
    <w:rsid w:val="00A671D2"/>
    <w:rsid w:val="00A6725B"/>
    <w:rsid w:val="00A70224"/>
    <w:rsid w:val="00A70605"/>
    <w:rsid w:val="00A70814"/>
    <w:rsid w:val="00A70DC1"/>
    <w:rsid w:val="00A72384"/>
    <w:rsid w:val="00A72FBB"/>
    <w:rsid w:val="00A73134"/>
    <w:rsid w:val="00A7596F"/>
    <w:rsid w:val="00A75A5A"/>
    <w:rsid w:val="00A763EF"/>
    <w:rsid w:val="00A765FF"/>
    <w:rsid w:val="00A76A65"/>
    <w:rsid w:val="00A76E60"/>
    <w:rsid w:val="00A76F32"/>
    <w:rsid w:val="00A777B2"/>
    <w:rsid w:val="00A80892"/>
    <w:rsid w:val="00A80E74"/>
    <w:rsid w:val="00A81D35"/>
    <w:rsid w:val="00A8339F"/>
    <w:rsid w:val="00A84028"/>
    <w:rsid w:val="00A86E8B"/>
    <w:rsid w:val="00A870AB"/>
    <w:rsid w:val="00A87164"/>
    <w:rsid w:val="00A87BC0"/>
    <w:rsid w:val="00A87DED"/>
    <w:rsid w:val="00A90728"/>
    <w:rsid w:val="00A90DB8"/>
    <w:rsid w:val="00A915A5"/>
    <w:rsid w:val="00A927F1"/>
    <w:rsid w:val="00A93072"/>
    <w:rsid w:val="00A935A4"/>
    <w:rsid w:val="00A93953"/>
    <w:rsid w:val="00A94205"/>
    <w:rsid w:val="00A959D8"/>
    <w:rsid w:val="00A96AA2"/>
    <w:rsid w:val="00A96B33"/>
    <w:rsid w:val="00A97E0D"/>
    <w:rsid w:val="00AA012D"/>
    <w:rsid w:val="00AA113D"/>
    <w:rsid w:val="00AA1D26"/>
    <w:rsid w:val="00AA2CA0"/>
    <w:rsid w:val="00AA3353"/>
    <w:rsid w:val="00AA35CF"/>
    <w:rsid w:val="00AA3C32"/>
    <w:rsid w:val="00AA48F9"/>
    <w:rsid w:val="00AA4CC9"/>
    <w:rsid w:val="00AA6403"/>
    <w:rsid w:val="00AA6C7D"/>
    <w:rsid w:val="00AA7FD6"/>
    <w:rsid w:val="00AB042A"/>
    <w:rsid w:val="00AB06F6"/>
    <w:rsid w:val="00AB1391"/>
    <w:rsid w:val="00AB17F5"/>
    <w:rsid w:val="00AB2D34"/>
    <w:rsid w:val="00AB3430"/>
    <w:rsid w:val="00AB4886"/>
    <w:rsid w:val="00AB4A36"/>
    <w:rsid w:val="00AB4A3D"/>
    <w:rsid w:val="00AB4AD1"/>
    <w:rsid w:val="00AB647E"/>
    <w:rsid w:val="00AB67F9"/>
    <w:rsid w:val="00AB6ADE"/>
    <w:rsid w:val="00AB6DB5"/>
    <w:rsid w:val="00AB7B8B"/>
    <w:rsid w:val="00AB7CFA"/>
    <w:rsid w:val="00AC07A9"/>
    <w:rsid w:val="00AC08D7"/>
    <w:rsid w:val="00AC0C89"/>
    <w:rsid w:val="00AC107A"/>
    <w:rsid w:val="00AC1D71"/>
    <w:rsid w:val="00AC2D19"/>
    <w:rsid w:val="00AC36FA"/>
    <w:rsid w:val="00AC4F2D"/>
    <w:rsid w:val="00AC54D0"/>
    <w:rsid w:val="00AC5B48"/>
    <w:rsid w:val="00AC5BE4"/>
    <w:rsid w:val="00AC609E"/>
    <w:rsid w:val="00AC6864"/>
    <w:rsid w:val="00AC7537"/>
    <w:rsid w:val="00AC7699"/>
    <w:rsid w:val="00AC772D"/>
    <w:rsid w:val="00AC7CDA"/>
    <w:rsid w:val="00AD0906"/>
    <w:rsid w:val="00AD12C8"/>
    <w:rsid w:val="00AD13D7"/>
    <w:rsid w:val="00AD17B7"/>
    <w:rsid w:val="00AD1EB1"/>
    <w:rsid w:val="00AD2448"/>
    <w:rsid w:val="00AD28C0"/>
    <w:rsid w:val="00AD37BC"/>
    <w:rsid w:val="00AD4098"/>
    <w:rsid w:val="00AD6444"/>
    <w:rsid w:val="00AD6502"/>
    <w:rsid w:val="00AD6A57"/>
    <w:rsid w:val="00AD6AC4"/>
    <w:rsid w:val="00AD6CEA"/>
    <w:rsid w:val="00AD741D"/>
    <w:rsid w:val="00AD7F35"/>
    <w:rsid w:val="00AE0BB8"/>
    <w:rsid w:val="00AE2A93"/>
    <w:rsid w:val="00AE3999"/>
    <w:rsid w:val="00AE4018"/>
    <w:rsid w:val="00AE4612"/>
    <w:rsid w:val="00AE4926"/>
    <w:rsid w:val="00AE52B7"/>
    <w:rsid w:val="00AE5627"/>
    <w:rsid w:val="00AE572A"/>
    <w:rsid w:val="00AE660E"/>
    <w:rsid w:val="00AE6804"/>
    <w:rsid w:val="00AF048F"/>
    <w:rsid w:val="00AF068F"/>
    <w:rsid w:val="00AF08FB"/>
    <w:rsid w:val="00AF0D28"/>
    <w:rsid w:val="00AF1315"/>
    <w:rsid w:val="00AF19BF"/>
    <w:rsid w:val="00AF19D7"/>
    <w:rsid w:val="00AF236C"/>
    <w:rsid w:val="00AF28CF"/>
    <w:rsid w:val="00AF2DC3"/>
    <w:rsid w:val="00AF4DA7"/>
    <w:rsid w:val="00AF6421"/>
    <w:rsid w:val="00AF6A0A"/>
    <w:rsid w:val="00AF7B27"/>
    <w:rsid w:val="00B00807"/>
    <w:rsid w:val="00B01F52"/>
    <w:rsid w:val="00B033E5"/>
    <w:rsid w:val="00B03A63"/>
    <w:rsid w:val="00B03BDD"/>
    <w:rsid w:val="00B03C23"/>
    <w:rsid w:val="00B03D3D"/>
    <w:rsid w:val="00B046A0"/>
    <w:rsid w:val="00B05BCA"/>
    <w:rsid w:val="00B06637"/>
    <w:rsid w:val="00B06DCE"/>
    <w:rsid w:val="00B06DE5"/>
    <w:rsid w:val="00B07765"/>
    <w:rsid w:val="00B07CDB"/>
    <w:rsid w:val="00B100D4"/>
    <w:rsid w:val="00B104C4"/>
    <w:rsid w:val="00B11362"/>
    <w:rsid w:val="00B113A7"/>
    <w:rsid w:val="00B11A98"/>
    <w:rsid w:val="00B12A76"/>
    <w:rsid w:val="00B13808"/>
    <w:rsid w:val="00B142C0"/>
    <w:rsid w:val="00B163C0"/>
    <w:rsid w:val="00B1679B"/>
    <w:rsid w:val="00B17330"/>
    <w:rsid w:val="00B17486"/>
    <w:rsid w:val="00B179DD"/>
    <w:rsid w:val="00B201A4"/>
    <w:rsid w:val="00B20485"/>
    <w:rsid w:val="00B20589"/>
    <w:rsid w:val="00B213A6"/>
    <w:rsid w:val="00B2203A"/>
    <w:rsid w:val="00B225CE"/>
    <w:rsid w:val="00B24AA3"/>
    <w:rsid w:val="00B24DF6"/>
    <w:rsid w:val="00B25730"/>
    <w:rsid w:val="00B2649D"/>
    <w:rsid w:val="00B26733"/>
    <w:rsid w:val="00B27586"/>
    <w:rsid w:val="00B27777"/>
    <w:rsid w:val="00B27913"/>
    <w:rsid w:val="00B27BBA"/>
    <w:rsid w:val="00B305CF"/>
    <w:rsid w:val="00B31A92"/>
    <w:rsid w:val="00B3262B"/>
    <w:rsid w:val="00B32F38"/>
    <w:rsid w:val="00B3327C"/>
    <w:rsid w:val="00B33F31"/>
    <w:rsid w:val="00B342AB"/>
    <w:rsid w:val="00B34FE2"/>
    <w:rsid w:val="00B357D8"/>
    <w:rsid w:val="00B3590C"/>
    <w:rsid w:val="00B36252"/>
    <w:rsid w:val="00B36256"/>
    <w:rsid w:val="00B36E3C"/>
    <w:rsid w:val="00B3706B"/>
    <w:rsid w:val="00B37BFC"/>
    <w:rsid w:val="00B40358"/>
    <w:rsid w:val="00B4069A"/>
    <w:rsid w:val="00B40783"/>
    <w:rsid w:val="00B41614"/>
    <w:rsid w:val="00B42004"/>
    <w:rsid w:val="00B42851"/>
    <w:rsid w:val="00B42F80"/>
    <w:rsid w:val="00B435CB"/>
    <w:rsid w:val="00B440EF"/>
    <w:rsid w:val="00B44A67"/>
    <w:rsid w:val="00B4523A"/>
    <w:rsid w:val="00B4590B"/>
    <w:rsid w:val="00B45D6C"/>
    <w:rsid w:val="00B45F81"/>
    <w:rsid w:val="00B46793"/>
    <w:rsid w:val="00B46C5B"/>
    <w:rsid w:val="00B47F0D"/>
    <w:rsid w:val="00B50B91"/>
    <w:rsid w:val="00B50DB8"/>
    <w:rsid w:val="00B51741"/>
    <w:rsid w:val="00B521CE"/>
    <w:rsid w:val="00B52FDF"/>
    <w:rsid w:val="00B53654"/>
    <w:rsid w:val="00B53905"/>
    <w:rsid w:val="00B54B5B"/>
    <w:rsid w:val="00B5562E"/>
    <w:rsid w:val="00B55CD7"/>
    <w:rsid w:val="00B55CEB"/>
    <w:rsid w:val="00B56D09"/>
    <w:rsid w:val="00B57000"/>
    <w:rsid w:val="00B60939"/>
    <w:rsid w:val="00B60A00"/>
    <w:rsid w:val="00B60AFD"/>
    <w:rsid w:val="00B620C3"/>
    <w:rsid w:val="00B62715"/>
    <w:rsid w:val="00B634F7"/>
    <w:rsid w:val="00B64072"/>
    <w:rsid w:val="00B650D3"/>
    <w:rsid w:val="00B70030"/>
    <w:rsid w:val="00B70174"/>
    <w:rsid w:val="00B70E1E"/>
    <w:rsid w:val="00B715EA"/>
    <w:rsid w:val="00B71856"/>
    <w:rsid w:val="00B71A0D"/>
    <w:rsid w:val="00B720BE"/>
    <w:rsid w:val="00B73B25"/>
    <w:rsid w:val="00B76676"/>
    <w:rsid w:val="00B768F8"/>
    <w:rsid w:val="00B769C8"/>
    <w:rsid w:val="00B77267"/>
    <w:rsid w:val="00B8028C"/>
    <w:rsid w:val="00B807FE"/>
    <w:rsid w:val="00B808BF"/>
    <w:rsid w:val="00B81064"/>
    <w:rsid w:val="00B818A4"/>
    <w:rsid w:val="00B82E7A"/>
    <w:rsid w:val="00B83E6C"/>
    <w:rsid w:val="00B84117"/>
    <w:rsid w:val="00B849B7"/>
    <w:rsid w:val="00B85304"/>
    <w:rsid w:val="00B85831"/>
    <w:rsid w:val="00B85AA2"/>
    <w:rsid w:val="00B8612B"/>
    <w:rsid w:val="00B86211"/>
    <w:rsid w:val="00B8649C"/>
    <w:rsid w:val="00B87EC7"/>
    <w:rsid w:val="00B87F0A"/>
    <w:rsid w:val="00B90A8F"/>
    <w:rsid w:val="00B90FE1"/>
    <w:rsid w:val="00B919FF"/>
    <w:rsid w:val="00B91BDC"/>
    <w:rsid w:val="00B91E4A"/>
    <w:rsid w:val="00B92B91"/>
    <w:rsid w:val="00B92CFD"/>
    <w:rsid w:val="00B92D0B"/>
    <w:rsid w:val="00B940E6"/>
    <w:rsid w:val="00B94945"/>
    <w:rsid w:val="00B9702A"/>
    <w:rsid w:val="00BA02DF"/>
    <w:rsid w:val="00BA0664"/>
    <w:rsid w:val="00BA0ED8"/>
    <w:rsid w:val="00BA15F3"/>
    <w:rsid w:val="00BA1D45"/>
    <w:rsid w:val="00BA214A"/>
    <w:rsid w:val="00BA27EB"/>
    <w:rsid w:val="00BA2A07"/>
    <w:rsid w:val="00BA322D"/>
    <w:rsid w:val="00BA5837"/>
    <w:rsid w:val="00BA63E6"/>
    <w:rsid w:val="00BA7C97"/>
    <w:rsid w:val="00BB03F2"/>
    <w:rsid w:val="00BB0BDD"/>
    <w:rsid w:val="00BB1145"/>
    <w:rsid w:val="00BB16FF"/>
    <w:rsid w:val="00BB2699"/>
    <w:rsid w:val="00BB2A73"/>
    <w:rsid w:val="00BB2FD6"/>
    <w:rsid w:val="00BB4AC6"/>
    <w:rsid w:val="00BB4ACC"/>
    <w:rsid w:val="00BB4EA6"/>
    <w:rsid w:val="00BB5C69"/>
    <w:rsid w:val="00BB6680"/>
    <w:rsid w:val="00BB670A"/>
    <w:rsid w:val="00BB69BB"/>
    <w:rsid w:val="00BB6D59"/>
    <w:rsid w:val="00BB703E"/>
    <w:rsid w:val="00BB720F"/>
    <w:rsid w:val="00BB7405"/>
    <w:rsid w:val="00BB7D98"/>
    <w:rsid w:val="00BC1011"/>
    <w:rsid w:val="00BC1B55"/>
    <w:rsid w:val="00BC1D0A"/>
    <w:rsid w:val="00BC1FA1"/>
    <w:rsid w:val="00BC33B0"/>
    <w:rsid w:val="00BC3631"/>
    <w:rsid w:val="00BC4422"/>
    <w:rsid w:val="00BC4931"/>
    <w:rsid w:val="00BC50A8"/>
    <w:rsid w:val="00BC5F56"/>
    <w:rsid w:val="00BC61DF"/>
    <w:rsid w:val="00BC70C3"/>
    <w:rsid w:val="00BD0BB5"/>
    <w:rsid w:val="00BD122C"/>
    <w:rsid w:val="00BD1C60"/>
    <w:rsid w:val="00BD5F59"/>
    <w:rsid w:val="00BD68A3"/>
    <w:rsid w:val="00BD6938"/>
    <w:rsid w:val="00BD6CF3"/>
    <w:rsid w:val="00BD6DFD"/>
    <w:rsid w:val="00BD7AF1"/>
    <w:rsid w:val="00BD7F56"/>
    <w:rsid w:val="00BE010C"/>
    <w:rsid w:val="00BE2180"/>
    <w:rsid w:val="00BE219F"/>
    <w:rsid w:val="00BE21F2"/>
    <w:rsid w:val="00BE24DF"/>
    <w:rsid w:val="00BE2BA2"/>
    <w:rsid w:val="00BE2D9C"/>
    <w:rsid w:val="00BE2DBC"/>
    <w:rsid w:val="00BE3BC8"/>
    <w:rsid w:val="00BE4275"/>
    <w:rsid w:val="00BE44B4"/>
    <w:rsid w:val="00BE4C29"/>
    <w:rsid w:val="00BE5395"/>
    <w:rsid w:val="00BE5597"/>
    <w:rsid w:val="00BE5735"/>
    <w:rsid w:val="00BE5830"/>
    <w:rsid w:val="00BE676D"/>
    <w:rsid w:val="00BE6B93"/>
    <w:rsid w:val="00BE7666"/>
    <w:rsid w:val="00BE76EF"/>
    <w:rsid w:val="00BF0934"/>
    <w:rsid w:val="00BF0F6E"/>
    <w:rsid w:val="00BF0F95"/>
    <w:rsid w:val="00BF17B9"/>
    <w:rsid w:val="00BF2433"/>
    <w:rsid w:val="00BF3778"/>
    <w:rsid w:val="00BF39A3"/>
    <w:rsid w:val="00BF3D40"/>
    <w:rsid w:val="00BF430D"/>
    <w:rsid w:val="00BF48F8"/>
    <w:rsid w:val="00BF4B19"/>
    <w:rsid w:val="00BF5387"/>
    <w:rsid w:val="00BF5BEB"/>
    <w:rsid w:val="00BF61C9"/>
    <w:rsid w:val="00BF63CB"/>
    <w:rsid w:val="00BF6C94"/>
    <w:rsid w:val="00BF7D85"/>
    <w:rsid w:val="00C003AE"/>
    <w:rsid w:val="00C00424"/>
    <w:rsid w:val="00C0108C"/>
    <w:rsid w:val="00C01554"/>
    <w:rsid w:val="00C01DEF"/>
    <w:rsid w:val="00C042EE"/>
    <w:rsid w:val="00C047CF"/>
    <w:rsid w:val="00C04B23"/>
    <w:rsid w:val="00C050FC"/>
    <w:rsid w:val="00C0512D"/>
    <w:rsid w:val="00C05DFB"/>
    <w:rsid w:val="00C10608"/>
    <w:rsid w:val="00C119B0"/>
    <w:rsid w:val="00C122BD"/>
    <w:rsid w:val="00C12C14"/>
    <w:rsid w:val="00C1570E"/>
    <w:rsid w:val="00C160C7"/>
    <w:rsid w:val="00C200AA"/>
    <w:rsid w:val="00C20670"/>
    <w:rsid w:val="00C20759"/>
    <w:rsid w:val="00C21E2B"/>
    <w:rsid w:val="00C23351"/>
    <w:rsid w:val="00C237ED"/>
    <w:rsid w:val="00C23D03"/>
    <w:rsid w:val="00C245B0"/>
    <w:rsid w:val="00C24632"/>
    <w:rsid w:val="00C24740"/>
    <w:rsid w:val="00C25418"/>
    <w:rsid w:val="00C258F0"/>
    <w:rsid w:val="00C25993"/>
    <w:rsid w:val="00C25D9C"/>
    <w:rsid w:val="00C260BD"/>
    <w:rsid w:val="00C26594"/>
    <w:rsid w:val="00C275E6"/>
    <w:rsid w:val="00C2778B"/>
    <w:rsid w:val="00C2798B"/>
    <w:rsid w:val="00C303E0"/>
    <w:rsid w:val="00C30EDD"/>
    <w:rsid w:val="00C310D7"/>
    <w:rsid w:val="00C31649"/>
    <w:rsid w:val="00C31760"/>
    <w:rsid w:val="00C322DA"/>
    <w:rsid w:val="00C334AF"/>
    <w:rsid w:val="00C346EE"/>
    <w:rsid w:val="00C35317"/>
    <w:rsid w:val="00C368E8"/>
    <w:rsid w:val="00C372C1"/>
    <w:rsid w:val="00C40385"/>
    <w:rsid w:val="00C40D17"/>
    <w:rsid w:val="00C41975"/>
    <w:rsid w:val="00C42E87"/>
    <w:rsid w:val="00C43207"/>
    <w:rsid w:val="00C43A43"/>
    <w:rsid w:val="00C4460A"/>
    <w:rsid w:val="00C451A7"/>
    <w:rsid w:val="00C46EEE"/>
    <w:rsid w:val="00C4718A"/>
    <w:rsid w:val="00C475AA"/>
    <w:rsid w:val="00C475E2"/>
    <w:rsid w:val="00C47714"/>
    <w:rsid w:val="00C5006B"/>
    <w:rsid w:val="00C532A3"/>
    <w:rsid w:val="00C532DA"/>
    <w:rsid w:val="00C53332"/>
    <w:rsid w:val="00C54EC7"/>
    <w:rsid w:val="00C551DE"/>
    <w:rsid w:val="00C55223"/>
    <w:rsid w:val="00C5586C"/>
    <w:rsid w:val="00C564FF"/>
    <w:rsid w:val="00C56725"/>
    <w:rsid w:val="00C61349"/>
    <w:rsid w:val="00C6134D"/>
    <w:rsid w:val="00C613E8"/>
    <w:rsid w:val="00C61E07"/>
    <w:rsid w:val="00C63D4E"/>
    <w:rsid w:val="00C643AC"/>
    <w:rsid w:val="00C64480"/>
    <w:rsid w:val="00C64FDE"/>
    <w:rsid w:val="00C65576"/>
    <w:rsid w:val="00C66165"/>
    <w:rsid w:val="00C66447"/>
    <w:rsid w:val="00C66C1F"/>
    <w:rsid w:val="00C6759B"/>
    <w:rsid w:val="00C676B0"/>
    <w:rsid w:val="00C679C3"/>
    <w:rsid w:val="00C7151A"/>
    <w:rsid w:val="00C71CAE"/>
    <w:rsid w:val="00C71E12"/>
    <w:rsid w:val="00C71F60"/>
    <w:rsid w:val="00C71FB8"/>
    <w:rsid w:val="00C72241"/>
    <w:rsid w:val="00C732FB"/>
    <w:rsid w:val="00C741DE"/>
    <w:rsid w:val="00C743C2"/>
    <w:rsid w:val="00C750C8"/>
    <w:rsid w:val="00C7560F"/>
    <w:rsid w:val="00C80A0E"/>
    <w:rsid w:val="00C81213"/>
    <w:rsid w:val="00C8213F"/>
    <w:rsid w:val="00C82FD7"/>
    <w:rsid w:val="00C84725"/>
    <w:rsid w:val="00C84B0F"/>
    <w:rsid w:val="00C85E7D"/>
    <w:rsid w:val="00C862A0"/>
    <w:rsid w:val="00C86BAB"/>
    <w:rsid w:val="00C8797A"/>
    <w:rsid w:val="00C8798A"/>
    <w:rsid w:val="00C87E8D"/>
    <w:rsid w:val="00C900B8"/>
    <w:rsid w:val="00C90C71"/>
    <w:rsid w:val="00C911D2"/>
    <w:rsid w:val="00C91ACB"/>
    <w:rsid w:val="00C92579"/>
    <w:rsid w:val="00C92D23"/>
    <w:rsid w:val="00C931CF"/>
    <w:rsid w:val="00C9325D"/>
    <w:rsid w:val="00C93271"/>
    <w:rsid w:val="00C938CF"/>
    <w:rsid w:val="00C94436"/>
    <w:rsid w:val="00C9450B"/>
    <w:rsid w:val="00C951A9"/>
    <w:rsid w:val="00C9582B"/>
    <w:rsid w:val="00C9605A"/>
    <w:rsid w:val="00C9620C"/>
    <w:rsid w:val="00C9624D"/>
    <w:rsid w:val="00C969DA"/>
    <w:rsid w:val="00C978B6"/>
    <w:rsid w:val="00C97C29"/>
    <w:rsid w:val="00CA0CA4"/>
    <w:rsid w:val="00CA1275"/>
    <w:rsid w:val="00CA12D8"/>
    <w:rsid w:val="00CA21EC"/>
    <w:rsid w:val="00CA27F7"/>
    <w:rsid w:val="00CA2C77"/>
    <w:rsid w:val="00CA444F"/>
    <w:rsid w:val="00CA49C7"/>
    <w:rsid w:val="00CA4B93"/>
    <w:rsid w:val="00CA5245"/>
    <w:rsid w:val="00CA540B"/>
    <w:rsid w:val="00CA57D5"/>
    <w:rsid w:val="00CA5A7E"/>
    <w:rsid w:val="00CA66CC"/>
    <w:rsid w:val="00CA69A5"/>
    <w:rsid w:val="00CA71F4"/>
    <w:rsid w:val="00CA788B"/>
    <w:rsid w:val="00CA7B09"/>
    <w:rsid w:val="00CB018A"/>
    <w:rsid w:val="00CB0D01"/>
    <w:rsid w:val="00CB18C8"/>
    <w:rsid w:val="00CB2AA4"/>
    <w:rsid w:val="00CB2F2A"/>
    <w:rsid w:val="00CB3669"/>
    <w:rsid w:val="00CB38F6"/>
    <w:rsid w:val="00CB3DE4"/>
    <w:rsid w:val="00CB401B"/>
    <w:rsid w:val="00CB40D3"/>
    <w:rsid w:val="00CB43FD"/>
    <w:rsid w:val="00CB4BB6"/>
    <w:rsid w:val="00CB4FF3"/>
    <w:rsid w:val="00CB5B1A"/>
    <w:rsid w:val="00CB6B22"/>
    <w:rsid w:val="00CB7F5F"/>
    <w:rsid w:val="00CC01E6"/>
    <w:rsid w:val="00CC16CB"/>
    <w:rsid w:val="00CC1718"/>
    <w:rsid w:val="00CC1B39"/>
    <w:rsid w:val="00CC1C9E"/>
    <w:rsid w:val="00CC1E0C"/>
    <w:rsid w:val="00CC28A2"/>
    <w:rsid w:val="00CC2901"/>
    <w:rsid w:val="00CC343A"/>
    <w:rsid w:val="00CC3A53"/>
    <w:rsid w:val="00CC6ECF"/>
    <w:rsid w:val="00CC7A59"/>
    <w:rsid w:val="00CC7CBD"/>
    <w:rsid w:val="00CC7DF1"/>
    <w:rsid w:val="00CD01E9"/>
    <w:rsid w:val="00CD1BFA"/>
    <w:rsid w:val="00CD1F63"/>
    <w:rsid w:val="00CD29E7"/>
    <w:rsid w:val="00CD30A8"/>
    <w:rsid w:val="00CD30EF"/>
    <w:rsid w:val="00CD3887"/>
    <w:rsid w:val="00CD3BCD"/>
    <w:rsid w:val="00CD3C95"/>
    <w:rsid w:val="00CD406D"/>
    <w:rsid w:val="00CD46EC"/>
    <w:rsid w:val="00CD4B70"/>
    <w:rsid w:val="00CD5B5C"/>
    <w:rsid w:val="00CD62AA"/>
    <w:rsid w:val="00CD6689"/>
    <w:rsid w:val="00CD66C9"/>
    <w:rsid w:val="00CD6ADC"/>
    <w:rsid w:val="00CD6FF6"/>
    <w:rsid w:val="00CE0CB9"/>
    <w:rsid w:val="00CE1B7E"/>
    <w:rsid w:val="00CE2372"/>
    <w:rsid w:val="00CE2FBA"/>
    <w:rsid w:val="00CE301D"/>
    <w:rsid w:val="00CE57ED"/>
    <w:rsid w:val="00CE6274"/>
    <w:rsid w:val="00CF1C17"/>
    <w:rsid w:val="00CF27FD"/>
    <w:rsid w:val="00CF2B8D"/>
    <w:rsid w:val="00CF3998"/>
    <w:rsid w:val="00CF3EF8"/>
    <w:rsid w:val="00CF456B"/>
    <w:rsid w:val="00CF4755"/>
    <w:rsid w:val="00CF4B3B"/>
    <w:rsid w:val="00CF574C"/>
    <w:rsid w:val="00CF5A22"/>
    <w:rsid w:val="00CF5CFF"/>
    <w:rsid w:val="00CF5F85"/>
    <w:rsid w:val="00CF62C0"/>
    <w:rsid w:val="00CF7353"/>
    <w:rsid w:val="00D01294"/>
    <w:rsid w:val="00D01A10"/>
    <w:rsid w:val="00D0262E"/>
    <w:rsid w:val="00D02C75"/>
    <w:rsid w:val="00D0302F"/>
    <w:rsid w:val="00D0335C"/>
    <w:rsid w:val="00D0336A"/>
    <w:rsid w:val="00D045A5"/>
    <w:rsid w:val="00D068E7"/>
    <w:rsid w:val="00D071C1"/>
    <w:rsid w:val="00D071CC"/>
    <w:rsid w:val="00D072C1"/>
    <w:rsid w:val="00D07D15"/>
    <w:rsid w:val="00D10BE9"/>
    <w:rsid w:val="00D110BD"/>
    <w:rsid w:val="00D127BD"/>
    <w:rsid w:val="00D134B3"/>
    <w:rsid w:val="00D13675"/>
    <w:rsid w:val="00D13F8B"/>
    <w:rsid w:val="00D141E1"/>
    <w:rsid w:val="00D144E5"/>
    <w:rsid w:val="00D14A4C"/>
    <w:rsid w:val="00D15E82"/>
    <w:rsid w:val="00D15ECE"/>
    <w:rsid w:val="00D1690A"/>
    <w:rsid w:val="00D16A47"/>
    <w:rsid w:val="00D16B6E"/>
    <w:rsid w:val="00D17D6C"/>
    <w:rsid w:val="00D20885"/>
    <w:rsid w:val="00D2133C"/>
    <w:rsid w:val="00D224C2"/>
    <w:rsid w:val="00D22EC0"/>
    <w:rsid w:val="00D2325C"/>
    <w:rsid w:val="00D2387E"/>
    <w:rsid w:val="00D23D3D"/>
    <w:rsid w:val="00D25204"/>
    <w:rsid w:val="00D25407"/>
    <w:rsid w:val="00D25697"/>
    <w:rsid w:val="00D265F8"/>
    <w:rsid w:val="00D2754D"/>
    <w:rsid w:val="00D27B27"/>
    <w:rsid w:val="00D30577"/>
    <w:rsid w:val="00D30BAC"/>
    <w:rsid w:val="00D31745"/>
    <w:rsid w:val="00D32204"/>
    <w:rsid w:val="00D32843"/>
    <w:rsid w:val="00D332C0"/>
    <w:rsid w:val="00D33BE9"/>
    <w:rsid w:val="00D33CC3"/>
    <w:rsid w:val="00D3406E"/>
    <w:rsid w:val="00D357FF"/>
    <w:rsid w:val="00D363ED"/>
    <w:rsid w:val="00D40566"/>
    <w:rsid w:val="00D40576"/>
    <w:rsid w:val="00D41471"/>
    <w:rsid w:val="00D417B5"/>
    <w:rsid w:val="00D424C7"/>
    <w:rsid w:val="00D43261"/>
    <w:rsid w:val="00D436E9"/>
    <w:rsid w:val="00D4372A"/>
    <w:rsid w:val="00D43B2A"/>
    <w:rsid w:val="00D44CDE"/>
    <w:rsid w:val="00D456C3"/>
    <w:rsid w:val="00D45D17"/>
    <w:rsid w:val="00D47575"/>
    <w:rsid w:val="00D514C0"/>
    <w:rsid w:val="00D51A0F"/>
    <w:rsid w:val="00D53054"/>
    <w:rsid w:val="00D54BBF"/>
    <w:rsid w:val="00D55D25"/>
    <w:rsid w:val="00D57BC7"/>
    <w:rsid w:val="00D601CE"/>
    <w:rsid w:val="00D6056B"/>
    <w:rsid w:val="00D60A6B"/>
    <w:rsid w:val="00D6231B"/>
    <w:rsid w:val="00D63515"/>
    <w:rsid w:val="00D65078"/>
    <w:rsid w:val="00D65687"/>
    <w:rsid w:val="00D66507"/>
    <w:rsid w:val="00D70582"/>
    <w:rsid w:val="00D70703"/>
    <w:rsid w:val="00D70F16"/>
    <w:rsid w:val="00D72005"/>
    <w:rsid w:val="00D72BD6"/>
    <w:rsid w:val="00D7333C"/>
    <w:rsid w:val="00D74B41"/>
    <w:rsid w:val="00D761C4"/>
    <w:rsid w:val="00D7688A"/>
    <w:rsid w:val="00D76A44"/>
    <w:rsid w:val="00D76B41"/>
    <w:rsid w:val="00D76F01"/>
    <w:rsid w:val="00D77257"/>
    <w:rsid w:val="00D773B6"/>
    <w:rsid w:val="00D80871"/>
    <w:rsid w:val="00D809F2"/>
    <w:rsid w:val="00D80B29"/>
    <w:rsid w:val="00D815EF"/>
    <w:rsid w:val="00D824C0"/>
    <w:rsid w:val="00D831F2"/>
    <w:rsid w:val="00D83A33"/>
    <w:rsid w:val="00D84809"/>
    <w:rsid w:val="00D84EB5"/>
    <w:rsid w:val="00D86E91"/>
    <w:rsid w:val="00D87A10"/>
    <w:rsid w:val="00D9080F"/>
    <w:rsid w:val="00D90C08"/>
    <w:rsid w:val="00D912F2"/>
    <w:rsid w:val="00D914C6"/>
    <w:rsid w:val="00D914F9"/>
    <w:rsid w:val="00D91575"/>
    <w:rsid w:val="00D91923"/>
    <w:rsid w:val="00D92155"/>
    <w:rsid w:val="00D92FBD"/>
    <w:rsid w:val="00D93753"/>
    <w:rsid w:val="00D94789"/>
    <w:rsid w:val="00D95119"/>
    <w:rsid w:val="00D958A1"/>
    <w:rsid w:val="00D96833"/>
    <w:rsid w:val="00D97357"/>
    <w:rsid w:val="00D97955"/>
    <w:rsid w:val="00DA066C"/>
    <w:rsid w:val="00DA144D"/>
    <w:rsid w:val="00DA23C0"/>
    <w:rsid w:val="00DA27A4"/>
    <w:rsid w:val="00DA2DC0"/>
    <w:rsid w:val="00DA2FFF"/>
    <w:rsid w:val="00DA3167"/>
    <w:rsid w:val="00DA3610"/>
    <w:rsid w:val="00DA394C"/>
    <w:rsid w:val="00DA41C8"/>
    <w:rsid w:val="00DA4AAF"/>
    <w:rsid w:val="00DA4DC3"/>
    <w:rsid w:val="00DA65E7"/>
    <w:rsid w:val="00DA68D4"/>
    <w:rsid w:val="00DA77A5"/>
    <w:rsid w:val="00DB0685"/>
    <w:rsid w:val="00DB1699"/>
    <w:rsid w:val="00DB37BE"/>
    <w:rsid w:val="00DB3800"/>
    <w:rsid w:val="00DB3DAC"/>
    <w:rsid w:val="00DB484F"/>
    <w:rsid w:val="00DB5201"/>
    <w:rsid w:val="00DB56F2"/>
    <w:rsid w:val="00DB5DDA"/>
    <w:rsid w:val="00DB65B6"/>
    <w:rsid w:val="00DC04F6"/>
    <w:rsid w:val="00DC0807"/>
    <w:rsid w:val="00DC3286"/>
    <w:rsid w:val="00DC3C57"/>
    <w:rsid w:val="00DC4B1E"/>
    <w:rsid w:val="00DC4F13"/>
    <w:rsid w:val="00DC5501"/>
    <w:rsid w:val="00DC7168"/>
    <w:rsid w:val="00DD0410"/>
    <w:rsid w:val="00DD07C6"/>
    <w:rsid w:val="00DD092B"/>
    <w:rsid w:val="00DD0E24"/>
    <w:rsid w:val="00DD2192"/>
    <w:rsid w:val="00DD24FE"/>
    <w:rsid w:val="00DD25BE"/>
    <w:rsid w:val="00DD273C"/>
    <w:rsid w:val="00DD361D"/>
    <w:rsid w:val="00DD3F28"/>
    <w:rsid w:val="00DD43B9"/>
    <w:rsid w:val="00DD4537"/>
    <w:rsid w:val="00DD494C"/>
    <w:rsid w:val="00DD4BB6"/>
    <w:rsid w:val="00DD4E15"/>
    <w:rsid w:val="00DD664C"/>
    <w:rsid w:val="00DD7F45"/>
    <w:rsid w:val="00DE2D47"/>
    <w:rsid w:val="00DE3138"/>
    <w:rsid w:val="00DE3458"/>
    <w:rsid w:val="00DE37F8"/>
    <w:rsid w:val="00DE3C5A"/>
    <w:rsid w:val="00DE423B"/>
    <w:rsid w:val="00DE43CE"/>
    <w:rsid w:val="00DE4FCB"/>
    <w:rsid w:val="00DE5D42"/>
    <w:rsid w:val="00DE5D67"/>
    <w:rsid w:val="00DE6066"/>
    <w:rsid w:val="00DE616F"/>
    <w:rsid w:val="00DE6256"/>
    <w:rsid w:val="00DE64E0"/>
    <w:rsid w:val="00DE7832"/>
    <w:rsid w:val="00DE7D03"/>
    <w:rsid w:val="00DF1552"/>
    <w:rsid w:val="00DF18FC"/>
    <w:rsid w:val="00DF1FA9"/>
    <w:rsid w:val="00DF3394"/>
    <w:rsid w:val="00DF3BA0"/>
    <w:rsid w:val="00DF3D1A"/>
    <w:rsid w:val="00DF3E9D"/>
    <w:rsid w:val="00DF4E23"/>
    <w:rsid w:val="00DF5180"/>
    <w:rsid w:val="00DF5542"/>
    <w:rsid w:val="00DF5D2B"/>
    <w:rsid w:val="00DF669D"/>
    <w:rsid w:val="00DF6781"/>
    <w:rsid w:val="00DF6E7C"/>
    <w:rsid w:val="00DF7AC1"/>
    <w:rsid w:val="00DF7FFD"/>
    <w:rsid w:val="00E00355"/>
    <w:rsid w:val="00E00E8E"/>
    <w:rsid w:val="00E01F99"/>
    <w:rsid w:val="00E022CA"/>
    <w:rsid w:val="00E0240D"/>
    <w:rsid w:val="00E02E86"/>
    <w:rsid w:val="00E04848"/>
    <w:rsid w:val="00E05630"/>
    <w:rsid w:val="00E05C21"/>
    <w:rsid w:val="00E068A0"/>
    <w:rsid w:val="00E06DBB"/>
    <w:rsid w:val="00E10149"/>
    <w:rsid w:val="00E104CE"/>
    <w:rsid w:val="00E106D1"/>
    <w:rsid w:val="00E11851"/>
    <w:rsid w:val="00E143E8"/>
    <w:rsid w:val="00E14CA9"/>
    <w:rsid w:val="00E14F2D"/>
    <w:rsid w:val="00E14F72"/>
    <w:rsid w:val="00E15286"/>
    <w:rsid w:val="00E16372"/>
    <w:rsid w:val="00E16895"/>
    <w:rsid w:val="00E17148"/>
    <w:rsid w:val="00E17ED7"/>
    <w:rsid w:val="00E20E4D"/>
    <w:rsid w:val="00E20ED6"/>
    <w:rsid w:val="00E21358"/>
    <w:rsid w:val="00E2249B"/>
    <w:rsid w:val="00E22A0D"/>
    <w:rsid w:val="00E23F75"/>
    <w:rsid w:val="00E25E43"/>
    <w:rsid w:val="00E27672"/>
    <w:rsid w:val="00E2771E"/>
    <w:rsid w:val="00E27A1F"/>
    <w:rsid w:val="00E31342"/>
    <w:rsid w:val="00E340C0"/>
    <w:rsid w:val="00E3416B"/>
    <w:rsid w:val="00E34948"/>
    <w:rsid w:val="00E34A0E"/>
    <w:rsid w:val="00E36B0F"/>
    <w:rsid w:val="00E370A1"/>
    <w:rsid w:val="00E37544"/>
    <w:rsid w:val="00E37569"/>
    <w:rsid w:val="00E376B6"/>
    <w:rsid w:val="00E376BE"/>
    <w:rsid w:val="00E37D81"/>
    <w:rsid w:val="00E401F0"/>
    <w:rsid w:val="00E40761"/>
    <w:rsid w:val="00E413BA"/>
    <w:rsid w:val="00E41694"/>
    <w:rsid w:val="00E41E30"/>
    <w:rsid w:val="00E41F80"/>
    <w:rsid w:val="00E433C5"/>
    <w:rsid w:val="00E438A5"/>
    <w:rsid w:val="00E439C0"/>
    <w:rsid w:val="00E43A8C"/>
    <w:rsid w:val="00E43D70"/>
    <w:rsid w:val="00E43F48"/>
    <w:rsid w:val="00E4481A"/>
    <w:rsid w:val="00E44C07"/>
    <w:rsid w:val="00E454AF"/>
    <w:rsid w:val="00E4657E"/>
    <w:rsid w:val="00E466F3"/>
    <w:rsid w:val="00E46A63"/>
    <w:rsid w:val="00E47B2C"/>
    <w:rsid w:val="00E51560"/>
    <w:rsid w:val="00E523BC"/>
    <w:rsid w:val="00E52A66"/>
    <w:rsid w:val="00E54261"/>
    <w:rsid w:val="00E54347"/>
    <w:rsid w:val="00E54A01"/>
    <w:rsid w:val="00E54D96"/>
    <w:rsid w:val="00E55424"/>
    <w:rsid w:val="00E5549C"/>
    <w:rsid w:val="00E55BB5"/>
    <w:rsid w:val="00E56030"/>
    <w:rsid w:val="00E573D8"/>
    <w:rsid w:val="00E5791F"/>
    <w:rsid w:val="00E57DA0"/>
    <w:rsid w:val="00E60366"/>
    <w:rsid w:val="00E6072E"/>
    <w:rsid w:val="00E6158B"/>
    <w:rsid w:val="00E616FF"/>
    <w:rsid w:val="00E61D73"/>
    <w:rsid w:val="00E62D0E"/>
    <w:rsid w:val="00E63550"/>
    <w:rsid w:val="00E64D80"/>
    <w:rsid w:val="00E6520E"/>
    <w:rsid w:val="00E6558C"/>
    <w:rsid w:val="00E65E79"/>
    <w:rsid w:val="00E664AB"/>
    <w:rsid w:val="00E6669A"/>
    <w:rsid w:val="00E66BA2"/>
    <w:rsid w:val="00E67416"/>
    <w:rsid w:val="00E67610"/>
    <w:rsid w:val="00E713AE"/>
    <w:rsid w:val="00E718B6"/>
    <w:rsid w:val="00E719D5"/>
    <w:rsid w:val="00E723BA"/>
    <w:rsid w:val="00E729B2"/>
    <w:rsid w:val="00E73581"/>
    <w:rsid w:val="00E735F0"/>
    <w:rsid w:val="00E73FCC"/>
    <w:rsid w:val="00E749FC"/>
    <w:rsid w:val="00E7646A"/>
    <w:rsid w:val="00E76735"/>
    <w:rsid w:val="00E76F45"/>
    <w:rsid w:val="00E77FA7"/>
    <w:rsid w:val="00E800C4"/>
    <w:rsid w:val="00E805F7"/>
    <w:rsid w:val="00E80615"/>
    <w:rsid w:val="00E82DDC"/>
    <w:rsid w:val="00E833F7"/>
    <w:rsid w:val="00E835C5"/>
    <w:rsid w:val="00E83BDF"/>
    <w:rsid w:val="00E85228"/>
    <w:rsid w:val="00E853A9"/>
    <w:rsid w:val="00E868FB"/>
    <w:rsid w:val="00E86B34"/>
    <w:rsid w:val="00E8743C"/>
    <w:rsid w:val="00E8793D"/>
    <w:rsid w:val="00E87A1D"/>
    <w:rsid w:val="00E87C19"/>
    <w:rsid w:val="00E90251"/>
    <w:rsid w:val="00E905C7"/>
    <w:rsid w:val="00E90691"/>
    <w:rsid w:val="00E90FC4"/>
    <w:rsid w:val="00E91286"/>
    <w:rsid w:val="00E91B94"/>
    <w:rsid w:val="00E925EF"/>
    <w:rsid w:val="00E92681"/>
    <w:rsid w:val="00E926A5"/>
    <w:rsid w:val="00E92B0F"/>
    <w:rsid w:val="00E92DE9"/>
    <w:rsid w:val="00E93888"/>
    <w:rsid w:val="00E94F68"/>
    <w:rsid w:val="00E960DA"/>
    <w:rsid w:val="00E969F7"/>
    <w:rsid w:val="00E96C07"/>
    <w:rsid w:val="00E96F61"/>
    <w:rsid w:val="00E979B5"/>
    <w:rsid w:val="00EA04C9"/>
    <w:rsid w:val="00EA0B2E"/>
    <w:rsid w:val="00EA116F"/>
    <w:rsid w:val="00EA1255"/>
    <w:rsid w:val="00EA17C3"/>
    <w:rsid w:val="00EA25CE"/>
    <w:rsid w:val="00EA2CAA"/>
    <w:rsid w:val="00EA2F01"/>
    <w:rsid w:val="00EA329B"/>
    <w:rsid w:val="00EA3864"/>
    <w:rsid w:val="00EA4D84"/>
    <w:rsid w:val="00EA5F31"/>
    <w:rsid w:val="00EA5FB3"/>
    <w:rsid w:val="00EA6DEC"/>
    <w:rsid w:val="00EA7069"/>
    <w:rsid w:val="00EB0919"/>
    <w:rsid w:val="00EB09C1"/>
    <w:rsid w:val="00EB0F4F"/>
    <w:rsid w:val="00EB1098"/>
    <w:rsid w:val="00EB15B6"/>
    <w:rsid w:val="00EB2596"/>
    <w:rsid w:val="00EB2F7B"/>
    <w:rsid w:val="00EB3CBC"/>
    <w:rsid w:val="00EB4916"/>
    <w:rsid w:val="00EB54F2"/>
    <w:rsid w:val="00EB58F6"/>
    <w:rsid w:val="00EB64FC"/>
    <w:rsid w:val="00EB6B31"/>
    <w:rsid w:val="00EB6C13"/>
    <w:rsid w:val="00EB75B0"/>
    <w:rsid w:val="00EC00C9"/>
    <w:rsid w:val="00EC060A"/>
    <w:rsid w:val="00EC0E5C"/>
    <w:rsid w:val="00EC1764"/>
    <w:rsid w:val="00EC2649"/>
    <w:rsid w:val="00EC2D50"/>
    <w:rsid w:val="00EC414B"/>
    <w:rsid w:val="00EC4B34"/>
    <w:rsid w:val="00EC4FFA"/>
    <w:rsid w:val="00EC59FC"/>
    <w:rsid w:val="00EC6B35"/>
    <w:rsid w:val="00EC6C83"/>
    <w:rsid w:val="00ED049C"/>
    <w:rsid w:val="00ED1A82"/>
    <w:rsid w:val="00ED1AA3"/>
    <w:rsid w:val="00ED270E"/>
    <w:rsid w:val="00ED3570"/>
    <w:rsid w:val="00ED4F33"/>
    <w:rsid w:val="00ED5231"/>
    <w:rsid w:val="00ED5260"/>
    <w:rsid w:val="00ED57EA"/>
    <w:rsid w:val="00ED655B"/>
    <w:rsid w:val="00EE07D3"/>
    <w:rsid w:val="00EE1451"/>
    <w:rsid w:val="00EE1BC3"/>
    <w:rsid w:val="00EE2008"/>
    <w:rsid w:val="00EE22AF"/>
    <w:rsid w:val="00EE35CE"/>
    <w:rsid w:val="00EE40BD"/>
    <w:rsid w:val="00EE4269"/>
    <w:rsid w:val="00EE4508"/>
    <w:rsid w:val="00EE4F94"/>
    <w:rsid w:val="00EE561A"/>
    <w:rsid w:val="00EE6314"/>
    <w:rsid w:val="00EE64FF"/>
    <w:rsid w:val="00EE6661"/>
    <w:rsid w:val="00EE7400"/>
    <w:rsid w:val="00EF0171"/>
    <w:rsid w:val="00EF0EAD"/>
    <w:rsid w:val="00EF154D"/>
    <w:rsid w:val="00EF1B25"/>
    <w:rsid w:val="00EF24BB"/>
    <w:rsid w:val="00EF3C04"/>
    <w:rsid w:val="00EF3CC4"/>
    <w:rsid w:val="00EF4747"/>
    <w:rsid w:val="00EF4ADB"/>
    <w:rsid w:val="00EF4BF8"/>
    <w:rsid w:val="00EF553F"/>
    <w:rsid w:val="00EF671D"/>
    <w:rsid w:val="00EF6962"/>
    <w:rsid w:val="00EF710B"/>
    <w:rsid w:val="00EF745A"/>
    <w:rsid w:val="00EF7750"/>
    <w:rsid w:val="00EF7B93"/>
    <w:rsid w:val="00EF7BBD"/>
    <w:rsid w:val="00F00055"/>
    <w:rsid w:val="00F0050D"/>
    <w:rsid w:val="00F0096A"/>
    <w:rsid w:val="00F01449"/>
    <w:rsid w:val="00F015B2"/>
    <w:rsid w:val="00F02253"/>
    <w:rsid w:val="00F02405"/>
    <w:rsid w:val="00F02A3A"/>
    <w:rsid w:val="00F0376D"/>
    <w:rsid w:val="00F03C2E"/>
    <w:rsid w:val="00F04A66"/>
    <w:rsid w:val="00F04BE3"/>
    <w:rsid w:val="00F0516C"/>
    <w:rsid w:val="00F05317"/>
    <w:rsid w:val="00F059F6"/>
    <w:rsid w:val="00F05D0F"/>
    <w:rsid w:val="00F067A2"/>
    <w:rsid w:val="00F06DCC"/>
    <w:rsid w:val="00F07536"/>
    <w:rsid w:val="00F079D7"/>
    <w:rsid w:val="00F07B7E"/>
    <w:rsid w:val="00F10AC3"/>
    <w:rsid w:val="00F1263A"/>
    <w:rsid w:val="00F12683"/>
    <w:rsid w:val="00F1362F"/>
    <w:rsid w:val="00F14E72"/>
    <w:rsid w:val="00F15264"/>
    <w:rsid w:val="00F158F4"/>
    <w:rsid w:val="00F17709"/>
    <w:rsid w:val="00F17712"/>
    <w:rsid w:val="00F17FE5"/>
    <w:rsid w:val="00F2170F"/>
    <w:rsid w:val="00F21EBE"/>
    <w:rsid w:val="00F244F4"/>
    <w:rsid w:val="00F24837"/>
    <w:rsid w:val="00F2568E"/>
    <w:rsid w:val="00F256F3"/>
    <w:rsid w:val="00F2575F"/>
    <w:rsid w:val="00F258EC"/>
    <w:rsid w:val="00F25C01"/>
    <w:rsid w:val="00F25CCF"/>
    <w:rsid w:val="00F25D62"/>
    <w:rsid w:val="00F26594"/>
    <w:rsid w:val="00F2684C"/>
    <w:rsid w:val="00F26A1F"/>
    <w:rsid w:val="00F26ACE"/>
    <w:rsid w:val="00F27529"/>
    <w:rsid w:val="00F27565"/>
    <w:rsid w:val="00F27A80"/>
    <w:rsid w:val="00F3085F"/>
    <w:rsid w:val="00F30B01"/>
    <w:rsid w:val="00F30FBF"/>
    <w:rsid w:val="00F310D4"/>
    <w:rsid w:val="00F31D5A"/>
    <w:rsid w:val="00F32B3C"/>
    <w:rsid w:val="00F32C95"/>
    <w:rsid w:val="00F33508"/>
    <w:rsid w:val="00F336DF"/>
    <w:rsid w:val="00F33887"/>
    <w:rsid w:val="00F33DE9"/>
    <w:rsid w:val="00F33EBA"/>
    <w:rsid w:val="00F34FAE"/>
    <w:rsid w:val="00F35E87"/>
    <w:rsid w:val="00F36055"/>
    <w:rsid w:val="00F3619A"/>
    <w:rsid w:val="00F372E5"/>
    <w:rsid w:val="00F37C15"/>
    <w:rsid w:val="00F37F51"/>
    <w:rsid w:val="00F40495"/>
    <w:rsid w:val="00F4069B"/>
    <w:rsid w:val="00F40AAA"/>
    <w:rsid w:val="00F40BA7"/>
    <w:rsid w:val="00F4102A"/>
    <w:rsid w:val="00F4148C"/>
    <w:rsid w:val="00F417C3"/>
    <w:rsid w:val="00F41C3E"/>
    <w:rsid w:val="00F421BB"/>
    <w:rsid w:val="00F429FD"/>
    <w:rsid w:val="00F432A6"/>
    <w:rsid w:val="00F44C92"/>
    <w:rsid w:val="00F45336"/>
    <w:rsid w:val="00F45CFA"/>
    <w:rsid w:val="00F46CB6"/>
    <w:rsid w:val="00F473EC"/>
    <w:rsid w:val="00F4789F"/>
    <w:rsid w:val="00F47DE8"/>
    <w:rsid w:val="00F47F80"/>
    <w:rsid w:val="00F501BA"/>
    <w:rsid w:val="00F50ABC"/>
    <w:rsid w:val="00F515FC"/>
    <w:rsid w:val="00F51880"/>
    <w:rsid w:val="00F529B5"/>
    <w:rsid w:val="00F542C1"/>
    <w:rsid w:val="00F54BD0"/>
    <w:rsid w:val="00F556D0"/>
    <w:rsid w:val="00F55E73"/>
    <w:rsid w:val="00F55EDA"/>
    <w:rsid w:val="00F57AAB"/>
    <w:rsid w:val="00F57FB5"/>
    <w:rsid w:val="00F60092"/>
    <w:rsid w:val="00F607C7"/>
    <w:rsid w:val="00F62DC0"/>
    <w:rsid w:val="00F630E6"/>
    <w:rsid w:val="00F63848"/>
    <w:rsid w:val="00F63E90"/>
    <w:rsid w:val="00F648F7"/>
    <w:rsid w:val="00F65F4B"/>
    <w:rsid w:val="00F66455"/>
    <w:rsid w:val="00F6652E"/>
    <w:rsid w:val="00F672E8"/>
    <w:rsid w:val="00F70C9D"/>
    <w:rsid w:val="00F7290B"/>
    <w:rsid w:val="00F72E49"/>
    <w:rsid w:val="00F72F9A"/>
    <w:rsid w:val="00F74CD9"/>
    <w:rsid w:val="00F77810"/>
    <w:rsid w:val="00F77AA2"/>
    <w:rsid w:val="00F77BAE"/>
    <w:rsid w:val="00F77CF3"/>
    <w:rsid w:val="00F8023E"/>
    <w:rsid w:val="00F806F8"/>
    <w:rsid w:val="00F807B4"/>
    <w:rsid w:val="00F80A7B"/>
    <w:rsid w:val="00F80E5D"/>
    <w:rsid w:val="00F819D9"/>
    <w:rsid w:val="00F81D72"/>
    <w:rsid w:val="00F8289A"/>
    <w:rsid w:val="00F83BCA"/>
    <w:rsid w:val="00F83D16"/>
    <w:rsid w:val="00F84832"/>
    <w:rsid w:val="00F851CE"/>
    <w:rsid w:val="00F85201"/>
    <w:rsid w:val="00F86D1F"/>
    <w:rsid w:val="00F86D9F"/>
    <w:rsid w:val="00F87EFD"/>
    <w:rsid w:val="00F900DE"/>
    <w:rsid w:val="00F9056B"/>
    <w:rsid w:val="00F9116D"/>
    <w:rsid w:val="00F91219"/>
    <w:rsid w:val="00F9164A"/>
    <w:rsid w:val="00F93FCF"/>
    <w:rsid w:val="00F94698"/>
    <w:rsid w:val="00F954E0"/>
    <w:rsid w:val="00F95561"/>
    <w:rsid w:val="00F95780"/>
    <w:rsid w:val="00F95A82"/>
    <w:rsid w:val="00F96270"/>
    <w:rsid w:val="00F97A78"/>
    <w:rsid w:val="00F97F03"/>
    <w:rsid w:val="00FA0B20"/>
    <w:rsid w:val="00FA116F"/>
    <w:rsid w:val="00FA121E"/>
    <w:rsid w:val="00FA16B0"/>
    <w:rsid w:val="00FA1D2E"/>
    <w:rsid w:val="00FA1F22"/>
    <w:rsid w:val="00FA1F44"/>
    <w:rsid w:val="00FA24E7"/>
    <w:rsid w:val="00FA2750"/>
    <w:rsid w:val="00FA2A51"/>
    <w:rsid w:val="00FA2E31"/>
    <w:rsid w:val="00FA31B3"/>
    <w:rsid w:val="00FA3B2F"/>
    <w:rsid w:val="00FA3BA1"/>
    <w:rsid w:val="00FA4785"/>
    <w:rsid w:val="00FA6210"/>
    <w:rsid w:val="00FA6A73"/>
    <w:rsid w:val="00FA6B6C"/>
    <w:rsid w:val="00FA76FD"/>
    <w:rsid w:val="00FB08C6"/>
    <w:rsid w:val="00FB0A66"/>
    <w:rsid w:val="00FB18B5"/>
    <w:rsid w:val="00FB2FCB"/>
    <w:rsid w:val="00FB433D"/>
    <w:rsid w:val="00FB4532"/>
    <w:rsid w:val="00FB49DB"/>
    <w:rsid w:val="00FB4DF4"/>
    <w:rsid w:val="00FB5950"/>
    <w:rsid w:val="00FB63A5"/>
    <w:rsid w:val="00FB6654"/>
    <w:rsid w:val="00FB686E"/>
    <w:rsid w:val="00FC0C9D"/>
    <w:rsid w:val="00FC1074"/>
    <w:rsid w:val="00FC1884"/>
    <w:rsid w:val="00FC2956"/>
    <w:rsid w:val="00FC371D"/>
    <w:rsid w:val="00FC40FD"/>
    <w:rsid w:val="00FC56BE"/>
    <w:rsid w:val="00FC5F0A"/>
    <w:rsid w:val="00FC5F0B"/>
    <w:rsid w:val="00FC6AFB"/>
    <w:rsid w:val="00FC7693"/>
    <w:rsid w:val="00FC78C4"/>
    <w:rsid w:val="00FD0293"/>
    <w:rsid w:val="00FD03D1"/>
    <w:rsid w:val="00FD0E4A"/>
    <w:rsid w:val="00FD1C2E"/>
    <w:rsid w:val="00FD2100"/>
    <w:rsid w:val="00FD2257"/>
    <w:rsid w:val="00FD2803"/>
    <w:rsid w:val="00FD2B5C"/>
    <w:rsid w:val="00FD4007"/>
    <w:rsid w:val="00FD40CE"/>
    <w:rsid w:val="00FD4184"/>
    <w:rsid w:val="00FD4303"/>
    <w:rsid w:val="00FD430C"/>
    <w:rsid w:val="00FD436C"/>
    <w:rsid w:val="00FD446D"/>
    <w:rsid w:val="00FD500A"/>
    <w:rsid w:val="00FD5CB6"/>
    <w:rsid w:val="00FD5D6E"/>
    <w:rsid w:val="00FD5D9A"/>
    <w:rsid w:val="00FD6394"/>
    <w:rsid w:val="00FD6A0A"/>
    <w:rsid w:val="00FD7310"/>
    <w:rsid w:val="00FD7AB0"/>
    <w:rsid w:val="00FE02EC"/>
    <w:rsid w:val="00FE09FB"/>
    <w:rsid w:val="00FE0E6C"/>
    <w:rsid w:val="00FE1A82"/>
    <w:rsid w:val="00FE4716"/>
    <w:rsid w:val="00FE55F1"/>
    <w:rsid w:val="00FE5F7F"/>
    <w:rsid w:val="00FE6AC0"/>
    <w:rsid w:val="00FE70C3"/>
    <w:rsid w:val="00FE7F3C"/>
    <w:rsid w:val="00FF0139"/>
    <w:rsid w:val="00FF1459"/>
    <w:rsid w:val="00FF1BAC"/>
    <w:rsid w:val="00FF2828"/>
    <w:rsid w:val="00FF29D3"/>
    <w:rsid w:val="00FF3437"/>
    <w:rsid w:val="00FF3DCF"/>
    <w:rsid w:val="00FF492C"/>
    <w:rsid w:val="00FF49C2"/>
    <w:rsid w:val="00FF4A21"/>
    <w:rsid w:val="00FF5256"/>
    <w:rsid w:val="00FF5AA3"/>
    <w:rsid w:val="00FF5AD8"/>
    <w:rsid w:val="00FF5F83"/>
    <w:rsid w:val="00FF6672"/>
    <w:rsid w:val="00FF6E1D"/>
    <w:rsid w:val="00FF70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14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90A"/>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Section heading,ES Paragraph,PBAC ES Paragraph,PBAC normal points,Bullet List,Footnote,Figure_name,Numbered Indented Text,Bullet- First level,lp1,new"/>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Section heading Char,ES Paragraph Char,PBAC ES Paragraph Char,PBAC normal points Char,Bullet List Char,lp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1304D"/>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table" w:customStyle="1" w:styleId="TableStyle2">
    <w:name w:val="Table Style2"/>
    <w:basedOn w:val="TableGrid"/>
    <w:uiPriority w:val="99"/>
    <w:rsid w:val="00A915A5"/>
    <w:pPr>
      <w:spacing w:before="40" w:after="40"/>
    </w:pPr>
    <w:rPr>
      <w:rFonts w:ascii="Arial Narrow" w:eastAsiaTheme="minorHAnsi" w:hAnsi="Arial Narrow" w:cstheme="minorBidi"/>
      <w:szCs w:val="22"/>
      <w:lang w:val="en-US" w:eastAsia="en-US"/>
    </w:rPr>
    <w:tblPr/>
    <w:trPr>
      <w:cantSplit/>
    </w:trPr>
    <w:tblStylePr w:type="firstRow">
      <w:pPr>
        <w:jc w:val="left"/>
      </w:pPr>
      <w:rPr>
        <w:rFonts w:ascii="Tahoma" w:hAnsi="Tahoma"/>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pPr>
        <w:keepNext w:val="0"/>
        <w:keepLines w:val="0"/>
        <w:pageBreakBefore w:val="0"/>
        <w:suppressLineNumbers w:val="0"/>
        <w:suppressAutoHyphens w:val="0"/>
        <w:wordWrap/>
        <w:spacing w:beforeLines="0" w:before="40" w:beforeAutospacing="0" w:afterLines="0" w:after="40" w:afterAutospacing="0" w:line="240" w:lineRule="auto"/>
        <w:ind w:leftChars="0" w:left="0" w:rightChars="0" w:right="0" w:firstLineChars="0" w:firstLine="0"/>
        <w:jc w:val="left"/>
      </w:pPr>
      <w:tblPr/>
      <w:tcPr>
        <w:tcBorders>
          <w:top w:val="nil"/>
          <w:left w:val="nil"/>
          <w:bottom w:val="thinThickSmallGap" w:sz="24" w:space="0" w:color="auto"/>
          <w:right w:val="nil"/>
          <w:insideH w:val="nil"/>
          <w:insideV w:val="nil"/>
          <w:tl2br w:val="nil"/>
          <w:tr2bl w:val="nil"/>
        </w:tcBorders>
      </w:tcPr>
    </w:tblStylePr>
  </w:style>
  <w:style w:type="character" w:customStyle="1" w:styleId="TableTextChar0">
    <w:name w:val="Table Text Char"/>
    <w:link w:val="TableText0"/>
    <w:rsid w:val="00A915A5"/>
    <w:rPr>
      <w:rFonts w:ascii="Arial Narrow" w:eastAsiaTheme="minorHAnsi" w:hAnsi="Arial Narrow" w:cstheme="minorBidi"/>
      <w:szCs w:val="22"/>
      <w:lang w:eastAsia="en-US"/>
    </w:rPr>
  </w:style>
  <w:style w:type="table" w:customStyle="1" w:styleId="TableStyle">
    <w:name w:val="Table Style"/>
    <w:basedOn w:val="TableGrid"/>
    <w:uiPriority w:val="99"/>
    <w:rsid w:val="00B70E1E"/>
    <w:pPr>
      <w:spacing w:before="40" w:after="40"/>
    </w:pPr>
    <w:rPr>
      <w:rFonts w:ascii="Arial Narrow" w:eastAsiaTheme="minorHAnsi" w:hAnsi="Arial Narrow" w:cstheme="minorBidi"/>
      <w:szCs w:val="22"/>
      <w:lang w:val="en-US" w:eastAsia="en-US"/>
    </w:rPr>
    <w:tblPr/>
    <w:trPr>
      <w:cantSplit/>
    </w:trPr>
    <w:tblStylePr w:type="firstRow">
      <w:pPr>
        <w:jc w:val="left"/>
      </w:pPr>
      <w:rPr>
        <w:rFonts w:ascii="Segoe UI" w:hAnsi="Segoe UI"/>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pPr>
        <w:keepNext w:val="0"/>
        <w:keepLines w:val="0"/>
        <w:pageBreakBefore w:val="0"/>
        <w:suppressLineNumbers w:val="0"/>
        <w:suppressAutoHyphens w:val="0"/>
        <w:wordWrap/>
        <w:spacing w:beforeLines="0" w:before="40" w:beforeAutospacing="0" w:afterLines="0" w:after="40" w:afterAutospacing="0" w:line="240" w:lineRule="auto"/>
        <w:ind w:leftChars="0" w:left="0" w:rightChars="0" w:right="0" w:firstLineChars="0" w:firstLine="0"/>
        <w:jc w:val="left"/>
      </w:pPr>
      <w:tblPr/>
      <w:tcPr>
        <w:tcBorders>
          <w:top w:val="nil"/>
          <w:left w:val="nil"/>
          <w:bottom w:val="thinThickSmallGap" w:sz="24" w:space="0" w:color="auto"/>
          <w:right w:val="nil"/>
          <w:insideH w:val="nil"/>
          <w:insideV w:val="nil"/>
          <w:tl2br w:val="nil"/>
          <w:tr2bl w:val="nil"/>
        </w:tcBorders>
      </w:tcPr>
    </w:tblStylePr>
  </w:style>
  <w:style w:type="paragraph" w:customStyle="1" w:styleId="TableFigureFootnote">
    <w:name w:val="Table &amp; Figure Footnote"/>
    <w:basedOn w:val="BodyText"/>
    <w:next w:val="BodyText"/>
    <w:qFormat/>
    <w:rsid w:val="001A4735"/>
    <w:pPr>
      <w:widowControl/>
      <w:spacing w:before="20" w:after="20"/>
      <w:jc w:val="both"/>
    </w:pPr>
    <w:rPr>
      <w:rFonts w:ascii="Arial" w:hAnsi="Arial" w:cs="Times New Roman"/>
      <w:snapToGrid/>
      <w:sz w:val="16"/>
      <w:szCs w:val="24"/>
    </w:rPr>
  </w:style>
  <w:style w:type="table" w:customStyle="1" w:styleId="Summarybox1">
    <w:name w:val="Summary box1"/>
    <w:basedOn w:val="TableNormal"/>
    <w:next w:val="TableGrid"/>
    <w:uiPriority w:val="39"/>
    <w:rsid w:val="009D75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053"/>
    <w:pPr>
      <w:autoSpaceDE w:val="0"/>
      <w:autoSpaceDN w:val="0"/>
      <w:adjustRightInd w:val="0"/>
    </w:pPr>
    <w:rPr>
      <w:rFonts w:ascii="Cambria" w:hAnsi="Cambria" w:cs="Cambria"/>
      <w:color w:val="000000"/>
      <w:sz w:val="24"/>
      <w:szCs w:val="24"/>
    </w:rPr>
  </w:style>
  <w:style w:type="paragraph" w:styleId="FootnoteText">
    <w:name w:val="footnote text"/>
    <w:basedOn w:val="Normal"/>
    <w:link w:val="FootnoteTextChar"/>
    <w:semiHidden/>
    <w:unhideWhenUsed/>
    <w:rsid w:val="008C7368"/>
    <w:rPr>
      <w:sz w:val="20"/>
      <w:szCs w:val="20"/>
    </w:rPr>
  </w:style>
  <w:style w:type="character" w:customStyle="1" w:styleId="FootnoteTextChar">
    <w:name w:val="Footnote Text Char"/>
    <w:basedOn w:val="DefaultParagraphFont"/>
    <w:link w:val="FootnoteText"/>
    <w:semiHidden/>
    <w:rsid w:val="008C7368"/>
    <w:rPr>
      <w:rFonts w:ascii="Calibri" w:hAnsi="Calibri" w:cs="Arial"/>
      <w:snapToGrid w:val="0"/>
      <w:lang w:eastAsia="en-US"/>
    </w:rPr>
  </w:style>
  <w:style w:type="character" w:styleId="FootnoteReference">
    <w:name w:val="footnote reference"/>
    <w:basedOn w:val="DefaultParagraphFont"/>
    <w:semiHidden/>
    <w:unhideWhenUsed/>
    <w:rsid w:val="008C7368"/>
    <w:rPr>
      <w:vertAlign w:val="superscript"/>
    </w:rPr>
  </w:style>
  <w:style w:type="paragraph" w:customStyle="1" w:styleId="EndNoteBibliography">
    <w:name w:val="EndNote Bibliography"/>
    <w:basedOn w:val="Normal"/>
    <w:link w:val="EndNoteBibliographyChar"/>
    <w:rsid w:val="00D7688A"/>
    <w:pPr>
      <w:widowControl/>
      <w:spacing w:after="160"/>
      <w:jc w:val="left"/>
    </w:pPr>
    <w:rPr>
      <w:rFonts w:ascii="Arial" w:eastAsiaTheme="minorHAnsi" w:hAnsi="Arial"/>
      <w:noProof/>
      <w:snapToGrid/>
      <w:sz w:val="20"/>
      <w:lang w:val="en-US"/>
    </w:rPr>
  </w:style>
  <w:style w:type="character" w:customStyle="1" w:styleId="EndNoteBibliographyChar">
    <w:name w:val="EndNote Bibliography Char"/>
    <w:basedOn w:val="DefaultParagraphFont"/>
    <w:link w:val="EndNoteBibliography"/>
    <w:rsid w:val="00D7688A"/>
    <w:rPr>
      <w:rFonts w:ascii="Arial" w:eastAsiaTheme="minorHAnsi" w:hAnsi="Arial" w:cs="Arial"/>
      <w:noProof/>
      <w:szCs w:val="22"/>
      <w:lang w:val="en-US" w:eastAsia="en-US"/>
    </w:rPr>
  </w:style>
  <w:style w:type="paragraph" w:customStyle="1" w:styleId="PBACheading10">
    <w:name w:val="PBAC heading 1"/>
    <w:qFormat/>
    <w:rsid w:val="00560052"/>
    <w:pPr>
      <w:ind w:left="720" w:hanging="720"/>
      <w:outlineLvl w:val="0"/>
    </w:pPr>
    <w:rPr>
      <w:rFonts w:ascii="Arial" w:hAnsi="Arial" w:cs="Arial"/>
      <w:b/>
      <w:snapToGrid w:val="0"/>
      <w:sz w:val="22"/>
      <w:szCs w:val="22"/>
      <w:lang w:eastAsia="en-US"/>
    </w:rPr>
  </w:style>
  <w:style w:type="paragraph" w:customStyle="1" w:styleId="subsection">
    <w:name w:val="subsection"/>
    <w:basedOn w:val="Normal"/>
    <w:rsid w:val="002C7A17"/>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paragraph">
    <w:name w:val="paragraph"/>
    <w:basedOn w:val="Normal"/>
    <w:rsid w:val="002C7A17"/>
    <w:pPr>
      <w:widowControl/>
      <w:spacing w:before="100" w:beforeAutospacing="1" w:after="100" w:afterAutospacing="1"/>
      <w:jc w:val="left"/>
    </w:pPr>
    <w:rPr>
      <w:rFonts w:ascii="Times New Roman" w:hAnsi="Times New Roman" w:cs="Times New Roman"/>
      <w:snapToGrid/>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1791">
      <w:bodyDiv w:val="1"/>
      <w:marLeft w:val="0"/>
      <w:marRight w:val="0"/>
      <w:marTop w:val="0"/>
      <w:marBottom w:val="0"/>
      <w:divBdr>
        <w:top w:val="none" w:sz="0" w:space="0" w:color="auto"/>
        <w:left w:val="none" w:sz="0" w:space="0" w:color="auto"/>
        <w:bottom w:val="none" w:sz="0" w:space="0" w:color="auto"/>
        <w:right w:val="none" w:sz="0" w:space="0" w:color="auto"/>
      </w:divBdr>
    </w:div>
    <w:div w:id="201065135">
      <w:bodyDiv w:val="1"/>
      <w:marLeft w:val="0"/>
      <w:marRight w:val="0"/>
      <w:marTop w:val="0"/>
      <w:marBottom w:val="0"/>
      <w:divBdr>
        <w:top w:val="none" w:sz="0" w:space="0" w:color="auto"/>
        <w:left w:val="none" w:sz="0" w:space="0" w:color="auto"/>
        <w:bottom w:val="none" w:sz="0" w:space="0" w:color="auto"/>
        <w:right w:val="none" w:sz="0" w:space="0" w:color="auto"/>
      </w:divBdr>
      <w:divsChild>
        <w:div w:id="1884051269">
          <w:marLeft w:val="1080"/>
          <w:marRight w:val="0"/>
          <w:marTop w:val="100"/>
          <w:marBottom w:val="0"/>
          <w:divBdr>
            <w:top w:val="none" w:sz="0" w:space="0" w:color="auto"/>
            <w:left w:val="none" w:sz="0" w:space="0" w:color="auto"/>
            <w:bottom w:val="none" w:sz="0" w:space="0" w:color="auto"/>
            <w:right w:val="none" w:sz="0" w:space="0" w:color="auto"/>
          </w:divBdr>
        </w:div>
      </w:divsChild>
    </w:div>
    <w:div w:id="285890682">
      <w:bodyDiv w:val="1"/>
      <w:marLeft w:val="0"/>
      <w:marRight w:val="0"/>
      <w:marTop w:val="0"/>
      <w:marBottom w:val="0"/>
      <w:divBdr>
        <w:top w:val="none" w:sz="0" w:space="0" w:color="auto"/>
        <w:left w:val="none" w:sz="0" w:space="0" w:color="auto"/>
        <w:bottom w:val="none" w:sz="0" w:space="0" w:color="auto"/>
        <w:right w:val="none" w:sz="0" w:space="0" w:color="auto"/>
      </w:divBdr>
      <w:divsChild>
        <w:div w:id="986589277">
          <w:marLeft w:val="1080"/>
          <w:marRight w:val="0"/>
          <w:marTop w:val="100"/>
          <w:marBottom w:val="0"/>
          <w:divBdr>
            <w:top w:val="none" w:sz="0" w:space="0" w:color="auto"/>
            <w:left w:val="none" w:sz="0" w:space="0" w:color="auto"/>
            <w:bottom w:val="none" w:sz="0" w:space="0" w:color="auto"/>
            <w:right w:val="none" w:sz="0" w:space="0" w:color="auto"/>
          </w:divBdr>
        </w:div>
      </w:divsChild>
    </w:div>
    <w:div w:id="375352476">
      <w:bodyDiv w:val="1"/>
      <w:marLeft w:val="0"/>
      <w:marRight w:val="0"/>
      <w:marTop w:val="0"/>
      <w:marBottom w:val="0"/>
      <w:divBdr>
        <w:top w:val="none" w:sz="0" w:space="0" w:color="auto"/>
        <w:left w:val="none" w:sz="0" w:space="0" w:color="auto"/>
        <w:bottom w:val="none" w:sz="0" w:space="0" w:color="auto"/>
        <w:right w:val="none" w:sz="0" w:space="0" w:color="auto"/>
      </w:divBdr>
      <w:divsChild>
        <w:div w:id="17127878">
          <w:marLeft w:val="360"/>
          <w:marRight w:val="0"/>
          <w:marTop w:val="200"/>
          <w:marBottom w:val="0"/>
          <w:divBdr>
            <w:top w:val="none" w:sz="0" w:space="0" w:color="auto"/>
            <w:left w:val="none" w:sz="0" w:space="0" w:color="auto"/>
            <w:bottom w:val="none" w:sz="0" w:space="0" w:color="auto"/>
            <w:right w:val="none" w:sz="0" w:space="0" w:color="auto"/>
          </w:divBdr>
        </w:div>
      </w:divsChild>
    </w:div>
    <w:div w:id="503403108">
      <w:bodyDiv w:val="1"/>
      <w:marLeft w:val="0"/>
      <w:marRight w:val="0"/>
      <w:marTop w:val="0"/>
      <w:marBottom w:val="0"/>
      <w:divBdr>
        <w:top w:val="none" w:sz="0" w:space="0" w:color="auto"/>
        <w:left w:val="none" w:sz="0" w:space="0" w:color="auto"/>
        <w:bottom w:val="none" w:sz="0" w:space="0" w:color="auto"/>
        <w:right w:val="none" w:sz="0" w:space="0" w:color="auto"/>
      </w:divBdr>
      <w:divsChild>
        <w:div w:id="2054620274">
          <w:marLeft w:val="1080"/>
          <w:marRight w:val="0"/>
          <w:marTop w:val="100"/>
          <w:marBottom w:val="0"/>
          <w:divBdr>
            <w:top w:val="none" w:sz="0" w:space="0" w:color="auto"/>
            <w:left w:val="none" w:sz="0" w:space="0" w:color="auto"/>
            <w:bottom w:val="none" w:sz="0" w:space="0" w:color="auto"/>
            <w:right w:val="none" w:sz="0" w:space="0" w:color="auto"/>
          </w:divBdr>
        </w:div>
      </w:divsChild>
    </w:div>
    <w:div w:id="624584659">
      <w:bodyDiv w:val="1"/>
      <w:marLeft w:val="0"/>
      <w:marRight w:val="0"/>
      <w:marTop w:val="0"/>
      <w:marBottom w:val="0"/>
      <w:divBdr>
        <w:top w:val="none" w:sz="0" w:space="0" w:color="auto"/>
        <w:left w:val="none" w:sz="0" w:space="0" w:color="auto"/>
        <w:bottom w:val="none" w:sz="0" w:space="0" w:color="auto"/>
        <w:right w:val="none" w:sz="0" w:space="0" w:color="auto"/>
      </w:divBdr>
    </w:div>
    <w:div w:id="814373569">
      <w:bodyDiv w:val="1"/>
      <w:marLeft w:val="0"/>
      <w:marRight w:val="0"/>
      <w:marTop w:val="0"/>
      <w:marBottom w:val="0"/>
      <w:divBdr>
        <w:top w:val="none" w:sz="0" w:space="0" w:color="auto"/>
        <w:left w:val="none" w:sz="0" w:space="0" w:color="auto"/>
        <w:bottom w:val="none" w:sz="0" w:space="0" w:color="auto"/>
        <w:right w:val="none" w:sz="0" w:space="0" w:color="auto"/>
      </w:divBdr>
    </w:div>
    <w:div w:id="850144495">
      <w:bodyDiv w:val="1"/>
      <w:marLeft w:val="0"/>
      <w:marRight w:val="0"/>
      <w:marTop w:val="0"/>
      <w:marBottom w:val="0"/>
      <w:divBdr>
        <w:top w:val="none" w:sz="0" w:space="0" w:color="auto"/>
        <w:left w:val="none" w:sz="0" w:space="0" w:color="auto"/>
        <w:bottom w:val="none" w:sz="0" w:space="0" w:color="auto"/>
        <w:right w:val="none" w:sz="0" w:space="0" w:color="auto"/>
      </w:divBdr>
    </w:div>
    <w:div w:id="910963315">
      <w:bodyDiv w:val="1"/>
      <w:marLeft w:val="0"/>
      <w:marRight w:val="0"/>
      <w:marTop w:val="0"/>
      <w:marBottom w:val="0"/>
      <w:divBdr>
        <w:top w:val="none" w:sz="0" w:space="0" w:color="auto"/>
        <w:left w:val="none" w:sz="0" w:space="0" w:color="auto"/>
        <w:bottom w:val="none" w:sz="0" w:space="0" w:color="auto"/>
        <w:right w:val="none" w:sz="0" w:space="0" w:color="auto"/>
      </w:divBdr>
    </w:div>
    <w:div w:id="944575954">
      <w:bodyDiv w:val="1"/>
      <w:marLeft w:val="0"/>
      <w:marRight w:val="0"/>
      <w:marTop w:val="0"/>
      <w:marBottom w:val="0"/>
      <w:divBdr>
        <w:top w:val="none" w:sz="0" w:space="0" w:color="auto"/>
        <w:left w:val="none" w:sz="0" w:space="0" w:color="auto"/>
        <w:bottom w:val="none" w:sz="0" w:space="0" w:color="auto"/>
        <w:right w:val="none" w:sz="0" w:space="0" w:color="auto"/>
      </w:divBdr>
      <w:divsChild>
        <w:div w:id="1216357970">
          <w:marLeft w:val="360"/>
          <w:marRight w:val="0"/>
          <w:marTop w:val="200"/>
          <w:marBottom w:val="0"/>
          <w:divBdr>
            <w:top w:val="none" w:sz="0" w:space="0" w:color="auto"/>
            <w:left w:val="none" w:sz="0" w:space="0" w:color="auto"/>
            <w:bottom w:val="none" w:sz="0" w:space="0" w:color="auto"/>
            <w:right w:val="none" w:sz="0" w:space="0" w:color="auto"/>
          </w:divBdr>
        </w:div>
      </w:divsChild>
    </w:div>
    <w:div w:id="998002932">
      <w:bodyDiv w:val="1"/>
      <w:marLeft w:val="0"/>
      <w:marRight w:val="0"/>
      <w:marTop w:val="0"/>
      <w:marBottom w:val="0"/>
      <w:divBdr>
        <w:top w:val="none" w:sz="0" w:space="0" w:color="auto"/>
        <w:left w:val="none" w:sz="0" w:space="0" w:color="auto"/>
        <w:bottom w:val="none" w:sz="0" w:space="0" w:color="auto"/>
        <w:right w:val="none" w:sz="0" w:space="0" w:color="auto"/>
      </w:divBdr>
      <w:divsChild>
        <w:div w:id="1606690967">
          <w:marLeft w:val="360"/>
          <w:marRight w:val="0"/>
          <w:marTop w:val="200"/>
          <w:marBottom w:val="0"/>
          <w:divBdr>
            <w:top w:val="none" w:sz="0" w:space="0" w:color="auto"/>
            <w:left w:val="none" w:sz="0" w:space="0" w:color="auto"/>
            <w:bottom w:val="none" w:sz="0" w:space="0" w:color="auto"/>
            <w:right w:val="none" w:sz="0" w:space="0" w:color="auto"/>
          </w:divBdr>
        </w:div>
      </w:divsChild>
    </w:div>
    <w:div w:id="1025209403">
      <w:bodyDiv w:val="1"/>
      <w:marLeft w:val="0"/>
      <w:marRight w:val="0"/>
      <w:marTop w:val="0"/>
      <w:marBottom w:val="0"/>
      <w:divBdr>
        <w:top w:val="none" w:sz="0" w:space="0" w:color="auto"/>
        <w:left w:val="none" w:sz="0" w:space="0" w:color="auto"/>
        <w:bottom w:val="none" w:sz="0" w:space="0" w:color="auto"/>
        <w:right w:val="none" w:sz="0" w:space="0" w:color="auto"/>
      </w:divBdr>
    </w:div>
    <w:div w:id="1240990901">
      <w:bodyDiv w:val="1"/>
      <w:marLeft w:val="0"/>
      <w:marRight w:val="0"/>
      <w:marTop w:val="0"/>
      <w:marBottom w:val="0"/>
      <w:divBdr>
        <w:top w:val="none" w:sz="0" w:space="0" w:color="auto"/>
        <w:left w:val="none" w:sz="0" w:space="0" w:color="auto"/>
        <w:bottom w:val="none" w:sz="0" w:space="0" w:color="auto"/>
        <w:right w:val="none" w:sz="0" w:space="0" w:color="auto"/>
      </w:divBdr>
      <w:divsChild>
        <w:div w:id="1988781852">
          <w:marLeft w:val="360"/>
          <w:marRight w:val="0"/>
          <w:marTop w:val="200"/>
          <w:marBottom w:val="0"/>
          <w:divBdr>
            <w:top w:val="none" w:sz="0" w:space="0" w:color="auto"/>
            <w:left w:val="none" w:sz="0" w:space="0" w:color="auto"/>
            <w:bottom w:val="none" w:sz="0" w:space="0" w:color="auto"/>
            <w:right w:val="none" w:sz="0" w:space="0" w:color="auto"/>
          </w:divBdr>
        </w:div>
      </w:divsChild>
    </w:div>
    <w:div w:id="1247499460">
      <w:bodyDiv w:val="1"/>
      <w:marLeft w:val="0"/>
      <w:marRight w:val="0"/>
      <w:marTop w:val="0"/>
      <w:marBottom w:val="0"/>
      <w:divBdr>
        <w:top w:val="none" w:sz="0" w:space="0" w:color="auto"/>
        <w:left w:val="none" w:sz="0" w:space="0" w:color="auto"/>
        <w:bottom w:val="none" w:sz="0" w:space="0" w:color="auto"/>
        <w:right w:val="none" w:sz="0" w:space="0" w:color="auto"/>
      </w:divBdr>
      <w:divsChild>
        <w:div w:id="1171064614">
          <w:marLeft w:val="1080"/>
          <w:marRight w:val="0"/>
          <w:marTop w:val="100"/>
          <w:marBottom w:val="0"/>
          <w:divBdr>
            <w:top w:val="none" w:sz="0" w:space="0" w:color="auto"/>
            <w:left w:val="none" w:sz="0" w:space="0" w:color="auto"/>
            <w:bottom w:val="none" w:sz="0" w:space="0" w:color="auto"/>
            <w:right w:val="none" w:sz="0" w:space="0" w:color="auto"/>
          </w:divBdr>
        </w:div>
      </w:divsChild>
    </w:div>
    <w:div w:id="1361510511">
      <w:bodyDiv w:val="1"/>
      <w:marLeft w:val="0"/>
      <w:marRight w:val="0"/>
      <w:marTop w:val="0"/>
      <w:marBottom w:val="0"/>
      <w:divBdr>
        <w:top w:val="none" w:sz="0" w:space="0" w:color="auto"/>
        <w:left w:val="none" w:sz="0" w:space="0" w:color="auto"/>
        <w:bottom w:val="none" w:sz="0" w:space="0" w:color="auto"/>
        <w:right w:val="none" w:sz="0" w:space="0" w:color="auto"/>
      </w:divBdr>
    </w:div>
    <w:div w:id="1469594479">
      <w:bodyDiv w:val="1"/>
      <w:marLeft w:val="0"/>
      <w:marRight w:val="0"/>
      <w:marTop w:val="0"/>
      <w:marBottom w:val="0"/>
      <w:divBdr>
        <w:top w:val="none" w:sz="0" w:space="0" w:color="auto"/>
        <w:left w:val="none" w:sz="0" w:space="0" w:color="auto"/>
        <w:bottom w:val="none" w:sz="0" w:space="0" w:color="auto"/>
        <w:right w:val="none" w:sz="0" w:space="0" w:color="auto"/>
      </w:divBdr>
    </w:div>
    <w:div w:id="1495679569">
      <w:bodyDiv w:val="1"/>
      <w:marLeft w:val="0"/>
      <w:marRight w:val="0"/>
      <w:marTop w:val="0"/>
      <w:marBottom w:val="0"/>
      <w:divBdr>
        <w:top w:val="none" w:sz="0" w:space="0" w:color="auto"/>
        <w:left w:val="none" w:sz="0" w:space="0" w:color="auto"/>
        <w:bottom w:val="none" w:sz="0" w:space="0" w:color="auto"/>
        <w:right w:val="none" w:sz="0" w:space="0" w:color="auto"/>
      </w:divBdr>
    </w:div>
    <w:div w:id="1518737093">
      <w:bodyDiv w:val="1"/>
      <w:marLeft w:val="0"/>
      <w:marRight w:val="0"/>
      <w:marTop w:val="0"/>
      <w:marBottom w:val="0"/>
      <w:divBdr>
        <w:top w:val="none" w:sz="0" w:space="0" w:color="auto"/>
        <w:left w:val="none" w:sz="0" w:space="0" w:color="auto"/>
        <w:bottom w:val="none" w:sz="0" w:space="0" w:color="auto"/>
        <w:right w:val="none" w:sz="0" w:space="0" w:color="auto"/>
      </w:divBdr>
    </w:div>
    <w:div w:id="1616911187">
      <w:bodyDiv w:val="1"/>
      <w:marLeft w:val="0"/>
      <w:marRight w:val="0"/>
      <w:marTop w:val="0"/>
      <w:marBottom w:val="0"/>
      <w:divBdr>
        <w:top w:val="none" w:sz="0" w:space="0" w:color="auto"/>
        <w:left w:val="none" w:sz="0" w:space="0" w:color="auto"/>
        <w:bottom w:val="none" w:sz="0" w:space="0" w:color="auto"/>
        <w:right w:val="none" w:sz="0" w:space="0" w:color="auto"/>
      </w:divBdr>
      <w:divsChild>
        <w:div w:id="1062562065">
          <w:marLeft w:val="1080"/>
          <w:marRight w:val="0"/>
          <w:marTop w:val="100"/>
          <w:marBottom w:val="0"/>
          <w:divBdr>
            <w:top w:val="none" w:sz="0" w:space="0" w:color="auto"/>
            <w:left w:val="none" w:sz="0" w:space="0" w:color="auto"/>
            <w:bottom w:val="none" w:sz="0" w:space="0" w:color="auto"/>
            <w:right w:val="none" w:sz="0" w:space="0" w:color="auto"/>
          </w:divBdr>
        </w:div>
      </w:divsChild>
    </w:div>
    <w:div w:id="1905677885">
      <w:bodyDiv w:val="1"/>
      <w:marLeft w:val="0"/>
      <w:marRight w:val="0"/>
      <w:marTop w:val="0"/>
      <w:marBottom w:val="0"/>
      <w:divBdr>
        <w:top w:val="none" w:sz="0" w:space="0" w:color="auto"/>
        <w:left w:val="none" w:sz="0" w:space="0" w:color="auto"/>
        <w:bottom w:val="none" w:sz="0" w:space="0" w:color="auto"/>
        <w:right w:val="none" w:sz="0" w:space="0" w:color="auto"/>
      </w:divBdr>
    </w:div>
    <w:div w:id="1954558321">
      <w:bodyDiv w:val="1"/>
      <w:marLeft w:val="0"/>
      <w:marRight w:val="0"/>
      <w:marTop w:val="0"/>
      <w:marBottom w:val="0"/>
      <w:divBdr>
        <w:top w:val="none" w:sz="0" w:space="0" w:color="auto"/>
        <w:left w:val="none" w:sz="0" w:space="0" w:color="auto"/>
        <w:bottom w:val="none" w:sz="0" w:space="0" w:color="auto"/>
        <w:right w:val="none" w:sz="0" w:space="0" w:color="auto"/>
      </w:divBdr>
    </w:div>
    <w:div w:id="1973633266">
      <w:bodyDiv w:val="1"/>
      <w:marLeft w:val="0"/>
      <w:marRight w:val="0"/>
      <w:marTop w:val="0"/>
      <w:marBottom w:val="0"/>
      <w:divBdr>
        <w:top w:val="none" w:sz="0" w:space="0" w:color="auto"/>
        <w:left w:val="none" w:sz="0" w:space="0" w:color="auto"/>
        <w:bottom w:val="none" w:sz="0" w:space="0" w:color="auto"/>
        <w:right w:val="none" w:sz="0" w:space="0" w:color="auto"/>
      </w:divBdr>
      <w:divsChild>
        <w:div w:id="1719357232">
          <w:marLeft w:val="1080"/>
          <w:marRight w:val="0"/>
          <w:marTop w:val="100"/>
          <w:marBottom w:val="0"/>
          <w:divBdr>
            <w:top w:val="none" w:sz="0" w:space="0" w:color="auto"/>
            <w:left w:val="none" w:sz="0" w:space="0" w:color="auto"/>
            <w:bottom w:val="none" w:sz="0" w:space="0" w:color="auto"/>
            <w:right w:val="none" w:sz="0" w:space="0" w:color="auto"/>
          </w:divBdr>
        </w:div>
      </w:divsChild>
    </w:div>
    <w:div w:id="1983074494">
      <w:bodyDiv w:val="1"/>
      <w:marLeft w:val="0"/>
      <w:marRight w:val="0"/>
      <w:marTop w:val="0"/>
      <w:marBottom w:val="0"/>
      <w:divBdr>
        <w:top w:val="none" w:sz="0" w:space="0" w:color="auto"/>
        <w:left w:val="none" w:sz="0" w:space="0" w:color="auto"/>
        <w:bottom w:val="none" w:sz="0" w:space="0" w:color="auto"/>
        <w:right w:val="none" w:sz="0" w:space="0" w:color="auto"/>
      </w:divBdr>
      <w:divsChild>
        <w:div w:id="144779930">
          <w:marLeft w:val="360"/>
          <w:marRight w:val="0"/>
          <w:marTop w:val="200"/>
          <w:marBottom w:val="0"/>
          <w:divBdr>
            <w:top w:val="none" w:sz="0" w:space="0" w:color="auto"/>
            <w:left w:val="none" w:sz="0" w:space="0" w:color="auto"/>
            <w:bottom w:val="none" w:sz="0" w:space="0" w:color="auto"/>
            <w:right w:val="none" w:sz="0" w:space="0" w:color="auto"/>
          </w:divBdr>
        </w:div>
        <w:div w:id="193620916">
          <w:marLeft w:val="360"/>
          <w:marRight w:val="0"/>
          <w:marTop w:val="200"/>
          <w:marBottom w:val="0"/>
          <w:divBdr>
            <w:top w:val="none" w:sz="0" w:space="0" w:color="auto"/>
            <w:left w:val="none" w:sz="0" w:space="0" w:color="auto"/>
            <w:bottom w:val="none" w:sz="0" w:space="0" w:color="auto"/>
            <w:right w:val="none" w:sz="0" w:space="0" w:color="auto"/>
          </w:divBdr>
        </w:div>
        <w:div w:id="671493911">
          <w:marLeft w:val="1080"/>
          <w:marRight w:val="0"/>
          <w:marTop w:val="100"/>
          <w:marBottom w:val="0"/>
          <w:divBdr>
            <w:top w:val="none" w:sz="0" w:space="0" w:color="auto"/>
            <w:left w:val="none" w:sz="0" w:space="0" w:color="auto"/>
            <w:bottom w:val="none" w:sz="0" w:space="0" w:color="auto"/>
            <w:right w:val="none" w:sz="0" w:space="0" w:color="auto"/>
          </w:divBdr>
        </w:div>
        <w:div w:id="782115257">
          <w:marLeft w:val="1080"/>
          <w:marRight w:val="0"/>
          <w:marTop w:val="100"/>
          <w:marBottom w:val="0"/>
          <w:divBdr>
            <w:top w:val="none" w:sz="0" w:space="0" w:color="auto"/>
            <w:left w:val="none" w:sz="0" w:space="0" w:color="auto"/>
            <w:bottom w:val="none" w:sz="0" w:space="0" w:color="auto"/>
            <w:right w:val="none" w:sz="0" w:space="0" w:color="auto"/>
          </w:divBdr>
        </w:div>
        <w:div w:id="867597867">
          <w:marLeft w:val="360"/>
          <w:marRight w:val="0"/>
          <w:marTop w:val="200"/>
          <w:marBottom w:val="0"/>
          <w:divBdr>
            <w:top w:val="none" w:sz="0" w:space="0" w:color="auto"/>
            <w:left w:val="none" w:sz="0" w:space="0" w:color="auto"/>
            <w:bottom w:val="none" w:sz="0" w:space="0" w:color="auto"/>
            <w:right w:val="none" w:sz="0" w:space="0" w:color="auto"/>
          </w:divBdr>
        </w:div>
        <w:div w:id="1205363882">
          <w:marLeft w:val="1080"/>
          <w:marRight w:val="0"/>
          <w:marTop w:val="100"/>
          <w:marBottom w:val="0"/>
          <w:divBdr>
            <w:top w:val="none" w:sz="0" w:space="0" w:color="auto"/>
            <w:left w:val="none" w:sz="0" w:space="0" w:color="auto"/>
            <w:bottom w:val="none" w:sz="0" w:space="0" w:color="auto"/>
            <w:right w:val="none" w:sz="0" w:space="0" w:color="auto"/>
          </w:divBdr>
        </w:div>
        <w:div w:id="2101367280">
          <w:marLeft w:val="360"/>
          <w:marRight w:val="0"/>
          <w:marTop w:val="200"/>
          <w:marBottom w:val="0"/>
          <w:divBdr>
            <w:top w:val="none" w:sz="0" w:space="0" w:color="auto"/>
            <w:left w:val="none" w:sz="0" w:space="0" w:color="auto"/>
            <w:bottom w:val="none" w:sz="0" w:space="0" w:color="auto"/>
            <w:right w:val="none" w:sz="0" w:space="0" w:color="auto"/>
          </w:divBdr>
        </w:div>
      </w:divsChild>
    </w:div>
    <w:div w:id="202100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auspar/auspar-etanerc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609A2-8E7E-4CD7-88B6-5238BC8D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14550</Words>
  <Characters>79688</Characters>
  <Application>Microsoft Office Word</Application>
  <DocSecurity>0</DocSecurity>
  <Lines>664</Lines>
  <Paragraphs>188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Purpose of Application</vt:lpstr>
      <vt:lpstr>Background</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Benefits/harms</vt:lpstr>
      <vt:lpstr>    Clinical claim</vt:lpstr>
      <vt:lpstr>    Economic analysis </vt:lpstr>
      <vt:lpstr>    Drug cost/patient/28-week induction phase for assessment for continuation of tre</vt:lpstr>
      <vt:lpstr>    Estimated PBS usage &amp; financial implications</vt:lpstr>
      <vt:lpstr>    Financial Management – Risk Sharing Arrangements</vt:lpstr>
      <vt:lpstr>    Quality Use of Medicines </vt:lpstr>
      <vt:lpstr>PBAC Outcome</vt:lpstr>
      <vt:lpstr>Recommended listing</vt:lpstr>
      <vt:lpstr>Context for Decision</vt:lpstr>
      <vt:lpstr>Sponsor’s Comment</vt:lpstr>
    </vt:vector>
  </TitlesOfParts>
  <Company/>
  <LinksUpToDate>false</LinksUpToDate>
  <CharactersWithSpaces>94050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2021-06-30T05:56:00Z</dcterms:created>
  <dcterms:modified xsi:type="dcterms:W3CDTF">2021-06-30T06:01:00Z</dcterms:modified>
</cp:coreProperties>
</file>