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871292" w:rsidRDefault="00CC7489" w:rsidP="004A6040">
      <w:pPr>
        <w:pStyle w:val="1-MainHeading"/>
      </w:pPr>
      <w:bookmarkStart w:id="0" w:name="_Toc59437721"/>
      <w:r w:rsidRPr="00871292">
        <w:t>6.11</w:t>
      </w:r>
      <w:r w:rsidR="00163F66" w:rsidRPr="00871292">
        <w:tab/>
      </w:r>
      <w:r w:rsidR="00A365C2" w:rsidRPr="00871292">
        <w:t>UP</w:t>
      </w:r>
      <w:r w:rsidR="004013B1" w:rsidRPr="00871292">
        <w:t>A</w:t>
      </w:r>
      <w:r w:rsidR="00A365C2" w:rsidRPr="00871292">
        <w:t>DACITINIB</w:t>
      </w:r>
      <w:r w:rsidR="00163F66" w:rsidRPr="00871292">
        <w:t>,</w:t>
      </w:r>
      <w:r w:rsidR="00163F66" w:rsidRPr="00871292">
        <w:br/>
      </w:r>
      <w:r w:rsidR="00A57573" w:rsidRPr="00871292">
        <w:t>T</w:t>
      </w:r>
      <w:r w:rsidR="00A365C2" w:rsidRPr="00871292">
        <w:t>ablet</w:t>
      </w:r>
      <w:r w:rsidR="008E1A0B" w:rsidRPr="00871292">
        <w:t xml:space="preserve"> </w:t>
      </w:r>
      <w:r w:rsidR="00A365C2" w:rsidRPr="00871292">
        <w:t>15mg</w:t>
      </w:r>
      <w:r w:rsidR="00163F66" w:rsidRPr="00871292">
        <w:t>,</w:t>
      </w:r>
      <w:r w:rsidR="00163F66" w:rsidRPr="00871292">
        <w:br/>
      </w:r>
      <w:r w:rsidR="00A365C2" w:rsidRPr="00871292">
        <w:t>Rinvoq®</w:t>
      </w:r>
      <w:r w:rsidR="004A6040" w:rsidRPr="00871292">
        <w:t>,</w:t>
      </w:r>
      <w:r w:rsidR="004A6040" w:rsidRPr="00871292">
        <w:br/>
      </w:r>
      <w:r w:rsidR="00A365C2" w:rsidRPr="00871292">
        <w:t>AbbVie Pty Ltd</w:t>
      </w:r>
      <w:r w:rsidR="00B60939" w:rsidRPr="00871292">
        <w:t>.</w:t>
      </w:r>
      <w:bookmarkEnd w:id="0"/>
    </w:p>
    <w:p w:rsidR="00B50DB8" w:rsidRPr="00871292" w:rsidRDefault="00B50DB8" w:rsidP="004A6040">
      <w:pPr>
        <w:pStyle w:val="2-SectionHeading"/>
      </w:pPr>
      <w:bookmarkStart w:id="1" w:name="_Toc59437723"/>
      <w:r w:rsidRPr="00871292">
        <w:t xml:space="preserve">Purpose of </w:t>
      </w:r>
      <w:r w:rsidR="00CD7193" w:rsidRPr="00871292">
        <w:t>s</w:t>
      </w:r>
      <w:r w:rsidR="00BB3A45" w:rsidRPr="00871292">
        <w:t>ubmission</w:t>
      </w:r>
      <w:bookmarkEnd w:id="1"/>
    </w:p>
    <w:p w:rsidR="001E5F50" w:rsidRPr="00871292" w:rsidRDefault="001E5F50" w:rsidP="009F77E4">
      <w:pPr>
        <w:pStyle w:val="3-BodyText"/>
      </w:pPr>
      <w:r w:rsidRPr="00871292">
        <w:t>The submission requested</w:t>
      </w:r>
      <w:r w:rsidR="009E4102" w:rsidRPr="00871292">
        <w:t xml:space="preserve"> a General Schedule,</w:t>
      </w:r>
      <w:r w:rsidRPr="00871292">
        <w:t xml:space="preserve"> Authority Required listing of upadacitinib (UPA) for the treatment of adults with ankylosing spondylitis (AS) following inadequate response to at least two non-steroidal anti-inflammatory drugs (NSAIDs) combined with an exercise program. This was the first submission to the PBAC for the requested indication</w:t>
      </w:r>
      <w:r w:rsidR="009F77E4" w:rsidRPr="00871292">
        <w:t>;</w:t>
      </w:r>
      <w:r w:rsidRPr="00871292">
        <w:t xml:space="preserve"> UPA is currently PBS listed for rheumatoid arthritis</w:t>
      </w:r>
      <w:r w:rsidR="009F77E4" w:rsidRPr="00871292">
        <w:t xml:space="preserve"> (recommended November 2019) and</w:t>
      </w:r>
      <w:r w:rsidR="00D412C2" w:rsidRPr="00871292">
        <w:t xml:space="preserve"> was recommended</w:t>
      </w:r>
      <w:r w:rsidR="009F77E4" w:rsidRPr="00871292">
        <w:t xml:space="preserve"> by the PBAC</w:t>
      </w:r>
      <w:r w:rsidR="0081526F" w:rsidRPr="00871292">
        <w:t xml:space="preserve"> </w:t>
      </w:r>
      <w:r w:rsidR="008B71AE" w:rsidRPr="00871292">
        <w:t>at</w:t>
      </w:r>
      <w:r w:rsidR="009F77E4" w:rsidRPr="00871292">
        <w:t xml:space="preserve"> the March 2021 meeting for the treatment of psoriatic arthritis</w:t>
      </w:r>
      <w:r w:rsidRPr="00871292">
        <w:t>.</w:t>
      </w:r>
    </w:p>
    <w:p w:rsidR="008C4AE0" w:rsidRPr="00871292" w:rsidRDefault="0008652C" w:rsidP="00FC2B20">
      <w:pPr>
        <w:pStyle w:val="3-BodyText"/>
      </w:pPr>
      <w:r w:rsidRPr="00871292">
        <w:t>L</w:t>
      </w:r>
      <w:r w:rsidR="008C4AE0" w:rsidRPr="00871292">
        <w:t xml:space="preserve">isting </w:t>
      </w:r>
      <w:r w:rsidRPr="00871292">
        <w:t xml:space="preserve">was requested on the basis of </w:t>
      </w:r>
      <w:r w:rsidR="008C4AE0" w:rsidRPr="00871292">
        <w:t>a cost-minimisation analysis</w:t>
      </w:r>
      <w:r w:rsidRPr="00871292">
        <w:t xml:space="preserve"> versus </w:t>
      </w:r>
      <w:r w:rsidR="008C4AE0" w:rsidRPr="00871292">
        <w:t xml:space="preserve">adalimumab (ADA), a biologic Disease Modifying Anti-Rheumatic Drug (bDMARD) currently listed on the PBS for AS. If </w:t>
      </w:r>
      <w:r w:rsidR="009F77E4" w:rsidRPr="00871292">
        <w:t>listed</w:t>
      </w:r>
      <w:r w:rsidR="008C4AE0" w:rsidRPr="00871292">
        <w:t xml:space="preserve">, UPA would be the first </w:t>
      </w:r>
      <w:r w:rsidR="00260C13" w:rsidRPr="00871292">
        <w:t>j</w:t>
      </w:r>
      <w:r w:rsidR="008C4AE0" w:rsidRPr="00871292">
        <w:t>anus kinase (JAK) inhibitor</w:t>
      </w:r>
      <w:r w:rsidR="00274EF3" w:rsidRPr="00871292">
        <w:t xml:space="preserve"> and the first oral medicine</w:t>
      </w:r>
      <w:r w:rsidR="008C4AE0" w:rsidRPr="00871292">
        <w:t xml:space="preserve"> </w:t>
      </w:r>
      <w:r w:rsidR="009F77E4" w:rsidRPr="00871292">
        <w:t xml:space="preserve">available on the PBS for treatment of AS </w:t>
      </w:r>
      <w:r w:rsidR="008C4AE0" w:rsidRPr="00871292">
        <w:t xml:space="preserve">but </w:t>
      </w:r>
      <w:r w:rsidR="009F77E4" w:rsidRPr="00871292">
        <w:t xml:space="preserve">one of </w:t>
      </w:r>
      <w:r w:rsidR="008C4AE0" w:rsidRPr="00871292">
        <w:t>eigh</w:t>
      </w:r>
      <w:r w:rsidR="009F77E4" w:rsidRPr="00871292">
        <w:t>t</w:t>
      </w:r>
      <w:r w:rsidR="008C4AE0" w:rsidRPr="00871292">
        <w:t xml:space="preserve"> treatment </w:t>
      </w:r>
      <w:r w:rsidR="009F77E4" w:rsidRPr="00871292">
        <w:t xml:space="preserve">alternatives </w:t>
      </w:r>
      <w:r w:rsidR="008C4AE0" w:rsidRPr="00871292">
        <w:t xml:space="preserve">including </w:t>
      </w:r>
      <w:r w:rsidR="009F77E4" w:rsidRPr="00871292">
        <w:t xml:space="preserve">seven </w:t>
      </w:r>
      <w:r w:rsidR="008C4AE0" w:rsidRPr="00871292">
        <w:t xml:space="preserve">bDMARDs. </w:t>
      </w:r>
    </w:p>
    <w:p w:rsidR="002F0C61" w:rsidRPr="00871292" w:rsidRDefault="002F0C61" w:rsidP="002F0C61">
      <w:pPr>
        <w:pStyle w:val="TableFigureHeading"/>
      </w:pPr>
      <w:r w:rsidRPr="00871292">
        <w:rPr>
          <w:rStyle w:val="CommentReference"/>
          <w:b/>
          <w:szCs w:val="24"/>
        </w:rPr>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885"/>
      </w:tblGrid>
      <w:tr w:rsidR="002F0C61" w:rsidRPr="00871292" w:rsidTr="008C4AE0">
        <w:tc>
          <w:tcPr>
            <w:tcW w:w="1271" w:type="dxa"/>
            <w:vAlign w:val="center"/>
          </w:tcPr>
          <w:p w:rsidR="002F0C61" w:rsidRPr="00871292" w:rsidRDefault="002F0C61" w:rsidP="008C4AE0">
            <w:pPr>
              <w:pStyle w:val="In-tableHeading"/>
              <w:rPr>
                <w:lang w:val="en-AU"/>
              </w:rPr>
            </w:pPr>
            <w:r w:rsidRPr="00871292">
              <w:rPr>
                <w:lang w:val="en-AU"/>
              </w:rPr>
              <w:t>Component</w:t>
            </w:r>
          </w:p>
        </w:tc>
        <w:tc>
          <w:tcPr>
            <w:tcW w:w="7885" w:type="dxa"/>
            <w:vAlign w:val="center"/>
          </w:tcPr>
          <w:p w:rsidR="002F0C61" w:rsidRPr="00871292" w:rsidRDefault="002F0C61" w:rsidP="008C4AE0">
            <w:pPr>
              <w:pStyle w:val="In-tableHeading"/>
              <w:rPr>
                <w:lang w:val="en-AU"/>
              </w:rPr>
            </w:pPr>
            <w:r w:rsidRPr="00871292">
              <w:rPr>
                <w:lang w:val="en-AU"/>
              </w:rPr>
              <w:t>Description</w:t>
            </w:r>
          </w:p>
        </w:tc>
      </w:tr>
      <w:tr w:rsidR="002F0C61" w:rsidRPr="00871292" w:rsidTr="008C4AE0">
        <w:tc>
          <w:tcPr>
            <w:tcW w:w="1271" w:type="dxa"/>
            <w:vAlign w:val="center"/>
          </w:tcPr>
          <w:p w:rsidR="002F0C61" w:rsidRPr="00871292" w:rsidRDefault="002F0C61" w:rsidP="008C4AE0">
            <w:pPr>
              <w:pStyle w:val="TableText0"/>
            </w:pPr>
            <w:r w:rsidRPr="00871292">
              <w:t>Population</w:t>
            </w:r>
          </w:p>
        </w:tc>
        <w:tc>
          <w:tcPr>
            <w:tcW w:w="7885" w:type="dxa"/>
            <w:vAlign w:val="center"/>
          </w:tcPr>
          <w:p w:rsidR="002F0C61" w:rsidRPr="00871292" w:rsidRDefault="002F0C61" w:rsidP="008C4AE0">
            <w:pPr>
              <w:pStyle w:val="TableText0"/>
            </w:pPr>
            <w:r w:rsidRPr="00871292">
              <w:t>Patients with ankylosing spondylitis (AS) who failed to achieve an adequate response following treatment with at least 2 NSAIDs or a</w:t>
            </w:r>
            <w:r w:rsidR="00120045" w:rsidRPr="00871292">
              <w:t>re</w:t>
            </w:r>
            <w:r w:rsidRPr="00871292">
              <w:t xml:space="preserve"> contraindicat</w:t>
            </w:r>
            <w:r w:rsidR="00120045" w:rsidRPr="00871292">
              <w:t>ed</w:t>
            </w:r>
            <w:r w:rsidRPr="00871292">
              <w:t xml:space="preserve"> to NSAIDs, while completing an appropriate exercise program, for a total of three months, as per current criteria for PBS-listed bDMARD therapies.</w:t>
            </w:r>
          </w:p>
        </w:tc>
      </w:tr>
      <w:tr w:rsidR="002F0C61" w:rsidRPr="00871292" w:rsidTr="008C4AE0">
        <w:tc>
          <w:tcPr>
            <w:tcW w:w="1271" w:type="dxa"/>
            <w:vAlign w:val="center"/>
          </w:tcPr>
          <w:p w:rsidR="002F0C61" w:rsidRPr="00871292" w:rsidRDefault="002F0C61" w:rsidP="008C4AE0">
            <w:pPr>
              <w:pStyle w:val="TableText0"/>
            </w:pPr>
            <w:r w:rsidRPr="00871292">
              <w:t>Intervention</w:t>
            </w:r>
          </w:p>
        </w:tc>
        <w:tc>
          <w:tcPr>
            <w:tcW w:w="7885" w:type="dxa"/>
            <w:vAlign w:val="center"/>
          </w:tcPr>
          <w:p w:rsidR="002F0C61" w:rsidRPr="00871292" w:rsidRDefault="002F0C61" w:rsidP="008C4AE0">
            <w:pPr>
              <w:pStyle w:val="TableText0"/>
            </w:pPr>
            <w:r w:rsidRPr="00871292">
              <w:t>Upadacitinib 15 mg tablet, administered orally once daily</w:t>
            </w:r>
          </w:p>
        </w:tc>
      </w:tr>
      <w:tr w:rsidR="002F0C61" w:rsidRPr="00871292" w:rsidTr="008C4AE0">
        <w:tc>
          <w:tcPr>
            <w:tcW w:w="1271" w:type="dxa"/>
            <w:vAlign w:val="center"/>
          </w:tcPr>
          <w:p w:rsidR="002F0C61" w:rsidRPr="00871292" w:rsidRDefault="002F0C61" w:rsidP="008C4AE0">
            <w:pPr>
              <w:pStyle w:val="TableText0"/>
            </w:pPr>
            <w:r w:rsidRPr="00871292">
              <w:t>Comparator</w:t>
            </w:r>
          </w:p>
        </w:tc>
        <w:tc>
          <w:tcPr>
            <w:tcW w:w="7885" w:type="dxa"/>
            <w:vAlign w:val="center"/>
          </w:tcPr>
          <w:p w:rsidR="002F0C61" w:rsidRPr="00871292" w:rsidRDefault="002F0C61" w:rsidP="008C4AE0">
            <w:pPr>
              <w:pStyle w:val="TableText0"/>
            </w:pPr>
            <w:r w:rsidRPr="00871292">
              <w:t>Adalimumab 40 mg subcutaneous injection, administered fortnightly; adalimumab is the most-commonly prescribed PBS-listed bDMARD used in patients with active AS.</w:t>
            </w:r>
          </w:p>
          <w:p w:rsidR="002F0C61" w:rsidRPr="00871292" w:rsidRDefault="002F0C61" w:rsidP="008C4AE0">
            <w:pPr>
              <w:pStyle w:val="TableText0"/>
            </w:pPr>
            <w:r w:rsidRPr="00871292">
              <w:t>There is no listed pharmacological analogue for treatment of active AS.</w:t>
            </w:r>
          </w:p>
        </w:tc>
      </w:tr>
      <w:tr w:rsidR="002F0C61" w:rsidRPr="00871292" w:rsidTr="008C4AE0">
        <w:tc>
          <w:tcPr>
            <w:tcW w:w="1271" w:type="dxa"/>
            <w:vAlign w:val="center"/>
          </w:tcPr>
          <w:p w:rsidR="002F0C61" w:rsidRPr="00871292" w:rsidRDefault="002F0C61" w:rsidP="008C4AE0">
            <w:pPr>
              <w:pStyle w:val="TableText0"/>
            </w:pPr>
            <w:r w:rsidRPr="00871292">
              <w:t>Outcomes</w:t>
            </w:r>
          </w:p>
        </w:tc>
        <w:tc>
          <w:tcPr>
            <w:tcW w:w="7885" w:type="dxa"/>
            <w:vAlign w:val="center"/>
          </w:tcPr>
          <w:p w:rsidR="002F0C61" w:rsidRPr="00871292" w:rsidRDefault="002F0C61" w:rsidP="008C4AE0">
            <w:pPr>
              <w:pStyle w:val="TableText0"/>
            </w:pPr>
            <w:r w:rsidRPr="00871292">
              <w:t>ASAS20, ASAS40 and BASDAI 50</w:t>
            </w:r>
          </w:p>
        </w:tc>
      </w:tr>
      <w:tr w:rsidR="002F0C61" w:rsidRPr="00871292" w:rsidTr="008C4AE0">
        <w:tc>
          <w:tcPr>
            <w:tcW w:w="1271" w:type="dxa"/>
            <w:vAlign w:val="center"/>
          </w:tcPr>
          <w:p w:rsidR="002F0C61" w:rsidRPr="00871292" w:rsidRDefault="002F0C61" w:rsidP="008C4AE0">
            <w:pPr>
              <w:pStyle w:val="TableText0"/>
            </w:pPr>
            <w:r w:rsidRPr="00871292">
              <w:t>Clinical claim</w:t>
            </w:r>
          </w:p>
        </w:tc>
        <w:tc>
          <w:tcPr>
            <w:tcW w:w="7885" w:type="dxa"/>
            <w:vAlign w:val="center"/>
          </w:tcPr>
          <w:p w:rsidR="002F0C61" w:rsidRPr="00871292" w:rsidRDefault="002F0C61" w:rsidP="008C4AE0">
            <w:pPr>
              <w:pStyle w:val="TableText0"/>
            </w:pPr>
            <w:r w:rsidRPr="00871292">
              <w:t>Upadacitinib is non-inferior to adalimumab in terms of efficacy in patients with active AS for whom an adequate response has not been achieved with conventional therapies or NSAIDs.</w:t>
            </w:r>
          </w:p>
          <w:p w:rsidR="002F0C61" w:rsidRPr="00871292" w:rsidRDefault="002F0C61" w:rsidP="008C4AE0">
            <w:pPr>
              <w:pStyle w:val="TableText0"/>
            </w:pPr>
            <w:r w:rsidRPr="00871292">
              <w:t>Upadacitinib is comparable to adalimumab in terms of safety.</w:t>
            </w:r>
          </w:p>
        </w:tc>
      </w:tr>
    </w:tbl>
    <w:p w:rsidR="002F0C61" w:rsidRPr="00871292" w:rsidRDefault="002F0C61" w:rsidP="002F0C61">
      <w:pPr>
        <w:pStyle w:val="TableFigureFooter"/>
      </w:pPr>
      <w:r w:rsidRPr="00871292">
        <w:t xml:space="preserve">Abbreviations: NSAID=non-steroidal anti-inflammatory drugs; bDMARD=biological disease anti-rheumatic drug; AS=Ankylosing spondylitis; ASAS20/40=Assessment of SpondyloArthritis international Society 20%/40% response criteria; BASDAI50=50% improvement in Bath ankylosing spondylitis disease activity index; </w:t>
      </w:r>
    </w:p>
    <w:p w:rsidR="002F0C61" w:rsidRPr="00871292" w:rsidRDefault="002F0C61" w:rsidP="002F0C61">
      <w:pPr>
        <w:pStyle w:val="TableFigureFooter"/>
      </w:pPr>
      <w:r w:rsidRPr="00871292">
        <w:t>Source: Table 1.1 of the submission.</w:t>
      </w:r>
    </w:p>
    <w:p w:rsidR="005C25FF" w:rsidRPr="00871292" w:rsidRDefault="005C25FF" w:rsidP="004A6040">
      <w:pPr>
        <w:pStyle w:val="2-SectionHeading"/>
      </w:pPr>
      <w:bookmarkStart w:id="2" w:name="_Toc59437724"/>
      <w:r w:rsidRPr="00871292">
        <w:t>Background</w:t>
      </w:r>
      <w:bookmarkEnd w:id="2"/>
    </w:p>
    <w:p w:rsidR="005C25FF" w:rsidRPr="00871292" w:rsidRDefault="005C25FF" w:rsidP="004A6040">
      <w:pPr>
        <w:pStyle w:val="4-SubsectionHeading"/>
      </w:pPr>
      <w:bookmarkStart w:id="3" w:name="_Toc22897638"/>
      <w:bookmarkStart w:id="4" w:name="_Toc59437725"/>
      <w:r w:rsidRPr="00871292">
        <w:t>Registration status</w:t>
      </w:r>
      <w:bookmarkEnd w:id="3"/>
      <w:bookmarkEnd w:id="4"/>
    </w:p>
    <w:p w:rsidR="00D412C2" w:rsidRPr="00871292" w:rsidRDefault="002F0C61" w:rsidP="00D412C2">
      <w:pPr>
        <w:pStyle w:val="3-BodyText"/>
      </w:pPr>
      <w:r w:rsidRPr="00871292">
        <w:t xml:space="preserve">The submission was made under the TGA/PBAC Parallel Process. </w:t>
      </w:r>
      <w:r w:rsidR="0052427F" w:rsidRPr="00871292">
        <w:t>At time of PBAC consideration: The TGA Delegate’s Overview and ACM advice was available.</w:t>
      </w:r>
      <w:r w:rsidR="00765C66" w:rsidRPr="00871292">
        <w:t xml:space="preserve"> </w:t>
      </w:r>
      <w:r w:rsidR="00D412C2" w:rsidRPr="00871292">
        <w:t>The proposed TGA indication was:</w:t>
      </w:r>
    </w:p>
    <w:p w:rsidR="00D412C2" w:rsidRPr="00871292" w:rsidRDefault="00D412C2" w:rsidP="00D412C2">
      <w:pPr>
        <w:pStyle w:val="3-BodyText"/>
        <w:numPr>
          <w:ilvl w:val="0"/>
          <w:numId w:val="0"/>
        </w:numPr>
        <w:ind w:left="720"/>
      </w:pPr>
      <w:r w:rsidRPr="00871292">
        <w:lastRenderedPageBreak/>
        <w:t xml:space="preserve">‘Upadacitinib is indicated for the treatment of adults with </w:t>
      </w:r>
      <w:r w:rsidR="005A56CD" w:rsidRPr="00871292">
        <w:t xml:space="preserve">active </w:t>
      </w:r>
      <w:r w:rsidR="004524D5" w:rsidRPr="00871292">
        <w:t>ankylosing</w:t>
      </w:r>
      <w:r w:rsidR="005A56CD" w:rsidRPr="00871292">
        <w:t xml:space="preserve"> spondylitis.’</w:t>
      </w:r>
    </w:p>
    <w:p w:rsidR="00B60939" w:rsidRPr="00871292" w:rsidRDefault="00B50DB8" w:rsidP="004E18E9">
      <w:pPr>
        <w:pStyle w:val="2-SectionHeading"/>
      </w:pPr>
      <w:bookmarkStart w:id="5" w:name="_Toc59437726"/>
      <w:r w:rsidRPr="00871292">
        <w:t>Requested listing</w:t>
      </w:r>
      <w:bookmarkEnd w:id="5"/>
    </w:p>
    <w:tbl>
      <w:tblPr>
        <w:tblW w:w="5000"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635"/>
        <w:gridCol w:w="1062"/>
        <w:gridCol w:w="960"/>
        <w:gridCol w:w="960"/>
        <w:gridCol w:w="818"/>
        <w:gridCol w:w="1937"/>
        <w:gridCol w:w="1648"/>
        <w:gridCol w:w="7"/>
      </w:tblGrid>
      <w:tr w:rsidR="00941425" w:rsidRPr="00871292" w:rsidTr="006608E3">
        <w:tc>
          <w:tcPr>
            <w:tcW w:w="1493" w:type="pct"/>
            <w:gridSpan w:val="2"/>
            <w:tcBorders>
              <w:bottom w:val="single" w:sz="4" w:space="0" w:color="auto"/>
            </w:tcBorders>
          </w:tcPr>
          <w:p w:rsidR="00941425" w:rsidRPr="00871292" w:rsidRDefault="00941425" w:rsidP="002E23A9">
            <w:pPr>
              <w:pStyle w:val="Tabletext"/>
              <w:keepNext/>
              <w:keepLines/>
              <w:rPr>
                <w:b/>
                <w:bCs/>
              </w:rPr>
            </w:pPr>
            <w:r w:rsidRPr="00871292">
              <w:rPr>
                <w:b/>
              </w:rPr>
              <w:t>Name, restriction, manner of administration, form</w:t>
            </w:r>
          </w:p>
        </w:tc>
        <w:tc>
          <w:tcPr>
            <w:tcW w:w="532" w:type="pct"/>
            <w:tcBorders>
              <w:bottom w:val="single" w:sz="4" w:space="0" w:color="auto"/>
            </w:tcBorders>
            <w:vAlign w:val="center"/>
          </w:tcPr>
          <w:p w:rsidR="00941425" w:rsidRPr="00871292" w:rsidRDefault="00941425" w:rsidP="002E23A9">
            <w:pPr>
              <w:pStyle w:val="Tabletext"/>
              <w:keepNext/>
              <w:keepLines/>
              <w:jc w:val="center"/>
              <w:rPr>
                <w:b/>
                <w:bCs/>
              </w:rPr>
            </w:pPr>
            <w:r w:rsidRPr="00871292">
              <w:rPr>
                <w:b/>
              </w:rPr>
              <w:t>Maximum quantity (packs)</w:t>
            </w:r>
          </w:p>
        </w:tc>
        <w:tc>
          <w:tcPr>
            <w:tcW w:w="532" w:type="pct"/>
            <w:tcBorders>
              <w:bottom w:val="single" w:sz="4" w:space="0" w:color="auto"/>
            </w:tcBorders>
            <w:vAlign w:val="center"/>
          </w:tcPr>
          <w:p w:rsidR="00941425" w:rsidRPr="00871292" w:rsidRDefault="00941425" w:rsidP="002E23A9">
            <w:pPr>
              <w:pStyle w:val="Tabletext"/>
              <w:keepNext/>
              <w:keepLines/>
              <w:jc w:val="center"/>
              <w:rPr>
                <w:b/>
              </w:rPr>
            </w:pPr>
            <w:r w:rsidRPr="00871292">
              <w:rPr>
                <w:b/>
              </w:rPr>
              <w:t>Maximum quantity (units)</w:t>
            </w:r>
          </w:p>
        </w:tc>
        <w:tc>
          <w:tcPr>
            <w:tcW w:w="453" w:type="pct"/>
            <w:tcBorders>
              <w:bottom w:val="single" w:sz="4" w:space="0" w:color="auto"/>
            </w:tcBorders>
            <w:vAlign w:val="center"/>
          </w:tcPr>
          <w:p w:rsidR="00941425" w:rsidRPr="00871292" w:rsidRDefault="00941425" w:rsidP="002E23A9">
            <w:pPr>
              <w:pStyle w:val="Tabletext"/>
              <w:keepNext/>
              <w:keepLines/>
              <w:jc w:val="center"/>
              <w:rPr>
                <w:b/>
                <w:bCs/>
              </w:rPr>
            </w:pPr>
            <w:r w:rsidRPr="00871292">
              <w:rPr>
                <w:b/>
              </w:rPr>
              <w:t>No. of repeats</w:t>
            </w:r>
          </w:p>
        </w:tc>
        <w:tc>
          <w:tcPr>
            <w:tcW w:w="1073" w:type="pct"/>
            <w:tcBorders>
              <w:bottom w:val="single" w:sz="4" w:space="0" w:color="auto"/>
            </w:tcBorders>
            <w:vAlign w:val="center"/>
          </w:tcPr>
          <w:p w:rsidR="00941425" w:rsidRPr="00871292" w:rsidRDefault="00941425" w:rsidP="002E23A9">
            <w:pPr>
              <w:pStyle w:val="Tabletext"/>
              <w:keepNext/>
              <w:keepLines/>
              <w:jc w:val="center"/>
              <w:rPr>
                <w:b/>
                <w:bCs/>
              </w:rPr>
            </w:pPr>
            <w:r w:rsidRPr="00871292">
              <w:rPr>
                <w:b/>
              </w:rPr>
              <w:t>Dispensed price for maximum quantity</w:t>
            </w:r>
          </w:p>
        </w:tc>
        <w:tc>
          <w:tcPr>
            <w:tcW w:w="917" w:type="pct"/>
            <w:gridSpan w:val="2"/>
            <w:tcBorders>
              <w:bottom w:val="single" w:sz="4" w:space="0" w:color="auto"/>
            </w:tcBorders>
            <w:vAlign w:val="center"/>
          </w:tcPr>
          <w:p w:rsidR="00941425" w:rsidRPr="00871292" w:rsidRDefault="00941425" w:rsidP="002E23A9">
            <w:pPr>
              <w:pStyle w:val="Tabletext"/>
              <w:keepNext/>
              <w:keepLines/>
              <w:jc w:val="center"/>
              <w:rPr>
                <w:b/>
                <w:bCs/>
              </w:rPr>
            </w:pPr>
            <w:r w:rsidRPr="00871292">
              <w:rPr>
                <w:b/>
              </w:rPr>
              <w:t>Proprietary name and manufacturer</w:t>
            </w:r>
          </w:p>
        </w:tc>
      </w:tr>
      <w:tr w:rsidR="00941425" w:rsidRPr="00871292" w:rsidTr="006608E3">
        <w:trPr>
          <w:trHeight w:val="60"/>
        </w:trPr>
        <w:tc>
          <w:tcPr>
            <w:tcW w:w="1493" w:type="pct"/>
            <w:gridSpan w:val="2"/>
            <w:tcBorders>
              <w:bottom w:val="nil"/>
            </w:tcBorders>
            <w:vAlign w:val="center"/>
          </w:tcPr>
          <w:p w:rsidR="00941425" w:rsidRPr="00871292" w:rsidRDefault="00941425" w:rsidP="002E23A9">
            <w:pPr>
              <w:pStyle w:val="Tabletext"/>
              <w:keepNext/>
              <w:keepLines/>
            </w:pPr>
            <w:r w:rsidRPr="00871292">
              <w:rPr>
                <w:smallCaps/>
              </w:rPr>
              <w:t>Upadacitinib</w:t>
            </w:r>
          </w:p>
        </w:tc>
        <w:tc>
          <w:tcPr>
            <w:tcW w:w="532" w:type="pct"/>
            <w:tcBorders>
              <w:bottom w:val="nil"/>
            </w:tcBorders>
            <w:vAlign w:val="center"/>
          </w:tcPr>
          <w:p w:rsidR="00941425" w:rsidRPr="00871292" w:rsidRDefault="00941425" w:rsidP="002E23A9">
            <w:pPr>
              <w:pStyle w:val="Tabletext"/>
              <w:keepNext/>
              <w:keepLines/>
              <w:jc w:val="center"/>
            </w:pPr>
          </w:p>
        </w:tc>
        <w:tc>
          <w:tcPr>
            <w:tcW w:w="532" w:type="pct"/>
            <w:tcBorders>
              <w:bottom w:val="nil"/>
            </w:tcBorders>
            <w:vAlign w:val="center"/>
          </w:tcPr>
          <w:p w:rsidR="00941425" w:rsidRPr="00871292" w:rsidRDefault="00941425" w:rsidP="002E23A9">
            <w:pPr>
              <w:pStyle w:val="Tabletext"/>
              <w:keepNext/>
              <w:keepLines/>
              <w:jc w:val="center"/>
            </w:pPr>
          </w:p>
        </w:tc>
        <w:tc>
          <w:tcPr>
            <w:tcW w:w="453" w:type="pct"/>
            <w:tcBorders>
              <w:bottom w:val="nil"/>
            </w:tcBorders>
            <w:vAlign w:val="center"/>
          </w:tcPr>
          <w:p w:rsidR="00941425" w:rsidRPr="00871292" w:rsidRDefault="00941425" w:rsidP="002E23A9">
            <w:pPr>
              <w:pStyle w:val="Tabletext"/>
              <w:keepNext/>
              <w:keepLines/>
              <w:jc w:val="center"/>
            </w:pPr>
          </w:p>
        </w:tc>
        <w:tc>
          <w:tcPr>
            <w:tcW w:w="1073" w:type="pct"/>
            <w:tcBorders>
              <w:bottom w:val="nil"/>
            </w:tcBorders>
            <w:vAlign w:val="center"/>
          </w:tcPr>
          <w:p w:rsidR="00941425" w:rsidRPr="00871292" w:rsidRDefault="00941425" w:rsidP="002E23A9">
            <w:pPr>
              <w:pStyle w:val="Tabletext"/>
              <w:keepNext/>
              <w:keepLines/>
              <w:jc w:val="center"/>
            </w:pPr>
          </w:p>
        </w:tc>
        <w:tc>
          <w:tcPr>
            <w:tcW w:w="917" w:type="pct"/>
            <w:gridSpan w:val="2"/>
            <w:tcBorders>
              <w:bottom w:val="nil"/>
            </w:tcBorders>
            <w:vAlign w:val="center"/>
          </w:tcPr>
          <w:p w:rsidR="00941425" w:rsidRPr="00871292" w:rsidRDefault="00941425" w:rsidP="002E23A9">
            <w:pPr>
              <w:pStyle w:val="Tabletext"/>
              <w:keepNext/>
              <w:keepLines/>
              <w:jc w:val="center"/>
            </w:pPr>
          </w:p>
        </w:tc>
      </w:tr>
      <w:tr w:rsidR="00941425" w:rsidRPr="00871292" w:rsidTr="006608E3">
        <w:trPr>
          <w:trHeight w:val="60"/>
        </w:trPr>
        <w:tc>
          <w:tcPr>
            <w:tcW w:w="1493" w:type="pct"/>
            <w:gridSpan w:val="2"/>
            <w:tcBorders>
              <w:top w:val="nil"/>
              <w:bottom w:val="nil"/>
            </w:tcBorders>
            <w:vAlign w:val="center"/>
          </w:tcPr>
          <w:p w:rsidR="00941425" w:rsidRPr="00871292" w:rsidRDefault="00941425" w:rsidP="002E23A9">
            <w:pPr>
              <w:pStyle w:val="Tabletext"/>
              <w:keepNext/>
              <w:keepLines/>
              <w:rPr>
                <w:u w:val="single"/>
              </w:rPr>
            </w:pPr>
            <w:r w:rsidRPr="00871292">
              <w:rPr>
                <w:u w:val="single"/>
              </w:rPr>
              <w:t>Initial 1, 2 and 3</w:t>
            </w:r>
          </w:p>
          <w:p w:rsidR="00941425" w:rsidRPr="00871292" w:rsidRDefault="00941425" w:rsidP="002E23A9">
            <w:pPr>
              <w:pStyle w:val="Tabletext"/>
              <w:keepNext/>
              <w:keepLines/>
              <w:rPr>
                <w:bCs/>
              </w:rPr>
            </w:pPr>
            <w:r w:rsidRPr="00871292">
              <w:rPr>
                <w:bCs/>
              </w:rPr>
              <w:t>15 mg modified release tablet, 28</w:t>
            </w:r>
          </w:p>
        </w:tc>
        <w:tc>
          <w:tcPr>
            <w:tcW w:w="532" w:type="pct"/>
            <w:tcBorders>
              <w:top w:val="nil"/>
              <w:bottom w:val="nil"/>
            </w:tcBorders>
            <w:vAlign w:val="center"/>
          </w:tcPr>
          <w:p w:rsidR="00941425" w:rsidRPr="00871292" w:rsidRDefault="00941425" w:rsidP="002E23A9">
            <w:pPr>
              <w:pStyle w:val="Tabletext"/>
              <w:keepNext/>
              <w:keepLines/>
              <w:jc w:val="center"/>
              <w:rPr>
                <w:rFonts w:ascii="Times" w:hAnsi="Times"/>
              </w:rPr>
            </w:pPr>
            <w:r w:rsidRPr="00871292">
              <w:t>1</w:t>
            </w:r>
          </w:p>
        </w:tc>
        <w:tc>
          <w:tcPr>
            <w:tcW w:w="532" w:type="pct"/>
            <w:tcBorders>
              <w:top w:val="nil"/>
              <w:bottom w:val="nil"/>
            </w:tcBorders>
            <w:vAlign w:val="center"/>
          </w:tcPr>
          <w:p w:rsidR="00941425" w:rsidRPr="00871292" w:rsidRDefault="00941425" w:rsidP="002E23A9">
            <w:pPr>
              <w:pStyle w:val="Tabletext"/>
              <w:keepNext/>
              <w:keepLines/>
              <w:jc w:val="center"/>
            </w:pPr>
            <w:r w:rsidRPr="00871292">
              <w:t>28</w:t>
            </w:r>
          </w:p>
        </w:tc>
        <w:tc>
          <w:tcPr>
            <w:tcW w:w="453" w:type="pct"/>
            <w:tcBorders>
              <w:top w:val="nil"/>
              <w:bottom w:val="nil"/>
            </w:tcBorders>
            <w:vAlign w:val="center"/>
          </w:tcPr>
          <w:p w:rsidR="00941425" w:rsidRPr="00871292" w:rsidRDefault="00941425" w:rsidP="002E23A9">
            <w:pPr>
              <w:pStyle w:val="Tabletext"/>
              <w:keepNext/>
              <w:keepLines/>
              <w:jc w:val="center"/>
              <w:rPr>
                <w:rFonts w:ascii="Times" w:hAnsi="Times"/>
              </w:rPr>
            </w:pPr>
            <w:r w:rsidRPr="00871292">
              <w:t>3</w:t>
            </w:r>
          </w:p>
        </w:tc>
        <w:tc>
          <w:tcPr>
            <w:tcW w:w="1073" w:type="pct"/>
            <w:tcBorders>
              <w:top w:val="nil"/>
              <w:bottom w:val="nil"/>
            </w:tcBorders>
            <w:vAlign w:val="center"/>
          </w:tcPr>
          <w:p w:rsidR="00941425" w:rsidRPr="00871292" w:rsidRDefault="00941425" w:rsidP="002E23A9">
            <w:pPr>
              <w:pStyle w:val="Tabletext"/>
              <w:keepNext/>
              <w:keepLines/>
              <w:jc w:val="center"/>
              <w:rPr>
                <w:rFonts w:ascii="Times" w:hAnsi="Times"/>
              </w:rPr>
            </w:pPr>
            <w:r w:rsidRPr="00871292">
              <w:t>$1,271.34^</w:t>
            </w:r>
          </w:p>
        </w:tc>
        <w:tc>
          <w:tcPr>
            <w:tcW w:w="917" w:type="pct"/>
            <w:gridSpan w:val="2"/>
            <w:vMerge w:val="restart"/>
            <w:tcBorders>
              <w:top w:val="nil"/>
              <w:bottom w:val="nil"/>
            </w:tcBorders>
            <w:vAlign w:val="center"/>
          </w:tcPr>
          <w:p w:rsidR="00941425" w:rsidRPr="00871292" w:rsidRDefault="00941425" w:rsidP="002E23A9">
            <w:pPr>
              <w:pStyle w:val="Tabletext"/>
              <w:keepNext/>
              <w:keepLines/>
              <w:jc w:val="center"/>
            </w:pPr>
            <w:r w:rsidRPr="00871292">
              <w:t>RINVOQ</w:t>
            </w:r>
          </w:p>
          <w:p w:rsidR="00941425" w:rsidRPr="00871292" w:rsidRDefault="00941425" w:rsidP="002E23A9">
            <w:pPr>
              <w:pStyle w:val="Tabletext"/>
              <w:keepNext/>
              <w:keepLines/>
              <w:jc w:val="center"/>
            </w:pPr>
            <w:r w:rsidRPr="00871292">
              <w:t>AbbVie Pty Ltd</w:t>
            </w:r>
          </w:p>
        </w:tc>
      </w:tr>
      <w:tr w:rsidR="00941425" w:rsidRPr="00871292" w:rsidTr="006608E3">
        <w:tc>
          <w:tcPr>
            <w:tcW w:w="1493" w:type="pct"/>
            <w:gridSpan w:val="2"/>
            <w:tcBorders>
              <w:top w:val="nil"/>
              <w:bottom w:val="nil"/>
            </w:tcBorders>
            <w:vAlign w:val="center"/>
          </w:tcPr>
          <w:p w:rsidR="00941425" w:rsidRPr="00871292" w:rsidRDefault="00941425" w:rsidP="002E23A9">
            <w:pPr>
              <w:pStyle w:val="Tabletext"/>
              <w:keepNext/>
              <w:keepLines/>
              <w:rPr>
                <w:u w:val="single"/>
              </w:rPr>
            </w:pPr>
            <w:r w:rsidRPr="00871292">
              <w:rPr>
                <w:u w:val="single"/>
              </w:rPr>
              <w:t>Initial – grandfathered patients</w:t>
            </w:r>
          </w:p>
          <w:p w:rsidR="00941425" w:rsidRPr="00871292" w:rsidRDefault="00941425" w:rsidP="002E23A9">
            <w:pPr>
              <w:pStyle w:val="Tabletext"/>
              <w:keepNext/>
              <w:keepLines/>
            </w:pPr>
            <w:r w:rsidRPr="00871292">
              <w:rPr>
                <w:bCs/>
              </w:rPr>
              <w:t>15 mg modified release tablet, 28</w:t>
            </w:r>
          </w:p>
        </w:tc>
        <w:tc>
          <w:tcPr>
            <w:tcW w:w="532" w:type="pct"/>
            <w:tcBorders>
              <w:top w:val="nil"/>
              <w:bottom w:val="nil"/>
            </w:tcBorders>
            <w:vAlign w:val="center"/>
          </w:tcPr>
          <w:p w:rsidR="00941425" w:rsidRPr="00871292" w:rsidRDefault="00941425" w:rsidP="002E23A9">
            <w:pPr>
              <w:pStyle w:val="Tabletext"/>
              <w:keepNext/>
              <w:keepLines/>
              <w:jc w:val="center"/>
            </w:pPr>
            <w:r w:rsidRPr="00871292">
              <w:t>1</w:t>
            </w:r>
          </w:p>
        </w:tc>
        <w:tc>
          <w:tcPr>
            <w:tcW w:w="532" w:type="pct"/>
            <w:tcBorders>
              <w:top w:val="nil"/>
              <w:bottom w:val="nil"/>
            </w:tcBorders>
            <w:vAlign w:val="center"/>
          </w:tcPr>
          <w:p w:rsidR="00941425" w:rsidRPr="00871292" w:rsidRDefault="00941425" w:rsidP="002E23A9">
            <w:pPr>
              <w:pStyle w:val="Tabletext"/>
              <w:keepNext/>
              <w:keepLines/>
              <w:jc w:val="center"/>
            </w:pPr>
            <w:r w:rsidRPr="00871292">
              <w:t>28</w:t>
            </w:r>
          </w:p>
        </w:tc>
        <w:tc>
          <w:tcPr>
            <w:tcW w:w="453" w:type="pct"/>
            <w:tcBorders>
              <w:top w:val="nil"/>
              <w:bottom w:val="nil"/>
            </w:tcBorders>
            <w:vAlign w:val="center"/>
          </w:tcPr>
          <w:p w:rsidR="00941425" w:rsidRPr="00871292" w:rsidRDefault="00941425" w:rsidP="002E23A9">
            <w:pPr>
              <w:pStyle w:val="Tabletext"/>
              <w:keepNext/>
              <w:keepLines/>
              <w:jc w:val="center"/>
            </w:pPr>
            <w:r w:rsidRPr="00871292">
              <w:t>5</w:t>
            </w:r>
          </w:p>
        </w:tc>
        <w:tc>
          <w:tcPr>
            <w:tcW w:w="1073" w:type="pct"/>
            <w:tcBorders>
              <w:top w:val="nil"/>
              <w:bottom w:val="nil"/>
            </w:tcBorders>
            <w:vAlign w:val="center"/>
          </w:tcPr>
          <w:p w:rsidR="00941425" w:rsidRPr="00871292" w:rsidRDefault="00941425" w:rsidP="002E23A9">
            <w:pPr>
              <w:pStyle w:val="Tabletext"/>
              <w:keepNext/>
              <w:keepLines/>
              <w:jc w:val="center"/>
            </w:pPr>
            <w:r w:rsidRPr="00871292">
              <w:t>$1,271.34^</w:t>
            </w:r>
          </w:p>
        </w:tc>
        <w:tc>
          <w:tcPr>
            <w:tcW w:w="917" w:type="pct"/>
            <w:gridSpan w:val="2"/>
            <w:vMerge/>
            <w:tcBorders>
              <w:bottom w:val="single" w:sz="4" w:space="0" w:color="auto"/>
            </w:tcBorders>
            <w:vAlign w:val="center"/>
          </w:tcPr>
          <w:p w:rsidR="00941425" w:rsidRPr="00871292" w:rsidRDefault="00941425" w:rsidP="002E23A9">
            <w:pPr>
              <w:pStyle w:val="Tabletext"/>
              <w:keepNext/>
              <w:keepLines/>
              <w:jc w:val="center"/>
            </w:pPr>
          </w:p>
        </w:tc>
      </w:tr>
      <w:tr w:rsidR="00941425" w:rsidRPr="00871292" w:rsidTr="006608E3">
        <w:tc>
          <w:tcPr>
            <w:tcW w:w="1493" w:type="pct"/>
            <w:gridSpan w:val="2"/>
            <w:tcBorders>
              <w:top w:val="nil"/>
            </w:tcBorders>
            <w:vAlign w:val="center"/>
          </w:tcPr>
          <w:p w:rsidR="00941425" w:rsidRPr="00871292" w:rsidRDefault="00941425" w:rsidP="002E23A9">
            <w:pPr>
              <w:pStyle w:val="Tabletext"/>
              <w:keepNext/>
              <w:keepLines/>
              <w:rPr>
                <w:u w:val="single"/>
              </w:rPr>
            </w:pPr>
            <w:r w:rsidRPr="00871292">
              <w:rPr>
                <w:u w:val="single"/>
              </w:rPr>
              <w:t>Continuing</w:t>
            </w:r>
          </w:p>
          <w:p w:rsidR="00941425" w:rsidRPr="00871292" w:rsidRDefault="00941425" w:rsidP="002E23A9">
            <w:pPr>
              <w:pStyle w:val="Tabletext"/>
              <w:keepNext/>
              <w:keepLines/>
              <w:rPr>
                <w:smallCaps/>
              </w:rPr>
            </w:pPr>
            <w:r w:rsidRPr="00871292">
              <w:rPr>
                <w:bCs/>
              </w:rPr>
              <w:t>15 mg modified release tablet, 28</w:t>
            </w:r>
          </w:p>
        </w:tc>
        <w:tc>
          <w:tcPr>
            <w:tcW w:w="532" w:type="pct"/>
            <w:tcBorders>
              <w:top w:val="nil"/>
            </w:tcBorders>
            <w:vAlign w:val="center"/>
          </w:tcPr>
          <w:p w:rsidR="00941425" w:rsidRPr="00871292" w:rsidRDefault="00941425" w:rsidP="002E23A9">
            <w:pPr>
              <w:pStyle w:val="Tabletext"/>
              <w:keepNext/>
              <w:keepLines/>
              <w:jc w:val="center"/>
            </w:pPr>
            <w:r w:rsidRPr="00871292">
              <w:t>1</w:t>
            </w:r>
          </w:p>
        </w:tc>
        <w:tc>
          <w:tcPr>
            <w:tcW w:w="532" w:type="pct"/>
            <w:tcBorders>
              <w:top w:val="nil"/>
            </w:tcBorders>
            <w:vAlign w:val="center"/>
          </w:tcPr>
          <w:p w:rsidR="00941425" w:rsidRPr="00871292" w:rsidRDefault="00941425" w:rsidP="002E23A9">
            <w:pPr>
              <w:pStyle w:val="Tabletext"/>
              <w:keepNext/>
              <w:keepLines/>
              <w:jc w:val="center"/>
            </w:pPr>
            <w:r w:rsidRPr="00871292">
              <w:t>28</w:t>
            </w:r>
          </w:p>
        </w:tc>
        <w:tc>
          <w:tcPr>
            <w:tcW w:w="453" w:type="pct"/>
            <w:tcBorders>
              <w:top w:val="nil"/>
            </w:tcBorders>
            <w:vAlign w:val="center"/>
          </w:tcPr>
          <w:p w:rsidR="00941425" w:rsidRPr="00871292" w:rsidRDefault="00941425" w:rsidP="002E23A9">
            <w:pPr>
              <w:pStyle w:val="Tabletext"/>
              <w:keepNext/>
              <w:keepLines/>
              <w:jc w:val="center"/>
            </w:pPr>
            <w:r w:rsidRPr="00871292">
              <w:t>5</w:t>
            </w:r>
          </w:p>
        </w:tc>
        <w:tc>
          <w:tcPr>
            <w:tcW w:w="1073" w:type="pct"/>
            <w:tcBorders>
              <w:top w:val="nil"/>
            </w:tcBorders>
            <w:vAlign w:val="center"/>
          </w:tcPr>
          <w:p w:rsidR="00941425" w:rsidRPr="00871292" w:rsidRDefault="00941425" w:rsidP="002E23A9">
            <w:pPr>
              <w:pStyle w:val="Tabletext"/>
              <w:keepNext/>
              <w:keepLines/>
              <w:jc w:val="center"/>
            </w:pPr>
            <w:r w:rsidRPr="00871292">
              <w:t>$1,271.34^</w:t>
            </w:r>
          </w:p>
        </w:tc>
        <w:tc>
          <w:tcPr>
            <w:tcW w:w="917" w:type="pct"/>
            <w:gridSpan w:val="2"/>
            <w:vMerge/>
            <w:tcBorders>
              <w:bottom w:val="single" w:sz="4" w:space="0" w:color="auto"/>
            </w:tcBorders>
            <w:vAlign w:val="center"/>
          </w:tcPr>
          <w:p w:rsidR="00941425" w:rsidRPr="00871292" w:rsidRDefault="00941425" w:rsidP="002E23A9">
            <w:pPr>
              <w:pStyle w:val="Tabletext"/>
              <w:keepNext/>
              <w:keepLines/>
              <w:jc w:val="center"/>
            </w:pP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Category / Program:</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pPr>
            <w:r w:rsidRPr="00871292">
              <w:t>GENERAL – General Schedule (Code GE)</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PBS Indication:</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pPr>
            <w:r w:rsidRPr="00871292">
              <w:t>Ankylosing Spondylitis</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Treatment phase:</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Initial treatment 1 (new patient)</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i/>
              </w:rPr>
            </w:pPr>
            <w:r w:rsidRPr="00871292">
              <w:rPr>
                <w:b/>
              </w:rPr>
              <w:t>Restriction:</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pPr>
            <w:r w:rsidRPr="00871292">
              <w:fldChar w:fldCharType="begin">
                <w:ffData>
                  <w:name w:val=""/>
                  <w:enabled/>
                  <w:calcOnExit w:val="0"/>
                  <w:checkBox>
                    <w:sizeAuto/>
                    <w:default w:val="1"/>
                  </w:checkBox>
                </w:ffData>
              </w:fldChar>
            </w:r>
            <w:r w:rsidRPr="00871292">
              <w:instrText xml:space="preserve"> FORMCHECKBOX </w:instrText>
            </w:r>
            <w:r w:rsidR="005B1E64">
              <w:fldChar w:fldCharType="separate"/>
            </w:r>
            <w:r w:rsidRPr="00871292">
              <w:fldChar w:fldCharType="end"/>
            </w:r>
            <w:r w:rsidRPr="00871292">
              <w:t>Authority Required - In Writing</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Treatment criteria:</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4814FF">
            <w:pPr>
              <w:pStyle w:val="TableText0"/>
              <w:numPr>
                <w:ilvl w:val="0"/>
                <w:numId w:val="7"/>
              </w:numPr>
              <w:ind w:left="252" w:hanging="252"/>
            </w:pPr>
            <w:r w:rsidRPr="00871292">
              <w:t>Must be treated by a rheumatologist; OR</w:t>
            </w:r>
          </w:p>
          <w:p w:rsidR="00941425" w:rsidRPr="00871292" w:rsidRDefault="00941425" w:rsidP="004814FF">
            <w:pPr>
              <w:pStyle w:val="TableText0"/>
              <w:keepNext w:val="0"/>
              <w:numPr>
                <w:ilvl w:val="0"/>
                <w:numId w:val="7"/>
              </w:numPr>
              <w:ind w:left="252" w:hanging="252"/>
            </w:pPr>
            <w:r w:rsidRPr="00871292">
              <w:t>Must be treated by a clinical immunologist with expertise in the management of ankylosing spondylitis.</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i/>
              </w:rPr>
            </w:pPr>
            <w:r w:rsidRPr="00871292">
              <w:rPr>
                <w:b/>
              </w:rPr>
              <w:t>Clinical criteria:</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4814FF">
            <w:pPr>
              <w:pStyle w:val="TableText0"/>
              <w:numPr>
                <w:ilvl w:val="0"/>
                <w:numId w:val="7"/>
              </w:numPr>
              <w:ind w:left="252" w:hanging="252"/>
            </w:pPr>
            <w:r w:rsidRPr="00871292">
              <w:t>The condition must be radiographically (plain X-ray) confirmed Grade II bilateral sacroiliitis or Grade III unilateral sacroiliitis, AND</w:t>
            </w:r>
          </w:p>
          <w:p w:rsidR="00941425" w:rsidRPr="00871292" w:rsidRDefault="00941425" w:rsidP="004814FF">
            <w:pPr>
              <w:pStyle w:val="TableText0"/>
              <w:numPr>
                <w:ilvl w:val="0"/>
                <w:numId w:val="7"/>
              </w:numPr>
              <w:ind w:left="252" w:hanging="252"/>
            </w:pPr>
            <w:r w:rsidRPr="00871292">
              <w:t>Patient must not have received PBS-subsidised treatment with a biological medicine for this condition, AND</w:t>
            </w:r>
          </w:p>
          <w:p w:rsidR="00941425" w:rsidRPr="00871292" w:rsidRDefault="00941425" w:rsidP="004814FF">
            <w:pPr>
              <w:pStyle w:val="TableText0"/>
              <w:numPr>
                <w:ilvl w:val="0"/>
                <w:numId w:val="7"/>
              </w:numPr>
              <w:ind w:left="252" w:hanging="252"/>
            </w:pPr>
            <w:r w:rsidRPr="00871292">
              <w:t>Patient must have at least 2 of the following: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p>
          <w:p w:rsidR="00941425" w:rsidRPr="00871292" w:rsidRDefault="00941425" w:rsidP="004814FF">
            <w:pPr>
              <w:pStyle w:val="TableText0"/>
              <w:numPr>
                <w:ilvl w:val="0"/>
                <w:numId w:val="7"/>
              </w:numPr>
              <w:ind w:left="252" w:hanging="252"/>
            </w:pPr>
            <w:r w:rsidRPr="00871292">
              <w:t>Patient must have failed to achieve an adequate response following treatment with at least 2 non-steroidal anti-inflammatory drugs (NSAIDs), whilst completing an appropriate exercise program, for a total period of 3 months, AND</w:t>
            </w:r>
          </w:p>
          <w:p w:rsidR="00941425" w:rsidRPr="00871292" w:rsidRDefault="00941425" w:rsidP="004814FF">
            <w:pPr>
              <w:pStyle w:val="TableText0"/>
              <w:numPr>
                <w:ilvl w:val="0"/>
                <w:numId w:val="7"/>
              </w:numPr>
              <w:ind w:left="252" w:hanging="252"/>
              <w:rPr>
                <w:rFonts w:cs="Arial"/>
              </w:rPr>
            </w:pPr>
            <w:r w:rsidRPr="00871292">
              <w:t>Patient must</w:t>
            </w:r>
            <w:r w:rsidRPr="00871292">
              <w:rPr>
                <w:rFonts w:cs="Arial"/>
              </w:rPr>
              <w:t xml:space="preserve"> not receive more than 16 weeks of treatment under this restriction.</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Population criteria:</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pPr>
            <w:r w:rsidRPr="00871292">
              <w:t>Patient must be aged 18 years or older.</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Prescriber Instructions:</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pPr>
            <w:r w:rsidRPr="00871292">
              <w:t>The following criteria indicate failure to achieve an adequate response and must be demonstrated at the time of the initial application:</w:t>
            </w:r>
          </w:p>
          <w:p w:rsidR="00941425" w:rsidRPr="00871292" w:rsidRDefault="00941425" w:rsidP="008C4AE0">
            <w:pPr>
              <w:pStyle w:val="TableText0"/>
            </w:pPr>
            <w:r w:rsidRPr="00871292">
              <w:t>(a) a Bath Ankylosing Spondylitis Disease Activity Index (BASDAI) of at least 4 on a 0-10 scale; AND</w:t>
            </w:r>
          </w:p>
          <w:p w:rsidR="00941425" w:rsidRPr="00871292" w:rsidRDefault="00941425" w:rsidP="008C4AE0">
            <w:pPr>
              <w:pStyle w:val="TableText0"/>
            </w:pPr>
            <w:r w:rsidRPr="00871292">
              <w:t>(b) an elevated erythrocyte sedimentation rate (ESR) greater than 25 mm per hour or a C-reactive protein (CRP) level greater than 10 mg per L.</w:t>
            </w:r>
          </w:p>
          <w:p w:rsidR="00941425" w:rsidRPr="00871292" w:rsidRDefault="00941425" w:rsidP="008C4AE0">
            <w:pPr>
              <w:pStyle w:val="TableText0"/>
            </w:pPr>
          </w:p>
          <w:p w:rsidR="00231E5F" w:rsidRPr="00871292" w:rsidRDefault="00941425" w:rsidP="00231E5F">
            <w:pPr>
              <w:pStyle w:val="TableText0"/>
            </w:pPr>
            <w:r w:rsidRPr="00871292">
              <w:t>The BASDAI must be determined at the completion of the 3 month NSAID and exercise trial, but prior to ceasing NSAID treatment. The BASDAI must be no more than 1 month old at the time of initial application.</w:t>
            </w:r>
          </w:p>
          <w:p w:rsidR="00941425" w:rsidRPr="00871292" w:rsidRDefault="00941425" w:rsidP="008C4AE0">
            <w:pPr>
              <w:pStyle w:val="TableText0"/>
            </w:pPr>
          </w:p>
          <w:p w:rsidR="00941425" w:rsidRPr="00871292" w:rsidRDefault="00941425" w:rsidP="008C4AE0">
            <w:pPr>
              <w:pStyle w:val="TableText0"/>
              <w:keepNext w:val="0"/>
            </w:pPr>
            <w:r w:rsidRPr="00871292">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Treatment phase:</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Continuing treatment</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Restriction:</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keepNext/>
              <w:widowControl w:val="0"/>
              <w:jc w:val="left"/>
              <w:rPr>
                <w:rFonts w:ascii="Arial Narrow" w:hAnsi="Arial Narrow"/>
                <w:sz w:val="20"/>
                <w:szCs w:val="20"/>
              </w:rPr>
            </w:pPr>
            <w:r w:rsidRPr="00871292">
              <w:rPr>
                <w:rFonts w:ascii="Arial Narrow" w:hAnsi="Arial Narrow"/>
                <w:sz w:val="20"/>
                <w:szCs w:val="20"/>
              </w:rPr>
              <w:fldChar w:fldCharType="begin">
                <w:ffData>
                  <w:name w:val=""/>
                  <w:enabled/>
                  <w:calcOnExit w:val="0"/>
                  <w:checkBox>
                    <w:sizeAuto/>
                    <w:default w:val="1"/>
                  </w:checkBox>
                </w:ffData>
              </w:fldChar>
            </w:r>
            <w:r w:rsidRPr="00871292">
              <w:rPr>
                <w:rFonts w:ascii="Arial Narrow" w:hAnsi="Arial Narrow"/>
                <w:sz w:val="20"/>
                <w:szCs w:val="20"/>
              </w:rPr>
              <w:instrText xml:space="preserve"> FORMCHECKBOX </w:instrText>
            </w:r>
            <w:r w:rsidR="005B1E64">
              <w:rPr>
                <w:rFonts w:ascii="Arial Narrow" w:hAnsi="Arial Narrow"/>
                <w:sz w:val="20"/>
                <w:szCs w:val="20"/>
              </w:rPr>
            </w:r>
            <w:r w:rsidR="005B1E64">
              <w:rPr>
                <w:rFonts w:ascii="Arial Narrow" w:hAnsi="Arial Narrow"/>
                <w:sz w:val="20"/>
                <w:szCs w:val="20"/>
              </w:rPr>
              <w:fldChar w:fldCharType="separate"/>
            </w:r>
            <w:r w:rsidRPr="00871292">
              <w:rPr>
                <w:rFonts w:ascii="Arial Narrow" w:hAnsi="Arial Narrow"/>
                <w:sz w:val="20"/>
                <w:szCs w:val="20"/>
              </w:rPr>
              <w:fldChar w:fldCharType="end"/>
            </w:r>
            <w:r w:rsidRPr="00871292">
              <w:rPr>
                <w:rFonts w:ascii="Arial Narrow" w:hAnsi="Arial Narrow"/>
                <w:sz w:val="20"/>
                <w:szCs w:val="20"/>
              </w:rPr>
              <w:t>Authority Required - In Writing</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lastRenderedPageBreak/>
              <w:t>Clinical criteria:</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4814FF">
            <w:pPr>
              <w:pStyle w:val="TableText0"/>
              <w:numPr>
                <w:ilvl w:val="0"/>
                <w:numId w:val="7"/>
              </w:numPr>
              <w:ind w:left="252" w:hanging="252"/>
            </w:pPr>
            <w:r w:rsidRPr="00871292">
              <w:t>Patient must have received this drug as their most recent course of PBS-subsidised biological medicine treatment for this condition, AND</w:t>
            </w:r>
          </w:p>
          <w:p w:rsidR="00941425" w:rsidRPr="00871292" w:rsidRDefault="00941425" w:rsidP="004814FF">
            <w:pPr>
              <w:pStyle w:val="TableText0"/>
              <w:numPr>
                <w:ilvl w:val="0"/>
                <w:numId w:val="7"/>
              </w:numPr>
              <w:ind w:left="252" w:hanging="252"/>
            </w:pPr>
            <w:r w:rsidRPr="00871292">
              <w:t>Patient must have demonstrated an adequate response to treatment with this drug, AND</w:t>
            </w:r>
          </w:p>
          <w:p w:rsidR="00941425" w:rsidRPr="00871292" w:rsidRDefault="00941425" w:rsidP="004814FF">
            <w:pPr>
              <w:pStyle w:val="TableText0"/>
              <w:numPr>
                <w:ilvl w:val="0"/>
                <w:numId w:val="7"/>
              </w:numPr>
              <w:ind w:left="252" w:hanging="252"/>
            </w:pPr>
            <w:r w:rsidRPr="00871292">
              <w:t>Patient must not receive more than 24 weeks of treatment under this restriction.</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Prescriber Instructions:</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pPr>
            <w:r w:rsidRPr="00871292">
              <w:t>An adequate response is defined as an improvement from baseline of at least 2 of the BASDAI and 1 of the following:</w:t>
            </w:r>
          </w:p>
          <w:p w:rsidR="00941425" w:rsidRPr="00871292" w:rsidRDefault="00941425" w:rsidP="008C4AE0">
            <w:pPr>
              <w:pStyle w:val="TableText0"/>
            </w:pPr>
            <w:r w:rsidRPr="00871292">
              <w:t>(a) an ESR measurement no greater than 25 mm per hour; or</w:t>
            </w:r>
          </w:p>
          <w:p w:rsidR="00941425" w:rsidRPr="00871292" w:rsidRDefault="00941425" w:rsidP="008C4AE0">
            <w:pPr>
              <w:pStyle w:val="TableText0"/>
            </w:pPr>
            <w:r w:rsidRPr="00871292">
              <w:t>(b) a CRP measurement no greater than 10 mg per L; or</w:t>
            </w:r>
          </w:p>
          <w:p w:rsidR="00941425" w:rsidRPr="00871292" w:rsidRDefault="00941425" w:rsidP="008C4AE0">
            <w:pPr>
              <w:pStyle w:val="TableText0"/>
            </w:pPr>
            <w:r w:rsidRPr="00871292">
              <w:t>(c) an ESR or CRP measurement reduced by at least 20% from baseline.</w:t>
            </w:r>
          </w:p>
          <w:p w:rsidR="00941425" w:rsidRPr="00871292" w:rsidRDefault="00941425" w:rsidP="008C4AE0">
            <w:pPr>
              <w:pStyle w:val="TableText0"/>
            </w:pPr>
          </w:p>
          <w:p w:rsidR="00941425" w:rsidRPr="00871292" w:rsidRDefault="00941425" w:rsidP="008C4AE0">
            <w:pPr>
              <w:pStyle w:val="TableText0"/>
              <w:keepNext w:val="0"/>
            </w:pPr>
            <w:r w:rsidRPr="00871292">
              <w:t>Where only 1 acute phase reactant measurement is supplied in the first application for PBS-subsidised treatment, that same marker must be measured and supplied in all subsequent continuing treatment applications.</w:t>
            </w:r>
          </w:p>
          <w:p w:rsidR="00941425" w:rsidRPr="00871292" w:rsidRDefault="00941425" w:rsidP="008C4AE0">
            <w:pPr>
              <w:pStyle w:val="TableText0"/>
              <w:keepNext w:val="0"/>
            </w:pPr>
          </w:p>
          <w:p w:rsidR="00941425" w:rsidRPr="00871292" w:rsidRDefault="00941425" w:rsidP="008C4AE0">
            <w:pPr>
              <w:pStyle w:val="TableText0"/>
              <w:keepNext w:val="0"/>
            </w:pPr>
            <w:r w:rsidRPr="00871292">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p>
          <w:p w:rsidR="00941425" w:rsidRPr="00871292" w:rsidRDefault="00941425" w:rsidP="008C4AE0">
            <w:pPr>
              <w:pStyle w:val="TableText0"/>
              <w:keepNext w:val="0"/>
            </w:pPr>
          </w:p>
          <w:p w:rsidR="00941425" w:rsidRPr="00871292" w:rsidRDefault="00941425" w:rsidP="008C4AE0">
            <w:pPr>
              <w:pStyle w:val="TableText0"/>
            </w:pPr>
            <w:r w:rsidRPr="00871292">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p w:rsidR="00941425" w:rsidRPr="00871292" w:rsidRDefault="00941425" w:rsidP="008C4AE0">
            <w:pPr>
              <w:pStyle w:val="TableText0"/>
            </w:pPr>
          </w:p>
          <w:p w:rsidR="00941425" w:rsidRPr="00871292" w:rsidRDefault="00941425" w:rsidP="008C4AE0">
            <w:pPr>
              <w:pStyle w:val="TableText0"/>
              <w:keepNext w:val="0"/>
            </w:pPr>
            <w:r w:rsidRPr="00871292">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Treatment phase:</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rPr>
                <w:b/>
              </w:rPr>
            </w:pPr>
            <w:r w:rsidRPr="00871292">
              <w:rPr>
                <w:b/>
              </w:rPr>
              <w:t>Initial treatment - Grandfathered patients</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Restriction:</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pPr>
            <w:r w:rsidRPr="00871292">
              <w:fldChar w:fldCharType="begin">
                <w:ffData>
                  <w:name w:val=""/>
                  <w:enabled/>
                  <w:calcOnExit w:val="0"/>
                  <w:checkBox>
                    <w:sizeAuto/>
                    <w:default w:val="1"/>
                  </w:checkBox>
                </w:ffData>
              </w:fldChar>
            </w:r>
            <w:r w:rsidRPr="00871292">
              <w:instrText xml:space="preserve"> FORMCHECKBOX </w:instrText>
            </w:r>
            <w:r w:rsidR="005B1E64">
              <w:fldChar w:fldCharType="separate"/>
            </w:r>
            <w:r w:rsidRPr="00871292">
              <w:fldChar w:fldCharType="end"/>
            </w:r>
            <w:r w:rsidRPr="00871292">
              <w:t>Authority Required - In Writing</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Clinical criteria:</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4814FF">
            <w:pPr>
              <w:pStyle w:val="TableText0"/>
              <w:numPr>
                <w:ilvl w:val="0"/>
                <w:numId w:val="7"/>
              </w:numPr>
              <w:ind w:left="252" w:hanging="252"/>
            </w:pPr>
            <w:r w:rsidRPr="00871292">
              <w:t>Patient must have previously received non-PBS-subsidised therapy with this drug for this condition prior to PBS listing of upadacitinib for ankylosing spondylitis, AND</w:t>
            </w:r>
          </w:p>
          <w:p w:rsidR="00941425" w:rsidRPr="00871292" w:rsidRDefault="00941425" w:rsidP="004814FF">
            <w:pPr>
              <w:pStyle w:val="TableText0"/>
              <w:numPr>
                <w:ilvl w:val="0"/>
                <w:numId w:val="7"/>
              </w:numPr>
              <w:ind w:left="252" w:hanging="252"/>
            </w:pPr>
            <w:r w:rsidRPr="00871292">
              <w:t>Patient must be receiving treatment with this drug for this condition at the time of application, AND</w:t>
            </w:r>
          </w:p>
          <w:p w:rsidR="00941425" w:rsidRPr="00871292" w:rsidRDefault="00941425" w:rsidP="004814FF">
            <w:pPr>
              <w:pStyle w:val="TableText0"/>
              <w:numPr>
                <w:ilvl w:val="0"/>
                <w:numId w:val="7"/>
              </w:numPr>
              <w:ind w:left="252" w:hanging="252"/>
            </w:pPr>
            <w:r w:rsidRPr="00871292">
              <w:t>The condition must be radiographically (plain X-ray) confirmed Grade II bilateral sacroiliitis or Grade III unilateral sacroiliitis, AND</w:t>
            </w:r>
          </w:p>
          <w:p w:rsidR="00941425" w:rsidRPr="00871292" w:rsidRDefault="00941425" w:rsidP="004814FF">
            <w:pPr>
              <w:pStyle w:val="TableText0"/>
              <w:numPr>
                <w:ilvl w:val="0"/>
                <w:numId w:val="7"/>
              </w:numPr>
              <w:ind w:left="252" w:hanging="252"/>
            </w:pPr>
            <w:r w:rsidRPr="00871292">
              <w:t>Patient must not have received PBS-subsidised treatment with a biological medicine for this condition, AND</w:t>
            </w:r>
          </w:p>
          <w:p w:rsidR="00941425" w:rsidRPr="00871292" w:rsidRDefault="00941425" w:rsidP="004814FF">
            <w:pPr>
              <w:pStyle w:val="TableText0"/>
              <w:numPr>
                <w:ilvl w:val="0"/>
                <w:numId w:val="7"/>
              </w:numPr>
              <w:ind w:left="252" w:hanging="252"/>
            </w:pPr>
            <w:r w:rsidRPr="00871292">
              <w:t>Patient must have at least 2 of the following: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p>
          <w:p w:rsidR="00941425" w:rsidRPr="00871292" w:rsidRDefault="00941425" w:rsidP="004814FF">
            <w:pPr>
              <w:pStyle w:val="TableText0"/>
              <w:numPr>
                <w:ilvl w:val="0"/>
                <w:numId w:val="7"/>
              </w:numPr>
              <w:ind w:left="252" w:hanging="252"/>
            </w:pPr>
            <w:r w:rsidRPr="00871292">
              <w:t>Patient must have failed to achieve an adequate response following treatment with at least 2 non-steroidal anti-inflammatory drugs (NSAIDs), whilst completing an appropriate exercise program, for a total period of 3 months, AND</w:t>
            </w:r>
          </w:p>
          <w:p w:rsidR="00941425" w:rsidRPr="00871292" w:rsidRDefault="00941425" w:rsidP="004814FF">
            <w:pPr>
              <w:pStyle w:val="TableText0"/>
              <w:numPr>
                <w:ilvl w:val="0"/>
                <w:numId w:val="7"/>
              </w:numPr>
              <w:ind w:left="252" w:hanging="252"/>
            </w:pPr>
            <w:r w:rsidRPr="00871292">
              <w:t>Patient must not receive more than 16 weeks of treatment under this restriction</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Prescriber Instructions:</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pPr>
            <w:r w:rsidRPr="00871292">
              <w:t>The following criteria indicate failure to achieve an adequate response and must be demonstrated at the time of the initial application:</w:t>
            </w:r>
          </w:p>
          <w:p w:rsidR="00941425" w:rsidRPr="00871292" w:rsidRDefault="00941425" w:rsidP="008C4AE0">
            <w:pPr>
              <w:pStyle w:val="TableText0"/>
            </w:pPr>
            <w:r w:rsidRPr="00871292">
              <w:t>(a) a Bath Ankylosing Spondylitis Disease Activity Index (BASDAI) of at least 4 on a 0-10 scale; AND</w:t>
            </w:r>
          </w:p>
          <w:p w:rsidR="00941425" w:rsidRPr="00871292" w:rsidRDefault="00941425" w:rsidP="008C4AE0">
            <w:pPr>
              <w:pStyle w:val="TableText0"/>
            </w:pPr>
            <w:r w:rsidRPr="00871292">
              <w:t>(b) an elevated erythrocyte sedimentation rate (ESR) greater than 25 mm per hour or a C-reactive protein (CRP) level greater than 10 mg per L.</w:t>
            </w:r>
          </w:p>
          <w:p w:rsidR="00941425" w:rsidRPr="00871292" w:rsidRDefault="00941425" w:rsidP="008C4AE0">
            <w:pPr>
              <w:pStyle w:val="TableText0"/>
            </w:pPr>
            <w:r w:rsidRPr="00871292">
              <w:t>The BASDAI must be determined at the completion of the 3 month NSAID and exercise trial, but prior to ceasing NSAID treatment. The BASDAI must be no more than 1 month old at the time of initial application.</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lastRenderedPageBreak/>
              <w:t>Treatment phase:</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rPr>
                <w:b/>
              </w:rPr>
            </w:pPr>
            <w:r w:rsidRPr="00871292">
              <w:rPr>
                <w:b/>
              </w:rPr>
              <w:t>Continuing and Initial Grandfathered patients treatment - balance of supply</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Restriction:</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pPr>
            <w:r w:rsidRPr="00871292">
              <w:fldChar w:fldCharType="begin">
                <w:ffData>
                  <w:name w:val=""/>
                  <w:enabled/>
                  <w:calcOnExit w:val="0"/>
                  <w:checkBox>
                    <w:sizeAuto/>
                    <w:default w:val="1"/>
                  </w:checkBox>
                </w:ffData>
              </w:fldChar>
            </w:r>
            <w:r w:rsidRPr="00871292">
              <w:instrText xml:space="preserve"> FORMCHECKBOX </w:instrText>
            </w:r>
            <w:r w:rsidR="005B1E64">
              <w:fldChar w:fldCharType="separate"/>
            </w:r>
            <w:r w:rsidRPr="00871292">
              <w:fldChar w:fldCharType="end"/>
            </w:r>
            <w:r w:rsidRPr="00871292">
              <w:t>Authority Required - In Writing</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Clinical criteria:</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4814FF">
            <w:pPr>
              <w:pStyle w:val="TableText0"/>
              <w:numPr>
                <w:ilvl w:val="0"/>
                <w:numId w:val="7"/>
              </w:numPr>
              <w:ind w:left="252" w:hanging="252"/>
            </w:pPr>
            <w:r w:rsidRPr="00871292">
              <w:t>Patient must have received this drug as their most recent course of PBS-subsidised biological medicine treatment for this condition, AND</w:t>
            </w:r>
          </w:p>
          <w:p w:rsidR="00941425" w:rsidRPr="00871292" w:rsidRDefault="00941425" w:rsidP="004814FF">
            <w:pPr>
              <w:pStyle w:val="TableText0"/>
              <w:numPr>
                <w:ilvl w:val="0"/>
                <w:numId w:val="7"/>
              </w:numPr>
              <w:ind w:left="252" w:hanging="252"/>
            </w:pPr>
            <w:r w:rsidRPr="00871292">
              <w:t>Patient must have demonstrated an adequate response to treatment with this drug, AND</w:t>
            </w:r>
          </w:p>
          <w:p w:rsidR="00941425" w:rsidRPr="00871292" w:rsidRDefault="00941425" w:rsidP="004814FF">
            <w:pPr>
              <w:pStyle w:val="TableText0"/>
              <w:numPr>
                <w:ilvl w:val="0"/>
                <w:numId w:val="7"/>
              </w:numPr>
              <w:ind w:left="252" w:hanging="252"/>
            </w:pPr>
            <w:r w:rsidRPr="00871292">
              <w:t>Patient must not receive more than 24 weeks of treatment under this restriction.</w:t>
            </w:r>
          </w:p>
        </w:tc>
      </w:tr>
      <w:tr w:rsidR="00941425" w:rsidRPr="00871292" w:rsidTr="006608E3">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4" w:type="pct"/>
        </w:trPr>
        <w:tc>
          <w:tcPr>
            <w:tcW w:w="905" w:type="pct"/>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keepNext w:val="0"/>
              <w:rPr>
                <w:b/>
              </w:rPr>
            </w:pPr>
            <w:r w:rsidRPr="00871292">
              <w:rPr>
                <w:b/>
              </w:rPr>
              <w:t>Prescriber Instructions:</w:t>
            </w:r>
          </w:p>
        </w:tc>
        <w:tc>
          <w:tcPr>
            <w:tcW w:w="4091" w:type="pct"/>
            <w:gridSpan w:val="6"/>
            <w:tcBorders>
              <w:top w:val="single" w:sz="4" w:space="0" w:color="auto"/>
              <w:left w:val="single" w:sz="4" w:space="0" w:color="auto"/>
              <w:bottom w:val="single" w:sz="4" w:space="0" w:color="auto"/>
              <w:right w:val="single" w:sz="4" w:space="0" w:color="auto"/>
            </w:tcBorders>
          </w:tcPr>
          <w:p w:rsidR="00941425" w:rsidRPr="00871292" w:rsidRDefault="00941425" w:rsidP="008C4AE0">
            <w:pPr>
              <w:pStyle w:val="TableText0"/>
            </w:pPr>
            <w:r w:rsidRPr="00871292">
              <w:t>An adequate response is defined as an improvement from baseline of at least 2 of the BASDAI and 1 of the following:</w:t>
            </w:r>
          </w:p>
          <w:p w:rsidR="00941425" w:rsidRPr="00871292" w:rsidRDefault="00941425" w:rsidP="008C4AE0">
            <w:pPr>
              <w:pStyle w:val="TableText0"/>
            </w:pPr>
            <w:r w:rsidRPr="00871292">
              <w:t>(a) an ESR measurement no greater than 25 mm per hour; or</w:t>
            </w:r>
          </w:p>
          <w:p w:rsidR="00941425" w:rsidRPr="00871292" w:rsidRDefault="00941425" w:rsidP="008C4AE0">
            <w:pPr>
              <w:pStyle w:val="TableText0"/>
            </w:pPr>
            <w:r w:rsidRPr="00871292">
              <w:t>(b) a CRP measurement no greater than 10 mg per L; or</w:t>
            </w:r>
          </w:p>
          <w:p w:rsidR="00941425" w:rsidRPr="00871292" w:rsidRDefault="00941425" w:rsidP="008C4AE0">
            <w:pPr>
              <w:pStyle w:val="TableText0"/>
            </w:pPr>
            <w:r w:rsidRPr="00871292">
              <w:t>(c) an ESR or CRP measurement reduced by at least 20% from baseline.</w:t>
            </w:r>
          </w:p>
        </w:tc>
      </w:tr>
    </w:tbl>
    <w:p w:rsidR="00941425" w:rsidRPr="00871292" w:rsidRDefault="00371B4F" w:rsidP="00371B4F">
      <w:pPr>
        <w:tabs>
          <w:tab w:val="left" w:pos="142"/>
        </w:tabs>
        <w:ind w:left="135" w:hanging="135"/>
        <w:rPr>
          <w:rFonts w:ascii="Arial Narrow" w:hAnsi="Arial Narrow"/>
          <w:sz w:val="18"/>
          <w:szCs w:val="18"/>
        </w:rPr>
      </w:pPr>
      <w:r w:rsidRPr="00871292">
        <w:rPr>
          <w:rFonts w:ascii="Arial Narrow" w:hAnsi="Arial Narrow"/>
          <w:sz w:val="18"/>
          <w:szCs w:val="18"/>
          <w:vertAlign w:val="superscript"/>
        </w:rPr>
        <w:t>^</w:t>
      </w:r>
      <w:r w:rsidRPr="00871292">
        <w:rPr>
          <w:rFonts w:ascii="Arial Narrow" w:hAnsi="Arial Narrow"/>
          <w:sz w:val="18"/>
          <w:szCs w:val="18"/>
        </w:rPr>
        <w:tab/>
        <w:t>requested published DPMQ (effective from 1 January 2021 based on the 7th Community Pharmacy Agreement); confidential effective price to be determined.</w:t>
      </w:r>
    </w:p>
    <w:p w:rsidR="00371B4F" w:rsidRPr="00871292" w:rsidRDefault="00371B4F" w:rsidP="004B1CB4"/>
    <w:p w:rsidR="003F3AD7" w:rsidRPr="00871292" w:rsidRDefault="00231A3A" w:rsidP="00835FB5">
      <w:pPr>
        <w:pStyle w:val="3-BodyText"/>
      </w:pPr>
      <w:r w:rsidRPr="00871292">
        <w:t xml:space="preserve">The sponsor requested </w:t>
      </w:r>
      <w:r w:rsidR="00C64BB4" w:rsidRPr="00871292">
        <w:t>General Schedule,</w:t>
      </w:r>
      <w:r w:rsidR="00905F62" w:rsidRPr="00871292">
        <w:t xml:space="preserve"> Authority Required (in writing) </w:t>
      </w:r>
      <w:r w:rsidRPr="00871292">
        <w:t>PBS listing of UPA 15 mg as a modified release tablet</w:t>
      </w:r>
      <w:r w:rsidR="00905F62" w:rsidRPr="00871292">
        <w:t>s</w:t>
      </w:r>
      <w:r w:rsidRPr="00871292">
        <w:t xml:space="preserve"> for initial and continuing treatment of AS, including grandfathered patients. </w:t>
      </w:r>
      <w:r w:rsidR="008C4AE0" w:rsidRPr="00871292">
        <w:t xml:space="preserve">The wording of the requested restriction was consistent with the approved criteria for ADA and bDMARDs </w:t>
      </w:r>
      <w:r w:rsidR="00C64BB4" w:rsidRPr="00871292">
        <w:t>for</w:t>
      </w:r>
      <w:r w:rsidR="008C4AE0" w:rsidRPr="00871292">
        <w:t xml:space="preserve"> AS</w:t>
      </w:r>
      <w:r w:rsidR="00C64BB4" w:rsidRPr="00871292">
        <w:t>.</w:t>
      </w:r>
      <w:r w:rsidR="008C4AE0" w:rsidRPr="00871292">
        <w:t xml:space="preserve"> </w:t>
      </w:r>
    </w:p>
    <w:p w:rsidR="008C4AE0" w:rsidRPr="00871292" w:rsidRDefault="00905F62" w:rsidP="00905F62">
      <w:pPr>
        <w:pStyle w:val="3-BodyText"/>
      </w:pPr>
      <w:r w:rsidRPr="00871292">
        <w:t xml:space="preserve">The sponsor stated that a grandfathering clause will be necessary to allow </w:t>
      </w:r>
      <w:r w:rsidR="009C287B">
        <w:t>&lt;</w:t>
      </w:r>
      <w:r w:rsidRPr="00871292">
        <w:t>50</w:t>
      </w:r>
      <w:r w:rsidR="009C287B">
        <w:t>0</w:t>
      </w:r>
      <w:r w:rsidRPr="00871292">
        <w:t xml:space="preserve"> patients from a planned Patient Familiarisation Program (launched upon TGA registration) and </w:t>
      </w:r>
      <w:r w:rsidR="009C287B">
        <w:t>&lt;500</w:t>
      </w:r>
      <w:r w:rsidR="009C287B" w:rsidRPr="00871292">
        <w:t xml:space="preserve"> </w:t>
      </w:r>
      <w:r w:rsidRPr="00871292">
        <w:t>trial patients (open label extension trial to be completed January 2022) to access PBS-subsidised UPA. Eligibility and continuation criteria for the Patient Familiarisation Plan will be consistent with the proposed PBS criteria.</w:t>
      </w:r>
      <w:r w:rsidR="00600ABB" w:rsidRPr="00871292">
        <w:t xml:space="preserve"> </w:t>
      </w:r>
      <w:r w:rsidR="005A06B4" w:rsidRPr="00871292">
        <w:t xml:space="preserve">The requested quantities (including repeats) permit up to </w:t>
      </w:r>
      <w:r w:rsidRPr="00871292">
        <w:t>16 weeks of initial treatment and 24 weeks of continuing treatment; grandfathered patients would be eligible for a maximum of 24 weeks of ‘initial’ PBS treatment</w:t>
      </w:r>
      <w:r w:rsidR="005A06B4" w:rsidRPr="00871292">
        <w:t xml:space="preserve"> (before assessment under the continuing treatment restriction)</w:t>
      </w:r>
      <w:r w:rsidRPr="00871292">
        <w:t xml:space="preserve">. </w:t>
      </w:r>
      <w:r w:rsidRPr="00871292">
        <w:rPr>
          <w:iCs/>
        </w:rPr>
        <w:t>P</w:t>
      </w:r>
      <w:r w:rsidR="008C4AE0" w:rsidRPr="00871292">
        <w:rPr>
          <w:iCs/>
        </w:rPr>
        <w:t>atients treated with UPA must meet the response criteria after at least 12 weeks of initial treatment, and maintain that response thereafter, to be eligible for continuing treatment.</w:t>
      </w:r>
    </w:p>
    <w:p w:rsidR="005A06B4" w:rsidRPr="00871292" w:rsidRDefault="005A06B4" w:rsidP="005A06B4">
      <w:pPr>
        <w:pStyle w:val="3-BodyText"/>
      </w:pPr>
      <w:r w:rsidRPr="00871292">
        <w:t xml:space="preserve">The sponsor requested a Special Pricing Arrangement </w:t>
      </w:r>
      <w:r w:rsidR="00543370" w:rsidRPr="00871292">
        <w:t xml:space="preserve">(SPA) </w:t>
      </w:r>
      <w:r w:rsidRPr="00871292">
        <w:t xml:space="preserve">to maintain the current published price of UPA (DPMQ = $1,271.34 as per the current PBS listing for rheumatoid arthritis) and implement a confidential effective price. The submission presented a cost-minimisation analysis in Section 3 based on the published price of ADA (weighted across indications) as an indicative analysis corresponding to an AEMP of </w:t>
      </w:r>
      <w:r w:rsidR="00807A12" w:rsidRPr="00871292">
        <w:t>$</w:t>
      </w:r>
      <w:r w:rsidRPr="00DB67C1">
        <w:t>979.56</w:t>
      </w:r>
      <w:r w:rsidRPr="00871292">
        <w:t>.</w:t>
      </w:r>
    </w:p>
    <w:p w:rsidR="00D82EC8" w:rsidRPr="00871292" w:rsidRDefault="00D82EC8" w:rsidP="00D82EC8">
      <w:pPr>
        <w:pStyle w:val="ListParagraph"/>
        <w:ind w:left="709"/>
        <w:rPr>
          <w:i/>
        </w:rPr>
      </w:pPr>
      <w:bookmarkStart w:id="6" w:name="_Hlk58838044"/>
      <w:r w:rsidRPr="00871292">
        <w:rPr>
          <w:i/>
        </w:rPr>
        <w:t>For more detail on PBAC’s view, see section 7 PBAC outcome.</w:t>
      </w:r>
    </w:p>
    <w:p w:rsidR="00B50DB8" w:rsidRPr="00871292" w:rsidRDefault="00203181" w:rsidP="004E18E9">
      <w:pPr>
        <w:pStyle w:val="2-SectionHeading"/>
      </w:pPr>
      <w:bookmarkStart w:id="7" w:name="_Toc59437727"/>
      <w:bookmarkEnd w:id="6"/>
      <w:r w:rsidRPr="00871292">
        <w:t xml:space="preserve">Population and </w:t>
      </w:r>
      <w:r w:rsidR="008E0D3C" w:rsidRPr="00871292">
        <w:t>d</w:t>
      </w:r>
      <w:r w:rsidRPr="00871292">
        <w:t>isease</w:t>
      </w:r>
      <w:bookmarkEnd w:id="7"/>
    </w:p>
    <w:p w:rsidR="00231A3A" w:rsidRPr="00871292" w:rsidRDefault="00231A3A" w:rsidP="004E18E9">
      <w:pPr>
        <w:pStyle w:val="3-BodyText"/>
      </w:pPr>
      <w:r w:rsidRPr="00871292">
        <w:t>AS is a form of axial spondyloarthritis characterised by inflammatory back pain, limited spinal mobility, enthesitis, and peripheral articular and extra-articular features. Patients with AS also have spinal inflammation visible on magnetic resonance imaging (MRI) and evidence of structural damage on X-rays that fulfil the modified New York criteria.</w:t>
      </w:r>
    </w:p>
    <w:p w:rsidR="00864870" w:rsidRPr="00871292" w:rsidRDefault="003453DD" w:rsidP="00E62E11">
      <w:pPr>
        <w:pStyle w:val="3-BodyText"/>
      </w:pPr>
      <w:r w:rsidRPr="00871292">
        <w:lastRenderedPageBreak/>
        <w:t xml:space="preserve">UPA is an oral, selective and reversible inhibitor of JAK1, </w:t>
      </w:r>
      <w:r w:rsidR="00864870" w:rsidRPr="00871292">
        <w:t>which</w:t>
      </w:r>
      <w:r w:rsidRPr="00871292">
        <w:t xml:space="preserve"> is important in signalling inflammatory cytokine receptors, blocking the effects of various interleukins and interferons including IL-6 and IL-23, </w:t>
      </w:r>
      <w:r w:rsidR="00864870" w:rsidRPr="00871292">
        <w:t>that</w:t>
      </w:r>
      <w:r w:rsidRPr="00871292">
        <w:t xml:space="preserve"> are elevated in AS.</w:t>
      </w:r>
      <w:r w:rsidR="00864870" w:rsidRPr="00871292">
        <w:t xml:space="preserve"> The recommended dose in the draft Product Information (PI) for adults with AS is UPA 15 mg once daily (D) taken orally with or without food</w:t>
      </w:r>
      <w:r w:rsidR="00987445" w:rsidRPr="00871292">
        <w:t xml:space="preserve">, which </w:t>
      </w:r>
      <w:r w:rsidR="00864870" w:rsidRPr="00871292">
        <w:t>is the same as the approved dose for rheumatoid arthritis.</w:t>
      </w:r>
    </w:p>
    <w:p w:rsidR="00D82EC8" w:rsidRPr="00871292" w:rsidRDefault="003453DD" w:rsidP="00D82EC8">
      <w:pPr>
        <w:pStyle w:val="3-BodyText"/>
      </w:pPr>
      <w:r w:rsidRPr="00871292">
        <w:t xml:space="preserve">If listed, UPA will </w:t>
      </w:r>
      <w:r w:rsidR="00B840F1" w:rsidRPr="00871292">
        <w:t xml:space="preserve">offer patients a new class of treatment (i.e. JAK inhibitor) </w:t>
      </w:r>
      <w:r w:rsidR="001553A9" w:rsidRPr="00871292">
        <w:t>and mode of administration (</w:t>
      </w:r>
      <w:r w:rsidR="00B840F1" w:rsidRPr="00871292">
        <w:t>oral</w:t>
      </w:r>
      <w:r w:rsidR="001553A9" w:rsidRPr="00871292">
        <w:t xml:space="preserve">) compared to the </w:t>
      </w:r>
      <w:r w:rsidR="00B840F1" w:rsidRPr="00871292">
        <w:t xml:space="preserve">bDMARDs </w:t>
      </w:r>
      <w:r w:rsidR="001553A9" w:rsidRPr="00871292">
        <w:t xml:space="preserve">currently </w:t>
      </w:r>
      <w:r w:rsidR="00B840F1" w:rsidRPr="00871292">
        <w:t xml:space="preserve">available on the PBS: </w:t>
      </w:r>
      <w:r w:rsidRPr="00871292">
        <w:rPr>
          <w:iCs/>
        </w:rPr>
        <w:t>ADA, etanercept, golimumab, infliximab, certolizumab pegol (all TNFα inhibitors), secukinumab and ixekizumab (both IL-17A inhibitors).</w:t>
      </w:r>
      <w:r w:rsidR="00B840F1" w:rsidRPr="00871292">
        <w:rPr>
          <w:iCs/>
        </w:rPr>
        <w:t xml:space="preserve"> Under </w:t>
      </w:r>
      <w:r w:rsidR="000B0611" w:rsidRPr="00871292">
        <w:rPr>
          <w:iCs/>
        </w:rPr>
        <w:t xml:space="preserve">current </w:t>
      </w:r>
      <w:r w:rsidR="00B840F1" w:rsidRPr="00871292">
        <w:rPr>
          <w:iCs/>
        </w:rPr>
        <w:t>PBS criteria, patients may fail or cease to respond to three PBS-subsidised treatments during a ‘treatment cycle’ before being required to undergo a five</w:t>
      </w:r>
      <w:r w:rsidR="009909D3" w:rsidRPr="00871292">
        <w:rPr>
          <w:iCs/>
        </w:rPr>
        <w:t>-</w:t>
      </w:r>
      <w:r w:rsidR="00B840F1" w:rsidRPr="00871292">
        <w:rPr>
          <w:iCs/>
        </w:rPr>
        <w:t>year break.</w:t>
      </w:r>
    </w:p>
    <w:p w:rsidR="00D82EC8" w:rsidRPr="00871292" w:rsidRDefault="00D82EC8" w:rsidP="00D82EC8">
      <w:pPr>
        <w:pStyle w:val="ListParagraph"/>
        <w:ind w:left="709"/>
        <w:rPr>
          <w:i/>
        </w:rPr>
      </w:pPr>
      <w:r w:rsidRPr="00871292">
        <w:rPr>
          <w:i/>
        </w:rPr>
        <w:t>For more detail on PBAC’s view, see section 7 PBAC outcome.</w:t>
      </w:r>
    </w:p>
    <w:p w:rsidR="00D82EC8" w:rsidRPr="00871292" w:rsidRDefault="00D82EC8" w:rsidP="00D82EC8">
      <w:pPr>
        <w:pStyle w:val="3-BodyText"/>
        <w:numPr>
          <w:ilvl w:val="0"/>
          <w:numId w:val="0"/>
        </w:numPr>
        <w:ind w:left="720"/>
      </w:pPr>
    </w:p>
    <w:p w:rsidR="00B50DB8" w:rsidRPr="00871292" w:rsidRDefault="00B50DB8" w:rsidP="004E18E9">
      <w:pPr>
        <w:pStyle w:val="2-SectionHeading"/>
      </w:pPr>
      <w:bookmarkStart w:id="8" w:name="_Toc59437728"/>
      <w:r w:rsidRPr="00871292">
        <w:t>Comparator</w:t>
      </w:r>
      <w:bookmarkEnd w:id="8"/>
    </w:p>
    <w:p w:rsidR="00446D9C" w:rsidRPr="00871292" w:rsidRDefault="00F106CC" w:rsidP="00404852">
      <w:pPr>
        <w:pStyle w:val="3-BodyText"/>
      </w:pPr>
      <w:r w:rsidRPr="00871292">
        <w:rPr>
          <w:snapToGrid/>
        </w:rPr>
        <w:t xml:space="preserve">The submission nominated ADA as the </w:t>
      </w:r>
      <w:r w:rsidR="00404852" w:rsidRPr="00871292">
        <w:rPr>
          <w:iCs/>
          <w:snapToGrid/>
        </w:rPr>
        <w:t xml:space="preserve">appropriate </w:t>
      </w:r>
      <w:r w:rsidRPr="00871292">
        <w:rPr>
          <w:snapToGrid/>
        </w:rPr>
        <w:t>main comparator given that ADA is the most commonly prescribed biologic treatment for AS and therefore the main drug that would be replaced. The recommended dose of ADA for AS is 40 mg every two weeks (Q2W) via subcutaneous (SC) injection.</w:t>
      </w:r>
      <w:r w:rsidR="00037936" w:rsidRPr="00871292">
        <w:rPr>
          <w:snapToGrid/>
        </w:rPr>
        <w:t xml:space="preserve"> </w:t>
      </w:r>
      <w:r w:rsidR="00404852" w:rsidRPr="00871292">
        <w:t xml:space="preserve">The submission also acknowledged in </w:t>
      </w:r>
      <w:r w:rsidR="003173B6" w:rsidRPr="00871292">
        <w:t>the utilisation and financial estimates</w:t>
      </w:r>
      <w:r w:rsidR="00404852" w:rsidRPr="00871292">
        <w:t xml:space="preserve"> that UPA would replace any of the bDMARDs available for AS.</w:t>
      </w:r>
    </w:p>
    <w:p w:rsidR="00446D9C" w:rsidRPr="00871292" w:rsidRDefault="00F46E25" w:rsidP="00F46E25">
      <w:pPr>
        <w:pStyle w:val="3-BodyText"/>
      </w:pPr>
      <w:r w:rsidRPr="00871292">
        <w:t>In recent decisions</w:t>
      </w:r>
      <w:r w:rsidR="00F810C8" w:rsidRPr="00871292">
        <w:t xml:space="preserve"> for bDMARD submissions</w:t>
      </w:r>
      <w:r w:rsidRPr="00871292">
        <w:t>, the PBAC had</w:t>
      </w:r>
      <w:r w:rsidR="00DB54CB" w:rsidRPr="00871292">
        <w:t xml:space="preserve"> previously</w:t>
      </w:r>
      <w:r w:rsidRPr="00871292">
        <w:t xml:space="preserve"> considered all bDMARDs as relevant </w:t>
      </w:r>
      <w:r w:rsidR="002423D6" w:rsidRPr="00871292">
        <w:t xml:space="preserve">alternative therapies </w:t>
      </w:r>
      <w:r w:rsidRPr="00871292">
        <w:t xml:space="preserve">because they may be replaced in practice; and in the absence of evidence of superiority, recommended listing on a cost-minimisation basis to the lowest cost alternative (paragraph 7.1, secukinumab </w:t>
      </w:r>
      <w:r w:rsidR="00DB67C1">
        <w:t xml:space="preserve">Public Summary Document </w:t>
      </w:r>
      <w:r w:rsidR="00DF6E72">
        <w:t>(</w:t>
      </w:r>
      <w:r w:rsidRPr="00871292">
        <w:t>PSD</w:t>
      </w:r>
      <w:r w:rsidR="00DF6E72">
        <w:t>)</w:t>
      </w:r>
      <w:r w:rsidRPr="00871292">
        <w:t xml:space="preserve"> March 2016 PBAC meeting; paragraph 7.4, ixekizumab PSD July 2020 PBAC meeting)</w:t>
      </w:r>
      <w:r w:rsidR="00446D9C" w:rsidRPr="00871292">
        <w:t>.</w:t>
      </w:r>
    </w:p>
    <w:p w:rsidR="00D82EC8" w:rsidRPr="00871292" w:rsidRDefault="00F46E25" w:rsidP="00D82EC8">
      <w:pPr>
        <w:pStyle w:val="3-BodyText"/>
        <w:spacing w:after="160"/>
        <w:rPr>
          <w:iCs/>
        </w:rPr>
      </w:pPr>
      <w:r w:rsidRPr="00871292">
        <w:t xml:space="preserve">Under Section 101(3B) of the National Health Act (1953), the PBAC cannot recommend listing a therapy that is substantially more costly than an alternative therapy unless it is satisfied that the therapy provides, for some patients, a significant improvement in efficacy and/or reduction in toxicity. The submission did not present any evidence that UPA provided a significant improvement in efficacy and/or reduction in toxicity compared to any alternative, and therefore </w:t>
      </w:r>
      <w:r w:rsidRPr="00871292">
        <w:rPr>
          <w:iCs/>
        </w:rPr>
        <w:t>there was no basis for UPA to have a price advantage over any relevant alternative for an equivalent treatment period.</w:t>
      </w:r>
    </w:p>
    <w:p w:rsidR="00DB378E" w:rsidRDefault="00D82EC8" w:rsidP="00D82EC8">
      <w:pPr>
        <w:pStyle w:val="ListParagraph"/>
        <w:ind w:left="709"/>
        <w:rPr>
          <w:i/>
        </w:rPr>
      </w:pPr>
      <w:r w:rsidRPr="00871292">
        <w:rPr>
          <w:i/>
        </w:rPr>
        <w:t>For more detail on PBAC’s view, see section 7 PBAC outcome.</w:t>
      </w:r>
    </w:p>
    <w:p w:rsidR="00DB378E" w:rsidRDefault="00DB378E">
      <w:pPr>
        <w:jc w:val="left"/>
        <w:rPr>
          <w:rFonts w:asciiTheme="minorHAnsi" w:hAnsiTheme="minorHAnsi"/>
          <w:i/>
          <w:snapToGrid w:val="0"/>
        </w:rPr>
      </w:pPr>
      <w:r>
        <w:rPr>
          <w:i/>
        </w:rPr>
        <w:br w:type="page"/>
      </w:r>
    </w:p>
    <w:p w:rsidR="00223D5A" w:rsidRPr="00871292" w:rsidRDefault="00223D5A" w:rsidP="00223D5A">
      <w:pPr>
        <w:pStyle w:val="2-SectionHeading"/>
      </w:pPr>
      <w:bookmarkStart w:id="9" w:name="_Toc59437729"/>
      <w:bookmarkStart w:id="10" w:name="_Toc22897640"/>
      <w:r w:rsidRPr="00871292">
        <w:lastRenderedPageBreak/>
        <w:t>Consideration of the evidence</w:t>
      </w:r>
      <w:bookmarkEnd w:id="9"/>
    </w:p>
    <w:p w:rsidR="00D82EC8" w:rsidRPr="00871292" w:rsidRDefault="00D82EC8" w:rsidP="00EF678E">
      <w:pPr>
        <w:widowControl w:val="0"/>
        <w:spacing w:before="240" w:line="276" w:lineRule="auto"/>
        <w:outlineLvl w:val="1"/>
        <w:rPr>
          <w:rFonts w:asciiTheme="minorHAnsi" w:hAnsiTheme="minorHAnsi"/>
          <w:b/>
          <w:bCs/>
          <w:i/>
          <w:snapToGrid w:val="0"/>
          <w:sz w:val="28"/>
          <w:szCs w:val="28"/>
        </w:rPr>
      </w:pPr>
      <w:bookmarkStart w:id="11" w:name="_Toc59437730"/>
      <w:r w:rsidRPr="00871292">
        <w:rPr>
          <w:rFonts w:asciiTheme="minorHAnsi" w:hAnsiTheme="minorHAnsi"/>
          <w:b/>
          <w:bCs/>
          <w:i/>
          <w:snapToGrid w:val="0"/>
          <w:sz w:val="28"/>
          <w:szCs w:val="28"/>
        </w:rPr>
        <w:t>Sponsor hearing</w:t>
      </w:r>
    </w:p>
    <w:p w:rsidR="00D82EC8" w:rsidRPr="00871292" w:rsidRDefault="00D82EC8" w:rsidP="00D82EC8">
      <w:pPr>
        <w:widowControl w:val="0"/>
        <w:numPr>
          <w:ilvl w:val="1"/>
          <w:numId w:val="1"/>
        </w:numPr>
        <w:spacing w:after="120"/>
        <w:rPr>
          <w:rFonts w:asciiTheme="minorHAnsi" w:hAnsiTheme="minorHAnsi"/>
          <w:bCs/>
          <w:snapToGrid w:val="0"/>
        </w:rPr>
      </w:pPr>
      <w:r w:rsidRPr="00871292">
        <w:rPr>
          <w:rFonts w:asciiTheme="minorHAnsi" w:hAnsiTheme="minorHAnsi"/>
          <w:bCs/>
          <w:snapToGrid w:val="0"/>
        </w:rPr>
        <w:t>There was no hearing for this item.</w:t>
      </w:r>
    </w:p>
    <w:p w:rsidR="00D82EC8" w:rsidRPr="00871292" w:rsidRDefault="00D82EC8" w:rsidP="00EF678E">
      <w:pPr>
        <w:widowControl w:val="0"/>
        <w:spacing w:before="240" w:line="276" w:lineRule="auto"/>
        <w:outlineLvl w:val="1"/>
        <w:rPr>
          <w:rFonts w:asciiTheme="minorHAnsi" w:hAnsiTheme="minorHAnsi"/>
          <w:b/>
          <w:bCs/>
          <w:i/>
          <w:snapToGrid w:val="0"/>
          <w:sz w:val="28"/>
          <w:szCs w:val="28"/>
        </w:rPr>
      </w:pPr>
      <w:r w:rsidRPr="00871292">
        <w:rPr>
          <w:rFonts w:asciiTheme="minorHAnsi" w:hAnsiTheme="minorHAnsi"/>
          <w:b/>
          <w:bCs/>
          <w:i/>
          <w:snapToGrid w:val="0"/>
          <w:sz w:val="28"/>
          <w:szCs w:val="28"/>
        </w:rPr>
        <w:t>Consumer comments</w:t>
      </w:r>
    </w:p>
    <w:p w:rsidR="00D82EC8" w:rsidRPr="00871292" w:rsidRDefault="00D82EC8" w:rsidP="00D82EC8">
      <w:pPr>
        <w:widowControl w:val="0"/>
        <w:numPr>
          <w:ilvl w:val="1"/>
          <w:numId w:val="1"/>
        </w:numPr>
        <w:spacing w:after="120"/>
        <w:rPr>
          <w:rFonts w:asciiTheme="minorHAnsi" w:hAnsiTheme="minorHAnsi"/>
          <w:bCs/>
          <w:snapToGrid w:val="0"/>
        </w:rPr>
      </w:pPr>
      <w:r w:rsidRPr="00871292">
        <w:rPr>
          <w:rFonts w:asciiTheme="minorHAnsi" w:hAnsiTheme="minorHAnsi"/>
          <w:bCs/>
          <w:snapToGrid w:val="0"/>
        </w:rPr>
        <w:t>The PBAC noted that no consumer comments were received for this item.</w:t>
      </w:r>
    </w:p>
    <w:p w:rsidR="00B60939" w:rsidRPr="00871292" w:rsidRDefault="00B60939" w:rsidP="002E4F02">
      <w:pPr>
        <w:pStyle w:val="4-SubsectionHeading"/>
      </w:pPr>
      <w:r w:rsidRPr="00871292">
        <w:t>Clinical trials</w:t>
      </w:r>
      <w:bookmarkEnd w:id="10"/>
      <w:bookmarkEnd w:id="11"/>
    </w:p>
    <w:p w:rsidR="00B1764D" w:rsidRPr="00871292" w:rsidRDefault="00B1764D" w:rsidP="00971118">
      <w:pPr>
        <w:pStyle w:val="3-BodyText"/>
      </w:pPr>
      <w:r w:rsidRPr="00871292">
        <w:t xml:space="preserve">The literature search did not identify any direct head-to-head randomised trials comparing UPA to ADA in the treatment of AS. The submission was based on </w:t>
      </w:r>
      <w:r w:rsidR="00971118" w:rsidRPr="00871292">
        <w:t xml:space="preserve">six </w:t>
      </w:r>
      <w:r w:rsidRPr="00871292">
        <w:t>placebo controlled randomised trials:</w:t>
      </w:r>
    </w:p>
    <w:p w:rsidR="00B1764D" w:rsidRPr="00871292" w:rsidRDefault="00B1764D" w:rsidP="004814FF">
      <w:pPr>
        <w:pStyle w:val="3-BodyText"/>
        <w:numPr>
          <w:ilvl w:val="1"/>
          <w:numId w:val="15"/>
        </w:numPr>
      </w:pPr>
      <w:r w:rsidRPr="00871292">
        <w:t>UPA vs placebo (SELECT-AXIS 1)</w:t>
      </w:r>
    </w:p>
    <w:p w:rsidR="002C129D" w:rsidRPr="00871292" w:rsidRDefault="00B1764D" w:rsidP="004814FF">
      <w:pPr>
        <w:pStyle w:val="3-BodyText"/>
        <w:numPr>
          <w:ilvl w:val="1"/>
          <w:numId w:val="15"/>
        </w:numPr>
      </w:pPr>
      <w:r w:rsidRPr="00871292">
        <w:t>ADA vs placebo (ATLAS, M03-606, Huang 2014, DANISH and COAST-V)</w:t>
      </w:r>
    </w:p>
    <w:p w:rsidR="00FF4D74" w:rsidRPr="00871292" w:rsidRDefault="00796D92" w:rsidP="00796D92">
      <w:pPr>
        <w:pStyle w:val="3-BodyText"/>
        <w:numPr>
          <w:ilvl w:val="0"/>
          <w:numId w:val="0"/>
        </w:numPr>
        <w:ind w:left="720"/>
      </w:pPr>
      <w:r w:rsidRPr="00871292">
        <w:rPr>
          <w:snapToGrid/>
        </w:rPr>
        <w:t>The PBAC has previously considered evidence from most of the ADA trials (all except for DANISH) in past submissions where ADA was either the intervention or comparator</w:t>
      </w:r>
      <w:r w:rsidR="00FF4D74" w:rsidRPr="00871292">
        <w:t>.</w:t>
      </w:r>
      <w:r w:rsidR="00E82BDC" w:rsidRPr="00871292">
        <w:br w:type="page"/>
      </w:r>
    </w:p>
    <w:p w:rsidR="00B1764D" w:rsidRPr="00871292" w:rsidRDefault="00FF4D74" w:rsidP="00E82BDC">
      <w:pPr>
        <w:pStyle w:val="3-BodyText"/>
      </w:pPr>
      <w:r w:rsidRPr="00871292">
        <w:lastRenderedPageBreak/>
        <w:t>Table 2 provide</w:t>
      </w:r>
      <w:r w:rsidR="002423D6" w:rsidRPr="00871292">
        <w:t>s</w:t>
      </w:r>
      <w:r w:rsidRPr="00871292">
        <w:t xml:space="preserve"> details of the trials presented in the submission.</w:t>
      </w:r>
    </w:p>
    <w:p w:rsidR="00B1764D" w:rsidRPr="00871292" w:rsidRDefault="00B1764D" w:rsidP="00B1764D">
      <w:pPr>
        <w:pStyle w:val="TableFigureHeading"/>
        <w:keepNext w:val="0"/>
      </w:pPr>
      <w:r w:rsidRPr="00871292">
        <w:rPr>
          <w:rStyle w:val="CommentReference"/>
          <w:b/>
          <w:szCs w:val="24"/>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648"/>
        <w:gridCol w:w="1933"/>
      </w:tblGrid>
      <w:tr w:rsidR="00B1764D" w:rsidRPr="00871292" w:rsidTr="008C4AE0">
        <w:tc>
          <w:tcPr>
            <w:tcW w:w="796" w:type="pct"/>
            <w:vAlign w:val="center"/>
          </w:tcPr>
          <w:p w:rsidR="00B1764D" w:rsidRPr="00871292" w:rsidRDefault="00B1764D" w:rsidP="008C4AE0">
            <w:pPr>
              <w:pStyle w:val="In-tableHeading"/>
              <w:keepNext w:val="0"/>
              <w:rPr>
                <w:lang w:val="en-AU"/>
              </w:rPr>
            </w:pPr>
            <w:r w:rsidRPr="00871292">
              <w:rPr>
                <w:lang w:val="en-AU"/>
              </w:rPr>
              <w:t>Trial ID</w:t>
            </w:r>
          </w:p>
        </w:tc>
        <w:tc>
          <w:tcPr>
            <w:tcW w:w="3132" w:type="pct"/>
            <w:vAlign w:val="center"/>
          </w:tcPr>
          <w:p w:rsidR="00B1764D" w:rsidRPr="00871292" w:rsidRDefault="00B1764D" w:rsidP="008C4AE0">
            <w:pPr>
              <w:pStyle w:val="In-tableHeading"/>
              <w:keepNext w:val="0"/>
              <w:rPr>
                <w:lang w:val="en-AU"/>
              </w:rPr>
            </w:pPr>
            <w:r w:rsidRPr="00871292">
              <w:rPr>
                <w:lang w:val="en-AU"/>
              </w:rPr>
              <w:t>Protocol title/ Publication title</w:t>
            </w:r>
          </w:p>
        </w:tc>
        <w:tc>
          <w:tcPr>
            <w:tcW w:w="1072" w:type="pct"/>
            <w:vAlign w:val="center"/>
          </w:tcPr>
          <w:p w:rsidR="00B1764D" w:rsidRPr="00871292" w:rsidRDefault="00B1764D" w:rsidP="008C4AE0">
            <w:pPr>
              <w:pStyle w:val="In-tableHeading"/>
              <w:keepNext w:val="0"/>
              <w:rPr>
                <w:lang w:val="en-AU"/>
              </w:rPr>
            </w:pPr>
            <w:r w:rsidRPr="00871292">
              <w:rPr>
                <w:lang w:val="en-AU"/>
              </w:rPr>
              <w:t>Publication citation</w:t>
            </w:r>
          </w:p>
        </w:tc>
      </w:tr>
      <w:tr w:rsidR="00B1764D" w:rsidRPr="00871292" w:rsidTr="008C4AE0">
        <w:tc>
          <w:tcPr>
            <w:tcW w:w="5000" w:type="pct"/>
            <w:gridSpan w:val="3"/>
            <w:vAlign w:val="center"/>
          </w:tcPr>
          <w:p w:rsidR="00B1764D" w:rsidRPr="00871292" w:rsidRDefault="00B1764D" w:rsidP="008C4AE0">
            <w:pPr>
              <w:pStyle w:val="In-tableHeading"/>
              <w:keepNext w:val="0"/>
              <w:rPr>
                <w:lang w:val="en-AU"/>
              </w:rPr>
            </w:pPr>
            <w:r w:rsidRPr="00871292">
              <w:rPr>
                <w:lang w:val="en-AU"/>
              </w:rPr>
              <w:t>Upadacitinib vs placebo</w:t>
            </w:r>
          </w:p>
        </w:tc>
      </w:tr>
      <w:tr w:rsidR="00B1764D" w:rsidRPr="00871292" w:rsidTr="008C4AE0">
        <w:tc>
          <w:tcPr>
            <w:tcW w:w="796" w:type="pct"/>
            <w:vMerge w:val="restart"/>
            <w:vAlign w:val="center"/>
          </w:tcPr>
          <w:p w:rsidR="00B1764D" w:rsidRPr="00871292" w:rsidRDefault="00B1764D" w:rsidP="008C4AE0">
            <w:pPr>
              <w:pStyle w:val="TableText0"/>
              <w:keepNext w:val="0"/>
            </w:pPr>
            <w:r w:rsidRPr="00871292">
              <w:t>SELECT-AXIS 1</w:t>
            </w:r>
          </w:p>
          <w:p w:rsidR="00B1764D" w:rsidRPr="00871292" w:rsidRDefault="00B1764D" w:rsidP="008C4AE0">
            <w:pPr>
              <w:pStyle w:val="TableText0"/>
              <w:keepNext w:val="0"/>
            </w:pPr>
            <w:r w:rsidRPr="00871292">
              <w:t>M16-098</w:t>
            </w:r>
          </w:p>
          <w:p w:rsidR="00B1764D" w:rsidRPr="00871292" w:rsidRDefault="00B1764D" w:rsidP="008C4AE0">
            <w:pPr>
              <w:pStyle w:val="TableText0"/>
              <w:keepNext w:val="0"/>
            </w:pPr>
            <w:r w:rsidRPr="00871292">
              <w:t>NCT03178487</w:t>
            </w:r>
          </w:p>
        </w:tc>
        <w:tc>
          <w:tcPr>
            <w:tcW w:w="3132" w:type="pct"/>
            <w:tcBorders>
              <w:bottom w:val="nil"/>
            </w:tcBorders>
            <w:vAlign w:val="center"/>
          </w:tcPr>
          <w:p w:rsidR="00B1764D" w:rsidRPr="00871292" w:rsidRDefault="00B1764D" w:rsidP="008C4AE0">
            <w:pPr>
              <w:pStyle w:val="TableText0"/>
              <w:keepNext w:val="0"/>
              <w:rPr>
                <w:szCs w:val="18"/>
              </w:rPr>
            </w:pPr>
            <w:r w:rsidRPr="00871292">
              <w:rPr>
                <w:szCs w:val="18"/>
              </w:rPr>
              <w:t>M16-098 CSR. A Multicenter, Randomised, Double-Blind, Placebo-</w:t>
            </w:r>
          </w:p>
          <w:p w:rsidR="00B1764D" w:rsidRPr="00871292" w:rsidRDefault="00B1764D" w:rsidP="008C4AE0">
            <w:pPr>
              <w:pStyle w:val="TableText0"/>
              <w:keepNext w:val="0"/>
              <w:rPr>
                <w:szCs w:val="18"/>
              </w:rPr>
            </w:pPr>
            <w:r w:rsidRPr="00871292">
              <w:rPr>
                <w:szCs w:val="18"/>
              </w:rPr>
              <w:t>Controlled Study Evaluating the Safety and Efficacy of Upadacitinib in Subjects with Active Ankylosing Spondylitis.</w:t>
            </w:r>
          </w:p>
        </w:tc>
        <w:tc>
          <w:tcPr>
            <w:tcW w:w="1072" w:type="pct"/>
            <w:tcBorders>
              <w:bottom w:val="nil"/>
            </w:tcBorders>
          </w:tcPr>
          <w:p w:rsidR="00B1764D" w:rsidRPr="00871292" w:rsidRDefault="00B1764D" w:rsidP="008C4AE0">
            <w:pPr>
              <w:pStyle w:val="TableText0"/>
              <w:keepNext w:val="0"/>
            </w:pPr>
            <w:r w:rsidRPr="00871292">
              <w:t>31 January 2020</w:t>
            </w:r>
          </w:p>
        </w:tc>
      </w:tr>
      <w:tr w:rsidR="00B1764D" w:rsidRPr="00871292" w:rsidTr="008C4AE0">
        <w:tc>
          <w:tcPr>
            <w:tcW w:w="796" w:type="pct"/>
            <w:vMerge/>
            <w:tcBorders>
              <w:bottom w:val="nil"/>
            </w:tcBorders>
            <w:vAlign w:val="center"/>
          </w:tcPr>
          <w:p w:rsidR="00B1764D" w:rsidRPr="00871292" w:rsidRDefault="00B1764D" w:rsidP="008C4AE0">
            <w:pPr>
              <w:pStyle w:val="TableText0"/>
              <w:keepNext w:val="0"/>
            </w:pPr>
          </w:p>
        </w:tc>
        <w:tc>
          <w:tcPr>
            <w:tcW w:w="3132" w:type="pct"/>
            <w:tcBorders>
              <w:top w:val="nil"/>
              <w:bottom w:val="nil"/>
            </w:tcBorders>
            <w:vAlign w:val="center"/>
          </w:tcPr>
          <w:p w:rsidR="00B1764D" w:rsidRPr="00871292" w:rsidRDefault="00B1764D" w:rsidP="008C4AE0">
            <w:pPr>
              <w:pStyle w:val="TableText0"/>
              <w:keepNext w:val="0"/>
              <w:rPr>
                <w:szCs w:val="18"/>
              </w:rPr>
            </w:pPr>
            <w:r w:rsidRPr="00871292">
              <w:rPr>
                <w:szCs w:val="18"/>
              </w:rPr>
              <w:t xml:space="preserve">van der Heijde D, Song IH, Pangan AL, et al. Efficacy and safety of upadacitinib in patients with active ankylosing spondylitis (SELECT-AXIS 1): a multicentre, randomised, double-blind, placebo-controlled, phase 2/3 trial. </w:t>
            </w:r>
          </w:p>
        </w:tc>
        <w:tc>
          <w:tcPr>
            <w:tcW w:w="1072" w:type="pct"/>
            <w:tcBorders>
              <w:top w:val="nil"/>
              <w:bottom w:val="nil"/>
            </w:tcBorders>
          </w:tcPr>
          <w:p w:rsidR="00B1764D" w:rsidRPr="00871292" w:rsidRDefault="00B1764D" w:rsidP="008C4AE0">
            <w:pPr>
              <w:pStyle w:val="TableText0"/>
              <w:keepNext w:val="0"/>
              <w:rPr>
                <w:szCs w:val="18"/>
              </w:rPr>
            </w:pPr>
            <w:r w:rsidRPr="00871292">
              <w:rPr>
                <w:szCs w:val="18"/>
              </w:rPr>
              <w:t>Lancet 2019;394: 2108–2017</w:t>
            </w:r>
          </w:p>
        </w:tc>
      </w:tr>
      <w:tr w:rsidR="00B1764D" w:rsidRPr="00871292" w:rsidTr="008C4AE0">
        <w:tc>
          <w:tcPr>
            <w:tcW w:w="5000" w:type="pct"/>
            <w:gridSpan w:val="3"/>
            <w:tcBorders>
              <w:bottom w:val="nil"/>
            </w:tcBorders>
            <w:vAlign w:val="center"/>
          </w:tcPr>
          <w:p w:rsidR="00B1764D" w:rsidRPr="00871292" w:rsidRDefault="00B1764D" w:rsidP="008C4AE0">
            <w:pPr>
              <w:pStyle w:val="TableText0"/>
              <w:keepNext w:val="0"/>
              <w:rPr>
                <w:b/>
              </w:rPr>
            </w:pPr>
            <w:r w:rsidRPr="00871292">
              <w:rPr>
                <w:b/>
              </w:rPr>
              <w:t>Adalimumab vs placebo</w:t>
            </w:r>
          </w:p>
        </w:tc>
      </w:tr>
      <w:tr w:rsidR="00B1764D" w:rsidRPr="00871292" w:rsidTr="008C4AE0">
        <w:tc>
          <w:tcPr>
            <w:tcW w:w="796" w:type="pct"/>
            <w:vMerge w:val="restart"/>
            <w:vAlign w:val="center"/>
          </w:tcPr>
          <w:p w:rsidR="00B1764D" w:rsidRPr="00871292" w:rsidRDefault="00B1764D" w:rsidP="008C4AE0">
            <w:pPr>
              <w:pStyle w:val="TableText0"/>
              <w:keepNext w:val="0"/>
            </w:pPr>
            <w:r w:rsidRPr="00871292">
              <w:t>ATLAS</w:t>
            </w:r>
          </w:p>
          <w:p w:rsidR="00B1764D" w:rsidRPr="00871292" w:rsidRDefault="00B1764D" w:rsidP="008C4AE0">
            <w:pPr>
              <w:pStyle w:val="TableText0"/>
              <w:keepNext w:val="0"/>
            </w:pPr>
            <w:r w:rsidRPr="00871292">
              <w:t>M03-607</w:t>
            </w:r>
          </w:p>
          <w:p w:rsidR="00B1764D" w:rsidRPr="00871292" w:rsidRDefault="00B1764D" w:rsidP="008C4AE0">
            <w:pPr>
              <w:pStyle w:val="TableText0"/>
              <w:keepNext w:val="0"/>
            </w:pPr>
            <w:r w:rsidRPr="00871292">
              <w:t>NCT00085644</w:t>
            </w:r>
          </w:p>
        </w:tc>
        <w:tc>
          <w:tcPr>
            <w:tcW w:w="3132" w:type="pct"/>
            <w:tcBorders>
              <w:bottom w:val="nil"/>
            </w:tcBorders>
            <w:vAlign w:val="center"/>
          </w:tcPr>
          <w:p w:rsidR="00B1764D" w:rsidRPr="00871292" w:rsidRDefault="00B1764D" w:rsidP="008C4AE0">
            <w:pPr>
              <w:pStyle w:val="TableText0"/>
              <w:keepNext w:val="0"/>
            </w:pPr>
            <w:r w:rsidRPr="00871292">
              <w:t>M03-607 CSR. A Phase 3 Multicenter Study of the Safety and Efficacy of the Human Anti-TNF Monoclonal Antibody Adalimumab in Subjects with Active Ankylosing Spondylitis.</w:t>
            </w:r>
          </w:p>
        </w:tc>
        <w:tc>
          <w:tcPr>
            <w:tcW w:w="1072" w:type="pct"/>
            <w:tcBorders>
              <w:bottom w:val="nil"/>
            </w:tcBorders>
          </w:tcPr>
          <w:p w:rsidR="00B1764D" w:rsidRPr="00871292" w:rsidRDefault="00B1764D" w:rsidP="008C4AE0">
            <w:pPr>
              <w:pStyle w:val="TableText0"/>
              <w:keepNext w:val="0"/>
            </w:pPr>
            <w:r w:rsidRPr="00871292">
              <w:t>23 December 2004</w:t>
            </w:r>
          </w:p>
        </w:tc>
      </w:tr>
      <w:tr w:rsidR="00B1764D" w:rsidRPr="00871292" w:rsidTr="008C4AE0">
        <w:trPr>
          <w:trHeight w:val="1147"/>
        </w:trPr>
        <w:tc>
          <w:tcPr>
            <w:tcW w:w="796" w:type="pct"/>
            <w:vMerge/>
            <w:vAlign w:val="center"/>
          </w:tcPr>
          <w:p w:rsidR="00B1764D" w:rsidRPr="00871292" w:rsidRDefault="00B1764D" w:rsidP="008C4AE0">
            <w:pPr>
              <w:pStyle w:val="TableText0"/>
              <w:keepNext w:val="0"/>
            </w:pPr>
          </w:p>
        </w:tc>
        <w:tc>
          <w:tcPr>
            <w:tcW w:w="3132" w:type="pct"/>
            <w:tcBorders>
              <w:top w:val="nil"/>
            </w:tcBorders>
            <w:vAlign w:val="center"/>
          </w:tcPr>
          <w:p w:rsidR="00B1764D" w:rsidRPr="00871292" w:rsidRDefault="00B1764D" w:rsidP="008C4AE0">
            <w:pPr>
              <w:pStyle w:val="TableText0"/>
              <w:keepNext w:val="0"/>
              <w:rPr>
                <w:szCs w:val="18"/>
              </w:rPr>
            </w:pPr>
            <w:r w:rsidRPr="00871292">
              <w:rPr>
                <w:szCs w:val="18"/>
              </w:rPr>
              <w:t>Van Der Heijde, D., Kivitz, A., Schiff, M.H., Sieper, J., Dijkmans, B.A.C., Braun, J., Dougados, M., Reveille, J.D., Wong, R.L., Kupper, H. &amp; Davis Jr., J.C., Efficacy and safety of adalimumab in patients with ankylosing spondylitis: Results of a multicenter, randomised, double-blind, placebo-controlled trial.</w:t>
            </w:r>
          </w:p>
        </w:tc>
        <w:tc>
          <w:tcPr>
            <w:tcW w:w="1072" w:type="pct"/>
            <w:tcBorders>
              <w:top w:val="nil"/>
            </w:tcBorders>
          </w:tcPr>
          <w:p w:rsidR="00B1764D" w:rsidRPr="00871292" w:rsidRDefault="00B1764D" w:rsidP="008C4AE0">
            <w:pPr>
              <w:pStyle w:val="TableText0"/>
              <w:keepNext w:val="0"/>
              <w:rPr>
                <w:i/>
              </w:rPr>
            </w:pPr>
            <w:r w:rsidRPr="00871292">
              <w:rPr>
                <w:szCs w:val="18"/>
              </w:rPr>
              <w:t>Arthritis and Rheumatism 2006; 54(7): 2136-2146</w:t>
            </w:r>
          </w:p>
        </w:tc>
      </w:tr>
      <w:tr w:rsidR="00B1764D" w:rsidRPr="00871292" w:rsidTr="008C4AE0">
        <w:tc>
          <w:tcPr>
            <w:tcW w:w="796" w:type="pct"/>
            <w:vMerge w:val="restart"/>
            <w:vAlign w:val="center"/>
          </w:tcPr>
          <w:p w:rsidR="00B1764D" w:rsidRPr="00871292" w:rsidRDefault="00B1764D" w:rsidP="008C4AE0">
            <w:pPr>
              <w:pStyle w:val="TableText0"/>
              <w:keepNext w:val="0"/>
            </w:pPr>
            <w:r w:rsidRPr="00871292">
              <w:t>M03-606</w:t>
            </w:r>
          </w:p>
          <w:p w:rsidR="00B1764D" w:rsidRPr="00871292" w:rsidRDefault="00B1764D" w:rsidP="008C4AE0">
            <w:pPr>
              <w:pStyle w:val="TableText0"/>
              <w:keepNext w:val="0"/>
            </w:pPr>
            <w:r w:rsidRPr="00871292">
              <w:t>NCT00195819</w:t>
            </w:r>
          </w:p>
        </w:tc>
        <w:tc>
          <w:tcPr>
            <w:tcW w:w="3132" w:type="pct"/>
            <w:tcBorders>
              <w:bottom w:val="nil"/>
            </w:tcBorders>
            <w:vAlign w:val="center"/>
          </w:tcPr>
          <w:p w:rsidR="00B1764D" w:rsidRPr="00871292" w:rsidRDefault="00B1764D" w:rsidP="008C4AE0">
            <w:pPr>
              <w:pStyle w:val="TableText0"/>
              <w:keepNext w:val="0"/>
              <w:rPr>
                <w:szCs w:val="18"/>
              </w:rPr>
            </w:pPr>
            <w:r w:rsidRPr="00871292">
              <w:rPr>
                <w:szCs w:val="18"/>
              </w:rPr>
              <w:t>M03-606 CSR. A Phase 3 Multicenter Study of the Safety and Efficacy of the Human Anti-TNF Monoclonal Antibody Adalimumab in Subjects with Active Ankylosing Spondylitis.</w:t>
            </w:r>
          </w:p>
        </w:tc>
        <w:tc>
          <w:tcPr>
            <w:tcW w:w="1072" w:type="pct"/>
            <w:tcBorders>
              <w:bottom w:val="nil"/>
            </w:tcBorders>
          </w:tcPr>
          <w:p w:rsidR="00B1764D" w:rsidRPr="00871292" w:rsidRDefault="00B1764D" w:rsidP="008C4AE0">
            <w:pPr>
              <w:pStyle w:val="TableText0"/>
              <w:keepNext w:val="0"/>
            </w:pPr>
            <w:r w:rsidRPr="00871292">
              <w:t>12 October 2004</w:t>
            </w:r>
          </w:p>
        </w:tc>
      </w:tr>
      <w:tr w:rsidR="00B1764D" w:rsidRPr="00871292" w:rsidTr="008C4AE0">
        <w:tc>
          <w:tcPr>
            <w:tcW w:w="796" w:type="pct"/>
            <w:vMerge/>
            <w:tcBorders>
              <w:bottom w:val="nil"/>
            </w:tcBorders>
            <w:vAlign w:val="center"/>
          </w:tcPr>
          <w:p w:rsidR="00B1764D" w:rsidRPr="00871292" w:rsidRDefault="00B1764D" w:rsidP="008C4AE0">
            <w:pPr>
              <w:pStyle w:val="TableText0"/>
              <w:keepNext w:val="0"/>
            </w:pPr>
          </w:p>
        </w:tc>
        <w:tc>
          <w:tcPr>
            <w:tcW w:w="3132" w:type="pct"/>
            <w:tcBorders>
              <w:top w:val="nil"/>
              <w:bottom w:val="nil"/>
            </w:tcBorders>
            <w:vAlign w:val="center"/>
          </w:tcPr>
          <w:p w:rsidR="00B1764D" w:rsidRPr="00871292" w:rsidRDefault="00B1764D" w:rsidP="008C4AE0">
            <w:pPr>
              <w:pStyle w:val="TableText0"/>
              <w:keepNext w:val="0"/>
              <w:rPr>
                <w:szCs w:val="18"/>
              </w:rPr>
            </w:pPr>
            <w:r w:rsidRPr="00871292">
              <w:rPr>
                <w:szCs w:val="18"/>
              </w:rPr>
              <w:t xml:space="preserve">Lambert, R.G.W., Salonen, D., Rahman, P., Inman, R.D., Wong, R.L., Einstein, S.G., Thomson, G.T.D., Beaulieu, A., Choquette, D. &amp; Maksymowych, W.P., Adalimumab significantly reduces both spinal and sacroiliac joint inflammation in patients with ankylosing spondylitis: A multicenter, randomised, double-blind, placebo-controlled study. </w:t>
            </w:r>
          </w:p>
        </w:tc>
        <w:tc>
          <w:tcPr>
            <w:tcW w:w="1072" w:type="pct"/>
            <w:tcBorders>
              <w:top w:val="nil"/>
              <w:bottom w:val="nil"/>
            </w:tcBorders>
          </w:tcPr>
          <w:p w:rsidR="00B1764D" w:rsidRPr="00871292" w:rsidRDefault="00B1764D" w:rsidP="008C4AE0">
            <w:pPr>
              <w:pStyle w:val="TableText0"/>
              <w:keepNext w:val="0"/>
            </w:pPr>
            <w:r w:rsidRPr="00871292">
              <w:rPr>
                <w:szCs w:val="18"/>
              </w:rPr>
              <w:t>Arthritis and Rheumatism 2007; 56(12): 4005-4014</w:t>
            </w:r>
          </w:p>
        </w:tc>
      </w:tr>
      <w:tr w:rsidR="00B1764D" w:rsidRPr="00871292" w:rsidTr="008C4AE0">
        <w:tc>
          <w:tcPr>
            <w:tcW w:w="796" w:type="pct"/>
            <w:vMerge w:val="restart"/>
            <w:vAlign w:val="center"/>
          </w:tcPr>
          <w:p w:rsidR="00B1764D" w:rsidRPr="00871292" w:rsidRDefault="00B1764D" w:rsidP="008C4AE0">
            <w:pPr>
              <w:pStyle w:val="TableText0"/>
              <w:keepNext w:val="0"/>
            </w:pPr>
            <w:r w:rsidRPr="00871292">
              <w:t>Huang 2014</w:t>
            </w:r>
          </w:p>
          <w:p w:rsidR="00B1764D" w:rsidRPr="00871292" w:rsidRDefault="00B1764D" w:rsidP="008C4AE0">
            <w:pPr>
              <w:pStyle w:val="TableText0"/>
              <w:keepNext w:val="0"/>
            </w:pPr>
            <w:r w:rsidRPr="00871292">
              <w:t>M11-991</w:t>
            </w:r>
          </w:p>
          <w:p w:rsidR="00B1764D" w:rsidRPr="00871292" w:rsidRDefault="00B1764D" w:rsidP="008C4AE0">
            <w:pPr>
              <w:pStyle w:val="TableText0"/>
              <w:keepNext w:val="0"/>
            </w:pPr>
            <w:r w:rsidRPr="00871292">
              <w:t>NCT01114880</w:t>
            </w:r>
          </w:p>
        </w:tc>
        <w:tc>
          <w:tcPr>
            <w:tcW w:w="3132" w:type="pct"/>
            <w:tcBorders>
              <w:bottom w:val="nil"/>
            </w:tcBorders>
            <w:vAlign w:val="center"/>
          </w:tcPr>
          <w:p w:rsidR="00B1764D" w:rsidRPr="00871292" w:rsidRDefault="00B1764D" w:rsidP="008C4AE0">
            <w:pPr>
              <w:pStyle w:val="TableText0"/>
              <w:keepNext w:val="0"/>
              <w:rPr>
                <w:szCs w:val="18"/>
              </w:rPr>
            </w:pPr>
            <w:r w:rsidRPr="00871292">
              <w:rPr>
                <w:szCs w:val="18"/>
              </w:rPr>
              <w:t>M11-991. A phase 3, randomized, double-blind, placebo-controlled multicenter, efficacy and safety study of adalimumab in adult Chinese subjects with active ankylosing spondylitis.</w:t>
            </w:r>
          </w:p>
        </w:tc>
        <w:tc>
          <w:tcPr>
            <w:tcW w:w="1072" w:type="pct"/>
            <w:tcBorders>
              <w:bottom w:val="nil"/>
            </w:tcBorders>
          </w:tcPr>
          <w:p w:rsidR="00B1764D" w:rsidRPr="00871292" w:rsidRDefault="00B1764D" w:rsidP="008C4AE0">
            <w:pPr>
              <w:pStyle w:val="TableText0"/>
              <w:keepNext w:val="0"/>
            </w:pPr>
            <w:r w:rsidRPr="00871292">
              <w:t>16 February 2011</w:t>
            </w:r>
          </w:p>
        </w:tc>
      </w:tr>
      <w:tr w:rsidR="00B1764D" w:rsidRPr="00871292" w:rsidTr="008C4AE0">
        <w:tc>
          <w:tcPr>
            <w:tcW w:w="796" w:type="pct"/>
            <w:vMerge/>
            <w:tcBorders>
              <w:bottom w:val="nil"/>
            </w:tcBorders>
            <w:vAlign w:val="center"/>
          </w:tcPr>
          <w:p w:rsidR="00B1764D" w:rsidRPr="00871292" w:rsidRDefault="00B1764D" w:rsidP="008C4AE0">
            <w:pPr>
              <w:pStyle w:val="TableText0"/>
              <w:keepNext w:val="0"/>
            </w:pPr>
          </w:p>
        </w:tc>
        <w:tc>
          <w:tcPr>
            <w:tcW w:w="3132" w:type="pct"/>
            <w:tcBorders>
              <w:top w:val="nil"/>
              <w:bottom w:val="nil"/>
            </w:tcBorders>
            <w:vAlign w:val="center"/>
          </w:tcPr>
          <w:p w:rsidR="00B1764D" w:rsidRPr="00871292" w:rsidRDefault="00B1764D" w:rsidP="008C4AE0">
            <w:pPr>
              <w:pStyle w:val="TableText0"/>
              <w:keepNext w:val="0"/>
              <w:rPr>
                <w:szCs w:val="18"/>
              </w:rPr>
            </w:pPr>
            <w:r w:rsidRPr="00871292">
              <w:rPr>
                <w:szCs w:val="18"/>
              </w:rPr>
              <w:t>Huang, F., Gu, J., Zhu, P., Bao, C., Xu, J., Xu, H., Wu, H., Wang, G., Shi, Q., Andhivarothai, N., Anderson, J. &amp; Pangan, A.L., Efficacy and safety of adalimumab in Chinese adults with active ankylosing spondylitis: Results of a randomised, controlled trial.</w:t>
            </w:r>
          </w:p>
        </w:tc>
        <w:tc>
          <w:tcPr>
            <w:tcW w:w="1072" w:type="pct"/>
            <w:tcBorders>
              <w:top w:val="nil"/>
              <w:bottom w:val="nil"/>
            </w:tcBorders>
          </w:tcPr>
          <w:p w:rsidR="00B1764D" w:rsidRPr="00871292" w:rsidRDefault="00B1764D" w:rsidP="008C4AE0">
            <w:pPr>
              <w:pStyle w:val="TableText0"/>
              <w:keepNext w:val="0"/>
            </w:pPr>
            <w:r w:rsidRPr="00871292">
              <w:rPr>
                <w:szCs w:val="18"/>
              </w:rPr>
              <w:t>Annals of the Rheumatic Diseases 2014; 73(3): 587-594</w:t>
            </w:r>
          </w:p>
        </w:tc>
      </w:tr>
      <w:tr w:rsidR="00B1764D" w:rsidRPr="00871292" w:rsidTr="008C4AE0">
        <w:tc>
          <w:tcPr>
            <w:tcW w:w="796" w:type="pct"/>
            <w:tcBorders>
              <w:bottom w:val="nil"/>
            </w:tcBorders>
            <w:vAlign w:val="center"/>
          </w:tcPr>
          <w:p w:rsidR="00B1764D" w:rsidRPr="00871292" w:rsidRDefault="00B1764D" w:rsidP="008C4AE0">
            <w:pPr>
              <w:pStyle w:val="TableText0"/>
              <w:keepNext w:val="0"/>
            </w:pPr>
            <w:r w:rsidRPr="00871292">
              <w:t>DANISH</w:t>
            </w:r>
          </w:p>
          <w:p w:rsidR="00B1764D" w:rsidRPr="00871292" w:rsidRDefault="00B1764D" w:rsidP="008C4AE0">
            <w:pPr>
              <w:pStyle w:val="TableText0"/>
              <w:keepNext w:val="0"/>
            </w:pPr>
            <w:r w:rsidRPr="00871292">
              <w:t>NCT00477893</w:t>
            </w:r>
          </w:p>
        </w:tc>
        <w:tc>
          <w:tcPr>
            <w:tcW w:w="3132" w:type="pct"/>
            <w:tcBorders>
              <w:bottom w:val="nil"/>
            </w:tcBorders>
            <w:vAlign w:val="center"/>
          </w:tcPr>
          <w:p w:rsidR="00B1764D" w:rsidRPr="00871292" w:rsidRDefault="00B1764D" w:rsidP="008C4AE0">
            <w:pPr>
              <w:pStyle w:val="TableText0"/>
              <w:keepNext w:val="0"/>
              <w:rPr>
                <w:szCs w:val="18"/>
              </w:rPr>
            </w:pPr>
            <w:r w:rsidRPr="00871292">
              <w:rPr>
                <w:szCs w:val="18"/>
              </w:rPr>
              <w:t>Pedersen, S.J., Poddubnyy, D., Sørensen, I.J., Loft, A., Hindrup, J.S., Thamsborg, G., Asmussen, K., Hendricks, O., Nørregaard, J., Piil, A., Møller, J.M., Jurik, A., Balding, L., Lambert, R.G., Sieper, J. &amp; Østergaard, M., Course of Magnetic Resonance Imaging-Detected Inflammation and Structural Lesions in the Sacroiliac Joints of Patients in the Randomised, Double-Blind, Placebo-Controlled Danish Multicenter Study of Adalimumab in Spondyloarthritis, as Assessed by the Berlin and Spondyloarthritis Research Consortium of Canada Methods.</w:t>
            </w:r>
          </w:p>
        </w:tc>
        <w:tc>
          <w:tcPr>
            <w:tcW w:w="1072" w:type="pct"/>
            <w:tcBorders>
              <w:bottom w:val="nil"/>
            </w:tcBorders>
          </w:tcPr>
          <w:p w:rsidR="00B1764D" w:rsidRPr="00871292" w:rsidRDefault="00B1764D" w:rsidP="008C4AE0">
            <w:pPr>
              <w:pStyle w:val="TableText0"/>
              <w:keepNext w:val="0"/>
            </w:pPr>
            <w:r w:rsidRPr="00871292">
              <w:rPr>
                <w:szCs w:val="18"/>
              </w:rPr>
              <w:t>Arthritis and Rheumatology 2016; 68(2): 418-429</w:t>
            </w:r>
          </w:p>
        </w:tc>
      </w:tr>
      <w:tr w:rsidR="00B1764D" w:rsidRPr="00871292" w:rsidTr="008C4AE0">
        <w:tc>
          <w:tcPr>
            <w:tcW w:w="796" w:type="pct"/>
            <w:tcBorders>
              <w:bottom w:val="single" w:sz="4" w:space="0" w:color="auto"/>
            </w:tcBorders>
            <w:vAlign w:val="center"/>
          </w:tcPr>
          <w:p w:rsidR="00B1764D" w:rsidRPr="00871292" w:rsidRDefault="00B1764D" w:rsidP="008C4AE0">
            <w:pPr>
              <w:pStyle w:val="TableText0"/>
              <w:keepNext w:val="0"/>
            </w:pPr>
            <w:r w:rsidRPr="00871292">
              <w:t>COAST-V</w:t>
            </w:r>
          </w:p>
          <w:p w:rsidR="00B1764D" w:rsidRPr="00871292" w:rsidRDefault="00B1764D" w:rsidP="008C4AE0">
            <w:pPr>
              <w:pStyle w:val="TableText0"/>
              <w:keepNext w:val="0"/>
            </w:pPr>
            <w:r w:rsidRPr="00871292">
              <w:t>NCT02696785</w:t>
            </w:r>
          </w:p>
        </w:tc>
        <w:tc>
          <w:tcPr>
            <w:tcW w:w="3132" w:type="pct"/>
            <w:tcBorders>
              <w:bottom w:val="single" w:sz="4" w:space="0" w:color="auto"/>
            </w:tcBorders>
            <w:vAlign w:val="center"/>
          </w:tcPr>
          <w:p w:rsidR="00B1764D" w:rsidRPr="00871292" w:rsidRDefault="00B1764D" w:rsidP="008C4AE0">
            <w:pPr>
              <w:pStyle w:val="TableText0"/>
              <w:keepNext w:val="0"/>
              <w:rPr>
                <w:szCs w:val="18"/>
              </w:rPr>
            </w:pPr>
            <w:r w:rsidRPr="00871292">
              <w:rPr>
                <w:szCs w:val="18"/>
              </w:rPr>
              <w:t>van der Heijde, D., Cheng-Chung Wei, J., Dougados, M., Mease, P., Deodhar, A., Maksymowych, W. P, et al. Ixekizumab, an interleukin-17A antagonist in the treatment of ankylosing spondylitis or radiographic axial spondyloarthritis in patients previously untreated with biological disease-modifying anti-rheumatic drugs (COAST-V): 16 week results of a phase 3 randomised, double-blind, active-controlled and placebo-controlled trial.</w:t>
            </w:r>
          </w:p>
        </w:tc>
        <w:tc>
          <w:tcPr>
            <w:tcW w:w="1072" w:type="pct"/>
            <w:tcBorders>
              <w:bottom w:val="single" w:sz="4" w:space="0" w:color="auto"/>
            </w:tcBorders>
          </w:tcPr>
          <w:p w:rsidR="00B1764D" w:rsidRPr="00871292" w:rsidRDefault="00B1764D" w:rsidP="008C4AE0">
            <w:pPr>
              <w:pStyle w:val="TableText0"/>
              <w:keepNext w:val="0"/>
            </w:pPr>
            <w:r w:rsidRPr="00871292">
              <w:rPr>
                <w:szCs w:val="18"/>
              </w:rPr>
              <w:t>The Lancet 2018; 392(10163): 2441-2451</w:t>
            </w:r>
          </w:p>
        </w:tc>
      </w:tr>
    </w:tbl>
    <w:p w:rsidR="00E82BDC" w:rsidRPr="00871292" w:rsidRDefault="00B1764D" w:rsidP="00B1764D">
      <w:pPr>
        <w:pStyle w:val="TableFigureFooter"/>
      </w:pPr>
      <w:r w:rsidRPr="00871292">
        <w:t>Source: Table 2.3, pp29-33 of the submission.</w:t>
      </w:r>
    </w:p>
    <w:p w:rsidR="00E82BDC" w:rsidRPr="00871292" w:rsidRDefault="00E82BDC">
      <w:pPr>
        <w:jc w:val="left"/>
        <w:rPr>
          <w:rFonts w:ascii="Arial Narrow" w:hAnsi="Arial Narrow"/>
          <w:snapToGrid w:val="0"/>
          <w:sz w:val="18"/>
          <w:szCs w:val="22"/>
        </w:rPr>
      </w:pPr>
      <w:r w:rsidRPr="00871292">
        <w:br w:type="page"/>
      </w:r>
    </w:p>
    <w:p w:rsidR="00B1764D" w:rsidRPr="00871292" w:rsidRDefault="00B1764D" w:rsidP="00A53475">
      <w:pPr>
        <w:pStyle w:val="3-BodyText"/>
      </w:pPr>
      <w:r w:rsidRPr="00871292">
        <w:lastRenderedPageBreak/>
        <w:t>Table 3 presents the key features of the included trials.</w:t>
      </w:r>
    </w:p>
    <w:p w:rsidR="00B1764D" w:rsidRPr="00871292" w:rsidRDefault="00B1764D" w:rsidP="00B1764D">
      <w:pPr>
        <w:pStyle w:val="TableFigureHeading"/>
        <w:rPr>
          <w:rStyle w:val="CommentReference"/>
          <w:b/>
          <w:szCs w:val="24"/>
        </w:rPr>
      </w:pPr>
      <w:r w:rsidRPr="00871292">
        <w:rPr>
          <w:rStyle w:val="CommentReference"/>
          <w:b/>
          <w:szCs w:val="24"/>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1"/>
        <w:gridCol w:w="400"/>
        <w:gridCol w:w="2099"/>
        <w:gridCol w:w="646"/>
        <w:gridCol w:w="1558"/>
        <w:gridCol w:w="1277"/>
        <w:gridCol w:w="2076"/>
      </w:tblGrid>
      <w:tr w:rsidR="00B1764D" w:rsidRPr="00871292" w:rsidTr="00BD7FB6">
        <w:trPr>
          <w:cantSplit/>
          <w:tblHeader/>
        </w:trPr>
        <w:tc>
          <w:tcPr>
            <w:tcW w:w="533" w:type="pct"/>
            <w:shd w:val="clear" w:color="auto" w:fill="auto"/>
            <w:vAlign w:val="center"/>
          </w:tcPr>
          <w:p w:rsidR="00B1764D" w:rsidRPr="00871292" w:rsidRDefault="00B1764D" w:rsidP="008C4AE0">
            <w:pPr>
              <w:pStyle w:val="In-tableHeading"/>
              <w:rPr>
                <w:lang w:val="en-AU"/>
              </w:rPr>
            </w:pPr>
            <w:r w:rsidRPr="00871292">
              <w:rPr>
                <w:lang w:val="en-AU"/>
              </w:rPr>
              <w:t>Trial</w:t>
            </w:r>
          </w:p>
        </w:tc>
        <w:tc>
          <w:tcPr>
            <w:tcW w:w="222" w:type="pct"/>
            <w:shd w:val="clear" w:color="auto" w:fill="auto"/>
            <w:vAlign w:val="center"/>
          </w:tcPr>
          <w:p w:rsidR="00B1764D" w:rsidRPr="00871292" w:rsidRDefault="00B1764D" w:rsidP="008C4AE0">
            <w:pPr>
              <w:pStyle w:val="In-tableHeading"/>
              <w:jc w:val="center"/>
              <w:rPr>
                <w:lang w:val="en-AU"/>
              </w:rPr>
            </w:pPr>
            <w:r w:rsidRPr="00871292">
              <w:rPr>
                <w:lang w:val="en-AU"/>
              </w:rPr>
              <w:t>N</w:t>
            </w:r>
          </w:p>
        </w:tc>
        <w:tc>
          <w:tcPr>
            <w:tcW w:w="1164" w:type="pct"/>
            <w:shd w:val="clear" w:color="auto" w:fill="auto"/>
            <w:vAlign w:val="center"/>
          </w:tcPr>
          <w:p w:rsidR="00B1764D" w:rsidRPr="00871292" w:rsidRDefault="00B1764D" w:rsidP="008C4AE0">
            <w:pPr>
              <w:pStyle w:val="In-tableHeading"/>
              <w:jc w:val="center"/>
              <w:rPr>
                <w:lang w:val="en-AU"/>
              </w:rPr>
            </w:pPr>
            <w:r w:rsidRPr="00871292">
              <w:rPr>
                <w:lang w:val="en-AU"/>
              </w:rPr>
              <w:t>Design/ duration</w:t>
            </w:r>
          </w:p>
        </w:tc>
        <w:tc>
          <w:tcPr>
            <w:tcW w:w="358" w:type="pct"/>
            <w:shd w:val="clear" w:color="auto" w:fill="auto"/>
            <w:vAlign w:val="center"/>
          </w:tcPr>
          <w:p w:rsidR="00B1764D" w:rsidRPr="00871292" w:rsidRDefault="00B1764D" w:rsidP="008C4AE0">
            <w:pPr>
              <w:pStyle w:val="In-tableHeading"/>
              <w:jc w:val="center"/>
              <w:rPr>
                <w:lang w:val="en-AU"/>
              </w:rPr>
            </w:pPr>
            <w:r w:rsidRPr="00871292">
              <w:rPr>
                <w:lang w:val="en-AU"/>
              </w:rPr>
              <w:t>Bias</w:t>
            </w:r>
          </w:p>
        </w:tc>
        <w:tc>
          <w:tcPr>
            <w:tcW w:w="864" w:type="pct"/>
            <w:shd w:val="clear" w:color="auto" w:fill="auto"/>
            <w:vAlign w:val="center"/>
          </w:tcPr>
          <w:p w:rsidR="00B1764D" w:rsidRPr="00871292" w:rsidRDefault="00B1764D" w:rsidP="008C4AE0">
            <w:pPr>
              <w:pStyle w:val="In-tableHeading"/>
              <w:jc w:val="center"/>
              <w:rPr>
                <w:lang w:val="en-AU"/>
              </w:rPr>
            </w:pPr>
            <w:r w:rsidRPr="00871292">
              <w:rPr>
                <w:lang w:val="en-AU"/>
              </w:rPr>
              <w:t>Treatment arms</w:t>
            </w:r>
          </w:p>
        </w:tc>
        <w:tc>
          <w:tcPr>
            <w:tcW w:w="708" w:type="pct"/>
            <w:shd w:val="clear" w:color="auto" w:fill="auto"/>
            <w:vAlign w:val="center"/>
          </w:tcPr>
          <w:p w:rsidR="00B1764D" w:rsidRPr="00871292" w:rsidRDefault="00B1764D" w:rsidP="008C4AE0">
            <w:pPr>
              <w:pStyle w:val="In-tableHeading"/>
              <w:jc w:val="center"/>
              <w:rPr>
                <w:lang w:val="en-AU"/>
              </w:rPr>
            </w:pPr>
            <w:r w:rsidRPr="00871292">
              <w:rPr>
                <w:lang w:val="en-AU"/>
              </w:rPr>
              <w:t>Population</w:t>
            </w:r>
          </w:p>
        </w:tc>
        <w:tc>
          <w:tcPr>
            <w:tcW w:w="1151" w:type="pct"/>
            <w:shd w:val="clear" w:color="auto" w:fill="auto"/>
            <w:vAlign w:val="center"/>
          </w:tcPr>
          <w:p w:rsidR="00B1764D" w:rsidRPr="00871292" w:rsidRDefault="00B1764D" w:rsidP="008C4AE0">
            <w:pPr>
              <w:pStyle w:val="In-tableHeading"/>
              <w:jc w:val="center"/>
              <w:rPr>
                <w:lang w:val="en-AU"/>
              </w:rPr>
            </w:pPr>
            <w:r w:rsidRPr="00871292">
              <w:rPr>
                <w:lang w:val="en-AU"/>
              </w:rPr>
              <w:t>Key efficacy outcomes</w:t>
            </w:r>
          </w:p>
        </w:tc>
      </w:tr>
      <w:tr w:rsidR="00B1764D" w:rsidRPr="00871292" w:rsidTr="008C4AE0">
        <w:trPr>
          <w:cantSplit/>
        </w:trPr>
        <w:tc>
          <w:tcPr>
            <w:tcW w:w="5000" w:type="pct"/>
            <w:gridSpan w:val="7"/>
            <w:shd w:val="clear" w:color="auto" w:fill="auto"/>
            <w:vAlign w:val="center"/>
          </w:tcPr>
          <w:p w:rsidR="00B1764D" w:rsidRPr="00871292" w:rsidRDefault="00B1764D" w:rsidP="008C4AE0">
            <w:pPr>
              <w:pStyle w:val="In-tableHeading"/>
              <w:rPr>
                <w:lang w:val="en-AU"/>
              </w:rPr>
            </w:pPr>
            <w:r w:rsidRPr="00871292">
              <w:rPr>
                <w:lang w:val="en-AU"/>
              </w:rPr>
              <w:t>UPA vs PBO</w:t>
            </w:r>
          </w:p>
        </w:tc>
      </w:tr>
      <w:tr w:rsidR="00B1764D" w:rsidRPr="00871292" w:rsidTr="00BD7FB6">
        <w:trPr>
          <w:cantSplit/>
        </w:trPr>
        <w:tc>
          <w:tcPr>
            <w:tcW w:w="533" w:type="pct"/>
            <w:shd w:val="clear" w:color="auto" w:fill="auto"/>
            <w:vAlign w:val="center"/>
          </w:tcPr>
          <w:p w:rsidR="00B1764D" w:rsidRPr="00871292" w:rsidRDefault="00B1764D" w:rsidP="008C4AE0">
            <w:pPr>
              <w:pStyle w:val="TableText0"/>
            </w:pPr>
            <w:r w:rsidRPr="00871292">
              <w:t>SELECT-AXIS 1</w:t>
            </w:r>
          </w:p>
        </w:tc>
        <w:tc>
          <w:tcPr>
            <w:tcW w:w="222" w:type="pct"/>
            <w:shd w:val="clear" w:color="auto" w:fill="auto"/>
            <w:vAlign w:val="center"/>
          </w:tcPr>
          <w:p w:rsidR="00B1764D" w:rsidRPr="00871292" w:rsidRDefault="00B1764D" w:rsidP="008C4AE0">
            <w:pPr>
              <w:pStyle w:val="TableText0"/>
              <w:jc w:val="center"/>
            </w:pPr>
            <w:r w:rsidRPr="00871292">
              <w:t>187</w:t>
            </w:r>
          </w:p>
        </w:tc>
        <w:tc>
          <w:tcPr>
            <w:tcW w:w="1164" w:type="pct"/>
            <w:shd w:val="clear" w:color="auto" w:fill="auto"/>
            <w:vAlign w:val="center"/>
          </w:tcPr>
          <w:p w:rsidR="00B1764D" w:rsidRPr="00871292" w:rsidRDefault="00B1764D" w:rsidP="008C4AE0">
            <w:pPr>
              <w:pStyle w:val="TableText0"/>
              <w:jc w:val="center"/>
            </w:pPr>
            <w:r w:rsidRPr="00871292">
              <w:t>R, MC, PC, DB 14wk / OL extension</w:t>
            </w:r>
            <w:r w:rsidRPr="00871292">
              <w:rPr>
                <w:vertAlign w:val="superscript"/>
              </w:rPr>
              <w:t>a</w:t>
            </w:r>
          </w:p>
        </w:tc>
        <w:tc>
          <w:tcPr>
            <w:tcW w:w="358" w:type="pct"/>
            <w:shd w:val="clear" w:color="auto" w:fill="auto"/>
            <w:vAlign w:val="center"/>
          </w:tcPr>
          <w:p w:rsidR="00B1764D" w:rsidRPr="00871292" w:rsidRDefault="00B1764D" w:rsidP="008C4AE0">
            <w:pPr>
              <w:pStyle w:val="TableText0"/>
              <w:jc w:val="center"/>
            </w:pPr>
            <w:r w:rsidRPr="00871292">
              <w:t>Low</w:t>
            </w:r>
          </w:p>
        </w:tc>
        <w:tc>
          <w:tcPr>
            <w:tcW w:w="864" w:type="pct"/>
            <w:shd w:val="clear" w:color="auto" w:fill="auto"/>
            <w:vAlign w:val="center"/>
          </w:tcPr>
          <w:p w:rsidR="00B1764D" w:rsidRPr="00871292" w:rsidRDefault="00B1764D" w:rsidP="008C4AE0">
            <w:pPr>
              <w:pStyle w:val="TableText0"/>
            </w:pPr>
            <w:r w:rsidRPr="00871292">
              <w:t>UPA 15 mg D</w:t>
            </w:r>
          </w:p>
          <w:p w:rsidR="00B1764D" w:rsidRPr="00871292" w:rsidRDefault="00B1764D" w:rsidP="008C4AE0">
            <w:pPr>
              <w:pStyle w:val="TableText0"/>
            </w:pPr>
            <w:r w:rsidRPr="00871292">
              <w:t>PBO</w:t>
            </w:r>
          </w:p>
        </w:tc>
        <w:tc>
          <w:tcPr>
            <w:tcW w:w="708" w:type="pct"/>
            <w:shd w:val="clear" w:color="auto" w:fill="auto"/>
            <w:vAlign w:val="center"/>
          </w:tcPr>
          <w:p w:rsidR="00B1764D" w:rsidRPr="00871292" w:rsidRDefault="00B1764D" w:rsidP="008C4AE0">
            <w:pPr>
              <w:pStyle w:val="TableText0"/>
              <w:jc w:val="center"/>
            </w:pPr>
            <w:r w:rsidRPr="00871292">
              <w:t>AS (mNY)</w:t>
            </w:r>
            <w:r w:rsidRPr="00871292">
              <w:rPr>
                <w:vertAlign w:val="superscript"/>
              </w:rPr>
              <w:t>b</w:t>
            </w:r>
            <w:r w:rsidR="00BD7FB6" w:rsidRPr="00871292">
              <w:t>,</w:t>
            </w:r>
          </w:p>
          <w:p w:rsidR="00BD7FB6" w:rsidRPr="00871292" w:rsidRDefault="00BD7FB6" w:rsidP="008C4AE0">
            <w:pPr>
              <w:pStyle w:val="TableText0"/>
              <w:jc w:val="center"/>
            </w:pPr>
            <w:r w:rsidRPr="00871292">
              <w:t>bDMARD naive</w:t>
            </w:r>
          </w:p>
        </w:tc>
        <w:tc>
          <w:tcPr>
            <w:tcW w:w="1151" w:type="pct"/>
            <w:shd w:val="clear" w:color="auto" w:fill="auto"/>
            <w:vAlign w:val="center"/>
          </w:tcPr>
          <w:p w:rsidR="00B1764D" w:rsidRPr="00871292" w:rsidRDefault="00B1764D" w:rsidP="008C4AE0">
            <w:pPr>
              <w:pStyle w:val="TableText0"/>
            </w:pPr>
            <w:r w:rsidRPr="00871292">
              <w:t>1°: ASAS40 (Wk 14)</w:t>
            </w:r>
          </w:p>
          <w:p w:rsidR="00BD7FB6" w:rsidRPr="00871292" w:rsidRDefault="00B1764D" w:rsidP="00BD7FB6">
            <w:pPr>
              <w:pStyle w:val="TableText0"/>
            </w:pPr>
            <w:r w:rsidRPr="00871292">
              <w:t>2°: BASDAI50</w:t>
            </w:r>
          </w:p>
          <w:p w:rsidR="00B1764D" w:rsidRPr="00871292" w:rsidRDefault="00B1764D" w:rsidP="00BD7FB6">
            <w:pPr>
              <w:pStyle w:val="TableText0"/>
            </w:pPr>
            <w:r w:rsidRPr="00871292">
              <w:t>other:</w:t>
            </w:r>
            <w:r w:rsidR="00BD7FB6" w:rsidRPr="00871292">
              <w:t xml:space="preserve"> </w:t>
            </w:r>
            <w:r w:rsidRPr="00871292">
              <w:t>ASAS20</w:t>
            </w:r>
          </w:p>
        </w:tc>
      </w:tr>
      <w:tr w:rsidR="00B1764D" w:rsidRPr="00871292" w:rsidTr="008C4AE0">
        <w:trPr>
          <w:cantSplit/>
        </w:trPr>
        <w:tc>
          <w:tcPr>
            <w:tcW w:w="5000" w:type="pct"/>
            <w:gridSpan w:val="7"/>
            <w:shd w:val="clear" w:color="auto" w:fill="auto"/>
            <w:vAlign w:val="center"/>
          </w:tcPr>
          <w:p w:rsidR="00B1764D" w:rsidRPr="00871292" w:rsidRDefault="00B1764D" w:rsidP="008C4AE0">
            <w:pPr>
              <w:pStyle w:val="TableText0"/>
              <w:rPr>
                <w:b/>
              </w:rPr>
            </w:pPr>
            <w:r w:rsidRPr="00871292">
              <w:rPr>
                <w:b/>
              </w:rPr>
              <w:t>ABA vs PBO</w:t>
            </w:r>
          </w:p>
        </w:tc>
      </w:tr>
      <w:tr w:rsidR="00B1764D" w:rsidRPr="00871292" w:rsidTr="00BD7FB6">
        <w:trPr>
          <w:cantSplit/>
        </w:trPr>
        <w:tc>
          <w:tcPr>
            <w:tcW w:w="533" w:type="pct"/>
            <w:shd w:val="clear" w:color="auto" w:fill="auto"/>
            <w:vAlign w:val="center"/>
          </w:tcPr>
          <w:p w:rsidR="00B1764D" w:rsidRPr="00871292" w:rsidRDefault="00B1764D" w:rsidP="008C4AE0">
            <w:pPr>
              <w:pStyle w:val="TableText0"/>
            </w:pPr>
            <w:r w:rsidRPr="00871292">
              <w:t>ATLAS</w:t>
            </w:r>
          </w:p>
        </w:tc>
        <w:tc>
          <w:tcPr>
            <w:tcW w:w="222" w:type="pct"/>
            <w:shd w:val="clear" w:color="auto" w:fill="auto"/>
            <w:vAlign w:val="center"/>
          </w:tcPr>
          <w:p w:rsidR="00B1764D" w:rsidRPr="00871292" w:rsidRDefault="00B1764D" w:rsidP="008C4AE0">
            <w:pPr>
              <w:pStyle w:val="TableText0"/>
              <w:jc w:val="center"/>
            </w:pPr>
            <w:r w:rsidRPr="00871292">
              <w:t>315</w:t>
            </w:r>
          </w:p>
        </w:tc>
        <w:tc>
          <w:tcPr>
            <w:tcW w:w="1164" w:type="pct"/>
            <w:shd w:val="clear" w:color="auto" w:fill="auto"/>
            <w:vAlign w:val="center"/>
          </w:tcPr>
          <w:p w:rsidR="00B1764D" w:rsidRPr="00871292" w:rsidRDefault="00B1764D" w:rsidP="008C4AE0">
            <w:pPr>
              <w:pStyle w:val="TableText0"/>
              <w:jc w:val="center"/>
            </w:pPr>
            <w:r w:rsidRPr="00871292">
              <w:t>R, MC, PC, DB 24wk / OL extension; rescue ≥Wk 12</w:t>
            </w:r>
            <w:r w:rsidRPr="00871292">
              <w:rPr>
                <w:vertAlign w:val="superscript"/>
              </w:rPr>
              <w:t>c</w:t>
            </w:r>
          </w:p>
        </w:tc>
        <w:tc>
          <w:tcPr>
            <w:tcW w:w="358" w:type="pct"/>
            <w:shd w:val="clear" w:color="auto" w:fill="auto"/>
            <w:vAlign w:val="center"/>
          </w:tcPr>
          <w:p w:rsidR="00B1764D" w:rsidRPr="00871292" w:rsidRDefault="00B1764D" w:rsidP="008C4AE0">
            <w:pPr>
              <w:pStyle w:val="TableText0"/>
              <w:jc w:val="center"/>
            </w:pPr>
            <w:r w:rsidRPr="00871292">
              <w:t>Low</w:t>
            </w:r>
          </w:p>
        </w:tc>
        <w:tc>
          <w:tcPr>
            <w:tcW w:w="864" w:type="pct"/>
            <w:shd w:val="clear" w:color="auto" w:fill="auto"/>
            <w:vAlign w:val="center"/>
          </w:tcPr>
          <w:p w:rsidR="00B1764D" w:rsidRPr="00871292" w:rsidRDefault="00B1764D" w:rsidP="008C4AE0">
            <w:pPr>
              <w:pStyle w:val="TableText0"/>
            </w:pPr>
            <w:r w:rsidRPr="00871292">
              <w:t>ADA 40mg Q2W SC</w:t>
            </w:r>
          </w:p>
          <w:p w:rsidR="00B1764D" w:rsidRPr="00871292" w:rsidRDefault="00B1764D" w:rsidP="008C4AE0">
            <w:pPr>
              <w:pStyle w:val="TableText0"/>
            </w:pPr>
            <w:r w:rsidRPr="00871292">
              <w:t>PBO</w:t>
            </w:r>
          </w:p>
        </w:tc>
        <w:tc>
          <w:tcPr>
            <w:tcW w:w="708" w:type="pct"/>
            <w:shd w:val="clear" w:color="auto" w:fill="auto"/>
            <w:vAlign w:val="center"/>
          </w:tcPr>
          <w:p w:rsidR="00BD7FB6" w:rsidRPr="00871292" w:rsidRDefault="00B1764D" w:rsidP="00BD7FB6">
            <w:pPr>
              <w:pStyle w:val="TableText0"/>
              <w:jc w:val="center"/>
            </w:pPr>
            <w:r w:rsidRPr="00871292">
              <w:t>AS (mNY)</w:t>
            </w:r>
            <w:r w:rsidR="00BD7FB6" w:rsidRPr="00871292">
              <w:t>,</w:t>
            </w:r>
          </w:p>
          <w:p w:rsidR="00B1764D" w:rsidRPr="00871292" w:rsidRDefault="00BD7FB6" w:rsidP="00BD7FB6">
            <w:pPr>
              <w:pStyle w:val="TableText0"/>
              <w:jc w:val="center"/>
            </w:pPr>
            <w:r w:rsidRPr="00871292">
              <w:t>bDMARD naive</w:t>
            </w:r>
          </w:p>
        </w:tc>
        <w:tc>
          <w:tcPr>
            <w:tcW w:w="1151" w:type="pct"/>
            <w:shd w:val="clear" w:color="auto" w:fill="auto"/>
            <w:vAlign w:val="center"/>
          </w:tcPr>
          <w:p w:rsidR="00B1764D" w:rsidRPr="00871292" w:rsidRDefault="00B1764D" w:rsidP="008C4AE0">
            <w:pPr>
              <w:pStyle w:val="TableText0"/>
            </w:pPr>
            <w:r w:rsidRPr="00871292">
              <w:t>1°: ASAS20 (Wk 12)</w:t>
            </w:r>
          </w:p>
          <w:p w:rsidR="00B1764D" w:rsidRPr="00871292" w:rsidRDefault="00B1764D" w:rsidP="008C4AE0">
            <w:pPr>
              <w:pStyle w:val="TableText0"/>
            </w:pPr>
            <w:r w:rsidRPr="00871292">
              <w:t>2°: ASAS40, BASDAI50</w:t>
            </w:r>
          </w:p>
        </w:tc>
      </w:tr>
      <w:tr w:rsidR="00B1764D" w:rsidRPr="00871292" w:rsidTr="00BD7FB6">
        <w:trPr>
          <w:cantSplit/>
        </w:trPr>
        <w:tc>
          <w:tcPr>
            <w:tcW w:w="533" w:type="pct"/>
            <w:shd w:val="clear" w:color="auto" w:fill="auto"/>
            <w:vAlign w:val="center"/>
          </w:tcPr>
          <w:p w:rsidR="00B1764D" w:rsidRPr="00871292" w:rsidRDefault="00B1764D" w:rsidP="008C4AE0">
            <w:pPr>
              <w:pStyle w:val="TableText0"/>
            </w:pPr>
            <w:r w:rsidRPr="00871292">
              <w:t>M03-606</w:t>
            </w:r>
          </w:p>
        </w:tc>
        <w:tc>
          <w:tcPr>
            <w:tcW w:w="222" w:type="pct"/>
            <w:shd w:val="clear" w:color="auto" w:fill="auto"/>
            <w:vAlign w:val="center"/>
          </w:tcPr>
          <w:p w:rsidR="00B1764D" w:rsidRPr="00871292" w:rsidRDefault="00B1764D" w:rsidP="008C4AE0">
            <w:pPr>
              <w:pStyle w:val="TableText0"/>
              <w:jc w:val="center"/>
            </w:pPr>
            <w:r w:rsidRPr="00871292">
              <w:t>82</w:t>
            </w:r>
          </w:p>
        </w:tc>
        <w:tc>
          <w:tcPr>
            <w:tcW w:w="1164" w:type="pct"/>
            <w:shd w:val="clear" w:color="auto" w:fill="auto"/>
            <w:vAlign w:val="center"/>
          </w:tcPr>
          <w:p w:rsidR="00B1764D" w:rsidRPr="00871292" w:rsidRDefault="00B1764D" w:rsidP="008C4AE0">
            <w:pPr>
              <w:pStyle w:val="TableText0"/>
              <w:jc w:val="center"/>
            </w:pPr>
            <w:r w:rsidRPr="00871292">
              <w:t>R, MC, PC, DB 24wk / OL extension; rescue ≥Wk 12</w:t>
            </w:r>
            <w:r w:rsidRPr="00871292">
              <w:rPr>
                <w:vertAlign w:val="superscript"/>
              </w:rPr>
              <w:t>d</w:t>
            </w:r>
          </w:p>
        </w:tc>
        <w:tc>
          <w:tcPr>
            <w:tcW w:w="358" w:type="pct"/>
            <w:shd w:val="clear" w:color="auto" w:fill="auto"/>
            <w:vAlign w:val="center"/>
          </w:tcPr>
          <w:p w:rsidR="00B1764D" w:rsidRPr="00871292" w:rsidRDefault="00B1764D" w:rsidP="008C4AE0">
            <w:pPr>
              <w:pStyle w:val="TableText0"/>
              <w:jc w:val="center"/>
            </w:pPr>
            <w:r w:rsidRPr="00871292">
              <w:t>Low</w:t>
            </w:r>
          </w:p>
        </w:tc>
        <w:tc>
          <w:tcPr>
            <w:tcW w:w="864" w:type="pct"/>
            <w:shd w:val="clear" w:color="auto" w:fill="auto"/>
            <w:vAlign w:val="center"/>
          </w:tcPr>
          <w:p w:rsidR="00B1764D" w:rsidRPr="00871292" w:rsidRDefault="00B1764D" w:rsidP="008C4AE0">
            <w:pPr>
              <w:pStyle w:val="TableText0"/>
            </w:pPr>
            <w:r w:rsidRPr="00871292">
              <w:t>ADA 40mg Q2W SC</w:t>
            </w:r>
          </w:p>
          <w:p w:rsidR="00B1764D" w:rsidRPr="00871292" w:rsidRDefault="00B1764D" w:rsidP="008C4AE0">
            <w:pPr>
              <w:pStyle w:val="TableText0"/>
            </w:pPr>
            <w:r w:rsidRPr="00871292">
              <w:t>PBO</w:t>
            </w:r>
          </w:p>
        </w:tc>
        <w:tc>
          <w:tcPr>
            <w:tcW w:w="708" w:type="pct"/>
            <w:shd w:val="clear" w:color="auto" w:fill="auto"/>
            <w:vAlign w:val="center"/>
          </w:tcPr>
          <w:p w:rsidR="00BD7FB6" w:rsidRPr="00871292" w:rsidRDefault="00B1764D" w:rsidP="00BD7FB6">
            <w:pPr>
              <w:pStyle w:val="TableText0"/>
              <w:jc w:val="center"/>
            </w:pPr>
            <w:r w:rsidRPr="00871292">
              <w:t>AS (mNY)</w:t>
            </w:r>
            <w:r w:rsidR="00BD7FB6" w:rsidRPr="00871292">
              <w:t>,</w:t>
            </w:r>
          </w:p>
          <w:p w:rsidR="00B1764D" w:rsidRPr="00871292" w:rsidRDefault="00BD7FB6" w:rsidP="00BD7FB6">
            <w:pPr>
              <w:pStyle w:val="TableText0"/>
              <w:jc w:val="center"/>
            </w:pPr>
            <w:r w:rsidRPr="00871292">
              <w:t>bDMARD naive</w:t>
            </w:r>
          </w:p>
        </w:tc>
        <w:tc>
          <w:tcPr>
            <w:tcW w:w="1151" w:type="pct"/>
            <w:shd w:val="clear" w:color="auto" w:fill="auto"/>
            <w:vAlign w:val="center"/>
          </w:tcPr>
          <w:p w:rsidR="00B1764D" w:rsidRPr="00871292" w:rsidRDefault="00B1764D" w:rsidP="008C4AE0">
            <w:pPr>
              <w:pStyle w:val="TableText0"/>
            </w:pPr>
            <w:r w:rsidRPr="00871292">
              <w:t>1°: ASAS20 (Wk 12)</w:t>
            </w:r>
          </w:p>
          <w:p w:rsidR="00B1764D" w:rsidRPr="00871292" w:rsidRDefault="00B1764D" w:rsidP="008C4AE0">
            <w:pPr>
              <w:pStyle w:val="TableText0"/>
            </w:pPr>
            <w:r w:rsidRPr="00871292">
              <w:t>2°: ASAS40, BASDAI50</w:t>
            </w:r>
          </w:p>
        </w:tc>
      </w:tr>
      <w:tr w:rsidR="00B1764D" w:rsidRPr="00871292" w:rsidTr="00BD7FB6">
        <w:trPr>
          <w:cantSplit/>
        </w:trPr>
        <w:tc>
          <w:tcPr>
            <w:tcW w:w="533" w:type="pct"/>
            <w:shd w:val="clear" w:color="auto" w:fill="auto"/>
            <w:vAlign w:val="center"/>
          </w:tcPr>
          <w:p w:rsidR="00B1764D" w:rsidRPr="00871292" w:rsidRDefault="00B1764D" w:rsidP="008C4AE0">
            <w:pPr>
              <w:pStyle w:val="TableText0"/>
            </w:pPr>
            <w:r w:rsidRPr="00871292">
              <w:t>Huang 2014</w:t>
            </w:r>
          </w:p>
        </w:tc>
        <w:tc>
          <w:tcPr>
            <w:tcW w:w="222" w:type="pct"/>
            <w:shd w:val="clear" w:color="auto" w:fill="auto"/>
            <w:vAlign w:val="center"/>
          </w:tcPr>
          <w:p w:rsidR="00B1764D" w:rsidRPr="00871292" w:rsidRDefault="00B1764D" w:rsidP="008C4AE0">
            <w:pPr>
              <w:pStyle w:val="TableText0"/>
              <w:jc w:val="center"/>
            </w:pPr>
            <w:r w:rsidRPr="00871292">
              <w:t>344</w:t>
            </w:r>
          </w:p>
        </w:tc>
        <w:tc>
          <w:tcPr>
            <w:tcW w:w="1164" w:type="pct"/>
            <w:shd w:val="clear" w:color="auto" w:fill="auto"/>
            <w:vAlign w:val="center"/>
          </w:tcPr>
          <w:p w:rsidR="00B1764D" w:rsidRPr="00871292" w:rsidRDefault="00B1764D" w:rsidP="008C4AE0">
            <w:pPr>
              <w:pStyle w:val="TableText0"/>
              <w:jc w:val="center"/>
            </w:pPr>
            <w:r w:rsidRPr="00871292">
              <w:t>R, MC PC, DB 12wk / OL extension</w:t>
            </w:r>
          </w:p>
        </w:tc>
        <w:tc>
          <w:tcPr>
            <w:tcW w:w="358" w:type="pct"/>
            <w:shd w:val="clear" w:color="auto" w:fill="auto"/>
            <w:vAlign w:val="center"/>
          </w:tcPr>
          <w:p w:rsidR="00B1764D" w:rsidRPr="00871292" w:rsidRDefault="00B1764D" w:rsidP="008C4AE0">
            <w:pPr>
              <w:pStyle w:val="TableText0"/>
              <w:jc w:val="center"/>
            </w:pPr>
            <w:r w:rsidRPr="00871292">
              <w:t>Low</w:t>
            </w:r>
          </w:p>
        </w:tc>
        <w:tc>
          <w:tcPr>
            <w:tcW w:w="864" w:type="pct"/>
            <w:shd w:val="clear" w:color="auto" w:fill="auto"/>
            <w:vAlign w:val="center"/>
          </w:tcPr>
          <w:p w:rsidR="00B1764D" w:rsidRPr="00871292" w:rsidRDefault="00B1764D" w:rsidP="008C4AE0">
            <w:pPr>
              <w:pStyle w:val="TableText0"/>
            </w:pPr>
            <w:r w:rsidRPr="00871292">
              <w:t>ADA 40mg Q2W SC</w:t>
            </w:r>
          </w:p>
          <w:p w:rsidR="00B1764D" w:rsidRPr="00871292" w:rsidRDefault="00B1764D" w:rsidP="008C4AE0">
            <w:pPr>
              <w:pStyle w:val="TableText0"/>
            </w:pPr>
            <w:r w:rsidRPr="00871292">
              <w:t>PBO</w:t>
            </w:r>
          </w:p>
        </w:tc>
        <w:tc>
          <w:tcPr>
            <w:tcW w:w="708" w:type="pct"/>
            <w:shd w:val="clear" w:color="auto" w:fill="auto"/>
            <w:vAlign w:val="center"/>
          </w:tcPr>
          <w:p w:rsidR="00BD7FB6" w:rsidRPr="00871292" w:rsidRDefault="00B1764D" w:rsidP="00BD7FB6">
            <w:pPr>
              <w:pStyle w:val="TableText0"/>
              <w:jc w:val="center"/>
            </w:pPr>
            <w:r w:rsidRPr="00871292">
              <w:t>AS (mNY)</w:t>
            </w:r>
            <w:r w:rsidR="00BD7FB6" w:rsidRPr="00871292">
              <w:t>,</w:t>
            </w:r>
          </w:p>
          <w:p w:rsidR="00B1764D" w:rsidRPr="00871292" w:rsidRDefault="00BD7FB6" w:rsidP="00BD7FB6">
            <w:pPr>
              <w:pStyle w:val="TableText0"/>
              <w:jc w:val="center"/>
            </w:pPr>
            <w:r w:rsidRPr="00871292">
              <w:t>bDMARD naive</w:t>
            </w:r>
          </w:p>
        </w:tc>
        <w:tc>
          <w:tcPr>
            <w:tcW w:w="1151" w:type="pct"/>
            <w:shd w:val="clear" w:color="auto" w:fill="auto"/>
            <w:vAlign w:val="center"/>
          </w:tcPr>
          <w:p w:rsidR="00B1764D" w:rsidRPr="00871292" w:rsidRDefault="00B1764D" w:rsidP="008C4AE0">
            <w:pPr>
              <w:pStyle w:val="TableText0"/>
            </w:pPr>
            <w:r w:rsidRPr="00871292">
              <w:t>1°: ASAS20 (Wk 12)</w:t>
            </w:r>
          </w:p>
          <w:p w:rsidR="00B1764D" w:rsidRPr="00871292" w:rsidRDefault="00B1764D" w:rsidP="008C4AE0">
            <w:pPr>
              <w:pStyle w:val="TableText0"/>
            </w:pPr>
            <w:r w:rsidRPr="00871292">
              <w:t>2°: ASAS40, BASDAI50</w:t>
            </w:r>
          </w:p>
        </w:tc>
      </w:tr>
      <w:tr w:rsidR="00B1764D" w:rsidRPr="00871292" w:rsidTr="00BD7FB6">
        <w:trPr>
          <w:cantSplit/>
        </w:trPr>
        <w:tc>
          <w:tcPr>
            <w:tcW w:w="533" w:type="pct"/>
            <w:shd w:val="clear" w:color="auto" w:fill="auto"/>
            <w:vAlign w:val="center"/>
          </w:tcPr>
          <w:p w:rsidR="00B1764D" w:rsidRPr="00871292" w:rsidRDefault="00B1764D" w:rsidP="008C4AE0">
            <w:pPr>
              <w:pStyle w:val="TableText0"/>
            </w:pPr>
            <w:r w:rsidRPr="00871292">
              <w:t>DANISH</w:t>
            </w:r>
          </w:p>
        </w:tc>
        <w:tc>
          <w:tcPr>
            <w:tcW w:w="222" w:type="pct"/>
            <w:shd w:val="clear" w:color="auto" w:fill="auto"/>
            <w:vAlign w:val="center"/>
          </w:tcPr>
          <w:p w:rsidR="00B1764D" w:rsidRPr="00871292" w:rsidRDefault="00B1764D" w:rsidP="008C4AE0">
            <w:pPr>
              <w:pStyle w:val="TableText0"/>
              <w:jc w:val="center"/>
            </w:pPr>
            <w:r w:rsidRPr="00871292">
              <w:t>52</w:t>
            </w:r>
          </w:p>
        </w:tc>
        <w:tc>
          <w:tcPr>
            <w:tcW w:w="1164" w:type="pct"/>
            <w:shd w:val="clear" w:color="auto" w:fill="auto"/>
            <w:vAlign w:val="center"/>
          </w:tcPr>
          <w:p w:rsidR="00B1764D" w:rsidRPr="00871292" w:rsidRDefault="00B1764D" w:rsidP="008C4AE0">
            <w:pPr>
              <w:pStyle w:val="TableText0"/>
              <w:jc w:val="center"/>
            </w:pPr>
            <w:r w:rsidRPr="00871292">
              <w:t>R, MC, PC, DB 12wk / OL extension</w:t>
            </w:r>
            <w:r w:rsidRPr="00871292">
              <w:rPr>
                <w:vertAlign w:val="superscript"/>
              </w:rPr>
              <w:t>f</w:t>
            </w:r>
          </w:p>
        </w:tc>
        <w:tc>
          <w:tcPr>
            <w:tcW w:w="358" w:type="pct"/>
            <w:shd w:val="clear" w:color="auto" w:fill="auto"/>
            <w:vAlign w:val="center"/>
          </w:tcPr>
          <w:p w:rsidR="00B1764D" w:rsidRPr="00871292" w:rsidRDefault="00B1764D" w:rsidP="008C4AE0">
            <w:pPr>
              <w:pStyle w:val="TableText0"/>
              <w:jc w:val="center"/>
            </w:pPr>
            <w:r w:rsidRPr="00871292">
              <w:t>Low</w:t>
            </w:r>
          </w:p>
        </w:tc>
        <w:tc>
          <w:tcPr>
            <w:tcW w:w="864" w:type="pct"/>
            <w:shd w:val="clear" w:color="auto" w:fill="auto"/>
            <w:vAlign w:val="center"/>
          </w:tcPr>
          <w:p w:rsidR="00B1764D" w:rsidRPr="00871292" w:rsidRDefault="00B1764D" w:rsidP="008C4AE0">
            <w:pPr>
              <w:pStyle w:val="TableText0"/>
            </w:pPr>
            <w:r w:rsidRPr="00871292">
              <w:t>ADA 40mg Q2W SC</w:t>
            </w:r>
          </w:p>
          <w:p w:rsidR="00B1764D" w:rsidRPr="00871292" w:rsidRDefault="00B1764D" w:rsidP="008C4AE0">
            <w:pPr>
              <w:pStyle w:val="TableText0"/>
            </w:pPr>
            <w:r w:rsidRPr="00871292">
              <w:t>PBO</w:t>
            </w:r>
          </w:p>
        </w:tc>
        <w:tc>
          <w:tcPr>
            <w:tcW w:w="708" w:type="pct"/>
            <w:shd w:val="clear" w:color="auto" w:fill="auto"/>
            <w:vAlign w:val="center"/>
          </w:tcPr>
          <w:p w:rsidR="00BD7FB6" w:rsidRPr="00871292" w:rsidRDefault="00B1764D" w:rsidP="00BD7FB6">
            <w:pPr>
              <w:pStyle w:val="TableText0"/>
              <w:jc w:val="center"/>
            </w:pPr>
            <w:r w:rsidRPr="00871292">
              <w:t>AS (ESSG)</w:t>
            </w:r>
            <w:r w:rsidRPr="00871292">
              <w:rPr>
                <w:vertAlign w:val="superscript"/>
              </w:rPr>
              <w:t>e</w:t>
            </w:r>
            <w:r w:rsidR="00BD7FB6" w:rsidRPr="00871292">
              <w:t>,</w:t>
            </w:r>
          </w:p>
          <w:p w:rsidR="00B1764D" w:rsidRPr="00871292" w:rsidRDefault="00BD7FB6" w:rsidP="00BD7FB6">
            <w:pPr>
              <w:pStyle w:val="TableText0"/>
              <w:jc w:val="center"/>
            </w:pPr>
            <w:r w:rsidRPr="00871292">
              <w:t>bDMARD naïve</w:t>
            </w:r>
          </w:p>
        </w:tc>
        <w:tc>
          <w:tcPr>
            <w:tcW w:w="1151" w:type="pct"/>
            <w:shd w:val="clear" w:color="auto" w:fill="auto"/>
            <w:vAlign w:val="center"/>
          </w:tcPr>
          <w:p w:rsidR="00B1764D" w:rsidRPr="00871292" w:rsidRDefault="00B1764D" w:rsidP="008C4AE0">
            <w:pPr>
              <w:pStyle w:val="TableText0"/>
            </w:pPr>
            <w:r w:rsidRPr="00871292">
              <w:t>1°: BASDAI50 (Wk 24)</w:t>
            </w:r>
          </w:p>
          <w:p w:rsidR="00B1764D" w:rsidRPr="00871292" w:rsidRDefault="00B1764D" w:rsidP="008C4AE0">
            <w:pPr>
              <w:pStyle w:val="TableText0"/>
            </w:pPr>
            <w:r w:rsidRPr="00871292">
              <w:t>other: BASDAI50 (Wk 12)</w:t>
            </w:r>
          </w:p>
        </w:tc>
      </w:tr>
      <w:tr w:rsidR="00B1764D" w:rsidRPr="00871292" w:rsidTr="00BD7FB6">
        <w:trPr>
          <w:cantSplit/>
        </w:trPr>
        <w:tc>
          <w:tcPr>
            <w:tcW w:w="533" w:type="pct"/>
            <w:shd w:val="clear" w:color="auto" w:fill="auto"/>
            <w:vAlign w:val="center"/>
          </w:tcPr>
          <w:p w:rsidR="00B1764D" w:rsidRPr="00871292" w:rsidRDefault="00B1764D" w:rsidP="008C4AE0">
            <w:pPr>
              <w:pStyle w:val="TableText0"/>
            </w:pPr>
            <w:r w:rsidRPr="00871292">
              <w:t>COAST-V</w:t>
            </w:r>
          </w:p>
        </w:tc>
        <w:tc>
          <w:tcPr>
            <w:tcW w:w="222" w:type="pct"/>
            <w:shd w:val="clear" w:color="auto" w:fill="auto"/>
            <w:vAlign w:val="center"/>
          </w:tcPr>
          <w:p w:rsidR="00B1764D" w:rsidRPr="00871292" w:rsidRDefault="00B1764D" w:rsidP="008C4AE0">
            <w:pPr>
              <w:pStyle w:val="TableText0"/>
              <w:jc w:val="center"/>
            </w:pPr>
            <w:r w:rsidRPr="00871292">
              <w:t>341</w:t>
            </w:r>
            <w:r w:rsidRPr="00871292">
              <w:rPr>
                <w:vertAlign w:val="superscript"/>
              </w:rPr>
              <w:t>h</w:t>
            </w:r>
          </w:p>
        </w:tc>
        <w:tc>
          <w:tcPr>
            <w:tcW w:w="1164" w:type="pct"/>
            <w:shd w:val="clear" w:color="auto" w:fill="auto"/>
            <w:vAlign w:val="center"/>
          </w:tcPr>
          <w:p w:rsidR="00B1764D" w:rsidRPr="00871292" w:rsidRDefault="00B1764D" w:rsidP="008C4AE0">
            <w:pPr>
              <w:pStyle w:val="TableText0"/>
              <w:jc w:val="center"/>
            </w:pPr>
            <w:r w:rsidRPr="00871292">
              <w:t>R, MC, PC, DB# 16wk / dose-blind extension</w:t>
            </w:r>
            <w:r w:rsidRPr="00871292">
              <w:rPr>
                <w:vertAlign w:val="superscript"/>
              </w:rPr>
              <w:t>k</w:t>
            </w:r>
          </w:p>
        </w:tc>
        <w:tc>
          <w:tcPr>
            <w:tcW w:w="358" w:type="pct"/>
            <w:shd w:val="clear" w:color="auto" w:fill="auto"/>
            <w:vAlign w:val="center"/>
          </w:tcPr>
          <w:p w:rsidR="00B1764D" w:rsidRPr="00871292" w:rsidRDefault="00B1764D" w:rsidP="008C4AE0">
            <w:pPr>
              <w:pStyle w:val="TableText0"/>
              <w:jc w:val="center"/>
            </w:pPr>
            <w:r w:rsidRPr="00871292">
              <w:t>Unclear</w:t>
            </w:r>
            <w:r w:rsidRPr="00871292">
              <w:rPr>
                <w:vertAlign w:val="superscript"/>
              </w:rPr>
              <w:t>i</w:t>
            </w:r>
          </w:p>
        </w:tc>
        <w:tc>
          <w:tcPr>
            <w:tcW w:w="864" w:type="pct"/>
            <w:shd w:val="clear" w:color="auto" w:fill="auto"/>
            <w:vAlign w:val="center"/>
          </w:tcPr>
          <w:p w:rsidR="00B1764D" w:rsidRPr="00871292" w:rsidRDefault="00B1764D" w:rsidP="008C4AE0">
            <w:pPr>
              <w:pStyle w:val="TableText0"/>
            </w:pPr>
            <w:r w:rsidRPr="00871292">
              <w:t>IXE 80mg Q2W SC</w:t>
            </w:r>
          </w:p>
          <w:p w:rsidR="00B1764D" w:rsidRPr="00871292" w:rsidRDefault="00B1764D" w:rsidP="008C4AE0">
            <w:pPr>
              <w:pStyle w:val="TableText0"/>
            </w:pPr>
            <w:r w:rsidRPr="00871292">
              <w:t>IXE 80mg Q4W SC</w:t>
            </w:r>
          </w:p>
          <w:p w:rsidR="00B1764D" w:rsidRPr="00871292" w:rsidRDefault="00B1764D" w:rsidP="008C4AE0">
            <w:pPr>
              <w:pStyle w:val="TableText0"/>
            </w:pPr>
            <w:r w:rsidRPr="00871292">
              <w:t>ADA 40mg Q2W SC</w:t>
            </w:r>
          </w:p>
          <w:p w:rsidR="00B1764D" w:rsidRPr="00871292" w:rsidRDefault="00B1764D" w:rsidP="008C4AE0">
            <w:pPr>
              <w:pStyle w:val="TableText0"/>
            </w:pPr>
            <w:r w:rsidRPr="00871292">
              <w:t>PBO</w:t>
            </w:r>
          </w:p>
        </w:tc>
        <w:tc>
          <w:tcPr>
            <w:tcW w:w="708" w:type="pct"/>
            <w:shd w:val="clear" w:color="auto" w:fill="auto"/>
            <w:vAlign w:val="center"/>
          </w:tcPr>
          <w:p w:rsidR="00BD7FB6" w:rsidRPr="00871292" w:rsidRDefault="00B1764D" w:rsidP="00BD7FB6">
            <w:pPr>
              <w:pStyle w:val="TableText0"/>
              <w:jc w:val="center"/>
            </w:pPr>
            <w:r w:rsidRPr="00871292">
              <w:t>AS (mNY)</w:t>
            </w:r>
            <w:r w:rsidRPr="00871292">
              <w:rPr>
                <w:vertAlign w:val="superscript"/>
              </w:rPr>
              <w:t>g</w:t>
            </w:r>
            <w:r w:rsidR="00BD7FB6" w:rsidRPr="00871292">
              <w:t>,</w:t>
            </w:r>
          </w:p>
          <w:p w:rsidR="00B1764D" w:rsidRPr="00871292" w:rsidRDefault="00BD7FB6" w:rsidP="00BD7FB6">
            <w:pPr>
              <w:pStyle w:val="TableText0"/>
              <w:jc w:val="center"/>
            </w:pPr>
            <w:r w:rsidRPr="00871292">
              <w:t>bDMARD naive</w:t>
            </w:r>
          </w:p>
        </w:tc>
        <w:tc>
          <w:tcPr>
            <w:tcW w:w="1151" w:type="pct"/>
            <w:shd w:val="clear" w:color="auto" w:fill="auto"/>
            <w:vAlign w:val="center"/>
          </w:tcPr>
          <w:p w:rsidR="00B1764D" w:rsidRPr="00871292" w:rsidRDefault="00B1764D" w:rsidP="008C4AE0">
            <w:pPr>
              <w:pStyle w:val="TableText0"/>
            </w:pPr>
            <w:r w:rsidRPr="00871292">
              <w:t>1°: ASAS40 (Wk 16)</w:t>
            </w:r>
          </w:p>
          <w:p w:rsidR="00B1764D" w:rsidRPr="00871292" w:rsidRDefault="00B1764D" w:rsidP="008C4AE0">
            <w:pPr>
              <w:pStyle w:val="TableText0"/>
            </w:pPr>
            <w:r w:rsidRPr="00871292">
              <w:t>2°: ASAS20, BASDAI50</w:t>
            </w:r>
          </w:p>
        </w:tc>
      </w:tr>
    </w:tbl>
    <w:p w:rsidR="00B1764D" w:rsidRPr="00871292" w:rsidRDefault="00B1764D" w:rsidP="00B1764D">
      <w:pPr>
        <w:pStyle w:val="TableFigureFooter"/>
      </w:pPr>
      <w:r w:rsidRPr="00871292">
        <w:t xml:space="preserve">Abbreviations: ADA=adalimumab; AS=ankylosing spondylitis; ASAS= Assessment of SpondyloArthritis international Society; ASAS20/40=Assessment of SpondyloArthritis international Society 20%/40% response criteria; ASDAS= Ankylosing Spondylitis Disease Activity Score; </w:t>
      </w:r>
      <w:r w:rsidR="00113490" w:rsidRPr="00871292">
        <w:t>}</w:t>
      </w:r>
      <w:r w:rsidRPr="00871292">
        <w:t xml:space="preserve">=axial spondyloarthritis; BASDAI(50)=50% improvement in Bath ankylosing spondylitis disease activity index; </w:t>
      </w:r>
      <w:r w:rsidR="005722F5" w:rsidRPr="00871292">
        <w:t xml:space="preserve">bDMARD=biologic Disease Modifying Anti-Rheumatic Drug; </w:t>
      </w:r>
      <w:r w:rsidRPr="00871292">
        <w:t>DB=double blind; ESSG=European Spondyloarthropathy Study Group; IXE=ixekizumab; MC=multi-centre; mNY=modified New York; MRI=magnetic resonance imaging; OL=open-label; PBO=placebo; PC=placebo control; R=randomised; SpA=spondyloarthritis; Tx=treatment; UPA=upadacitinib; D=daily; Q2W=every 2 weeks; wk=week;</w:t>
      </w:r>
      <w:r w:rsidR="00BB2B9C" w:rsidRPr="00871292">
        <w:t xml:space="preserve"> </w:t>
      </w:r>
    </w:p>
    <w:p w:rsidR="00B1764D" w:rsidRPr="00871292" w:rsidRDefault="00B1764D" w:rsidP="00B1764D">
      <w:pPr>
        <w:pStyle w:val="TableFigureFooter"/>
        <w:tabs>
          <w:tab w:val="left" w:pos="142"/>
        </w:tabs>
        <w:ind w:left="140" w:hanging="140"/>
      </w:pPr>
      <w:r w:rsidRPr="00871292">
        <w:t>#</w:t>
      </w:r>
      <w:r w:rsidRPr="00871292">
        <w:tab/>
        <w:t xml:space="preserve">COAST-V is double blind, double dummy design in which each active treatment has its own matched </w:t>
      </w:r>
      <w:r w:rsidR="0081463C" w:rsidRPr="00871292">
        <w:t>placebo</w:t>
      </w:r>
      <w:r w:rsidRPr="00871292">
        <w:t xml:space="preserve"> to preserve the blind</w:t>
      </w:r>
      <w:r w:rsidR="0081463C" w:rsidRPr="00871292">
        <w:t>.</w:t>
      </w:r>
    </w:p>
    <w:p w:rsidR="00B1764D" w:rsidRPr="00871292" w:rsidRDefault="00B1764D" w:rsidP="00B1764D">
      <w:pPr>
        <w:pStyle w:val="TableFigureFooter"/>
        <w:tabs>
          <w:tab w:val="left" w:pos="142"/>
        </w:tabs>
        <w:ind w:left="140" w:hanging="140"/>
      </w:pPr>
      <w:r w:rsidRPr="00871292">
        <w:t>a</w:t>
      </w:r>
      <w:r w:rsidRPr="00871292">
        <w:tab/>
        <w:t xml:space="preserve">At Wk 14, patients assigned to UPA received open-label UPA and patients </w:t>
      </w:r>
      <w:r w:rsidR="0081463C" w:rsidRPr="00871292">
        <w:t>on</w:t>
      </w:r>
      <w:r w:rsidRPr="00871292">
        <w:t xml:space="preserve"> placebo at baseline received open-label UPA. Starting Wk 16, patients who do not achieve at least an ASAS 20 response at two consecutive visits could add or modify doses of NSAIDs, acetaminophen/paracetamol, low potency opioids, and/or modify dose of methotrexate or sulfasalazine at Wk 20 or thereafter (after assessments have been performed). Change in dose or addition of DMARDs other than methotrexate or sulfasalazine was not permitted.</w:t>
      </w:r>
    </w:p>
    <w:p w:rsidR="00B1764D" w:rsidRPr="00871292" w:rsidRDefault="00B1764D" w:rsidP="00B1764D">
      <w:pPr>
        <w:pStyle w:val="TableFigureFooter"/>
        <w:tabs>
          <w:tab w:val="left" w:pos="142"/>
        </w:tabs>
        <w:ind w:left="140" w:hanging="140"/>
      </w:pPr>
      <w:r w:rsidRPr="00871292">
        <w:t>b</w:t>
      </w:r>
      <w:r w:rsidRPr="00871292">
        <w:tab/>
        <w:t xml:space="preserve">Patients must have clinical diagnosis of AS </w:t>
      </w:r>
      <w:r w:rsidR="0031720D" w:rsidRPr="00871292">
        <w:t xml:space="preserve">and </w:t>
      </w:r>
      <w:r w:rsidR="0081463C" w:rsidRPr="00871292">
        <w:t xml:space="preserve">fulfil </w:t>
      </w:r>
      <w:r w:rsidRPr="00871292">
        <w:t xml:space="preserve">mNY criteria for AS, which require </w:t>
      </w:r>
      <w:r w:rsidR="0031720D" w:rsidRPr="00871292">
        <w:t xml:space="preserve">meeting clinical criteria for AS and </w:t>
      </w:r>
      <w:r w:rsidRPr="00871292">
        <w:t>sacroiliitis on conventional radiographs.</w:t>
      </w:r>
    </w:p>
    <w:p w:rsidR="00B1764D" w:rsidRPr="00871292" w:rsidRDefault="00B1764D" w:rsidP="00B1764D">
      <w:pPr>
        <w:pStyle w:val="TableFigureFooter"/>
        <w:tabs>
          <w:tab w:val="left" w:pos="142"/>
        </w:tabs>
        <w:ind w:left="140" w:hanging="140"/>
      </w:pPr>
      <w:r w:rsidRPr="00871292">
        <w:t>c</w:t>
      </w:r>
      <w:r w:rsidRPr="00871292">
        <w:tab/>
        <w:t>Patients who failed to achieve ASAS20 at Wks 12, 16 or 20: i) continued blinded study medication through Wk 24, ii) received early escape therapy (i.e. open-label ADA 40 mg Q2W SC prior to Wk 24) or iii) discontinued from the study</w:t>
      </w:r>
      <w:r w:rsidR="00871292">
        <w:t xml:space="preserve">. </w:t>
      </w:r>
    </w:p>
    <w:p w:rsidR="00B1764D" w:rsidRPr="00871292" w:rsidRDefault="00B1764D" w:rsidP="00B1764D">
      <w:pPr>
        <w:pStyle w:val="TableFigureFooter"/>
        <w:tabs>
          <w:tab w:val="left" w:pos="142"/>
        </w:tabs>
        <w:ind w:left="140" w:hanging="140"/>
      </w:pPr>
      <w:r w:rsidRPr="00871292">
        <w:t>d</w:t>
      </w:r>
      <w:r w:rsidRPr="00871292">
        <w:tab/>
        <w:t>Patients who failed to achieve ASAS20 at Wks 12, or 16, or 20 could receive open-label ADA 40 mg Q2W SC prior to Wk 24.</w:t>
      </w:r>
    </w:p>
    <w:p w:rsidR="00B1764D" w:rsidRPr="00871292" w:rsidRDefault="00B1764D" w:rsidP="00B1764D">
      <w:pPr>
        <w:pStyle w:val="TableFigureFooter"/>
        <w:tabs>
          <w:tab w:val="left" w:pos="142"/>
        </w:tabs>
        <w:ind w:left="140" w:hanging="140"/>
      </w:pPr>
      <w:r w:rsidRPr="00871292">
        <w:t>e</w:t>
      </w:r>
      <w:r w:rsidRPr="00871292">
        <w:tab/>
        <w:t>Patients were included with axSpA according to the ESSG classification criteria and presence of sacroiliitis on conventional radiography or MRI</w:t>
      </w:r>
      <w:r w:rsidR="00871292">
        <w:t xml:space="preserve">. </w:t>
      </w:r>
      <w:r w:rsidRPr="00871292">
        <w:t>Of the 52 enrolled patients, 45 (86.5%) patients also fulfilled the mNY criteria for radiographic damage.</w:t>
      </w:r>
    </w:p>
    <w:p w:rsidR="00B1764D" w:rsidRPr="00871292" w:rsidRDefault="00B1764D" w:rsidP="00B1764D">
      <w:pPr>
        <w:pStyle w:val="TableFigureFooter"/>
        <w:tabs>
          <w:tab w:val="left" w:pos="142"/>
        </w:tabs>
        <w:ind w:left="140" w:hanging="140"/>
      </w:pPr>
      <w:r w:rsidRPr="00871292">
        <w:t>f</w:t>
      </w:r>
      <w:r w:rsidRPr="00871292">
        <w:tab/>
        <w:t>Clinical non-responders changed treatment at the discretion of the treating rheumatologist.</w:t>
      </w:r>
    </w:p>
    <w:p w:rsidR="00B1764D" w:rsidRPr="00871292" w:rsidRDefault="00B1764D" w:rsidP="00B1764D">
      <w:pPr>
        <w:pStyle w:val="TableFigureFooter"/>
        <w:tabs>
          <w:tab w:val="left" w:pos="142"/>
        </w:tabs>
        <w:ind w:left="140" w:hanging="140"/>
      </w:pPr>
      <w:r w:rsidRPr="00871292">
        <w:t>g</w:t>
      </w:r>
      <w:r w:rsidRPr="00871292">
        <w:tab/>
        <w:t>Patients must have sacroiliitis on radiograph by mNY criteria for AS and ≥1 SpA feature fulfilling ASAS criteria.</w:t>
      </w:r>
    </w:p>
    <w:p w:rsidR="00B1764D" w:rsidRPr="00871292" w:rsidRDefault="00B1764D" w:rsidP="00B1764D">
      <w:pPr>
        <w:pStyle w:val="TableFigureFooter"/>
        <w:tabs>
          <w:tab w:val="left" w:pos="142"/>
        </w:tabs>
        <w:ind w:left="140" w:hanging="140"/>
      </w:pPr>
      <w:r w:rsidRPr="00871292">
        <w:t>h</w:t>
      </w:r>
      <w:r w:rsidRPr="00871292">
        <w:tab/>
        <w:t>1 patient excluded due to allocation error. The patient did not meet criteria during screening and was accidentally randomly assigned to placebo and discontinued before receiving study drug. The patient was not counted as completing Wk 16 study treatment nor discontinuing treatment.</w:t>
      </w:r>
    </w:p>
    <w:p w:rsidR="00B1764D" w:rsidRPr="00871292" w:rsidRDefault="00B1764D" w:rsidP="00B1764D">
      <w:pPr>
        <w:pStyle w:val="TableFigureFooter"/>
        <w:tabs>
          <w:tab w:val="left" w:pos="142"/>
        </w:tabs>
        <w:ind w:left="140" w:hanging="140"/>
      </w:pPr>
      <w:r w:rsidRPr="00871292">
        <w:t>i</w:t>
      </w:r>
      <w:r w:rsidRPr="00871292">
        <w:tab/>
        <w:t>It was noted in the July 2020 PBAC meeting that COAST-V trial had several protocol deviations (paragraph 6.5 (Table 3), ixekizumab PSD July 2020 PBAC meeting): 4.7% of patients took incorrect study medication (6.2% in IXE Q4W arm vs. 2.2% in ADA and 4.6% in placebo), 0.6% had unqualified personnel perform assessments (1.1% in placebo and 1.1% in ADA vs. 0% in IXE Q4W arm), 5% did not have AS at screening (7.8% in ADA and 6.2% IXE Q4W vs. 4.6% in placebo), 1.5% did not have active AS (2.2% in ADA vs. 0% in IXE Q4W or placebo), and 11.7% provided improper informed consent (14.8% in IXE Q4W or 12.2% in ADA arms vs. 8% in placebo). The risk of bias was considered low for all other types of bias.</w:t>
      </w:r>
    </w:p>
    <w:p w:rsidR="00B1764D" w:rsidRPr="00871292" w:rsidRDefault="00B1764D" w:rsidP="00B1764D">
      <w:pPr>
        <w:pStyle w:val="TableFigureFooter"/>
        <w:tabs>
          <w:tab w:val="left" w:pos="142"/>
        </w:tabs>
        <w:ind w:left="140" w:hanging="140"/>
      </w:pPr>
      <w:r w:rsidRPr="00871292">
        <w:t>k</w:t>
      </w:r>
      <w:r w:rsidRPr="00871292">
        <w:tab/>
        <w:t>At Wk 16, patients entered ongoing extended treatment period (</w:t>
      </w:r>
      <w:r w:rsidR="0081463C" w:rsidRPr="00871292">
        <w:t>W</w:t>
      </w:r>
      <w:r w:rsidRPr="00871292">
        <w:t xml:space="preserve">ks 16 to 52), during which time patients in IXE groups remained on their assigned treatment and patients in placebo or ADA groups were randomly reassigned to receive one of the two IXE dosing regimens. All patients continued to receive masked treatment until </w:t>
      </w:r>
      <w:r w:rsidR="0081463C" w:rsidRPr="00871292">
        <w:t>W</w:t>
      </w:r>
      <w:r w:rsidRPr="00871292">
        <w:t>k 52.</w:t>
      </w:r>
    </w:p>
    <w:p w:rsidR="00B1764D" w:rsidRPr="00871292" w:rsidRDefault="00B1764D" w:rsidP="00B1764D">
      <w:pPr>
        <w:pStyle w:val="TableFigureFooter"/>
        <w:tabs>
          <w:tab w:val="left" w:pos="142"/>
        </w:tabs>
        <w:ind w:left="140" w:hanging="140"/>
      </w:pPr>
      <w:r w:rsidRPr="00871292">
        <w:t>Source: Table 2.4, pp41-44 of the submission.</w:t>
      </w:r>
    </w:p>
    <w:p w:rsidR="00533890" w:rsidRPr="00871292" w:rsidRDefault="00A53475" w:rsidP="005E22D9">
      <w:pPr>
        <w:pStyle w:val="3-BodyText"/>
      </w:pPr>
      <w:r w:rsidRPr="00871292">
        <w:t xml:space="preserve">All trials were multicentre, double blind, randomised placebo-controlled trials of UPA or ADA at TGA approved doses; except the COAST-V trial was designed to investigate efficacy of two doses of ixekizumab and included ADA as an active-control arm for </w:t>
      </w:r>
      <w:r w:rsidRPr="00871292">
        <w:lastRenderedPageBreak/>
        <w:t>comparison versus placebo (</w:t>
      </w:r>
      <w:r w:rsidRPr="00871292">
        <w:rPr>
          <w:iCs/>
        </w:rPr>
        <w:t>to evaluate the assay sensitivity of ADA and ixekizumab concurrently in one trial)</w:t>
      </w:r>
      <w:r w:rsidRPr="00871292">
        <w:t>.</w:t>
      </w:r>
    </w:p>
    <w:p w:rsidR="00533890" w:rsidRPr="00871292" w:rsidRDefault="00A53475" w:rsidP="00760EF1">
      <w:pPr>
        <w:pStyle w:val="3-BodyText"/>
      </w:pPr>
      <w:r w:rsidRPr="00871292">
        <w:t>The duration of the double blind phases across the trials ranged from 12 to 24 weeks, but all trials reported key clinical response outcomes at Weeks 12 to 16</w:t>
      </w:r>
      <w:r w:rsidR="00533890" w:rsidRPr="00871292">
        <w:t xml:space="preserve"> either as the primary or key secondary endpoints:</w:t>
      </w:r>
      <w:r w:rsidR="00760EF1" w:rsidRPr="00871292">
        <w:t xml:space="preserve"> </w:t>
      </w:r>
      <w:r w:rsidR="005E22D9" w:rsidRPr="00871292">
        <w:t xml:space="preserve">50% improvement in </w:t>
      </w:r>
      <w:r w:rsidR="00242419" w:rsidRPr="00871292">
        <w:t>Bath ankylosing spondylitis disease activity index (BASDAI</w:t>
      </w:r>
      <w:r w:rsidR="005E22D9" w:rsidRPr="00871292">
        <w:t>50</w:t>
      </w:r>
      <w:r w:rsidR="00242419" w:rsidRPr="00871292">
        <w:t>)</w:t>
      </w:r>
      <w:r w:rsidR="005E22D9" w:rsidRPr="00871292">
        <w:t>,</w:t>
      </w:r>
      <w:r w:rsidR="00760EF1" w:rsidRPr="00871292">
        <w:t xml:space="preserve"> and/or the </w:t>
      </w:r>
      <w:r w:rsidR="00760EF1" w:rsidRPr="00871292">
        <w:rPr>
          <w:iCs/>
        </w:rPr>
        <w:t>Assessment of SpondyloArthritis international Society</w:t>
      </w:r>
      <w:r w:rsidR="00242419" w:rsidRPr="00871292">
        <w:rPr>
          <w:iCs/>
        </w:rPr>
        <w:t xml:space="preserve"> 20</w:t>
      </w:r>
      <w:r w:rsidR="00242419" w:rsidRPr="00871292">
        <w:t xml:space="preserve">% </w:t>
      </w:r>
      <w:r w:rsidR="00760EF1" w:rsidRPr="00871292">
        <w:t xml:space="preserve">(ASAS20) and 40% (ASAS40) </w:t>
      </w:r>
      <w:r w:rsidR="00242419" w:rsidRPr="00871292">
        <w:t>response criteria</w:t>
      </w:r>
      <w:r w:rsidR="00760EF1" w:rsidRPr="00871292">
        <w:t>.</w:t>
      </w:r>
    </w:p>
    <w:p w:rsidR="0081463C" w:rsidRPr="00871292" w:rsidRDefault="0081463C" w:rsidP="0081463C">
      <w:pPr>
        <w:pStyle w:val="3-BodyText"/>
      </w:pPr>
      <w:r w:rsidRPr="00871292">
        <w:t xml:space="preserve">There were </w:t>
      </w:r>
      <w:r w:rsidR="00350560" w:rsidRPr="00871292">
        <w:t xml:space="preserve">some minor </w:t>
      </w:r>
      <w:r w:rsidRPr="00871292">
        <w:t>differences in study design across the trials</w:t>
      </w:r>
      <w:r w:rsidR="00350560" w:rsidRPr="00871292">
        <w:t xml:space="preserve"> in terms of</w:t>
      </w:r>
      <w:r w:rsidRPr="00871292">
        <w:t>:</w:t>
      </w:r>
    </w:p>
    <w:p w:rsidR="0081463C" w:rsidRPr="00871292" w:rsidRDefault="0081463C" w:rsidP="004814FF">
      <w:pPr>
        <w:pStyle w:val="3-BodyText"/>
        <w:numPr>
          <w:ilvl w:val="1"/>
          <w:numId w:val="15"/>
        </w:numPr>
      </w:pPr>
      <w:r w:rsidRPr="00871292">
        <w:t xml:space="preserve">Population. All the trials enrolled patients with AS </w:t>
      </w:r>
      <w:r w:rsidR="0039035D" w:rsidRPr="00871292">
        <w:t xml:space="preserve">with </w:t>
      </w:r>
      <w:r w:rsidRPr="00871292">
        <w:t>sacroiliitis on radiograph meeting the mNY criteria, except for DANISH trial, which included patients with axSpA according to the ESSG classification criteria and presence of sacroiliitis on conventional radiography or MRI. However, 45 (86.5%) patients</w:t>
      </w:r>
      <w:r w:rsidR="0039035D" w:rsidRPr="00871292">
        <w:t xml:space="preserve"> in DANISH</w:t>
      </w:r>
      <w:r w:rsidRPr="00871292">
        <w:t xml:space="preserve"> </w:t>
      </w:r>
      <w:r w:rsidR="0039035D" w:rsidRPr="00871292">
        <w:t xml:space="preserve">also </w:t>
      </w:r>
      <w:r w:rsidRPr="00871292">
        <w:t xml:space="preserve">fulfilled the mNY criteria for radiographic damage. </w:t>
      </w:r>
      <w:r w:rsidR="003C0373" w:rsidRPr="00871292">
        <w:t xml:space="preserve">In addition to sacroiliitis on radiograph, </w:t>
      </w:r>
      <w:r w:rsidRPr="00871292">
        <w:t xml:space="preserve">COAST-V </w:t>
      </w:r>
      <w:r w:rsidR="003C0373" w:rsidRPr="00871292">
        <w:t>required</w:t>
      </w:r>
      <w:r w:rsidRPr="00871292">
        <w:t xml:space="preserve"> ≥1 SpA feature (including inflammatory back pain, elevated </w:t>
      </w:r>
      <w:r w:rsidR="00FF4D74" w:rsidRPr="00871292">
        <w:t>C-reactive protein (CRP)</w:t>
      </w:r>
      <w:r w:rsidRPr="00871292">
        <w:t>, family history, response to NSAIDs or extraspinal manifestations) according to ASAS criteria (</w:t>
      </w:r>
      <w:r w:rsidRPr="00871292">
        <w:rPr>
          <w:iCs/>
        </w:rPr>
        <w:t>Rudwaleit et al. 2009</w:t>
      </w:r>
      <w:r w:rsidRPr="00871292">
        <w:rPr>
          <w:rStyle w:val="FootnoteReference"/>
          <w:iCs/>
        </w:rPr>
        <w:footnoteReference w:id="1"/>
      </w:r>
      <w:r w:rsidRPr="00871292">
        <w:rPr>
          <w:iCs/>
        </w:rPr>
        <w:t>)</w:t>
      </w:r>
      <w:r w:rsidRPr="00871292">
        <w:t>.</w:t>
      </w:r>
    </w:p>
    <w:p w:rsidR="00B1764D" w:rsidRPr="00871292" w:rsidRDefault="0081463C" w:rsidP="004814FF">
      <w:pPr>
        <w:pStyle w:val="3-BodyText"/>
        <w:numPr>
          <w:ilvl w:val="1"/>
          <w:numId w:val="15"/>
        </w:numPr>
      </w:pPr>
      <w:r w:rsidRPr="00871292">
        <w:t>Rescue / early escape and concomitant medications. ATLAS and M03-606 permitted early escape /rescue during the double-blind treatment phases</w:t>
      </w:r>
      <w:r w:rsidR="00871292">
        <w:t xml:space="preserve">. </w:t>
      </w:r>
      <w:r w:rsidRPr="00871292">
        <w:t xml:space="preserve">Patients who failed to achieve </w:t>
      </w:r>
      <w:r w:rsidR="00757D0E" w:rsidRPr="00871292">
        <w:t xml:space="preserve">ASAS20 response criteria </w:t>
      </w:r>
      <w:r w:rsidRPr="00871292">
        <w:t>at Weeks 12, 16 or 20 could receive early escape therapy with open-label ADA 40 mg Q2W SC prior to Week 24.</w:t>
      </w:r>
    </w:p>
    <w:p w:rsidR="00E57567" w:rsidRPr="00871292" w:rsidRDefault="00E57567" w:rsidP="00E57567">
      <w:pPr>
        <w:pStyle w:val="3-BodyText"/>
      </w:pPr>
      <w:r w:rsidRPr="00871292">
        <w:t xml:space="preserve">There were also some differences between enrolled patients in the trials and the proposed PBS population. For example, none of the trials required patients to complete an exercise program, although concomitant non-drug therapies (e.g. physiotherapy and hydrotherapy) were permitted in ATLAS, M03-606, Huang 2014 and COAST-V. The proportion of patients with inadequate response to prior NSAIDs was not reported in most trials, 99-100% in SELECT-AXIS 1 (inclusion criteria ≥2 NSAIDs) and 100% in Huang 2014 (inclusion criteria ≥1 NSAIDs). All the patients </w:t>
      </w:r>
      <w:r w:rsidR="00192FAD" w:rsidRPr="00871292">
        <w:t xml:space="preserve">in the trials </w:t>
      </w:r>
      <w:r w:rsidRPr="00871292">
        <w:t>were bDMARD (or TNFα inhibitor) naïve</w:t>
      </w:r>
      <w:r w:rsidR="00192FAD" w:rsidRPr="00871292">
        <w:t xml:space="preserve"> whereas the requested PBS population include</w:t>
      </w:r>
      <w:r w:rsidR="00D445FB" w:rsidRPr="00871292">
        <w:t>d</w:t>
      </w:r>
      <w:r w:rsidR="00192FAD" w:rsidRPr="00871292">
        <w:t xml:space="preserve"> </w:t>
      </w:r>
      <w:r w:rsidR="000B2357" w:rsidRPr="00871292">
        <w:t>bDMARD naïve and experienced (inadequate responder)</w:t>
      </w:r>
      <w:r w:rsidR="00C94EFE" w:rsidRPr="00871292">
        <w:t xml:space="preserve"> patients</w:t>
      </w:r>
      <w:r w:rsidRPr="00871292">
        <w:t>.</w:t>
      </w:r>
    </w:p>
    <w:p w:rsidR="00C71760" w:rsidRPr="00871292" w:rsidRDefault="00C627D2" w:rsidP="00E82BDC">
      <w:pPr>
        <w:pStyle w:val="3-BodyText"/>
      </w:pPr>
      <w:r w:rsidRPr="00871292">
        <w:t xml:space="preserve">Overall the risk of bias of the included trials were low with the exception of COAST-V which </w:t>
      </w:r>
      <w:r w:rsidR="00B344B4" w:rsidRPr="00871292">
        <w:t>reported</w:t>
      </w:r>
      <w:r w:rsidRPr="00871292">
        <w:t xml:space="preserve"> several protocol deviations</w:t>
      </w:r>
      <w:r w:rsidR="00B344B4" w:rsidRPr="00871292">
        <w:t xml:space="preserve">. </w:t>
      </w:r>
      <w:r w:rsidRPr="00871292">
        <w:t>The protocol deviations were similar between groups, but it is unclear the</w:t>
      </w:r>
      <w:r w:rsidR="009E44CF" w:rsidRPr="00871292">
        <w:t>ir</w:t>
      </w:r>
      <w:r w:rsidRPr="00871292">
        <w:t xml:space="preserve"> impact on the reliability of the trial results at 16 weeks. The submission presented results from the per-protocol analysis that excluded patients with protocol deviation as reported in the trial publication. However, the per-protocol set also excluded patients who were non-compliant, and </w:t>
      </w:r>
      <w:r w:rsidRPr="00871292">
        <w:lastRenderedPageBreak/>
        <w:t>whose investigator site had significant good clinical practice issues that required a report to the regulatory agencies prior to Week 16.</w:t>
      </w:r>
      <w:r w:rsidR="001B0DDA" w:rsidRPr="00871292">
        <w:t xml:space="preserve"> Nevertheless, results in the per-protocol population was consistent with the ITT (e.g. </w:t>
      </w:r>
      <w:r w:rsidR="00AB54DF" w:rsidRPr="00871292">
        <w:t>BASDAI50,</w:t>
      </w:r>
      <w:r w:rsidR="001B0DDA" w:rsidRPr="00871292">
        <w:t xml:space="preserve"> </w:t>
      </w:r>
      <w:r w:rsidR="00AB54DF" w:rsidRPr="00871292">
        <w:t xml:space="preserve">risk difference (RD): </w:t>
      </w:r>
      <w:r w:rsidR="001B0DDA" w:rsidRPr="00871292">
        <w:t>0.20, 95%CI: 0.07, 0.34 v 0.15, 95%CI: 0.02, 0.27)</w:t>
      </w:r>
      <w:r w:rsidR="0003275B" w:rsidRPr="00871292">
        <w:t xml:space="preserve"> (paragraph</w:t>
      </w:r>
      <w:r w:rsidR="00B21579" w:rsidRPr="00871292">
        <w:t xml:space="preserve"> 6.19 and Table 5, ixekizumab PSD July 2020 PBAC meeting)</w:t>
      </w:r>
      <w:r w:rsidR="001B0DDA" w:rsidRPr="00871292">
        <w:t>.</w:t>
      </w:r>
    </w:p>
    <w:p w:rsidR="00B60939" w:rsidRPr="00871292" w:rsidRDefault="00B60939" w:rsidP="00EC5836">
      <w:pPr>
        <w:pStyle w:val="4-SubsectionHeading"/>
        <w:rPr>
          <w:i w:val="0"/>
        </w:rPr>
      </w:pPr>
      <w:bookmarkStart w:id="12" w:name="_Toc22897641"/>
      <w:bookmarkStart w:id="13" w:name="_Toc59437731"/>
      <w:r w:rsidRPr="00871292">
        <w:rPr>
          <w:i w:val="0"/>
        </w:rPr>
        <w:t>Comparative effectiveness</w:t>
      </w:r>
      <w:bookmarkEnd w:id="12"/>
      <w:bookmarkEnd w:id="13"/>
    </w:p>
    <w:p w:rsidR="00FF4D74" w:rsidRPr="00871292" w:rsidRDefault="00FF4D74" w:rsidP="00A966A4">
      <w:pPr>
        <w:pStyle w:val="3-BodyText"/>
        <w:rPr>
          <w:iCs/>
        </w:rPr>
      </w:pPr>
      <w:r w:rsidRPr="00871292">
        <w:rPr>
          <w:iCs/>
        </w:rPr>
        <w:t xml:space="preserve">Under PBS </w:t>
      </w:r>
      <w:r w:rsidR="00A966A4" w:rsidRPr="00871292">
        <w:rPr>
          <w:iCs/>
        </w:rPr>
        <w:t>criteria</w:t>
      </w:r>
      <w:r w:rsidRPr="00871292">
        <w:rPr>
          <w:iCs/>
        </w:rPr>
        <w:t>, eligible patients for initial treatment must demonstrate failure to achieve an adequate response to NSAIDs defined as a BASDAI of at least 4 on a 0-10 scale and CRP level greater than 10 mg/L or elevated erythrocyte sedimentation rate (ESR) greater than 25 mm per hour. For continuing treatment, patients must demonstrate response to therapy, which is assessed after a minimum of 12 weeks following initial therapy (and every 24 weeks thereafter). Response is defined as a reduction from baseline in the BASDAI score by 2 or more units and one of the following: an ESR measurement no greater than 25 mm per hour, a CRP measurement no greater than 10 mg/L, or an ESR or CRP measurement reduced by at least 20% from baseline.</w:t>
      </w:r>
    </w:p>
    <w:p w:rsidR="00594D20" w:rsidRPr="00871292" w:rsidRDefault="00594D20" w:rsidP="007314E5">
      <w:pPr>
        <w:pStyle w:val="3-BodyText"/>
      </w:pPr>
      <w:r w:rsidRPr="00871292">
        <w:t xml:space="preserve">The trials did not report an outcome that fully aligned to the PBS continuation criteria but given all trials enrolled patients with a BASDAI score of ≥4 at baseline, a 50% improvement in the BASDAI (i.e. BASDAI50) corresponded to a reduction from baseline in the BASDAI score of ≥2. </w:t>
      </w:r>
      <w:r w:rsidRPr="00871292">
        <w:rPr>
          <w:rFonts w:cs="Times New Roman"/>
          <w:iCs/>
          <w:lang w:eastAsia="en-GB"/>
        </w:rPr>
        <w:t xml:space="preserve">The PBAC </w:t>
      </w:r>
      <w:r w:rsidR="007314E5" w:rsidRPr="00871292">
        <w:rPr>
          <w:rFonts w:cs="Times New Roman"/>
          <w:iCs/>
          <w:lang w:eastAsia="en-GB"/>
        </w:rPr>
        <w:t xml:space="preserve">had </w:t>
      </w:r>
      <w:r w:rsidRPr="00871292">
        <w:rPr>
          <w:rFonts w:cs="Times New Roman"/>
          <w:iCs/>
          <w:lang w:eastAsia="en-GB"/>
        </w:rPr>
        <w:t>considered ASAS20, ASAS40 and BASDAI50 as clinically relevant outcomes for assessing treatment response in AS</w:t>
      </w:r>
      <w:r w:rsidR="007314E5" w:rsidRPr="00871292">
        <w:rPr>
          <w:rFonts w:cs="Times New Roman"/>
          <w:iCs/>
          <w:lang w:eastAsia="en-GB"/>
        </w:rPr>
        <w:t>, and were</w:t>
      </w:r>
      <w:r w:rsidRPr="00871292">
        <w:rPr>
          <w:rFonts w:cs="Times New Roman"/>
          <w:iCs/>
          <w:lang w:eastAsia="en-GB"/>
        </w:rPr>
        <w:t xml:space="preserve"> used to support </w:t>
      </w:r>
      <w:r w:rsidR="00AF0878" w:rsidRPr="00871292">
        <w:rPr>
          <w:rFonts w:cs="Times New Roman"/>
          <w:iCs/>
          <w:lang w:eastAsia="en-GB"/>
        </w:rPr>
        <w:t>non-inferiority</w:t>
      </w:r>
      <w:r w:rsidRPr="00871292">
        <w:rPr>
          <w:rFonts w:cs="Times New Roman"/>
          <w:iCs/>
          <w:lang w:eastAsia="en-GB"/>
        </w:rPr>
        <w:t xml:space="preserve"> (</w:t>
      </w:r>
      <w:r w:rsidR="0072185E" w:rsidRPr="00871292">
        <w:rPr>
          <w:rFonts w:cs="Times New Roman"/>
          <w:iCs/>
          <w:lang w:eastAsia="en-GB"/>
        </w:rPr>
        <w:t xml:space="preserve">paragraph 12, </w:t>
      </w:r>
      <w:r w:rsidRPr="00871292">
        <w:rPr>
          <w:rFonts w:cs="Times New Roman"/>
          <w:iCs/>
          <w:lang w:eastAsia="en-GB"/>
        </w:rPr>
        <w:t xml:space="preserve">adalimumab PSD November 2006 PBAC meeting; </w:t>
      </w:r>
      <w:r w:rsidR="0072185E" w:rsidRPr="00871292">
        <w:rPr>
          <w:rFonts w:cs="Times New Roman"/>
          <w:iCs/>
          <w:lang w:eastAsia="en-GB"/>
        </w:rPr>
        <w:t xml:space="preserve">paragraph 12, </w:t>
      </w:r>
      <w:r w:rsidRPr="00871292">
        <w:rPr>
          <w:rFonts w:cs="Times New Roman"/>
          <w:iCs/>
          <w:lang w:eastAsia="en-GB"/>
        </w:rPr>
        <w:t xml:space="preserve">golimumab PSD March 2010 PBAC meeting; </w:t>
      </w:r>
      <w:r w:rsidR="0072185E" w:rsidRPr="00871292">
        <w:rPr>
          <w:rFonts w:cs="Times New Roman"/>
          <w:iCs/>
          <w:lang w:eastAsia="en-GB"/>
        </w:rPr>
        <w:t xml:space="preserve">paragraph 12, </w:t>
      </w:r>
      <w:r w:rsidRPr="00871292">
        <w:rPr>
          <w:rFonts w:cs="Times New Roman"/>
          <w:iCs/>
          <w:lang w:eastAsia="en-GB"/>
        </w:rPr>
        <w:t xml:space="preserve">certolizumab pegol PSD March 2015 PBAC meeting; </w:t>
      </w:r>
      <w:r w:rsidR="0072185E" w:rsidRPr="00871292">
        <w:rPr>
          <w:rFonts w:cs="Times New Roman"/>
          <w:iCs/>
          <w:lang w:eastAsia="en-GB"/>
        </w:rPr>
        <w:t xml:space="preserve">paragraph 6.27, </w:t>
      </w:r>
      <w:r w:rsidRPr="00871292">
        <w:rPr>
          <w:rFonts w:cs="Times New Roman"/>
          <w:iCs/>
          <w:lang w:eastAsia="en-GB"/>
        </w:rPr>
        <w:t>ixekizumab PSD July 2020 PBAC meeting).</w:t>
      </w:r>
    </w:p>
    <w:p w:rsidR="00594D20" w:rsidRPr="00871292" w:rsidRDefault="00A104F3" w:rsidP="00995419">
      <w:pPr>
        <w:pStyle w:val="3-BodyText"/>
      </w:pPr>
      <w:r w:rsidRPr="00871292">
        <w:t xml:space="preserve">The submission presented indirect treatment comparisons </w:t>
      </w:r>
      <w:r w:rsidR="007314E5" w:rsidRPr="00871292">
        <w:t xml:space="preserve">between UPA </w:t>
      </w:r>
      <w:r w:rsidR="00995419" w:rsidRPr="00871292">
        <w:t xml:space="preserve">15 mg D and ADA 40 mg Q2W </w:t>
      </w:r>
      <w:r w:rsidRPr="00871292">
        <w:t>for ASAS20, ASAS40 and BASDAI50 at Week 12 to 16</w:t>
      </w:r>
      <w:r w:rsidR="00B75EBF" w:rsidRPr="00871292">
        <w:t xml:space="preserve"> using a standard frequentist approach (as described by Bucher et al 1997)</w:t>
      </w:r>
      <w:r w:rsidR="007314E5" w:rsidRPr="00871292">
        <w:t>;</w:t>
      </w:r>
      <w:r w:rsidRPr="00871292">
        <w:t xml:space="preserve"> and </w:t>
      </w:r>
      <w:r w:rsidR="00594D20" w:rsidRPr="00871292">
        <w:t>nominated a non-inferiority margin of 0.43 using the relative risk (RR) for ASAS20</w:t>
      </w:r>
      <w:r w:rsidR="00360E41" w:rsidRPr="00871292">
        <w:t xml:space="preserve">. The PBAC had considered the same non-inferiority margin </w:t>
      </w:r>
      <w:r w:rsidR="00594D20" w:rsidRPr="00871292">
        <w:t>in past decisions of treatments for AS (page 4, certolizumab pegol PSD March 2014 PBAC meeting; paragraph 6.7, secukinumab PSD March 2016 PBAC meeting</w:t>
      </w:r>
      <w:r w:rsidR="0003275B" w:rsidRPr="00871292">
        <w:t>, paragraph 6.27 ixekizumab PSD July 2020 PBAC meeting</w:t>
      </w:r>
      <w:r w:rsidR="00594D20" w:rsidRPr="00871292">
        <w:t>). The submission did not nominate a non-inferiority margin for either BASDAI50 or ASAS40, and the PBAC has not clearly stated an acceptable margin for these outcomes in past decisions.</w:t>
      </w:r>
    </w:p>
    <w:p w:rsidR="003E4A25" w:rsidRPr="00871292" w:rsidRDefault="00594D20" w:rsidP="00FB2C64">
      <w:pPr>
        <w:pStyle w:val="3-BodyText"/>
      </w:pPr>
      <w:r w:rsidRPr="00871292">
        <w:t xml:space="preserve">Table 4 and Table 5 presents the </w:t>
      </w:r>
      <w:r w:rsidR="00B75EBF" w:rsidRPr="00871292">
        <w:t xml:space="preserve">results of the indirect comparisons </w:t>
      </w:r>
      <w:r w:rsidRPr="00871292">
        <w:t>for ASAS20/40 and BASDAI50 respectively</w:t>
      </w:r>
      <w:r w:rsidR="00871292">
        <w:t xml:space="preserve">. </w:t>
      </w:r>
      <w:r w:rsidR="003E4A25" w:rsidRPr="00871292">
        <w:t xml:space="preserve">For the analysis, the submission combined </w:t>
      </w:r>
      <w:r w:rsidR="0021299D" w:rsidRPr="00871292">
        <w:t xml:space="preserve">available </w:t>
      </w:r>
      <w:r w:rsidR="003E4A25" w:rsidRPr="00871292">
        <w:t>results across ADA trials using a random effects model</w:t>
      </w:r>
      <w:r w:rsidR="00871292">
        <w:t xml:space="preserve">. </w:t>
      </w:r>
      <w:r w:rsidR="003E4A25" w:rsidRPr="00871292">
        <w:rPr>
          <w:iCs/>
        </w:rPr>
        <w:t>The analysis presented in the submission used results at Week 14 for UPA and Week 12 or 16 for ADA</w:t>
      </w:r>
      <w:r w:rsidR="0021299D" w:rsidRPr="00871292">
        <w:rPr>
          <w:iCs/>
        </w:rPr>
        <w:t>; r</w:t>
      </w:r>
      <w:r w:rsidR="00E82BDC" w:rsidRPr="00871292">
        <w:rPr>
          <w:iCs/>
        </w:rPr>
        <w:t>esults at Week 12 (where reported) were calculated during the evaluation and presented as sensitivity analyses below.</w:t>
      </w:r>
      <w:r w:rsidR="0021299D" w:rsidRPr="00871292">
        <w:rPr>
          <w:iCs/>
        </w:rPr>
        <w:t xml:space="preserve"> </w:t>
      </w:r>
      <w:r w:rsidR="00FB2C64" w:rsidRPr="00871292">
        <w:rPr>
          <w:iCs/>
        </w:rPr>
        <w:t xml:space="preserve">For COAST-V, the ASAS20/40 response rates reported </w:t>
      </w:r>
      <w:r w:rsidR="00FB2C64" w:rsidRPr="00871292">
        <w:rPr>
          <w:iCs/>
        </w:rPr>
        <w:lastRenderedPageBreak/>
        <w:t xml:space="preserve">differed slightly between the trial publication and </w:t>
      </w:r>
      <w:r w:rsidR="0021299D" w:rsidRPr="00871292">
        <w:rPr>
          <w:iCs/>
        </w:rPr>
        <w:t>clinical study report</w:t>
      </w:r>
      <w:r w:rsidR="00FB2C64" w:rsidRPr="00871292">
        <w:rPr>
          <w:iCs/>
        </w:rPr>
        <w:t>; the submission presented results from the publication and results from the clinical study report were calculated during the evaluation as another sensitivity analysis.</w:t>
      </w:r>
    </w:p>
    <w:p w:rsidR="00594D20" w:rsidRPr="00871292" w:rsidRDefault="00594D20">
      <w:pPr>
        <w:jc w:val="left"/>
        <w:rPr>
          <w:rFonts w:asciiTheme="minorHAnsi" w:hAnsiTheme="minorHAnsi"/>
          <w:i/>
          <w:snapToGrid w:val="0"/>
        </w:rPr>
      </w:pPr>
      <w:r w:rsidRPr="00871292">
        <w:rPr>
          <w:i/>
        </w:rPr>
        <w:br w:type="page"/>
      </w:r>
    </w:p>
    <w:p w:rsidR="00594D20" w:rsidRPr="00871292" w:rsidRDefault="00594D20" w:rsidP="00594D20">
      <w:pPr>
        <w:widowControl w:val="0"/>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lastRenderedPageBreak/>
        <w:t>Table 4: ASAS20 and ASAS40 response in patients with AS (ITT)</w:t>
      </w:r>
    </w:p>
    <w:tbl>
      <w:tblPr>
        <w:tblStyle w:val="TableGrid"/>
        <w:tblW w:w="5000" w:type="pct"/>
        <w:tblLayout w:type="fixed"/>
        <w:tblCellMar>
          <w:left w:w="28" w:type="dxa"/>
          <w:right w:w="28" w:type="dxa"/>
        </w:tblCellMar>
        <w:tblLook w:val="04A0" w:firstRow="1" w:lastRow="0" w:firstColumn="1" w:lastColumn="0" w:noHBand="0" w:noVBand="1"/>
        <w:tblCaption w:val="Table 4: ASAS20 and ASAS40 response in patients with AS (ITT)"/>
      </w:tblPr>
      <w:tblGrid>
        <w:gridCol w:w="3261"/>
        <w:gridCol w:w="1134"/>
        <w:gridCol w:w="1276"/>
        <w:gridCol w:w="1276"/>
        <w:gridCol w:w="1417"/>
        <w:gridCol w:w="663"/>
      </w:tblGrid>
      <w:tr w:rsidR="00594D20" w:rsidRPr="00871292" w:rsidTr="001D64E8">
        <w:trPr>
          <w:tblHeader/>
        </w:trPr>
        <w:tc>
          <w:tcPr>
            <w:tcW w:w="1806" w:type="pct"/>
            <w:tcBorders>
              <w:top w:val="single" w:sz="4" w:space="0" w:color="auto"/>
              <w:left w:val="nil"/>
              <w:bottom w:val="single" w:sz="4" w:space="0" w:color="auto"/>
              <w:right w:val="nil"/>
            </w:tcBorders>
            <w:vAlign w:val="center"/>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Trial</w:t>
            </w:r>
          </w:p>
        </w:tc>
        <w:tc>
          <w:tcPr>
            <w:tcW w:w="628" w:type="pct"/>
            <w:tcBorders>
              <w:top w:val="single" w:sz="4" w:space="0" w:color="auto"/>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Drug</w:t>
            </w:r>
          </w:p>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n/N (%)</w:t>
            </w:r>
          </w:p>
        </w:tc>
        <w:tc>
          <w:tcPr>
            <w:tcW w:w="706" w:type="pct"/>
            <w:tcBorders>
              <w:top w:val="single" w:sz="4" w:space="0" w:color="auto"/>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Control</w:t>
            </w:r>
          </w:p>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n/N (%)</w:t>
            </w:r>
          </w:p>
        </w:tc>
        <w:tc>
          <w:tcPr>
            <w:tcW w:w="707" w:type="pct"/>
            <w:tcBorders>
              <w:top w:val="single" w:sz="4" w:space="0" w:color="auto"/>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t>RR</w:t>
            </w:r>
          </w:p>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(95%CI)</w:t>
            </w:r>
          </w:p>
        </w:tc>
        <w:tc>
          <w:tcPr>
            <w:tcW w:w="785" w:type="pct"/>
            <w:tcBorders>
              <w:top w:val="single" w:sz="4" w:space="0" w:color="auto"/>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t>RD</w:t>
            </w:r>
          </w:p>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(95%CI)</w:t>
            </w:r>
          </w:p>
        </w:tc>
        <w:tc>
          <w:tcPr>
            <w:tcW w:w="368" w:type="pct"/>
            <w:tcBorders>
              <w:top w:val="single" w:sz="4" w:space="0" w:color="auto"/>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t>NNT</w:t>
            </w:r>
          </w:p>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(95%CI)</w:t>
            </w:r>
          </w:p>
        </w:tc>
      </w:tr>
      <w:tr w:rsidR="00594D20" w:rsidRPr="00871292" w:rsidTr="008C4AE0">
        <w:tc>
          <w:tcPr>
            <w:tcW w:w="5000" w:type="pct"/>
            <w:gridSpan w:val="6"/>
            <w:tcBorders>
              <w:top w:val="single" w:sz="4" w:space="0" w:color="auto"/>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b/>
                <w:bCs/>
                <w:snapToGrid w:val="0"/>
                <w:color w:val="CC0000"/>
                <w:sz w:val="20"/>
                <w:szCs w:val="20"/>
                <w:lang w:eastAsia="en-US"/>
              </w:rPr>
              <w:t>ASAS20</w:t>
            </w:r>
          </w:p>
        </w:tc>
      </w:tr>
      <w:tr w:rsidR="00594D20" w:rsidRPr="00871292" w:rsidTr="00DF1C7B">
        <w:tc>
          <w:tcPr>
            <w:tcW w:w="3141" w:type="pct"/>
            <w:gridSpan w:val="3"/>
            <w:tcBorders>
              <w:top w:val="nil"/>
              <w:left w:val="nil"/>
              <w:bottom w:val="nil"/>
              <w:right w:val="nil"/>
            </w:tcBorders>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COMPARISON: UPA 15mg D v PBO</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SELECT-AXIS 1 (n=187), Wk 14</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60/93 (64.5)</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38/94 (40.4)</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1.60 (1.20, 2.13)</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0.24 (0.10, 0.38)</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4 (10,3)</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i/>
                <w:snapToGrid w:val="0"/>
                <w:sz w:val="20"/>
                <w:szCs w:val="20"/>
                <w:lang w:eastAsia="en-US"/>
              </w:rPr>
              <w:t>SA: SELECT-AXIS 1 (n=187), Wk 12</w:t>
            </w:r>
            <w:r w:rsidRPr="00871292">
              <w:rPr>
                <w:rFonts w:cs="Calibri"/>
                <w:i/>
                <w:snapToGrid w:val="0"/>
                <w:sz w:val="20"/>
                <w:szCs w:val="20"/>
                <w:vertAlign w:val="superscript"/>
                <w:lang w:eastAsia="en-US"/>
              </w:rPr>
              <w:t>‡</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58/93 (62.4)</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37/94 (39.4)</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1.58 (1.18, 2.13)</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0.23 (0.09, 0.37)</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4 (11,3)</w:t>
            </w:r>
          </w:p>
        </w:tc>
      </w:tr>
      <w:tr w:rsidR="00594D20" w:rsidRPr="00871292" w:rsidTr="00DF1C7B">
        <w:tc>
          <w:tcPr>
            <w:tcW w:w="3141" w:type="pct"/>
            <w:gridSpan w:val="3"/>
            <w:tcBorders>
              <w:top w:val="nil"/>
              <w:left w:val="nil"/>
              <w:bottom w:val="nil"/>
              <w:right w:val="nil"/>
            </w:tcBorders>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COMPARISON: ADA 40mg Q2W v PBO</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ATLAS (n=315), Wk 12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121/208 (58.2)</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22/107 (20.6)</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2.83 (1.92, 4.18)</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0.38 (0.27, 0.48)</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 (4,2)</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M03-606 (n=82), Wk 12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18/38 (47.4)</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12/44 (27.3)</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Cs/>
                <w:snapToGrid w:val="0"/>
                <w:sz w:val="20"/>
                <w:szCs w:val="20"/>
                <w:lang w:eastAsia="en-US"/>
              </w:rPr>
            </w:pPr>
            <w:r w:rsidRPr="00871292">
              <w:rPr>
                <w:rFonts w:ascii="Arial Narrow" w:hAnsi="Arial Narrow"/>
                <w:bCs/>
                <w:snapToGrid w:val="0"/>
                <w:sz w:val="20"/>
                <w:szCs w:val="20"/>
                <w:lang w:eastAsia="en-US"/>
              </w:rPr>
              <w:t>1.74 (0.97, 3.13)</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Cs/>
                <w:snapToGrid w:val="0"/>
                <w:sz w:val="20"/>
                <w:szCs w:val="20"/>
                <w:lang w:eastAsia="en-US"/>
              </w:rPr>
            </w:pPr>
            <w:r w:rsidRPr="00871292">
              <w:rPr>
                <w:rFonts w:ascii="Arial Narrow" w:hAnsi="Arial Narrow"/>
                <w:bCs/>
                <w:snapToGrid w:val="0"/>
                <w:sz w:val="20"/>
                <w:szCs w:val="20"/>
                <w:lang w:eastAsia="en-US"/>
              </w:rPr>
              <w:t>0.20 (-0.01, 0.41)</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Huang 2014 (n=344)</w:t>
            </w:r>
            <w:r w:rsidRPr="00871292">
              <w:rPr>
                <w:rFonts w:ascii="Arial Narrow" w:hAnsi="Arial Narrow"/>
                <w:snapToGrid w:val="0"/>
                <w:sz w:val="20"/>
                <w:szCs w:val="20"/>
                <w:vertAlign w:val="superscript"/>
                <w:lang w:eastAsia="en-US"/>
              </w:rPr>
              <w:t>#</w:t>
            </w:r>
            <w:r w:rsidRPr="00871292">
              <w:rPr>
                <w:rFonts w:ascii="Arial Narrow" w:hAnsi="Arial Narrow"/>
                <w:snapToGrid w:val="0"/>
                <w:sz w:val="20"/>
                <w:szCs w:val="20"/>
                <w:lang w:eastAsia="en-US"/>
              </w:rPr>
              <w:t>, Wk 12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154/229 (67.2)</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35/115 (30.4)</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2.21 (1.65, 2.96)</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0.37 (0.26, 0.47)</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 (4,2)</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COAST-V (n=177)^, Wk 16</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53/90 (58.9)</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35/87 (40.2)</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1.46 (1.07, 1.99)</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0.19 (0.04, 0.33)</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5 (25,3)</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i/>
                <w:snapToGrid w:val="0"/>
                <w:sz w:val="20"/>
                <w:szCs w:val="20"/>
                <w:lang w:eastAsia="en-US"/>
              </w:rPr>
            </w:pPr>
            <w:r w:rsidRPr="00871292">
              <w:rPr>
                <w:rFonts w:ascii="Arial Narrow" w:hAnsi="Arial Narrow"/>
                <w:i/>
                <w:snapToGrid w:val="0"/>
                <w:sz w:val="20"/>
                <w:szCs w:val="20"/>
                <w:lang w:eastAsia="en-US"/>
              </w:rPr>
              <w:t>SA: COAST-V (n=177)^, Wk 12</w:t>
            </w:r>
            <w:r w:rsidRPr="00871292">
              <w:rPr>
                <w:rFonts w:ascii="Arial Narrow" w:hAnsi="Arial Narrow" w:cs="Calibri"/>
                <w:i/>
                <w:snapToGrid w:val="0"/>
                <w:sz w:val="20"/>
                <w:szCs w:val="20"/>
                <w:vertAlign w:val="superscript"/>
                <w:lang w:eastAsia="en-US"/>
              </w:rPr>
              <w:t>§</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53/90 (58.9)</w:t>
            </w:r>
          </w:p>
        </w:tc>
        <w:tc>
          <w:tcPr>
            <w:tcW w:w="706" w:type="pct"/>
            <w:tcBorders>
              <w:top w:val="nil"/>
              <w:left w:val="nil"/>
              <w:bottom w:val="nil"/>
              <w:right w:val="nil"/>
            </w:tcBorders>
            <w:vAlign w:val="center"/>
          </w:tcPr>
          <w:p w:rsidR="00594D20" w:rsidRPr="00871292" w:rsidRDefault="00594D20" w:rsidP="00995419">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32/87 (3</w:t>
            </w:r>
            <w:r w:rsidR="00995419" w:rsidRPr="00871292">
              <w:rPr>
                <w:rFonts w:ascii="Arial Narrow" w:hAnsi="Arial Narrow"/>
                <w:i/>
                <w:snapToGrid w:val="0"/>
                <w:sz w:val="20"/>
                <w:szCs w:val="20"/>
                <w:lang w:eastAsia="en-US"/>
              </w:rPr>
              <w:t>6.8</w:t>
            </w:r>
            <w:r w:rsidR="003939B0" w:rsidRPr="00871292">
              <w:rPr>
                <w:rFonts w:ascii="Arial Narrow" w:hAnsi="Arial Narrow"/>
                <w:i/>
                <w:snapToGrid w:val="0"/>
                <w:sz w:val="20"/>
                <w:szCs w:val="20"/>
                <w:lang w:eastAsia="en-US"/>
              </w:rPr>
              <w:t>)</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1.60 (1.16, 2.22)</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0.22 (0.08, 0.36)</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5 (13,3)</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jc w:val="right"/>
              <w:rPr>
                <w:rFonts w:ascii="Arial Narrow" w:hAnsi="Arial Narrow"/>
                <w:i/>
                <w:snapToGrid w:val="0"/>
                <w:sz w:val="20"/>
                <w:szCs w:val="20"/>
                <w:lang w:eastAsia="en-US"/>
              </w:rPr>
            </w:pPr>
            <w:r w:rsidRPr="00871292">
              <w:rPr>
                <w:rFonts w:ascii="Arial Narrow" w:hAnsi="Arial Narrow"/>
                <w:snapToGrid w:val="0"/>
                <w:sz w:val="20"/>
                <w:szCs w:val="20"/>
                <w:lang w:eastAsia="en-US"/>
              </w:rPr>
              <w:t>Meta-analysis (Wk 12/16)</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snapToGrid w:val="0"/>
                <w:sz w:val="20"/>
                <w:szCs w:val="20"/>
                <w:lang w:eastAsia="en-US"/>
              </w:rPr>
              <w:t>346/565 (61.2)</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snapToGrid w:val="0"/>
                <w:sz w:val="20"/>
                <w:szCs w:val="20"/>
                <w:lang w:eastAsia="en-US"/>
              </w:rPr>
              <w:t>104/353 (29.5)</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snapToGrid w:val="0"/>
                <w:sz w:val="20"/>
                <w:szCs w:val="20"/>
                <w:lang w:eastAsia="en-US"/>
              </w:rPr>
              <w:t>2.00 (1.48, 2.72)</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snapToGrid w:val="0"/>
                <w:sz w:val="20"/>
                <w:szCs w:val="20"/>
                <w:lang w:eastAsia="en-US"/>
              </w:rPr>
              <w:t>0.30 (0.21, 0.40)</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snapToGrid w:val="0"/>
                <w:sz w:val="20"/>
                <w:szCs w:val="20"/>
                <w:lang w:eastAsia="en-US"/>
              </w:rPr>
              <w:t>3 (5,3)</w:t>
            </w:r>
          </w:p>
        </w:tc>
      </w:tr>
      <w:tr w:rsidR="00594D20" w:rsidRPr="00871292" w:rsidTr="00DF1C7B">
        <w:tc>
          <w:tcPr>
            <w:tcW w:w="1806" w:type="pct"/>
            <w:tcBorders>
              <w:top w:val="nil"/>
              <w:left w:val="nil"/>
              <w:bottom w:val="single" w:sz="4" w:space="0" w:color="auto"/>
              <w:right w:val="nil"/>
            </w:tcBorders>
          </w:tcPr>
          <w:p w:rsidR="00594D20" w:rsidRPr="00871292" w:rsidRDefault="00594D20" w:rsidP="008C4AE0">
            <w:pPr>
              <w:widowControl w:val="0"/>
              <w:jc w:val="right"/>
              <w:rPr>
                <w:rFonts w:ascii="Arial Narrow" w:hAnsi="Arial Narrow"/>
                <w:snapToGrid w:val="0"/>
                <w:sz w:val="20"/>
                <w:szCs w:val="20"/>
                <w:lang w:eastAsia="en-US"/>
              </w:rPr>
            </w:pPr>
            <w:r w:rsidRPr="00871292">
              <w:rPr>
                <w:rFonts w:ascii="Arial Narrow" w:hAnsi="Arial Narrow"/>
                <w:i/>
                <w:snapToGrid w:val="0"/>
                <w:sz w:val="20"/>
                <w:szCs w:val="20"/>
                <w:lang w:eastAsia="en-US"/>
              </w:rPr>
              <w:t xml:space="preserve">SA: Meta-analysis (Wk 12) </w:t>
            </w:r>
          </w:p>
        </w:tc>
        <w:tc>
          <w:tcPr>
            <w:tcW w:w="628" w:type="pct"/>
            <w:tcBorders>
              <w:top w:val="nil"/>
              <w:left w:val="nil"/>
              <w:bottom w:val="single" w:sz="4" w:space="0" w:color="auto"/>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i/>
                <w:snapToGrid w:val="0"/>
                <w:sz w:val="20"/>
                <w:szCs w:val="20"/>
                <w:lang w:eastAsia="en-US"/>
              </w:rPr>
              <w:t>346/565 (61.2)</w:t>
            </w:r>
          </w:p>
        </w:tc>
        <w:tc>
          <w:tcPr>
            <w:tcW w:w="706" w:type="pct"/>
            <w:tcBorders>
              <w:top w:val="nil"/>
              <w:left w:val="nil"/>
              <w:bottom w:val="single" w:sz="4" w:space="0" w:color="auto"/>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i/>
                <w:snapToGrid w:val="0"/>
                <w:sz w:val="20"/>
                <w:szCs w:val="20"/>
                <w:lang w:eastAsia="en-US"/>
              </w:rPr>
              <w:t>101/353 (28.6)</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i/>
                <w:snapToGrid w:val="0"/>
                <w:sz w:val="20"/>
                <w:szCs w:val="20"/>
                <w:lang w:eastAsia="en-US"/>
              </w:rPr>
              <w:t>2.06 (1.60, 2.67)</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i/>
                <w:snapToGrid w:val="0"/>
                <w:sz w:val="20"/>
                <w:szCs w:val="20"/>
                <w:lang w:eastAsia="en-US"/>
              </w:rPr>
              <w:t>0.32 (0.23, 0.40)</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i/>
                <w:snapToGrid w:val="0"/>
                <w:sz w:val="20"/>
                <w:szCs w:val="20"/>
                <w:lang w:eastAsia="en-US"/>
              </w:rPr>
              <w:t>3 (4,3)</w:t>
            </w:r>
          </w:p>
        </w:tc>
      </w:tr>
      <w:tr w:rsidR="00594D20" w:rsidRPr="00871292" w:rsidTr="008C4AE0">
        <w:tc>
          <w:tcPr>
            <w:tcW w:w="5000" w:type="pct"/>
            <w:gridSpan w:val="6"/>
            <w:tcBorders>
              <w:top w:val="single" w:sz="4" w:space="0" w:color="auto"/>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b/>
                <w:bCs/>
                <w:snapToGrid w:val="0"/>
                <w:color w:val="0070C0"/>
                <w:sz w:val="20"/>
                <w:szCs w:val="20"/>
                <w:lang w:eastAsia="en-US"/>
              </w:rPr>
              <w:t>ASAS40</w:t>
            </w:r>
          </w:p>
        </w:tc>
      </w:tr>
      <w:tr w:rsidR="00594D20" w:rsidRPr="00871292" w:rsidTr="00DF1C7B">
        <w:tc>
          <w:tcPr>
            <w:tcW w:w="3141" w:type="pct"/>
            <w:gridSpan w:val="3"/>
            <w:tcBorders>
              <w:top w:val="nil"/>
              <w:left w:val="nil"/>
              <w:bottom w:val="nil"/>
              <w:right w:val="nil"/>
            </w:tcBorders>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COMPARISON: UPA 15mg D v PBO</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SELECT-AXIS 1 (n=187), Wk 14</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48/93 (51.6)</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24/94 (25.5)</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2.02 (1.36, 3.01)</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0.26 (0.13, 0.40)</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4 (8,3)</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i/>
                <w:snapToGrid w:val="0"/>
                <w:sz w:val="20"/>
                <w:szCs w:val="20"/>
                <w:lang w:eastAsia="en-US"/>
              </w:rPr>
            </w:pPr>
            <w:r w:rsidRPr="00871292">
              <w:rPr>
                <w:rFonts w:ascii="Arial Narrow" w:hAnsi="Arial Narrow"/>
                <w:i/>
                <w:snapToGrid w:val="0"/>
                <w:sz w:val="20"/>
                <w:szCs w:val="20"/>
                <w:lang w:eastAsia="en-US"/>
              </w:rPr>
              <w:t>SA: SELECT-AXIS 1 (n=187), Wk 12</w:t>
            </w:r>
            <w:r w:rsidRPr="00871292">
              <w:rPr>
                <w:rFonts w:cs="Calibri"/>
                <w:i/>
                <w:snapToGrid w:val="0"/>
                <w:sz w:val="20"/>
                <w:szCs w:val="20"/>
                <w:vertAlign w:val="superscript"/>
                <w:lang w:eastAsia="en-US"/>
              </w:rPr>
              <w:t>‡</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47/93 (50.5)</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13/94 (13.8)</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3.65 (2.12, 6.29)</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0.37 (0.24, 0.49)</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3 (4,2)</w:t>
            </w:r>
          </w:p>
        </w:tc>
      </w:tr>
      <w:tr w:rsidR="00594D20" w:rsidRPr="00871292" w:rsidTr="00DF1C7B">
        <w:tc>
          <w:tcPr>
            <w:tcW w:w="3141" w:type="pct"/>
            <w:gridSpan w:val="3"/>
            <w:tcBorders>
              <w:top w:val="nil"/>
              <w:left w:val="nil"/>
              <w:bottom w:val="nil"/>
              <w:right w:val="nil"/>
            </w:tcBorders>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COMPARISON: ADA 40mg Q2W v PBO</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ATLAS (n=315), Wk 12 (publication)</w:t>
            </w:r>
            <w:r w:rsidRPr="00871292">
              <w:rPr>
                <w:rFonts w:ascii="Arial Narrow" w:hAnsi="Arial Narrow"/>
                <w:snapToGrid w:val="0"/>
                <w:sz w:val="20"/>
                <w:szCs w:val="20"/>
                <w:vertAlign w:val="superscript"/>
                <w:lang w:eastAsia="en-US"/>
              </w:rPr>
              <w:t>b</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83/20</w:t>
            </w:r>
            <w:r w:rsidRPr="00871292">
              <w:rPr>
                <w:rFonts w:ascii="Arial Narrow" w:hAnsi="Arial Narrow"/>
                <w:i/>
                <w:snapToGrid w:val="0"/>
                <w:sz w:val="20"/>
                <w:szCs w:val="20"/>
                <w:lang w:eastAsia="en-US"/>
              </w:rPr>
              <w:t>8</w:t>
            </w:r>
            <w:r w:rsidRPr="00871292">
              <w:rPr>
                <w:rFonts w:ascii="Arial Narrow" w:hAnsi="Arial Narrow"/>
                <w:snapToGrid w:val="0"/>
                <w:sz w:val="20"/>
                <w:szCs w:val="20"/>
                <w:lang w:eastAsia="en-US"/>
              </w:rPr>
              <w:t xml:space="preserve"> (39.9)</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14/107 (13.1)</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3.05 (1.82, 5.11)</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0.27 (0.18, 0.36)</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4 (6,3)</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i/>
                <w:snapToGrid w:val="0"/>
                <w:sz w:val="20"/>
                <w:szCs w:val="20"/>
                <w:lang w:eastAsia="en-US"/>
              </w:rPr>
            </w:pPr>
            <w:r w:rsidRPr="00871292">
              <w:rPr>
                <w:rFonts w:ascii="Arial Narrow" w:hAnsi="Arial Narrow"/>
                <w:i/>
                <w:snapToGrid w:val="0"/>
                <w:sz w:val="20"/>
                <w:szCs w:val="20"/>
                <w:lang w:eastAsia="en-US"/>
              </w:rPr>
              <w:t>SA: ATLAS (n=315), Wk 12 (CSR)</w:t>
            </w:r>
            <w:r w:rsidRPr="00871292">
              <w:rPr>
                <w:rFonts w:ascii="Arial Narrow" w:hAnsi="Arial Narrow"/>
                <w:i/>
                <w:snapToGrid w:val="0"/>
                <w:sz w:val="20"/>
                <w:szCs w:val="20"/>
                <w:vertAlign w:val="superscript"/>
                <w:lang w:eastAsia="en-US"/>
              </w:rPr>
              <w:t>bθ</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i/>
                <w:snapToGrid w:val="0"/>
                <w:sz w:val="20"/>
                <w:szCs w:val="20"/>
                <w:lang w:eastAsia="en-US"/>
              </w:rPr>
              <w:t>85</w:t>
            </w:r>
            <w:r w:rsidRPr="00871292">
              <w:rPr>
                <w:rFonts w:ascii="Arial Narrow" w:hAnsi="Arial Narrow"/>
                <w:snapToGrid w:val="0"/>
                <w:sz w:val="20"/>
                <w:szCs w:val="20"/>
                <w:lang w:eastAsia="en-US"/>
              </w:rPr>
              <w:t>/208 (</w:t>
            </w:r>
            <w:r w:rsidRPr="00871292">
              <w:rPr>
                <w:rFonts w:ascii="Arial Narrow" w:hAnsi="Arial Narrow"/>
                <w:i/>
                <w:snapToGrid w:val="0"/>
                <w:sz w:val="20"/>
                <w:szCs w:val="20"/>
                <w:lang w:eastAsia="en-US"/>
              </w:rPr>
              <w:t>40.9</w:t>
            </w:r>
            <w:r w:rsidRPr="00871292">
              <w:rPr>
                <w:rFonts w:ascii="Arial Narrow" w:hAnsi="Arial Narrow"/>
                <w:snapToGrid w:val="0"/>
                <w:sz w:val="20"/>
                <w:szCs w:val="20"/>
                <w:lang w:eastAsia="en-US"/>
              </w:rPr>
              <w:t>)</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vertAlign w:val="superscript"/>
                <w:lang w:eastAsia="en-US"/>
              </w:rPr>
            </w:pPr>
            <w:r w:rsidRPr="00871292">
              <w:rPr>
                <w:rFonts w:ascii="Arial Narrow" w:hAnsi="Arial Narrow"/>
                <w:i/>
                <w:snapToGrid w:val="0"/>
                <w:sz w:val="20"/>
                <w:szCs w:val="20"/>
                <w:lang w:eastAsia="en-US"/>
              </w:rPr>
              <w:t>15</w:t>
            </w:r>
            <w:r w:rsidRPr="00871292">
              <w:rPr>
                <w:rFonts w:ascii="Arial Narrow" w:hAnsi="Arial Narrow"/>
                <w:snapToGrid w:val="0"/>
                <w:sz w:val="20"/>
                <w:szCs w:val="20"/>
                <w:lang w:eastAsia="en-US"/>
              </w:rPr>
              <w:t>/107 (</w:t>
            </w:r>
            <w:r w:rsidRPr="00871292">
              <w:rPr>
                <w:rFonts w:ascii="Arial Narrow" w:hAnsi="Arial Narrow"/>
                <w:i/>
                <w:snapToGrid w:val="0"/>
                <w:sz w:val="20"/>
                <w:szCs w:val="20"/>
                <w:lang w:eastAsia="en-US"/>
              </w:rPr>
              <w:t>14.0</w:t>
            </w:r>
            <w:r w:rsidRPr="00871292">
              <w:rPr>
                <w:rFonts w:ascii="Arial Narrow" w:hAnsi="Arial Narrow"/>
                <w:snapToGrid w:val="0"/>
                <w:sz w:val="20"/>
                <w:szCs w:val="20"/>
                <w:lang w:eastAsia="en-US"/>
              </w:rPr>
              <w:t>)</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2.92 (1.77, 4.79)</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0.27 (0.17, 0.36)</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4 (6,3)</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M03-606 (n=82), Wk 12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17/38 (44.7)</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4/44 (9.1)</w:t>
            </w:r>
          </w:p>
        </w:tc>
        <w:tc>
          <w:tcPr>
            <w:tcW w:w="707" w:type="pct"/>
            <w:tcBorders>
              <w:top w:val="nil"/>
              <w:left w:val="nil"/>
              <w:bottom w:val="nil"/>
              <w:right w:val="nil"/>
            </w:tcBorders>
            <w:vAlign w:val="center"/>
          </w:tcPr>
          <w:p w:rsidR="00594D20" w:rsidRPr="00871292" w:rsidRDefault="00594D20" w:rsidP="00DF1C7B">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4.92(1.81,13.36)</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0.36 (0.18, 0.54)</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 (6,2)</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Huang 2014 (n=344), Wk 12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102/229 (44.5)</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11/115 (9.6)</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4.66 (2.61, 8.32)</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0.35 (0.27, 0.43)</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 (4,2)</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COAST-V (n=177)^, Wk 16</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32/90 (35.6)</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16/87 (18.4)</w:t>
            </w:r>
          </w:p>
        </w:tc>
        <w:tc>
          <w:tcPr>
            <w:tcW w:w="707" w:type="pct"/>
            <w:tcBorders>
              <w:top w:val="nil"/>
              <w:left w:val="nil"/>
              <w:bottom w:val="nil"/>
              <w:right w:val="nil"/>
            </w:tcBorders>
            <w:vAlign w:val="center"/>
          </w:tcPr>
          <w:p w:rsidR="00594D20" w:rsidRPr="00871292" w:rsidRDefault="00594D20" w:rsidP="00DF1C7B">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1.93 (1.15,3.26)</w:t>
            </w:r>
            <w:r w:rsidRPr="00871292">
              <w:rPr>
                <w:rFonts w:ascii="Arial Narrow" w:hAnsi="Arial Narrow"/>
                <w:b/>
                <w:bCs/>
                <w:i/>
                <w:snapToGrid w:val="0"/>
                <w:sz w:val="20"/>
                <w:szCs w:val="20"/>
                <w:vertAlign w:val="superscript"/>
                <w:lang w:eastAsia="en-US"/>
              </w:rPr>
              <w:t>a</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0.17 (0.04, 0.30)</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6 (25,3)</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rPr>
                <w:rFonts w:ascii="Arial Narrow" w:hAnsi="Arial Narrow"/>
                <w:i/>
                <w:snapToGrid w:val="0"/>
                <w:sz w:val="20"/>
                <w:szCs w:val="20"/>
                <w:lang w:eastAsia="en-US"/>
              </w:rPr>
            </w:pPr>
            <w:r w:rsidRPr="00871292">
              <w:rPr>
                <w:rFonts w:ascii="Arial Narrow" w:hAnsi="Arial Narrow"/>
                <w:i/>
                <w:snapToGrid w:val="0"/>
                <w:sz w:val="20"/>
                <w:szCs w:val="20"/>
                <w:lang w:eastAsia="en-US"/>
              </w:rPr>
              <w:t>SA: COAST-V (n=177)^, Wk 12</w:t>
            </w:r>
            <w:r w:rsidRPr="00871292">
              <w:rPr>
                <w:rFonts w:ascii="Arial Narrow" w:hAnsi="Arial Narrow" w:cs="Calibri"/>
                <w:i/>
                <w:snapToGrid w:val="0"/>
                <w:sz w:val="20"/>
                <w:szCs w:val="20"/>
                <w:vertAlign w:val="superscript"/>
                <w:lang w:eastAsia="en-US"/>
              </w:rPr>
              <w:t>§</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32/90 (35.6)</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14/87 (16.1)</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2.21 (1.27, 3.85)</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0.19 (0.07, 0.32)</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5 (14,3)</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jc w:val="right"/>
              <w:rPr>
                <w:rFonts w:ascii="Arial Narrow" w:hAnsi="Arial Narrow"/>
                <w:snapToGrid w:val="0"/>
                <w:sz w:val="20"/>
                <w:szCs w:val="20"/>
                <w:lang w:eastAsia="en-US"/>
              </w:rPr>
            </w:pPr>
            <w:r w:rsidRPr="00871292">
              <w:rPr>
                <w:rFonts w:ascii="Arial Narrow" w:hAnsi="Arial Narrow"/>
                <w:snapToGrid w:val="0"/>
                <w:sz w:val="20"/>
                <w:szCs w:val="20"/>
                <w:lang w:eastAsia="en-US"/>
              </w:rPr>
              <w:t>Meta-analysis (Wk 12/16)</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234/565 (41.4)</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45/353 (12.7)</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3.19 (2.06, 4.94)</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0.29 (0.21, 0.37)</w:t>
            </w:r>
          </w:p>
        </w:tc>
        <w:tc>
          <w:tcPr>
            <w:tcW w:w="36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 (5,3)</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jc w:val="right"/>
              <w:rPr>
                <w:rFonts w:ascii="Arial Narrow" w:hAnsi="Arial Narrow"/>
                <w:i/>
                <w:snapToGrid w:val="0"/>
                <w:sz w:val="20"/>
                <w:szCs w:val="20"/>
                <w:lang w:eastAsia="en-US"/>
              </w:rPr>
            </w:pPr>
            <w:r w:rsidRPr="00871292">
              <w:rPr>
                <w:rFonts w:ascii="Arial Narrow" w:hAnsi="Arial Narrow"/>
                <w:i/>
                <w:snapToGrid w:val="0"/>
                <w:sz w:val="20"/>
                <w:szCs w:val="20"/>
                <w:lang w:eastAsia="en-US"/>
              </w:rPr>
              <w:t>SA: Meta-analysis (Wk 12/16, ATLAS CSR)</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236/565 (41.8)</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46/353 (13.0)</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3.15 (2.04, 4.86)</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0.29 (0.21, 0.37)</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3 (5,3)</w:t>
            </w:r>
          </w:p>
        </w:tc>
      </w:tr>
      <w:tr w:rsidR="00594D20" w:rsidRPr="00871292" w:rsidTr="00DF1C7B">
        <w:tc>
          <w:tcPr>
            <w:tcW w:w="1806" w:type="pct"/>
            <w:tcBorders>
              <w:top w:val="nil"/>
              <w:left w:val="nil"/>
              <w:bottom w:val="nil"/>
              <w:right w:val="nil"/>
            </w:tcBorders>
          </w:tcPr>
          <w:p w:rsidR="00594D20" w:rsidRPr="00871292" w:rsidRDefault="00594D20" w:rsidP="008C4AE0">
            <w:pPr>
              <w:widowControl w:val="0"/>
              <w:jc w:val="right"/>
              <w:rPr>
                <w:rFonts w:ascii="Arial Narrow" w:hAnsi="Arial Narrow"/>
                <w:i/>
                <w:snapToGrid w:val="0"/>
                <w:sz w:val="20"/>
                <w:szCs w:val="20"/>
                <w:lang w:eastAsia="en-US"/>
              </w:rPr>
            </w:pPr>
            <w:r w:rsidRPr="00871292">
              <w:rPr>
                <w:rFonts w:ascii="Arial Narrow" w:hAnsi="Arial Narrow"/>
                <w:i/>
                <w:snapToGrid w:val="0"/>
                <w:sz w:val="20"/>
                <w:szCs w:val="20"/>
                <w:lang w:eastAsia="en-US"/>
              </w:rPr>
              <w:t xml:space="preserve">SA: Meta-analysis (Wk 12, ATLAS CSR) </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236/565 (41.8)</w:t>
            </w:r>
          </w:p>
        </w:tc>
        <w:tc>
          <w:tcPr>
            <w:tcW w:w="706"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44/353 (12.5)</w:t>
            </w:r>
          </w:p>
        </w:tc>
        <w:tc>
          <w:tcPr>
            <w:tcW w:w="707" w:type="pct"/>
            <w:tcBorders>
              <w:top w:val="nil"/>
              <w:left w:val="nil"/>
              <w:bottom w:val="double" w:sz="4" w:space="0" w:color="auto"/>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3.25 (2.25, 4.68)</w:t>
            </w:r>
          </w:p>
        </w:tc>
        <w:tc>
          <w:tcPr>
            <w:tcW w:w="785" w:type="pct"/>
            <w:tcBorders>
              <w:top w:val="nil"/>
              <w:left w:val="nil"/>
              <w:bottom w:val="double" w:sz="4" w:space="0" w:color="auto"/>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0.29 (0.22, 0.36)</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3 (5,3)</w:t>
            </w:r>
          </w:p>
        </w:tc>
      </w:tr>
      <w:tr w:rsidR="00594D20" w:rsidRPr="00871292" w:rsidTr="00DF1C7B">
        <w:tc>
          <w:tcPr>
            <w:tcW w:w="3141" w:type="pct"/>
            <w:gridSpan w:val="3"/>
            <w:tcBorders>
              <w:top w:val="double" w:sz="4" w:space="0" w:color="auto"/>
              <w:left w:val="nil"/>
              <w:bottom w:val="double" w:sz="4" w:space="0" w:color="auto"/>
              <w:right w:val="nil"/>
            </w:tcBorders>
            <w:vAlign w:val="center"/>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Indirect comparisons</w:t>
            </w:r>
          </w:p>
        </w:tc>
        <w:tc>
          <w:tcPr>
            <w:tcW w:w="707" w:type="pct"/>
            <w:tcBorders>
              <w:top w:val="double" w:sz="4" w:space="0" w:color="auto"/>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double" w:sz="4" w:space="0" w:color="auto"/>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368" w:type="pct"/>
            <w:tcBorders>
              <w:top w:val="double" w:sz="4" w:space="0" w:color="auto"/>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DF1C7B">
        <w:tc>
          <w:tcPr>
            <w:tcW w:w="3141" w:type="pct"/>
            <w:gridSpan w:val="3"/>
            <w:tcBorders>
              <w:top w:val="double" w:sz="4" w:space="0" w:color="auto"/>
              <w:left w:val="nil"/>
              <w:bottom w:val="nil"/>
              <w:right w:val="nil"/>
            </w:tcBorders>
            <w:vAlign w:val="center"/>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color w:val="CC0000"/>
                <w:sz w:val="20"/>
                <w:szCs w:val="20"/>
                <w:lang w:eastAsia="en-US"/>
              </w:rPr>
              <w:t>PBS population with AS: ASAS20</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DF1C7B">
        <w:tc>
          <w:tcPr>
            <w:tcW w:w="3141" w:type="pct"/>
            <w:gridSpan w:val="3"/>
            <w:tcBorders>
              <w:top w:val="nil"/>
              <w:left w:val="nil"/>
              <w:bottom w:val="nil"/>
              <w:right w:val="nil"/>
            </w:tcBorders>
            <w:vAlign w:val="center"/>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UPA (Wk 14) v ADA (Wk 12/16)</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0.80 (0.53, 1.22)</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-0.06 (-0.23, 0.11)</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NA</w:t>
            </w:r>
          </w:p>
        </w:tc>
      </w:tr>
      <w:tr w:rsidR="00594D20" w:rsidRPr="00871292" w:rsidTr="00DF1C7B">
        <w:tc>
          <w:tcPr>
            <w:tcW w:w="3141" w:type="pct"/>
            <w:gridSpan w:val="3"/>
            <w:tcBorders>
              <w:top w:val="nil"/>
              <w:left w:val="nil"/>
              <w:bottom w:val="nil"/>
              <w:right w:val="nil"/>
            </w:tcBorders>
            <w:vAlign w:val="center"/>
          </w:tcPr>
          <w:p w:rsidR="00594D20" w:rsidRPr="00871292" w:rsidRDefault="00594D20" w:rsidP="008C4AE0">
            <w:pPr>
              <w:widowControl w:val="0"/>
              <w:rPr>
                <w:rFonts w:ascii="Arial Narrow" w:hAnsi="Arial Narrow"/>
                <w:i/>
                <w:snapToGrid w:val="0"/>
                <w:sz w:val="20"/>
                <w:szCs w:val="20"/>
                <w:lang w:eastAsia="en-US"/>
              </w:rPr>
            </w:pPr>
            <w:r w:rsidRPr="00871292">
              <w:rPr>
                <w:rFonts w:ascii="Arial Narrow" w:hAnsi="Arial Narrow"/>
                <w:i/>
                <w:snapToGrid w:val="0"/>
                <w:sz w:val="20"/>
                <w:szCs w:val="20"/>
                <w:lang w:eastAsia="en-US"/>
              </w:rPr>
              <w:t>SA: UPA (Wk 12) v ADA (Wk 12)</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0.77 (0.52, 1.13)</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-0.09 (-0.25, 0.07)</w:t>
            </w:r>
          </w:p>
        </w:tc>
        <w:tc>
          <w:tcPr>
            <w:tcW w:w="368" w:type="pct"/>
            <w:tcBorders>
              <w:top w:val="nil"/>
              <w:left w:val="nil"/>
              <w:bottom w:val="nil"/>
              <w:right w:val="nil"/>
            </w:tcBorders>
          </w:tcPr>
          <w:p w:rsidR="00594D20" w:rsidRPr="00871292" w:rsidRDefault="00594D20" w:rsidP="008C4AE0">
            <w:pPr>
              <w:widowControl w:val="0"/>
              <w:ind w:left="-55" w:firstLine="55"/>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NA</w:t>
            </w:r>
          </w:p>
        </w:tc>
      </w:tr>
      <w:tr w:rsidR="00594D20" w:rsidRPr="00871292" w:rsidTr="00DF1C7B">
        <w:tc>
          <w:tcPr>
            <w:tcW w:w="3141" w:type="pct"/>
            <w:gridSpan w:val="3"/>
            <w:tcBorders>
              <w:top w:val="nil"/>
              <w:left w:val="nil"/>
              <w:bottom w:val="nil"/>
              <w:right w:val="nil"/>
            </w:tcBorders>
            <w:vAlign w:val="center"/>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b/>
                <w:bCs/>
                <w:snapToGrid w:val="0"/>
                <w:color w:val="0070C0"/>
                <w:sz w:val="20"/>
                <w:szCs w:val="20"/>
                <w:lang w:eastAsia="en-US"/>
              </w:rPr>
              <w:t>PBS population with AS: ASAS40</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DF1C7B">
        <w:tc>
          <w:tcPr>
            <w:tcW w:w="3141" w:type="pct"/>
            <w:gridSpan w:val="3"/>
            <w:tcBorders>
              <w:top w:val="nil"/>
              <w:left w:val="nil"/>
              <w:bottom w:val="nil"/>
              <w:right w:val="nil"/>
            </w:tcBorders>
            <w:vAlign w:val="center"/>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UPA (Wk 14) v ADA (Wk 12/16)</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0.63 (0.35, 1.14)</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-0.03 (-0.19, 0.13)</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NA</w:t>
            </w:r>
          </w:p>
        </w:tc>
      </w:tr>
      <w:tr w:rsidR="00594D20" w:rsidRPr="00871292" w:rsidTr="00DF1C7B">
        <w:tc>
          <w:tcPr>
            <w:tcW w:w="3141" w:type="pct"/>
            <w:gridSpan w:val="3"/>
            <w:tcBorders>
              <w:top w:val="nil"/>
              <w:left w:val="nil"/>
              <w:bottom w:val="nil"/>
              <w:right w:val="nil"/>
            </w:tcBorders>
            <w:vAlign w:val="center"/>
          </w:tcPr>
          <w:p w:rsidR="00594D20" w:rsidRPr="00871292" w:rsidRDefault="00594D20" w:rsidP="008C4AE0">
            <w:pPr>
              <w:widowControl w:val="0"/>
              <w:rPr>
                <w:rFonts w:ascii="Arial Narrow" w:hAnsi="Arial Narrow"/>
                <w:i/>
                <w:snapToGrid w:val="0"/>
                <w:sz w:val="20"/>
                <w:szCs w:val="20"/>
                <w:lang w:eastAsia="en-US"/>
              </w:rPr>
            </w:pPr>
            <w:r w:rsidRPr="00871292">
              <w:rPr>
                <w:rFonts w:ascii="Arial Narrow" w:hAnsi="Arial Narrow"/>
                <w:i/>
                <w:snapToGrid w:val="0"/>
                <w:sz w:val="20"/>
                <w:szCs w:val="20"/>
                <w:lang w:eastAsia="en-US"/>
              </w:rPr>
              <w:t>SA: UPA (Wk 14) v ADA (Wk 12/16, ATLAS CSR)</w:t>
            </w:r>
          </w:p>
        </w:tc>
        <w:tc>
          <w:tcPr>
            <w:tcW w:w="707"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0.64 (0.36, 1.16)</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-0.03 (-0.19, 0.13)</w:t>
            </w:r>
          </w:p>
        </w:tc>
        <w:tc>
          <w:tcPr>
            <w:tcW w:w="368"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NA</w:t>
            </w:r>
          </w:p>
        </w:tc>
      </w:tr>
      <w:tr w:rsidR="00594D20" w:rsidRPr="00871292" w:rsidTr="00DF1C7B">
        <w:tc>
          <w:tcPr>
            <w:tcW w:w="3141" w:type="pct"/>
            <w:gridSpan w:val="3"/>
            <w:tcBorders>
              <w:top w:val="nil"/>
              <w:left w:val="nil"/>
              <w:bottom w:val="single" w:sz="4" w:space="0" w:color="auto"/>
              <w:right w:val="nil"/>
            </w:tcBorders>
            <w:vAlign w:val="center"/>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i/>
                <w:snapToGrid w:val="0"/>
                <w:sz w:val="20"/>
                <w:szCs w:val="20"/>
                <w:lang w:eastAsia="en-US"/>
              </w:rPr>
              <w:t>SA: UPA (Wk 12) v ADA (Wk 12, ATLAS CSR)</w:t>
            </w:r>
          </w:p>
        </w:tc>
        <w:tc>
          <w:tcPr>
            <w:tcW w:w="707" w:type="pct"/>
            <w:tcBorders>
              <w:top w:val="nil"/>
              <w:left w:val="nil"/>
              <w:bottom w:val="single" w:sz="4" w:space="0" w:color="auto"/>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1.12 (0.58, 2.16)</w:t>
            </w:r>
          </w:p>
        </w:tc>
        <w:tc>
          <w:tcPr>
            <w:tcW w:w="785" w:type="pct"/>
            <w:tcBorders>
              <w:top w:val="nil"/>
              <w:left w:val="nil"/>
              <w:bottom w:val="single" w:sz="4" w:space="0" w:color="auto"/>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0.08 (-0.06, 0.22)</w:t>
            </w:r>
          </w:p>
        </w:tc>
        <w:tc>
          <w:tcPr>
            <w:tcW w:w="368" w:type="pct"/>
            <w:tcBorders>
              <w:top w:val="nil"/>
              <w:left w:val="nil"/>
              <w:bottom w:val="single" w:sz="4" w:space="0" w:color="auto"/>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i/>
                <w:snapToGrid w:val="0"/>
                <w:sz w:val="20"/>
                <w:szCs w:val="20"/>
                <w:lang w:eastAsia="en-US"/>
              </w:rPr>
              <w:t>NA</w:t>
            </w:r>
          </w:p>
        </w:tc>
      </w:tr>
    </w:tbl>
    <w:p w:rsidR="00594D20" w:rsidRPr="00871292" w:rsidRDefault="00594D20" w:rsidP="00594D20">
      <w:pPr>
        <w:rPr>
          <w:rFonts w:ascii="Arial Narrow" w:hAnsi="Arial Narrow"/>
          <w:snapToGrid w:val="0"/>
          <w:sz w:val="18"/>
          <w:szCs w:val="18"/>
          <w:lang w:eastAsia="en-US"/>
        </w:rPr>
      </w:pPr>
      <w:r w:rsidRPr="00871292">
        <w:rPr>
          <w:rFonts w:ascii="Arial Narrow" w:hAnsi="Arial Narrow"/>
          <w:snapToGrid w:val="0"/>
          <w:sz w:val="18"/>
          <w:szCs w:val="18"/>
          <w:lang w:eastAsia="en-US"/>
        </w:rPr>
        <w:t>Abbreviations: ADA=adalimumab; AS=ankylosing spondylitis; ASAS20/40=20%/40% improvement in Assessment of SpondyloArthritis international Society response criteria; BASDAI= Bath ankylosing spondylitis disease activity index; ITT=intention to treat; PBO=placebo; SA=sensitivity analysis; UPA=upadacitinib; RD=risk difference; RR=relative risk; D=daily; Q2W=every 2 weeks; wk=week;</w:t>
      </w:r>
    </w:p>
    <w:p w:rsidR="00594D20" w:rsidRPr="00871292" w:rsidRDefault="00594D20" w:rsidP="00594D20">
      <w:pPr>
        <w:pStyle w:val="TableFigureFooter"/>
        <w:tabs>
          <w:tab w:val="left" w:pos="142"/>
        </w:tabs>
        <w:ind w:left="140" w:hanging="140"/>
        <w:rPr>
          <w:i/>
        </w:rPr>
      </w:pPr>
      <w:r w:rsidRPr="00871292">
        <w:t>^</w:t>
      </w:r>
      <w:r w:rsidRPr="00871292">
        <w:tab/>
        <w:t>1 patient in PBO group was excluded due to allocation error, and not counted as completing Wk 16 study treatment nor discontinuing</w:t>
      </w:r>
      <w:r w:rsidRPr="00871292">
        <w:rPr>
          <w:i/>
        </w:rPr>
        <w:t>.</w:t>
      </w:r>
    </w:p>
    <w:p w:rsidR="00594D20" w:rsidRPr="00871292" w:rsidRDefault="00594D20" w:rsidP="00594D20">
      <w:pPr>
        <w:pStyle w:val="TableFigureFooter"/>
        <w:tabs>
          <w:tab w:val="left" w:pos="142"/>
        </w:tabs>
        <w:ind w:left="140" w:hanging="140"/>
      </w:pPr>
      <w:r w:rsidRPr="00871292">
        <w:rPr>
          <w:vertAlign w:val="superscript"/>
        </w:rPr>
        <w:t>#</w:t>
      </w:r>
      <w:r w:rsidRPr="00871292">
        <w:tab/>
        <w:t>Huang 2014 CSR reported that the primary efficacy analysis on ASAS20 was performed in which a proportion of patients enrolled in the study prior to 26 April 2010 were administered the BASDAI using an incorrect version of the VAS line for Question 6</w:t>
      </w:r>
      <w:r w:rsidR="00871292">
        <w:t xml:space="preserve">. </w:t>
      </w:r>
      <w:r w:rsidRPr="00871292">
        <w:t>Additional analysis performed using an algorithm to calculate a corrected score found that this "BASDAI-corrected" score also produced results (ADA 154/229 (67.2%) v 33/115 (28.7%)) consistent with those of the primary efficacy analysis.</w:t>
      </w:r>
    </w:p>
    <w:p w:rsidR="00594D20" w:rsidRPr="00871292" w:rsidRDefault="00594D20" w:rsidP="00594D20">
      <w:pPr>
        <w:pStyle w:val="TableFigureFooter"/>
        <w:tabs>
          <w:tab w:val="left" w:pos="142"/>
        </w:tabs>
        <w:ind w:left="140" w:hanging="140"/>
      </w:pPr>
      <w:r w:rsidRPr="00871292">
        <w:rPr>
          <w:rFonts w:ascii="Calibri" w:hAnsi="Calibri" w:cs="Calibri"/>
          <w:vertAlign w:val="superscript"/>
        </w:rPr>
        <w:t>‡</w:t>
      </w:r>
      <w:r w:rsidRPr="00871292">
        <w:tab/>
        <w:t>Sensitivity analysis was conducted</w:t>
      </w:r>
      <w:r w:rsidR="00757D0E" w:rsidRPr="00871292">
        <w:t xml:space="preserve"> during the evaluation</w:t>
      </w:r>
      <w:r w:rsidRPr="00871292">
        <w:t xml:space="preserve"> using ASAS20/40 response at Wk 12 for UPA v PBO derived from Table 14.2_2.1.1 and Table 14.2_14.1 of Attachment 2.1 SELECT-AXIS 1 UPA M16-098 CSR.</w:t>
      </w:r>
    </w:p>
    <w:p w:rsidR="00594D20" w:rsidRPr="00871292" w:rsidRDefault="00594D20" w:rsidP="00594D20">
      <w:pPr>
        <w:pStyle w:val="TableFigureFooter"/>
        <w:tabs>
          <w:tab w:val="left" w:pos="142"/>
        </w:tabs>
        <w:ind w:left="140" w:hanging="140"/>
      </w:pPr>
      <w:r w:rsidRPr="00871292">
        <w:rPr>
          <w:vertAlign w:val="superscript"/>
        </w:rPr>
        <w:t>§</w:t>
      </w:r>
      <w:r w:rsidRPr="00871292">
        <w:tab/>
        <w:t>Sensitivity analysis was conducted using ASAS/20/40 response at Wk 12 for ADA v PBO estimated from Figure 2, p2446 and Figure 3, p2448 of Attachment 3.6 COAST-V van der Heijde 2018 main publication.</w:t>
      </w:r>
    </w:p>
    <w:p w:rsidR="00594D20" w:rsidRPr="00871292" w:rsidRDefault="00594D20" w:rsidP="00594D20">
      <w:pPr>
        <w:pStyle w:val="TableFigureFooter"/>
        <w:tabs>
          <w:tab w:val="left" w:pos="142"/>
        </w:tabs>
        <w:ind w:left="140" w:hanging="140"/>
      </w:pPr>
      <w:r w:rsidRPr="00871292">
        <w:t>θ</w:t>
      </w:r>
      <w:r w:rsidRPr="00871292">
        <w:tab/>
        <w:t>Sensitivity analysis was conducted</w:t>
      </w:r>
      <w:r w:rsidR="00757D0E" w:rsidRPr="00871292">
        <w:t xml:space="preserve"> during the evaluation</w:t>
      </w:r>
      <w:r w:rsidRPr="00871292">
        <w:t xml:space="preserve"> using ASAS40 reported in the CSR (Attachment 2.3 ATLAS M03-607 CSR).</w:t>
      </w:r>
    </w:p>
    <w:p w:rsidR="00594D20" w:rsidRPr="00871292" w:rsidRDefault="00594D20" w:rsidP="00594D20">
      <w:pPr>
        <w:pStyle w:val="TableFigureFooter"/>
        <w:tabs>
          <w:tab w:val="left" w:pos="142"/>
        </w:tabs>
        <w:ind w:left="140" w:hanging="140"/>
      </w:pPr>
      <w:r w:rsidRPr="00871292">
        <w:rPr>
          <w:vertAlign w:val="superscript"/>
        </w:rPr>
        <w:t>a</w:t>
      </w:r>
      <w:r w:rsidRPr="00871292">
        <w:tab/>
        <w:t>The RR for ASAS40 in COAST-V was corrected during the evaluation</w:t>
      </w:r>
      <w:r w:rsidR="00871292">
        <w:t xml:space="preserve">. </w:t>
      </w:r>
      <w:r w:rsidRPr="00871292">
        <w:t xml:space="preserve">The submission presented analysis based on ADA 31/90 (34.4%) v </w:t>
      </w:r>
      <w:r w:rsidR="00A12CEE" w:rsidRPr="00871292">
        <w:t>PBO</w:t>
      </w:r>
      <w:r w:rsidRPr="00871292">
        <w:t xml:space="preserve"> 15/87 (17.2%).</w:t>
      </w:r>
    </w:p>
    <w:p w:rsidR="00594D20" w:rsidRPr="00871292" w:rsidRDefault="00594D20" w:rsidP="00594D20">
      <w:pPr>
        <w:pStyle w:val="TableFigureFooter"/>
        <w:tabs>
          <w:tab w:val="left" w:pos="142"/>
        </w:tabs>
        <w:ind w:left="140" w:hanging="140"/>
      </w:pPr>
      <w:r w:rsidRPr="00871292">
        <w:rPr>
          <w:vertAlign w:val="superscript"/>
        </w:rPr>
        <w:t>b</w:t>
      </w:r>
      <w:r w:rsidRPr="00871292">
        <w:tab/>
        <w:t>For ATLAS, a discrepancy was noted during the evaluation between the ASAS40 results presented in the submission based on the trial publication (van der Heijde 2006) and CSR (Attachment 2.3 ATLAS M03-607 CSR).</w:t>
      </w:r>
    </w:p>
    <w:p w:rsidR="00594D20" w:rsidRPr="00871292" w:rsidRDefault="00594D20" w:rsidP="00594D20">
      <w:pPr>
        <w:pStyle w:val="TableFigureFooter"/>
        <w:tabs>
          <w:tab w:val="left" w:pos="142"/>
        </w:tabs>
        <w:ind w:left="140" w:hanging="140"/>
      </w:pPr>
      <w:r w:rsidRPr="00871292">
        <w:t>Source: Table 2.14, p76 and Table 2.20, p87 of the submission.</w:t>
      </w:r>
      <w:r w:rsidRPr="00871292">
        <w:rPr>
          <w:b/>
          <w:bCs/>
          <w:sz w:val="20"/>
          <w:szCs w:val="20"/>
          <w:lang w:eastAsia="en-US"/>
        </w:rPr>
        <w:br w:type="page"/>
      </w:r>
    </w:p>
    <w:p w:rsidR="00594D20" w:rsidRPr="00871292" w:rsidRDefault="00594D20" w:rsidP="00594D20">
      <w:pPr>
        <w:widowControl w:val="0"/>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lastRenderedPageBreak/>
        <w:t>Table 5: BASDAI50 response in patients with AS (ITT)</w:t>
      </w:r>
    </w:p>
    <w:tbl>
      <w:tblPr>
        <w:tblStyle w:val="TableGrid"/>
        <w:tblW w:w="5000" w:type="pct"/>
        <w:tblCellMar>
          <w:left w:w="28" w:type="dxa"/>
          <w:right w:w="28" w:type="dxa"/>
        </w:tblCellMar>
        <w:tblLook w:val="04A0" w:firstRow="1" w:lastRow="0" w:firstColumn="1" w:lastColumn="0" w:noHBand="0" w:noVBand="1"/>
        <w:tblCaption w:val="Table 5: BASDAI50 response in patients with AS (ITT)"/>
      </w:tblPr>
      <w:tblGrid>
        <w:gridCol w:w="2977"/>
        <w:gridCol w:w="1134"/>
        <w:gridCol w:w="1134"/>
        <w:gridCol w:w="1417"/>
        <w:gridCol w:w="1417"/>
        <w:gridCol w:w="948"/>
      </w:tblGrid>
      <w:tr w:rsidR="00594D20" w:rsidRPr="00871292" w:rsidTr="001D64E8">
        <w:trPr>
          <w:tblHeader/>
        </w:trPr>
        <w:tc>
          <w:tcPr>
            <w:tcW w:w="1649" w:type="pct"/>
            <w:tcBorders>
              <w:top w:val="single" w:sz="4" w:space="0" w:color="auto"/>
              <w:left w:val="nil"/>
              <w:bottom w:val="single" w:sz="4" w:space="0" w:color="auto"/>
              <w:right w:val="nil"/>
            </w:tcBorders>
            <w:vAlign w:val="center"/>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Trial</w:t>
            </w:r>
          </w:p>
        </w:tc>
        <w:tc>
          <w:tcPr>
            <w:tcW w:w="628" w:type="pct"/>
            <w:tcBorders>
              <w:top w:val="single" w:sz="4" w:space="0" w:color="auto"/>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Drug</w:t>
            </w:r>
          </w:p>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n/N (%)</w:t>
            </w:r>
          </w:p>
        </w:tc>
        <w:tc>
          <w:tcPr>
            <w:tcW w:w="628" w:type="pct"/>
            <w:tcBorders>
              <w:top w:val="single" w:sz="4" w:space="0" w:color="auto"/>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Control</w:t>
            </w:r>
          </w:p>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n/N (%)</w:t>
            </w:r>
          </w:p>
        </w:tc>
        <w:tc>
          <w:tcPr>
            <w:tcW w:w="785" w:type="pct"/>
            <w:tcBorders>
              <w:top w:val="single" w:sz="4" w:space="0" w:color="auto"/>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t>RR</w:t>
            </w:r>
          </w:p>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(95%CI)</w:t>
            </w:r>
          </w:p>
        </w:tc>
        <w:tc>
          <w:tcPr>
            <w:tcW w:w="785" w:type="pct"/>
            <w:tcBorders>
              <w:top w:val="single" w:sz="4" w:space="0" w:color="auto"/>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t>RD</w:t>
            </w:r>
          </w:p>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(95%CI)</w:t>
            </w:r>
          </w:p>
        </w:tc>
        <w:tc>
          <w:tcPr>
            <w:tcW w:w="525" w:type="pct"/>
            <w:tcBorders>
              <w:top w:val="single" w:sz="4" w:space="0" w:color="auto"/>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t>NNT</w:t>
            </w:r>
          </w:p>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(95%CI)</w:t>
            </w:r>
          </w:p>
        </w:tc>
      </w:tr>
      <w:tr w:rsidR="00594D20" w:rsidRPr="00871292" w:rsidTr="008C4AE0">
        <w:tc>
          <w:tcPr>
            <w:tcW w:w="5000" w:type="pct"/>
            <w:gridSpan w:val="6"/>
            <w:tcBorders>
              <w:top w:val="single" w:sz="4" w:space="0" w:color="auto"/>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b/>
                <w:bCs/>
                <w:snapToGrid w:val="0"/>
                <w:color w:val="E36C0A" w:themeColor="accent6" w:themeShade="BF"/>
                <w:sz w:val="20"/>
                <w:szCs w:val="20"/>
                <w:lang w:eastAsia="en-US"/>
              </w:rPr>
              <w:t>BASDAI50</w:t>
            </w:r>
          </w:p>
        </w:tc>
      </w:tr>
      <w:tr w:rsidR="00594D20" w:rsidRPr="00871292" w:rsidTr="008C4AE0">
        <w:tc>
          <w:tcPr>
            <w:tcW w:w="2905" w:type="pct"/>
            <w:gridSpan w:val="3"/>
            <w:tcBorders>
              <w:top w:val="nil"/>
              <w:left w:val="nil"/>
              <w:bottom w:val="nil"/>
              <w:right w:val="nil"/>
            </w:tcBorders>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COMPARISON: UPA 15mg D v PBO</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8C4AE0">
        <w:tc>
          <w:tcPr>
            <w:tcW w:w="1649"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SELECT-AXIS 1 (n=187), Wk 14</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42/93 (45.2)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22/94 (23.4)</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1.93 (1.26, 2.96)</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0.22 (0.09, 0.35)</w:t>
            </w: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5 (11,3)</w:t>
            </w:r>
          </w:p>
        </w:tc>
      </w:tr>
      <w:tr w:rsidR="00594D20" w:rsidRPr="00871292" w:rsidTr="008C4AE0">
        <w:tc>
          <w:tcPr>
            <w:tcW w:w="1649" w:type="pct"/>
            <w:tcBorders>
              <w:top w:val="nil"/>
              <w:left w:val="nil"/>
              <w:bottom w:val="nil"/>
              <w:right w:val="nil"/>
            </w:tcBorders>
          </w:tcPr>
          <w:p w:rsidR="00594D20" w:rsidRPr="00871292" w:rsidRDefault="00594D20" w:rsidP="008C4AE0">
            <w:pPr>
              <w:widowControl w:val="0"/>
              <w:rPr>
                <w:rFonts w:ascii="Arial Narrow" w:hAnsi="Arial Narrow"/>
                <w:i/>
                <w:snapToGrid w:val="0"/>
                <w:sz w:val="20"/>
                <w:szCs w:val="20"/>
                <w:lang w:eastAsia="en-US"/>
              </w:rPr>
            </w:pPr>
            <w:r w:rsidRPr="00871292">
              <w:rPr>
                <w:rFonts w:ascii="Arial Narrow" w:hAnsi="Arial Narrow"/>
                <w:i/>
                <w:snapToGrid w:val="0"/>
                <w:sz w:val="20"/>
                <w:szCs w:val="20"/>
                <w:lang w:eastAsia="en-US"/>
              </w:rPr>
              <w:t>SA: SELECT-AXIS 1 (n=187), Wk 12</w:t>
            </w:r>
            <w:r w:rsidRPr="00871292">
              <w:rPr>
                <w:rFonts w:cs="Calibri"/>
                <w:i/>
                <w:snapToGrid w:val="0"/>
                <w:sz w:val="20"/>
                <w:szCs w:val="20"/>
                <w:vertAlign w:val="superscript"/>
                <w:lang w:eastAsia="en-US"/>
              </w:rPr>
              <w:t>‡</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38/93 (40.9)</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17/94 (18.1)</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2.26 (1.38, 3.71)</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0.23 (0.10, 0.35)</w:t>
            </w: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4 (10,3)</w:t>
            </w:r>
          </w:p>
        </w:tc>
      </w:tr>
      <w:tr w:rsidR="00594D20" w:rsidRPr="00871292" w:rsidTr="008C4AE0">
        <w:tc>
          <w:tcPr>
            <w:tcW w:w="2905" w:type="pct"/>
            <w:gridSpan w:val="3"/>
            <w:tcBorders>
              <w:top w:val="nil"/>
              <w:left w:val="nil"/>
              <w:bottom w:val="nil"/>
              <w:right w:val="nil"/>
            </w:tcBorders>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COMPARISON: ADA 40mg Q2W v PBO</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8C4AE0">
        <w:tc>
          <w:tcPr>
            <w:tcW w:w="1649"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ATLAS (n=315), Wk 12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94/208 (45.2)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17/107 (15.9)</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2.84 (1.79, 4.51)</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0.29 (0.20, 0.39)</w:t>
            </w: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 (5,3)</w:t>
            </w:r>
          </w:p>
        </w:tc>
      </w:tr>
      <w:tr w:rsidR="00594D20" w:rsidRPr="00871292" w:rsidTr="008C4AE0">
        <w:tc>
          <w:tcPr>
            <w:tcW w:w="1649"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M03-606 (n=82), Wk 12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14/38 (36.8)</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6/44 (13.6)</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2.70 (1.15, 6.34)</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0.23 (0.05, 0.42)</w:t>
            </w: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4 (20,2)</w:t>
            </w:r>
          </w:p>
        </w:tc>
      </w:tr>
      <w:tr w:rsidR="00594D20" w:rsidRPr="00871292" w:rsidTr="008C4AE0">
        <w:tc>
          <w:tcPr>
            <w:tcW w:w="1649"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Huang 2014 (n=344), Wk 12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114/229 (49.8)</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19/115 (16.5)</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3.01 (1.96, 4.64)</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0.33 (0.24, 0.43)</w:t>
            </w: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 (4,2)</w:t>
            </w:r>
          </w:p>
        </w:tc>
      </w:tr>
      <w:tr w:rsidR="00594D20" w:rsidRPr="00871292" w:rsidTr="008C4AE0">
        <w:tc>
          <w:tcPr>
            <w:tcW w:w="1649"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DANISH (n=52), Wk 12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13/25 (52.0)</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6/27 (22.2)</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2.34 (1.05, 5.21)</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0.30 (0.05, 0.55)</w:t>
            </w: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 (20,2)</w:t>
            </w:r>
          </w:p>
        </w:tc>
      </w:tr>
      <w:tr w:rsidR="00594D20" w:rsidRPr="00871292" w:rsidTr="008C4AE0">
        <w:tc>
          <w:tcPr>
            <w:tcW w:w="1649" w:type="pct"/>
            <w:tcBorders>
              <w:top w:val="nil"/>
              <w:left w:val="nil"/>
              <w:bottom w:val="nil"/>
              <w:right w:val="nil"/>
            </w:tcBorders>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COAST-V (n=177)^, Wk 16</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29/90 (32.2)</w:t>
            </w:r>
          </w:p>
        </w:tc>
        <w:tc>
          <w:tcPr>
            <w:tcW w:w="628"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15/87 (17.2)</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1.87 (1.08, 3.24)</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0.15 (0.02, 0.27)</w:t>
            </w: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7 (50,4)</w:t>
            </w:r>
          </w:p>
        </w:tc>
      </w:tr>
      <w:tr w:rsidR="00594D20" w:rsidRPr="00871292" w:rsidTr="008C4AE0">
        <w:tc>
          <w:tcPr>
            <w:tcW w:w="1649" w:type="pct"/>
            <w:tcBorders>
              <w:top w:val="nil"/>
              <w:left w:val="nil"/>
              <w:bottom w:val="single" w:sz="4" w:space="0" w:color="auto"/>
              <w:right w:val="nil"/>
            </w:tcBorders>
          </w:tcPr>
          <w:p w:rsidR="00594D20" w:rsidRPr="00871292" w:rsidRDefault="00594D20" w:rsidP="008C4AE0">
            <w:pPr>
              <w:widowControl w:val="0"/>
              <w:jc w:val="right"/>
              <w:rPr>
                <w:rFonts w:ascii="Arial Narrow" w:hAnsi="Arial Narrow"/>
                <w:snapToGrid w:val="0"/>
                <w:sz w:val="20"/>
                <w:szCs w:val="20"/>
                <w:lang w:eastAsia="en-US"/>
              </w:rPr>
            </w:pPr>
            <w:r w:rsidRPr="00871292">
              <w:rPr>
                <w:rFonts w:ascii="Arial Narrow" w:hAnsi="Arial Narrow"/>
                <w:snapToGrid w:val="0"/>
                <w:sz w:val="20"/>
                <w:szCs w:val="20"/>
                <w:lang w:eastAsia="en-US"/>
              </w:rPr>
              <w:t>Meta-analysis</w:t>
            </w:r>
          </w:p>
        </w:tc>
        <w:tc>
          <w:tcPr>
            <w:tcW w:w="628" w:type="pct"/>
            <w:tcBorders>
              <w:top w:val="nil"/>
              <w:left w:val="nil"/>
              <w:bottom w:val="single" w:sz="4" w:space="0" w:color="auto"/>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264/590 (44.7)</w:t>
            </w:r>
          </w:p>
        </w:tc>
        <w:tc>
          <w:tcPr>
            <w:tcW w:w="628" w:type="pct"/>
            <w:tcBorders>
              <w:top w:val="nil"/>
              <w:left w:val="nil"/>
              <w:bottom w:val="single" w:sz="4" w:space="0" w:color="auto"/>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63/380 (16.6)</w:t>
            </w:r>
          </w:p>
        </w:tc>
        <w:tc>
          <w:tcPr>
            <w:tcW w:w="785" w:type="pct"/>
            <w:tcBorders>
              <w:top w:val="nil"/>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2.60 (2.03, 3.33)</w:t>
            </w:r>
          </w:p>
        </w:tc>
        <w:tc>
          <w:tcPr>
            <w:tcW w:w="785" w:type="pct"/>
            <w:tcBorders>
              <w:top w:val="nil"/>
              <w:left w:val="nil"/>
              <w:bottom w:val="single" w:sz="4" w:space="0" w:color="auto"/>
              <w:right w:val="nil"/>
            </w:tcBorders>
            <w:vAlign w:val="center"/>
          </w:tcPr>
          <w:p w:rsidR="00594D20" w:rsidRPr="00871292" w:rsidRDefault="00594D20"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0.27 (0.20, 0.34)</w:t>
            </w:r>
          </w:p>
        </w:tc>
        <w:tc>
          <w:tcPr>
            <w:tcW w:w="525" w:type="pct"/>
            <w:tcBorders>
              <w:top w:val="nil"/>
              <w:left w:val="nil"/>
              <w:bottom w:val="single" w:sz="4" w:space="0" w:color="auto"/>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4 (5,3)</w:t>
            </w:r>
          </w:p>
        </w:tc>
      </w:tr>
      <w:tr w:rsidR="00594D20" w:rsidRPr="00871292" w:rsidTr="008C4AE0">
        <w:tc>
          <w:tcPr>
            <w:tcW w:w="2905" w:type="pct"/>
            <w:gridSpan w:val="3"/>
            <w:tcBorders>
              <w:top w:val="double" w:sz="4" w:space="0" w:color="auto"/>
              <w:left w:val="nil"/>
              <w:bottom w:val="double" w:sz="4" w:space="0" w:color="auto"/>
              <w:right w:val="nil"/>
            </w:tcBorders>
            <w:vAlign w:val="center"/>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Indirect comparisons</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525" w:type="pct"/>
            <w:tcBorders>
              <w:top w:val="single" w:sz="4" w:space="0" w:color="auto"/>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8C4AE0">
        <w:tc>
          <w:tcPr>
            <w:tcW w:w="2905" w:type="pct"/>
            <w:gridSpan w:val="3"/>
            <w:tcBorders>
              <w:top w:val="double" w:sz="4" w:space="0" w:color="auto"/>
              <w:left w:val="nil"/>
              <w:bottom w:val="nil"/>
              <w:right w:val="nil"/>
            </w:tcBorders>
            <w:vAlign w:val="center"/>
          </w:tcPr>
          <w:p w:rsidR="00594D20" w:rsidRPr="00871292" w:rsidRDefault="00594D20" w:rsidP="008C4AE0">
            <w:pPr>
              <w:widowControl w:val="0"/>
              <w:rPr>
                <w:rFonts w:ascii="Arial Narrow" w:hAnsi="Arial Narrow"/>
                <w:b/>
                <w:bCs/>
                <w:snapToGrid w:val="0"/>
                <w:sz w:val="20"/>
                <w:szCs w:val="20"/>
                <w:lang w:eastAsia="en-US"/>
              </w:rPr>
            </w:pPr>
            <w:r w:rsidRPr="00871292">
              <w:rPr>
                <w:rFonts w:ascii="Arial Narrow" w:hAnsi="Arial Narrow"/>
                <w:b/>
                <w:bCs/>
                <w:snapToGrid w:val="0"/>
                <w:color w:val="E36C0A" w:themeColor="accent6" w:themeShade="BF"/>
                <w:sz w:val="20"/>
                <w:szCs w:val="20"/>
                <w:lang w:eastAsia="en-US"/>
              </w:rPr>
              <w:t>PBS population with AS: BASDAI50</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snapToGrid w:val="0"/>
                <w:sz w:val="20"/>
                <w:szCs w:val="20"/>
                <w:lang w:eastAsia="en-US"/>
              </w:rPr>
            </w:pPr>
          </w:p>
        </w:tc>
      </w:tr>
      <w:tr w:rsidR="00594D20" w:rsidRPr="00871292" w:rsidTr="008C4AE0">
        <w:tc>
          <w:tcPr>
            <w:tcW w:w="2905" w:type="pct"/>
            <w:gridSpan w:val="3"/>
            <w:tcBorders>
              <w:top w:val="nil"/>
              <w:left w:val="nil"/>
              <w:bottom w:val="nil"/>
              <w:right w:val="nil"/>
            </w:tcBorders>
            <w:vAlign w:val="center"/>
          </w:tcPr>
          <w:p w:rsidR="00594D20" w:rsidRPr="00871292" w:rsidRDefault="00594D20" w:rsidP="008C4AE0">
            <w:pPr>
              <w:widowControl w:val="0"/>
              <w:rPr>
                <w:rFonts w:ascii="Arial Narrow" w:hAnsi="Arial Narrow"/>
                <w:i/>
                <w:snapToGrid w:val="0"/>
                <w:sz w:val="20"/>
                <w:szCs w:val="20"/>
                <w:lang w:eastAsia="en-US"/>
              </w:rPr>
            </w:pPr>
            <w:r w:rsidRPr="00871292">
              <w:rPr>
                <w:rFonts w:ascii="Arial Narrow" w:hAnsi="Arial Narrow"/>
                <w:snapToGrid w:val="0"/>
                <w:sz w:val="20"/>
                <w:szCs w:val="20"/>
                <w:lang w:eastAsia="en-US"/>
              </w:rPr>
              <w:t>UPA (Wk 14) v ADA (Wk 12/16)</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snapToGrid w:val="0"/>
                <w:sz w:val="20"/>
                <w:szCs w:val="20"/>
                <w:lang w:eastAsia="en-US"/>
              </w:rPr>
              <w:t>0.74 (0.45, 1.22)</w:t>
            </w:r>
          </w:p>
        </w:tc>
        <w:tc>
          <w:tcPr>
            <w:tcW w:w="785" w:type="pct"/>
            <w:tcBorders>
              <w:top w:val="nil"/>
              <w:left w:val="nil"/>
              <w:bottom w:val="nil"/>
              <w:right w:val="nil"/>
            </w:tcBorders>
            <w:vAlign w:val="center"/>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snapToGrid w:val="0"/>
                <w:sz w:val="20"/>
                <w:szCs w:val="20"/>
                <w:lang w:eastAsia="en-US"/>
              </w:rPr>
              <w:t>-0.05 (-0.20, 0.10)</w:t>
            </w:r>
          </w:p>
        </w:tc>
        <w:tc>
          <w:tcPr>
            <w:tcW w:w="525" w:type="pct"/>
            <w:tcBorders>
              <w:top w:val="nil"/>
              <w:left w:val="nil"/>
              <w:bottom w:val="nil"/>
              <w:right w:val="nil"/>
            </w:tcBorders>
          </w:tcPr>
          <w:p w:rsidR="00594D20" w:rsidRPr="00871292" w:rsidRDefault="00594D20" w:rsidP="008C4AE0">
            <w:pPr>
              <w:widowControl w:val="0"/>
              <w:jc w:val="center"/>
              <w:rPr>
                <w:rFonts w:ascii="Arial Narrow" w:hAnsi="Arial Narrow"/>
                <w:i/>
                <w:snapToGrid w:val="0"/>
                <w:sz w:val="20"/>
                <w:szCs w:val="20"/>
                <w:lang w:eastAsia="en-US"/>
              </w:rPr>
            </w:pPr>
            <w:r w:rsidRPr="00871292">
              <w:rPr>
                <w:rFonts w:ascii="Arial Narrow" w:hAnsi="Arial Narrow"/>
                <w:snapToGrid w:val="0"/>
                <w:sz w:val="20"/>
                <w:szCs w:val="20"/>
                <w:lang w:eastAsia="en-US"/>
              </w:rPr>
              <w:t>NA</w:t>
            </w:r>
          </w:p>
        </w:tc>
      </w:tr>
      <w:tr w:rsidR="00594D20" w:rsidRPr="00871292" w:rsidTr="008C4AE0">
        <w:tc>
          <w:tcPr>
            <w:tcW w:w="2905" w:type="pct"/>
            <w:gridSpan w:val="3"/>
            <w:tcBorders>
              <w:top w:val="nil"/>
              <w:left w:val="nil"/>
              <w:bottom w:val="single" w:sz="4" w:space="0" w:color="auto"/>
              <w:right w:val="nil"/>
            </w:tcBorders>
            <w:vAlign w:val="center"/>
          </w:tcPr>
          <w:p w:rsidR="00594D20" w:rsidRPr="00871292" w:rsidRDefault="00594D20" w:rsidP="008C4AE0">
            <w:pPr>
              <w:widowControl w:val="0"/>
              <w:rPr>
                <w:rFonts w:ascii="Arial Narrow" w:hAnsi="Arial Narrow"/>
                <w:snapToGrid w:val="0"/>
                <w:sz w:val="20"/>
                <w:szCs w:val="20"/>
                <w:lang w:eastAsia="en-US"/>
              </w:rPr>
            </w:pPr>
            <w:r w:rsidRPr="00871292">
              <w:rPr>
                <w:rFonts w:ascii="Arial Narrow" w:hAnsi="Arial Narrow"/>
                <w:i/>
                <w:snapToGrid w:val="0"/>
                <w:sz w:val="20"/>
                <w:szCs w:val="20"/>
                <w:lang w:eastAsia="en-US"/>
              </w:rPr>
              <w:t>SA: UPA (Wk 12) v ADA (Wk 12/16)</w:t>
            </w:r>
          </w:p>
        </w:tc>
        <w:tc>
          <w:tcPr>
            <w:tcW w:w="785" w:type="pct"/>
            <w:tcBorders>
              <w:top w:val="nil"/>
              <w:left w:val="nil"/>
              <w:bottom w:val="single" w:sz="4" w:space="0" w:color="auto"/>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i/>
                <w:snapToGrid w:val="0"/>
                <w:sz w:val="20"/>
                <w:szCs w:val="20"/>
                <w:lang w:eastAsia="en-US"/>
              </w:rPr>
              <w:t>0.87 (0.50, 1.51)</w:t>
            </w:r>
          </w:p>
        </w:tc>
        <w:tc>
          <w:tcPr>
            <w:tcW w:w="785" w:type="pct"/>
            <w:tcBorders>
              <w:top w:val="nil"/>
              <w:left w:val="nil"/>
              <w:bottom w:val="single" w:sz="4" w:space="0" w:color="auto"/>
              <w:right w:val="nil"/>
            </w:tcBorders>
            <w:vAlign w:val="center"/>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i/>
                <w:snapToGrid w:val="0"/>
                <w:sz w:val="20"/>
                <w:szCs w:val="20"/>
                <w:lang w:eastAsia="en-US"/>
              </w:rPr>
              <w:t>-0.04 (-0.18, 0.10)</w:t>
            </w:r>
          </w:p>
        </w:tc>
        <w:tc>
          <w:tcPr>
            <w:tcW w:w="525" w:type="pct"/>
            <w:tcBorders>
              <w:top w:val="nil"/>
              <w:left w:val="nil"/>
              <w:bottom w:val="single" w:sz="4" w:space="0" w:color="auto"/>
              <w:right w:val="nil"/>
            </w:tcBorders>
          </w:tcPr>
          <w:p w:rsidR="00594D20" w:rsidRPr="00871292" w:rsidRDefault="00594D20" w:rsidP="008C4AE0">
            <w:pPr>
              <w:widowControl w:val="0"/>
              <w:jc w:val="center"/>
              <w:rPr>
                <w:rFonts w:ascii="Arial Narrow" w:hAnsi="Arial Narrow"/>
                <w:snapToGrid w:val="0"/>
                <w:sz w:val="20"/>
                <w:szCs w:val="20"/>
                <w:lang w:eastAsia="en-US"/>
              </w:rPr>
            </w:pPr>
            <w:r w:rsidRPr="00871292">
              <w:rPr>
                <w:rFonts w:ascii="Arial Narrow" w:hAnsi="Arial Narrow"/>
                <w:i/>
                <w:snapToGrid w:val="0"/>
                <w:sz w:val="20"/>
                <w:szCs w:val="20"/>
                <w:lang w:eastAsia="en-US"/>
              </w:rPr>
              <w:t>NA</w:t>
            </w:r>
          </w:p>
        </w:tc>
      </w:tr>
    </w:tbl>
    <w:p w:rsidR="00594D20" w:rsidRPr="00871292" w:rsidRDefault="00594D20" w:rsidP="00594D20">
      <w:pPr>
        <w:rPr>
          <w:rFonts w:ascii="Arial Narrow" w:hAnsi="Arial Narrow"/>
          <w:snapToGrid w:val="0"/>
          <w:sz w:val="18"/>
          <w:szCs w:val="18"/>
          <w:lang w:eastAsia="en-US"/>
        </w:rPr>
      </w:pPr>
      <w:r w:rsidRPr="00871292">
        <w:rPr>
          <w:rFonts w:ascii="Arial Narrow" w:hAnsi="Arial Narrow"/>
          <w:snapToGrid w:val="0"/>
          <w:sz w:val="18"/>
          <w:szCs w:val="18"/>
          <w:lang w:eastAsia="en-US"/>
        </w:rPr>
        <w:t>Abbreviations: ADA=adalimumab; AS=ankylosing spondylitis; BASDAI(50)=50% improvement in Bath ankylosing spondylitis disease activity index; PBO=placebo; SA=sensitivity analysis; UPA=upadacitinib; RD=risk difference; RR=relative risk; D=daily; Q2W=every 2 weeks; wk=week;</w:t>
      </w:r>
    </w:p>
    <w:p w:rsidR="00594D20" w:rsidRPr="00871292" w:rsidRDefault="00594D20" w:rsidP="00594D20">
      <w:pPr>
        <w:pStyle w:val="TableFigureFooter"/>
        <w:tabs>
          <w:tab w:val="left" w:pos="142"/>
        </w:tabs>
        <w:ind w:left="140" w:hanging="140"/>
        <w:rPr>
          <w:i/>
        </w:rPr>
      </w:pPr>
      <w:r w:rsidRPr="00871292">
        <w:t>^</w:t>
      </w:r>
      <w:r w:rsidRPr="00871292">
        <w:tab/>
        <w:t xml:space="preserve">1 patient in </w:t>
      </w:r>
      <w:r w:rsidR="00A12CEE" w:rsidRPr="00871292">
        <w:t>PBO</w:t>
      </w:r>
      <w:r w:rsidRPr="00871292">
        <w:t xml:space="preserve"> group was excluded due to allocation error</w:t>
      </w:r>
      <w:r w:rsidR="00871292">
        <w:t xml:space="preserve">. </w:t>
      </w:r>
      <w:r w:rsidRPr="00871292">
        <w:t>The patient was not counted as completing Wk 16 study treatment nor discontinuing study treatment</w:t>
      </w:r>
      <w:r w:rsidRPr="00871292">
        <w:rPr>
          <w:i/>
        </w:rPr>
        <w:t>.</w:t>
      </w:r>
    </w:p>
    <w:p w:rsidR="00594D20" w:rsidRPr="00871292" w:rsidRDefault="00594D20" w:rsidP="00594D20">
      <w:pPr>
        <w:pStyle w:val="TableFigureFooter"/>
        <w:tabs>
          <w:tab w:val="left" w:pos="142"/>
        </w:tabs>
        <w:ind w:left="140" w:hanging="140"/>
      </w:pPr>
      <w:r w:rsidRPr="00871292">
        <w:rPr>
          <w:rFonts w:ascii="Calibri" w:hAnsi="Calibri" w:cs="Calibri"/>
          <w:vertAlign w:val="superscript"/>
        </w:rPr>
        <w:t>‡</w:t>
      </w:r>
      <w:r w:rsidRPr="00871292">
        <w:tab/>
        <w:t>Sensitivity analysis was conducted</w:t>
      </w:r>
      <w:r w:rsidR="00A12CEE" w:rsidRPr="00871292">
        <w:t xml:space="preserve"> during the evaluation</w:t>
      </w:r>
      <w:r w:rsidRPr="00871292">
        <w:t xml:space="preserve"> using BASDAI50 response at Wk 12 for UPA v PBO derived from Table 14.2_6.1 of Attachment 2.1 SELECT-AXIS 1 UPA M16-098 CSR.</w:t>
      </w:r>
    </w:p>
    <w:p w:rsidR="00594D20" w:rsidRPr="00871292" w:rsidRDefault="00594D20" w:rsidP="00594D20">
      <w:pPr>
        <w:pStyle w:val="TableFigureFooter"/>
        <w:tabs>
          <w:tab w:val="left" w:pos="142"/>
        </w:tabs>
        <w:ind w:left="140" w:hanging="140"/>
      </w:pPr>
      <w:r w:rsidRPr="00871292">
        <w:t>Source: Table 2.14, p76 and Table 2.20, p87 of the submission.</w:t>
      </w:r>
    </w:p>
    <w:p w:rsidR="00C71760" w:rsidRPr="00871292" w:rsidRDefault="00594D20" w:rsidP="00EC5836">
      <w:pPr>
        <w:pStyle w:val="3-BodyText"/>
      </w:pPr>
      <w:r w:rsidRPr="00871292">
        <w:t xml:space="preserve">The </w:t>
      </w:r>
      <w:r w:rsidR="00AB54DF" w:rsidRPr="00871292">
        <w:t xml:space="preserve">trial </w:t>
      </w:r>
      <w:r w:rsidRPr="00871292">
        <w:t>results for ASAS20, ASAS40 and BASDAI50 response demonstrated that UPA 15 mg D and ADA 40 mg Q2W were more effective than placebo at producing a response to treatment in patients with AS at Week 14 and Weeks 12 to 16, respectively.</w:t>
      </w:r>
    </w:p>
    <w:p w:rsidR="00594D20" w:rsidRPr="00871292" w:rsidRDefault="00594D20" w:rsidP="00DF1C7B">
      <w:pPr>
        <w:pStyle w:val="3-BodyText"/>
      </w:pPr>
      <w:r w:rsidRPr="00871292">
        <w:t>The indirect comparisons found that there was no statistically significant difference between UPA and ADA for ASAS20, ASAS40 and BASDAI50 at Weeks 12 to 16. The sensitivity analyses conducted during the evaluation at Week 12 found similar results. There was some variation in the placebo response rates for some outcomes within trials (e.g. for ASAS40, 13.8% at Week 12 vs 25.5% at Week 14 in SELECT-AXIS) and across trials (e.g. for ASAS20, 21% to 40% across the ADA trials). The reason for these variations was unknown but may be partially due to differences in the trial design. Overall, the placebo response rates (i.e. the common reference) within the indirect treatment comparisons were similar after controlling for the time point, particularly for ASAS40 and BASDAI50. The difference in placebo response rates was larger for ASAS20, but there was insufficient evidence to indicate that the transitivity assumption</w:t>
      </w:r>
      <w:r w:rsidR="00AB54DF" w:rsidRPr="00871292">
        <w:t xml:space="preserve"> of the analysis</w:t>
      </w:r>
      <w:r w:rsidRPr="00871292">
        <w:t xml:space="preserve"> was violated.</w:t>
      </w:r>
    </w:p>
    <w:p w:rsidR="00594D20" w:rsidRPr="00871292" w:rsidRDefault="00594D20" w:rsidP="00AB54DF">
      <w:pPr>
        <w:pStyle w:val="3-BodyText"/>
      </w:pPr>
      <w:r w:rsidRPr="00871292">
        <w:t>The submission concluded that UPA was non-inferior to ADA given the ASAS20 response met the nominated non-inferiority margin</w:t>
      </w:r>
      <w:r w:rsidR="00AB54DF" w:rsidRPr="00871292">
        <w:t xml:space="preserve">, given the RR for </w:t>
      </w:r>
      <w:r w:rsidR="00AB54DF" w:rsidRPr="00871292">
        <w:rPr>
          <w:iCs/>
        </w:rPr>
        <w:t>ASAS20 response included the value 1.00 and the lower bound of the 95%CI was greater than 0.43</w:t>
      </w:r>
      <w:r w:rsidRPr="00871292">
        <w:t xml:space="preserve">. </w:t>
      </w:r>
      <w:r w:rsidR="00AB54DF" w:rsidRPr="00871292">
        <w:rPr>
          <w:iCs/>
        </w:rPr>
        <w:t xml:space="preserve">With the exception of ASAS40 at Week 12, all point estimates for all outcomes and time points favoured </w:t>
      </w:r>
      <w:r w:rsidRPr="00871292">
        <w:t>ADA over UPA.</w:t>
      </w:r>
    </w:p>
    <w:p w:rsidR="00AB69EA" w:rsidRPr="00871292" w:rsidRDefault="006178E6" w:rsidP="00B00D50">
      <w:pPr>
        <w:pStyle w:val="3-BodyText"/>
      </w:pPr>
      <w:r w:rsidRPr="00871292">
        <w:lastRenderedPageBreak/>
        <w:t xml:space="preserve">The submission also presented a series of indirect comparisons of UPA versus other PBS-listed bDMARDs including etanercept, golimumab, secukinumab, certolizumab, infliximab and ixekizumab (and non-PBS tofacitinib) for the treatment of AS. </w:t>
      </w:r>
      <w:r w:rsidR="00AB69EA" w:rsidRPr="00871292">
        <w:t xml:space="preserve">The results </w:t>
      </w:r>
      <w:r w:rsidR="002F4055" w:rsidRPr="00871292">
        <w:t xml:space="preserve">of </w:t>
      </w:r>
      <w:r w:rsidR="00AB69EA" w:rsidRPr="00871292">
        <w:t>these supportive comparisons found no statistically significant differences between UPA and any of the other bDMARDs in terms of ASAS20 or ASAS40 with one exception; infliximab was more likely to lead to ASAS20 response at Weeks 12-16 than UPA. All other comparisons met the nominated non-inferiority margin for ASAS20 but like the comparison to ADA, none of the point estimates favoured UPA.</w:t>
      </w:r>
    </w:p>
    <w:p w:rsidR="00E150AD" w:rsidRPr="00871292" w:rsidRDefault="00B00D50" w:rsidP="005076C6">
      <w:pPr>
        <w:pStyle w:val="3-BodyText"/>
        <w:rPr>
          <w:iCs/>
        </w:rPr>
      </w:pPr>
      <w:r w:rsidRPr="00871292">
        <w:rPr>
          <w:iCs/>
        </w:rPr>
        <w:t>Despite presenting results for these supportive comparisons, the submission did not present adequate data on the inputs of these analysis (i.e. the 20 trials) to allow for a thorough evaluation</w:t>
      </w:r>
      <w:r w:rsidR="00E150AD" w:rsidRPr="00871292">
        <w:rPr>
          <w:iCs/>
        </w:rPr>
        <w:t xml:space="preserve"> and critical appraisal of results</w:t>
      </w:r>
      <w:r w:rsidRPr="00871292">
        <w:rPr>
          <w:iCs/>
        </w:rPr>
        <w:t>. For example, the submission did not present the literature search</w:t>
      </w:r>
      <w:r w:rsidR="00E150AD" w:rsidRPr="00871292">
        <w:rPr>
          <w:iCs/>
        </w:rPr>
        <w:t>,</w:t>
      </w:r>
      <w:r w:rsidRPr="00871292">
        <w:rPr>
          <w:iCs/>
        </w:rPr>
        <w:t xml:space="preserve"> selection criteria, trial design</w:t>
      </w:r>
      <w:r w:rsidR="00E150AD" w:rsidRPr="00871292">
        <w:rPr>
          <w:iCs/>
        </w:rPr>
        <w:t>s</w:t>
      </w:r>
      <w:r w:rsidRPr="00871292">
        <w:rPr>
          <w:iCs/>
        </w:rPr>
        <w:t xml:space="preserve"> or patient characteristics</w:t>
      </w:r>
      <w:r w:rsidR="00E150AD" w:rsidRPr="00871292">
        <w:rPr>
          <w:iCs/>
        </w:rPr>
        <w:t>. Hence, it was unclear whether all relevant trials had been included or whether the trials/patients were adequately similar for indirect comparison. There also appeared to be some discrepancies in</w:t>
      </w:r>
      <w:r w:rsidR="005076C6" w:rsidRPr="00871292">
        <w:rPr>
          <w:iCs/>
        </w:rPr>
        <w:t xml:space="preserve"> the submission’s approach for these supportive analyses. For example, the comparison versus ixekizumab excluded one trial previously considered by the PBAC comparing ixekizumab to placebo (COAST-W, NCT02696798), and a ‘supportive’ indirect comparison versus ADA </w:t>
      </w:r>
      <w:r w:rsidR="00175C4D" w:rsidRPr="00871292">
        <w:rPr>
          <w:iCs/>
        </w:rPr>
        <w:t xml:space="preserve">for ASAS20 </w:t>
      </w:r>
      <w:r w:rsidR="005076C6" w:rsidRPr="00871292">
        <w:rPr>
          <w:iCs/>
        </w:rPr>
        <w:t>excluded one of the included trials in the primary indirect comparison presented above (M03-606).</w:t>
      </w:r>
    </w:p>
    <w:p w:rsidR="00B60939" w:rsidRPr="00871292" w:rsidRDefault="00B60939" w:rsidP="00D86231">
      <w:pPr>
        <w:pStyle w:val="4-SubsectionHeading"/>
      </w:pPr>
      <w:bookmarkStart w:id="14" w:name="_Toc22897642"/>
      <w:bookmarkStart w:id="15" w:name="_Toc59437732"/>
      <w:r w:rsidRPr="00871292">
        <w:t>Comparative harms</w:t>
      </w:r>
      <w:bookmarkEnd w:id="14"/>
      <w:bookmarkEnd w:id="15"/>
    </w:p>
    <w:p w:rsidR="00F52A4C" w:rsidRPr="00871292" w:rsidRDefault="00F52A4C" w:rsidP="00D86231">
      <w:pPr>
        <w:pStyle w:val="3-BodyText"/>
      </w:pPr>
      <w:r w:rsidRPr="00871292">
        <w:t>In SELECT-AXIS 1, the incidence of any AEs and drug-related AEs was higher in patients treated with UPA (Week 14) and ADA (Week 12-16) compared to placebo. The majority of AEs were mild to moderate in severity</w:t>
      </w:r>
      <w:r w:rsidR="00871292">
        <w:t xml:space="preserve">. </w:t>
      </w:r>
      <w:r w:rsidRPr="00871292">
        <w:t>Across the trials, the incidence of serious AEs and AEs leading to discontinuations were low. The most frequently reported AEs in SELECT-AXIS 1 were blood creatine phosphokinase elevation, diarrhoea and nasopharyngitis and in the ADA trials were nasopharyngitis, headaches and upper respiratory tract infection. In the ADA trials, higher incidence of injection site reactions was experienced by patients treated with ADA compared to placebo.</w:t>
      </w:r>
    </w:p>
    <w:p w:rsidR="00F52A4C" w:rsidRPr="00871292" w:rsidRDefault="00F52A4C" w:rsidP="00D86231">
      <w:pPr>
        <w:pStyle w:val="3-BodyText"/>
      </w:pPr>
      <w:r w:rsidRPr="00871292">
        <w:t>Table 6 presents the indirect comparison of the AEs in the safety population for AS for the double-blind period of the included trials using placebo as the common reference. The indirect comparison indicated that there was no statistically significant difference in any AEs, drug related AEs between UPA and ADA. The risk of AEs leading to discontinuations and any infections were numerically lower for UPA compared to ADA.</w:t>
      </w:r>
    </w:p>
    <w:p w:rsidR="00663A16" w:rsidRPr="00871292" w:rsidRDefault="00663A16">
      <w:pPr>
        <w:jc w:val="left"/>
        <w:rPr>
          <w:rFonts w:ascii="Arial Narrow" w:hAnsi="Arial Narrow"/>
          <w:b/>
          <w:bCs/>
          <w:snapToGrid w:val="0"/>
          <w:sz w:val="20"/>
          <w:szCs w:val="20"/>
          <w:lang w:eastAsia="en-US"/>
        </w:rPr>
      </w:pPr>
      <w:r w:rsidRPr="00871292">
        <w:rPr>
          <w:rFonts w:ascii="Arial Narrow" w:hAnsi="Arial Narrow"/>
          <w:b/>
          <w:bCs/>
          <w:snapToGrid w:val="0"/>
          <w:sz w:val="20"/>
          <w:szCs w:val="20"/>
          <w:lang w:eastAsia="en-US"/>
        </w:rPr>
        <w:br w:type="page"/>
      </w:r>
    </w:p>
    <w:p w:rsidR="00F52A4C" w:rsidRPr="00871292" w:rsidRDefault="00F52A4C" w:rsidP="00F52A4C">
      <w:pPr>
        <w:widowControl w:val="0"/>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lastRenderedPageBreak/>
        <w:t>Table 6: Adverse events (AEs) in patients with AS during the double-blind period (ITT)</w:t>
      </w:r>
    </w:p>
    <w:tbl>
      <w:tblPr>
        <w:tblStyle w:val="TableGrid"/>
        <w:tblW w:w="5000" w:type="pct"/>
        <w:tblCellMar>
          <w:left w:w="28" w:type="dxa"/>
          <w:right w:w="28" w:type="dxa"/>
        </w:tblCellMar>
        <w:tblLook w:val="04A0" w:firstRow="1" w:lastRow="0" w:firstColumn="1" w:lastColumn="0" w:noHBand="0" w:noVBand="1"/>
        <w:tblCaption w:val="Table 6: Adverse events (AEs) in patients with AS during the double-blind period (ITT)"/>
      </w:tblPr>
      <w:tblGrid>
        <w:gridCol w:w="2965"/>
        <w:gridCol w:w="1571"/>
        <w:gridCol w:w="1276"/>
        <w:gridCol w:w="1558"/>
        <w:gridCol w:w="1657"/>
      </w:tblGrid>
      <w:tr w:rsidR="00F52A4C" w:rsidRPr="00871292" w:rsidTr="001D64E8">
        <w:trPr>
          <w:tblHeader/>
        </w:trPr>
        <w:tc>
          <w:tcPr>
            <w:tcW w:w="1642" w:type="pct"/>
            <w:tcBorders>
              <w:top w:val="single" w:sz="4" w:space="0" w:color="auto"/>
              <w:left w:val="nil"/>
              <w:bottom w:val="single" w:sz="4" w:space="0" w:color="auto"/>
              <w:right w:val="nil"/>
            </w:tcBorders>
            <w:vAlign w:val="center"/>
          </w:tcPr>
          <w:p w:rsidR="00F52A4C" w:rsidRPr="00871292" w:rsidRDefault="00F52A4C"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Trial</w:t>
            </w:r>
          </w:p>
        </w:tc>
        <w:tc>
          <w:tcPr>
            <w:tcW w:w="870" w:type="pct"/>
            <w:tcBorders>
              <w:top w:val="single" w:sz="4" w:space="0" w:color="auto"/>
              <w:left w:val="nil"/>
              <w:bottom w:val="single" w:sz="4" w:space="0" w:color="auto"/>
              <w:right w:val="nil"/>
            </w:tcBorders>
            <w:vAlign w:val="center"/>
          </w:tcPr>
          <w:p w:rsidR="00F52A4C" w:rsidRPr="00871292" w:rsidRDefault="00F52A4C"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Drug</w:t>
            </w:r>
          </w:p>
          <w:p w:rsidR="00F52A4C" w:rsidRPr="00871292" w:rsidRDefault="00F52A4C"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n/N (%)</w:t>
            </w:r>
          </w:p>
        </w:tc>
        <w:tc>
          <w:tcPr>
            <w:tcW w:w="707" w:type="pct"/>
            <w:tcBorders>
              <w:top w:val="single" w:sz="4" w:space="0" w:color="auto"/>
              <w:left w:val="nil"/>
              <w:bottom w:val="single" w:sz="4" w:space="0" w:color="auto"/>
              <w:right w:val="nil"/>
            </w:tcBorders>
            <w:vAlign w:val="center"/>
          </w:tcPr>
          <w:p w:rsidR="00F52A4C" w:rsidRPr="00871292" w:rsidRDefault="00F52A4C"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Control</w:t>
            </w:r>
          </w:p>
          <w:p w:rsidR="00F52A4C" w:rsidRPr="00871292" w:rsidRDefault="00F52A4C"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n/N (%)</w:t>
            </w:r>
          </w:p>
        </w:tc>
        <w:tc>
          <w:tcPr>
            <w:tcW w:w="863" w:type="pct"/>
            <w:tcBorders>
              <w:top w:val="single" w:sz="4" w:space="0" w:color="auto"/>
              <w:left w:val="nil"/>
              <w:bottom w:val="single" w:sz="4" w:space="0" w:color="auto"/>
              <w:right w:val="nil"/>
            </w:tcBorders>
            <w:vAlign w:val="center"/>
          </w:tcPr>
          <w:p w:rsidR="00F52A4C" w:rsidRPr="00871292" w:rsidRDefault="00F52A4C" w:rsidP="008C4AE0">
            <w:pPr>
              <w:widowControl w:val="0"/>
              <w:jc w:val="center"/>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t>RR</w:t>
            </w:r>
          </w:p>
          <w:p w:rsidR="00F52A4C" w:rsidRPr="00871292" w:rsidRDefault="00F52A4C"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(95%CI)</w:t>
            </w:r>
          </w:p>
        </w:tc>
        <w:tc>
          <w:tcPr>
            <w:tcW w:w="918" w:type="pct"/>
            <w:tcBorders>
              <w:top w:val="single" w:sz="4" w:space="0" w:color="auto"/>
              <w:left w:val="nil"/>
              <w:bottom w:val="single" w:sz="4" w:space="0" w:color="auto"/>
              <w:right w:val="nil"/>
            </w:tcBorders>
            <w:vAlign w:val="center"/>
          </w:tcPr>
          <w:p w:rsidR="00F52A4C" w:rsidRPr="00871292" w:rsidRDefault="00F52A4C" w:rsidP="008C4AE0">
            <w:pPr>
              <w:widowControl w:val="0"/>
              <w:jc w:val="center"/>
              <w:rPr>
                <w:rFonts w:ascii="Arial Narrow" w:hAnsi="Arial Narrow"/>
                <w:b/>
                <w:bCs/>
                <w:snapToGrid w:val="0"/>
                <w:sz w:val="20"/>
                <w:szCs w:val="20"/>
                <w:vertAlign w:val="superscript"/>
                <w:lang w:eastAsia="en-US"/>
              </w:rPr>
            </w:pPr>
            <w:r w:rsidRPr="00871292">
              <w:rPr>
                <w:rFonts w:ascii="Arial Narrow" w:hAnsi="Arial Narrow"/>
                <w:b/>
                <w:bCs/>
                <w:snapToGrid w:val="0"/>
                <w:sz w:val="20"/>
                <w:szCs w:val="20"/>
                <w:lang w:eastAsia="en-US"/>
              </w:rPr>
              <w:t>RD</w:t>
            </w:r>
          </w:p>
          <w:p w:rsidR="00F52A4C" w:rsidRPr="00871292" w:rsidRDefault="00F52A4C"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(95%CI)</w:t>
            </w:r>
          </w:p>
        </w:tc>
      </w:tr>
      <w:tr w:rsidR="00F52A4C" w:rsidRPr="00871292" w:rsidTr="008C4AE0">
        <w:tc>
          <w:tcPr>
            <w:tcW w:w="5000" w:type="pct"/>
            <w:gridSpan w:val="5"/>
            <w:tcBorders>
              <w:top w:val="single" w:sz="4" w:space="0" w:color="auto"/>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b/>
                <w:bCs/>
                <w:snapToGrid w:val="0"/>
                <w:color w:val="CC0000"/>
                <w:sz w:val="20"/>
                <w:szCs w:val="20"/>
                <w:lang w:eastAsia="en-US"/>
              </w:rPr>
              <w:t>Any AEs</w:t>
            </w:r>
          </w:p>
        </w:tc>
      </w:tr>
      <w:tr w:rsidR="00F52A4C" w:rsidRPr="00871292" w:rsidTr="008C4AE0">
        <w:tc>
          <w:tcPr>
            <w:tcW w:w="3219" w:type="pct"/>
            <w:gridSpan w:val="3"/>
            <w:tcBorders>
              <w:top w:val="nil"/>
              <w:left w:val="nil"/>
              <w:bottom w:val="nil"/>
              <w:right w:val="nil"/>
            </w:tcBorders>
          </w:tcPr>
          <w:p w:rsidR="00F52A4C" w:rsidRPr="00871292" w:rsidRDefault="00F52A4C"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UPA 15mg D v PBO</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SELECT-AXIS 1 (n=187), Wk 14</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58/93 (62.4)</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52/94 (55.3)</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1.13 (0.89, 1.43)</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0.07 (-0.07, 0.21)</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b/>
                <w:bCs/>
                <w:snapToGrid w:val="0"/>
                <w:sz w:val="20"/>
                <w:szCs w:val="20"/>
                <w:lang w:eastAsia="en-US"/>
              </w:rPr>
              <w:t>ADA 40mg Q2W v PBO</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ATLAS (n=315),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140/208 (67.3)</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61/107 (57.0)</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1.18 (0.98, 1.43)</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0.10 (-0.01, 0.22)</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M03-606 (n=82),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31/38 (81.6)</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28/44 (63.6)</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1.28 (0.98, 1.68)</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0.18 (-0.01, 0.37)</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Huang 2014 (n=344),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81/229 (35.4)</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26/115 (22.6)</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1.56 (1.07, 2.29)</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0.13 (0.03, 0.23)</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COAST-V (n=177)^, Wk 16</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44/90 (49.0)</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34/86 (39.5)</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1.24 (0.88, 1.73)</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0.09 (-0.05, 0.24)</w:t>
            </w:r>
          </w:p>
        </w:tc>
      </w:tr>
      <w:tr w:rsidR="00F52A4C" w:rsidRPr="00871292" w:rsidTr="008C4AE0">
        <w:tc>
          <w:tcPr>
            <w:tcW w:w="1642" w:type="pct"/>
            <w:tcBorders>
              <w:top w:val="nil"/>
              <w:left w:val="nil"/>
              <w:bottom w:val="single" w:sz="4" w:space="0" w:color="auto"/>
              <w:right w:val="nil"/>
            </w:tcBorders>
          </w:tcPr>
          <w:p w:rsidR="00F52A4C" w:rsidRPr="00871292" w:rsidRDefault="00F52A4C" w:rsidP="008C4AE0">
            <w:pPr>
              <w:widowControl w:val="0"/>
              <w:jc w:val="right"/>
              <w:rPr>
                <w:rFonts w:ascii="Arial Narrow" w:hAnsi="Arial Narrow"/>
                <w:snapToGrid w:val="0"/>
                <w:sz w:val="20"/>
                <w:szCs w:val="20"/>
                <w:lang w:eastAsia="en-US"/>
              </w:rPr>
            </w:pPr>
            <w:r w:rsidRPr="00871292">
              <w:rPr>
                <w:rFonts w:ascii="Arial Narrow" w:hAnsi="Arial Narrow"/>
                <w:snapToGrid w:val="0"/>
                <w:sz w:val="20"/>
                <w:szCs w:val="20"/>
                <w:lang w:eastAsia="en-US"/>
              </w:rPr>
              <w:t>Meta-analysis (Wk 12/16)</w:t>
            </w:r>
          </w:p>
        </w:tc>
        <w:tc>
          <w:tcPr>
            <w:tcW w:w="870"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296/565 (52.4)</w:t>
            </w:r>
          </w:p>
        </w:tc>
        <w:tc>
          <w:tcPr>
            <w:tcW w:w="707"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149/352 (42.3)</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1.25 (1.10, 1.43)</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
                <w:snapToGrid w:val="0"/>
                <w:sz w:val="20"/>
                <w:szCs w:val="20"/>
                <w:lang w:eastAsia="en-US"/>
              </w:rPr>
            </w:pPr>
            <w:r w:rsidRPr="00871292">
              <w:rPr>
                <w:rFonts w:ascii="Arial Narrow" w:hAnsi="Arial Narrow"/>
                <w:b/>
                <w:snapToGrid w:val="0"/>
                <w:sz w:val="20"/>
                <w:szCs w:val="20"/>
                <w:lang w:eastAsia="en-US"/>
              </w:rPr>
              <w:t>0.12 (0.06, 0.18)</w:t>
            </w:r>
          </w:p>
        </w:tc>
      </w:tr>
      <w:tr w:rsidR="00F52A4C" w:rsidRPr="00871292" w:rsidTr="008C4AE0">
        <w:tc>
          <w:tcPr>
            <w:tcW w:w="5000" w:type="pct"/>
            <w:gridSpan w:val="5"/>
            <w:tcBorders>
              <w:top w:val="single" w:sz="4" w:space="0" w:color="auto"/>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b/>
                <w:bCs/>
                <w:snapToGrid w:val="0"/>
                <w:color w:val="CC0000"/>
                <w:sz w:val="20"/>
                <w:szCs w:val="20"/>
                <w:lang w:eastAsia="en-US"/>
              </w:rPr>
              <w:t>Drug-related AEs</w:t>
            </w:r>
          </w:p>
        </w:tc>
      </w:tr>
      <w:tr w:rsidR="00F52A4C" w:rsidRPr="00871292" w:rsidTr="008C4AE0">
        <w:tc>
          <w:tcPr>
            <w:tcW w:w="3219" w:type="pct"/>
            <w:gridSpan w:val="3"/>
            <w:tcBorders>
              <w:top w:val="nil"/>
              <w:left w:val="nil"/>
              <w:bottom w:val="nil"/>
              <w:right w:val="nil"/>
            </w:tcBorders>
          </w:tcPr>
          <w:p w:rsidR="00F52A4C" w:rsidRPr="00871292" w:rsidRDefault="00F52A4C"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UPA 15mg D v PBO</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SELECT-AXIS 1 (n=187), Wk 14</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27/93 (29.0)</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17/94 (18.1)</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1.61 (0.94, 2.74)</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0.11 (-0.01,0.23)</w:t>
            </w:r>
          </w:p>
        </w:tc>
      </w:tr>
      <w:tr w:rsidR="00F52A4C" w:rsidRPr="00871292" w:rsidTr="008C4AE0">
        <w:tc>
          <w:tcPr>
            <w:tcW w:w="3219" w:type="pct"/>
            <w:gridSpan w:val="3"/>
            <w:tcBorders>
              <w:top w:val="nil"/>
              <w:left w:val="nil"/>
              <w:bottom w:val="nil"/>
              <w:right w:val="nil"/>
            </w:tcBorders>
          </w:tcPr>
          <w:p w:rsidR="00F52A4C" w:rsidRPr="00871292" w:rsidRDefault="00F52A4C"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ADA 40mg Q2W v PBO</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ATLAS (n=315),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59/208 (28.4)</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16/107 (15.0)</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
                <w:bCs/>
                <w:i/>
                <w:snapToGrid w:val="0"/>
                <w:sz w:val="20"/>
                <w:szCs w:val="20"/>
                <w:lang w:eastAsia="en-US"/>
              </w:rPr>
            </w:pPr>
            <w:r w:rsidRPr="00871292">
              <w:rPr>
                <w:rFonts w:ascii="Arial Narrow" w:hAnsi="Arial Narrow"/>
                <w:b/>
                <w:bCs/>
                <w:i/>
                <w:snapToGrid w:val="0"/>
                <w:sz w:val="20"/>
                <w:szCs w:val="20"/>
                <w:lang w:eastAsia="en-US"/>
              </w:rPr>
              <w:t>1.90 (1.15, 3.13)</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
                <w:i/>
                <w:snapToGrid w:val="0"/>
                <w:sz w:val="20"/>
                <w:szCs w:val="20"/>
                <w:lang w:eastAsia="en-US"/>
              </w:rPr>
            </w:pPr>
            <w:r w:rsidRPr="00871292">
              <w:rPr>
                <w:rFonts w:ascii="Arial Narrow" w:hAnsi="Arial Narrow"/>
                <w:b/>
                <w:i/>
                <w:snapToGrid w:val="0"/>
                <w:sz w:val="20"/>
                <w:szCs w:val="20"/>
                <w:lang w:eastAsia="en-US"/>
              </w:rPr>
              <w:t>0.13 (0.04, 0.23)</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M03-606 (n=82),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10/38 (26.3)</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13/44 (29.5)</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0.89 (0.44, 1.80)</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-0.03 (-0.23, 0.16)</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Huang 2014 (n=344),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COAST-V (n=177)^, Wk 16</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NR</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NR</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w:t>
            </w:r>
          </w:p>
        </w:tc>
      </w:tr>
      <w:tr w:rsidR="00F52A4C" w:rsidRPr="00871292" w:rsidTr="008C4AE0">
        <w:tc>
          <w:tcPr>
            <w:tcW w:w="1642" w:type="pct"/>
            <w:tcBorders>
              <w:top w:val="nil"/>
              <w:left w:val="nil"/>
              <w:bottom w:val="single" w:sz="4" w:space="0" w:color="auto"/>
              <w:right w:val="nil"/>
            </w:tcBorders>
          </w:tcPr>
          <w:p w:rsidR="00F52A4C" w:rsidRPr="00871292" w:rsidRDefault="00F52A4C" w:rsidP="008C4AE0">
            <w:pPr>
              <w:widowControl w:val="0"/>
              <w:jc w:val="right"/>
              <w:rPr>
                <w:rFonts w:ascii="Arial Narrow" w:hAnsi="Arial Narrow"/>
                <w:snapToGrid w:val="0"/>
                <w:sz w:val="20"/>
                <w:szCs w:val="20"/>
                <w:lang w:eastAsia="en-US"/>
              </w:rPr>
            </w:pPr>
            <w:r w:rsidRPr="00871292">
              <w:rPr>
                <w:rFonts w:ascii="Arial Narrow" w:hAnsi="Arial Narrow"/>
                <w:snapToGrid w:val="0"/>
                <w:sz w:val="20"/>
                <w:szCs w:val="20"/>
                <w:lang w:eastAsia="en-US"/>
              </w:rPr>
              <w:t>Meta-analysis (Wk 12/16)</w:t>
            </w:r>
          </w:p>
        </w:tc>
        <w:tc>
          <w:tcPr>
            <w:tcW w:w="870"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69/475 (14.5)</w:t>
            </w:r>
          </w:p>
        </w:tc>
        <w:tc>
          <w:tcPr>
            <w:tcW w:w="707"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29/266 (10.9)</w:t>
            </w:r>
          </w:p>
        </w:tc>
        <w:tc>
          <w:tcPr>
            <w:tcW w:w="863"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bCs/>
                <w:snapToGrid w:val="0"/>
                <w:sz w:val="20"/>
                <w:szCs w:val="20"/>
                <w:lang w:eastAsia="en-US"/>
              </w:rPr>
            </w:pPr>
            <w:r w:rsidRPr="00871292">
              <w:rPr>
                <w:rFonts w:ascii="Arial Narrow" w:hAnsi="Arial Narrow"/>
                <w:bCs/>
                <w:snapToGrid w:val="0"/>
                <w:sz w:val="20"/>
                <w:szCs w:val="20"/>
                <w:lang w:eastAsia="en-US"/>
              </w:rPr>
              <w:t>1.35 (0.65, 2.84)</w:t>
            </w:r>
          </w:p>
        </w:tc>
        <w:tc>
          <w:tcPr>
            <w:tcW w:w="918"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0.04 (-0.24, 0.31)</w:t>
            </w:r>
          </w:p>
        </w:tc>
      </w:tr>
      <w:tr w:rsidR="00F52A4C" w:rsidRPr="00871292" w:rsidTr="008C4AE0">
        <w:tc>
          <w:tcPr>
            <w:tcW w:w="5000" w:type="pct"/>
            <w:gridSpan w:val="5"/>
            <w:tcBorders>
              <w:top w:val="single" w:sz="4" w:space="0" w:color="auto"/>
              <w:left w:val="nil"/>
              <w:bottom w:val="nil"/>
              <w:right w:val="nil"/>
            </w:tcBorders>
            <w:vAlign w:val="center"/>
          </w:tcPr>
          <w:p w:rsidR="00F52A4C" w:rsidRPr="00871292" w:rsidRDefault="00F52A4C" w:rsidP="008C4AE0">
            <w:pPr>
              <w:widowControl w:val="0"/>
              <w:rPr>
                <w:rFonts w:ascii="Arial Narrow" w:hAnsi="Arial Narrow"/>
                <w:b/>
                <w:bCs/>
                <w:snapToGrid w:val="0"/>
                <w:color w:val="CC0000"/>
                <w:sz w:val="20"/>
                <w:szCs w:val="20"/>
                <w:lang w:eastAsia="en-US"/>
              </w:rPr>
            </w:pPr>
            <w:r w:rsidRPr="00871292">
              <w:rPr>
                <w:rFonts w:ascii="Arial Narrow" w:hAnsi="Arial Narrow"/>
                <w:b/>
                <w:bCs/>
                <w:snapToGrid w:val="0"/>
                <w:color w:val="CC0000"/>
                <w:sz w:val="20"/>
                <w:szCs w:val="20"/>
                <w:lang w:eastAsia="en-US"/>
              </w:rPr>
              <w:t>Discontinuations due to AEs</w:t>
            </w:r>
          </w:p>
        </w:tc>
      </w:tr>
      <w:tr w:rsidR="00F52A4C" w:rsidRPr="00871292" w:rsidTr="008C4AE0">
        <w:tc>
          <w:tcPr>
            <w:tcW w:w="3219" w:type="pct"/>
            <w:gridSpan w:val="3"/>
            <w:tcBorders>
              <w:top w:val="nil"/>
              <w:left w:val="nil"/>
              <w:bottom w:val="nil"/>
              <w:right w:val="nil"/>
            </w:tcBorders>
          </w:tcPr>
          <w:p w:rsidR="00F52A4C" w:rsidRPr="00871292" w:rsidRDefault="00F52A4C" w:rsidP="008C4AE0">
            <w:pPr>
              <w:widowControl w:val="0"/>
              <w:rPr>
                <w:rFonts w:ascii="Arial Narrow" w:hAnsi="Arial Narrow"/>
                <w:b/>
                <w:bCs/>
                <w:i/>
                <w:snapToGrid w:val="0"/>
                <w:sz w:val="20"/>
                <w:szCs w:val="20"/>
                <w:lang w:eastAsia="en-US"/>
              </w:rPr>
            </w:pPr>
            <w:r w:rsidRPr="00871292">
              <w:rPr>
                <w:rFonts w:ascii="Arial Narrow" w:hAnsi="Arial Narrow"/>
                <w:b/>
                <w:bCs/>
                <w:snapToGrid w:val="0"/>
                <w:sz w:val="20"/>
                <w:szCs w:val="20"/>
                <w:lang w:eastAsia="en-US"/>
              </w:rPr>
              <w:t>UPA 15mg D v PBO</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i/>
                <w:snapToGrid w:val="0"/>
                <w:sz w:val="20"/>
                <w:szCs w:val="20"/>
                <w:lang w:eastAsia="en-US"/>
              </w:rPr>
            </w:pPr>
            <w:r w:rsidRPr="00871292">
              <w:rPr>
                <w:rFonts w:ascii="Arial Narrow" w:hAnsi="Arial Narrow"/>
                <w:snapToGrid w:val="0"/>
                <w:sz w:val="20"/>
                <w:szCs w:val="20"/>
                <w:lang w:eastAsia="en-US"/>
              </w:rPr>
              <w:t>SELECT-AXIS 1 (n=187), Wk 14</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2/93 (2.2)</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3/94 (3.2)</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snapToGrid w:val="0"/>
                <w:sz w:val="20"/>
                <w:szCs w:val="20"/>
                <w:lang w:eastAsia="en-US"/>
              </w:rPr>
            </w:pPr>
            <w:r w:rsidRPr="00871292">
              <w:rPr>
                <w:rFonts w:ascii="Arial Narrow" w:hAnsi="Arial Narrow"/>
                <w:bCs/>
                <w:snapToGrid w:val="0"/>
                <w:sz w:val="20"/>
                <w:szCs w:val="20"/>
                <w:lang w:eastAsia="en-US"/>
              </w:rPr>
              <w:t>0.67 (0.12, 3.94)</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-0.01 (-0.06, 0.04)</w:t>
            </w:r>
          </w:p>
        </w:tc>
      </w:tr>
      <w:tr w:rsidR="00F52A4C" w:rsidRPr="00871292" w:rsidTr="008C4AE0">
        <w:tc>
          <w:tcPr>
            <w:tcW w:w="3219" w:type="pct"/>
            <w:gridSpan w:val="3"/>
            <w:tcBorders>
              <w:top w:val="nil"/>
              <w:left w:val="nil"/>
              <w:bottom w:val="nil"/>
              <w:right w:val="nil"/>
            </w:tcBorders>
          </w:tcPr>
          <w:p w:rsidR="00F52A4C" w:rsidRPr="00871292" w:rsidRDefault="00F52A4C" w:rsidP="008C4AE0">
            <w:pPr>
              <w:widowControl w:val="0"/>
              <w:rPr>
                <w:rFonts w:ascii="Arial Narrow" w:hAnsi="Arial Narrow"/>
                <w:iCs/>
                <w:snapToGrid w:val="0"/>
                <w:sz w:val="20"/>
                <w:szCs w:val="20"/>
                <w:lang w:eastAsia="en-US"/>
              </w:rPr>
            </w:pPr>
            <w:r w:rsidRPr="00871292">
              <w:rPr>
                <w:rFonts w:ascii="Arial Narrow" w:hAnsi="Arial Narrow"/>
                <w:b/>
                <w:bCs/>
                <w:snapToGrid w:val="0"/>
                <w:sz w:val="20"/>
                <w:szCs w:val="20"/>
                <w:lang w:eastAsia="en-US"/>
              </w:rPr>
              <w:t>ADA 40mg Q2W v PBO</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iCs/>
                <w:snapToGrid w:val="0"/>
                <w:sz w:val="20"/>
                <w:szCs w:val="20"/>
                <w:lang w:eastAsia="en-US"/>
              </w:rPr>
            </w:pP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i/>
                <w:iCs/>
                <w:snapToGrid w:val="0"/>
                <w:sz w:val="20"/>
                <w:szCs w:val="20"/>
                <w:lang w:eastAsia="en-US"/>
              </w:rPr>
            </w:pPr>
            <w:r w:rsidRPr="00871292">
              <w:rPr>
                <w:rFonts w:ascii="Arial Narrow" w:hAnsi="Arial Narrow"/>
                <w:snapToGrid w:val="0"/>
                <w:sz w:val="20"/>
                <w:szCs w:val="20"/>
                <w:lang w:eastAsia="en-US"/>
              </w:rPr>
              <w:t>ATLAS (n=315),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cs="Times New Roman"/>
                <w:sz w:val="20"/>
                <w:szCs w:val="20"/>
                <w:lang w:eastAsia="en-US"/>
              </w:rPr>
              <w:t>2/208 (1.0)</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cs="Times New Roman"/>
                <w:sz w:val="20"/>
                <w:szCs w:val="20"/>
                <w:lang w:eastAsia="en-US"/>
              </w:rPr>
              <w:t>2/107 (1.9)</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iCs/>
                <w:snapToGrid w:val="0"/>
                <w:sz w:val="20"/>
                <w:szCs w:val="20"/>
                <w:lang w:eastAsia="en-US"/>
              </w:rPr>
            </w:pPr>
            <w:r w:rsidRPr="00871292">
              <w:rPr>
                <w:rFonts w:ascii="Arial Narrow" w:hAnsi="Arial Narrow"/>
                <w:bCs/>
                <w:i/>
                <w:iCs/>
                <w:snapToGrid w:val="0"/>
                <w:sz w:val="20"/>
                <w:szCs w:val="20"/>
                <w:lang w:eastAsia="en-US"/>
              </w:rPr>
              <w:t>0.51 (0.07, 3.60)</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iCs/>
                <w:snapToGrid w:val="0"/>
                <w:sz w:val="20"/>
                <w:szCs w:val="20"/>
                <w:lang w:eastAsia="en-US"/>
              </w:rPr>
            </w:pPr>
            <w:r w:rsidRPr="00871292">
              <w:rPr>
                <w:rFonts w:ascii="Arial Narrow" w:hAnsi="Arial Narrow"/>
                <w:i/>
                <w:iCs/>
                <w:snapToGrid w:val="0"/>
                <w:sz w:val="20"/>
                <w:szCs w:val="20"/>
                <w:lang w:eastAsia="en-US"/>
              </w:rPr>
              <w:t>-0.01 (-0.04, 0.02)</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i/>
                <w:iCs/>
                <w:snapToGrid w:val="0"/>
                <w:sz w:val="20"/>
                <w:szCs w:val="20"/>
                <w:lang w:eastAsia="en-US"/>
              </w:rPr>
            </w:pPr>
            <w:r w:rsidRPr="00871292">
              <w:rPr>
                <w:rFonts w:ascii="Arial Narrow" w:hAnsi="Arial Narrow"/>
                <w:snapToGrid w:val="0"/>
                <w:sz w:val="20"/>
                <w:szCs w:val="20"/>
                <w:lang w:eastAsia="en-US"/>
              </w:rPr>
              <w:t>M03-606 (n=82),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iCs/>
                <w:snapToGrid w:val="0"/>
                <w:sz w:val="20"/>
                <w:szCs w:val="20"/>
                <w:lang w:eastAsia="en-US"/>
              </w:rPr>
              <w:t>0</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iCs/>
                <w:snapToGrid w:val="0"/>
                <w:sz w:val="20"/>
                <w:szCs w:val="20"/>
                <w:lang w:eastAsia="en-US"/>
              </w:rPr>
              <w:t>0</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iCs/>
                <w:snapToGrid w:val="0"/>
                <w:sz w:val="20"/>
                <w:szCs w:val="20"/>
                <w:lang w:eastAsia="en-US"/>
              </w:rPr>
            </w:pPr>
            <w:r w:rsidRPr="00871292">
              <w:rPr>
                <w:rFonts w:ascii="Arial Narrow" w:hAnsi="Arial Narrow"/>
                <w:bCs/>
                <w:i/>
                <w:iCs/>
                <w:snapToGrid w:val="0"/>
                <w:sz w:val="20"/>
                <w:szCs w:val="20"/>
                <w:lang w:eastAsia="en-US"/>
              </w:rPr>
              <w:t>-</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iCs/>
                <w:snapToGrid w:val="0"/>
                <w:sz w:val="20"/>
                <w:szCs w:val="20"/>
                <w:lang w:eastAsia="en-US"/>
              </w:rPr>
            </w:pPr>
            <w:r w:rsidRPr="00871292">
              <w:rPr>
                <w:rFonts w:ascii="Arial Narrow" w:hAnsi="Arial Narrow"/>
                <w:i/>
                <w:iCs/>
                <w:snapToGrid w:val="0"/>
                <w:sz w:val="20"/>
                <w:szCs w:val="20"/>
                <w:lang w:eastAsia="en-US"/>
              </w:rPr>
              <w:t>-</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i/>
                <w:iCs/>
                <w:snapToGrid w:val="0"/>
                <w:sz w:val="20"/>
                <w:szCs w:val="20"/>
                <w:lang w:eastAsia="en-US"/>
              </w:rPr>
            </w:pPr>
            <w:r w:rsidRPr="00871292">
              <w:rPr>
                <w:rFonts w:ascii="Arial Narrow" w:hAnsi="Arial Narrow"/>
                <w:snapToGrid w:val="0"/>
                <w:sz w:val="20"/>
                <w:szCs w:val="20"/>
                <w:lang w:eastAsia="en-US"/>
              </w:rPr>
              <w:t>Huang 2014 (n=344),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cs="Times New Roman"/>
                <w:sz w:val="20"/>
                <w:szCs w:val="20"/>
                <w:lang w:eastAsia="en-US"/>
              </w:rPr>
              <w:t>4/229 (1.7)</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iCs/>
                <w:snapToGrid w:val="0"/>
                <w:sz w:val="20"/>
                <w:szCs w:val="20"/>
                <w:lang w:eastAsia="en-US"/>
              </w:rPr>
              <w:t>0</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iCs/>
                <w:snapToGrid w:val="0"/>
                <w:sz w:val="20"/>
                <w:szCs w:val="20"/>
                <w:lang w:eastAsia="en-US"/>
              </w:rPr>
            </w:pPr>
            <w:r w:rsidRPr="00871292">
              <w:rPr>
                <w:rFonts w:ascii="Arial Narrow" w:hAnsi="Arial Narrow"/>
                <w:bCs/>
                <w:i/>
                <w:iCs/>
                <w:snapToGrid w:val="0"/>
                <w:sz w:val="20"/>
                <w:szCs w:val="20"/>
                <w:lang w:eastAsia="en-US"/>
              </w:rPr>
              <w:t>4.54 (0.25, 83.59)</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iCs/>
                <w:snapToGrid w:val="0"/>
                <w:sz w:val="20"/>
                <w:szCs w:val="20"/>
                <w:lang w:eastAsia="en-US"/>
              </w:rPr>
            </w:pPr>
            <w:r w:rsidRPr="00871292">
              <w:rPr>
                <w:rFonts w:ascii="Arial Narrow" w:hAnsi="Arial Narrow"/>
                <w:i/>
                <w:iCs/>
                <w:snapToGrid w:val="0"/>
                <w:sz w:val="20"/>
                <w:szCs w:val="20"/>
                <w:lang w:eastAsia="en-US"/>
              </w:rPr>
              <w:t>0.02 (-0.00, 0.04)</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i/>
                <w:iCs/>
                <w:snapToGrid w:val="0"/>
                <w:sz w:val="20"/>
                <w:szCs w:val="20"/>
                <w:lang w:eastAsia="en-US"/>
              </w:rPr>
            </w:pPr>
            <w:r w:rsidRPr="00871292">
              <w:rPr>
                <w:rFonts w:ascii="Arial Narrow" w:hAnsi="Arial Narrow"/>
                <w:snapToGrid w:val="0"/>
                <w:sz w:val="20"/>
                <w:szCs w:val="20"/>
                <w:lang w:eastAsia="en-US"/>
              </w:rPr>
              <w:t>COAST-V (n=177)^, Wk 16</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cs="Times New Roman"/>
                <w:sz w:val="20"/>
                <w:szCs w:val="20"/>
                <w:lang w:eastAsia="en-US"/>
              </w:rPr>
              <w:t>1/90 (1.1)</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iCs/>
                <w:snapToGrid w:val="0"/>
                <w:sz w:val="20"/>
                <w:szCs w:val="20"/>
                <w:lang w:eastAsia="en-US"/>
              </w:rPr>
              <w:t>0</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iCs/>
                <w:snapToGrid w:val="0"/>
                <w:sz w:val="20"/>
                <w:szCs w:val="20"/>
                <w:lang w:eastAsia="en-US"/>
              </w:rPr>
            </w:pPr>
            <w:r w:rsidRPr="00871292">
              <w:rPr>
                <w:rFonts w:ascii="Arial Narrow" w:hAnsi="Arial Narrow"/>
                <w:bCs/>
                <w:i/>
                <w:iCs/>
                <w:snapToGrid w:val="0"/>
                <w:sz w:val="20"/>
                <w:szCs w:val="20"/>
                <w:lang w:eastAsia="en-US"/>
              </w:rPr>
              <w:t>2.87 (0.12, 69.46)</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iCs/>
                <w:snapToGrid w:val="0"/>
                <w:sz w:val="20"/>
                <w:szCs w:val="20"/>
                <w:lang w:eastAsia="en-US"/>
              </w:rPr>
            </w:pPr>
            <w:r w:rsidRPr="00871292">
              <w:rPr>
                <w:rFonts w:ascii="Arial Narrow" w:hAnsi="Arial Narrow"/>
                <w:i/>
                <w:iCs/>
                <w:snapToGrid w:val="0"/>
                <w:sz w:val="20"/>
                <w:szCs w:val="20"/>
                <w:lang w:eastAsia="en-US"/>
              </w:rPr>
              <w:t>0.01 (-0.02, 0.04)</w:t>
            </w:r>
          </w:p>
        </w:tc>
      </w:tr>
      <w:tr w:rsidR="00F52A4C" w:rsidRPr="00871292" w:rsidTr="008C4AE0">
        <w:tc>
          <w:tcPr>
            <w:tcW w:w="1642" w:type="pct"/>
            <w:tcBorders>
              <w:top w:val="nil"/>
              <w:left w:val="nil"/>
              <w:bottom w:val="single" w:sz="4" w:space="0" w:color="auto"/>
              <w:right w:val="nil"/>
            </w:tcBorders>
          </w:tcPr>
          <w:p w:rsidR="00F52A4C" w:rsidRPr="00871292" w:rsidRDefault="00F52A4C" w:rsidP="008C4AE0">
            <w:pPr>
              <w:widowControl w:val="0"/>
              <w:jc w:val="right"/>
              <w:rPr>
                <w:rFonts w:ascii="Arial Narrow" w:hAnsi="Arial Narrow"/>
                <w:iCs/>
                <w:snapToGrid w:val="0"/>
                <w:sz w:val="20"/>
                <w:szCs w:val="20"/>
                <w:lang w:eastAsia="en-US"/>
              </w:rPr>
            </w:pPr>
            <w:r w:rsidRPr="00871292">
              <w:rPr>
                <w:rFonts w:ascii="Arial Narrow" w:hAnsi="Arial Narrow"/>
                <w:snapToGrid w:val="0"/>
                <w:sz w:val="20"/>
                <w:szCs w:val="20"/>
                <w:lang w:eastAsia="en-US"/>
              </w:rPr>
              <w:t>Meta-analysis (Wk 12/16)</w:t>
            </w:r>
          </w:p>
        </w:tc>
        <w:tc>
          <w:tcPr>
            <w:tcW w:w="870"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iCs/>
                <w:snapToGrid w:val="0"/>
                <w:sz w:val="20"/>
                <w:szCs w:val="20"/>
                <w:lang w:eastAsia="en-US"/>
              </w:rPr>
              <w:t>7/565 (1.2)</w:t>
            </w:r>
          </w:p>
        </w:tc>
        <w:tc>
          <w:tcPr>
            <w:tcW w:w="707"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iCs/>
                <w:snapToGrid w:val="0"/>
                <w:sz w:val="20"/>
                <w:szCs w:val="20"/>
                <w:lang w:eastAsia="en-US"/>
              </w:rPr>
              <w:t>2/352 (0.6)</w:t>
            </w:r>
          </w:p>
        </w:tc>
        <w:tc>
          <w:tcPr>
            <w:tcW w:w="863"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bCs/>
                <w:iCs/>
                <w:snapToGrid w:val="0"/>
                <w:sz w:val="20"/>
                <w:szCs w:val="20"/>
                <w:lang w:eastAsia="en-US"/>
              </w:rPr>
            </w:pPr>
            <w:r w:rsidRPr="00871292">
              <w:rPr>
                <w:rFonts w:ascii="Arial Narrow" w:hAnsi="Arial Narrow"/>
                <w:bCs/>
                <w:iCs/>
                <w:snapToGrid w:val="0"/>
                <w:sz w:val="20"/>
                <w:szCs w:val="20"/>
                <w:lang w:eastAsia="en-US"/>
              </w:rPr>
              <w:t>1.25 (0.29, 5.28)</w:t>
            </w:r>
          </w:p>
        </w:tc>
        <w:tc>
          <w:tcPr>
            <w:tcW w:w="918"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iCs/>
                <w:snapToGrid w:val="0"/>
                <w:sz w:val="20"/>
                <w:szCs w:val="20"/>
                <w:lang w:eastAsia="en-US"/>
              </w:rPr>
            </w:pPr>
            <w:r w:rsidRPr="00871292">
              <w:rPr>
                <w:rFonts w:ascii="Arial Narrow" w:hAnsi="Arial Narrow"/>
                <w:iCs/>
                <w:snapToGrid w:val="0"/>
                <w:sz w:val="20"/>
                <w:szCs w:val="20"/>
                <w:lang w:eastAsia="en-US"/>
              </w:rPr>
              <w:t>0.01 (-0.01, 0.02)</w:t>
            </w:r>
          </w:p>
        </w:tc>
      </w:tr>
      <w:tr w:rsidR="00F52A4C" w:rsidRPr="00871292" w:rsidTr="008C4AE0">
        <w:tc>
          <w:tcPr>
            <w:tcW w:w="5000" w:type="pct"/>
            <w:gridSpan w:val="5"/>
            <w:tcBorders>
              <w:top w:val="single" w:sz="4" w:space="0" w:color="auto"/>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b/>
                <w:bCs/>
                <w:snapToGrid w:val="0"/>
                <w:color w:val="CC0000"/>
                <w:sz w:val="20"/>
                <w:szCs w:val="20"/>
                <w:lang w:eastAsia="en-US"/>
              </w:rPr>
              <w:t>Any infections</w:t>
            </w:r>
          </w:p>
        </w:tc>
      </w:tr>
      <w:tr w:rsidR="00F52A4C" w:rsidRPr="00871292" w:rsidTr="008C4AE0">
        <w:tc>
          <w:tcPr>
            <w:tcW w:w="3219" w:type="pct"/>
            <w:gridSpan w:val="3"/>
            <w:tcBorders>
              <w:top w:val="nil"/>
              <w:left w:val="nil"/>
              <w:bottom w:val="nil"/>
              <w:right w:val="nil"/>
            </w:tcBorders>
          </w:tcPr>
          <w:p w:rsidR="00F52A4C" w:rsidRPr="00871292" w:rsidRDefault="00F52A4C"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UPA 15mg D v PBO</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SELECT-AXIS 1 (n=187), Wk 14</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19/93 (20.4)</w:t>
            </w:r>
          </w:p>
        </w:tc>
        <w:tc>
          <w:tcPr>
            <w:tcW w:w="707" w:type="pct"/>
            <w:tcBorders>
              <w:top w:val="nil"/>
              <w:left w:val="nil"/>
              <w:bottom w:val="nil"/>
              <w:right w:val="nil"/>
            </w:tcBorders>
            <w:vAlign w:val="center"/>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cs="Times New Roman"/>
                <w:sz w:val="20"/>
                <w:szCs w:val="20"/>
                <w:lang w:eastAsia="en-US"/>
              </w:rPr>
              <w:t>261/94 (27.7)</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snapToGrid w:val="0"/>
                <w:sz w:val="20"/>
                <w:szCs w:val="20"/>
                <w:lang w:eastAsia="en-US"/>
              </w:rPr>
            </w:pPr>
            <w:r w:rsidRPr="00871292">
              <w:rPr>
                <w:rFonts w:ascii="Arial Narrow" w:hAnsi="Arial Narrow"/>
                <w:bCs/>
                <w:snapToGrid w:val="0"/>
                <w:sz w:val="20"/>
                <w:szCs w:val="20"/>
                <w:lang w:eastAsia="en-US"/>
              </w:rPr>
              <w:t>0.74 (0.44, 1.24)</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-0.07 (-0.19, 0.05)</w:t>
            </w:r>
          </w:p>
        </w:tc>
      </w:tr>
      <w:tr w:rsidR="00F52A4C" w:rsidRPr="00871292" w:rsidTr="008C4AE0">
        <w:tc>
          <w:tcPr>
            <w:tcW w:w="3219" w:type="pct"/>
            <w:gridSpan w:val="3"/>
            <w:tcBorders>
              <w:top w:val="nil"/>
              <w:left w:val="nil"/>
              <w:bottom w:val="nil"/>
              <w:right w:val="nil"/>
            </w:tcBorders>
          </w:tcPr>
          <w:p w:rsidR="00F52A4C" w:rsidRPr="00871292" w:rsidRDefault="00F52A4C"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ADA 40mg Q2W v PBO</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ATLAS (n=315),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46/208 (22.1)</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20/107 (18.7)</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1.18 (0.74, 1.89)</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0.03 (-0.06, 0.13)</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M03-606 (n=82),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11/38 (28.9)</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6/44 (13.6)</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2.12 (0.87, 5.20)</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0.15 (-0.02, 0.33)</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Huang 2014 (n=344), Wk 12</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25/229 (10.9)</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12/115 (10.4)</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1.05 (0.55, 2.01)</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0.00 (-0.06, 0.07)</w:t>
            </w:r>
          </w:p>
        </w:tc>
      </w:tr>
      <w:tr w:rsidR="00F52A4C" w:rsidRPr="00871292" w:rsidTr="008C4AE0">
        <w:tc>
          <w:tcPr>
            <w:tcW w:w="1642" w:type="pct"/>
            <w:tcBorders>
              <w:top w:val="nil"/>
              <w:left w:val="nil"/>
              <w:bottom w:val="nil"/>
              <w:right w:val="nil"/>
            </w:tcBorders>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COAST-V (n=177)^, Wk 16</w:t>
            </w:r>
          </w:p>
        </w:tc>
        <w:tc>
          <w:tcPr>
            <w:tcW w:w="870"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19/90 (21.1)</w:t>
            </w:r>
          </w:p>
        </w:tc>
        <w:tc>
          <w:tcPr>
            <w:tcW w:w="707"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cs="Times New Roman"/>
                <w:sz w:val="20"/>
                <w:szCs w:val="20"/>
                <w:lang w:eastAsia="en-US"/>
              </w:rPr>
              <w:t>13/86 (15.1)</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1.40 (0.74, 2.65)</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bCs/>
                <w:i/>
                <w:snapToGrid w:val="0"/>
                <w:sz w:val="20"/>
                <w:szCs w:val="20"/>
                <w:lang w:eastAsia="en-US"/>
              </w:rPr>
            </w:pPr>
            <w:r w:rsidRPr="00871292">
              <w:rPr>
                <w:rFonts w:ascii="Arial Narrow" w:hAnsi="Arial Narrow"/>
                <w:bCs/>
                <w:i/>
                <w:snapToGrid w:val="0"/>
                <w:sz w:val="20"/>
                <w:szCs w:val="20"/>
                <w:lang w:eastAsia="en-US"/>
              </w:rPr>
              <w:t>0.06 (-0.05, 0.17)</w:t>
            </w:r>
          </w:p>
        </w:tc>
      </w:tr>
      <w:tr w:rsidR="00F52A4C" w:rsidRPr="00871292" w:rsidTr="008C4AE0">
        <w:tc>
          <w:tcPr>
            <w:tcW w:w="1642" w:type="pct"/>
            <w:tcBorders>
              <w:top w:val="nil"/>
              <w:left w:val="nil"/>
              <w:bottom w:val="single" w:sz="4" w:space="0" w:color="auto"/>
              <w:right w:val="nil"/>
            </w:tcBorders>
          </w:tcPr>
          <w:p w:rsidR="00F52A4C" w:rsidRPr="00871292" w:rsidRDefault="00F52A4C" w:rsidP="008C4AE0">
            <w:pPr>
              <w:widowControl w:val="0"/>
              <w:jc w:val="right"/>
              <w:rPr>
                <w:rFonts w:ascii="Arial Narrow" w:hAnsi="Arial Narrow"/>
                <w:snapToGrid w:val="0"/>
                <w:sz w:val="20"/>
                <w:szCs w:val="20"/>
                <w:lang w:eastAsia="en-US"/>
              </w:rPr>
            </w:pPr>
            <w:r w:rsidRPr="00871292">
              <w:rPr>
                <w:rFonts w:ascii="Arial Narrow" w:hAnsi="Arial Narrow"/>
                <w:snapToGrid w:val="0"/>
                <w:sz w:val="20"/>
                <w:szCs w:val="20"/>
                <w:lang w:eastAsia="en-US"/>
              </w:rPr>
              <w:t>Meta-analysis (Wk 12/16)</w:t>
            </w:r>
          </w:p>
        </w:tc>
        <w:tc>
          <w:tcPr>
            <w:tcW w:w="870"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101/565 (17.9)</w:t>
            </w:r>
          </w:p>
        </w:tc>
        <w:tc>
          <w:tcPr>
            <w:tcW w:w="707"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51/352 (14.5)</w:t>
            </w:r>
          </w:p>
        </w:tc>
        <w:tc>
          <w:tcPr>
            <w:tcW w:w="863"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bCs/>
                <w:snapToGrid w:val="0"/>
                <w:sz w:val="20"/>
                <w:szCs w:val="20"/>
                <w:lang w:eastAsia="en-US"/>
              </w:rPr>
            </w:pPr>
            <w:r w:rsidRPr="00871292">
              <w:rPr>
                <w:rFonts w:ascii="Arial Narrow" w:hAnsi="Arial Narrow"/>
                <w:bCs/>
                <w:snapToGrid w:val="0"/>
                <w:sz w:val="20"/>
                <w:szCs w:val="20"/>
                <w:lang w:eastAsia="en-US"/>
              </w:rPr>
              <w:t>1.28 (0.94, 1.74)</w:t>
            </w:r>
          </w:p>
        </w:tc>
        <w:tc>
          <w:tcPr>
            <w:tcW w:w="918"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r w:rsidRPr="00871292">
              <w:rPr>
                <w:rFonts w:ascii="Arial Narrow" w:hAnsi="Arial Narrow"/>
                <w:snapToGrid w:val="0"/>
                <w:sz w:val="20"/>
                <w:szCs w:val="20"/>
                <w:lang w:eastAsia="en-US"/>
              </w:rPr>
              <w:t>0.03 (-0.01, 0.08)</w:t>
            </w:r>
          </w:p>
        </w:tc>
      </w:tr>
      <w:tr w:rsidR="00F52A4C" w:rsidRPr="00871292" w:rsidTr="008C4AE0">
        <w:tc>
          <w:tcPr>
            <w:tcW w:w="3219" w:type="pct"/>
            <w:gridSpan w:val="3"/>
            <w:tcBorders>
              <w:top w:val="double" w:sz="4" w:space="0" w:color="auto"/>
              <w:left w:val="nil"/>
              <w:bottom w:val="double" w:sz="4" w:space="0" w:color="auto"/>
              <w:right w:val="nil"/>
            </w:tcBorders>
            <w:vAlign w:val="center"/>
          </w:tcPr>
          <w:p w:rsidR="00F52A4C" w:rsidRPr="00871292" w:rsidRDefault="00F52A4C" w:rsidP="008C4AE0">
            <w:pPr>
              <w:widowControl w:val="0"/>
              <w:rPr>
                <w:rFonts w:ascii="Arial Narrow" w:hAnsi="Arial Narrow"/>
                <w:b/>
                <w:bCs/>
                <w:snapToGrid w:val="0"/>
                <w:sz w:val="20"/>
                <w:szCs w:val="20"/>
                <w:lang w:eastAsia="en-US"/>
              </w:rPr>
            </w:pPr>
            <w:r w:rsidRPr="00871292">
              <w:rPr>
                <w:rFonts w:ascii="Arial Narrow" w:hAnsi="Arial Narrow"/>
                <w:b/>
                <w:bCs/>
                <w:snapToGrid w:val="0"/>
                <w:sz w:val="20"/>
                <w:szCs w:val="20"/>
                <w:lang w:eastAsia="en-US"/>
              </w:rPr>
              <w:t>Indirect comparisons</w:t>
            </w:r>
          </w:p>
        </w:tc>
        <w:tc>
          <w:tcPr>
            <w:tcW w:w="863" w:type="pct"/>
            <w:tcBorders>
              <w:top w:val="double" w:sz="4" w:space="0" w:color="auto"/>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c>
          <w:tcPr>
            <w:tcW w:w="918" w:type="pct"/>
            <w:tcBorders>
              <w:top w:val="double" w:sz="4" w:space="0" w:color="auto"/>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r>
      <w:tr w:rsidR="00F52A4C" w:rsidRPr="00871292" w:rsidTr="008C4AE0">
        <w:tc>
          <w:tcPr>
            <w:tcW w:w="3219" w:type="pct"/>
            <w:gridSpan w:val="3"/>
            <w:tcBorders>
              <w:top w:val="double" w:sz="4" w:space="0" w:color="auto"/>
              <w:left w:val="nil"/>
              <w:bottom w:val="nil"/>
              <w:right w:val="nil"/>
            </w:tcBorders>
            <w:vAlign w:val="center"/>
          </w:tcPr>
          <w:p w:rsidR="00F52A4C" w:rsidRPr="00871292" w:rsidRDefault="00F52A4C" w:rsidP="008C4AE0">
            <w:pPr>
              <w:widowControl w:val="0"/>
              <w:rPr>
                <w:rFonts w:ascii="Arial Narrow" w:hAnsi="Arial Narrow"/>
                <w:b/>
                <w:bCs/>
                <w:snapToGrid w:val="0"/>
                <w:sz w:val="20"/>
                <w:szCs w:val="20"/>
                <w:lang w:eastAsia="en-US"/>
              </w:rPr>
            </w:pPr>
            <w:r w:rsidRPr="00871292">
              <w:rPr>
                <w:rFonts w:ascii="Arial Narrow" w:hAnsi="Arial Narrow"/>
                <w:b/>
                <w:bCs/>
                <w:snapToGrid w:val="0"/>
                <w:color w:val="CC0000"/>
                <w:sz w:val="20"/>
                <w:szCs w:val="20"/>
                <w:lang w:eastAsia="en-US"/>
              </w:rPr>
              <w:t>Any AEs</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snapToGrid w:val="0"/>
                <w:sz w:val="20"/>
                <w:szCs w:val="20"/>
                <w:lang w:eastAsia="en-US"/>
              </w:rPr>
            </w:pPr>
          </w:p>
        </w:tc>
      </w:tr>
      <w:tr w:rsidR="00F52A4C" w:rsidRPr="00871292" w:rsidTr="008C4AE0">
        <w:tc>
          <w:tcPr>
            <w:tcW w:w="3219" w:type="pct"/>
            <w:gridSpan w:val="3"/>
            <w:tcBorders>
              <w:top w:val="nil"/>
              <w:left w:val="nil"/>
              <w:bottom w:val="nil"/>
              <w:right w:val="nil"/>
            </w:tcBorders>
            <w:vAlign w:val="center"/>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UPA (Wk 14) v ADA (Wk 12/16)</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0.90 (0.69, 1.19)</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-0.05 (-0.20, 0.10)</w:t>
            </w:r>
          </w:p>
        </w:tc>
      </w:tr>
      <w:tr w:rsidR="00F52A4C" w:rsidRPr="00871292" w:rsidTr="008C4AE0">
        <w:tc>
          <w:tcPr>
            <w:tcW w:w="3219" w:type="pct"/>
            <w:gridSpan w:val="3"/>
            <w:tcBorders>
              <w:top w:val="nil"/>
              <w:left w:val="nil"/>
              <w:bottom w:val="nil"/>
              <w:right w:val="nil"/>
            </w:tcBorders>
            <w:vAlign w:val="center"/>
          </w:tcPr>
          <w:p w:rsidR="00F52A4C" w:rsidRPr="00871292" w:rsidRDefault="00F52A4C" w:rsidP="008C4AE0">
            <w:pPr>
              <w:widowControl w:val="0"/>
              <w:rPr>
                <w:rFonts w:ascii="Arial Narrow" w:hAnsi="Arial Narrow"/>
                <w:i/>
                <w:snapToGrid w:val="0"/>
                <w:sz w:val="20"/>
                <w:szCs w:val="20"/>
                <w:lang w:eastAsia="en-US"/>
              </w:rPr>
            </w:pPr>
            <w:r w:rsidRPr="00871292">
              <w:rPr>
                <w:rFonts w:ascii="Arial Narrow" w:hAnsi="Arial Narrow"/>
                <w:b/>
                <w:bCs/>
                <w:i/>
                <w:snapToGrid w:val="0"/>
                <w:color w:val="CC0000"/>
                <w:sz w:val="20"/>
                <w:szCs w:val="20"/>
                <w:lang w:eastAsia="en-US"/>
              </w:rPr>
              <w:t>Drug-related AEs</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p>
        </w:tc>
      </w:tr>
      <w:tr w:rsidR="00F52A4C" w:rsidRPr="00871292" w:rsidTr="008C4AE0">
        <w:tc>
          <w:tcPr>
            <w:tcW w:w="3219" w:type="pct"/>
            <w:gridSpan w:val="3"/>
            <w:tcBorders>
              <w:top w:val="nil"/>
              <w:left w:val="nil"/>
              <w:bottom w:val="nil"/>
              <w:right w:val="nil"/>
            </w:tcBorders>
            <w:vAlign w:val="center"/>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snapToGrid w:val="0"/>
                <w:sz w:val="20"/>
                <w:szCs w:val="20"/>
                <w:lang w:eastAsia="en-US"/>
              </w:rPr>
              <w:t>UPA (Wk 14) v ADA (Wk 12/16)</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1.19 (0.48, 2.97)</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0.07 (-0.23, 0.37)</w:t>
            </w:r>
          </w:p>
        </w:tc>
      </w:tr>
      <w:tr w:rsidR="00F52A4C" w:rsidRPr="00871292" w:rsidTr="008C4AE0">
        <w:tc>
          <w:tcPr>
            <w:tcW w:w="3219" w:type="pct"/>
            <w:gridSpan w:val="3"/>
            <w:tcBorders>
              <w:top w:val="nil"/>
              <w:left w:val="nil"/>
              <w:bottom w:val="nil"/>
              <w:right w:val="nil"/>
            </w:tcBorders>
            <w:vAlign w:val="center"/>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b/>
                <w:bCs/>
                <w:snapToGrid w:val="0"/>
                <w:color w:val="CC0000"/>
                <w:sz w:val="20"/>
                <w:szCs w:val="20"/>
                <w:lang w:eastAsia="en-US"/>
              </w:rPr>
              <w:t>Discontinuations due to AEs</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p>
        </w:tc>
      </w:tr>
      <w:tr w:rsidR="00F52A4C" w:rsidRPr="00871292" w:rsidTr="008C4AE0">
        <w:tc>
          <w:tcPr>
            <w:tcW w:w="3219" w:type="pct"/>
            <w:gridSpan w:val="3"/>
            <w:tcBorders>
              <w:top w:val="nil"/>
              <w:left w:val="nil"/>
              <w:bottom w:val="nil"/>
              <w:right w:val="nil"/>
            </w:tcBorders>
            <w:vAlign w:val="center"/>
          </w:tcPr>
          <w:p w:rsidR="00F52A4C" w:rsidRPr="00871292" w:rsidRDefault="00F52A4C" w:rsidP="008C4AE0">
            <w:pPr>
              <w:widowControl w:val="0"/>
              <w:rPr>
                <w:rFonts w:ascii="Arial Narrow" w:hAnsi="Arial Narrow"/>
                <w:iCs/>
                <w:snapToGrid w:val="0"/>
                <w:sz w:val="20"/>
                <w:szCs w:val="20"/>
                <w:lang w:eastAsia="en-US"/>
              </w:rPr>
            </w:pPr>
            <w:r w:rsidRPr="00871292">
              <w:rPr>
                <w:rFonts w:ascii="Arial Narrow" w:hAnsi="Arial Narrow"/>
                <w:snapToGrid w:val="0"/>
                <w:sz w:val="20"/>
                <w:szCs w:val="20"/>
                <w:lang w:eastAsia="en-US"/>
              </w:rPr>
              <w:t>UPA (Wk 14) v ADA (Wk 12/16)</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iCs/>
                <w:snapToGrid w:val="0"/>
                <w:sz w:val="20"/>
                <w:szCs w:val="20"/>
                <w:lang w:eastAsia="en-US"/>
              </w:rPr>
            </w:pPr>
            <w:r w:rsidRPr="00871292">
              <w:rPr>
                <w:rFonts w:ascii="Arial Narrow" w:hAnsi="Arial Narrow"/>
                <w:i/>
                <w:iCs/>
                <w:snapToGrid w:val="0"/>
                <w:sz w:val="20"/>
                <w:szCs w:val="20"/>
                <w:lang w:eastAsia="en-US"/>
              </w:rPr>
              <w:t>0.54 (0.06, 5.19)</w:t>
            </w: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-0.02 (-0.07, 0.03)</w:t>
            </w:r>
          </w:p>
        </w:tc>
      </w:tr>
      <w:tr w:rsidR="00F52A4C" w:rsidRPr="00871292" w:rsidTr="008C4AE0">
        <w:tc>
          <w:tcPr>
            <w:tcW w:w="3219" w:type="pct"/>
            <w:gridSpan w:val="3"/>
            <w:tcBorders>
              <w:top w:val="nil"/>
              <w:left w:val="nil"/>
              <w:bottom w:val="nil"/>
              <w:right w:val="nil"/>
            </w:tcBorders>
            <w:vAlign w:val="center"/>
          </w:tcPr>
          <w:p w:rsidR="00F52A4C" w:rsidRPr="00871292" w:rsidRDefault="00F52A4C" w:rsidP="008C4AE0">
            <w:pPr>
              <w:widowControl w:val="0"/>
              <w:rPr>
                <w:rFonts w:ascii="Arial Narrow" w:hAnsi="Arial Narrow"/>
                <w:snapToGrid w:val="0"/>
                <w:sz w:val="20"/>
                <w:szCs w:val="20"/>
                <w:lang w:eastAsia="en-US"/>
              </w:rPr>
            </w:pPr>
            <w:r w:rsidRPr="00871292">
              <w:rPr>
                <w:rFonts w:ascii="Arial Narrow" w:hAnsi="Arial Narrow"/>
                <w:b/>
                <w:bCs/>
                <w:snapToGrid w:val="0"/>
                <w:color w:val="CC0000"/>
                <w:sz w:val="20"/>
                <w:szCs w:val="20"/>
                <w:lang w:eastAsia="en-US"/>
              </w:rPr>
              <w:t>Any infections</w:t>
            </w:r>
          </w:p>
        </w:tc>
        <w:tc>
          <w:tcPr>
            <w:tcW w:w="863"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p>
        </w:tc>
        <w:tc>
          <w:tcPr>
            <w:tcW w:w="918" w:type="pct"/>
            <w:tcBorders>
              <w:top w:val="nil"/>
              <w:left w:val="nil"/>
              <w:bottom w:val="nil"/>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p>
        </w:tc>
      </w:tr>
      <w:tr w:rsidR="00F52A4C" w:rsidRPr="00871292" w:rsidTr="008C4AE0">
        <w:tc>
          <w:tcPr>
            <w:tcW w:w="3219" w:type="pct"/>
            <w:gridSpan w:val="3"/>
            <w:tcBorders>
              <w:top w:val="nil"/>
              <w:left w:val="nil"/>
              <w:bottom w:val="single" w:sz="4" w:space="0" w:color="auto"/>
              <w:right w:val="nil"/>
            </w:tcBorders>
            <w:vAlign w:val="center"/>
          </w:tcPr>
          <w:p w:rsidR="00F52A4C" w:rsidRPr="00871292" w:rsidRDefault="00F52A4C" w:rsidP="008C4AE0">
            <w:pPr>
              <w:widowControl w:val="0"/>
              <w:rPr>
                <w:rFonts w:ascii="Arial Narrow" w:hAnsi="Arial Narrow"/>
                <w:iCs/>
                <w:snapToGrid w:val="0"/>
                <w:sz w:val="20"/>
                <w:szCs w:val="20"/>
                <w:lang w:eastAsia="en-US"/>
              </w:rPr>
            </w:pPr>
            <w:r w:rsidRPr="00871292">
              <w:rPr>
                <w:rFonts w:ascii="Arial Narrow" w:hAnsi="Arial Narrow"/>
                <w:snapToGrid w:val="0"/>
                <w:sz w:val="20"/>
                <w:szCs w:val="20"/>
                <w:lang w:eastAsia="en-US"/>
              </w:rPr>
              <w:t>UPA (Wk 14) v ADA (Wk 12/16)</w:t>
            </w:r>
          </w:p>
        </w:tc>
        <w:tc>
          <w:tcPr>
            <w:tcW w:w="863"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i/>
                <w:iCs/>
                <w:snapToGrid w:val="0"/>
                <w:sz w:val="20"/>
                <w:szCs w:val="20"/>
                <w:lang w:eastAsia="en-US"/>
              </w:rPr>
            </w:pPr>
            <w:r w:rsidRPr="00871292">
              <w:rPr>
                <w:rFonts w:ascii="Arial Narrow" w:hAnsi="Arial Narrow"/>
                <w:i/>
                <w:iCs/>
                <w:snapToGrid w:val="0"/>
                <w:sz w:val="20"/>
                <w:szCs w:val="20"/>
                <w:lang w:eastAsia="en-US"/>
              </w:rPr>
              <w:t>0.58 (0.32, 1.06)</w:t>
            </w:r>
          </w:p>
        </w:tc>
        <w:tc>
          <w:tcPr>
            <w:tcW w:w="918" w:type="pct"/>
            <w:tcBorders>
              <w:top w:val="nil"/>
              <w:left w:val="nil"/>
              <w:bottom w:val="single" w:sz="4" w:space="0" w:color="auto"/>
              <w:right w:val="nil"/>
            </w:tcBorders>
            <w:vAlign w:val="center"/>
          </w:tcPr>
          <w:p w:rsidR="00F52A4C" w:rsidRPr="00871292" w:rsidRDefault="00F52A4C" w:rsidP="008C4AE0">
            <w:pPr>
              <w:widowControl w:val="0"/>
              <w:jc w:val="center"/>
              <w:rPr>
                <w:rFonts w:ascii="Arial Narrow" w:hAnsi="Arial Narrow"/>
                <w:i/>
                <w:snapToGrid w:val="0"/>
                <w:sz w:val="20"/>
                <w:szCs w:val="20"/>
                <w:lang w:eastAsia="en-US"/>
              </w:rPr>
            </w:pPr>
            <w:r w:rsidRPr="00871292">
              <w:rPr>
                <w:rFonts w:ascii="Arial Narrow" w:hAnsi="Arial Narrow"/>
                <w:i/>
                <w:snapToGrid w:val="0"/>
                <w:sz w:val="20"/>
                <w:szCs w:val="20"/>
                <w:lang w:eastAsia="en-US"/>
              </w:rPr>
              <w:t>-0.1 (-0.23, 0.03)</w:t>
            </w:r>
          </w:p>
        </w:tc>
      </w:tr>
    </w:tbl>
    <w:p w:rsidR="00F52A4C" w:rsidRPr="00871292" w:rsidRDefault="00F52A4C" w:rsidP="00F52A4C">
      <w:pPr>
        <w:widowControl w:val="0"/>
        <w:rPr>
          <w:rFonts w:ascii="Arial Narrow" w:hAnsi="Arial Narrow"/>
          <w:snapToGrid w:val="0"/>
          <w:sz w:val="18"/>
          <w:szCs w:val="22"/>
          <w:lang w:eastAsia="en-US"/>
        </w:rPr>
      </w:pPr>
      <w:r w:rsidRPr="00871292">
        <w:rPr>
          <w:rFonts w:ascii="Arial Narrow" w:hAnsi="Arial Narrow"/>
          <w:snapToGrid w:val="0"/>
          <w:sz w:val="18"/>
          <w:szCs w:val="22"/>
          <w:lang w:eastAsia="en-US"/>
        </w:rPr>
        <w:t xml:space="preserve">Abbreviations: </w:t>
      </w:r>
      <w:r w:rsidRPr="00871292">
        <w:rPr>
          <w:rFonts w:ascii="Arial Narrow" w:hAnsi="Arial Narrow"/>
          <w:snapToGrid w:val="0"/>
          <w:sz w:val="18"/>
          <w:szCs w:val="18"/>
          <w:lang w:eastAsia="en-US"/>
        </w:rPr>
        <w:t xml:space="preserve">ADA=adalimumab; AE=adverse event; AS=ankylosing spondylitis; </w:t>
      </w:r>
      <w:r w:rsidRPr="00871292">
        <w:rPr>
          <w:rFonts w:ascii="Arial Narrow" w:hAnsi="Arial Narrow"/>
          <w:snapToGrid w:val="0"/>
          <w:sz w:val="18"/>
          <w:szCs w:val="22"/>
          <w:lang w:eastAsia="en-US"/>
        </w:rPr>
        <w:t xml:space="preserve">ITT=intention to treat; n=number of participants; </w:t>
      </w:r>
      <w:r w:rsidRPr="00871292">
        <w:rPr>
          <w:rFonts w:ascii="Arial Narrow" w:eastAsia="Calibri" w:hAnsi="Arial Narrow"/>
          <w:snapToGrid w:val="0"/>
          <w:sz w:val="18"/>
          <w:szCs w:val="22"/>
          <w:lang w:eastAsia="en-US"/>
        </w:rPr>
        <w:t xml:space="preserve">N=total participants in group; </w:t>
      </w:r>
      <w:r w:rsidRPr="00871292">
        <w:rPr>
          <w:rFonts w:ascii="Arial Narrow" w:hAnsi="Arial Narrow"/>
          <w:snapToGrid w:val="0"/>
          <w:sz w:val="18"/>
          <w:szCs w:val="22"/>
          <w:lang w:eastAsia="en-US"/>
        </w:rPr>
        <w:t>PBO=placebo; UPA=upadacitinib; RD=risk difference; RR=relative risk; D=daily; Q2W=every 2 weeks; wk=week;</w:t>
      </w:r>
    </w:p>
    <w:p w:rsidR="00F52A4C" w:rsidRPr="00871292" w:rsidRDefault="00F52A4C" w:rsidP="00F52A4C">
      <w:pPr>
        <w:pStyle w:val="TableFigureFooter"/>
        <w:tabs>
          <w:tab w:val="left" w:pos="142"/>
        </w:tabs>
        <w:spacing w:after="0"/>
        <w:ind w:left="140" w:hanging="140"/>
        <w:rPr>
          <w:i/>
        </w:rPr>
      </w:pPr>
      <w:r w:rsidRPr="00871292">
        <w:t>^</w:t>
      </w:r>
      <w:r w:rsidRPr="00871292">
        <w:tab/>
        <w:t xml:space="preserve">1 patient in </w:t>
      </w:r>
      <w:r w:rsidR="00031236" w:rsidRPr="00871292">
        <w:t>PBO</w:t>
      </w:r>
      <w:r w:rsidRPr="00871292">
        <w:t xml:space="preserve"> group was excluded due to allocation error. The patient was not counted as completing Wk 16 study treatment nor discontinuing study treatment</w:t>
      </w:r>
      <w:r w:rsidRPr="00871292">
        <w:rPr>
          <w:i/>
        </w:rPr>
        <w:t>.</w:t>
      </w:r>
    </w:p>
    <w:p w:rsidR="00F52A4C" w:rsidRPr="00871292" w:rsidRDefault="00F52A4C" w:rsidP="00F52A4C">
      <w:pPr>
        <w:widowControl w:val="0"/>
        <w:rPr>
          <w:rFonts w:ascii="Arial Narrow" w:hAnsi="Arial Narrow"/>
          <w:snapToGrid w:val="0"/>
          <w:sz w:val="18"/>
          <w:szCs w:val="22"/>
          <w:lang w:eastAsia="en-US"/>
        </w:rPr>
      </w:pPr>
      <w:r w:rsidRPr="00871292">
        <w:rPr>
          <w:rFonts w:ascii="Arial Narrow" w:hAnsi="Arial Narrow"/>
          <w:snapToGrid w:val="0"/>
          <w:sz w:val="18"/>
          <w:szCs w:val="22"/>
          <w:lang w:eastAsia="en-US"/>
        </w:rPr>
        <w:t>Source: Table 2.15 and Table 2.16 of the submission.</w:t>
      </w:r>
    </w:p>
    <w:p w:rsidR="00F52A4C" w:rsidRPr="00871292" w:rsidRDefault="00F52A4C" w:rsidP="00F52A4C">
      <w:pPr>
        <w:pStyle w:val="3-BodyText"/>
        <w:numPr>
          <w:ilvl w:val="0"/>
          <w:numId w:val="0"/>
        </w:numPr>
        <w:ind w:left="720"/>
        <w:rPr>
          <w:i/>
        </w:rPr>
      </w:pPr>
    </w:p>
    <w:p w:rsidR="006659E1" w:rsidRPr="00871292" w:rsidRDefault="00F52A4C" w:rsidP="00D86231">
      <w:pPr>
        <w:pStyle w:val="3-BodyText"/>
      </w:pPr>
      <w:r w:rsidRPr="00871292">
        <w:rPr>
          <w:iCs/>
        </w:rPr>
        <w:lastRenderedPageBreak/>
        <w:t>Overall, there were no notable differences in the number/type of AEs between groups and no deaths were reported. The safety outcomes reported in the trials were consistent with the known safety profile of UPA and the anticipated effects of JAK1 inhibitor treatment as described in the proposed PI</w:t>
      </w:r>
      <w:r w:rsidR="00871292">
        <w:rPr>
          <w:iCs/>
        </w:rPr>
        <w:t xml:space="preserve">. </w:t>
      </w:r>
      <w:r w:rsidRPr="00871292">
        <w:rPr>
          <w:iCs/>
        </w:rPr>
        <w:t xml:space="preserve">During the double blind treatment period, no major adverse cardiovascular events (including pulmonary embolism) and venous thromboembolic events (including </w:t>
      </w:r>
      <w:bookmarkStart w:id="16" w:name="_Hlk58844685"/>
      <w:r w:rsidRPr="00871292">
        <w:rPr>
          <w:iCs/>
        </w:rPr>
        <w:t xml:space="preserve">deep venous thrombosis and </w:t>
      </w:r>
      <w:r w:rsidR="006659E1" w:rsidRPr="00871292">
        <w:rPr>
          <w:iCs/>
        </w:rPr>
        <w:t>pulmonary embolism</w:t>
      </w:r>
      <w:bookmarkEnd w:id="16"/>
      <w:r w:rsidRPr="00871292">
        <w:rPr>
          <w:iCs/>
        </w:rPr>
        <w:t>) were reported in SELECT-AXIS. The TGA Clinical Evaluation noted that in the long-term safety set of UPA in rheumatoid arthritis, a total of 2 fatal</w:t>
      </w:r>
      <w:r w:rsidR="006659E1" w:rsidRPr="00871292">
        <w:rPr>
          <w:iCs/>
        </w:rPr>
        <w:t xml:space="preserve"> cases of</w:t>
      </w:r>
      <w:r w:rsidRPr="00871292">
        <w:rPr>
          <w:iCs/>
        </w:rPr>
        <w:t xml:space="preserve"> </w:t>
      </w:r>
      <w:r w:rsidR="006659E1" w:rsidRPr="00871292">
        <w:rPr>
          <w:iCs/>
        </w:rPr>
        <w:t xml:space="preserve">pulmonary embolisms </w:t>
      </w:r>
      <w:r w:rsidR="00664048" w:rsidRPr="00871292">
        <w:rPr>
          <w:iCs/>
        </w:rPr>
        <w:t>have</w:t>
      </w:r>
      <w:r w:rsidRPr="00871292">
        <w:rPr>
          <w:iCs/>
        </w:rPr>
        <w:t xml:space="preserve"> been reported with UPA 15 mg.</w:t>
      </w:r>
    </w:p>
    <w:p w:rsidR="006659E1" w:rsidRPr="00871292" w:rsidRDefault="006659E1" w:rsidP="00E62E11">
      <w:pPr>
        <w:pStyle w:val="3-BodyText"/>
      </w:pPr>
      <w:r w:rsidRPr="00871292">
        <w:t xml:space="preserve">Long-term safety data has raised concerns regarding thrombosis risk with JAK inhibitors. In the PBAC consideration of UPA for rheumatoid arthritis, it was noted that black box warnings were issued by the FDA for i) baricitinib that included a caution related to deep venous thrombosis, pulmonary embolism and arterial thrombosis; and for ii) </w:t>
      </w:r>
      <w:r w:rsidR="0081526F" w:rsidRPr="00871292">
        <w:t>tofacitinib</w:t>
      </w:r>
      <w:r w:rsidRPr="00871292">
        <w:t xml:space="preserve"> due to an increased risk of thrombosis and mortality seen in the post-marketing study (paragraph 6.12, upadacitinib PSD November 2019 PBAC meeting).</w:t>
      </w:r>
      <w:r w:rsidR="004524D5" w:rsidRPr="00871292">
        <w:t xml:space="preserve"> UPA (and other JAK inhibitors) are part of the TGA Black Triangle Scheme and subject to additional post-market surveillance in Australia.</w:t>
      </w:r>
    </w:p>
    <w:p w:rsidR="00B60939" w:rsidRPr="00871292" w:rsidRDefault="00B60939" w:rsidP="00E9094A">
      <w:pPr>
        <w:pStyle w:val="4-SubsectionHeading"/>
      </w:pPr>
      <w:bookmarkStart w:id="17" w:name="_Toc22897644"/>
      <w:bookmarkStart w:id="18" w:name="_Toc59437734"/>
      <w:r w:rsidRPr="00871292">
        <w:t>Clinical claim</w:t>
      </w:r>
      <w:bookmarkEnd w:id="17"/>
      <w:bookmarkEnd w:id="18"/>
    </w:p>
    <w:p w:rsidR="001900A2" w:rsidRPr="00871292" w:rsidRDefault="001900A2" w:rsidP="00E9094A">
      <w:pPr>
        <w:pStyle w:val="3-BodyText"/>
      </w:pPr>
      <w:r w:rsidRPr="00871292">
        <w:t>The submission described UPA as non-inferior in terms of effectiveness and non-inferior (or comparable) in terms of safety compared with ADA in patients with AS.</w:t>
      </w:r>
    </w:p>
    <w:p w:rsidR="00D82EC8" w:rsidRPr="00871292" w:rsidRDefault="001900A2" w:rsidP="00D82EC8">
      <w:pPr>
        <w:pStyle w:val="3-BodyText"/>
      </w:pPr>
      <w:r w:rsidRPr="00871292">
        <w:t>Overall the clinical claim was generally supported by the evidence presented in the submission. In terms of comparative effectiveness, the indirect comparison of ASAS20 met the nominated non-inferiority margin and there were no significant differences found for ASAS40 or BASDAI50 (for which the submission did not nominated a non-inferiority margin). The only caveat was that almost all point estimates across all outcomes favoured ADA (as well as other supplementary comparators) over UPA. In terms of comparative safety, there were no notable differences in safety outcomes between ADA and UPA presented in the submission. The PBAC has also previously considered that UPA has non-inferior safety to ADA in rheumatoid arthritis (paragraph 6.25, upadacitinib PSD November 2019 PBAC meeting).</w:t>
      </w:r>
    </w:p>
    <w:p w:rsidR="00D82EC8" w:rsidRPr="00871292" w:rsidRDefault="00D82EC8" w:rsidP="00D82EC8">
      <w:pPr>
        <w:pStyle w:val="3-BodyText"/>
      </w:pPr>
      <w:r w:rsidRPr="00871292">
        <w:t>The PBAC considered that</w:t>
      </w:r>
      <w:r w:rsidR="00B82808" w:rsidRPr="00871292">
        <w:t>, on balance,</w:t>
      </w:r>
      <w:r w:rsidRPr="00871292">
        <w:t xml:space="preserve"> the claim of non-inferior comparative effectiveness</w:t>
      </w:r>
      <w:r w:rsidR="00600ABB" w:rsidRPr="00871292">
        <w:t xml:space="preserve"> to adalimumab</w:t>
      </w:r>
      <w:r w:rsidRPr="00871292">
        <w:t xml:space="preserve"> was reasonable.</w:t>
      </w:r>
    </w:p>
    <w:p w:rsidR="00D82EC8" w:rsidRPr="00871292" w:rsidRDefault="00D82EC8" w:rsidP="00D82EC8">
      <w:pPr>
        <w:pStyle w:val="3-BodyText"/>
      </w:pPr>
      <w:r w:rsidRPr="00871292">
        <w:t>The PBAC considered that the claim of non-inferior</w:t>
      </w:r>
      <w:r w:rsidR="003D5459" w:rsidRPr="00871292">
        <w:t xml:space="preserve"> </w:t>
      </w:r>
      <w:r w:rsidRPr="00871292">
        <w:t>comparative safety</w:t>
      </w:r>
      <w:r w:rsidR="00600ABB" w:rsidRPr="00871292">
        <w:t xml:space="preserve"> to adalimumab</w:t>
      </w:r>
      <w:r w:rsidRPr="00871292">
        <w:t xml:space="preserve"> was reasonable.</w:t>
      </w:r>
    </w:p>
    <w:p w:rsidR="00D82EC8" w:rsidRPr="00871292" w:rsidRDefault="00D82EC8" w:rsidP="00D82EC8">
      <w:pPr>
        <w:pStyle w:val="3-BodyText"/>
        <w:numPr>
          <w:ilvl w:val="0"/>
          <w:numId w:val="0"/>
        </w:numPr>
        <w:ind w:left="720"/>
      </w:pPr>
    </w:p>
    <w:p w:rsidR="00B60939" w:rsidRPr="00871292" w:rsidRDefault="00B60939" w:rsidP="00E9094A">
      <w:pPr>
        <w:pStyle w:val="4-SubsectionHeading"/>
      </w:pPr>
      <w:bookmarkStart w:id="19" w:name="_Toc22897645"/>
      <w:bookmarkStart w:id="20" w:name="_Toc59437735"/>
      <w:r w:rsidRPr="00871292">
        <w:t>Economic analysis</w:t>
      </w:r>
      <w:bookmarkEnd w:id="19"/>
      <w:bookmarkEnd w:id="20"/>
      <w:r w:rsidR="00491B3A" w:rsidRPr="00871292">
        <w:t xml:space="preserve"> </w:t>
      </w:r>
    </w:p>
    <w:p w:rsidR="001900A2" w:rsidRPr="00871292" w:rsidRDefault="005334B7" w:rsidP="00735E76">
      <w:pPr>
        <w:pStyle w:val="3-BodyText"/>
        <w:rPr>
          <w:bCs/>
        </w:rPr>
      </w:pPr>
      <w:r w:rsidRPr="00871292">
        <w:rPr>
          <w:bCs/>
        </w:rPr>
        <w:t xml:space="preserve">The submission presented a cost-minimisation analysis </w:t>
      </w:r>
      <w:r w:rsidR="00EF0F74" w:rsidRPr="00871292">
        <w:rPr>
          <w:bCs/>
        </w:rPr>
        <w:t xml:space="preserve">between UPA and ADA </w:t>
      </w:r>
      <w:r w:rsidRPr="00871292">
        <w:rPr>
          <w:bCs/>
        </w:rPr>
        <w:t xml:space="preserve">and </w:t>
      </w:r>
      <w:r w:rsidR="00EF0F74" w:rsidRPr="00871292">
        <w:rPr>
          <w:bCs/>
        </w:rPr>
        <w:t>nominated</w:t>
      </w:r>
      <w:r w:rsidRPr="00871292">
        <w:rPr>
          <w:bCs/>
        </w:rPr>
        <w:t xml:space="preserve"> the following equi-effective doses</w:t>
      </w:r>
      <w:r w:rsidR="00EF0F74" w:rsidRPr="00871292">
        <w:rPr>
          <w:bCs/>
        </w:rPr>
        <w:t xml:space="preserve"> </w:t>
      </w:r>
      <w:r w:rsidRPr="00871292">
        <w:rPr>
          <w:bCs/>
        </w:rPr>
        <w:t xml:space="preserve">based on the </w:t>
      </w:r>
      <w:r w:rsidR="00735E76" w:rsidRPr="00871292">
        <w:rPr>
          <w:bCs/>
        </w:rPr>
        <w:t xml:space="preserve">recommended </w:t>
      </w:r>
      <w:r w:rsidR="00B13891" w:rsidRPr="00871292">
        <w:rPr>
          <w:bCs/>
        </w:rPr>
        <w:t xml:space="preserve">doses </w:t>
      </w:r>
      <w:r w:rsidR="00735E76" w:rsidRPr="00871292">
        <w:rPr>
          <w:bCs/>
        </w:rPr>
        <w:t xml:space="preserve">for AS </w:t>
      </w:r>
      <w:r w:rsidR="00B13891" w:rsidRPr="00871292">
        <w:rPr>
          <w:bCs/>
        </w:rPr>
        <w:t xml:space="preserve">in </w:t>
      </w:r>
      <w:r w:rsidR="00735E76" w:rsidRPr="00871292">
        <w:rPr>
          <w:bCs/>
        </w:rPr>
        <w:t>the</w:t>
      </w:r>
      <w:r w:rsidR="00B13891" w:rsidRPr="00871292">
        <w:rPr>
          <w:bCs/>
        </w:rPr>
        <w:t xml:space="preserve"> respective PIs</w:t>
      </w:r>
      <w:r w:rsidR="00735E76" w:rsidRPr="00871292">
        <w:rPr>
          <w:bCs/>
        </w:rPr>
        <w:t xml:space="preserve"> (and used in the trials)</w:t>
      </w:r>
      <w:r w:rsidR="00B13891" w:rsidRPr="00871292">
        <w:rPr>
          <w:bCs/>
        </w:rPr>
        <w:t>:</w:t>
      </w:r>
    </w:p>
    <w:p w:rsidR="00B13891" w:rsidRPr="00871292" w:rsidRDefault="00B13891" w:rsidP="004814FF">
      <w:pPr>
        <w:pStyle w:val="3-BodyText"/>
        <w:numPr>
          <w:ilvl w:val="1"/>
          <w:numId w:val="15"/>
        </w:numPr>
      </w:pPr>
      <w:r w:rsidRPr="00871292">
        <w:lastRenderedPageBreak/>
        <w:t>UPA 15 mg once daily = ADA 40 mg every other week</w:t>
      </w:r>
    </w:p>
    <w:p w:rsidR="001900A2" w:rsidRPr="00871292" w:rsidRDefault="00B61F79" w:rsidP="004A70D8">
      <w:pPr>
        <w:pStyle w:val="3-BodyText"/>
      </w:pPr>
      <w:r w:rsidRPr="00871292">
        <w:t xml:space="preserve">The cost-minimisation analysis calculated drug costs over the first 2 years of treatment based on published AEMP of ADA for AS ($979.56), assuming </w:t>
      </w:r>
      <w:r w:rsidR="004A70D8" w:rsidRPr="004A70D8">
        <w:rPr>
          <w:bCs/>
        </w:rPr>
        <w:t>&lt; 500</w:t>
      </w:r>
      <w:r w:rsidRPr="00871292">
        <w:t xml:space="preserve"> scripts of UPA and </w:t>
      </w:r>
      <w:r w:rsidR="004A70D8" w:rsidRPr="004A70D8">
        <w:t>&lt; 500</w:t>
      </w:r>
      <w:r w:rsidRPr="00871292">
        <w:t xml:space="preserve"> scripts of ADA.</w:t>
      </w:r>
    </w:p>
    <w:p w:rsidR="00B61F79" w:rsidRPr="00871292" w:rsidRDefault="00B61F79" w:rsidP="002E23A9">
      <w:pPr>
        <w:pStyle w:val="TableFigureHeading"/>
        <w:keepLines/>
        <w:rPr>
          <w:rStyle w:val="CommentReference"/>
          <w:b/>
          <w:szCs w:val="24"/>
        </w:rPr>
      </w:pPr>
      <w:r w:rsidRPr="00871292">
        <w:rPr>
          <w:rStyle w:val="CommentReference"/>
          <w:b/>
          <w:szCs w:val="24"/>
        </w:rPr>
        <w:t>Table 7: Results of the cost-minimisation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7"/>
        <w:gridCol w:w="3118"/>
        <w:gridCol w:w="3352"/>
      </w:tblGrid>
      <w:tr w:rsidR="00B61F79" w:rsidRPr="00871292" w:rsidTr="008C4AE0">
        <w:tc>
          <w:tcPr>
            <w:tcW w:w="2547" w:type="dxa"/>
          </w:tcPr>
          <w:p w:rsidR="00B61F79" w:rsidRPr="00871292" w:rsidRDefault="00B61F79" w:rsidP="002E23A9">
            <w:pPr>
              <w:pStyle w:val="In-tableHeading"/>
              <w:keepLines/>
              <w:rPr>
                <w:lang w:val="en-AU"/>
              </w:rPr>
            </w:pPr>
            <w:r w:rsidRPr="00871292">
              <w:rPr>
                <w:lang w:val="en-AU"/>
              </w:rPr>
              <w:t>Component</w:t>
            </w:r>
          </w:p>
        </w:tc>
        <w:tc>
          <w:tcPr>
            <w:tcW w:w="3118" w:type="dxa"/>
          </w:tcPr>
          <w:p w:rsidR="00B61F79" w:rsidRPr="00871292" w:rsidRDefault="00B61F79" w:rsidP="002E23A9">
            <w:pPr>
              <w:pStyle w:val="In-tableHeading"/>
              <w:keepLines/>
              <w:jc w:val="center"/>
              <w:rPr>
                <w:lang w:val="en-AU"/>
              </w:rPr>
            </w:pPr>
            <w:r w:rsidRPr="00871292">
              <w:rPr>
                <w:lang w:val="en-AU"/>
              </w:rPr>
              <w:t>UPA 15 mg</w:t>
            </w:r>
          </w:p>
        </w:tc>
        <w:tc>
          <w:tcPr>
            <w:tcW w:w="3352" w:type="dxa"/>
          </w:tcPr>
          <w:p w:rsidR="00B61F79" w:rsidRPr="00871292" w:rsidRDefault="00B61F79" w:rsidP="002E23A9">
            <w:pPr>
              <w:pStyle w:val="In-tableHeading"/>
              <w:keepLines/>
              <w:jc w:val="center"/>
              <w:rPr>
                <w:lang w:val="en-AU"/>
              </w:rPr>
            </w:pPr>
            <w:r w:rsidRPr="00871292">
              <w:rPr>
                <w:lang w:val="en-AU"/>
              </w:rPr>
              <w:t>ADA 40 mg</w:t>
            </w:r>
          </w:p>
        </w:tc>
      </w:tr>
      <w:tr w:rsidR="00B61F79" w:rsidRPr="00871292" w:rsidTr="008C4AE0">
        <w:tc>
          <w:tcPr>
            <w:tcW w:w="2547" w:type="dxa"/>
            <w:vAlign w:val="center"/>
          </w:tcPr>
          <w:p w:rsidR="00B61F79" w:rsidRPr="00871292" w:rsidRDefault="00B61F79" w:rsidP="002E23A9">
            <w:pPr>
              <w:pStyle w:val="TableText0"/>
              <w:keepLines/>
            </w:pPr>
            <w:r w:rsidRPr="00871292">
              <w:rPr>
                <w:szCs w:val="20"/>
              </w:rPr>
              <w:t>AEMP / pack</w:t>
            </w:r>
          </w:p>
        </w:tc>
        <w:tc>
          <w:tcPr>
            <w:tcW w:w="3118" w:type="dxa"/>
            <w:vAlign w:val="center"/>
          </w:tcPr>
          <w:p w:rsidR="00B61F79" w:rsidRPr="00871292" w:rsidRDefault="00B61F79" w:rsidP="002E23A9">
            <w:pPr>
              <w:pStyle w:val="TableText0"/>
              <w:keepLines/>
              <w:jc w:val="center"/>
            </w:pPr>
            <w:r w:rsidRPr="00871292">
              <w:t>$979.56</w:t>
            </w:r>
          </w:p>
        </w:tc>
        <w:tc>
          <w:tcPr>
            <w:tcW w:w="3352" w:type="dxa"/>
            <w:vAlign w:val="center"/>
          </w:tcPr>
          <w:p w:rsidR="00B61F79" w:rsidRPr="00871292" w:rsidRDefault="00B61F79" w:rsidP="002E23A9">
            <w:pPr>
              <w:pStyle w:val="TableText0"/>
              <w:keepLines/>
              <w:jc w:val="center"/>
            </w:pPr>
            <w:r w:rsidRPr="00871292">
              <w:t>$979.56</w:t>
            </w:r>
          </w:p>
        </w:tc>
      </w:tr>
      <w:tr w:rsidR="00B61F79" w:rsidRPr="00871292" w:rsidTr="008C4AE0">
        <w:tc>
          <w:tcPr>
            <w:tcW w:w="2547" w:type="dxa"/>
            <w:vAlign w:val="center"/>
          </w:tcPr>
          <w:p w:rsidR="00B61F79" w:rsidRPr="00871292" w:rsidRDefault="00B61F79" w:rsidP="002E23A9">
            <w:pPr>
              <w:pStyle w:val="TableText0"/>
              <w:keepLines/>
            </w:pPr>
            <w:r w:rsidRPr="00871292">
              <w:rPr>
                <w:szCs w:val="20"/>
              </w:rPr>
              <w:t>Dose</w:t>
            </w:r>
          </w:p>
        </w:tc>
        <w:tc>
          <w:tcPr>
            <w:tcW w:w="3118" w:type="dxa"/>
            <w:vAlign w:val="center"/>
          </w:tcPr>
          <w:p w:rsidR="00B61F79" w:rsidRPr="00871292" w:rsidRDefault="00B61F79" w:rsidP="002E23A9">
            <w:pPr>
              <w:pStyle w:val="TableText0"/>
              <w:keepLines/>
              <w:jc w:val="center"/>
            </w:pPr>
            <w:r w:rsidRPr="00871292">
              <w:t>UPA 15 mg oral daily</w:t>
            </w:r>
          </w:p>
        </w:tc>
        <w:tc>
          <w:tcPr>
            <w:tcW w:w="3352" w:type="dxa"/>
            <w:vAlign w:val="center"/>
          </w:tcPr>
          <w:p w:rsidR="00B61F79" w:rsidRPr="00871292" w:rsidRDefault="00B61F79" w:rsidP="002E23A9">
            <w:pPr>
              <w:pStyle w:val="TableText0"/>
              <w:keepLines/>
              <w:jc w:val="center"/>
            </w:pPr>
            <w:r w:rsidRPr="00871292">
              <w:t>ADA 40 mg SC injection every 2 weeks</w:t>
            </w:r>
          </w:p>
        </w:tc>
      </w:tr>
      <w:tr w:rsidR="00B61F79" w:rsidRPr="00871292" w:rsidTr="008C4AE0">
        <w:tc>
          <w:tcPr>
            <w:tcW w:w="2547" w:type="dxa"/>
            <w:vAlign w:val="center"/>
          </w:tcPr>
          <w:p w:rsidR="00B61F79" w:rsidRPr="00871292" w:rsidRDefault="00B61F79" w:rsidP="002E23A9">
            <w:pPr>
              <w:pStyle w:val="TableText0"/>
              <w:keepLines/>
            </w:pPr>
            <w:r w:rsidRPr="00871292">
              <w:rPr>
                <w:szCs w:val="20"/>
              </w:rPr>
              <w:t>Quantity / pack</w:t>
            </w:r>
          </w:p>
        </w:tc>
        <w:tc>
          <w:tcPr>
            <w:tcW w:w="3118" w:type="dxa"/>
            <w:vAlign w:val="center"/>
          </w:tcPr>
          <w:p w:rsidR="00B61F79" w:rsidRPr="00871292" w:rsidRDefault="00B61F79" w:rsidP="002E23A9">
            <w:pPr>
              <w:pStyle w:val="TableText0"/>
              <w:keepLines/>
              <w:jc w:val="center"/>
            </w:pPr>
            <w:r w:rsidRPr="00871292">
              <w:t>28 x 15 mg tablets</w:t>
            </w:r>
          </w:p>
        </w:tc>
        <w:tc>
          <w:tcPr>
            <w:tcW w:w="3352" w:type="dxa"/>
            <w:vAlign w:val="center"/>
          </w:tcPr>
          <w:p w:rsidR="00B61F79" w:rsidRPr="00871292" w:rsidRDefault="00B61F79" w:rsidP="002E23A9">
            <w:pPr>
              <w:pStyle w:val="TableText0"/>
              <w:keepLines/>
              <w:jc w:val="center"/>
            </w:pPr>
            <w:r w:rsidRPr="00871292">
              <w:t>2 x 40 mg injections</w:t>
            </w:r>
          </w:p>
        </w:tc>
      </w:tr>
      <w:tr w:rsidR="00B61F79" w:rsidRPr="00871292" w:rsidTr="008C4AE0">
        <w:tc>
          <w:tcPr>
            <w:tcW w:w="2547" w:type="dxa"/>
            <w:vAlign w:val="center"/>
          </w:tcPr>
          <w:p w:rsidR="00B61F79" w:rsidRPr="00871292" w:rsidRDefault="00B61F79" w:rsidP="002E23A9">
            <w:pPr>
              <w:pStyle w:val="TableText0"/>
              <w:keepLines/>
            </w:pPr>
            <w:r w:rsidRPr="00871292">
              <w:rPr>
                <w:szCs w:val="20"/>
              </w:rPr>
              <w:t>Scripts / 2 years</w:t>
            </w:r>
          </w:p>
        </w:tc>
        <w:tc>
          <w:tcPr>
            <w:tcW w:w="3118" w:type="dxa"/>
            <w:vAlign w:val="center"/>
          </w:tcPr>
          <w:p w:rsidR="00B61F79" w:rsidRPr="004A70D8" w:rsidRDefault="00AE4C98" w:rsidP="002E23A9">
            <w:pPr>
              <w:pStyle w:val="TableText0"/>
              <w:keepLines/>
              <w:jc w:val="center"/>
              <w:rPr>
                <w:vertAlign w:val="superscript"/>
              </w:rPr>
            </w:pPr>
            <w:r>
              <w:rPr>
                <w:noProof/>
                <w:color w:val="000000"/>
                <w:highlight w:val="black"/>
              </w:rPr>
              <w:t>''''''</w:t>
            </w:r>
            <w:r w:rsidR="004A70D8">
              <w:rPr>
                <w:vertAlign w:val="superscript"/>
              </w:rPr>
              <w:t>1</w:t>
            </w:r>
          </w:p>
        </w:tc>
        <w:tc>
          <w:tcPr>
            <w:tcW w:w="3352" w:type="dxa"/>
            <w:vAlign w:val="center"/>
          </w:tcPr>
          <w:p w:rsidR="00B61F79" w:rsidRPr="004A70D8" w:rsidRDefault="00AE4C98" w:rsidP="002E23A9">
            <w:pPr>
              <w:pStyle w:val="TableText0"/>
              <w:keepLines/>
              <w:jc w:val="center"/>
              <w:rPr>
                <w:vertAlign w:val="superscript"/>
              </w:rPr>
            </w:pPr>
            <w:r>
              <w:rPr>
                <w:noProof/>
                <w:color w:val="000000"/>
                <w:highlight w:val="black"/>
              </w:rPr>
              <w:t>'''''''</w:t>
            </w:r>
            <w:r w:rsidR="004A70D8">
              <w:rPr>
                <w:vertAlign w:val="superscript"/>
              </w:rPr>
              <w:t>1</w:t>
            </w:r>
          </w:p>
        </w:tc>
      </w:tr>
      <w:tr w:rsidR="00B61F79" w:rsidRPr="00871292" w:rsidTr="008C4AE0">
        <w:trPr>
          <w:trHeight w:val="73"/>
        </w:trPr>
        <w:tc>
          <w:tcPr>
            <w:tcW w:w="2547" w:type="dxa"/>
            <w:vAlign w:val="center"/>
          </w:tcPr>
          <w:p w:rsidR="00B61F79" w:rsidRPr="00871292" w:rsidRDefault="00B61F79" w:rsidP="002E23A9">
            <w:pPr>
              <w:pStyle w:val="TableText0"/>
              <w:keepLines/>
            </w:pPr>
            <w:r w:rsidRPr="00871292">
              <w:t>Total cost / 2 years</w:t>
            </w:r>
          </w:p>
        </w:tc>
        <w:tc>
          <w:tcPr>
            <w:tcW w:w="3118" w:type="dxa"/>
            <w:vAlign w:val="center"/>
          </w:tcPr>
          <w:p w:rsidR="00B61F79" w:rsidRPr="004A70D8" w:rsidRDefault="00B61F79" w:rsidP="002E23A9">
            <w:pPr>
              <w:pStyle w:val="TableText0"/>
              <w:keepLines/>
              <w:jc w:val="center"/>
              <w:rPr>
                <w:vertAlign w:val="superscript"/>
              </w:rPr>
            </w:pPr>
            <w:r w:rsidRPr="00871292">
              <w:t>$</w:t>
            </w:r>
            <w:r w:rsidR="00AE4C98">
              <w:rPr>
                <w:noProof/>
                <w:color w:val="000000"/>
                <w:highlight w:val="black"/>
              </w:rPr>
              <w:t>''''''''''''''''''''''</w:t>
            </w:r>
            <w:r w:rsidR="004A70D8">
              <w:rPr>
                <w:vertAlign w:val="superscript"/>
              </w:rPr>
              <w:t>2</w:t>
            </w:r>
          </w:p>
        </w:tc>
        <w:tc>
          <w:tcPr>
            <w:tcW w:w="3352" w:type="dxa"/>
            <w:vAlign w:val="center"/>
          </w:tcPr>
          <w:p w:rsidR="00B61F79" w:rsidRPr="004A70D8" w:rsidRDefault="00B61F79" w:rsidP="002E23A9">
            <w:pPr>
              <w:pStyle w:val="TableText0"/>
              <w:keepLines/>
              <w:jc w:val="center"/>
              <w:rPr>
                <w:vertAlign w:val="superscript"/>
              </w:rPr>
            </w:pPr>
            <w:r w:rsidRPr="00871292">
              <w:t>$</w:t>
            </w:r>
            <w:r w:rsidR="00AE4C98">
              <w:rPr>
                <w:noProof/>
                <w:color w:val="000000"/>
                <w:highlight w:val="black"/>
              </w:rPr>
              <w:t>'''''''''''''''''''''''''</w:t>
            </w:r>
            <w:r w:rsidR="004A70D8">
              <w:rPr>
                <w:vertAlign w:val="superscript"/>
              </w:rPr>
              <w:t>2</w:t>
            </w:r>
          </w:p>
        </w:tc>
      </w:tr>
    </w:tbl>
    <w:p w:rsidR="00B61F79" w:rsidRPr="00871292" w:rsidRDefault="00B61F79" w:rsidP="002E23A9">
      <w:pPr>
        <w:keepNext/>
        <w:keepLines/>
        <w:rPr>
          <w:rFonts w:ascii="Arial Narrow" w:hAnsi="Arial Narrow"/>
          <w:sz w:val="18"/>
          <w:szCs w:val="18"/>
        </w:rPr>
      </w:pPr>
      <w:r w:rsidRPr="00871292">
        <w:rPr>
          <w:rFonts w:ascii="Arial Narrow" w:hAnsi="Arial Narrow"/>
          <w:sz w:val="18"/>
          <w:szCs w:val="18"/>
        </w:rPr>
        <w:t>Abbreviations: ADA=adalimumab; UPA=upadacitinib;</w:t>
      </w:r>
    </w:p>
    <w:p w:rsidR="00B61F79" w:rsidRDefault="00B61F79" w:rsidP="002E23A9">
      <w:pPr>
        <w:keepNext/>
        <w:keepLines/>
        <w:rPr>
          <w:rFonts w:ascii="Arial Narrow" w:hAnsi="Arial Narrow"/>
          <w:sz w:val="18"/>
          <w:szCs w:val="18"/>
        </w:rPr>
      </w:pPr>
      <w:r w:rsidRPr="00871292">
        <w:rPr>
          <w:rFonts w:ascii="Arial Narrow" w:hAnsi="Arial Narrow"/>
          <w:sz w:val="18"/>
          <w:szCs w:val="18"/>
        </w:rPr>
        <w:t>Source: Tables 3.5 to 3.6, p99 of the submission.</w:t>
      </w:r>
    </w:p>
    <w:p w:rsidR="004A70D8" w:rsidRPr="004A70D8" w:rsidRDefault="004A70D8" w:rsidP="004A70D8">
      <w:pPr>
        <w:pStyle w:val="TableFigureFooter"/>
        <w:spacing w:after="0"/>
        <w:contextualSpacing w:val="0"/>
        <w:rPr>
          <w:i/>
        </w:rPr>
      </w:pPr>
      <w:r w:rsidRPr="004A70D8">
        <w:rPr>
          <w:i/>
        </w:rPr>
        <w:t xml:space="preserve">The redacted values correspond to the following ranges: </w:t>
      </w:r>
    </w:p>
    <w:p w:rsidR="004A70D8" w:rsidRDefault="004A70D8" w:rsidP="002E23A9">
      <w:pPr>
        <w:keepNext/>
        <w:keepLines/>
        <w:rPr>
          <w:rFonts w:ascii="Arial Narrow" w:hAnsi="Arial Narrow"/>
          <w:i/>
          <w:sz w:val="18"/>
          <w:szCs w:val="18"/>
        </w:rPr>
      </w:pPr>
      <w:r>
        <w:rPr>
          <w:rFonts w:ascii="Arial Narrow" w:hAnsi="Arial Narrow"/>
          <w:i/>
          <w:sz w:val="18"/>
          <w:szCs w:val="18"/>
          <w:vertAlign w:val="superscript"/>
        </w:rPr>
        <w:t xml:space="preserve">1 </w:t>
      </w:r>
      <w:r w:rsidRPr="004A70D8">
        <w:rPr>
          <w:rFonts w:ascii="Arial Narrow" w:hAnsi="Arial Narrow"/>
          <w:i/>
          <w:sz w:val="18"/>
          <w:szCs w:val="18"/>
        </w:rPr>
        <w:t>&lt; 500</w:t>
      </w:r>
    </w:p>
    <w:p w:rsidR="004A70D8" w:rsidRPr="004A70D8" w:rsidRDefault="004A70D8" w:rsidP="002E23A9">
      <w:pPr>
        <w:keepNext/>
        <w:keepLines/>
        <w:rPr>
          <w:rFonts w:ascii="Arial Narrow" w:hAnsi="Arial Narrow"/>
          <w:i/>
          <w:sz w:val="18"/>
          <w:szCs w:val="18"/>
        </w:rPr>
      </w:pPr>
      <w:r>
        <w:rPr>
          <w:rFonts w:ascii="Arial Narrow" w:hAnsi="Arial Narrow"/>
          <w:i/>
          <w:sz w:val="18"/>
          <w:szCs w:val="18"/>
          <w:vertAlign w:val="superscript"/>
        </w:rPr>
        <w:t xml:space="preserve">2 </w:t>
      </w:r>
      <w:r w:rsidRPr="004A70D8">
        <w:rPr>
          <w:rFonts w:ascii="Arial Narrow" w:hAnsi="Arial Narrow"/>
          <w:i/>
          <w:sz w:val="18"/>
          <w:szCs w:val="18"/>
        </w:rPr>
        <w:t>$0 to &lt; $10 million</w:t>
      </w:r>
    </w:p>
    <w:p w:rsidR="00B61F79" w:rsidRPr="00871292" w:rsidRDefault="00B61F79" w:rsidP="00B61F79">
      <w:pPr>
        <w:pStyle w:val="3-BodyText"/>
        <w:numPr>
          <w:ilvl w:val="0"/>
          <w:numId w:val="0"/>
        </w:numPr>
        <w:ind w:left="720"/>
        <w:rPr>
          <w:bCs/>
        </w:rPr>
      </w:pPr>
    </w:p>
    <w:p w:rsidR="00E266DE" w:rsidRPr="00871292" w:rsidRDefault="00B61F79" w:rsidP="00543370">
      <w:pPr>
        <w:pStyle w:val="3-BodyText"/>
        <w:rPr>
          <w:bCs/>
        </w:rPr>
      </w:pPr>
      <w:r w:rsidRPr="00871292">
        <w:rPr>
          <w:bCs/>
        </w:rPr>
        <w:t xml:space="preserve">The submission stated the published price of ADA used in the cost-minimisation analysis is a weighted price across multiple indications. The indication specific price of ADA for AS was unknown to the sponsor. The sponsor requested a </w:t>
      </w:r>
      <w:r w:rsidR="00543370" w:rsidRPr="00871292">
        <w:rPr>
          <w:bCs/>
        </w:rPr>
        <w:t>SPA</w:t>
      </w:r>
      <w:r w:rsidRPr="00871292">
        <w:rPr>
          <w:bCs/>
        </w:rPr>
        <w:t xml:space="preserve"> to maintain the current published price of UPA (DPMQ = $1,271.34 as per the current PBS listing for rheumatoid arthritis) and implement a confidential effective price.</w:t>
      </w:r>
    </w:p>
    <w:p w:rsidR="00C25D9C" w:rsidRPr="00871292" w:rsidRDefault="00C25D9C" w:rsidP="00BB732D">
      <w:pPr>
        <w:pStyle w:val="4-SubsectionHeading"/>
      </w:pPr>
      <w:bookmarkStart w:id="21" w:name="_Toc22897646"/>
      <w:bookmarkStart w:id="22" w:name="_Toc59437736"/>
      <w:r w:rsidRPr="00871292">
        <w:t>Drug cost/patient/year</w:t>
      </w:r>
      <w:bookmarkEnd w:id="21"/>
      <w:r w:rsidR="00B650D6" w:rsidRPr="00871292">
        <w:t>: $</w:t>
      </w:r>
      <w:bookmarkEnd w:id="22"/>
      <w:r w:rsidR="00AE4C98">
        <w:rPr>
          <w:noProof/>
          <w:color w:val="000000"/>
          <w:highlight w:val="black"/>
        </w:rPr>
        <w:t>'''''''''''''''''</w:t>
      </w:r>
    </w:p>
    <w:p w:rsidR="00B650D6" w:rsidRPr="00871292" w:rsidRDefault="00B650D6" w:rsidP="00015C7C">
      <w:pPr>
        <w:pStyle w:val="3-BodyText"/>
        <w:rPr>
          <w:snapToGrid/>
        </w:rPr>
      </w:pPr>
      <w:r w:rsidRPr="00871292">
        <w:rPr>
          <w:snapToGrid/>
        </w:rPr>
        <w:t>Assuming a DPMQ of $1,271.34</w:t>
      </w:r>
      <w:r w:rsidR="007E64D1" w:rsidRPr="00871292">
        <w:rPr>
          <w:snapToGrid/>
        </w:rPr>
        <w:t xml:space="preserve"> (i.e. requested published price)</w:t>
      </w:r>
      <w:r w:rsidRPr="00871292">
        <w:rPr>
          <w:snapToGrid/>
        </w:rPr>
        <w:t xml:space="preserve"> and </w:t>
      </w:r>
      <w:r w:rsidR="00015C7C" w:rsidRPr="00015C7C">
        <w:rPr>
          <w:snapToGrid/>
        </w:rPr>
        <w:t>&lt; 500</w:t>
      </w:r>
      <w:r w:rsidRPr="00871292">
        <w:rPr>
          <w:snapToGrid/>
        </w:rPr>
        <w:t xml:space="preserve"> scripts required for the first year of treatment inclusive of initial and continuing therapy with UPA 15 mg </w:t>
      </w:r>
      <w:r w:rsidR="00ED10FE" w:rsidRPr="00871292">
        <w:rPr>
          <w:snapToGrid/>
        </w:rPr>
        <w:t>once daily</w:t>
      </w:r>
      <w:r w:rsidRPr="00871292">
        <w:rPr>
          <w:snapToGrid/>
        </w:rPr>
        <w:t>, the cost per patient per year is $</w:t>
      </w:r>
      <w:r w:rsidR="00AE4C98">
        <w:rPr>
          <w:noProof/>
          <w:snapToGrid/>
          <w:color w:val="000000"/>
          <w:highlight w:val="black"/>
        </w:rPr>
        <w:t>''''''''''''''''''</w:t>
      </w:r>
      <w:r w:rsidRPr="00871292">
        <w:rPr>
          <w:snapToGrid/>
        </w:rPr>
        <w:t>.</w:t>
      </w:r>
    </w:p>
    <w:p w:rsidR="00B60939" w:rsidRPr="00871292" w:rsidRDefault="00B60939" w:rsidP="002B05A1">
      <w:pPr>
        <w:pStyle w:val="4-SubsectionHeading"/>
      </w:pPr>
      <w:bookmarkStart w:id="23" w:name="_Toc22897647"/>
      <w:bookmarkStart w:id="24" w:name="_Toc59437737"/>
      <w:r w:rsidRPr="00871292">
        <w:t>Estimated PBS usage &amp; financial implications</w:t>
      </w:r>
      <w:bookmarkEnd w:id="23"/>
      <w:bookmarkEnd w:id="24"/>
    </w:p>
    <w:p w:rsidR="00B650D6" w:rsidRPr="00871292" w:rsidRDefault="00C25D9C" w:rsidP="002B05A1">
      <w:pPr>
        <w:pStyle w:val="3-BodyText"/>
      </w:pPr>
      <w:r w:rsidRPr="00871292">
        <w:t xml:space="preserve">This submission </w:t>
      </w:r>
      <w:r w:rsidR="002B6694" w:rsidRPr="00871292">
        <w:t>was not considered by the DUSC.</w:t>
      </w:r>
      <w:r w:rsidR="00B650D6" w:rsidRPr="00871292">
        <w:t xml:space="preserve"> The submission estimated the financial implications of the proposed listing using a market share approach, plus treatment of </w:t>
      </w:r>
      <w:r w:rsidR="00DB67C1">
        <w:t>&lt; 500</w:t>
      </w:r>
      <w:r w:rsidR="00B650D6" w:rsidRPr="00871292">
        <w:t xml:space="preserve"> grandfathered patients enrolled in a Patient Familiarisation Program and long-term extension phases of clinical trials.</w:t>
      </w:r>
      <w:r w:rsidR="009D0384" w:rsidRPr="00871292">
        <w:t xml:space="preserve"> The analysis used published DPMQs because the sponsor was not aware of the confidential effective or indication specific prices of substituted treatments.</w:t>
      </w:r>
    </w:p>
    <w:p w:rsidR="00B650D6" w:rsidRPr="00871292" w:rsidRDefault="009D0384" w:rsidP="009D0384">
      <w:pPr>
        <w:pStyle w:val="3-BodyText"/>
      </w:pPr>
      <w:r w:rsidRPr="00871292">
        <w:t>For the market share approach, t</w:t>
      </w:r>
      <w:r w:rsidR="00B650D6" w:rsidRPr="00871292">
        <w:t xml:space="preserve">he submission assumed UPA would substitute for all currently PBS listed bDMARDs for AS, and that the proposed listing would not affect future overall market growth. </w:t>
      </w:r>
      <w:r w:rsidR="00FC5A89" w:rsidRPr="00871292">
        <w:t>The submission estimated the annual background growth of the market by converting scripts dispensed in the past five years to ‘patient-years’ and future market share</w:t>
      </w:r>
      <w:r w:rsidR="00A74EDC">
        <w:t>. This approach may not be an accurate method for estimated background market growth</w:t>
      </w:r>
      <w:r w:rsidR="00BF46C3" w:rsidRPr="00871292">
        <w:t xml:space="preserve">. </w:t>
      </w:r>
      <w:r w:rsidRPr="00871292">
        <w:t>For grandfathered patients, the analysis assumed 0% treatment failure over the first six years.</w:t>
      </w:r>
      <w:r w:rsidR="00A74EDC">
        <w:t xml:space="preserve"> </w:t>
      </w:r>
    </w:p>
    <w:p w:rsidR="009D0384" w:rsidRPr="00871292" w:rsidRDefault="009D0384" w:rsidP="002B05A1">
      <w:pPr>
        <w:pStyle w:val="3-BodyText"/>
      </w:pPr>
      <w:r w:rsidRPr="00871292">
        <w:t>Table 8 summarises the key inputs in the financial estimates.</w:t>
      </w:r>
    </w:p>
    <w:p w:rsidR="00E42F73" w:rsidRPr="00871292" w:rsidRDefault="00E42F73" w:rsidP="002E23A9">
      <w:pPr>
        <w:pStyle w:val="TableFigureHeading"/>
        <w:keepLines/>
        <w:rPr>
          <w:rStyle w:val="CommentReference"/>
          <w:b/>
          <w:szCs w:val="24"/>
        </w:rPr>
      </w:pPr>
      <w:r w:rsidRPr="00871292">
        <w:rPr>
          <w:rStyle w:val="CommentReference"/>
          <w:b/>
          <w:szCs w:val="24"/>
        </w:rPr>
        <w:lastRenderedPageBreak/>
        <w:t xml:space="preserve">Table </w:t>
      </w:r>
      <w:r w:rsidR="00B650D6" w:rsidRPr="00871292">
        <w:rPr>
          <w:rStyle w:val="CommentReference"/>
          <w:b/>
          <w:szCs w:val="24"/>
        </w:rPr>
        <w:t>8</w:t>
      </w:r>
      <w:r w:rsidRPr="00871292">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2"/>
        <w:gridCol w:w="3685"/>
        <w:gridCol w:w="4060"/>
      </w:tblGrid>
      <w:tr w:rsidR="00E42F73" w:rsidRPr="00871292" w:rsidTr="009D0384">
        <w:trPr>
          <w:tblHeader/>
        </w:trPr>
        <w:tc>
          <w:tcPr>
            <w:tcW w:w="705" w:type="pct"/>
            <w:shd w:val="clear" w:color="auto" w:fill="auto"/>
            <w:vAlign w:val="center"/>
          </w:tcPr>
          <w:p w:rsidR="00E42F73" w:rsidRPr="00871292" w:rsidRDefault="004658B5" w:rsidP="002E23A9">
            <w:pPr>
              <w:pStyle w:val="In-tableHeading"/>
              <w:keepLines/>
              <w:rPr>
                <w:lang w:val="en-AU"/>
              </w:rPr>
            </w:pPr>
            <w:r w:rsidRPr="00871292">
              <w:rPr>
                <w:lang w:val="en-AU"/>
              </w:rPr>
              <w:t>Parameter</w:t>
            </w:r>
          </w:p>
        </w:tc>
        <w:tc>
          <w:tcPr>
            <w:tcW w:w="2043" w:type="pct"/>
            <w:shd w:val="clear" w:color="auto" w:fill="auto"/>
            <w:vAlign w:val="center"/>
          </w:tcPr>
          <w:p w:rsidR="00E42F73" w:rsidRPr="00871292" w:rsidRDefault="004658B5" w:rsidP="002E23A9">
            <w:pPr>
              <w:pStyle w:val="In-tableHeading"/>
              <w:keepLines/>
              <w:rPr>
                <w:lang w:val="en-AU"/>
              </w:rPr>
            </w:pPr>
            <w:r w:rsidRPr="00871292">
              <w:rPr>
                <w:lang w:val="en-AU"/>
              </w:rPr>
              <w:t>Value applied and source</w:t>
            </w:r>
          </w:p>
        </w:tc>
        <w:tc>
          <w:tcPr>
            <w:tcW w:w="2251" w:type="pct"/>
            <w:shd w:val="clear" w:color="auto" w:fill="auto"/>
            <w:vAlign w:val="center"/>
          </w:tcPr>
          <w:p w:rsidR="00E42F73" w:rsidRPr="00871292" w:rsidRDefault="004658B5" w:rsidP="002E23A9">
            <w:pPr>
              <w:pStyle w:val="In-tableHeading"/>
              <w:keepLines/>
              <w:rPr>
                <w:lang w:val="en-AU"/>
              </w:rPr>
            </w:pPr>
            <w:r w:rsidRPr="00871292">
              <w:rPr>
                <w:lang w:val="en-AU"/>
              </w:rPr>
              <w:t>Comment</w:t>
            </w:r>
          </w:p>
        </w:tc>
      </w:tr>
      <w:tr w:rsidR="00E42F73" w:rsidRPr="00871292" w:rsidTr="002E23A9">
        <w:trPr>
          <w:cantSplit/>
        </w:trPr>
        <w:tc>
          <w:tcPr>
            <w:tcW w:w="705" w:type="pct"/>
            <w:shd w:val="clear" w:color="auto" w:fill="auto"/>
            <w:vAlign w:val="center"/>
          </w:tcPr>
          <w:p w:rsidR="00E42F73" w:rsidRPr="00871292" w:rsidRDefault="007210F7" w:rsidP="002E23A9">
            <w:pPr>
              <w:pStyle w:val="TableText0"/>
              <w:keepLines/>
            </w:pPr>
            <w:r w:rsidRPr="00871292">
              <w:t>Current market of bDMARDs in AS</w:t>
            </w:r>
          </w:p>
        </w:tc>
        <w:tc>
          <w:tcPr>
            <w:tcW w:w="2043" w:type="pct"/>
            <w:shd w:val="clear" w:color="auto" w:fill="auto"/>
            <w:vAlign w:val="center"/>
          </w:tcPr>
          <w:p w:rsidR="007210F7" w:rsidRPr="00871292" w:rsidRDefault="007210F7" w:rsidP="002E23A9">
            <w:pPr>
              <w:pStyle w:val="TableText0"/>
              <w:keepLines/>
            </w:pPr>
            <w:r w:rsidRPr="00871292">
              <w:t xml:space="preserve">Yr0: </w:t>
            </w:r>
            <w:r w:rsidR="00AE4C98">
              <w:rPr>
                <w:noProof/>
                <w:color w:val="000000"/>
                <w:highlight w:val="black"/>
              </w:rPr>
              <w:t>''''''''''''''''''</w:t>
            </w:r>
            <w:r w:rsidR="00DB67C1">
              <w:rPr>
                <w:vertAlign w:val="superscript"/>
              </w:rPr>
              <w:t>1</w:t>
            </w:r>
            <w:r w:rsidRPr="00871292">
              <w:t xml:space="preserve"> scripts (aggregate); Scripts by product presented in Attachment 4.</w:t>
            </w:r>
          </w:p>
          <w:p w:rsidR="00E42F73" w:rsidRPr="00871292" w:rsidRDefault="007210F7" w:rsidP="002E23A9">
            <w:pPr>
              <w:pStyle w:val="TableText0"/>
              <w:keepLines/>
            </w:pPr>
            <w:r w:rsidRPr="00871292">
              <w:t xml:space="preserve">Yr0: </w:t>
            </w:r>
            <w:r w:rsidR="00AE4C98">
              <w:rPr>
                <w:noProof/>
                <w:color w:val="000000"/>
                <w:highlight w:val="black"/>
              </w:rPr>
              <w:t>'''''''''''''</w:t>
            </w:r>
            <w:r w:rsidR="00DB67C1">
              <w:rPr>
                <w:vertAlign w:val="superscript"/>
              </w:rPr>
              <w:t>2</w:t>
            </w:r>
            <w:r w:rsidRPr="00871292">
              <w:t xml:space="preserve"> patients (aggregate); Patient-years by product presented in Attachment 4.</w:t>
            </w:r>
          </w:p>
          <w:p w:rsidR="00967BF4" w:rsidRPr="00871292" w:rsidRDefault="00967BF4" w:rsidP="002E23A9">
            <w:pPr>
              <w:pStyle w:val="TableText0"/>
              <w:keepLines/>
            </w:pPr>
          </w:p>
          <w:p w:rsidR="007210F7" w:rsidRPr="00871292" w:rsidRDefault="007210F7" w:rsidP="00A57088">
            <w:pPr>
              <w:pStyle w:val="TableText0"/>
              <w:keepLines/>
            </w:pPr>
            <w:r w:rsidRPr="00871292">
              <w:t xml:space="preserve">Source: Script numbers sourced from Medicare Australia statistics; </w:t>
            </w:r>
            <w:r w:rsidR="00A57088">
              <w:t xml:space="preserve"> </w:t>
            </w:r>
            <w:r w:rsidRPr="00871292">
              <w:t>-years calculated as scripts divided by scripts / year.</w:t>
            </w:r>
          </w:p>
        </w:tc>
        <w:tc>
          <w:tcPr>
            <w:tcW w:w="2251" w:type="pct"/>
            <w:shd w:val="clear" w:color="auto" w:fill="auto"/>
            <w:vAlign w:val="center"/>
          </w:tcPr>
          <w:p w:rsidR="00E42F73" w:rsidRPr="00871292" w:rsidRDefault="007210F7" w:rsidP="002E23A9">
            <w:pPr>
              <w:pStyle w:val="TableText0"/>
              <w:keepLines/>
            </w:pPr>
            <w:r w:rsidRPr="00871292">
              <w:t>In deriving patient-years, the submission calculated patient-years in 2019 from scripts in 2019, and applied the growth rate (see below) to estimate patient-years in 2020 (i.e. year 0) and subsequent years (i.e. years 1 to 6). The submission implicitly assumed all scripts for each drug provided for the same number of doses, based on the assumed script relativities (see below), which is not true for IFX, CZP and SEC (due to the loading doses).</w:t>
            </w:r>
          </w:p>
        </w:tc>
      </w:tr>
      <w:tr w:rsidR="00A05C32" w:rsidRPr="00871292" w:rsidTr="009D0384">
        <w:tc>
          <w:tcPr>
            <w:tcW w:w="705" w:type="pct"/>
            <w:shd w:val="clear" w:color="auto" w:fill="auto"/>
            <w:vAlign w:val="center"/>
          </w:tcPr>
          <w:p w:rsidR="00A05C32" w:rsidRPr="00871292" w:rsidRDefault="007210F7" w:rsidP="007210F7">
            <w:pPr>
              <w:pStyle w:val="TableText0"/>
              <w:keepNext w:val="0"/>
            </w:pPr>
            <w:r w:rsidRPr="00871292">
              <w:t>Script equivalence / substitution rate</w:t>
            </w:r>
          </w:p>
        </w:tc>
        <w:tc>
          <w:tcPr>
            <w:tcW w:w="2043" w:type="pct"/>
            <w:shd w:val="clear" w:color="auto" w:fill="auto"/>
            <w:vAlign w:val="center"/>
          </w:tcPr>
          <w:p w:rsidR="007210F7" w:rsidRPr="00871292" w:rsidRDefault="007210F7" w:rsidP="007210F7">
            <w:pPr>
              <w:pStyle w:val="TableText0"/>
              <w:keepNext w:val="0"/>
            </w:pPr>
            <w:r w:rsidRPr="00871292">
              <w:t>Source: Scripts / year calculated as the number of scripts required over the first two years of treatment divided by 2, based on TGA approved dosing regimens.</w:t>
            </w:r>
          </w:p>
          <w:p w:rsidR="007210F7" w:rsidRPr="00871292" w:rsidRDefault="007210F7" w:rsidP="007210F7">
            <w:pPr>
              <w:pStyle w:val="TableText0"/>
              <w:keepNext w:val="0"/>
            </w:pPr>
            <w:r w:rsidRPr="00871292">
              <w:t>Script equivalence vs UPA calculated as scripts / year for drug divided by scripts / year for UPA.</w:t>
            </w:r>
          </w:p>
        </w:tc>
        <w:tc>
          <w:tcPr>
            <w:tcW w:w="2251" w:type="pct"/>
            <w:shd w:val="clear" w:color="auto" w:fill="auto"/>
            <w:vAlign w:val="center"/>
          </w:tcPr>
          <w:p w:rsidR="00A05C32" w:rsidRPr="00871292" w:rsidRDefault="004C7FBE" w:rsidP="007210F7">
            <w:pPr>
              <w:pStyle w:val="TableText0"/>
              <w:keepNext w:val="0"/>
            </w:pPr>
            <w:r w:rsidRPr="00871292">
              <w:t xml:space="preserve">Reasonable </w:t>
            </w:r>
            <w:r w:rsidR="007210F7" w:rsidRPr="00871292">
              <w:t>approximation, given the PBAC has accepted the same implied assumptions in the cost-minimisation analysis (i.e. same response and continuation rates over the first two years)</w:t>
            </w:r>
            <w:r w:rsidR="00871292">
              <w:t xml:space="preserve">. </w:t>
            </w:r>
            <w:r w:rsidR="007210F7" w:rsidRPr="00871292">
              <w:t>The submission however did not distinguish between initial and continuing scripts, or the different number of doses provided by each. There is a slight discrepancy in the assumed number of UPA scripts per year for substituted therapies (</w:t>
            </w:r>
            <w:r w:rsidR="00AE4C98">
              <w:rPr>
                <w:noProof/>
                <w:color w:val="000000"/>
                <w:highlight w:val="black"/>
              </w:rPr>
              <w:t>''''''''''''''</w:t>
            </w:r>
            <w:r w:rsidR="00DB67C1">
              <w:rPr>
                <w:vertAlign w:val="superscript"/>
              </w:rPr>
              <w:t>3</w:t>
            </w:r>
            <w:r w:rsidR="007210F7" w:rsidRPr="00871292">
              <w:t>) and grandfathered patients (</w:t>
            </w:r>
            <w:r w:rsidR="00AE4C98">
              <w:rPr>
                <w:noProof/>
                <w:color w:val="000000"/>
                <w:highlight w:val="black"/>
              </w:rPr>
              <w:t>'''''''''''''</w:t>
            </w:r>
            <w:r w:rsidR="00DB67C1">
              <w:rPr>
                <w:vertAlign w:val="superscript"/>
              </w:rPr>
              <w:t>3</w:t>
            </w:r>
            <w:r w:rsidR="007210F7" w:rsidRPr="00871292">
              <w:t>).</w:t>
            </w:r>
            <w:r w:rsidR="00AC1831" w:rsidRPr="00871292">
              <w:t xml:space="preserve"> </w:t>
            </w:r>
            <w:r w:rsidR="00AC1831" w:rsidRPr="00871292">
              <w:rPr>
                <w:iCs/>
              </w:rPr>
              <w:t>The submission also assumed ‘monthly’ dosing of SEC after the loading doses (corresponding to 14 / year), rather than ‘every 4 weeks’ (corresponding to 14.5 / year).</w:t>
            </w:r>
          </w:p>
        </w:tc>
      </w:tr>
      <w:tr w:rsidR="00E42F73" w:rsidRPr="00871292" w:rsidTr="009D0384">
        <w:tc>
          <w:tcPr>
            <w:tcW w:w="705" w:type="pct"/>
            <w:shd w:val="clear" w:color="auto" w:fill="auto"/>
            <w:vAlign w:val="center"/>
          </w:tcPr>
          <w:p w:rsidR="00E42F73" w:rsidRPr="00871292" w:rsidRDefault="007210F7" w:rsidP="007210F7">
            <w:pPr>
              <w:pStyle w:val="TableText0"/>
              <w:keepNext w:val="0"/>
            </w:pPr>
            <w:r w:rsidRPr="00871292">
              <w:t>bDMARD aggregate market growth (without UPA), patient-years</w:t>
            </w:r>
          </w:p>
        </w:tc>
        <w:tc>
          <w:tcPr>
            <w:tcW w:w="2043" w:type="pct"/>
            <w:shd w:val="clear" w:color="auto" w:fill="auto"/>
            <w:vAlign w:val="center"/>
          </w:tcPr>
          <w:p w:rsidR="00E42F73" w:rsidRPr="00871292" w:rsidRDefault="007210F7" w:rsidP="007210F7">
            <w:pPr>
              <w:pStyle w:val="TableText0"/>
              <w:keepNext w:val="0"/>
            </w:pPr>
            <w:r w:rsidRPr="00871292">
              <w:t>Yr0: +</w:t>
            </w:r>
            <w:r w:rsidR="00AE4C98">
              <w:rPr>
                <w:noProof/>
                <w:color w:val="000000"/>
                <w:highlight w:val="black"/>
              </w:rPr>
              <w:t>''''''''''</w:t>
            </w:r>
            <w:r w:rsidR="00DB67C1">
              <w:rPr>
                <w:vertAlign w:val="superscript"/>
              </w:rPr>
              <w:t>4</w:t>
            </w:r>
            <w:r w:rsidRPr="00871292">
              <w:t xml:space="preserve"> patient-years per annum (proposed listing of UPA will not impact growth).</w:t>
            </w:r>
          </w:p>
          <w:p w:rsidR="007210F7" w:rsidRPr="00871292" w:rsidRDefault="007210F7" w:rsidP="007210F7">
            <w:pPr>
              <w:pStyle w:val="TableText0"/>
              <w:keepNext w:val="0"/>
            </w:pPr>
            <w:r w:rsidRPr="00871292">
              <w:t>Source: Average annual growth in patient-years from 2015 to 2019 (patient-years calculated as scripts divided by scripts/year/patient), where (</w:t>
            </w:r>
            <w:r w:rsidR="00AE4C98">
              <w:rPr>
                <w:noProof/>
                <w:color w:val="000000"/>
                <w:highlight w:val="black"/>
              </w:rPr>
              <w:t>''''''''</w:t>
            </w:r>
            <w:r w:rsidR="005A198B">
              <w:rPr>
                <w:vertAlign w:val="superscript"/>
              </w:rPr>
              <w:t>3</w:t>
            </w:r>
            <w:r w:rsidRPr="00871292">
              <w:t xml:space="preserve"> + </w:t>
            </w:r>
            <w:r w:rsidR="00AE4C98">
              <w:rPr>
                <w:noProof/>
                <w:color w:val="000000"/>
                <w:highlight w:val="black"/>
              </w:rPr>
              <w:t>'''''''''</w:t>
            </w:r>
            <w:r w:rsidR="005A198B">
              <w:rPr>
                <w:vertAlign w:val="superscript"/>
              </w:rPr>
              <w:t>3</w:t>
            </w:r>
            <w:r w:rsidRPr="00871292">
              <w:t xml:space="preserve"> + </w:t>
            </w:r>
            <w:r w:rsidR="00AE4C98">
              <w:rPr>
                <w:noProof/>
                <w:color w:val="000000"/>
                <w:highlight w:val="black"/>
              </w:rPr>
              <w:t>''''''''</w:t>
            </w:r>
            <w:r w:rsidR="005A198B">
              <w:rPr>
                <w:vertAlign w:val="superscript"/>
              </w:rPr>
              <w:t>4</w:t>
            </w:r>
            <w:r w:rsidRPr="00871292">
              <w:t xml:space="preserve"> + </w:t>
            </w:r>
            <w:r w:rsidR="00AE4C98">
              <w:rPr>
                <w:noProof/>
                <w:color w:val="000000"/>
                <w:highlight w:val="black"/>
              </w:rPr>
              <w:t>'''''''''''''</w:t>
            </w:r>
            <w:r w:rsidR="005A198B">
              <w:rPr>
                <w:vertAlign w:val="superscript"/>
              </w:rPr>
              <w:t>4</w:t>
            </w:r>
            <w:r w:rsidRPr="00871292">
              <w:t>) / 4 =</w:t>
            </w:r>
            <w:r w:rsidR="00AE4C98">
              <w:rPr>
                <w:noProof/>
                <w:color w:val="000000"/>
                <w:highlight w:val="black"/>
              </w:rPr>
              <w:t>''''''''</w:t>
            </w:r>
            <w:r w:rsidR="005A198B">
              <w:rPr>
                <w:vertAlign w:val="superscript"/>
              </w:rPr>
              <w:t>4</w:t>
            </w:r>
            <w:r w:rsidRPr="00871292">
              <w:t>.</w:t>
            </w:r>
          </w:p>
        </w:tc>
        <w:tc>
          <w:tcPr>
            <w:tcW w:w="2251" w:type="pct"/>
            <w:shd w:val="clear" w:color="auto" w:fill="auto"/>
            <w:vAlign w:val="center"/>
          </w:tcPr>
          <w:p w:rsidR="00E42F73" w:rsidRPr="00871292" w:rsidRDefault="007210F7" w:rsidP="007210F7">
            <w:pPr>
              <w:pStyle w:val="TableText0"/>
              <w:keepNext w:val="0"/>
            </w:pPr>
            <w:r w:rsidRPr="00871292">
              <w:t>Poorly justified given the current market does not appear to be completely established</w:t>
            </w:r>
            <w:r w:rsidR="00871292">
              <w:t xml:space="preserve">. </w:t>
            </w:r>
            <w:r w:rsidRPr="00871292">
              <w:t xml:space="preserve">Annual market growth increased from 3% to 27% between 2015 and 2019. In contrast, the assumed constant growth in patient-years corresponds to declining growth of </w:t>
            </w:r>
            <w:r w:rsidR="00AE4C98">
              <w:rPr>
                <w:noProof/>
                <w:color w:val="000000"/>
                <w:highlight w:val="black"/>
              </w:rPr>
              <w:t>''''''</w:t>
            </w:r>
            <w:r w:rsidRPr="00871292">
              <w:t xml:space="preserve">% to </w:t>
            </w:r>
            <w:r w:rsidR="00AE4C98">
              <w:rPr>
                <w:noProof/>
                <w:color w:val="000000"/>
                <w:highlight w:val="black"/>
              </w:rPr>
              <w:t>''''</w:t>
            </w:r>
            <w:r w:rsidRPr="00871292">
              <w:t>% between Yr0 and Yr6 of the financial estimates.</w:t>
            </w:r>
          </w:p>
        </w:tc>
      </w:tr>
      <w:tr w:rsidR="00A05C32" w:rsidRPr="00871292" w:rsidTr="009D0384">
        <w:tc>
          <w:tcPr>
            <w:tcW w:w="705" w:type="pct"/>
            <w:shd w:val="clear" w:color="auto" w:fill="auto"/>
            <w:vAlign w:val="center"/>
          </w:tcPr>
          <w:p w:rsidR="00A05C32" w:rsidRPr="00871292" w:rsidRDefault="007210F7" w:rsidP="007210F7">
            <w:pPr>
              <w:pStyle w:val="TableText0"/>
              <w:keepNext w:val="0"/>
            </w:pPr>
            <w:r w:rsidRPr="00871292">
              <w:t>bDMARD market share % (without UPA), patient-years</w:t>
            </w:r>
          </w:p>
        </w:tc>
        <w:tc>
          <w:tcPr>
            <w:tcW w:w="2043" w:type="pct"/>
            <w:shd w:val="clear" w:color="auto" w:fill="auto"/>
            <w:vAlign w:val="center"/>
          </w:tcPr>
          <w:p w:rsidR="00A05C32" w:rsidRPr="00871292" w:rsidRDefault="007210F7" w:rsidP="007210F7">
            <w:pPr>
              <w:pStyle w:val="TableText0"/>
              <w:keepNext w:val="0"/>
            </w:pPr>
            <w:r w:rsidRPr="00871292">
              <w:t>Source: Assumption (‘commercial-in-confidence’ estimates’).</w:t>
            </w:r>
          </w:p>
        </w:tc>
        <w:tc>
          <w:tcPr>
            <w:tcW w:w="2251" w:type="pct"/>
            <w:shd w:val="clear" w:color="auto" w:fill="auto"/>
            <w:vAlign w:val="center"/>
          </w:tcPr>
          <w:p w:rsidR="00A05C32" w:rsidRPr="00871292" w:rsidRDefault="007210F7" w:rsidP="007210F7">
            <w:pPr>
              <w:pStyle w:val="TableText0"/>
              <w:keepNext w:val="0"/>
            </w:pPr>
            <w:r w:rsidRPr="00871292">
              <w:t>Poorly justified given the submission did not present any of the assumptions underpinning these estimates. The estimates imply ADA and GLM lost 4.7% and 1% of the market between 2019 and 2020 (Yr0), replaced largely by SEC and CZP.</w:t>
            </w:r>
          </w:p>
        </w:tc>
      </w:tr>
      <w:tr w:rsidR="00D244B6" w:rsidRPr="00871292" w:rsidTr="009D0384">
        <w:tc>
          <w:tcPr>
            <w:tcW w:w="705" w:type="pct"/>
            <w:shd w:val="clear" w:color="auto" w:fill="auto"/>
            <w:vAlign w:val="center"/>
          </w:tcPr>
          <w:p w:rsidR="00D244B6" w:rsidRPr="00871292" w:rsidRDefault="007210F7" w:rsidP="007210F7">
            <w:pPr>
              <w:pStyle w:val="TableText0"/>
              <w:keepNext w:val="0"/>
            </w:pPr>
            <w:r w:rsidRPr="00871292">
              <w:t>bDMARD market growth % by product (without UPA), scripts</w:t>
            </w:r>
          </w:p>
        </w:tc>
        <w:tc>
          <w:tcPr>
            <w:tcW w:w="2043" w:type="pct"/>
            <w:shd w:val="clear" w:color="auto" w:fill="auto"/>
            <w:vAlign w:val="center"/>
          </w:tcPr>
          <w:p w:rsidR="00D244B6" w:rsidRPr="00871292" w:rsidRDefault="007210F7" w:rsidP="007210F7">
            <w:pPr>
              <w:pStyle w:val="TableText0"/>
              <w:keepNext w:val="0"/>
            </w:pPr>
            <w:r w:rsidRPr="00871292">
              <w:t>Source: Derived from the estimated market growth (aggregate patient-years) and market share (patient-years by product) assumptions.</w:t>
            </w:r>
          </w:p>
        </w:tc>
        <w:tc>
          <w:tcPr>
            <w:tcW w:w="2251" w:type="pct"/>
            <w:shd w:val="clear" w:color="auto" w:fill="auto"/>
            <w:vAlign w:val="center"/>
          </w:tcPr>
          <w:p w:rsidR="00D244B6" w:rsidRPr="00871292" w:rsidRDefault="007210F7" w:rsidP="007210F7">
            <w:pPr>
              <w:pStyle w:val="TableText0"/>
              <w:keepNext w:val="0"/>
            </w:pPr>
            <w:r w:rsidRPr="00871292">
              <w:t>The submission derived the annual change in the assumed market shares (in terms of patient-years), where Yr1 growth refers to change between Yr0 and Yr1 (E473:K478, ‘2d. Scripts – market’). For example, the submission used Yr1 growth rate to estimate change in scripts between Yr0 and Yr1, and Yr2 growth rate to estimate change in scripts between Yr1 and Yr2, and so on.</w:t>
            </w:r>
          </w:p>
        </w:tc>
      </w:tr>
      <w:tr w:rsidR="00E42F73" w:rsidRPr="00871292" w:rsidTr="009D0384">
        <w:tc>
          <w:tcPr>
            <w:tcW w:w="705" w:type="pct"/>
            <w:shd w:val="clear" w:color="auto" w:fill="auto"/>
            <w:vAlign w:val="center"/>
          </w:tcPr>
          <w:p w:rsidR="00E42F73" w:rsidRPr="00871292" w:rsidRDefault="007210F7" w:rsidP="007210F7">
            <w:pPr>
              <w:pStyle w:val="TableText0"/>
              <w:keepNext w:val="0"/>
            </w:pPr>
            <w:r w:rsidRPr="00871292">
              <w:t>Displacement % of bDMARDs scripts for UPA</w:t>
            </w:r>
          </w:p>
        </w:tc>
        <w:tc>
          <w:tcPr>
            <w:tcW w:w="2043" w:type="pct"/>
            <w:shd w:val="clear" w:color="auto" w:fill="auto"/>
            <w:vAlign w:val="center"/>
          </w:tcPr>
          <w:p w:rsidR="00E42F73" w:rsidRPr="00871292" w:rsidRDefault="007210F7" w:rsidP="007210F7">
            <w:pPr>
              <w:pStyle w:val="TableText0"/>
              <w:keepNext w:val="0"/>
            </w:pPr>
            <w:r w:rsidRPr="00871292">
              <w:t>Source: Assumption (‘commercial-in-confidence’ estimates’).</w:t>
            </w:r>
          </w:p>
        </w:tc>
        <w:tc>
          <w:tcPr>
            <w:tcW w:w="2251" w:type="pct"/>
            <w:shd w:val="clear" w:color="auto" w:fill="auto"/>
            <w:vAlign w:val="center"/>
          </w:tcPr>
          <w:p w:rsidR="00E42F73" w:rsidRPr="00871292" w:rsidRDefault="007210F7" w:rsidP="007210F7">
            <w:pPr>
              <w:pStyle w:val="TableText0"/>
              <w:keepNext w:val="0"/>
            </w:pPr>
            <w:r w:rsidRPr="00871292">
              <w:t>The submission assumed that UPA would displace treatment with ADA the most, followed by ETN/SEC/GLM and few displacements of IFX/CZP. The submission assumed the same displacement rates apply equally to initial and continuing scripts.</w:t>
            </w:r>
          </w:p>
        </w:tc>
      </w:tr>
      <w:tr w:rsidR="00EF0F74" w:rsidRPr="00871292" w:rsidTr="009D0384">
        <w:tc>
          <w:tcPr>
            <w:tcW w:w="705" w:type="pct"/>
            <w:shd w:val="clear" w:color="auto" w:fill="auto"/>
            <w:vAlign w:val="center"/>
          </w:tcPr>
          <w:p w:rsidR="00EF0F74" w:rsidRPr="00871292" w:rsidRDefault="00EF0F74" w:rsidP="007210F7">
            <w:pPr>
              <w:pStyle w:val="TableText0"/>
              <w:keepNext w:val="0"/>
            </w:pPr>
            <w:r w:rsidRPr="00871292">
              <w:t>Drug cost / script</w:t>
            </w:r>
          </w:p>
        </w:tc>
        <w:tc>
          <w:tcPr>
            <w:tcW w:w="2043" w:type="pct"/>
            <w:shd w:val="clear" w:color="auto" w:fill="auto"/>
            <w:vAlign w:val="center"/>
          </w:tcPr>
          <w:p w:rsidR="00EF0F74" w:rsidRPr="00871292" w:rsidRDefault="00EF0F74" w:rsidP="007210F7">
            <w:pPr>
              <w:pStyle w:val="TableText0"/>
              <w:keepNext w:val="0"/>
              <w:widowControl w:val="0"/>
              <w:rPr>
                <w:sz w:val="16"/>
                <w:szCs w:val="16"/>
              </w:rPr>
            </w:pPr>
            <w:r w:rsidRPr="00871292">
              <w:rPr>
                <w:szCs w:val="16"/>
              </w:rPr>
              <w:t>Source: Published DPMQ for corresponding item numbers (see above), based on new mark-ups/fees applicable from Jan 2021.</w:t>
            </w:r>
          </w:p>
        </w:tc>
        <w:tc>
          <w:tcPr>
            <w:tcW w:w="2251" w:type="pct"/>
            <w:shd w:val="clear" w:color="auto" w:fill="auto"/>
            <w:vAlign w:val="center"/>
          </w:tcPr>
          <w:p w:rsidR="00EF0F74" w:rsidRPr="00871292" w:rsidRDefault="00EF0F74" w:rsidP="007210F7">
            <w:pPr>
              <w:pStyle w:val="TableText0"/>
              <w:keepNext w:val="0"/>
            </w:pPr>
            <w:r w:rsidRPr="00871292">
              <w:t xml:space="preserve">The ‘published’ DPMQs reflect wholesale/ pharmacy mark-ups and dispensing fees based on the 7th Community Pharmacy Agreement. The DPMQs do not reflect the effective prices for many of the substituted medications, which are subject to Special Pricing Arrangements (and weighted prices across multiple indications). The DPMQs correspond to the number of </w:t>
            </w:r>
            <w:r w:rsidRPr="00871292">
              <w:lastRenderedPageBreak/>
              <w:t>doses/script assumed in the script relativities, and do not take into account DPMQs which provide larger quantities. The cost per script for IFX assumed (i.e. 1 x 100mg vial) was inappropriate, as it did not take into account the average number of vials required per dose (i.e. 5mg/kg corresponding to at least 4 to 5 vials per dose).</w:t>
            </w:r>
          </w:p>
        </w:tc>
      </w:tr>
    </w:tbl>
    <w:p w:rsidR="007210F7" w:rsidRPr="00871292" w:rsidRDefault="007210F7" w:rsidP="007210F7">
      <w:pPr>
        <w:pStyle w:val="TableFigureFooter"/>
      </w:pPr>
      <w:r w:rsidRPr="00871292">
        <w:lastRenderedPageBreak/>
        <w:t>Abbreviations: ADA=adalimumab; AS=ankylosing spondylitis; bDMARD=biologic disease modifying anti-rheumatic drug; CZP=certolizumab pegol; ETN=etanercept; GLM=golimumab; IFX=infliximab; SEC=secukinumab; UPA=upadacitinib; Yr=year;</w:t>
      </w:r>
    </w:p>
    <w:p w:rsidR="007210F7" w:rsidRDefault="007210F7" w:rsidP="007210F7">
      <w:pPr>
        <w:pStyle w:val="TableFigureFooter"/>
      </w:pPr>
      <w:r w:rsidRPr="00871292">
        <w:t>Source: Constructed during the evaluation from pp101-108 of the submission, and parameters in the excel spreadsheet (Attachment 8.1 UCM_AnkylosingSpondylitis Workbook.xlsx2).</w:t>
      </w:r>
    </w:p>
    <w:p w:rsidR="00DB67C1" w:rsidRPr="00DB67C1" w:rsidRDefault="00DB67C1" w:rsidP="00DB67C1">
      <w:pPr>
        <w:pStyle w:val="TableFigureFooter"/>
        <w:spacing w:after="0"/>
        <w:contextualSpacing w:val="0"/>
        <w:rPr>
          <w:i/>
        </w:rPr>
      </w:pPr>
      <w:r w:rsidRPr="00DB67C1">
        <w:rPr>
          <w:i/>
        </w:rPr>
        <w:t xml:space="preserve">The redacted values correspond to the following ranges: </w:t>
      </w:r>
    </w:p>
    <w:p w:rsidR="00DB67C1" w:rsidRPr="00DB67C1" w:rsidRDefault="00DB67C1" w:rsidP="007210F7">
      <w:pPr>
        <w:pStyle w:val="TableFigureFooter"/>
        <w:rPr>
          <w:i/>
        </w:rPr>
      </w:pPr>
      <w:r w:rsidRPr="00DB67C1">
        <w:rPr>
          <w:i/>
          <w:vertAlign w:val="superscript"/>
        </w:rPr>
        <w:t>1</w:t>
      </w:r>
      <w:r w:rsidRPr="00DB67C1">
        <w:rPr>
          <w:i/>
        </w:rPr>
        <w:t xml:space="preserve"> 100,000 to &lt; 200,000</w:t>
      </w:r>
    </w:p>
    <w:p w:rsidR="00DB67C1" w:rsidRDefault="00DB67C1" w:rsidP="007210F7">
      <w:pPr>
        <w:pStyle w:val="TableFigureFooter"/>
        <w:rPr>
          <w:i/>
        </w:rPr>
      </w:pPr>
      <w:r w:rsidRPr="00DB67C1">
        <w:rPr>
          <w:i/>
          <w:vertAlign w:val="superscript"/>
        </w:rPr>
        <w:t>2</w:t>
      </w:r>
      <w:r w:rsidRPr="00DB67C1">
        <w:rPr>
          <w:i/>
        </w:rPr>
        <w:t xml:space="preserve"> 5,000 to &lt; 10,000</w:t>
      </w:r>
    </w:p>
    <w:p w:rsidR="00DB67C1" w:rsidRPr="00DB67C1" w:rsidRDefault="005A198B" w:rsidP="00DB67C1">
      <w:pPr>
        <w:pStyle w:val="TableFigureFooter"/>
        <w:rPr>
          <w:i/>
        </w:rPr>
      </w:pPr>
      <w:r>
        <w:rPr>
          <w:i/>
          <w:vertAlign w:val="superscript"/>
        </w:rPr>
        <w:t xml:space="preserve">3 </w:t>
      </w:r>
      <w:r w:rsidR="00DB67C1" w:rsidRPr="00DB67C1">
        <w:rPr>
          <w:i/>
        </w:rPr>
        <w:t>&lt; 500</w:t>
      </w:r>
    </w:p>
    <w:p w:rsidR="00DB67C1" w:rsidRPr="00DB67C1" w:rsidRDefault="00DB67C1" w:rsidP="00DB67C1">
      <w:pPr>
        <w:pStyle w:val="TableFigureFooter"/>
        <w:rPr>
          <w:i/>
        </w:rPr>
      </w:pPr>
      <w:r>
        <w:rPr>
          <w:i/>
          <w:vertAlign w:val="superscript"/>
        </w:rPr>
        <w:t>4</w:t>
      </w:r>
      <w:r w:rsidR="005A198B">
        <w:rPr>
          <w:i/>
          <w:vertAlign w:val="superscript"/>
        </w:rPr>
        <w:t xml:space="preserve"> </w:t>
      </w:r>
      <w:r w:rsidRPr="00DB67C1">
        <w:rPr>
          <w:i/>
        </w:rPr>
        <w:t>500 to &lt; 5,000</w:t>
      </w:r>
    </w:p>
    <w:p w:rsidR="00EC7564" w:rsidRDefault="00EC7564">
      <w:pPr>
        <w:jc w:val="left"/>
        <w:rPr>
          <w:rFonts w:asciiTheme="minorHAnsi" w:hAnsiTheme="minorHAnsi"/>
          <w:snapToGrid w:val="0"/>
        </w:rPr>
      </w:pPr>
      <w:r>
        <w:br w:type="page"/>
      </w:r>
    </w:p>
    <w:p w:rsidR="007210F7" w:rsidRPr="00871292" w:rsidRDefault="00E13566" w:rsidP="00B505C8">
      <w:pPr>
        <w:pStyle w:val="3-BodyText"/>
      </w:pPr>
      <w:r w:rsidRPr="00871292">
        <w:lastRenderedPageBreak/>
        <w:t>Table 9 summarises the estimated net financial implications to the PBS/RPBS for the proposed listing of UPA for AS over the first six years (assumed as 2021 to 2026).</w:t>
      </w:r>
    </w:p>
    <w:p w:rsidR="00C96D3A" w:rsidRPr="00871292" w:rsidRDefault="00C96D3A" w:rsidP="00C96D3A">
      <w:pPr>
        <w:rPr>
          <w:rFonts w:ascii="Arial Narrow" w:hAnsi="Arial Narrow"/>
          <w:b/>
          <w:bCs/>
          <w:sz w:val="20"/>
          <w:szCs w:val="20"/>
        </w:rPr>
      </w:pPr>
      <w:r w:rsidRPr="00871292">
        <w:rPr>
          <w:rFonts w:ascii="Arial Narrow" w:hAnsi="Arial Narrow"/>
          <w:b/>
          <w:bCs/>
          <w:sz w:val="20"/>
          <w:szCs w:val="20"/>
        </w:rPr>
        <w:t>Table 9: Estimated use and financial implications to the PBS/RPBS for the proposed listing of UPA</w:t>
      </w:r>
    </w:p>
    <w:tbl>
      <w:tblPr>
        <w:tblStyle w:val="TableGrid"/>
        <w:tblW w:w="5000" w:type="pct"/>
        <w:tblCellMar>
          <w:left w:w="28" w:type="dxa"/>
          <w:right w:w="28" w:type="dxa"/>
        </w:tblCellMar>
        <w:tblLook w:val="04A0" w:firstRow="1" w:lastRow="0" w:firstColumn="1" w:lastColumn="0" w:noHBand="0" w:noVBand="1"/>
        <w:tblCaption w:val="Table 9: Estimated use and financial implications to the PBS/RPBS for the proposed listing of UPA"/>
      </w:tblPr>
      <w:tblGrid>
        <w:gridCol w:w="2122"/>
        <w:gridCol w:w="1148"/>
        <w:gridCol w:w="1149"/>
        <w:gridCol w:w="1149"/>
        <w:gridCol w:w="1149"/>
        <w:gridCol w:w="1149"/>
        <w:gridCol w:w="1151"/>
      </w:tblGrid>
      <w:tr w:rsidR="00C96D3A" w:rsidRPr="00871292" w:rsidTr="002E23A9">
        <w:trPr>
          <w:tblHeader/>
        </w:trPr>
        <w:tc>
          <w:tcPr>
            <w:tcW w:w="1177" w:type="pct"/>
            <w:tcBorders>
              <w:top w:val="single" w:sz="4" w:space="0" w:color="auto"/>
            </w:tcBorders>
            <w:vAlign w:val="center"/>
          </w:tcPr>
          <w:p w:rsidR="00C96D3A" w:rsidRPr="00871292" w:rsidRDefault="00C96D3A" w:rsidP="008C4AE0">
            <w:pPr>
              <w:ind w:left="246"/>
              <w:rPr>
                <w:rFonts w:ascii="Arial Narrow" w:hAnsi="Arial Narrow"/>
                <w:sz w:val="20"/>
                <w:szCs w:val="20"/>
              </w:rPr>
            </w:pPr>
          </w:p>
        </w:tc>
        <w:tc>
          <w:tcPr>
            <w:tcW w:w="637" w:type="pct"/>
            <w:tcBorders>
              <w:top w:val="single" w:sz="4" w:space="0" w:color="auto"/>
            </w:tcBorders>
            <w:shd w:val="clear" w:color="auto" w:fill="auto"/>
            <w:vAlign w:val="center"/>
          </w:tcPr>
          <w:p w:rsidR="00C96D3A" w:rsidRPr="00871292" w:rsidRDefault="00C96D3A" w:rsidP="008C4AE0">
            <w:pPr>
              <w:jc w:val="center"/>
              <w:rPr>
                <w:rFonts w:ascii="Arial Narrow" w:hAnsi="Arial Narrow"/>
                <w:sz w:val="20"/>
                <w:szCs w:val="20"/>
              </w:rPr>
            </w:pPr>
            <w:r w:rsidRPr="00871292">
              <w:rPr>
                <w:rFonts w:ascii="Arial Narrow" w:hAnsi="Arial Narrow"/>
                <w:b/>
                <w:bCs/>
                <w:sz w:val="20"/>
                <w:szCs w:val="20"/>
              </w:rPr>
              <w:t>Year 1</w:t>
            </w:r>
          </w:p>
        </w:tc>
        <w:tc>
          <w:tcPr>
            <w:tcW w:w="637" w:type="pct"/>
            <w:tcBorders>
              <w:top w:val="single" w:sz="4" w:space="0" w:color="auto"/>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b/>
                <w:bCs/>
                <w:sz w:val="20"/>
                <w:szCs w:val="20"/>
              </w:rPr>
              <w:t>Year 2</w:t>
            </w:r>
          </w:p>
        </w:tc>
        <w:tc>
          <w:tcPr>
            <w:tcW w:w="637" w:type="pct"/>
            <w:tcBorders>
              <w:top w:val="single" w:sz="4" w:space="0" w:color="auto"/>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b/>
                <w:bCs/>
                <w:sz w:val="20"/>
                <w:szCs w:val="20"/>
              </w:rPr>
              <w:t>Year 3</w:t>
            </w:r>
          </w:p>
        </w:tc>
        <w:tc>
          <w:tcPr>
            <w:tcW w:w="637" w:type="pct"/>
            <w:tcBorders>
              <w:top w:val="single" w:sz="4" w:space="0" w:color="auto"/>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b/>
                <w:bCs/>
                <w:sz w:val="20"/>
                <w:szCs w:val="20"/>
              </w:rPr>
              <w:t>Year 4</w:t>
            </w:r>
          </w:p>
        </w:tc>
        <w:tc>
          <w:tcPr>
            <w:tcW w:w="637" w:type="pct"/>
            <w:tcBorders>
              <w:top w:val="single" w:sz="4" w:space="0" w:color="auto"/>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b/>
                <w:bCs/>
                <w:sz w:val="20"/>
                <w:szCs w:val="20"/>
              </w:rPr>
              <w:t>Year 5</w:t>
            </w:r>
          </w:p>
        </w:tc>
        <w:tc>
          <w:tcPr>
            <w:tcW w:w="638" w:type="pct"/>
            <w:tcBorders>
              <w:top w:val="single" w:sz="4" w:space="0" w:color="auto"/>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b/>
                <w:bCs/>
                <w:sz w:val="20"/>
                <w:szCs w:val="20"/>
              </w:rPr>
              <w:t>Year 6</w:t>
            </w:r>
          </w:p>
        </w:tc>
      </w:tr>
      <w:tr w:rsidR="00C96D3A" w:rsidRPr="00871292" w:rsidTr="008C4AE0">
        <w:tc>
          <w:tcPr>
            <w:tcW w:w="5000" w:type="pct"/>
            <w:gridSpan w:val="7"/>
            <w:tcBorders>
              <w:bottom w:val="single" w:sz="4" w:space="0" w:color="auto"/>
            </w:tcBorders>
            <w:vAlign w:val="center"/>
          </w:tcPr>
          <w:p w:rsidR="00C96D3A" w:rsidRPr="00871292" w:rsidRDefault="00C96D3A" w:rsidP="008C4AE0">
            <w:pPr>
              <w:jc w:val="left"/>
              <w:rPr>
                <w:rFonts w:ascii="Arial Narrow" w:hAnsi="Arial Narrow"/>
                <w:b/>
                <w:bCs/>
                <w:sz w:val="20"/>
                <w:szCs w:val="20"/>
              </w:rPr>
            </w:pPr>
            <w:r w:rsidRPr="00871292">
              <w:rPr>
                <w:rFonts w:ascii="Arial Narrow" w:hAnsi="Arial Narrow"/>
                <w:b/>
                <w:bCs/>
                <w:sz w:val="20"/>
                <w:szCs w:val="20"/>
              </w:rPr>
              <w:t>Estimation of the use and financial impact of UPA</w:t>
            </w:r>
          </w:p>
        </w:tc>
      </w:tr>
      <w:tr w:rsidR="00C96D3A" w:rsidRPr="00871292" w:rsidTr="008C4AE0">
        <w:tc>
          <w:tcPr>
            <w:tcW w:w="1177" w:type="pct"/>
            <w:tcBorders>
              <w:bottom w:val="nil"/>
            </w:tcBorders>
          </w:tcPr>
          <w:p w:rsidR="00C96D3A" w:rsidRPr="00871292" w:rsidRDefault="00C96D3A" w:rsidP="008C4AE0">
            <w:pPr>
              <w:rPr>
                <w:rFonts w:ascii="Arial Narrow" w:hAnsi="Arial Narrow"/>
                <w:sz w:val="20"/>
                <w:szCs w:val="20"/>
              </w:rPr>
            </w:pPr>
            <w:r w:rsidRPr="00871292">
              <w:rPr>
                <w:rFonts w:ascii="Arial Narrow" w:hAnsi="Arial Narrow"/>
                <w:sz w:val="20"/>
                <w:szCs w:val="20"/>
              </w:rPr>
              <w:t>UPA scripts</w:t>
            </w:r>
          </w:p>
        </w:tc>
        <w:tc>
          <w:tcPr>
            <w:tcW w:w="637" w:type="pct"/>
            <w:tcBorders>
              <w:bottom w:val="nil"/>
            </w:tcBorders>
          </w:tcPr>
          <w:p w:rsidR="00C96D3A" w:rsidRPr="00871292" w:rsidRDefault="00AE4C98" w:rsidP="008C4AE0">
            <w:pPr>
              <w:jc w:val="center"/>
              <w:rPr>
                <w:rFonts w:ascii="Arial Narrow" w:hAnsi="Arial Narrow"/>
                <w:bCs/>
                <w:sz w:val="20"/>
                <w:szCs w:val="20"/>
              </w:rPr>
            </w:pPr>
            <w:r>
              <w:rPr>
                <w:rFonts w:ascii="Arial Narrow" w:hAnsi="Arial Narrow"/>
                <w:bCs/>
                <w:noProof/>
                <w:color w:val="000000"/>
                <w:sz w:val="20"/>
                <w:szCs w:val="20"/>
                <w:highlight w:val="black"/>
              </w:rPr>
              <w:t>''''''''''''''</w:t>
            </w:r>
            <w:r w:rsidR="008214AA">
              <w:rPr>
                <w:rFonts w:ascii="Arial Narrow" w:hAnsi="Arial Narrow"/>
                <w:bCs/>
                <w:sz w:val="20"/>
                <w:szCs w:val="20"/>
                <w:vertAlign w:val="superscript"/>
              </w:rPr>
              <w:t>1</w:t>
            </w:r>
            <w:r w:rsidR="00C96D3A" w:rsidRPr="00871292">
              <w:rPr>
                <w:rFonts w:ascii="Arial Narrow" w:hAnsi="Arial Narrow"/>
                <w:bCs/>
                <w:sz w:val="20"/>
                <w:szCs w:val="20"/>
              </w:rPr>
              <w:t xml:space="preserve"> </w:t>
            </w:r>
          </w:p>
        </w:tc>
        <w:tc>
          <w:tcPr>
            <w:tcW w:w="637" w:type="pct"/>
            <w:tcBorders>
              <w:bottom w:val="nil"/>
            </w:tcBorders>
          </w:tcPr>
          <w:p w:rsidR="00C96D3A" w:rsidRPr="00871292" w:rsidRDefault="00AE4C98" w:rsidP="008C4AE0">
            <w:pPr>
              <w:jc w:val="center"/>
              <w:rPr>
                <w:rFonts w:ascii="Arial Narrow" w:hAnsi="Arial Narrow"/>
                <w:bCs/>
                <w:sz w:val="20"/>
                <w:szCs w:val="20"/>
              </w:rPr>
            </w:pPr>
            <w:r>
              <w:rPr>
                <w:rFonts w:ascii="Arial Narrow" w:hAnsi="Arial Narrow"/>
                <w:bCs/>
                <w:noProof/>
                <w:color w:val="000000"/>
                <w:sz w:val="20"/>
                <w:szCs w:val="20"/>
                <w:highlight w:val="black"/>
              </w:rPr>
              <w:t>''''''''''''''</w:t>
            </w:r>
            <w:r w:rsidR="008214AA">
              <w:rPr>
                <w:rFonts w:ascii="Arial Narrow" w:hAnsi="Arial Narrow"/>
                <w:bCs/>
                <w:sz w:val="20"/>
                <w:szCs w:val="20"/>
                <w:vertAlign w:val="superscript"/>
              </w:rPr>
              <w:t>2</w:t>
            </w:r>
            <w:r w:rsidR="00C96D3A" w:rsidRPr="00871292">
              <w:rPr>
                <w:rFonts w:ascii="Arial Narrow" w:hAnsi="Arial Narrow"/>
                <w:bCs/>
                <w:sz w:val="20"/>
                <w:szCs w:val="20"/>
              </w:rPr>
              <w:t xml:space="preserve"> </w:t>
            </w:r>
          </w:p>
        </w:tc>
        <w:tc>
          <w:tcPr>
            <w:tcW w:w="637" w:type="pct"/>
            <w:tcBorders>
              <w:bottom w:val="nil"/>
            </w:tcBorders>
          </w:tcPr>
          <w:p w:rsidR="00C96D3A" w:rsidRPr="00871292" w:rsidRDefault="00AE4C98" w:rsidP="008C4AE0">
            <w:pPr>
              <w:jc w:val="center"/>
              <w:rPr>
                <w:rFonts w:ascii="Arial Narrow" w:hAnsi="Arial Narrow"/>
                <w:bCs/>
                <w:sz w:val="20"/>
                <w:szCs w:val="20"/>
              </w:rPr>
            </w:pPr>
            <w:r>
              <w:rPr>
                <w:rFonts w:ascii="Arial Narrow" w:hAnsi="Arial Narrow"/>
                <w:bCs/>
                <w:noProof/>
                <w:color w:val="000000"/>
                <w:sz w:val="20"/>
                <w:szCs w:val="20"/>
                <w:highlight w:val="black"/>
              </w:rPr>
              <w:t>'''''''''''''''</w:t>
            </w:r>
            <w:r w:rsidR="008214AA">
              <w:rPr>
                <w:rFonts w:ascii="Arial Narrow" w:hAnsi="Arial Narrow"/>
                <w:bCs/>
                <w:sz w:val="20"/>
                <w:szCs w:val="20"/>
                <w:vertAlign w:val="superscript"/>
              </w:rPr>
              <w:t>3</w:t>
            </w:r>
            <w:r w:rsidR="00C96D3A" w:rsidRPr="00871292">
              <w:rPr>
                <w:rFonts w:ascii="Arial Narrow" w:hAnsi="Arial Narrow"/>
                <w:bCs/>
                <w:sz w:val="20"/>
                <w:szCs w:val="20"/>
              </w:rPr>
              <w:t xml:space="preserve"> </w:t>
            </w:r>
          </w:p>
        </w:tc>
        <w:tc>
          <w:tcPr>
            <w:tcW w:w="637" w:type="pct"/>
            <w:tcBorders>
              <w:bottom w:val="nil"/>
            </w:tcBorders>
          </w:tcPr>
          <w:p w:rsidR="00C96D3A" w:rsidRPr="00871292" w:rsidRDefault="00AE4C98" w:rsidP="008C4AE0">
            <w:pPr>
              <w:jc w:val="center"/>
              <w:rPr>
                <w:rFonts w:ascii="Arial Narrow" w:hAnsi="Arial Narrow"/>
                <w:bCs/>
                <w:sz w:val="20"/>
                <w:szCs w:val="20"/>
              </w:rPr>
            </w:pPr>
            <w:r>
              <w:rPr>
                <w:rFonts w:ascii="Arial Narrow" w:hAnsi="Arial Narrow"/>
                <w:bCs/>
                <w:noProof/>
                <w:color w:val="000000"/>
                <w:sz w:val="20"/>
                <w:szCs w:val="20"/>
                <w:highlight w:val="black"/>
              </w:rPr>
              <w:t>''''''''''''''''''</w:t>
            </w:r>
            <w:r w:rsidR="008214AA">
              <w:rPr>
                <w:rFonts w:ascii="Arial Narrow" w:hAnsi="Arial Narrow"/>
                <w:bCs/>
                <w:sz w:val="20"/>
                <w:szCs w:val="20"/>
                <w:vertAlign w:val="superscript"/>
              </w:rPr>
              <w:t>3</w:t>
            </w:r>
          </w:p>
        </w:tc>
        <w:tc>
          <w:tcPr>
            <w:tcW w:w="637" w:type="pct"/>
            <w:tcBorders>
              <w:bottom w:val="nil"/>
            </w:tcBorders>
          </w:tcPr>
          <w:p w:rsidR="00C96D3A" w:rsidRPr="00871292" w:rsidRDefault="00AE4C98" w:rsidP="008C4AE0">
            <w:pPr>
              <w:jc w:val="center"/>
              <w:rPr>
                <w:rFonts w:ascii="Arial Narrow" w:hAnsi="Arial Narrow"/>
                <w:bCs/>
                <w:sz w:val="20"/>
                <w:szCs w:val="20"/>
              </w:rPr>
            </w:pPr>
            <w:r>
              <w:rPr>
                <w:rFonts w:ascii="Arial Narrow" w:hAnsi="Arial Narrow"/>
                <w:bCs/>
                <w:noProof/>
                <w:color w:val="000000"/>
                <w:sz w:val="20"/>
                <w:szCs w:val="20"/>
                <w:highlight w:val="black"/>
              </w:rPr>
              <w:t>'''''''''''''''</w:t>
            </w:r>
            <w:r w:rsidR="008214AA">
              <w:rPr>
                <w:rFonts w:ascii="Arial Narrow" w:hAnsi="Arial Narrow"/>
                <w:bCs/>
                <w:sz w:val="20"/>
                <w:szCs w:val="20"/>
                <w:vertAlign w:val="superscript"/>
              </w:rPr>
              <w:t>4</w:t>
            </w:r>
            <w:r w:rsidR="00C96D3A" w:rsidRPr="00871292">
              <w:rPr>
                <w:rFonts w:ascii="Arial Narrow" w:hAnsi="Arial Narrow"/>
                <w:bCs/>
                <w:sz w:val="20"/>
                <w:szCs w:val="20"/>
              </w:rPr>
              <w:t xml:space="preserve"> </w:t>
            </w:r>
          </w:p>
        </w:tc>
        <w:tc>
          <w:tcPr>
            <w:tcW w:w="638" w:type="pct"/>
            <w:tcBorders>
              <w:bottom w:val="nil"/>
            </w:tcBorders>
          </w:tcPr>
          <w:p w:rsidR="00C96D3A" w:rsidRPr="00871292" w:rsidRDefault="00AE4C98" w:rsidP="008C4AE0">
            <w:pPr>
              <w:jc w:val="center"/>
              <w:rPr>
                <w:rFonts w:ascii="Arial Narrow" w:hAnsi="Arial Narrow"/>
                <w:bCs/>
                <w:sz w:val="20"/>
                <w:szCs w:val="20"/>
              </w:rPr>
            </w:pPr>
            <w:r>
              <w:rPr>
                <w:rFonts w:ascii="Arial Narrow" w:hAnsi="Arial Narrow"/>
                <w:bCs/>
                <w:noProof/>
                <w:color w:val="000000"/>
                <w:sz w:val="20"/>
                <w:szCs w:val="20"/>
                <w:highlight w:val="black"/>
              </w:rPr>
              <w:t>'''''''''''''''</w:t>
            </w:r>
            <w:r w:rsidR="008214AA">
              <w:rPr>
                <w:rFonts w:ascii="Arial Narrow" w:hAnsi="Arial Narrow"/>
                <w:bCs/>
                <w:sz w:val="20"/>
                <w:szCs w:val="20"/>
                <w:vertAlign w:val="superscript"/>
              </w:rPr>
              <w:t>4</w:t>
            </w:r>
            <w:r w:rsidR="00C96D3A" w:rsidRPr="00871292">
              <w:rPr>
                <w:rFonts w:ascii="Arial Narrow" w:hAnsi="Arial Narrow"/>
                <w:bCs/>
                <w:sz w:val="20"/>
                <w:szCs w:val="20"/>
              </w:rPr>
              <w:t xml:space="preserve"> </w:t>
            </w:r>
          </w:p>
        </w:tc>
      </w:tr>
      <w:tr w:rsidR="00C96D3A" w:rsidRPr="00871292" w:rsidTr="008C4AE0">
        <w:tc>
          <w:tcPr>
            <w:tcW w:w="1177" w:type="pct"/>
            <w:tcBorders>
              <w:top w:val="nil"/>
              <w:bottom w:val="nil"/>
            </w:tcBorders>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Non-grandfather patients</w:t>
            </w:r>
          </w:p>
        </w:tc>
        <w:tc>
          <w:tcPr>
            <w:tcW w:w="637" w:type="pct"/>
            <w:tcBorders>
              <w:top w:val="nil"/>
              <w:bottom w:val="nil"/>
            </w:tcBorders>
          </w:tcPr>
          <w:p w:rsidR="00C96D3A" w:rsidRPr="008214AA"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8214AA">
              <w:rPr>
                <w:rFonts w:ascii="Arial Narrow" w:hAnsi="Arial Narrow"/>
                <w:sz w:val="20"/>
                <w:szCs w:val="20"/>
                <w:vertAlign w:val="superscript"/>
              </w:rPr>
              <w:t>1</w:t>
            </w:r>
          </w:p>
        </w:tc>
        <w:tc>
          <w:tcPr>
            <w:tcW w:w="637" w:type="pct"/>
            <w:tcBorders>
              <w:top w:val="nil"/>
              <w:bottom w:val="nil"/>
            </w:tcBorders>
          </w:tcPr>
          <w:p w:rsidR="00C96D3A" w:rsidRPr="008214AA"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8214AA">
              <w:rPr>
                <w:rFonts w:ascii="Arial Narrow" w:hAnsi="Arial Narrow"/>
                <w:sz w:val="20"/>
                <w:szCs w:val="20"/>
                <w:vertAlign w:val="superscript"/>
              </w:rPr>
              <w:t>1</w:t>
            </w:r>
          </w:p>
        </w:tc>
        <w:tc>
          <w:tcPr>
            <w:tcW w:w="637" w:type="pct"/>
            <w:tcBorders>
              <w:top w:val="nil"/>
              <w:bottom w:val="nil"/>
            </w:tcBorders>
          </w:tcPr>
          <w:p w:rsidR="00C96D3A" w:rsidRPr="008214AA"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8214AA">
              <w:rPr>
                <w:rFonts w:ascii="Arial Narrow" w:hAnsi="Arial Narrow"/>
                <w:sz w:val="20"/>
                <w:szCs w:val="20"/>
                <w:vertAlign w:val="superscript"/>
              </w:rPr>
              <w:t>2</w:t>
            </w:r>
          </w:p>
        </w:tc>
        <w:tc>
          <w:tcPr>
            <w:tcW w:w="637" w:type="pct"/>
            <w:tcBorders>
              <w:top w:val="nil"/>
              <w:bottom w:val="nil"/>
            </w:tcBorders>
          </w:tcPr>
          <w:p w:rsidR="00C96D3A" w:rsidRPr="008214AA"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8214AA">
              <w:rPr>
                <w:rFonts w:ascii="Arial Narrow" w:hAnsi="Arial Narrow"/>
                <w:sz w:val="20"/>
                <w:szCs w:val="20"/>
                <w:vertAlign w:val="superscript"/>
              </w:rPr>
              <w:t>3</w:t>
            </w:r>
          </w:p>
        </w:tc>
        <w:tc>
          <w:tcPr>
            <w:tcW w:w="637" w:type="pct"/>
            <w:tcBorders>
              <w:top w:val="nil"/>
              <w:bottom w:val="nil"/>
            </w:tcBorders>
          </w:tcPr>
          <w:p w:rsidR="00C96D3A" w:rsidRPr="0073584B"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73584B">
              <w:rPr>
                <w:rFonts w:ascii="Arial Narrow" w:hAnsi="Arial Narrow"/>
                <w:sz w:val="20"/>
                <w:szCs w:val="20"/>
                <w:vertAlign w:val="superscript"/>
              </w:rPr>
              <w:t>4</w:t>
            </w:r>
          </w:p>
        </w:tc>
        <w:tc>
          <w:tcPr>
            <w:tcW w:w="638" w:type="pct"/>
            <w:tcBorders>
              <w:top w:val="nil"/>
              <w:bottom w:val="nil"/>
            </w:tcBorders>
          </w:tcPr>
          <w:p w:rsidR="00C96D3A" w:rsidRPr="0073584B"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73584B">
              <w:rPr>
                <w:rFonts w:ascii="Arial Narrow" w:hAnsi="Arial Narrow"/>
                <w:sz w:val="20"/>
                <w:szCs w:val="20"/>
                <w:vertAlign w:val="superscript"/>
              </w:rPr>
              <w:t>4</w:t>
            </w:r>
          </w:p>
        </w:tc>
      </w:tr>
      <w:tr w:rsidR="00C96D3A" w:rsidRPr="00871292" w:rsidTr="008C4AE0">
        <w:tc>
          <w:tcPr>
            <w:tcW w:w="1177" w:type="pct"/>
            <w:tcBorders>
              <w:top w:val="nil"/>
              <w:bottom w:val="nil"/>
            </w:tcBorders>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Grandfathered patients</w:t>
            </w:r>
          </w:p>
        </w:tc>
        <w:tc>
          <w:tcPr>
            <w:tcW w:w="637" w:type="pct"/>
            <w:tcBorders>
              <w:top w:val="nil"/>
              <w:bottom w:val="nil"/>
            </w:tcBorders>
          </w:tcPr>
          <w:p w:rsidR="00C96D3A" w:rsidRPr="008214AA"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8214AA">
              <w:rPr>
                <w:rFonts w:ascii="Arial Narrow" w:hAnsi="Arial Narrow"/>
                <w:sz w:val="20"/>
                <w:szCs w:val="20"/>
                <w:vertAlign w:val="superscript"/>
              </w:rPr>
              <w:t>1</w:t>
            </w:r>
          </w:p>
        </w:tc>
        <w:tc>
          <w:tcPr>
            <w:tcW w:w="637" w:type="pct"/>
            <w:tcBorders>
              <w:top w:val="nil"/>
              <w:bottom w:val="nil"/>
            </w:tcBorders>
          </w:tcPr>
          <w:p w:rsidR="00C96D3A" w:rsidRPr="008214AA"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8214AA">
              <w:rPr>
                <w:rFonts w:ascii="Arial Narrow" w:hAnsi="Arial Narrow"/>
                <w:sz w:val="20"/>
                <w:szCs w:val="20"/>
                <w:vertAlign w:val="superscript"/>
              </w:rPr>
              <w:t>1</w:t>
            </w:r>
          </w:p>
        </w:tc>
        <w:tc>
          <w:tcPr>
            <w:tcW w:w="637" w:type="pct"/>
            <w:tcBorders>
              <w:top w:val="nil"/>
              <w:bottom w:val="nil"/>
            </w:tcBorders>
          </w:tcPr>
          <w:p w:rsidR="00C96D3A" w:rsidRPr="008214AA"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8214AA">
              <w:rPr>
                <w:rFonts w:ascii="Arial Narrow" w:hAnsi="Arial Narrow"/>
                <w:sz w:val="20"/>
                <w:szCs w:val="20"/>
                <w:vertAlign w:val="superscript"/>
              </w:rPr>
              <w:t>1</w:t>
            </w:r>
          </w:p>
        </w:tc>
        <w:tc>
          <w:tcPr>
            <w:tcW w:w="637" w:type="pct"/>
            <w:tcBorders>
              <w:top w:val="nil"/>
              <w:bottom w:val="nil"/>
            </w:tcBorders>
          </w:tcPr>
          <w:p w:rsidR="00C96D3A" w:rsidRPr="008214AA"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8214AA">
              <w:rPr>
                <w:rFonts w:ascii="Arial Narrow" w:hAnsi="Arial Narrow"/>
                <w:sz w:val="20"/>
                <w:szCs w:val="20"/>
                <w:vertAlign w:val="superscript"/>
              </w:rPr>
              <w:t>1</w:t>
            </w:r>
          </w:p>
        </w:tc>
        <w:tc>
          <w:tcPr>
            <w:tcW w:w="637" w:type="pct"/>
            <w:tcBorders>
              <w:top w:val="nil"/>
              <w:bottom w:val="nil"/>
            </w:tcBorders>
          </w:tcPr>
          <w:p w:rsidR="00C96D3A" w:rsidRPr="008214AA"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8214AA">
              <w:rPr>
                <w:rFonts w:ascii="Arial Narrow" w:hAnsi="Arial Narrow"/>
                <w:sz w:val="20"/>
                <w:szCs w:val="20"/>
                <w:vertAlign w:val="superscript"/>
              </w:rPr>
              <w:t>1</w:t>
            </w:r>
          </w:p>
        </w:tc>
        <w:tc>
          <w:tcPr>
            <w:tcW w:w="638" w:type="pct"/>
            <w:tcBorders>
              <w:top w:val="nil"/>
              <w:bottom w:val="nil"/>
            </w:tcBorders>
          </w:tcPr>
          <w:p w:rsidR="00C96D3A" w:rsidRPr="008214AA"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8214AA">
              <w:rPr>
                <w:rFonts w:ascii="Arial Narrow" w:hAnsi="Arial Narrow"/>
                <w:sz w:val="20"/>
                <w:szCs w:val="20"/>
                <w:vertAlign w:val="superscript"/>
              </w:rPr>
              <w:t>1</w:t>
            </w:r>
          </w:p>
        </w:tc>
      </w:tr>
      <w:tr w:rsidR="00C96D3A" w:rsidRPr="00871292" w:rsidTr="008C4AE0">
        <w:tc>
          <w:tcPr>
            <w:tcW w:w="1177" w:type="pct"/>
            <w:tcBorders>
              <w:top w:val="nil"/>
              <w:bottom w:val="nil"/>
            </w:tcBorders>
          </w:tcPr>
          <w:p w:rsidR="00C96D3A" w:rsidRPr="00871292" w:rsidRDefault="00C96D3A" w:rsidP="008C4AE0">
            <w:pPr>
              <w:rPr>
                <w:rFonts w:ascii="Arial Narrow" w:hAnsi="Arial Narrow"/>
                <w:sz w:val="20"/>
                <w:szCs w:val="20"/>
              </w:rPr>
            </w:pPr>
            <w:r w:rsidRPr="00871292">
              <w:rPr>
                <w:rFonts w:ascii="Arial Narrow" w:hAnsi="Arial Narrow"/>
                <w:sz w:val="20"/>
                <w:szCs w:val="20"/>
              </w:rPr>
              <w:t>Net cost PBS/RPBS, UPA</w:t>
            </w:r>
          </w:p>
        </w:tc>
        <w:tc>
          <w:tcPr>
            <w:tcW w:w="637" w:type="pct"/>
            <w:tcBorders>
              <w:top w:val="nil"/>
              <w:bottom w:val="nil"/>
            </w:tcBorders>
          </w:tcPr>
          <w:p w:rsidR="00C96D3A" w:rsidRPr="0073584B" w:rsidRDefault="00C96D3A" w:rsidP="008C4AE0">
            <w:pPr>
              <w:jc w:val="center"/>
              <w:rPr>
                <w:rFonts w:ascii="Arial Narrow" w:hAnsi="Arial Narrow"/>
                <w:bCs/>
                <w:sz w:val="20"/>
                <w:szCs w:val="20"/>
                <w:vertAlign w:val="superscript"/>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nil"/>
            </w:tcBorders>
          </w:tcPr>
          <w:p w:rsidR="00C96D3A" w:rsidRPr="0073584B" w:rsidRDefault="00C96D3A" w:rsidP="008C4AE0">
            <w:pPr>
              <w:jc w:val="center"/>
              <w:rPr>
                <w:rFonts w:ascii="Arial Narrow" w:hAnsi="Arial Narrow"/>
                <w:bCs/>
                <w:sz w:val="20"/>
                <w:szCs w:val="20"/>
                <w:vertAlign w:val="superscript"/>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nil"/>
            </w:tcBorders>
          </w:tcPr>
          <w:p w:rsidR="00C96D3A" w:rsidRPr="0073584B" w:rsidRDefault="00C96D3A" w:rsidP="008C4AE0">
            <w:pPr>
              <w:jc w:val="center"/>
              <w:rPr>
                <w:rFonts w:ascii="Arial Narrow" w:hAnsi="Arial Narrow"/>
                <w:bCs/>
                <w:sz w:val="20"/>
                <w:szCs w:val="20"/>
                <w:vertAlign w:val="superscript"/>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6</w:t>
            </w:r>
          </w:p>
        </w:tc>
        <w:tc>
          <w:tcPr>
            <w:tcW w:w="637" w:type="pct"/>
            <w:tcBorders>
              <w:top w:val="nil"/>
              <w:bottom w:val="nil"/>
            </w:tcBorders>
          </w:tcPr>
          <w:p w:rsidR="00C96D3A" w:rsidRPr="0073584B" w:rsidRDefault="00C96D3A" w:rsidP="008C4AE0">
            <w:pPr>
              <w:jc w:val="center"/>
              <w:rPr>
                <w:rFonts w:ascii="Arial Narrow" w:hAnsi="Arial Narrow"/>
                <w:bCs/>
                <w:sz w:val="20"/>
                <w:szCs w:val="20"/>
                <w:vertAlign w:val="superscript"/>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7</w:t>
            </w:r>
          </w:p>
        </w:tc>
        <w:tc>
          <w:tcPr>
            <w:tcW w:w="637" w:type="pct"/>
            <w:tcBorders>
              <w:top w:val="nil"/>
              <w:bottom w:val="nil"/>
            </w:tcBorders>
          </w:tcPr>
          <w:p w:rsidR="00C96D3A" w:rsidRPr="0073584B" w:rsidRDefault="00C96D3A" w:rsidP="008C4AE0">
            <w:pPr>
              <w:jc w:val="center"/>
              <w:rPr>
                <w:rFonts w:ascii="Arial Narrow" w:hAnsi="Arial Narrow"/>
                <w:bCs/>
                <w:sz w:val="20"/>
                <w:szCs w:val="20"/>
                <w:vertAlign w:val="superscript"/>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7</w:t>
            </w:r>
          </w:p>
        </w:tc>
        <w:tc>
          <w:tcPr>
            <w:tcW w:w="638" w:type="pct"/>
            <w:tcBorders>
              <w:top w:val="nil"/>
              <w:bottom w:val="nil"/>
            </w:tcBorders>
          </w:tcPr>
          <w:p w:rsidR="00C96D3A" w:rsidRPr="0073584B" w:rsidRDefault="00C96D3A" w:rsidP="008C4AE0">
            <w:pPr>
              <w:jc w:val="center"/>
              <w:rPr>
                <w:rFonts w:ascii="Arial Narrow" w:hAnsi="Arial Narrow"/>
                <w:bCs/>
                <w:sz w:val="20"/>
                <w:szCs w:val="20"/>
                <w:vertAlign w:val="superscript"/>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8</w:t>
            </w:r>
          </w:p>
        </w:tc>
      </w:tr>
      <w:tr w:rsidR="00C96D3A" w:rsidRPr="00871292" w:rsidTr="008C4AE0">
        <w:tc>
          <w:tcPr>
            <w:tcW w:w="1177" w:type="pct"/>
            <w:tcBorders>
              <w:top w:val="nil"/>
              <w:bottom w:val="nil"/>
            </w:tcBorders>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Non-grandfather patients</w:t>
            </w:r>
          </w:p>
        </w:tc>
        <w:tc>
          <w:tcPr>
            <w:tcW w:w="637" w:type="pct"/>
            <w:tcBorders>
              <w:top w:val="nil"/>
              <w:bottom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5</w:t>
            </w:r>
          </w:p>
        </w:tc>
        <w:tc>
          <w:tcPr>
            <w:tcW w:w="637" w:type="pct"/>
            <w:tcBorders>
              <w:top w:val="nil"/>
              <w:bottom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5</w:t>
            </w:r>
          </w:p>
        </w:tc>
        <w:tc>
          <w:tcPr>
            <w:tcW w:w="637" w:type="pct"/>
            <w:tcBorders>
              <w:top w:val="nil"/>
              <w:bottom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6</w:t>
            </w:r>
          </w:p>
        </w:tc>
        <w:tc>
          <w:tcPr>
            <w:tcW w:w="637" w:type="pct"/>
            <w:tcBorders>
              <w:top w:val="nil"/>
              <w:bottom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7</w:t>
            </w:r>
          </w:p>
        </w:tc>
        <w:tc>
          <w:tcPr>
            <w:tcW w:w="637" w:type="pct"/>
            <w:tcBorders>
              <w:top w:val="nil"/>
              <w:bottom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7</w:t>
            </w:r>
          </w:p>
        </w:tc>
        <w:tc>
          <w:tcPr>
            <w:tcW w:w="638" w:type="pct"/>
            <w:tcBorders>
              <w:top w:val="nil"/>
              <w:bottom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7</w:t>
            </w:r>
          </w:p>
        </w:tc>
      </w:tr>
      <w:tr w:rsidR="00C96D3A" w:rsidRPr="00871292" w:rsidTr="008C4AE0">
        <w:tc>
          <w:tcPr>
            <w:tcW w:w="1177" w:type="pct"/>
            <w:tcBorders>
              <w:top w:val="nil"/>
            </w:tcBorders>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Grandfathered patients</w:t>
            </w:r>
          </w:p>
        </w:tc>
        <w:tc>
          <w:tcPr>
            <w:tcW w:w="637" w:type="pct"/>
            <w:tcBorders>
              <w:top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5</w:t>
            </w:r>
          </w:p>
        </w:tc>
        <w:tc>
          <w:tcPr>
            <w:tcW w:w="637" w:type="pct"/>
            <w:tcBorders>
              <w:top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5</w:t>
            </w:r>
          </w:p>
        </w:tc>
        <w:tc>
          <w:tcPr>
            <w:tcW w:w="637" w:type="pct"/>
            <w:tcBorders>
              <w:top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5</w:t>
            </w:r>
          </w:p>
        </w:tc>
        <w:tc>
          <w:tcPr>
            <w:tcW w:w="637" w:type="pct"/>
            <w:tcBorders>
              <w:top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5</w:t>
            </w:r>
          </w:p>
        </w:tc>
        <w:tc>
          <w:tcPr>
            <w:tcW w:w="637" w:type="pct"/>
            <w:tcBorders>
              <w:top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5</w:t>
            </w:r>
          </w:p>
        </w:tc>
        <w:tc>
          <w:tcPr>
            <w:tcW w:w="638" w:type="pct"/>
            <w:tcBorders>
              <w:top w:val="nil"/>
            </w:tcBorders>
          </w:tcPr>
          <w:p w:rsidR="00C96D3A" w:rsidRPr="0073584B" w:rsidRDefault="00C96D3A" w:rsidP="008C4AE0">
            <w:pPr>
              <w:jc w:val="center"/>
              <w:rPr>
                <w:rFonts w:ascii="Arial Narrow" w:hAnsi="Arial Narrow"/>
                <w:sz w:val="20"/>
                <w:szCs w:val="20"/>
                <w:vertAlign w:val="superscript"/>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sz w:val="20"/>
                <w:szCs w:val="20"/>
                <w:vertAlign w:val="superscript"/>
              </w:rPr>
              <w:t>5</w:t>
            </w:r>
          </w:p>
        </w:tc>
      </w:tr>
      <w:tr w:rsidR="00C96D3A" w:rsidRPr="00871292" w:rsidTr="008C4AE0">
        <w:tc>
          <w:tcPr>
            <w:tcW w:w="5000" w:type="pct"/>
            <w:gridSpan w:val="7"/>
            <w:tcBorders>
              <w:bottom w:val="single" w:sz="4" w:space="0" w:color="auto"/>
            </w:tcBorders>
            <w:vAlign w:val="center"/>
          </w:tcPr>
          <w:p w:rsidR="00C96D3A" w:rsidRPr="00871292" w:rsidRDefault="00C96D3A" w:rsidP="008C4AE0">
            <w:pPr>
              <w:jc w:val="left"/>
              <w:rPr>
                <w:rFonts w:ascii="Arial Narrow" w:hAnsi="Arial Narrow"/>
                <w:b/>
                <w:bCs/>
                <w:sz w:val="20"/>
                <w:szCs w:val="20"/>
              </w:rPr>
            </w:pPr>
            <w:r w:rsidRPr="00871292">
              <w:rPr>
                <w:rFonts w:ascii="Arial Narrow" w:hAnsi="Arial Narrow"/>
                <w:b/>
                <w:bCs/>
                <w:sz w:val="20"/>
                <w:szCs w:val="20"/>
              </w:rPr>
              <w:t>Estimation of changes in use and financial impact of bDMARDs^</w:t>
            </w:r>
          </w:p>
        </w:tc>
      </w:tr>
      <w:tr w:rsidR="00C96D3A" w:rsidRPr="00871292" w:rsidTr="008C4AE0">
        <w:tc>
          <w:tcPr>
            <w:tcW w:w="1177" w:type="pct"/>
            <w:tcBorders>
              <w:bottom w:val="nil"/>
            </w:tcBorders>
            <w:vAlign w:val="center"/>
          </w:tcPr>
          <w:p w:rsidR="00C96D3A" w:rsidRPr="00871292" w:rsidRDefault="00C96D3A" w:rsidP="008C4AE0">
            <w:pPr>
              <w:rPr>
                <w:rFonts w:ascii="Arial Narrow" w:hAnsi="Arial Narrow"/>
                <w:sz w:val="20"/>
                <w:szCs w:val="20"/>
              </w:rPr>
            </w:pPr>
            <w:r w:rsidRPr="00871292">
              <w:rPr>
                <w:rFonts w:ascii="Arial Narrow" w:hAnsi="Arial Narrow"/>
                <w:sz w:val="20"/>
                <w:szCs w:val="20"/>
              </w:rPr>
              <w:t>bDMARD scripts</w:t>
            </w:r>
          </w:p>
        </w:tc>
        <w:tc>
          <w:tcPr>
            <w:tcW w:w="637" w:type="pct"/>
            <w:tcBorders>
              <w:bottom w:val="nil"/>
            </w:tcBorders>
            <w:vAlign w:val="center"/>
          </w:tcPr>
          <w:p w:rsidR="00C96D3A" w:rsidRPr="0073584B" w:rsidRDefault="00C96D3A" w:rsidP="008C4AE0">
            <w:pPr>
              <w:jc w:val="center"/>
              <w:rPr>
                <w:rFonts w:ascii="Arial Narrow" w:hAnsi="Arial Narrow"/>
                <w:bCs/>
                <w:sz w:val="20"/>
                <w:szCs w:val="20"/>
                <w:vertAlign w:val="superscript"/>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1</w:t>
            </w:r>
          </w:p>
        </w:tc>
        <w:tc>
          <w:tcPr>
            <w:tcW w:w="637" w:type="pct"/>
            <w:tcBorders>
              <w:bottom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1</w:t>
            </w:r>
          </w:p>
        </w:tc>
        <w:tc>
          <w:tcPr>
            <w:tcW w:w="637" w:type="pct"/>
            <w:tcBorders>
              <w:bottom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2</w:t>
            </w:r>
          </w:p>
        </w:tc>
        <w:tc>
          <w:tcPr>
            <w:tcW w:w="637" w:type="pct"/>
            <w:tcBorders>
              <w:bottom w:val="nil"/>
            </w:tcBorders>
            <w:vAlign w:val="center"/>
          </w:tcPr>
          <w:p w:rsidR="00C96D3A" w:rsidRPr="00A57088" w:rsidRDefault="00C96D3A" w:rsidP="008C4AE0">
            <w:pPr>
              <w:jc w:val="center"/>
              <w:rPr>
                <w:rFonts w:ascii="Arial Narrow" w:hAnsi="Arial Narrow"/>
                <w:bCs/>
                <w:sz w:val="20"/>
                <w:szCs w:val="20"/>
                <w:vertAlign w:val="superscript"/>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3</w:t>
            </w:r>
          </w:p>
        </w:tc>
        <w:tc>
          <w:tcPr>
            <w:tcW w:w="637" w:type="pct"/>
            <w:tcBorders>
              <w:bottom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4</w:t>
            </w:r>
          </w:p>
        </w:tc>
        <w:tc>
          <w:tcPr>
            <w:tcW w:w="638" w:type="pct"/>
            <w:tcBorders>
              <w:bottom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4</w:t>
            </w:r>
          </w:p>
        </w:tc>
      </w:tr>
      <w:tr w:rsidR="00C96D3A" w:rsidRPr="00871292" w:rsidTr="008C4AE0">
        <w:tc>
          <w:tcPr>
            <w:tcW w:w="1177" w:type="pct"/>
            <w:tcBorders>
              <w:top w:val="nil"/>
              <w:bottom w:val="nil"/>
            </w:tcBorders>
            <w:vAlign w:val="center"/>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ADA</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2</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2</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3</w:t>
            </w:r>
          </w:p>
        </w:tc>
        <w:tc>
          <w:tcPr>
            <w:tcW w:w="638"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3</w:t>
            </w:r>
          </w:p>
        </w:tc>
      </w:tr>
      <w:tr w:rsidR="00C96D3A" w:rsidRPr="00871292" w:rsidTr="008C4AE0">
        <w:tc>
          <w:tcPr>
            <w:tcW w:w="1177" w:type="pct"/>
            <w:tcBorders>
              <w:top w:val="nil"/>
              <w:bottom w:val="nil"/>
            </w:tcBorders>
            <w:vAlign w:val="center"/>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ETN</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8"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r>
      <w:tr w:rsidR="00C96D3A" w:rsidRPr="00871292" w:rsidTr="008C4AE0">
        <w:tc>
          <w:tcPr>
            <w:tcW w:w="1177" w:type="pct"/>
            <w:tcBorders>
              <w:top w:val="nil"/>
              <w:bottom w:val="nil"/>
            </w:tcBorders>
            <w:vAlign w:val="center"/>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IFX</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8"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r>
      <w:tr w:rsidR="00C96D3A" w:rsidRPr="00871292" w:rsidTr="008C4AE0">
        <w:tc>
          <w:tcPr>
            <w:tcW w:w="1177" w:type="pct"/>
            <w:tcBorders>
              <w:top w:val="nil"/>
              <w:bottom w:val="nil"/>
            </w:tcBorders>
            <w:vAlign w:val="center"/>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CZP</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8"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r>
      <w:tr w:rsidR="00C96D3A" w:rsidRPr="00871292" w:rsidTr="008C4AE0">
        <w:tc>
          <w:tcPr>
            <w:tcW w:w="1177" w:type="pct"/>
            <w:tcBorders>
              <w:top w:val="nil"/>
              <w:bottom w:val="nil"/>
            </w:tcBorders>
            <w:vAlign w:val="center"/>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SEC</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8"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r>
      <w:tr w:rsidR="00C96D3A" w:rsidRPr="00871292" w:rsidTr="008C4AE0">
        <w:tc>
          <w:tcPr>
            <w:tcW w:w="1177" w:type="pct"/>
            <w:tcBorders>
              <w:top w:val="nil"/>
              <w:bottom w:val="nil"/>
            </w:tcBorders>
            <w:vAlign w:val="center"/>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GLM</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9</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7"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c>
          <w:tcPr>
            <w:tcW w:w="638" w:type="pct"/>
            <w:tcBorders>
              <w:top w:val="nil"/>
              <w:bottom w:val="nil"/>
            </w:tcBorders>
            <w:vAlign w:val="center"/>
          </w:tcPr>
          <w:p w:rsidR="00C96D3A" w:rsidRPr="00871292" w:rsidRDefault="00C96D3A" w:rsidP="008C4AE0">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A57088">
              <w:rPr>
                <w:rFonts w:ascii="Arial Narrow" w:hAnsi="Arial Narrow"/>
                <w:bCs/>
                <w:sz w:val="20"/>
                <w:szCs w:val="20"/>
                <w:vertAlign w:val="superscript"/>
              </w:rPr>
              <w:t>1</w:t>
            </w:r>
          </w:p>
        </w:tc>
      </w:tr>
      <w:tr w:rsidR="00C96D3A" w:rsidRPr="00871292" w:rsidTr="008C4AE0">
        <w:tc>
          <w:tcPr>
            <w:tcW w:w="1177" w:type="pct"/>
            <w:tcBorders>
              <w:top w:val="nil"/>
            </w:tcBorders>
            <w:vAlign w:val="center"/>
          </w:tcPr>
          <w:p w:rsidR="00C96D3A" w:rsidRPr="00871292" w:rsidRDefault="00C96D3A" w:rsidP="008C4AE0">
            <w:pPr>
              <w:jc w:val="left"/>
              <w:rPr>
                <w:rFonts w:ascii="Arial Narrow" w:hAnsi="Arial Narrow"/>
                <w:sz w:val="20"/>
                <w:szCs w:val="20"/>
              </w:rPr>
            </w:pPr>
            <w:r w:rsidRPr="00871292">
              <w:rPr>
                <w:rFonts w:ascii="Arial Narrow" w:hAnsi="Arial Narrow"/>
                <w:sz w:val="20"/>
                <w:szCs w:val="20"/>
              </w:rPr>
              <w:t xml:space="preserve">Net cost PBS/RPBS, bDMARDs </w:t>
            </w:r>
          </w:p>
        </w:tc>
        <w:tc>
          <w:tcPr>
            <w:tcW w:w="637" w:type="pct"/>
            <w:tcBorders>
              <w:top w:val="nil"/>
            </w:tcBorders>
            <w:vAlign w:val="center"/>
          </w:tcPr>
          <w:p w:rsidR="00C96D3A" w:rsidRPr="0073584B" w:rsidRDefault="00C96D3A" w:rsidP="008C4AE0">
            <w:pPr>
              <w:jc w:val="center"/>
              <w:rPr>
                <w:rFonts w:ascii="Arial Narrow" w:hAnsi="Arial Narrow"/>
                <w:bCs/>
                <w:sz w:val="20"/>
                <w:szCs w:val="20"/>
                <w:vertAlign w:val="superscript"/>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5</w:t>
            </w:r>
          </w:p>
        </w:tc>
        <w:tc>
          <w:tcPr>
            <w:tcW w:w="637" w:type="pct"/>
            <w:tcBorders>
              <w:top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5</w:t>
            </w:r>
          </w:p>
        </w:tc>
        <w:tc>
          <w:tcPr>
            <w:tcW w:w="637" w:type="pct"/>
            <w:tcBorders>
              <w:top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6</w:t>
            </w:r>
          </w:p>
        </w:tc>
        <w:tc>
          <w:tcPr>
            <w:tcW w:w="637" w:type="pct"/>
            <w:tcBorders>
              <w:top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6</w:t>
            </w:r>
          </w:p>
        </w:tc>
        <w:tc>
          <w:tcPr>
            <w:tcW w:w="637" w:type="pct"/>
            <w:tcBorders>
              <w:top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7</w:t>
            </w:r>
          </w:p>
        </w:tc>
        <w:tc>
          <w:tcPr>
            <w:tcW w:w="638" w:type="pct"/>
            <w:tcBorders>
              <w:top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A57088">
              <w:rPr>
                <w:rFonts w:ascii="Arial Narrow" w:hAnsi="Arial Narrow"/>
                <w:bCs/>
                <w:sz w:val="20"/>
                <w:szCs w:val="20"/>
                <w:vertAlign w:val="superscript"/>
              </w:rPr>
              <w:t>7</w:t>
            </w:r>
          </w:p>
        </w:tc>
      </w:tr>
      <w:tr w:rsidR="00C96D3A" w:rsidRPr="00871292" w:rsidTr="008C4AE0">
        <w:tc>
          <w:tcPr>
            <w:tcW w:w="5000" w:type="pct"/>
            <w:gridSpan w:val="7"/>
            <w:tcBorders>
              <w:bottom w:val="single" w:sz="4" w:space="0" w:color="auto"/>
            </w:tcBorders>
            <w:vAlign w:val="center"/>
          </w:tcPr>
          <w:p w:rsidR="00C96D3A" w:rsidRPr="00871292" w:rsidRDefault="00C96D3A" w:rsidP="002E23A9">
            <w:pPr>
              <w:keepNext/>
              <w:keepLines/>
              <w:jc w:val="left"/>
              <w:rPr>
                <w:rFonts w:ascii="Arial Narrow" w:hAnsi="Arial Narrow"/>
                <w:b/>
                <w:bCs/>
                <w:sz w:val="20"/>
                <w:szCs w:val="20"/>
              </w:rPr>
            </w:pPr>
            <w:r w:rsidRPr="00871292">
              <w:rPr>
                <w:rFonts w:ascii="Arial Narrow" w:hAnsi="Arial Narrow"/>
                <w:b/>
                <w:bCs/>
                <w:sz w:val="20"/>
                <w:szCs w:val="20"/>
              </w:rPr>
              <w:t>Estimated financial implications for the PBS/RPBS and the health budget</w:t>
            </w:r>
          </w:p>
        </w:tc>
      </w:tr>
      <w:tr w:rsidR="00C96D3A" w:rsidRPr="00871292" w:rsidTr="008C4AE0">
        <w:tc>
          <w:tcPr>
            <w:tcW w:w="1177" w:type="pct"/>
            <w:tcBorders>
              <w:bottom w:val="nil"/>
            </w:tcBorders>
            <w:vAlign w:val="center"/>
          </w:tcPr>
          <w:p w:rsidR="00C96D3A" w:rsidRPr="00871292" w:rsidRDefault="00C96D3A" w:rsidP="002E23A9">
            <w:pPr>
              <w:keepNext/>
              <w:keepLines/>
              <w:rPr>
                <w:rFonts w:ascii="Arial Narrow" w:hAnsi="Arial Narrow"/>
                <w:sz w:val="20"/>
                <w:szCs w:val="20"/>
              </w:rPr>
            </w:pPr>
            <w:r w:rsidRPr="00871292">
              <w:rPr>
                <w:rFonts w:ascii="Arial Narrow" w:hAnsi="Arial Narrow"/>
                <w:sz w:val="20"/>
                <w:szCs w:val="20"/>
              </w:rPr>
              <w:t>Net change in scripts</w:t>
            </w:r>
          </w:p>
        </w:tc>
        <w:tc>
          <w:tcPr>
            <w:tcW w:w="637" w:type="pct"/>
            <w:tcBorders>
              <w:bottom w:val="nil"/>
            </w:tcBorders>
            <w:vAlign w:val="center"/>
          </w:tcPr>
          <w:p w:rsidR="00C96D3A" w:rsidRPr="0073584B" w:rsidRDefault="00AE4C98" w:rsidP="002E23A9">
            <w:pPr>
              <w:keepNext/>
              <w:keepLines/>
              <w:jc w:val="center"/>
              <w:rPr>
                <w:rFonts w:ascii="Arial Narrow" w:hAnsi="Arial Narrow"/>
                <w:sz w:val="20"/>
                <w:szCs w:val="20"/>
                <w:vertAlign w:val="superscript"/>
              </w:rPr>
            </w:pPr>
            <w:r>
              <w:rPr>
                <w:rFonts w:ascii="Arial Narrow" w:hAnsi="Arial Narrow"/>
                <w:noProof/>
                <w:color w:val="000000"/>
                <w:sz w:val="20"/>
                <w:szCs w:val="20"/>
                <w:highlight w:val="black"/>
              </w:rPr>
              <w:t>'''''''''</w:t>
            </w:r>
            <w:r w:rsidR="0073584B">
              <w:rPr>
                <w:rFonts w:ascii="Arial Narrow" w:hAnsi="Arial Narrow"/>
                <w:sz w:val="20"/>
                <w:szCs w:val="20"/>
                <w:vertAlign w:val="superscript"/>
              </w:rPr>
              <w:t>1</w:t>
            </w:r>
          </w:p>
        </w:tc>
        <w:tc>
          <w:tcPr>
            <w:tcW w:w="637" w:type="pct"/>
            <w:tcBorders>
              <w:bottom w:val="nil"/>
            </w:tcBorders>
            <w:vAlign w:val="center"/>
          </w:tcPr>
          <w:p w:rsidR="00C96D3A" w:rsidRPr="00871292" w:rsidRDefault="00AE4C98" w:rsidP="002E23A9">
            <w:pPr>
              <w:keepNext/>
              <w:keepLines/>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1</w:t>
            </w:r>
          </w:p>
        </w:tc>
        <w:tc>
          <w:tcPr>
            <w:tcW w:w="637" w:type="pct"/>
            <w:tcBorders>
              <w:bottom w:val="nil"/>
            </w:tcBorders>
            <w:vAlign w:val="center"/>
          </w:tcPr>
          <w:p w:rsidR="00C96D3A" w:rsidRPr="00871292" w:rsidRDefault="00AE4C98" w:rsidP="002E23A9">
            <w:pPr>
              <w:keepNext/>
              <w:keepLines/>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1</w:t>
            </w:r>
          </w:p>
        </w:tc>
        <w:tc>
          <w:tcPr>
            <w:tcW w:w="637" w:type="pct"/>
            <w:tcBorders>
              <w:bottom w:val="nil"/>
            </w:tcBorders>
            <w:vAlign w:val="center"/>
          </w:tcPr>
          <w:p w:rsidR="00C96D3A" w:rsidRPr="00871292" w:rsidRDefault="00AE4C98" w:rsidP="002E23A9">
            <w:pPr>
              <w:keepNext/>
              <w:keepLines/>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1</w:t>
            </w:r>
          </w:p>
        </w:tc>
        <w:tc>
          <w:tcPr>
            <w:tcW w:w="637" w:type="pct"/>
            <w:tcBorders>
              <w:bottom w:val="nil"/>
            </w:tcBorders>
            <w:vAlign w:val="center"/>
          </w:tcPr>
          <w:p w:rsidR="00C96D3A" w:rsidRPr="00871292" w:rsidRDefault="00AE4C98" w:rsidP="002E23A9">
            <w:pPr>
              <w:keepNext/>
              <w:keepLines/>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1</w:t>
            </w:r>
          </w:p>
        </w:tc>
        <w:tc>
          <w:tcPr>
            <w:tcW w:w="638" w:type="pct"/>
            <w:tcBorders>
              <w:bottom w:val="nil"/>
            </w:tcBorders>
            <w:vAlign w:val="center"/>
          </w:tcPr>
          <w:p w:rsidR="00C96D3A" w:rsidRPr="00871292" w:rsidRDefault="00AE4C98" w:rsidP="002E23A9">
            <w:pPr>
              <w:keepNext/>
              <w:keepLines/>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1</w:t>
            </w:r>
          </w:p>
        </w:tc>
      </w:tr>
      <w:tr w:rsidR="00C96D3A" w:rsidRPr="00871292" w:rsidTr="008C4AE0">
        <w:tc>
          <w:tcPr>
            <w:tcW w:w="1177" w:type="pct"/>
            <w:tcBorders>
              <w:top w:val="nil"/>
              <w:bottom w:val="nil"/>
            </w:tcBorders>
            <w:vAlign w:val="center"/>
          </w:tcPr>
          <w:p w:rsidR="00C96D3A" w:rsidRPr="00871292" w:rsidRDefault="00C96D3A" w:rsidP="008C4AE0">
            <w:pPr>
              <w:rPr>
                <w:rFonts w:ascii="Arial Narrow" w:hAnsi="Arial Narrow"/>
                <w:sz w:val="20"/>
                <w:szCs w:val="20"/>
              </w:rPr>
            </w:pPr>
            <w:r w:rsidRPr="00871292">
              <w:rPr>
                <w:rFonts w:ascii="Arial Narrow" w:hAnsi="Arial Narrow"/>
                <w:sz w:val="20"/>
                <w:szCs w:val="20"/>
              </w:rPr>
              <w:t>Net change in authorities</w:t>
            </w:r>
          </w:p>
        </w:tc>
        <w:tc>
          <w:tcPr>
            <w:tcW w:w="637" w:type="pct"/>
            <w:tcBorders>
              <w:top w:val="nil"/>
              <w:bottom w:val="nil"/>
            </w:tcBorders>
            <w:vAlign w:val="center"/>
          </w:tcPr>
          <w:p w:rsidR="00C96D3A" w:rsidRPr="0073584B" w:rsidRDefault="00AE4C98" w:rsidP="008C4AE0">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c>
          <w:tcPr>
            <w:tcW w:w="637"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c>
          <w:tcPr>
            <w:tcW w:w="637"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c>
          <w:tcPr>
            <w:tcW w:w="637"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c>
          <w:tcPr>
            <w:tcW w:w="637"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c>
          <w:tcPr>
            <w:tcW w:w="638"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r>
      <w:tr w:rsidR="00C96D3A" w:rsidRPr="00871292" w:rsidTr="008C4AE0">
        <w:tc>
          <w:tcPr>
            <w:tcW w:w="1177" w:type="pct"/>
            <w:tcBorders>
              <w:top w:val="nil"/>
              <w:bottom w:val="nil"/>
            </w:tcBorders>
            <w:vAlign w:val="center"/>
          </w:tcPr>
          <w:p w:rsidR="00C96D3A" w:rsidRPr="00871292" w:rsidRDefault="00C96D3A" w:rsidP="008C4AE0">
            <w:pPr>
              <w:ind w:left="104"/>
              <w:rPr>
                <w:rFonts w:ascii="Arial Narrow" w:hAnsi="Arial Narrow"/>
                <w:sz w:val="20"/>
                <w:szCs w:val="20"/>
              </w:rPr>
            </w:pPr>
            <w:r w:rsidRPr="00871292">
              <w:rPr>
                <w:rFonts w:ascii="Arial Narrow" w:hAnsi="Arial Narrow"/>
                <w:sz w:val="20"/>
                <w:szCs w:val="20"/>
              </w:rPr>
              <w:t>Written</w:t>
            </w:r>
          </w:p>
        </w:tc>
        <w:tc>
          <w:tcPr>
            <w:tcW w:w="637"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c>
          <w:tcPr>
            <w:tcW w:w="637"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c>
          <w:tcPr>
            <w:tcW w:w="637"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c>
          <w:tcPr>
            <w:tcW w:w="637"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c>
          <w:tcPr>
            <w:tcW w:w="637"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c>
          <w:tcPr>
            <w:tcW w:w="638" w:type="pct"/>
            <w:tcBorders>
              <w:top w:val="nil"/>
              <w:bottom w:val="nil"/>
            </w:tcBorders>
            <w:vAlign w:val="center"/>
          </w:tcPr>
          <w:p w:rsidR="00C96D3A" w:rsidRPr="00871292" w:rsidRDefault="00AE4C98" w:rsidP="008C4AE0">
            <w:pPr>
              <w:jc w:val="center"/>
              <w:rPr>
                <w:rFonts w:ascii="Arial Narrow" w:hAnsi="Arial Narrow"/>
                <w:sz w:val="20"/>
                <w:szCs w:val="20"/>
              </w:rPr>
            </w:pPr>
            <w:r>
              <w:rPr>
                <w:rFonts w:ascii="Arial Narrow" w:hAnsi="Arial Narrow"/>
                <w:noProof/>
                <w:color w:val="000000"/>
                <w:sz w:val="20"/>
                <w:szCs w:val="20"/>
                <w:highlight w:val="black"/>
              </w:rPr>
              <w:t>'''''''</w:t>
            </w:r>
            <w:r w:rsidR="0073584B">
              <w:rPr>
                <w:rFonts w:ascii="Arial Narrow" w:hAnsi="Arial Narrow"/>
                <w:sz w:val="20"/>
                <w:szCs w:val="20"/>
                <w:vertAlign w:val="superscript"/>
              </w:rPr>
              <w:t>9</w:t>
            </w:r>
          </w:p>
        </w:tc>
      </w:tr>
      <w:tr w:rsidR="00C96D3A" w:rsidRPr="00871292" w:rsidTr="008C4AE0">
        <w:tc>
          <w:tcPr>
            <w:tcW w:w="1177" w:type="pct"/>
            <w:tcBorders>
              <w:top w:val="nil"/>
              <w:bottom w:val="nil"/>
            </w:tcBorders>
            <w:vAlign w:val="center"/>
          </w:tcPr>
          <w:p w:rsidR="00C96D3A" w:rsidRPr="00871292" w:rsidRDefault="00C96D3A" w:rsidP="008C4AE0">
            <w:pPr>
              <w:jc w:val="left"/>
              <w:rPr>
                <w:rFonts w:ascii="Arial Narrow" w:hAnsi="Arial Narrow"/>
                <w:sz w:val="20"/>
                <w:szCs w:val="20"/>
              </w:rPr>
            </w:pPr>
            <w:r w:rsidRPr="00871292">
              <w:rPr>
                <w:rFonts w:ascii="Arial Narrow" w:hAnsi="Arial Narrow"/>
                <w:sz w:val="20"/>
                <w:szCs w:val="20"/>
              </w:rPr>
              <w:t>Net cost PBS/RPBS, proposed listing</w:t>
            </w:r>
          </w:p>
        </w:tc>
        <w:tc>
          <w:tcPr>
            <w:tcW w:w="637" w:type="pct"/>
            <w:tcBorders>
              <w:top w:val="nil"/>
              <w:bottom w:val="nil"/>
            </w:tcBorders>
            <w:vAlign w:val="center"/>
          </w:tcPr>
          <w:p w:rsidR="00C96D3A" w:rsidRPr="0073584B" w:rsidRDefault="00C96D3A" w:rsidP="008C4AE0">
            <w:pPr>
              <w:jc w:val="center"/>
              <w:rPr>
                <w:rFonts w:ascii="Arial Narrow" w:hAnsi="Arial Narrow"/>
                <w:bCs/>
                <w:sz w:val="20"/>
                <w:szCs w:val="20"/>
                <w:vertAlign w:val="superscript"/>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5</w:t>
            </w:r>
          </w:p>
        </w:tc>
        <w:tc>
          <w:tcPr>
            <w:tcW w:w="638" w:type="pct"/>
            <w:tcBorders>
              <w:top w:val="nil"/>
              <w:bottom w:val="nil"/>
            </w:tcBorders>
            <w:vAlign w:val="center"/>
          </w:tcPr>
          <w:p w:rsidR="00C96D3A" w:rsidRPr="00871292" w:rsidRDefault="00C96D3A" w:rsidP="008C4AE0">
            <w:pPr>
              <w:jc w:val="center"/>
              <w:rPr>
                <w:rFonts w:ascii="Arial Narrow" w:hAnsi="Arial Narrow"/>
                <w:bCs/>
                <w:sz w:val="20"/>
                <w:szCs w:val="20"/>
              </w:rPr>
            </w:pPr>
            <w:r w:rsidRPr="00871292">
              <w:rPr>
                <w:rFonts w:ascii="Arial Narrow" w:hAnsi="Arial Narrow"/>
                <w:bCs/>
                <w:sz w:val="20"/>
                <w:szCs w:val="20"/>
              </w:rPr>
              <w:t>$</w:t>
            </w:r>
            <w:r w:rsidR="00AE4C98">
              <w:rPr>
                <w:rFonts w:ascii="Arial Narrow" w:hAnsi="Arial Narrow"/>
                <w:bCs/>
                <w:noProof/>
                <w:color w:val="000000"/>
                <w:sz w:val="20"/>
                <w:szCs w:val="20"/>
                <w:highlight w:val="black"/>
              </w:rPr>
              <w:t>''''''''''''''''''''''''</w:t>
            </w:r>
            <w:r w:rsidR="0073584B">
              <w:rPr>
                <w:rFonts w:ascii="Arial Narrow" w:hAnsi="Arial Narrow"/>
                <w:bCs/>
                <w:sz w:val="20"/>
                <w:szCs w:val="20"/>
                <w:vertAlign w:val="superscript"/>
              </w:rPr>
              <w:t>5</w:t>
            </w:r>
          </w:p>
        </w:tc>
      </w:tr>
      <w:tr w:rsidR="00A74EDC" w:rsidRPr="00871292" w:rsidTr="008C4AE0">
        <w:tc>
          <w:tcPr>
            <w:tcW w:w="1177" w:type="pct"/>
            <w:tcBorders>
              <w:top w:val="nil"/>
              <w:bottom w:val="nil"/>
            </w:tcBorders>
          </w:tcPr>
          <w:p w:rsidR="00A74EDC" w:rsidRPr="00871292" w:rsidRDefault="00A74EDC" w:rsidP="00A74EDC">
            <w:pPr>
              <w:ind w:left="104"/>
              <w:rPr>
                <w:rFonts w:ascii="Arial Narrow" w:hAnsi="Arial Narrow"/>
                <w:sz w:val="20"/>
                <w:szCs w:val="20"/>
              </w:rPr>
            </w:pPr>
            <w:r w:rsidRPr="00871292">
              <w:rPr>
                <w:rFonts w:ascii="Arial Narrow" w:hAnsi="Arial Narrow"/>
                <w:sz w:val="20"/>
                <w:szCs w:val="20"/>
              </w:rPr>
              <w:t>Grandfathered patients</w:t>
            </w:r>
          </w:p>
        </w:tc>
        <w:tc>
          <w:tcPr>
            <w:tcW w:w="637" w:type="pct"/>
            <w:tcBorders>
              <w:top w:val="nil"/>
              <w:bottom w:val="nil"/>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nil"/>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nil"/>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nil"/>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nil"/>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c>
          <w:tcPr>
            <w:tcW w:w="638" w:type="pct"/>
            <w:tcBorders>
              <w:top w:val="nil"/>
              <w:bottom w:val="nil"/>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r>
      <w:tr w:rsidR="00A74EDC" w:rsidRPr="00871292" w:rsidTr="00A74EDC">
        <w:tc>
          <w:tcPr>
            <w:tcW w:w="1177" w:type="pct"/>
            <w:tcBorders>
              <w:top w:val="nil"/>
              <w:bottom w:val="single" w:sz="4" w:space="0" w:color="auto"/>
            </w:tcBorders>
          </w:tcPr>
          <w:p w:rsidR="00A74EDC" w:rsidRPr="00871292" w:rsidRDefault="00A74EDC" w:rsidP="00A74EDC">
            <w:pPr>
              <w:ind w:left="104"/>
              <w:rPr>
                <w:rFonts w:ascii="Arial Narrow" w:hAnsi="Arial Narrow"/>
                <w:sz w:val="20"/>
                <w:szCs w:val="20"/>
              </w:rPr>
            </w:pPr>
            <w:r w:rsidRPr="00871292">
              <w:rPr>
                <w:rFonts w:ascii="Arial Narrow" w:hAnsi="Arial Narrow"/>
                <w:sz w:val="20"/>
                <w:szCs w:val="20"/>
              </w:rPr>
              <w:t>Non-grandfather patients</w:t>
            </w:r>
          </w:p>
        </w:tc>
        <w:tc>
          <w:tcPr>
            <w:tcW w:w="637" w:type="pct"/>
            <w:tcBorders>
              <w:top w:val="nil"/>
              <w:bottom w:val="single" w:sz="4" w:space="0" w:color="auto"/>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single" w:sz="4" w:space="0" w:color="auto"/>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single" w:sz="4" w:space="0" w:color="auto"/>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single" w:sz="4" w:space="0" w:color="auto"/>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c>
          <w:tcPr>
            <w:tcW w:w="637" w:type="pct"/>
            <w:tcBorders>
              <w:top w:val="nil"/>
              <w:bottom w:val="single" w:sz="4" w:space="0" w:color="auto"/>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c>
          <w:tcPr>
            <w:tcW w:w="638" w:type="pct"/>
            <w:tcBorders>
              <w:top w:val="nil"/>
              <w:bottom w:val="single" w:sz="4" w:space="0" w:color="auto"/>
            </w:tcBorders>
            <w:vAlign w:val="center"/>
          </w:tcPr>
          <w:p w:rsidR="00A74EDC" w:rsidRPr="00871292" w:rsidRDefault="00A74EDC" w:rsidP="00A74EDC">
            <w:pPr>
              <w:jc w:val="center"/>
              <w:rPr>
                <w:rFonts w:ascii="Arial Narrow" w:hAnsi="Arial Narrow"/>
                <w:sz w:val="20"/>
                <w:szCs w:val="20"/>
              </w:rPr>
            </w:pPr>
            <w:r w:rsidRPr="00871292">
              <w:rPr>
                <w:rFonts w:ascii="Arial Narrow" w:hAnsi="Arial Narrow"/>
                <w:sz w:val="20"/>
                <w:szCs w:val="20"/>
              </w:rPr>
              <w:t>$</w:t>
            </w:r>
            <w:r w:rsidR="00AE4C98">
              <w:rPr>
                <w:rFonts w:ascii="Arial Narrow" w:hAnsi="Arial Narrow"/>
                <w:noProof/>
                <w:color w:val="000000"/>
                <w:sz w:val="20"/>
                <w:szCs w:val="20"/>
                <w:highlight w:val="black"/>
              </w:rPr>
              <w:t>'''''''''''''''''''''''''</w:t>
            </w:r>
            <w:r w:rsidR="0073584B">
              <w:rPr>
                <w:rFonts w:ascii="Arial Narrow" w:hAnsi="Arial Narrow"/>
                <w:bCs/>
                <w:sz w:val="20"/>
                <w:szCs w:val="20"/>
                <w:vertAlign w:val="superscript"/>
              </w:rPr>
              <w:t>5</w:t>
            </w:r>
          </w:p>
        </w:tc>
      </w:tr>
    </w:tbl>
    <w:p w:rsidR="00A74EDC" w:rsidRDefault="00A74EDC" w:rsidP="00C96D3A">
      <w:pPr>
        <w:pStyle w:val="TableFigureFooter"/>
      </w:pPr>
    </w:p>
    <w:p w:rsidR="00C96D3A" w:rsidRPr="00871292" w:rsidRDefault="00C96D3A" w:rsidP="00C96D3A">
      <w:pPr>
        <w:pStyle w:val="TableFigureFooter"/>
      </w:pPr>
      <w:r w:rsidRPr="00871292">
        <w:t>Abbreviations: ADA=adalimumab; AS=ankylosing spondylitis; bDMARD=biologic disease modifying anti-rheumatic drug; CZP=certolizumab pegol; ETN=etanercept; GLM=golimumab; IFX=infliximab; SEC=secukinumab; UPA=upadacitinib; Yr=year;</w:t>
      </w:r>
    </w:p>
    <w:p w:rsidR="00C96D3A" w:rsidRPr="00871292" w:rsidRDefault="00C96D3A" w:rsidP="00C96D3A">
      <w:pPr>
        <w:pStyle w:val="TableFigureFooter"/>
        <w:tabs>
          <w:tab w:val="left" w:pos="142"/>
        </w:tabs>
        <w:ind w:left="140" w:hanging="140"/>
      </w:pPr>
      <w:r w:rsidRPr="00871292">
        <w:t>^</w:t>
      </w:r>
      <w:r w:rsidRPr="00871292">
        <w:tab/>
        <w:t>The financial estimates do not consider the potential change in the market share from ixekizumab which was recommended for listing on the PBS for AS in July 2020 PBAC meeting.</w:t>
      </w:r>
    </w:p>
    <w:p w:rsidR="00C96D3A" w:rsidRDefault="00C96D3A" w:rsidP="00C96D3A">
      <w:pPr>
        <w:pStyle w:val="TableFigureFooter"/>
      </w:pPr>
      <w:r w:rsidRPr="00871292">
        <w:t>Source: Tables 4.9-4.11, pp108-109 of the submission.</w:t>
      </w:r>
    </w:p>
    <w:p w:rsidR="00EC52BF" w:rsidRPr="00EC52BF" w:rsidRDefault="00EC52BF" w:rsidP="00EC52BF">
      <w:pPr>
        <w:pStyle w:val="TableFigureFooter"/>
        <w:spacing w:after="0"/>
        <w:contextualSpacing w:val="0"/>
        <w:rPr>
          <w:i/>
        </w:rPr>
      </w:pPr>
      <w:r w:rsidRPr="00EC52BF">
        <w:rPr>
          <w:i/>
        </w:rPr>
        <w:t xml:space="preserve">The redacted values correspond to the following ranges: </w:t>
      </w:r>
    </w:p>
    <w:p w:rsidR="00EC52BF" w:rsidRPr="00EC52BF" w:rsidRDefault="00EC52BF" w:rsidP="00EC52BF">
      <w:pPr>
        <w:pStyle w:val="TableFigureFooter"/>
        <w:rPr>
          <w:i/>
        </w:rPr>
      </w:pPr>
      <w:r>
        <w:rPr>
          <w:i/>
          <w:vertAlign w:val="superscript"/>
        </w:rPr>
        <w:t xml:space="preserve">1 </w:t>
      </w:r>
      <w:r w:rsidRPr="00EC52BF">
        <w:rPr>
          <w:i/>
        </w:rPr>
        <w:t>500 to &lt; 5,000</w:t>
      </w:r>
    </w:p>
    <w:p w:rsidR="00EC52BF" w:rsidRPr="00EC52BF" w:rsidRDefault="00EC52BF" w:rsidP="00EC52BF">
      <w:pPr>
        <w:pStyle w:val="TableFigureFooter"/>
        <w:rPr>
          <w:i/>
        </w:rPr>
      </w:pPr>
      <w:r>
        <w:rPr>
          <w:i/>
          <w:vertAlign w:val="superscript"/>
        </w:rPr>
        <w:t xml:space="preserve">2 </w:t>
      </w:r>
      <w:r w:rsidRPr="00EC52BF">
        <w:rPr>
          <w:i/>
        </w:rPr>
        <w:t>5,000 to &lt; 10,000</w:t>
      </w:r>
    </w:p>
    <w:p w:rsidR="00EC52BF" w:rsidRPr="00EC52BF" w:rsidRDefault="00EC52BF" w:rsidP="00EC52BF">
      <w:pPr>
        <w:pStyle w:val="TableFigureFooter"/>
        <w:rPr>
          <w:i/>
        </w:rPr>
      </w:pPr>
      <w:r>
        <w:rPr>
          <w:i/>
          <w:vertAlign w:val="superscript"/>
        </w:rPr>
        <w:t xml:space="preserve">3 </w:t>
      </w:r>
      <w:r w:rsidRPr="00EC52BF">
        <w:rPr>
          <w:i/>
        </w:rPr>
        <w:t>10,000 to &lt; 20,000</w:t>
      </w:r>
    </w:p>
    <w:p w:rsidR="00EC52BF" w:rsidRPr="00EC52BF" w:rsidRDefault="00EC52BF" w:rsidP="00EC52BF">
      <w:pPr>
        <w:pStyle w:val="TableFigureFooter"/>
        <w:spacing w:after="0"/>
        <w:contextualSpacing w:val="0"/>
        <w:rPr>
          <w:i/>
        </w:rPr>
      </w:pPr>
      <w:r>
        <w:rPr>
          <w:i/>
          <w:vertAlign w:val="superscript"/>
        </w:rPr>
        <w:t xml:space="preserve">4 </w:t>
      </w:r>
      <w:r w:rsidRPr="00EC52BF">
        <w:rPr>
          <w:i/>
        </w:rPr>
        <w:t>20,000 to &lt; 30,000</w:t>
      </w:r>
    </w:p>
    <w:p w:rsidR="00EC52BF" w:rsidRPr="00EC52BF" w:rsidRDefault="00EC52BF" w:rsidP="00EC52BF">
      <w:pPr>
        <w:pStyle w:val="TableFigureFooter"/>
        <w:rPr>
          <w:i/>
        </w:rPr>
      </w:pPr>
      <w:r>
        <w:rPr>
          <w:i/>
          <w:vertAlign w:val="superscript"/>
        </w:rPr>
        <w:t xml:space="preserve">5 </w:t>
      </w:r>
      <w:r w:rsidRPr="00EC52BF">
        <w:rPr>
          <w:i/>
        </w:rPr>
        <w:t>$0 to &lt; $10 million</w:t>
      </w:r>
    </w:p>
    <w:p w:rsidR="00EC52BF" w:rsidRPr="00EC52BF" w:rsidRDefault="00EC52BF" w:rsidP="00EC52BF">
      <w:pPr>
        <w:pStyle w:val="TableFigureFooter"/>
        <w:rPr>
          <w:i/>
        </w:rPr>
      </w:pPr>
      <w:r>
        <w:rPr>
          <w:i/>
          <w:vertAlign w:val="superscript"/>
        </w:rPr>
        <w:t xml:space="preserve">6 </w:t>
      </w:r>
      <w:r w:rsidRPr="00EC52BF">
        <w:rPr>
          <w:i/>
        </w:rPr>
        <w:t>$10 million to &lt; $20 million</w:t>
      </w:r>
    </w:p>
    <w:p w:rsidR="00EC52BF" w:rsidRPr="00EC52BF" w:rsidRDefault="00EC52BF" w:rsidP="00EC52BF">
      <w:pPr>
        <w:pStyle w:val="TableFigureFooter"/>
        <w:rPr>
          <w:i/>
        </w:rPr>
      </w:pPr>
      <w:r>
        <w:rPr>
          <w:i/>
          <w:vertAlign w:val="superscript"/>
        </w:rPr>
        <w:t xml:space="preserve">7 </w:t>
      </w:r>
      <w:r w:rsidRPr="00EC52BF">
        <w:rPr>
          <w:i/>
        </w:rPr>
        <w:t>$20 million to &lt; $30 million</w:t>
      </w:r>
    </w:p>
    <w:p w:rsidR="00EC52BF" w:rsidRDefault="00EC52BF" w:rsidP="00EC52BF">
      <w:pPr>
        <w:pStyle w:val="TableFigureFooter"/>
        <w:rPr>
          <w:i/>
        </w:rPr>
      </w:pPr>
      <w:r>
        <w:rPr>
          <w:i/>
          <w:vertAlign w:val="superscript"/>
        </w:rPr>
        <w:t xml:space="preserve">8 </w:t>
      </w:r>
      <w:r w:rsidRPr="00EC52BF">
        <w:rPr>
          <w:i/>
        </w:rPr>
        <w:t>$30 million to &lt; $40 million</w:t>
      </w:r>
    </w:p>
    <w:p w:rsidR="00EC52BF" w:rsidRDefault="00EC52BF" w:rsidP="00EC52BF">
      <w:pPr>
        <w:pStyle w:val="TableFigureFooter"/>
        <w:rPr>
          <w:i/>
        </w:rPr>
      </w:pPr>
      <w:r>
        <w:rPr>
          <w:i/>
          <w:vertAlign w:val="superscript"/>
        </w:rPr>
        <w:t xml:space="preserve">9 </w:t>
      </w:r>
      <w:r w:rsidRPr="00EC52BF">
        <w:rPr>
          <w:i/>
        </w:rPr>
        <w:t>&lt; 500</w:t>
      </w:r>
    </w:p>
    <w:p w:rsidR="00EC52BF" w:rsidRPr="00EC52BF" w:rsidRDefault="00EC52BF" w:rsidP="00EC52BF">
      <w:pPr>
        <w:pStyle w:val="TableFigureFooter"/>
        <w:rPr>
          <w:i/>
        </w:rPr>
      </w:pPr>
    </w:p>
    <w:p w:rsidR="007210F7" w:rsidRPr="00871292" w:rsidRDefault="00C96D3A" w:rsidP="009D0384">
      <w:pPr>
        <w:pStyle w:val="3-BodyText"/>
      </w:pPr>
      <w:r w:rsidRPr="00871292">
        <w:t xml:space="preserve">The submission made a number of assumptions to simplify the calculations which impact on the accuracy of the financial estimates. For example, the submission assumed the same displacement rates for initial and continuing scripts, did not differentiate between public/private hospital scripts, assumed constant market growth in patient-years, </w:t>
      </w:r>
      <w:r w:rsidR="009D0384" w:rsidRPr="00871292">
        <w:rPr>
          <w:iCs/>
        </w:rPr>
        <w:t xml:space="preserve">did not account for number of vials per script of infliximab, </w:t>
      </w:r>
      <w:r w:rsidRPr="00871292">
        <w:t xml:space="preserve">and used published rather than effective prices. </w:t>
      </w:r>
      <w:r w:rsidR="009D0384" w:rsidRPr="00871292">
        <w:rPr>
          <w:iCs/>
        </w:rPr>
        <w:t xml:space="preserve">The estimated scripts for </w:t>
      </w:r>
      <w:r w:rsidR="009D0384" w:rsidRPr="00871292">
        <w:rPr>
          <w:iCs/>
        </w:rPr>
        <w:lastRenderedPageBreak/>
        <w:t xml:space="preserve">grandfathered patients was also likely conservative given the market share analysis </w:t>
      </w:r>
      <w:r w:rsidR="00871292">
        <w:rPr>
          <w:iCs/>
        </w:rPr>
        <w:t xml:space="preserve">potentially </w:t>
      </w:r>
      <w:r w:rsidR="009D0384" w:rsidRPr="00871292">
        <w:rPr>
          <w:iCs/>
        </w:rPr>
        <w:t>captures patients that will be in the future Patient Familiarisation Scheme.</w:t>
      </w:r>
    </w:p>
    <w:p w:rsidR="00AF5DAA" w:rsidRPr="00871292" w:rsidRDefault="00C96D3A" w:rsidP="00231127">
      <w:pPr>
        <w:pStyle w:val="3-BodyText"/>
      </w:pPr>
      <w:r w:rsidRPr="00871292">
        <w:t xml:space="preserve">The estimated net cost to the PBS/RPBS of approximately </w:t>
      </w:r>
      <w:r w:rsidR="00231127" w:rsidRPr="00231127">
        <w:t>$20 million to &lt; $30 million</w:t>
      </w:r>
      <w:r w:rsidR="00231127" w:rsidRPr="00231127" w:rsidDel="00231127">
        <w:t xml:space="preserve"> </w:t>
      </w:r>
      <w:r w:rsidRPr="00871292">
        <w:t>over the first six years of listing was likely</w:t>
      </w:r>
      <w:r w:rsidR="00266945" w:rsidRPr="00871292">
        <w:t xml:space="preserve"> an</w:t>
      </w:r>
      <w:r w:rsidRPr="00871292">
        <w:t xml:space="preserve"> overestimate, driven by the assumed published prices and grandfathered patients. </w:t>
      </w:r>
      <w:r w:rsidR="00AF5DAA" w:rsidRPr="00871292">
        <w:t xml:space="preserve">Assuming </w:t>
      </w:r>
      <w:r w:rsidR="00004111" w:rsidRPr="00871292">
        <w:t xml:space="preserve">UPA </w:t>
      </w:r>
      <w:r w:rsidR="00AF5DAA" w:rsidRPr="00871292">
        <w:t>were to be listed on a cost-minimisation basis to the least costly alternative therapy and current market growth was unchanged, then the requested listing would be expected to have negligible financial impact on the PBS/RPBS.</w:t>
      </w:r>
    </w:p>
    <w:p w:rsidR="00576972" w:rsidRPr="00871292" w:rsidRDefault="00576972" w:rsidP="00606FBA">
      <w:pPr>
        <w:pStyle w:val="4-SubsectionHeading"/>
      </w:pPr>
      <w:bookmarkStart w:id="25" w:name="_Toc22897648"/>
      <w:bookmarkStart w:id="26" w:name="_Toc59437738"/>
      <w:r w:rsidRPr="00871292">
        <w:t>Quality Use of Medicines</w:t>
      </w:r>
      <w:bookmarkEnd w:id="25"/>
      <w:bookmarkEnd w:id="26"/>
    </w:p>
    <w:p w:rsidR="00596BE2" w:rsidRPr="00871292" w:rsidRDefault="00E245F6" w:rsidP="002A5EE7">
      <w:pPr>
        <w:pStyle w:val="3-BodyText"/>
      </w:pPr>
      <w:r w:rsidRPr="00871292">
        <w:t>The submission stated that the sponsor has a risk management plan including an Australian annex, and will be providing a patient support program for help managing treatment with UPA.</w:t>
      </w:r>
    </w:p>
    <w:p w:rsidR="00D82EC8" w:rsidRPr="00871292" w:rsidRDefault="00D82EC8" w:rsidP="00D82EC8">
      <w:pPr>
        <w:pStyle w:val="ListParagraph"/>
        <w:ind w:left="709"/>
        <w:rPr>
          <w:i/>
        </w:rPr>
      </w:pPr>
      <w:r w:rsidRPr="00871292">
        <w:rPr>
          <w:i/>
        </w:rPr>
        <w:t>For more detail on PBAC’s view, see section 7 PBAC outcome.</w:t>
      </w:r>
    </w:p>
    <w:p w:rsidR="00D82EC8" w:rsidRPr="00871292" w:rsidRDefault="00D82EC8" w:rsidP="00CC7EB3">
      <w:pPr>
        <w:keepNext/>
        <w:widowControl w:val="0"/>
        <w:numPr>
          <w:ilvl w:val="0"/>
          <w:numId w:val="1"/>
        </w:numPr>
        <w:spacing w:before="240" w:after="120"/>
        <w:outlineLvl w:val="0"/>
        <w:rPr>
          <w:rFonts w:asciiTheme="minorHAnsi" w:hAnsiTheme="minorHAnsi"/>
          <w:b/>
          <w:bCs/>
          <w:snapToGrid w:val="0"/>
          <w:sz w:val="32"/>
        </w:rPr>
      </w:pPr>
      <w:r w:rsidRPr="00871292">
        <w:rPr>
          <w:rFonts w:asciiTheme="minorHAnsi" w:hAnsiTheme="minorHAnsi"/>
          <w:b/>
          <w:bCs/>
          <w:snapToGrid w:val="0"/>
          <w:sz w:val="32"/>
        </w:rPr>
        <w:t>PBAC Outcome</w:t>
      </w:r>
    </w:p>
    <w:p w:rsidR="00126898" w:rsidRPr="00871292" w:rsidRDefault="00D82EC8" w:rsidP="00540BAA">
      <w:pPr>
        <w:widowControl w:val="0"/>
        <w:numPr>
          <w:ilvl w:val="1"/>
          <w:numId w:val="1"/>
        </w:numPr>
        <w:spacing w:after="120"/>
        <w:rPr>
          <w:bCs/>
        </w:rPr>
      </w:pPr>
      <w:r w:rsidRPr="00871292">
        <w:rPr>
          <w:rFonts w:asciiTheme="minorHAnsi" w:hAnsiTheme="minorHAnsi"/>
          <w:bCs/>
          <w:snapToGrid w:val="0"/>
        </w:rPr>
        <w:t xml:space="preserve">The PBAC recommended the </w:t>
      </w:r>
      <w:r w:rsidR="003C68FA" w:rsidRPr="00871292">
        <w:rPr>
          <w:rFonts w:asciiTheme="minorHAnsi" w:hAnsiTheme="minorHAnsi"/>
          <w:bCs/>
          <w:snapToGrid w:val="0"/>
        </w:rPr>
        <w:t>Authority Required</w:t>
      </w:r>
      <w:r w:rsidR="00096F97" w:rsidRPr="00871292">
        <w:rPr>
          <w:rFonts w:asciiTheme="minorHAnsi" w:hAnsiTheme="minorHAnsi"/>
          <w:bCs/>
          <w:snapToGrid w:val="0"/>
        </w:rPr>
        <w:t xml:space="preserve"> </w:t>
      </w:r>
      <w:r w:rsidRPr="00871292">
        <w:rPr>
          <w:rFonts w:asciiTheme="minorHAnsi" w:hAnsiTheme="minorHAnsi"/>
          <w:bCs/>
          <w:snapToGrid w:val="0"/>
        </w:rPr>
        <w:t xml:space="preserve">listing of </w:t>
      </w:r>
      <w:r w:rsidR="00860414" w:rsidRPr="00871292">
        <w:rPr>
          <w:rFonts w:asciiTheme="minorHAnsi" w:hAnsiTheme="minorHAnsi"/>
          <w:bCs/>
          <w:snapToGrid w:val="0"/>
        </w:rPr>
        <w:t xml:space="preserve">upadacitinib (UPA) </w:t>
      </w:r>
      <w:r w:rsidR="003D5459" w:rsidRPr="00871292">
        <w:rPr>
          <w:rFonts w:asciiTheme="minorHAnsi" w:hAnsiTheme="minorHAnsi"/>
          <w:bCs/>
          <w:snapToGrid w:val="0"/>
        </w:rPr>
        <w:t xml:space="preserve">for </w:t>
      </w:r>
      <w:r w:rsidR="003C68FA" w:rsidRPr="00871292">
        <w:rPr>
          <w:rFonts w:asciiTheme="minorHAnsi" w:hAnsiTheme="minorHAnsi"/>
          <w:bCs/>
          <w:snapToGrid w:val="0"/>
        </w:rPr>
        <w:t>adults with ankylosing spondylitis (AS)</w:t>
      </w:r>
      <w:r w:rsidR="00843BBA" w:rsidRPr="00871292">
        <w:rPr>
          <w:rFonts w:asciiTheme="minorHAnsi" w:hAnsiTheme="minorHAnsi"/>
          <w:bCs/>
          <w:snapToGrid w:val="0"/>
        </w:rPr>
        <w:t>. The PBAC’s recommendation for listing was based on, among other matters, its assessment that the cost-effectiveness of UPA would be acceptable if it were cost minimised to the least costly biologic disease modifying anti-rheumatic drug (bDMARD) for this indication.</w:t>
      </w:r>
      <w:r w:rsidR="003C68FA" w:rsidRPr="00871292">
        <w:rPr>
          <w:rFonts w:asciiTheme="minorHAnsi" w:hAnsiTheme="minorHAnsi"/>
          <w:bCs/>
          <w:snapToGrid w:val="0"/>
        </w:rPr>
        <w:t xml:space="preserve"> </w:t>
      </w:r>
      <w:r w:rsidR="001E3149" w:rsidRPr="00871292">
        <w:rPr>
          <w:rFonts w:asciiTheme="minorHAnsi" w:hAnsiTheme="minorHAnsi"/>
          <w:bCs/>
          <w:snapToGrid w:val="0"/>
        </w:rPr>
        <w:t xml:space="preserve">The PBAC noted there </w:t>
      </w:r>
      <w:r w:rsidR="00824A2C" w:rsidRPr="00871292">
        <w:rPr>
          <w:rFonts w:asciiTheme="minorHAnsi" w:hAnsiTheme="minorHAnsi"/>
          <w:bCs/>
          <w:snapToGrid w:val="0"/>
        </w:rPr>
        <w:t>wer</w:t>
      </w:r>
      <w:r w:rsidR="001E3149" w:rsidRPr="00871292">
        <w:rPr>
          <w:rFonts w:asciiTheme="minorHAnsi" w:hAnsiTheme="minorHAnsi"/>
          <w:bCs/>
          <w:snapToGrid w:val="0"/>
        </w:rPr>
        <w:t xml:space="preserve">e </w:t>
      </w:r>
      <w:r w:rsidR="00230A08" w:rsidRPr="00871292">
        <w:rPr>
          <w:rFonts w:asciiTheme="minorHAnsi" w:hAnsiTheme="minorHAnsi"/>
          <w:bCs/>
          <w:snapToGrid w:val="0"/>
        </w:rPr>
        <w:t>seven biologics</w:t>
      </w:r>
      <w:r w:rsidR="001E3149" w:rsidRPr="00871292">
        <w:rPr>
          <w:rFonts w:asciiTheme="minorHAnsi" w:hAnsiTheme="minorHAnsi"/>
          <w:bCs/>
          <w:snapToGrid w:val="0"/>
        </w:rPr>
        <w:t xml:space="preserve"> listed on the PBS for severe AS and UPA was the first</w:t>
      </w:r>
      <w:r w:rsidR="007C1DCA" w:rsidRPr="00871292">
        <w:rPr>
          <w:rFonts w:asciiTheme="minorHAnsi" w:hAnsiTheme="minorHAnsi"/>
          <w:bCs/>
          <w:snapToGrid w:val="0"/>
        </w:rPr>
        <w:t xml:space="preserve"> janus kinase</w:t>
      </w:r>
      <w:r w:rsidR="001E3149" w:rsidRPr="00871292">
        <w:rPr>
          <w:rFonts w:asciiTheme="minorHAnsi" w:hAnsiTheme="minorHAnsi"/>
          <w:bCs/>
          <w:snapToGrid w:val="0"/>
        </w:rPr>
        <w:t xml:space="preserve"> </w:t>
      </w:r>
      <w:r w:rsidR="007C1DCA" w:rsidRPr="00871292">
        <w:rPr>
          <w:rFonts w:asciiTheme="minorHAnsi" w:hAnsiTheme="minorHAnsi"/>
          <w:bCs/>
          <w:snapToGrid w:val="0"/>
        </w:rPr>
        <w:t>(</w:t>
      </w:r>
      <w:r w:rsidR="001E3149" w:rsidRPr="00871292">
        <w:rPr>
          <w:rFonts w:asciiTheme="minorHAnsi" w:hAnsiTheme="minorHAnsi"/>
          <w:bCs/>
          <w:snapToGrid w:val="0"/>
        </w:rPr>
        <w:t>JAK</w:t>
      </w:r>
      <w:r w:rsidR="007C1DCA" w:rsidRPr="00871292">
        <w:rPr>
          <w:rFonts w:asciiTheme="minorHAnsi" w:hAnsiTheme="minorHAnsi"/>
          <w:bCs/>
          <w:snapToGrid w:val="0"/>
        </w:rPr>
        <w:t>)</w:t>
      </w:r>
      <w:r w:rsidR="001E3149" w:rsidRPr="00871292">
        <w:rPr>
          <w:rFonts w:asciiTheme="minorHAnsi" w:hAnsiTheme="minorHAnsi"/>
          <w:bCs/>
          <w:snapToGrid w:val="0"/>
        </w:rPr>
        <w:t xml:space="preserve"> inhibitor and oral agent</w:t>
      </w:r>
      <w:r w:rsidR="00B82808" w:rsidRPr="00871292">
        <w:rPr>
          <w:rFonts w:asciiTheme="minorHAnsi" w:hAnsiTheme="minorHAnsi"/>
          <w:bCs/>
          <w:snapToGrid w:val="0"/>
        </w:rPr>
        <w:t xml:space="preserve"> for this indication</w:t>
      </w:r>
      <w:r w:rsidRPr="00871292">
        <w:rPr>
          <w:rFonts w:asciiTheme="minorHAnsi" w:hAnsiTheme="minorHAnsi"/>
          <w:bCs/>
          <w:snapToGrid w:val="0"/>
        </w:rPr>
        <w:t>.</w:t>
      </w:r>
    </w:p>
    <w:p w:rsidR="00467912" w:rsidRPr="00871292" w:rsidRDefault="00B15E5D" w:rsidP="00835FB5">
      <w:pPr>
        <w:widowControl w:val="0"/>
        <w:numPr>
          <w:ilvl w:val="1"/>
          <w:numId w:val="1"/>
        </w:numPr>
        <w:spacing w:after="120"/>
        <w:rPr>
          <w:rFonts w:asciiTheme="minorHAnsi" w:hAnsiTheme="minorHAnsi"/>
          <w:bCs/>
          <w:snapToGrid w:val="0"/>
        </w:rPr>
      </w:pPr>
      <w:r w:rsidRPr="00871292">
        <w:rPr>
          <w:rFonts w:asciiTheme="minorHAnsi" w:hAnsiTheme="minorHAnsi"/>
          <w:bCs/>
          <w:snapToGrid w:val="0"/>
        </w:rPr>
        <w:t>The PBAC considered the nominated comparator</w:t>
      </w:r>
      <w:r w:rsidR="00467912" w:rsidRPr="00871292">
        <w:rPr>
          <w:rFonts w:asciiTheme="minorHAnsi" w:hAnsiTheme="minorHAnsi"/>
          <w:bCs/>
          <w:snapToGrid w:val="0"/>
        </w:rPr>
        <w:t xml:space="preserve"> of </w:t>
      </w:r>
      <w:r w:rsidR="00927A67" w:rsidRPr="00871292">
        <w:rPr>
          <w:rFonts w:asciiTheme="minorHAnsi" w:hAnsiTheme="minorHAnsi"/>
          <w:bCs/>
          <w:snapToGrid w:val="0"/>
        </w:rPr>
        <w:t xml:space="preserve">ADA </w:t>
      </w:r>
      <w:r w:rsidR="00353444" w:rsidRPr="00871292">
        <w:rPr>
          <w:rFonts w:asciiTheme="minorHAnsi" w:hAnsiTheme="minorHAnsi"/>
          <w:bCs/>
          <w:snapToGrid w:val="0"/>
        </w:rPr>
        <w:t xml:space="preserve">was </w:t>
      </w:r>
      <w:r w:rsidR="00843BBA" w:rsidRPr="00871292">
        <w:rPr>
          <w:rFonts w:asciiTheme="minorHAnsi" w:hAnsiTheme="minorHAnsi"/>
          <w:bCs/>
          <w:snapToGrid w:val="0"/>
        </w:rPr>
        <w:t>reasonable, however considered all other bDMARDs currently listed for AS were also relevant alternative therapies</w:t>
      </w:r>
      <w:r w:rsidR="00871292">
        <w:rPr>
          <w:rFonts w:asciiTheme="minorHAnsi" w:hAnsiTheme="minorHAnsi"/>
          <w:bCs/>
          <w:snapToGrid w:val="0"/>
        </w:rPr>
        <w:t xml:space="preserve">. </w:t>
      </w:r>
      <w:r w:rsidR="00843BBA" w:rsidRPr="00871292">
        <w:rPr>
          <w:snapToGrid w:val="0"/>
        </w:rPr>
        <w:t xml:space="preserve">The PBAC considered the equi-effective doses of UPA (at a dose of one 15mg tablet once daily) and alternative bDMARDs </w:t>
      </w:r>
      <w:r w:rsidR="00843BBA" w:rsidRPr="00871292">
        <w:rPr>
          <w:bCs/>
        </w:rPr>
        <w:t>could be derived from the product information and with reference to previously recommended equi-effective doses collated in the PBS Therapeutic Relativity Sheets. The cost minimisation analysis should be conducted over two years using approved ex-manufacturer prices consistent with methodology previously accepted by the PBAC for bDMARDs.</w:t>
      </w:r>
    </w:p>
    <w:p w:rsidR="00C3362E" w:rsidRPr="00871292" w:rsidRDefault="00DB54CB" w:rsidP="004524D5">
      <w:pPr>
        <w:pStyle w:val="3-BodyText"/>
      </w:pPr>
      <w:r w:rsidRPr="00871292">
        <w:t xml:space="preserve">The PBAC noted the </w:t>
      </w:r>
      <w:r w:rsidR="00DA2C07" w:rsidRPr="00871292">
        <w:t xml:space="preserve">submission </w:t>
      </w:r>
      <w:r w:rsidR="0076683E" w:rsidRPr="00871292">
        <w:t xml:space="preserve">presented </w:t>
      </w:r>
      <w:r w:rsidR="00814166" w:rsidRPr="00871292">
        <w:t>an indirect comparison of UPA and ADA based on 6 clinical trials (one trial of UPA v placebo and five</w:t>
      </w:r>
      <w:r w:rsidR="007C1DCA" w:rsidRPr="00871292">
        <w:t xml:space="preserve"> of</w:t>
      </w:r>
      <w:r w:rsidR="00814166" w:rsidRPr="00871292">
        <w:t xml:space="preserve"> ADA v placebo</w:t>
      </w:r>
      <w:r w:rsidR="00552E7E" w:rsidRPr="00871292">
        <w:t>).</w:t>
      </w:r>
      <w:r w:rsidR="00B81E00" w:rsidRPr="00871292">
        <w:t xml:space="preserve"> The PBAC </w:t>
      </w:r>
      <w:r w:rsidR="0076683E" w:rsidRPr="00871292">
        <w:t>considered the</w:t>
      </w:r>
      <w:r w:rsidR="00B81E00" w:rsidRPr="00871292">
        <w:t xml:space="preserve"> non-inferiority margin</w:t>
      </w:r>
      <w:r w:rsidR="00DA2C07" w:rsidRPr="00871292">
        <w:t xml:space="preserve"> of 0.43 </w:t>
      </w:r>
      <w:r w:rsidR="0076683E" w:rsidRPr="00871292">
        <w:t xml:space="preserve">was </w:t>
      </w:r>
      <w:r w:rsidR="004B1A95" w:rsidRPr="00871292">
        <w:t>reasonable and consistent with its previous considerations of bDMARDs for AS</w:t>
      </w:r>
      <w:r w:rsidR="00540BAA" w:rsidRPr="00871292">
        <w:t>. The PBAC considered that</w:t>
      </w:r>
      <w:r w:rsidR="007E64D1" w:rsidRPr="00871292">
        <w:t>,</w:t>
      </w:r>
      <w:r w:rsidR="00540BAA" w:rsidRPr="00871292">
        <w:t xml:space="preserve"> whil</w:t>
      </w:r>
      <w:r w:rsidR="00B82808" w:rsidRPr="00871292">
        <w:t xml:space="preserve">st most </w:t>
      </w:r>
      <w:r w:rsidR="00540BAA" w:rsidRPr="00871292">
        <w:t>point estimates for ASAS</w:t>
      </w:r>
      <w:r w:rsidR="00B82808" w:rsidRPr="00871292">
        <w:t>20, ASAS40 and BASDAI50 outcomes favoured ADA</w:t>
      </w:r>
      <w:r w:rsidR="007E64D1" w:rsidRPr="00871292">
        <w:t xml:space="preserve">, </w:t>
      </w:r>
      <w:r w:rsidR="00B82808" w:rsidRPr="00871292">
        <w:t>based on the evidence presented, a claim of non-inferior comparative effectiveness of UPA to ADA was reasonable.</w:t>
      </w:r>
      <w:r w:rsidR="00B25939" w:rsidRPr="00871292">
        <w:t xml:space="preserve"> </w:t>
      </w:r>
    </w:p>
    <w:p w:rsidR="003D6634" w:rsidRPr="00871292" w:rsidRDefault="003D6634" w:rsidP="00D002C9">
      <w:pPr>
        <w:pStyle w:val="3-BodyText"/>
      </w:pPr>
      <w:r w:rsidRPr="00871292">
        <w:t xml:space="preserve">The PBAC also noted the safety outcomes reported in the trial were consistent with </w:t>
      </w:r>
      <w:r w:rsidR="007C1DCA" w:rsidRPr="00871292">
        <w:t>the established profile of UPA (and JAK inhibitors more broadly) and also</w:t>
      </w:r>
      <w:r w:rsidR="00703695" w:rsidRPr="00871292">
        <w:t xml:space="preserve"> noted overall there were no notable difference</w:t>
      </w:r>
      <w:r w:rsidR="007C1DCA" w:rsidRPr="00871292">
        <w:t>s</w:t>
      </w:r>
      <w:r w:rsidR="00703695" w:rsidRPr="00871292">
        <w:t xml:space="preserve"> in the number</w:t>
      </w:r>
      <w:r w:rsidR="007C1DCA" w:rsidRPr="00871292">
        <w:t xml:space="preserve"> or </w:t>
      </w:r>
      <w:r w:rsidR="00703695" w:rsidRPr="00871292">
        <w:t>type of AEs between groups</w:t>
      </w:r>
      <w:r w:rsidR="007C1DCA" w:rsidRPr="00871292">
        <w:t>.</w:t>
      </w:r>
      <w:r w:rsidR="00703695" w:rsidRPr="00871292">
        <w:t xml:space="preserve"> </w:t>
      </w:r>
      <w:r w:rsidR="005E2A88" w:rsidRPr="00871292">
        <w:t xml:space="preserve">The </w:t>
      </w:r>
      <w:r w:rsidR="005E2A88" w:rsidRPr="00871292">
        <w:lastRenderedPageBreak/>
        <w:t>PBA</w:t>
      </w:r>
      <w:r w:rsidR="00703695" w:rsidRPr="00871292">
        <w:t>C</w:t>
      </w:r>
      <w:r w:rsidR="005E2A88" w:rsidRPr="00871292">
        <w:t xml:space="preserve"> noted</w:t>
      </w:r>
      <w:r w:rsidR="00D002C9" w:rsidRPr="00871292">
        <w:t xml:space="preserve"> that while</w:t>
      </w:r>
      <w:r w:rsidR="005E2A88" w:rsidRPr="00871292">
        <w:t xml:space="preserve"> no major adverse cardiovascular events </w:t>
      </w:r>
      <w:r w:rsidR="007C1DCA" w:rsidRPr="00871292">
        <w:t xml:space="preserve">or </w:t>
      </w:r>
      <w:r w:rsidR="005E2A88" w:rsidRPr="00871292">
        <w:t>venous thromboembolic events were reported in</w:t>
      </w:r>
      <w:r w:rsidR="007C1DCA" w:rsidRPr="00871292">
        <w:t xml:space="preserve"> the</w:t>
      </w:r>
      <w:r w:rsidR="005E2A88" w:rsidRPr="00871292">
        <w:t xml:space="preserve"> SELECT-AXIS</w:t>
      </w:r>
      <w:r w:rsidR="007C1DCA" w:rsidRPr="00871292">
        <w:t xml:space="preserve"> trial</w:t>
      </w:r>
      <w:r w:rsidR="004524D5" w:rsidRPr="00871292">
        <w:t>,</w:t>
      </w:r>
      <w:r w:rsidR="00D002C9" w:rsidRPr="00871292">
        <w:t xml:space="preserve"> there were emerging signals</w:t>
      </w:r>
      <w:r w:rsidR="004524D5" w:rsidRPr="00871292">
        <w:t xml:space="preserve"> of</w:t>
      </w:r>
      <w:r w:rsidR="00D002C9" w:rsidRPr="00871292">
        <w:t xml:space="preserve"> thrombotic events associated with treatment with TOF and baricitinib (BAR) and that UPA was included in the TGA Black Triangle Scheme and subject to additional post-market surveillance. The PBAC noted this issue was being monitored in multiple jurisdictions and may be a class effect for the janus kinase inhibitor family.</w:t>
      </w:r>
    </w:p>
    <w:p w:rsidR="00C3362E" w:rsidRPr="00871292" w:rsidRDefault="009E1D82" w:rsidP="007C1DCA">
      <w:pPr>
        <w:pStyle w:val="3-BodyText"/>
      </w:pPr>
      <w:r w:rsidRPr="00871292">
        <w:rPr>
          <w:bCs/>
        </w:rPr>
        <w:t>The PBAC recommended the UPA restriction for AS should be aligned with other bDMARD listings where appropriate and should include a grandfather restriction for a period of 12 months, for patients transitioning from the clinical trial and patient familiarisation program. The PBAC noted the flow-on restriction changes to the administrative notes and prescriber instructions common to all bDMARDs for AS that specify the lists of eligible treatments.</w:t>
      </w:r>
    </w:p>
    <w:p w:rsidR="00D002C9" w:rsidRPr="00871292" w:rsidRDefault="00D002C9" w:rsidP="00D002C9">
      <w:pPr>
        <w:pStyle w:val="3-BodyText"/>
        <w:rPr>
          <w:bCs/>
        </w:rPr>
      </w:pPr>
      <w:r w:rsidRPr="00871292">
        <w:rPr>
          <w:bCs/>
        </w:rPr>
        <w:t>The PBAC noted the estimated costs to the PBS were driven by the use of published rather than effective prices and considered that if the listing of UPA for PsA were on a cost minimisation basis with the least costly bDMARD (as recommended in paragraph 7.2) using effective prices should result in no increase in net cost to the PBS.</w:t>
      </w:r>
      <w:r w:rsidR="00A74EDC">
        <w:rPr>
          <w:bCs/>
        </w:rPr>
        <w:t xml:space="preserve"> The PBAC noted patients who move from existing PBS medicines to the patient familiarisation program and then to PBS subsidised UPA will not be in addition to the current market, however noted that the limited number of patients in extended clinical trials will incur a small incremental cost as they transition to PBS subsidised therapy.</w:t>
      </w:r>
    </w:p>
    <w:p w:rsidR="0086661F" w:rsidRPr="00871292" w:rsidRDefault="0086661F" w:rsidP="00D9734F">
      <w:pPr>
        <w:pStyle w:val="3-BodyText"/>
      </w:pPr>
      <w:r w:rsidRPr="00871292">
        <w:t xml:space="preserve">Under section 101(3BA) of the </w:t>
      </w:r>
      <w:r w:rsidRPr="00871292">
        <w:rPr>
          <w:i/>
        </w:rPr>
        <w:t>National Health Act 1953</w:t>
      </w:r>
      <w:r w:rsidRPr="00871292">
        <w:t>, the PBAC advised that UPA</w:t>
      </w:r>
      <w:r w:rsidR="00D9734F" w:rsidRPr="00871292">
        <w:t xml:space="preserve"> and the other bDMARDs</w:t>
      </w:r>
      <w:r w:rsidR="00204B55" w:rsidRPr="00871292">
        <w:t xml:space="preserve"> including </w:t>
      </w:r>
      <w:r w:rsidR="00204B55" w:rsidRPr="00871292">
        <w:rPr>
          <w:bCs/>
        </w:rPr>
        <w:t>adalimumab, certolizumab pegol, etanercept, golimumab, infliximab, ixekizumab and secukinumab</w:t>
      </w:r>
      <w:r w:rsidR="00204B55" w:rsidRPr="00871292" w:rsidDel="00204B55">
        <w:t xml:space="preserve"> </w:t>
      </w:r>
      <w:r w:rsidRPr="00871292">
        <w:t xml:space="preserve">should be treated as interchangeable on an individual patient basis for the treatment of AS. </w:t>
      </w:r>
    </w:p>
    <w:p w:rsidR="00D40044" w:rsidRPr="00871292" w:rsidRDefault="00D40044" w:rsidP="00D40044">
      <w:pPr>
        <w:pStyle w:val="3-BodyText"/>
      </w:pPr>
      <w:r w:rsidRPr="00871292">
        <w:t xml:space="preserve">The PBAC noted that its recommendation was on a cost-minimisation basis and advised that, because UPA is not expected to provide a substantial and clinically relevant improvement in efficacy, or reduction of toxicity, over alternative therapies, or not expected to address a high and urgent unmet clinical need given the presence of an alternative therapy, the criteria prescribed by the </w:t>
      </w:r>
      <w:r w:rsidRPr="00871292">
        <w:rPr>
          <w:i/>
        </w:rPr>
        <w:t>National Health (Pharmaceuticals and Vaccines – Cost Recovery) Regulations 2009</w:t>
      </w:r>
      <w:r w:rsidRPr="00871292">
        <w:t xml:space="preserve"> for Pricing Pathway A were not met.</w:t>
      </w:r>
    </w:p>
    <w:p w:rsidR="002D0F30" w:rsidRPr="00871292" w:rsidRDefault="002D0F30" w:rsidP="002D0F30">
      <w:pPr>
        <w:pStyle w:val="3-BodyText"/>
      </w:pPr>
      <w:r w:rsidRPr="00871292">
        <w:t xml:space="preserve">The PBAC noted that this submission is not eligible for an Independent Review as it received a positive recommendation. </w:t>
      </w:r>
    </w:p>
    <w:p w:rsidR="00D82EC8" w:rsidRPr="00871292" w:rsidRDefault="00D82EC8" w:rsidP="00D82EC8">
      <w:pPr>
        <w:spacing w:before="240"/>
        <w:rPr>
          <w:rFonts w:asciiTheme="minorHAnsi" w:hAnsiTheme="minorHAnsi"/>
          <w:b/>
          <w:bCs/>
          <w:snapToGrid w:val="0"/>
        </w:rPr>
      </w:pPr>
      <w:r w:rsidRPr="00871292">
        <w:rPr>
          <w:rFonts w:asciiTheme="minorHAnsi" w:hAnsiTheme="minorHAnsi"/>
          <w:b/>
          <w:bCs/>
          <w:snapToGrid w:val="0"/>
        </w:rPr>
        <w:t>Outcome:</w:t>
      </w:r>
    </w:p>
    <w:p w:rsidR="00D82EC8" w:rsidRPr="00871292" w:rsidRDefault="00D82EC8" w:rsidP="00D82EC8">
      <w:pPr>
        <w:rPr>
          <w:rFonts w:asciiTheme="minorHAnsi" w:hAnsiTheme="minorHAnsi"/>
          <w:bCs/>
          <w:snapToGrid w:val="0"/>
        </w:rPr>
      </w:pPr>
      <w:r w:rsidRPr="00871292">
        <w:rPr>
          <w:rFonts w:asciiTheme="minorHAnsi" w:hAnsiTheme="minorHAnsi"/>
          <w:bCs/>
          <w:snapToGrid w:val="0"/>
        </w:rPr>
        <w:t>Recommended</w:t>
      </w:r>
    </w:p>
    <w:p w:rsidR="00D82EC8" w:rsidRPr="00871292" w:rsidRDefault="00D82EC8" w:rsidP="009950D9">
      <w:pPr>
        <w:widowControl w:val="0"/>
        <w:numPr>
          <w:ilvl w:val="0"/>
          <w:numId w:val="1"/>
        </w:numPr>
        <w:spacing w:before="240" w:after="120"/>
        <w:outlineLvl w:val="0"/>
        <w:rPr>
          <w:rFonts w:asciiTheme="minorHAnsi" w:hAnsiTheme="minorHAnsi"/>
          <w:b/>
          <w:bCs/>
          <w:i/>
          <w:snapToGrid w:val="0"/>
          <w:sz w:val="32"/>
        </w:rPr>
      </w:pPr>
      <w:r w:rsidRPr="00871292">
        <w:rPr>
          <w:rFonts w:asciiTheme="minorHAnsi" w:hAnsiTheme="minorHAnsi"/>
          <w:b/>
          <w:bCs/>
          <w:snapToGrid w:val="0"/>
          <w:sz w:val="32"/>
        </w:rPr>
        <w:t>Recommended listing</w:t>
      </w:r>
    </w:p>
    <w:p w:rsidR="00D82EC8" w:rsidRPr="00871292" w:rsidRDefault="00DC7A77" w:rsidP="002D554E">
      <w:pPr>
        <w:pStyle w:val="3-BodyText"/>
        <w:rPr>
          <w:b/>
        </w:rPr>
      </w:pPr>
      <w:r w:rsidRPr="00871292">
        <w:t>Add new item</w:t>
      </w:r>
      <w:r w:rsidR="0096663D" w:rsidRPr="00871292">
        <w:t xml:space="preserve"> (based on existing </w:t>
      </w:r>
      <w:r w:rsidR="006366A6" w:rsidRPr="00871292">
        <w:t xml:space="preserve">adalimumab </w:t>
      </w:r>
      <w:r w:rsidR="0096663D" w:rsidRPr="00871292">
        <w:t xml:space="preserve">restrictions </w:t>
      </w:r>
      <w:r w:rsidR="002D554E">
        <w:t xml:space="preserve">under </w:t>
      </w:r>
      <w:r w:rsidR="002D554E">
        <w:rPr>
          <w:bCs/>
        </w:rPr>
        <w:t>9103D/</w:t>
      </w:r>
      <w:r w:rsidR="002D554E" w:rsidRPr="002D554E">
        <w:rPr>
          <w:bCs/>
        </w:rPr>
        <w:t xml:space="preserve">9104E </w:t>
      </w:r>
      <w:r w:rsidR="0096663D" w:rsidRPr="00871292">
        <w:t>for AS)</w:t>
      </w:r>
    </w:p>
    <w:tbl>
      <w:tblPr>
        <w:tblW w:w="5002" w:type="pct"/>
        <w:tblInd w:w="-5" w:type="dxa"/>
        <w:tblLook w:val="04A0" w:firstRow="1" w:lastRow="0" w:firstColumn="1" w:lastColumn="0" w:noHBand="0" w:noVBand="1"/>
      </w:tblPr>
      <w:tblGrid>
        <w:gridCol w:w="3070"/>
        <w:gridCol w:w="962"/>
        <w:gridCol w:w="864"/>
        <w:gridCol w:w="866"/>
        <w:gridCol w:w="1384"/>
        <w:gridCol w:w="1875"/>
      </w:tblGrid>
      <w:tr w:rsidR="00254F0E" w:rsidRPr="00871292" w:rsidTr="004A2D34">
        <w:trPr>
          <w:trHeight w:val="471"/>
        </w:trPr>
        <w:tc>
          <w:tcPr>
            <w:tcW w:w="1702" w:type="pct"/>
            <w:tcBorders>
              <w:top w:val="single" w:sz="4" w:space="0" w:color="auto"/>
              <w:left w:val="single" w:sz="4" w:space="0" w:color="auto"/>
              <w:bottom w:val="single" w:sz="4" w:space="0" w:color="auto"/>
              <w:right w:val="single" w:sz="4" w:space="0" w:color="auto"/>
            </w:tcBorders>
            <w:hideMark/>
          </w:tcPr>
          <w:p w:rsidR="00254F0E" w:rsidRDefault="00254F0E" w:rsidP="002A3AD2">
            <w:pPr>
              <w:keepNext/>
              <w:ind w:left="-108"/>
              <w:rPr>
                <w:rFonts w:ascii="Arial Narrow" w:hAnsi="Arial Narrow"/>
                <w:b/>
                <w:sz w:val="18"/>
                <w:szCs w:val="18"/>
              </w:rPr>
            </w:pPr>
            <w:r w:rsidRPr="00871292">
              <w:rPr>
                <w:rFonts w:ascii="Arial Narrow" w:hAnsi="Arial Narrow"/>
                <w:b/>
                <w:sz w:val="18"/>
                <w:szCs w:val="18"/>
              </w:rPr>
              <w:lastRenderedPageBreak/>
              <w:t>MEDICINAL PRODUCT</w:t>
            </w:r>
          </w:p>
          <w:p w:rsidR="00940BF3" w:rsidRPr="00871292" w:rsidRDefault="00C43BA6" w:rsidP="002A3AD2">
            <w:pPr>
              <w:keepNext/>
              <w:ind w:left="-108"/>
              <w:rPr>
                <w:rFonts w:ascii="Arial Narrow" w:hAnsi="Arial Narrow"/>
                <w:b/>
                <w:sz w:val="18"/>
                <w:szCs w:val="18"/>
              </w:rPr>
            </w:pPr>
            <w:r w:rsidRPr="009E337F">
              <w:rPr>
                <w:rFonts w:ascii="Arial Narrow" w:hAnsi="Arial Narrow"/>
                <w:b/>
                <w:bCs/>
                <w:sz w:val="18"/>
                <w:szCs w:val="18"/>
              </w:rPr>
              <w:t>medicinal product pack</w:t>
            </w:r>
          </w:p>
        </w:tc>
        <w:tc>
          <w:tcPr>
            <w:tcW w:w="533" w:type="pct"/>
            <w:tcBorders>
              <w:top w:val="single" w:sz="4" w:space="0" w:color="auto"/>
              <w:left w:val="single" w:sz="4" w:space="0" w:color="auto"/>
              <w:bottom w:val="single" w:sz="4" w:space="0" w:color="auto"/>
              <w:right w:val="single" w:sz="4" w:space="0" w:color="auto"/>
            </w:tcBorders>
          </w:tcPr>
          <w:p w:rsidR="00254F0E" w:rsidRPr="00871292" w:rsidRDefault="00254F0E" w:rsidP="00254F0E">
            <w:pPr>
              <w:keepNext/>
              <w:ind w:left="-108"/>
              <w:jc w:val="center"/>
              <w:rPr>
                <w:rFonts w:ascii="Arial Narrow" w:hAnsi="Arial Narrow"/>
                <w:b/>
                <w:sz w:val="18"/>
                <w:szCs w:val="18"/>
              </w:rPr>
            </w:pPr>
            <w:r w:rsidRPr="00871292">
              <w:rPr>
                <w:rFonts w:ascii="Arial Narrow" w:hAnsi="Arial Narrow"/>
                <w:b/>
                <w:sz w:val="18"/>
                <w:szCs w:val="18"/>
              </w:rPr>
              <w:t>PBS item code</w:t>
            </w:r>
          </w:p>
        </w:tc>
        <w:tc>
          <w:tcPr>
            <w:tcW w:w="479" w:type="pct"/>
            <w:tcBorders>
              <w:top w:val="single" w:sz="4" w:space="0" w:color="auto"/>
              <w:left w:val="single" w:sz="4" w:space="0" w:color="auto"/>
              <w:bottom w:val="single" w:sz="4" w:space="0" w:color="auto"/>
              <w:right w:val="single" w:sz="4" w:space="0" w:color="auto"/>
            </w:tcBorders>
            <w:hideMark/>
          </w:tcPr>
          <w:p w:rsidR="00254F0E" w:rsidRPr="00871292" w:rsidRDefault="00254F0E" w:rsidP="00254F0E">
            <w:pPr>
              <w:keepNext/>
              <w:ind w:left="-108"/>
              <w:jc w:val="center"/>
              <w:rPr>
                <w:rFonts w:ascii="Arial Narrow" w:hAnsi="Arial Narrow"/>
                <w:b/>
                <w:sz w:val="18"/>
                <w:szCs w:val="18"/>
              </w:rPr>
            </w:pPr>
            <w:r w:rsidRPr="00871292">
              <w:rPr>
                <w:rFonts w:ascii="Arial Narrow" w:hAnsi="Arial Narrow"/>
                <w:b/>
                <w:sz w:val="18"/>
                <w:szCs w:val="18"/>
              </w:rPr>
              <w:t>Max. qty packs</w:t>
            </w:r>
          </w:p>
        </w:tc>
        <w:tc>
          <w:tcPr>
            <w:tcW w:w="480" w:type="pct"/>
            <w:tcBorders>
              <w:top w:val="single" w:sz="4" w:space="0" w:color="auto"/>
              <w:left w:val="single" w:sz="4" w:space="0" w:color="auto"/>
              <w:bottom w:val="single" w:sz="4" w:space="0" w:color="auto"/>
              <w:right w:val="single" w:sz="4" w:space="0" w:color="auto"/>
            </w:tcBorders>
          </w:tcPr>
          <w:p w:rsidR="00254F0E" w:rsidRPr="00871292" w:rsidRDefault="00254F0E" w:rsidP="00254F0E">
            <w:pPr>
              <w:keepNext/>
              <w:ind w:left="-108"/>
              <w:jc w:val="center"/>
              <w:rPr>
                <w:rFonts w:ascii="Arial Narrow" w:hAnsi="Arial Narrow"/>
                <w:b/>
                <w:sz w:val="18"/>
                <w:szCs w:val="18"/>
              </w:rPr>
            </w:pPr>
            <w:r w:rsidRPr="00871292">
              <w:rPr>
                <w:rFonts w:ascii="Arial Narrow" w:hAnsi="Arial Narrow"/>
                <w:b/>
                <w:sz w:val="18"/>
                <w:szCs w:val="18"/>
              </w:rPr>
              <w:t>Max. qty units</w:t>
            </w:r>
          </w:p>
        </w:tc>
        <w:tc>
          <w:tcPr>
            <w:tcW w:w="767" w:type="pct"/>
            <w:tcBorders>
              <w:top w:val="single" w:sz="4" w:space="0" w:color="auto"/>
              <w:left w:val="single" w:sz="4" w:space="0" w:color="auto"/>
              <w:bottom w:val="single" w:sz="4" w:space="0" w:color="auto"/>
              <w:right w:val="single" w:sz="4" w:space="0" w:color="auto"/>
            </w:tcBorders>
            <w:hideMark/>
          </w:tcPr>
          <w:p w:rsidR="00254F0E" w:rsidRPr="00871292" w:rsidRDefault="00254F0E" w:rsidP="00254F0E">
            <w:pPr>
              <w:keepNext/>
              <w:ind w:left="-108"/>
              <w:jc w:val="center"/>
              <w:rPr>
                <w:rFonts w:ascii="Arial Narrow" w:hAnsi="Arial Narrow"/>
                <w:b/>
                <w:sz w:val="18"/>
                <w:szCs w:val="18"/>
              </w:rPr>
            </w:pPr>
            <w:r w:rsidRPr="00871292">
              <w:rPr>
                <w:rFonts w:ascii="Arial Narrow" w:hAnsi="Arial Narrow"/>
                <w:b/>
                <w:sz w:val="18"/>
                <w:szCs w:val="18"/>
              </w:rPr>
              <w:t>№.of Rpts</w:t>
            </w:r>
          </w:p>
        </w:tc>
        <w:tc>
          <w:tcPr>
            <w:tcW w:w="1039" w:type="pct"/>
            <w:tcBorders>
              <w:top w:val="single" w:sz="4" w:space="0" w:color="auto"/>
              <w:left w:val="single" w:sz="4" w:space="0" w:color="auto"/>
              <w:bottom w:val="single" w:sz="4" w:space="0" w:color="auto"/>
              <w:right w:val="single" w:sz="4" w:space="0" w:color="auto"/>
            </w:tcBorders>
            <w:hideMark/>
          </w:tcPr>
          <w:p w:rsidR="00254F0E" w:rsidRPr="00871292" w:rsidRDefault="00254F0E" w:rsidP="002A3AD2">
            <w:pPr>
              <w:keepNext/>
              <w:rPr>
                <w:rFonts w:ascii="Arial Narrow" w:hAnsi="Arial Narrow"/>
                <w:b/>
                <w:sz w:val="18"/>
                <w:szCs w:val="18"/>
              </w:rPr>
            </w:pPr>
            <w:r w:rsidRPr="00871292">
              <w:rPr>
                <w:rFonts w:ascii="Arial Narrow" w:hAnsi="Arial Narrow"/>
                <w:b/>
                <w:sz w:val="18"/>
                <w:szCs w:val="18"/>
              </w:rPr>
              <w:t>Available brands</w:t>
            </w:r>
          </w:p>
        </w:tc>
      </w:tr>
      <w:tr w:rsidR="00254F0E" w:rsidRPr="00871292" w:rsidTr="004A2D34">
        <w:trPr>
          <w:trHeight w:val="577"/>
        </w:trPr>
        <w:tc>
          <w:tcPr>
            <w:tcW w:w="1702" w:type="pct"/>
            <w:tcBorders>
              <w:top w:val="single" w:sz="4" w:space="0" w:color="auto"/>
              <w:left w:val="single" w:sz="4" w:space="0" w:color="auto"/>
              <w:bottom w:val="single" w:sz="4" w:space="0" w:color="auto"/>
              <w:right w:val="single" w:sz="4" w:space="0" w:color="auto"/>
            </w:tcBorders>
            <w:hideMark/>
          </w:tcPr>
          <w:p w:rsidR="00254F0E" w:rsidRPr="00871292" w:rsidRDefault="00254F0E" w:rsidP="002A3AD2">
            <w:pPr>
              <w:keepNext/>
              <w:ind w:left="-108"/>
              <w:rPr>
                <w:rFonts w:ascii="Arial Narrow" w:hAnsi="Arial Narrow"/>
                <w:sz w:val="18"/>
                <w:szCs w:val="18"/>
              </w:rPr>
            </w:pPr>
            <w:r w:rsidRPr="00871292">
              <w:rPr>
                <w:rFonts w:ascii="Arial Narrow" w:hAnsi="Arial Narrow"/>
                <w:sz w:val="18"/>
                <w:szCs w:val="18"/>
              </w:rPr>
              <w:t>UPADACITINIB</w:t>
            </w:r>
          </w:p>
          <w:p w:rsidR="00254F0E" w:rsidRPr="00871292" w:rsidRDefault="00254F0E" w:rsidP="002A3AD2">
            <w:pPr>
              <w:keepNext/>
              <w:ind w:left="-108"/>
              <w:rPr>
                <w:rFonts w:ascii="Arial Narrow" w:hAnsi="Arial Narrow"/>
                <w:sz w:val="18"/>
                <w:szCs w:val="18"/>
              </w:rPr>
            </w:pPr>
            <w:r w:rsidRPr="00871292">
              <w:rPr>
                <w:rFonts w:ascii="Arial Narrow" w:hAnsi="Arial Narrow"/>
                <w:sz w:val="18"/>
                <w:szCs w:val="18"/>
              </w:rPr>
              <w:t>upadacitinib 15mg  modified release tablet, 28</w:t>
            </w:r>
          </w:p>
        </w:tc>
        <w:tc>
          <w:tcPr>
            <w:tcW w:w="533" w:type="pct"/>
            <w:tcBorders>
              <w:top w:val="single" w:sz="4" w:space="0" w:color="auto"/>
              <w:left w:val="single" w:sz="4" w:space="0" w:color="auto"/>
              <w:bottom w:val="single" w:sz="4" w:space="0" w:color="auto"/>
              <w:right w:val="single" w:sz="4" w:space="0" w:color="auto"/>
            </w:tcBorders>
          </w:tcPr>
          <w:p w:rsidR="00254F0E" w:rsidRPr="00871292" w:rsidRDefault="00254F0E" w:rsidP="002A3AD2">
            <w:pPr>
              <w:keepNext/>
              <w:ind w:left="-108"/>
              <w:rPr>
                <w:rFonts w:ascii="Arial Narrow" w:hAnsi="Arial Narrow"/>
                <w:sz w:val="18"/>
                <w:szCs w:val="18"/>
              </w:rPr>
            </w:pPr>
          </w:p>
          <w:p w:rsidR="00254F0E" w:rsidRPr="00871292" w:rsidRDefault="0049063F" w:rsidP="00254F0E">
            <w:pPr>
              <w:keepNext/>
              <w:ind w:left="-108"/>
              <w:jc w:val="center"/>
              <w:rPr>
                <w:rFonts w:ascii="Arial Narrow" w:hAnsi="Arial Narrow"/>
                <w:sz w:val="18"/>
                <w:szCs w:val="18"/>
              </w:rPr>
            </w:pPr>
            <w:r w:rsidRPr="00871292">
              <w:rPr>
                <w:rFonts w:ascii="Arial Narrow" w:hAnsi="Arial Narrow"/>
                <w:sz w:val="18"/>
                <w:szCs w:val="18"/>
              </w:rPr>
              <w:t>NEW</w:t>
            </w:r>
          </w:p>
        </w:tc>
        <w:tc>
          <w:tcPr>
            <w:tcW w:w="479" w:type="pct"/>
            <w:tcBorders>
              <w:top w:val="single" w:sz="4" w:space="0" w:color="auto"/>
              <w:left w:val="single" w:sz="4" w:space="0" w:color="auto"/>
              <w:bottom w:val="single" w:sz="4" w:space="0" w:color="auto"/>
              <w:right w:val="single" w:sz="4" w:space="0" w:color="auto"/>
            </w:tcBorders>
          </w:tcPr>
          <w:p w:rsidR="00254F0E" w:rsidRPr="00871292" w:rsidRDefault="00254F0E" w:rsidP="002A3AD2">
            <w:pPr>
              <w:keepNext/>
              <w:ind w:left="-108"/>
              <w:rPr>
                <w:rFonts w:ascii="Arial Narrow" w:hAnsi="Arial Narrow"/>
                <w:sz w:val="18"/>
                <w:szCs w:val="18"/>
              </w:rPr>
            </w:pPr>
          </w:p>
          <w:p w:rsidR="00254F0E" w:rsidRPr="00871292" w:rsidRDefault="00254F0E" w:rsidP="00254F0E">
            <w:pPr>
              <w:keepNext/>
              <w:ind w:left="-108" w:right="-108"/>
              <w:jc w:val="center"/>
              <w:rPr>
                <w:rFonts w:ascii="Arial Narrow" w:hAnsi="Arial Narrow"/>
                <w:sz w:val="18"/>
                <w:szCs w:val="18"/>
              </w:rPr>
            </w:pPr>
            <w:r w:rsidRPr="00871292">
              <w:rPr>
                <w:rFonts w:ascii="Arial Narrow" w:hAnsi="Arial Narrow"/>
                <w:sz w:val="18"/>
                <w:szCs w:val="18"/>
              </w:rPr>
              <w:t>1</w:t>
            </w:r>
          </w:p>
        </w:tc>
        <w:tc>
          <w:tcPr>
            <w:tcW w:w="480" w:type="pct"/>
            <w:tcBorders>
              <w:top w:val="single" w:sz="4" w:space="0" w:color="auto"/>
              <w:left w:val="single" w:sz="4" w:space="0" w:color="auto"/>
              <w:bottom w:val="single" w:sz="4" w:space="0" w:color="auto"/>
              <w:right w:val="single" w:sz="4" w:space="0" w:color="auto"/>
            </w:tcBorders>
          </w:tcPr>
          <w:p w:rsidR="00254F0E" w:rsidRPr="00871292" w:rsidRDefault="00254F0E" w:rsidP="00254F0E">
            <w:pPr>
              <w:keepNext/>
              <w:ind w:left="-108"/>
              <w:jc w:val="center"/>
              <w:rPr>
                <w:rFonts w:ascii="Arial Narrow" w:hAnsi="Arial Narrow"/>
                <w:sz w:val="18"/>
                <w:szCs w:val="18"/>
              </w:rPr>
            </w:pPr>
          </w:p>
          <w:p w:rsidR="00254F0E" w:rsidRPr="00871292" w:rsidRDefault="00254F0E" w:rsidP="00254F0E">
            <w:pPr>
              <w:keepNext/>
              <w:ind w:left="-108"/>
              <w:jc w:val="center"/>
              <w:rPr>
                <w:rFonts w:ascii="Arial Narrow" w:hAnsi="Arial Narrow"/>
                <w:sz w:val="18"/>
                <w:szCs w:val="18"/>
              </w:rPr>
            </w:pPr>
            <w:r w:rsidRPr="00871292">
              <w:rPr>
                <w:rFonts w:ascii="Arial Narrow" w:hAnsi="Arial Narrow"/>
                <w:sz w:val="18"/>
                <w:szCs w:val="18"/>
              </w:rPr>
              <w:t>28</w:t>
            </w:r>
          </w:p>
        </w:tc>
        <w:tc>
          <w:tcPr>
            <w:tcW w:w="767" w:type="pct"/>
            <w:tcBorders>
              <w:top w:val="single" w:sz="4" w:space="0" w:color="auto"/>
              <w:left w:val="single" w:sz="4" w:space="0" w:color="auto"/>
              <w:bottom w:val="single" w:sz="4" w:space="0" w:color="auto"/>
              <w:right w:val="single" w:sz="4" w:space="0" w:color="auto"/>
            </w:tcBorders>
          </w:tcPr>
          <w:p w:rsidR="00254F0E" w:rsidRPr="00871292" w:rsidRDefault="00254F0E" w:rsidP="002A3AD2">
            <w:pPr>
              <w:keepNext/>
              <w:ind w:left="-108"/>
              <w:rPr>
                <w:rFonts w:ascii="Arial Narrow" w:hAnsi="Arial Narrow"/>
                <w:sz w:val="18"/>
                <w:szCs w:val="18"/>
              </w:rPr>
            </w:pPr>
          </w:p>
          <w:p w:rsidR="00254F0E" w:rsidRPr="00871292" w:rsidRDefault="00254F0E" w:rsidP="00254F0E">
            <w:pPr>
              <w:keepNext/>
              <w:ind w:left="-108"/>
              <w:jc w:val="center"/>
              <w:rPr>
                <w:rFonts w:ascii="Arial Narrow" w:hAnsi="Arial Narrow"/>
                <w:sz w:val="18"/>
                <w:szCs w:val="18"/>
              </w:rPr>
            </w:pPr>
            <w:r w:rsidRPr="00871292">
              <w:rPr>
                <w:rFonts w:ascii="Arial Narrow" w:hAnsi="Arial Narrow"/>
                <w:sz w:val="18"/>
                <w:szCs w:val="18"/>
              </w:rPr>
              <w:t>3</w:t>
            </w:r>
          </w:p>
        </w:tc>
        <w:tc>
          <w:tcPr>
            <w:tcW w:w="1039" w:type="pct"/>
            <w:tcBorders>
              <w:top w:val="single" w:sz="4" w:space="0" w:color="auto"/>
              <w:left w:val="single" w:sz="4" w:space="0" w:color="auto"/>
              <w:bottom w:val="single" w:sz="4" w:space="0" w:color="auto"/>
              <w:right w:val="single" w:sz="4" w:space="0" w:color="auto"/>
            </w:tcBorders>
          </w:tcPr>
          <w:p w:rsidR="00254F0E" w:rsidRPr="00871292" w:rsidRDefault="00254F0E" w:rsidP="002A3AD2">
            <w:pPr>
              <w:keepNext/>
              <w:rPr>
                <w:rFonts w:ascii="Arial Narrow" w:hAnsi="Arial Narrow"/>
                <w:sz w:val="18"/>
                <w:szCs w:val="18"/>
              </w:rPr>
            </w:pPr>
          </w:p>
          <w:p w:rsidR="00254F0E" w:rsidRPr="00871292" w:rsidRDefault="00254F0E" w:rsidP="002A3AD2">
            <w:pPr>
              <w:keepNext/>
              <w:rPr>
                <w:rFonts w:ascii="Arial Narrow" w:hAnsi="Arial Narrow"/>
                <w:sz w:val="18"/>
                <w:szCs w:val="18"/>
              </w:rPr>
            </w:pPr>
            <w:r w:rsidRPr="00871292">
              <w:rPr>
                <w:rFonts w:ascii="Arial Narrow" w:hAnsi="Arial Narrow"/>
                <w:sz w:val="18"/>
                <w:szCs w:val="18"/>
              </w:rPr>
              <w:t>Rinvoq</w:t>
            </w:r>
            <w:r w:rsidR="0049063F" w:rsidRPr="00871292">
              <w:rPr>
                <w:rFonts w:ascii="Arial Narrow" w:hAnsi="Arial Narrow"/>
                <w:sz w:val="18"/>
                <w:szCs w:val="18"/>
                <w:vertAlign w:val="superscript"/>
              </w:rPr>
              <w:t>®</w:t>
            </w:r>
          </w:p>
          <w:p w:rsidR="00254F0E" w:rsidRPr="00871292" w:rsidRDefault="00254F0E" w:rsidP="002A3AD2">
            <w:pPr>
              <w:keepNext/>
              <w:jc w:val="center"/>
              <w:rPr>
                <w:rFonts w:ascii="Arial Narrow" w:hAnsi="Arial Narrow"/>
                <w:sz w:val="18"/>
                <w:szCs w:val="18"/>
              </w:rPr>
            </w:pPr>
          </w:p>
        </w:tc>
      </w:tr>
    </w:tbl>
    <w:p w:rsidR="00DC7A77" w:rsidRPr="00871292" w:rsidRDefault="00DC7A77" w:rsidP="00DC7A77">
      <w:pPr>
        <w:autoSpaceDE w:val="0"/>
        <w:autoSpaceDN w:val="0"/>
        <w:adjustRightInd w:val="0"/>
        <w:spacing w:line="240" w:lineRule="atLeast"/>
        <w:rPr>
          <w:rFonts w:ascii="Arial Narrow" w:hAnsi="Arial Narrow"/>
          <w:sz w:val="18"/>
          <w:szCs w:val="18"/>
        </w:rPr>
      </w:pPr>
    </w:p>
    <w:tbl>
      <w:tblPr>
        <w:tblStyle w:val="TableGrid"/>
        <w:tblW w:w="5000" w:type="pct"/>
        <w:tblLook w:val="04A0" w:firstRow="1" w:lastRow="0" w:firstColumn="1" w:lastColumn="0" w:noHBand="0" w:noVBand="1"/>
        <w:tblCaption w:val="Restriction Summary"/>
      </w:tblPr>
      <w:tblGrid>
        <w:gridCol w:w="4839"/>
        <w:gridCol w:w="4178"/>
      </w:tblGrid>
      <w:tr w:rsidR="0049063F" w:rsidRPr="00871292" w:rsidTr="001D64E8">
        <w:trPr>
          <w:tblHeader/>
        </w:trPr>
        <w:tc>
          <w:tcPr>
            <w:tcW w:w="2683"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b/>
                <w:sz w:val="18"/>
                <w:szCs w:val="18"/>
              </w:rPr>
            </w:pPr>
            <w:r w:rsidRPr="00871292">
              <w:rPr>
                <w:rFonts w:ascii="Arial Narrow" w:hAnsi="Arial Narrow"/>
                <w:b/>
                <w:sz w:val="18"/>
                <w:szCs w:val="18"/>
              </w:rPr>
              <w:t>Restriction Summary</w:t>
            </w:r>
          </w:p>
        </w:tc>
        <w:tc>
          <w:tcPr>
            <w:tcW w:w="2317"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b/>
                <w:sz w:val="18"/>
                <w:szCs w:val="18"/>
              </w:rPr>
            </w:pPr>
            <w:r w:rsidRPr="00871292">
              <w:rPr>
                <w:rFonts w:ascii="Arial Narrow" w:hAnsi="Arial Narrow"/>
                <w:b/>
                <w:sz w:val="18"/>
                <w:szCs w:val="18"/>
              </w:rPr>
              <w:t>Treatment phase</w:t>
            </w:r>
          </w:p>
        </w:tc>
      </w:tr>
      <w:tr w:rsidR="0049063F" w:rsidRPr="00871292" w:rsidTr="00CE3A4E">
        <w:tc>
          <w:tcPr>
            <w:tcW w:w="2683"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Restriction Summary 9530 / ToC: 9503: Authority Required</w:t>
            </w:r>
          </w:p>
        </w:tc>
        <w:tc>
          <w:tcPr>
            <w:tcW w:w="2317"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 xml:space="preserve">Initial 1 </w:t>
            </w:r>
          </w:p>
        </w:tc>
      </w:tr>
      <w:tr w:rsidR="0049063F" w:rsidRPr="00871292" w:rsidTr="00CE3A4E">
        <w:tc>
          <w:tcPr>
            <w:tcW w:w="2683"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Restriction Summary 9412 / ToC: 9414: Authority Required</w:t>
            </w:r>
          </w:p>
        </w:tc>
        <w:tc>
          <w:tcPr>
            <w:tcW w:w="2317"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 xml:space="preserve">Initial 2 </w:t>
            </w:r>
          </w:p>
        </w:tc>
      </w:tr>
      <w:tr w:rsidR="0049063F" w:rsidRPr="00871292" w:rsidTr="00CE3A4E">
        <w:tc>
          <w:tcPr>
            <w:tcW w:w="2683"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 xml:space="preserve">Restriction Summary 9427 / ToC: 9428: Authority Required  </w:t>
            </w:r>
          </w:p>
        </w:tc>
        <w:tc>
          <w:tcPr>
            <w:tcW w:w="2317"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Initial 3</w:t>
            </w:r>
          </w:p>
        </w:tc>
      </w:tr>
      <w:tr w:rsidR="0049063F" w:rsidRPr="00871292" w:rsidTr="00CE3A4E">
        <w:tc>
          <w:tcPr>
            <w:tcW w:w="2683"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 xml:space="preserve">Restriction Summary 9535 / ToC: 9429: Authority Required  </w:t>
            </w:r>
          </w:p>
        </w:tc>
        <w:tc>
          <w:tcPr>
            <w:tcW w:w="2317"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Initial 1, Initial 2 or Initial 3  balance of supply</w:t>
            </w:r>
          </w:p>
        </w:tc>
      </w:tr>
    </w:tbl>
    <w:p w:rsidR="0049063F" w:rsidRPr="00871292" w:rsidRDefault="0049063F" w:rsidP="00DC7A77">
      <w:pPr>
        <w:autoSpaceDE w:val="0"/>
        <w:autoSpaceDN w:val="0"/>
        <w:adjustRightInd w:val="0"/>
        <w:spacing w:line="240" w:lineRule="atLeast"/>
        <w:rPr>
          <w:rFonts w:asciiTheme="minorHAnsi" w:eastAsiaTheme="minorHAnsi" w:hAnsiTheme="minorHAnsi" w:cstheme="minorHAnsi"/>
          <w:i/>
          <w:sz w:val="18"/>
          <w:szCs w:val="18"/>
          <w:lang w:eastAsia="en-US"/>
        </w:rPr>
      </w:pPr>
    </w:p>
    <w:tbl>
      <w:tblPr>
        <w:tblW w:w="5000" w:type="pct"/>
        <w:tblLook w:val="04A0" w:firstRow="1" w:lastRow="0" w:firstColumn="1" w:lastColumn="0" w:noHBand="0" w:noVBand="1"/>
      </w:tblPr>
      <w:tblGrid>
        <w:gridCol w:w="3067"/>
        <w:gridCol w:w="866"/>
        <w:gridCol w:w="959"/>
        <w:gridCol w:w="864"/>
        <w:gridCol w:w="1441"/>
        <w:gridCol w:w="1820"/>
      </w:tblGrid>
      <w:tr w:rsidR="00C16837" w:rsidRPr="00871292" w:rsidTr="004A2D34">
        <w:trPr>
          <w:trHeight w:val="471"/>
        </w:trPr>
        <w:tc>
          <w:tcPr>
            <w:tcW w:w="1701" w:type="pct"/>
            <w:tcBorders>
              <w:top w:val="single" w:sz="4" w:space="0" w:color="auto"/>
              <w:left w:val="single" w:sz="4" w:space="0" w:color="auto"/>
              <w:bottom w:val="single" w:sz="4" w:space="0" w:color="auto"/>
              <w:right w:val="single" w:sz="4" w:space="0" w:color="auto"/>
            </w:tcBorders>
            <w:hideMark/>
          </w:tcPr>
          <w:p w:rsidR="00C16837" w:rsidRDefault="00853126" w:rsidP="00C16837">
            <w:pPr>
              <w:keepNext/>
              <w:ind w:left="-108"/>
              <w:rPr>
                <w:rFonts w:ascii="Arial Narrow" w:hAnsi="Arial Narrow"/>
                <w:b/>
                <w:sz w:val="18"/>
                <w:szCs w:val="18"/>
              </w:rPr>
            </w:pPr>
            <w:r w:rsidRPr="00871292">
              <w:rPr>
                <w:rFonts w:ascii="Arial Narrow" w:hAnsi="Arial Narrow"/>
                <w:b/>
                <w:sz w:val="18"/>
                <w:szCs w:val="18"/>
              </w:rPr>
              <w:t>MEDICINAL PRODUCT</w:t>
            </w:r>
          </w:p>
          <w:p w:rsidR="00940BF3" w:rsidRPr="00871292" w:rsidRDefault="00C43BA6" w:rsidP="00C16837">
            <w:pPr>
              <w:keepNext/>
              <w:ind w:left="-108"/>
              <w:rPr>
                <w:rFonts w:ascii="Arial Narrow" w:hAnsi="Arial Narrow"/>
                <w:b/>
                <w:sz w:val="18"/>
                <w:szCs w:val="18"/>
              </w:rPr>
            </w:pPr>
            <w:r w:rsidRPr="009E337F">
              <w:rPr>
                <w:rFonts w:ascii="Arial Narrow" w:hAnsi="Arial Narrow"/>
                <w:b/>
                <w:bCs/>
                <w:sz w:val="18"/>
                <w:szCs w:val="18"/>
              </w:rPr>
              <w:t>medicinal product pack</w:t>
            </w:r>
          </w:p>
        </w:tc>
        <w:tc>
          <w:tcPr>
            <w:tcW w:w="480" w:type="pct"/>
            <w:tcBorders>
              <w:top w:val="single" w:sz="4" w:space="0" w:color="auto"/>
              <w:left w:val="single" w:sz="4" w:space="0" w:color="auto"/>
              <w:bottom w:val="single" w:sz="4" w:space="0" w:color="auto"/>
              <w:right w:val="single" w:sz="4" w:space="0" w:color="auto"/>
            </w:tcBorders>
          </w:tcPr>
          <w:p w:rsidR="00C16837" w:rsidRPr="00871292" w:rsidRDefault="00C16837" w:rsidP="00C16837">
            <w:pPr>
              <w:keepNext/>
              <w:ind w:left="-108"/>
              <w:jc w:val="center"/>
              <w:rPr>
                <w:rFonts w:ascii="Arial Narrow" w:hAnsi="Arial Narrow"/>
                <w:b/>
                <w:sz w:val="18"/>
                <w:szCs w:val="18"/>
              </w:rPr>
            </w:pPr>
            <w:r w:rsidRPr="00871292">
              <w:rPr>
                <w:rFonts w:ascii="Arial Narrow" w:hAnsi="Arial Narrow"/>
                <w:b/>
                <w:sz w:val="18"/>
                <w:szCs w:val="18"/>
              </w:rPr>
              <w:t>PBS item code</w:t>
            </w:r>
          </w:p>
        </w:tc>
        <w:tc>
          <w:tcPr>
            <w:tcW w:w="532" w:type="pct"/>
            <w:tcBorders>
              <w:top w:val="single" w:sz="4" w:space="0" w:color="auto"/>
              <w:left w:val="single" w:sz="4" w:space="0" w:color="auto"/>
              <w:bottom w:val="single" w:sz="4" w:space="0" w:color="auto"/>
              <w:right w:val="single" w:sz="4" w:space="0" w:color="auto"/>
            </w:tcBorders>
            <w:hideMark/>
          </w:tcPr>
          <w:p w:rsidR="00C16837" w:rsidRPr="00871292" w:rsidRDefault="00C16837" w:rsidP="00C16837">
            <w:pPr>
              <w:keepNext/>
              <w:ind w:left="-108"/>
              <w:jc w:val="center"/>
              <w:rPr>
                <w:rFonts w:ascii="Arial Narrow" w:hAnsi="Arial Narrow"/>
                <w:b/>
                <w:sz w:val="18"/>
                <w:szCs w:val="18"/>
              </w:rPr>
            </w:pPr>
            <w:r w:rsidRPr="00871292">
              <w:rPr>
                <w:rFonts w:ascii="Arial Narrow" w:hAnsi="Arial Narrow"/>
                <w:b/>
                <w:sz w:val="18"/>
                <w:szCs w:val="18"/>
              </w:rPr>
              <w:t>Max. qty packs</w:t>
            </w:r>
          </w:p>
        </w:tc>
        <w:tc>
          <w:tcPr>
            <w:tcW w:w="479" w:type="pct"/>
            <w:tcBorders>
              <w:top w:val="single" w:sz="4" w:space="0" w:color="auto"/>
              <w:left w:val="single" w:sz="4" w:space="0" w:color="auto"/>
              <w:bottom w:val="single" w:sz="4" w:space="0" w:color="auto"/>
              <w:right w:val="single" w:sz="4" w:space="0" w:color="auto"/>
            </w:tcBorders>
          </w:tcPr>
          <w:p w:rsidR="00C16837" w:rsidRPr="00871292" w:rsidRDefault="00C16837" w:rsidP="00C16837">
            <w:pPr>
              <w:keepNext/>
              <w:ind w:left="-108"/>
              <w:jc w:val="center"/>
              <w:rPr>
                <w:rFonts w:ascii="Arial Narrow" w:hAnsi="Arial Narrow"/>
                <w:b/>
                <w:sz w:val="18"/>
                <w:szCs w:val="18"/>
              </w:rPr>
            </w:pPr>
            <w:r w:rsidRPr="00871292">
              <w:rPr>
                <w:rFonts w:ascii="Arial Narrow" w:hAnsi="Arial Narrow"/>
                <w:b/>
                <w:sz w:val="18"/>
                <w:szCs w:val="18"/>
              </w:rPr>
              <w:t>Max. qty units</w:t>
            </w:r>
          </w:p>
        </w:tc>
        <w:tc>
          <w:tcPr>
            <w:tcW w:w="799" w:type="pct"/>
            <w:tcBorders>
              <w:top w:val="single" w:sz="4" w:space="0" w:color="auto"/>
              <w:left w:val="single" w:sz="4" w:space="0" w:color="auto"/>
              <w:bottom w:val="single" w:sz="4" w:space="0" w:color="auto"/>
              <w:right w:val="single" w:sz="4" w:space="0" w:color="auto"/>
            </w:tcBorders>
            <w:hideMark/>
          </w:tcPr>
          <w:p w:rsidR="00C16837" w:rsidRPr="00871292" w:rsidRDefault="00C16837" w:rsidP="00C16837">
            <w:pPr>
              <w:keepNext/>
              <w:ind w:left="-108"/>
              <w:jc w:val="center"/>
              <w:rPr>
                <w:rFonts w:ascii="Arial Narrow" w:hAnsi="Arial Narrow"/>
                <w:b/>
                <w:sz w:val="18"/>
                <w:szCs w:val="18"/>
              </w:rPr>
            </w:pPr>
            <w:r w:rsidRPr="00871292">
              <w:rPr>
                <w:rFonts w:ascii="Arial Narrow" w:hAnsi="Arial Narrow"/>
                <w:b/>
                <w:sz w:val="18"/>
                <w:szCs w:val="18"/>
              </w:rPr>
              <w:t>№.of Rpts</w:t>
            </w:r>
          </w:p>
        </w:tc>
        <w:tc>
          <w:tcPr>
            <w:tcW w:w="1009" w:type="pct"/>
            <w:tcBorders>
              <w:top w:val="single" w:sz="4" w:space="0" w:color="auto"/>
              <w:left w:val="single" w:sz="4" w:space="0" w:color="auto"/>
              <w:bottom w:val="single" w:sz="4" w:space="0" w:color="auto"/>
              <w:right w:val="single" w:sz="4" w:space="0" w:color="auto"/>
            </w:tcBorders>
            <w:hideMark/>
          </w:tcPr>
          <w:p w:rsidR="00C16837" w:rsidRPr="00871292" w:rsidRDefault="004A2D34" w:rsidP="00C16837">
            <w:pPr>
              <w:keepNext/>
              <w:rPr>
                <w:rFonts w:ascii="Arial Narrow" w:hAnsi="Arial Narrow"/>
                <w:b/>
                <w:sz w:val="18"/>
                <w:szCs w:val="18"/>
              </w:rPr>
            </w:pPr>
            <w:r w:rsidRPr="00871292">
              <w:rPr>
                <w:rFonts w:ascii="Arial Narrow" w:hAnsi="Arial Narrow"/>
                <w:b/>
                <w:sz w:val="18"/>
                <w:szCs w:val="18"/>
              </w:rPr>
              <w:t>Available brands</w:t>
            </w:r>
          </w:p>
        </w:tc>
      </w:tr>
      <w:tr w:rsidR="004A2D34" w:rsidRPr="00871292" w:rsidTr="004A2D34">
        <w:trPr>
          <w:trHeight w:val="577"/>
        </w:trPr>
        <w:tc>
          <w:tcPr>
            <w:tcW w:w="1701" w:type="pct"/>
            <w:tcBorders>
              <w:top w:val="single" w:sz="4" w:space="0" w:color="auto"/>
              <w:left w:val="single" w:sz="4" w:space="0" w:color="auto"/>
              <w:bottom w:val="single" w:sz="4" w:space="0" w:color="auto"/>
              <w:right w:val="single" w:sz="4" w:space="0" w:color="auto"/>
            </w:tcBorders>
            <w:hideMark/>
          </w:tcPr>
          <w:p w:rsidR="00853126" w:rsidRPr="00871292" w:rsidRDefault="00853126" w:rsidP="00853126">
            <w:pPr>
              <w:keepNext/>
              <w:ind w:left="-108"/>
              <w:rPr>
                <w:rFonts w:ascii="Arial Narrow" w:hAnsi="Arial Narrow"/>
                <w:sz w:val="18"/>
                <w:szCs w:val="18"/>
              </w:rPr>
            </w:pPr>
            <w:r w:rsidRPr="00871292">
              <w:rPr>
                <w:rFonts w:ascii="Arial Narrow" w:hAnsi="Arial Narrow"/>
                <w:sz w:val="18"/>
                <w:szCs w:val="18"/>
              </w:rPr>
              <w:t>UPADACITINIB</w:t>
            </w:r>
          </w:p>
          <w:p w:rsidR="004A2D34" w:rsidRPr="00871292" w:rsidRDefault="00853126" w:rsidP="00853126">
            <w:pPr>
              <w:keepNext/>
              <w:ind w:left="-108"/>
              <w:rPr>
                <w:rFonts w:ascii="Arial Narrow" w:hAnsi="Arial Narrow"/>
                <w:sz w:val="18"/>
                <w:szCs w:val="18"/>
              </w:rPr>
            </w:pPr>
            <w:r w:rsidRPr="00871292">
              <w:rPr>
                <w:rFonts w:ascii="Arial Narrow" w:hAnsi="Arial Narrow"/>
                <w:sz w:val="18"/>
                <w:szCs w:val="18"/>
              </w:rPr>
              <w:t>upadacitinib 15mg  modified release tablet, 28</w:t>
            </w:r>
          </w:p>
        </w:tc>
        <w:tc>
          <w:tcPr>
            <w:tcW w:w="480" w:type="pct"/>
            <w:tcBorders>
              <w:top w:val="single" w:sz="4" w:space="0" w:color="auto"/>
              <w:left w:val="single" w:sz="4" w:space="0" w:color="auto"/>
              <w:bottom w:val="single" w:sz="4" w:space="0" w:color="auto"/>
              <w:right w:val="single" w:sz="4" w:space="0" w:color="auto"/>
            </w:tcBorders>
          </w:tcPr>
          <w:p w:rsidR="004A2D34" w:rsidRPr="00871292" w:rsidRDefault="004A2D34" w:rsidP="00C16837">
            <w:pPr>
              <w:keepNext/>
              <w:ind w:left="-108"/>
              <w:jc w:val="center"/>
              <w:rPr>
                <w:rFonts w:ascii="Arial Narrow" w:hAnsi="Arial Narrow"/>
                <w:sz w:val="18"/>
                <w:szCs w:val="18"/>
              </w:rPr>
            </w:pPr>
          </w:p>
          <w:p w:rsidR="004A2D34" w:rsidRPr="00871292" w:rsidRDefault="0049063F" w:rsidP="00C16837">
            <w:pPr>
              <w:keepNext/>
              <w:ind w:left="-108"/>
              <w:jc w:val="center"/>
              <w:rPr>
                <w:rFonts w:ascii="Arial Narrow" w:hAnsi="Arial Narrow"/>
                <w:sz w:val="18"/>
                <w:szCs w:val="18"/>
              </w:rPr>
            </w:pPr>
            <w:r w:rsidRPr="00871292">
              <w:rPr>
                <w:rFonts w:ascii="Arial Narrow" w:hAnsi="Arial Narrow"/>
                <w:sz w:val="18"/>
                <w:szCs w:val="18"/>
              </w:rPr>
              <w:t>NEW</w:t>
            </w:r>
          </w:p>
        </w:tc>
        <w:tc>
          <w:tcPr>
            <w:tcW w:w="532" w:type="pct"/>
            <w:tcBorders>
              <w:top w:val="single" w:sz="4" w:space="0" w:color="auto"/>
              <w:left w:val="single" w:sz="4" w:space="0" w:color="auto"/>
              <w:bottom w:val="single" w:sz="4" w:space="0" w:color="auto"/>
              <w:right w:val="single" w:sz="4" w:space="0" w:color="auto"/>
            </w:tcBorders>
          </w:tcPr>
          <w:p w:rsidR="004A2D34" w:rsidRPr="00871292" w:rsidRDefault="004A2D34" w:rsidP="00C16837">
            <w:pPr>
              <w:keepNext/>
              <w:ind w:left="-108"/>
              <w:rPr>
                <w:rFonts w:ascii="Arial Narrow" w:hAnsi="Arial Narrow"/>
                <w:sz w:val="18"/>
                <w:szCs w:val="18"/>
              </w:rPr>
            </w:pPr>
          </w:p>
          <w:p w:rsidR="004A2D34" w:rsidRPr="00871292" w:rsidRDefault="004A2D34" w:rsidP="00C16837">
            <w:pPr>
              <w:keepNext/>
              <w:ind w:left="-108" w:right="-108"/>
              <w:jc w:val="center"/>
              <w:rPr>
                <w:rFonts w:ascii="Arial Narrow" w:hAnsi="Arial Narrow"/>
                <w:sz w:val="18"/>
                <w:szCs w:val="18"/>
              </w:rPr>
            </w:pPr>
            <w:r w:rsidRPr="00871292">
              <w:rPr>
                <w:rFonts w:ascii="Arial Narrow" w:hAnsi="Arial Narrow"/>
                <w:sz w:val="18"/>
                <w:szCs w:val="18"/>
              </w:rPr>
              <w:t>1</w:t>
            </w:r>
          </w:p>
        </w:tc>
        <w:tc>
          <w:tcPr>
            <w:tcW w:w="479" w:type="pct"/>
            <w:tcBorders>
              <w:top w:val="single" w:sz="4" w:space="0" w:color="auto"/>
              <w:left w:val="single" w:sz="4" w:space="0" w:color="auto"/>
              <w:bottom w:val="single" w:sz="4" w:space="0" w:color="auto"/>
              <w:right w:val="single" w:sz="4" w:space="0" w:color="auto"/>
            </w:tcBorders>
          </w:tcPr>
          <w:p w:rsidR="004A2D34" w:rsidRPr="00871292" w:rsidRDefault="004A2D34" w:rsidP="00C16837">
            <w:pPr>
              <w:keepNext/>
              <w:ind w:left="-108"/>
              <w:rPr>
                <w:rFonts w:ascii="Arial Narrow" w:hAnsi="Arial Narrow"/>
                <w:sz w:val="18"/>
                <w:szCs w:val="18"/>
              </w:rPr>
            </w:pPr>
          </w:p>
          <w:p w:rsidR="004A2D34" w:rsidRPr="00871292" w:rsidRDefault="004A2D34" w:rsidP="00C16837">
            <w:pPr>
              <w:keepNext/>
              <w:ind w:left="-108"/>
              <w:jc w:val="center"/>
              <w:rPr>
                <w:rFonts w:ascii="Arial Narrow" w:hAnsi="Arial Narrow"/>
                <w:sz w:val="18"/>
                <w:szCs w:val="18"/>
              </w:rPr>
            </w:pPr>
            <w:r w:rsidRPr="00871292">
              <w:rPr>
                <w:rFonts w:ascii="Arial Narrow" w:hAnsi="Arial Narrow"/>
                <w:sz w:val="18"/>
                <w:szCs w:val="18"/>
              </w:rPr>
              <w:t>28</w:t>
            </w:r>
          </w:p>
        </w:tc>
        <w:tc>
          <w:tcPr>
            <w:tcW w:w="799" w:type="pct"/>
            <w:tcBorders>
              <w:top w:val="single" w:sz="4" w:space="0" w:color="auto"/>
              <w:left w:val="single" w:sz="4" w:space="0" w:color="auto"/>
              <w:bottom w:val="single" w:sz="4" w:space="0" w:color="auto"/>
              <w:right w:val="single" w:sz="4" w:space="0" w:color="auto"/>
            </w:tcBorders>
          </w:tcPr>
          <w:p w:rsidR="004A2D34" w:rsidRPr="00871292" w:rsidRDefault="004A2D34" w:rsidP="00C16837">
            <w:pPr>
              <w:keepNext/>
              <w:ind w:left="-108"/>
              <w:jc w:val="center"/>
              <w:rPr>
                <w:rFonts w:ascii="Arial Narrow" w:hAnsi="Arial Narrow"/>
                <w:sz w:val="18"/>
                <w:szCs w:val="18"/>
              </w:rPr>
            </w:pPr>
          </w:p>
          <w:p w:rsidR="004A2D34" w:rsidRPr="00871292" w:rsidRDefault="004A2D34" w:rsidP="00C16837">
            <w:pPr>
              <w:keepNext/>
              <w:ind w:left="-108"/>
              <w:jc w:val="center"/>
              <w:rPr>
                <w:rFonts w:ascii="Arial Narrow" w:hAnsi="Arial Narrow"/>
                <w:sz w:val="18"/>
                <w:szCs w:val="18"/>
              </w:rPr>
            </w:pPr>
            <w:r w:rsidRPr="00871292">
              <w:rPr>
                <w:rFonts w:ascii="Arial Narrow" w:hAnsi="Arial Narrow"/>
                <w:sz w:val="18"/>
                <w:szCs w:val="18"/>
              </w:rPr>
              <w:t>5</w:t>
            </w:r>
          </w:p>
        </w:tc>
        <w:tc>
          <w:tcPr>
            <w:tcW w:w="1009" w:type="pct"/>
            <w:tcBorders>
              <w:top w:val="single" w:sz="4" w:space="0" w:color="auto"/>
              <w:left w:val="single" w:sz="4" w:space="0" w:color="auto"/>
              <w:bottom w:val="single" w:sz="4" w:space="0" w:color="auto"/>
              <w:right w:val="single" w:sz="4" w:space="0" w:color="auto"/>
            </w:tcBorders>
          </w:tcPr>
          <w:p w:rsidR="004A2D34" w:rsidRPr="00871292" w:rsidRDefault="004A2D34" w:rsidP="00C16837">
            <w:pPr>
              <w:keepNext/>
              <w:rPr>
                <w:rFonts w:ascii="Arial Narrow" w:hAnsi="Arial Narrow"/>
                <w:sz w:val="18"/>
                <w:szCs w:val="18"/>
              </w:rPr>
            </w:pPr>
          </w:p>
          <w:p w:rsidR="004A2D34" w:rsidRPr="00871292" w:rsidRDefault="004A2D34" w:rsidP="00C16837">
            <w:pPr>
              <w:keepNext/>
              <w:rPr>
                <w:rFonts w:ascii="Arial Narrow" w:hAnsi="Arial Narrow"/>
                <w:sz w:val="18"/>
                <w:szCs w:val="18"/>
                <w:vertAlign w:val="superscript"/>
              </w:rPr>
            </w:pPr>
            <w:r w:rsidRPr="00871292">
              <w:rPr>
                <w:rFonts w:ascii="Arial Narrow" w:hAnsi="Arial Narrow"/>
                <w:sz w:val="18"/>
                <w:szCs w:val="18"/>
              </w:rPr>
              <w:t>Rinvoq</w:t>
            </w:r>
            <w:r w:rsidR="0049063F" w:rsidRPr="00871292">
              <w:rPr>
                <w:rFonts w:ascii="Arial Narrow" w:hAnsi="Arial Narrow"/>
                <w:sz w:val="18"/>
                <w:szCs w:val="18"/>
                <w:vertAlign w:val="superscript"/>
              </w:rPr>
              <w:t>®</w:t>
            </w:r>
          </w:p>
          <w:p w:rsidR="004A2D34" w:rsidRPr="00871292" w:rsidRDefault="004A2D34" w:rsidP="00C16837">
            <w:pPr>
              <w:keepNext/>
              <w:jc w:val="center"/>
              <w:rPr>
                <w:rFonts w:ascii="Arial Narrow" w:hAnsi="Arial Narrow" w:cs="Times New Roman"/>
                <w:sz w:val="18"/>
                <w:szCs w:val="18"/>
              </w:rPr>
            </w:pPr>
          </w:p>
        </w:tc>
      </w:tr>
    </w:tbl>
    <w:p w:rsidR="00DC7A77" w:rsidRPr="00871292" w:rsidRDefault="00DC7A77" w:rsidP="00DC7A77">
      <w:pPr>
        <w:rPr>
          <w:rFonts w:asciiTheme="minorHAnsi" w:eastAsiaTheme="minorHAnsi" w:hAnsiTheme="minorHAnsi" w:cstheme="minorHAnsi"/>
          <w:snapToGrid w:val="0"/>
          <w:color w:val="000000"/>
          <w:lang w:eastAsia="en-US"/>
        </w:rPr>
      </w:pPr>
    </w:p>
    <w:tbl>
      <w:tblPr>
        <w:tblStyle w:val="TableGrid"/>
        <w:tblW w:w="5000" w:type="pct"/>
        <w:tblLook w:val="04A0" w:firstRow="1" w:lastRow="0" w:firstColumn="1" w:lastColumn="0" w:noHBand="0" w:noVBand="1"/>
        <w:tblCaption w:val="Restriction Summary"/>
      </w:tblPr>
      <w:tblGrid>
        <w:gridCol w:w="4784"/>
        <w:gridCol w:w="4233"/>
      </w:tblGrid>
      <w:tr w:rsidR="0049063F" w:rsidRPr="00871292" w:rsidTr="001D64E8">
        <w:trPr>
          <w:tblHeader/>
        </w:trPr>
        <w:tc>
          <w:tcPr>
            <w:tcW w:w="2653"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b/>
                <w:sz w:val="18"/>
                <w:szCs w:val="18"/>
              </w:rPr>
              <w:t xml:space="preserve">Restriction Summary </w:t>
            </w:r>
          </w:p>
        </w:tc>
        <w:tc>
          <w:tcPr>
            <w:tcW w:w="2347"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b/>
                <w:sz w:val="18"/>
                <w:szCs w:val="18"/>
              </w:rPr>
              <w:t>Treatment phase</w:t>
            </w:r>
          </w:p>
        </w:tc>
      </w:tr>
      <w:tr w:rsidR="0049063F" w:rsidRPr="00871292" w:rsidTr="00CE3A4E">
        <w:tc>
          <w:tcPr>
            <w:tcW w:w="2653"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Restriction Summary 9508 / ToC: 9430: Authority Required</w:t>
            </w:r>
          </w:p>
        </w:tc>
        <w:tc>
          <w:tcPr>
            <w:tcW w:w="2347" w:type="pct"/>
            <w:tcBorders>
              <w:top w:val="single" w:sz="4" w:space="0" w:color="auto"/>
              <w:left w:val="single" w:sz="4" w:space="0" w:color="auto"/>
              <w:bottom w:val="single" w:sz="4" w:space="0" w:color="auto"/>
              <w:right w:val="single" w:sz="4" w:space="0" w:color="auto"/>
            </w:tcBorders>
            <w:hideMark/>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Continuing treatment</w:t>
            </w:r>
          </w:p>
        </w:tc>
      </w:tr>
      <w:tr w:rsidR="0049063F" w:rsidRPr="00871292" w:rsidTr="00CE3A4E">
        <w:tc>
          <w:tcPr>
            <w:tcW w:w="2653" w:type="pct"/>
            <w:tcBorders>
              <w:top w:val="single" w:sz="4" w:space="0" w:color="auto"/>
              <w:left w:val="single" w:sz="4" w:space="0" w:color="auto"/>
              <w:bottom w:val="single" w:sz="4" w:space="0" w:color="auto"/>
              <w:right w:val="single" w:sz="4" w:space="0" w:color="auto"/>
            </w:tcBorders>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Restriction Summary 9415 / ToC: 9431: Authority Required</w:t>
            </w:r>
          </w:p>
        </w:tc>
        <w:tc>
          <w:tcPr>
            <w:tcW w:w="2347" w:type="pct"/>
            <w:tcBorders>
              <w:top w:val="single" w:sz="4" w:space="0" w:color="auto"/>
              <w:left w:val="single" w:sz="4" w:space="0" w:color="auto"/>
              <w:bottom w:val="single" w:sz="4" w:space="0" w:color="auto"/>
              <w:right w:val="single" w:sz="4" w:space="0" w:color="auto"/>
            </w:tcBorders>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Continuing treatment – balance of supply</w:t>
            </w:r>
          </w:p>
        </w:tc>
      </w:tr>
      <w:tr w:rsidR="0049063F" w:rsidRPr="00871292" w:rsidTr="00CE3A4E">
        <w:tc>
          <w:tcPr>
            <w:tcW w:w="2653" w:type="pct"/>
            <w:tcBorders>
              <w:top w:val="single" w:sz="4" w:space="0" w:color="auto"/>
              <w:left w:val="single" w:sz="4" w:space="0" w:color="auto"/>
              <w:bottom w:val="single" w:sz="4" w:space="0" w:color="auto"/>
              <w:right w:val="single" w:sz="4" w:space="0" w:color="auto"/>
            </w:tcBorders>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Restriction Summary NEW / ToC: NEW: Authority Required</w:t>
            </w:r>
          </w:p>
        </w:tc>
        <w:tc>
          <w:tcPr>
            <w:tcW w:w="2347" w:type="pct"/>
            <w:tcBorders>
              <w:top w:val="single" w:sz="4" w:space="0" w:color="auto"/>
              <w:left w:val="single" w:sz="4" w:space="0" w:color="auto"/>
              <w:bottom w:val="single" w:sz="4" w:space="0" w:color="auto"/>
              <w:right w:val="single" w:sz="4" w:space="0" w:color="auto"/>
            </w:tcBorders>
          </w:tcPr>
          <w:p w:rsidR="0049063F" w:rsidRPr="00871292" w:rsidRDefault="0049063F" w:rsidP="00871292">
            <w:pPr>
              <w:keepNext/>
              <w:ind w:left="-108"/>
              <w:rPr>
                <w:rFonts w:ascii="Arial Narrow" w:hAnsi="Arial Narrow"/>
                <w:sz w:val="18"/>
                <w:szCs w:val="18"/>
              </w:rPr>
            </w:pPr>
            <w:r w:rsidRPr="00871292">
              <w:rPr>
                <w:rFonts w:ascii="Arial Narrow" w:hAnsi="Arial Narrow"/>
                <w:sz w:val="18"/>
                <w:szCs w:val="18"/>
              </w:rPr>
              <w:t>Grandfather treatment</w:t>
            </w:r>
          </w:p>
        </w:tc>
      </w:tr>
    </w:tbl>
    <w:p w:rsidR="006C1A13" w:rsidRPr="00871292" w:rsidRDefault="006C1A13" w:rsidP="00DC7A77">
      <w:pPr>
        <w:rPr>
          <w:rFonts w:ascii="Arial Narrow" w:hAnsi="Arial Narrow"/>
          <w:sz w:val="18"/>
          <w:szCs w:val="18"/>
        </w:rPr>
      </w:pPr>
    </w:p>
    <w:p w:rsidR="0049063F" w:rsidRPr="00871292" w:rsidRDefault="0049063F" w:rsidP="00DC7A77">
      <w:pPr>
        <w:rPr>
          <w:rFonts w:ascii="Arial Narrow" w:hAnsi="Arial Narrow"/>
          <w:sz w:val="18"/>
          <w:szCs w:val="18"/>
        </w:rPr>
      </w:pPr>
    </w:p>
    <w:tbl>
      <w:tblPr>
        <w:tblW w:w="5000" w:type="pct"/>
        <w:tblInd w:w="-5" w:type="dxa"/>
        <w:tblLayout w:type="fixed"/>
        <w:tblLook w:val="04A0" w:firstRow="1" w:lastRow="0" w:firstColumn="1" w:lastColumn="0" w:noHBand="0" w:noVBand="1"/>
      </w:tblPr>
      <w:tblGrid>
        <w:gridCol w:w="9017"/>
      </w:tblGrid>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485256">
            <w:pPr>
              <w:rPr>
                <w:rFonts w:ascii="Arial Narrow" w:hAnsi="Arial Narrow"/>
                <w:sz w:val="18"/>
                <w:szCs w:val="18"/>
              </w:rPr>
            </w:pPr>
            <w:r w:rsidRPr="00871292">
              <w:rPr>
                <w:rFonts w:ascii="Arial Narrow" w:hAnsi="Arial Narrow"/>
                <w:b/>
                <w:sz w:val="18"/>
                <w:szCs w:val="18"/>
              </w:rPr>
              <w:t xml:space="preserve">Category / Program:   </w:t>
            </w:r>
            <w:r w:rsidRPr="00871292">
              <w:rPr>
                <w:rFonts w:ascii="Arial Narrow" w:hAnsi="Arial Narrow"/>
                <w:sz w:val="18"/>
                <w:szCs w:val="18"/>
              </w:rPr>
              <w:t xml:space="preserve">GENERAL – General Schedule (Code GE)     </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4A2D34">
            <w:pPr>
              <w:rPr>
                <w:rFonts w:ascii="Arial Narrow" w:hAnsi="Arial Narrow"/>
                <w:sz w:val="18"/>
                <w:szCs w:val="18"/>
              </w:rPr>
            </w:pPr>
            <w:r w:rsidRPr="00871292">
              <w:rPr>
                <w:rFonts w:ascii="Arial Narrow" w:hAnsi="Arial Narrow"/>
                <w:b/>
                <w:sz w:val="18"/>
                <w:szCs w:val="18"/>
              </w:rPr>
              <w:t xml:space="preserve">Prescriber type:  </w:t>
            </w:r>
            <w:r w:rsidRPr="00871292">
              <w:rPr>
                <w:rFonts w:ascii="Arial Narrow" w:hAnsi="Arial Narrow"/>
                <w:sz w:val="18"/>
                <w:szCs w:val="18"/>
              </w:rPr>
              <w:fldChar w:fldCharType="begin">
                <w:ffData>
                  <w:name w:val=""/>
                  <w:enabled/>
                  <w:calcOnExit w:val="0"/>
                  <w:checkBox>
                    <w:sizeAuto/>
                    <w:default w:val="1"/>
                  </w:checkBox>
                </w:ffData>
              </w:fldChar>
            </w:r>
            <w:r w:rsidRPr="00871292">
              <w:rPr>
                <w:rFonts w:ascii="Arial Narrow" w:hAnsi="Arial Narrow"/>
                <w:sz w:val="18"/>
                <w:szCs w:val="18"/>
              </w:rPr>
              <w:instrText xml:space="preserve"> FORMCHECKBOX </w:instrText>
            </w:r>
            <w:r w:rsidR="005B1E64">
              <w:rPr>
                <w:rFonts w:ascii="Arial Narrow" w:hAnsi="Arial Narrow"/>
                <w:sz w:val="18"/>
                <w:szCs w:val="18"/>
              </w:rPr>
            </w:r>
            <w:r w:rsidR="005B1E64">
              <w:rPr>
                <w:rFonts w:ascii="Arial Narrow" w:hAnsi="Arial Narrow"/>
                <w:sz w:val="18"/>
                <w:szCs w:val="18"/>
              </w:rPr>
              <w:fldChar w:fldCharType="separate"/>
            </w:r>
            <w:r w:rsidRPr="00871292">
              <w:rPr>
                <w:rFonts w:ascii="Arial Narrow" w:hAnsi="Arial Narrow"/>
                <w:sz w:val="18"/>
                <w:szCs w:val="18"/>
              </w:rPr>
              <w:fldChar w:fldCharType="end"/>
            </w:r>
            <w:r w:rsidRPr="00871292">
              <w:rPr>
                <w:rFonts w:ascii="Arial Narrow" w:hAnsi="Arial Narrow"/>
                <w:sz w:val="18"/>
                <w:szCs w:val="18"/>
              </w:rPr>
              <w:t xml:space="preserve">Medical Practitioners  </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485256">
            <w:pPr>
              <w:rPr>
                <w:rFonts w:ascii="Arial Narrow" w:hAnsi="Arial Narrow"/>
                <w:sz w:val="18"/>
                <w:szCs w:val="18"/>
              </w:rPr>
            </w:pPr>
            <w:r w:rsidRPr="00871292">
              <w:rPr>
                <w:rFonts w:ascii="Arial Narrow" w:hAnsi="Arial Narrow"/>
                <w:b/>
                <w:sz w:val="18"/>
                <w:szCs w:val="18"/>
              </w:rPr>
              <w:t xml:space="preserve">Restriction type / Method: </w:t>
            </w:r>
            <w:r w:rsidRPr="00871292">
              <w:rPr>
                <w:rFonts w:ascii="Arial Narrow" w:hAnsi="Arial Narrow"/>
                <w:sz w:val="18"/>
                <w:szCs w:val="18"/>
              </w:rPr>
              <w:fldChar w:fldCharType="begin">
                <w:ffData>
                  <w:name w:val=""/>
                  <w:enabled/>
                  <w:calcOnExit w:val="0"/>
                  <w:checkBox>
                    <w:sizeAuto/>
                    <w:default w:val="1"/>
                  </w:checkBox>
                </w:ffData>
              </w:fldChar>
            </w:r>
            <w:r w:rsidRPr="00871292">
              <w:rPr>
                <w:rFonts w:ascii="Arial Narrow" w:hAnsi="Arial Narrow"/>
                <w:sz w:val="18"/>
                <w:szCs w:val="18"/>
              </w:rPr>
              <w:instrText xml:space="preserve"> FORMCHECKBOX </w:instrText>
            </w:r>
            <w:r w:rsidR="005B1E64">
              <w:rPr>
                <w:rFonts w:ascii="Arial Narrow" w:hAnsi="Arial Narrow"/>
                <w:sz w:val="18"/>
                <w:szCs w:val="18"/>
              </w:rPr>
            </w:r>
            <w:r w:rsidR="005B1E64">
              <w:rPr>
                <w:rFonts w:ascii="Arial Narrow" w:hAnsi="Arial Narrow"/>
                <w:sz w:val="18"/>
                <w:szCs w:val="18"/>
              </w:rPr>
              <w:fldChar w:fldCharType="separate"/>
            </w:r>
            <w:r w:rsidRPr="00871292">
              <w:rPr>
                <w:rFonts w:ascii="Arial Narrow" w:hAnsi="Arial Narrow"/>
                <w:sz w:val="18"/>
                <w:szCs w:val="18"/>
              </w:rPr>
              <w:fldChar w:fldCharType="end"/>
            </w:r>
            <w:r w:rsidRPr="00871292">
              <w:rPr>
                <w:rFonts w:ascii="Arial Narrow" w:hAnsi="Arial Narrow"/>
                <w:sz w:val="18"/>
                <w:szCs w:val="18"/>
              </w:rPr>
              <w:t>Authority Required - In Writing</w:t>
            </w:r>
          </w:p>
          <w:p w:rsidR="001749C0" w:rsidRPr="00871292" w:rsidRDefault="001749C0" w:rsidP="00485256">
            <w:pPr>
              <w:rPr>
                <w:rFonts w:ascii="Arial Narrow" w:hAnsi="Arial Narrow"/>
                <w:sz w:val="18"/>
                <w:szCs w:val="18"/>
              </w:rPr>
            </w:pP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shd w:val="clear" w:color="auto" w:fill="auto"/>
          </w:tcPr>
          <w:p w:rsidR="001749C0" w:rsidRPr="00871292" w:rsidRDefault="001749C0" w:rsidP="00615BB3">
            <w:pPr>
              <w:rPr>
                <w:rFonts w:ascii="Arial Narrow" w:hAnsi="Arial Narrow"/>
                <w:b/>
                <w:sz w:val="18"/>
                <w:szCs w:val="18"/>
              </w:rPr>
            </w:pPr>
            <w:r w:rsidRPr="00871292">
              <w:rPr>
                <w:rFonts w:ascii="Arial Narrow" w:hAnsi="Arial Narrow" w:cs="Open Sans"/>
                <w:b/>
                <w:bCs/>
                <w:sz w:val="18"/>
                <w:szCs w:val="18"/>
                <w:bdr w:val="none" w:sz="0" w:space="0" w:color="auto" w:frame="1"/>
              </w:rPr>
              <w:t xml:space="preserve">Administrative Advice: TREATMENT OF ADULT PATIENTS WITH ANKYLOSING SPONDYLITIS </w:t>
            </w:r>
          </w:p>
        </w:tc>
        <w:bookmarkStart w:id="27" w:name="_GoBack"/>
        <w:bookmarkEnd w:id="27"/>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 xml:space="preserve">Administrative Advice: </w:t>
            </w:r>
            <w:r w:rsidRPr="00871292">
              <w:rPr>
                <w:rFonts w:ascii="Arial Narrow" w:hAnsi="Arial Narrow"/>
                <w:sz w:val="18"/>
                <w:szCs w:val="18"/>
              </w:rPr>
              <w:t>Special Pricing Arrangements apply.</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Indication:</w:t>
            </w:r>
            <w:r w:rsidRPr="00871292">
              <w:rPr>
                <w:rFonts w:ascii="Arial Narrow" w:hAnsi="Arial Narrow"/>
                <w:sz w:val="18"/>
                <w:szCs w:val="18"/>
              </w:rPr>
              <w:t xml:space="preserve"> Ankylosing spondylitis</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Treatment phase:</w:t>
            </w:r>
            <w:r w:rsidRPr="00871292">
              <w:rPr>
                <w:rFonts w:ascii="Arial Narrow" w:hAnsi="Arial Narrow"/>
                <w:sz w:val="18"/>
                <w:szCs w:val="18"/>
              </w:rPr>
              <w:t xml:space="preserve"> </w:t>
            </w:r>
            <w:r w:rsidRPr="005318A4">
              <w:rPr>
                <w:rFonts w:ascii="Arial Narrow" w:hAnsi="Arial Narrow"/>
                <w:sz w:val="18"/>
                <w:szCs w:val="18"/>
              </w:rPr>
              <w:t>Transitioning from non-PBS to PBS-subsidised supply - 'Grandfather' arrangements</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Clinical criteria:</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tcPr>
          <w:p w:rsidR="001749C0" w:rsidRPr="00871292" w:rsidRDefault="001749C0" w:rsidP="00615BB3">
            <w:pPr>
              <w:rPr>
                <w:rFonts w:ascii="Arial Narrow" w:hAnsi="Arial Narrow"/>
                <w:sz w:val="18"/>
                <w:szCs w:val="18"/>
              </w:rPr>
            </w:pPr>
            <w:r w:rsidRPr="00871292">
              <w:rPr>
                <w:rFonts w:ascii="Arial Narrow" w:hAnsi="Arial Narrow"/>
                <w:sz w:val="18"/>
                <w:szCs w:val="18"/>
              </w:rPr>
              <w:t xml:space="preserve">Patient must have received treatment with this drug for this indication prior to [listing date], </w:t>
            </w:r>
          </w:p>
          <w:p w:rsidR="001749C0" w:rsidRPr="00871292" w:rsidRDefault="001749C0" w:rsidP="00615BB3">
            <w:pPr>
              <w:rPr>
                <w:rFonts w:ascii="Arial Narrow" w:hAnsi="Arial Narrow" w:cs="Times New Roman"/>
                <w:b/>
                <w:sz w:val="18"/>
                <w:szCs w:val="18"/>
              </w:rPr>
            </w:pP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AND</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Clinical criteria:</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sz w:val="18"/>
                <w:szCs w:val="18"/>
              </w:rPr>
              <w:t>The condition must be radiographically (plain X-ray) confirmed Grade II bilateral sacroiliitis or Grade III unilateral sacroiliitis,</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AND</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Clinical criteria:</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tcPr>
          <w:p w:rsidR="001749C0" w:rsidRPr="00871292" w:rsidRDefault="001749C0" w:rsidP="00615BB3">
            <w:pPr>
              <w:rPr>
                <w:rFonts w:ascii="Arial Narrow" w:hAnsi="Arial Narrow"/>
                <w:sz w:val="18"/>
                <w:szCs w:val="18"/>
              </w:rPr>
            </w:pPr>
            <w:r w:rsidRPr="00871292">
              <w:rPr>
                <w:rFonts w:ascii="Arial Narrow" w:hAnsi="Arial Narrow"/>
                <w:sz w:val="18"/>
                <w:szCs w:val="18"/>
              </w:rPr>
              <w:t>Patient must have had at least 2 of the following prior to initiating treatment with this drug for this condition: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AND</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Clinical criteria:</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tcPr>
          <w:p w:rsidR="001749C0" w:rsidRPr="00871292" w:rsidRDefault="001749C0" w:rsidP="00615BB3">
            <w:pPr>
              <w:rPr>
                <w:rFonts w:ascii="Arial Narrow" w:hAnsi="Arial Narrow"/>
                <w:sz w:val="18"/>
                <w:szCs w:val="18"/>
              </w:rPr>
            </w:pPr>
            <w:r w:rsidRPr="00871292">
              <w:rPr>
                <w:rFonts w:ascii="Arial Narrow" w:hAnsi="Arial Narrow"/>
                <w:sz w:val="18"/>
                <w:szCs w:val="18"/>
              </w:rPr>
              <w:lastRenderedPageBreak/>
              <w:t>Patient must have had failed to achieve an adequate response following treatment with at least 2 non-steroidal anti-inflammatory drugs (NSAIDs), whilst completing an appropriate exercise program, for a total period of 3 months, prior to initiating non-PBS subsidised treatment with this drug for this condition,</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AND</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sz w:val="18"/>
                <w:szCs w:val="18"/>
              </w:rPr>
            </w:pPr>
            <w:r w:rsidRPr="00871292">
              <w:rPr>
                <w:rFonts w:ascii="Arial Narrow" w:hAnsi="Arial Narrow"/>
                <w:b/>
                <w:sz w:val="18"/>
                <w:szCs w:val="18"/>
              </w:rPr>
              <w:t>Clinical criteria:</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sz w:val="18"/>
                <w:szCs w:val="18"/>
              </w:rPr>
            </w:pPr>
            <w:r w:rsidRPr="00871292">
              <w:rPr>
                <w:rFonts w:ascii="Arial Narrow" w:hAnsi="Arial Narrow"/>
                <w:sz w:val="18"/>
                <w:szCs w:val="18"/>
              </w:rPr>
              <w:t>Patient must not receive more than 24 weeks of treatment under this restriction.</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AND</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sz w:val="18"/>
                <w:szCs w:val="18"/>
              </w:rPr>
            </w:pPr>
            <w:r w:rsidRPr="00871292">
              <w:rPr>
                <w:rFonts w:ascii="Arial Narrow" w:hAnsi="Arial Narrow"/>
                <w:b/>
                <w:sz w:val="18"/>
                <w:szCs w:val="18"/>
              </w:rPr>
              <w:t>Population criteria:</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sz w:val="18"/>
                <w:szCs w:val="18"/>
              </w:rPr>
            </w:pPr>
            <w:r w:rsidRPr="00871292">
              <w:rPr>
                <w:rFonts w:ascii="Arial Narrow" w:hAnsi="Arial Narrow"/>
                <w:sz w:val="18"/>
                <w:szCs w:val="18"/>
              </w:rPr>
              <w:t>Patient must be aged 18 years or older.</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sz w:val="18"/>
                <w:szCs w:val="18"/>
              </w:rPr>
            </w:pPr>
            <w:r w:rsidRPr="00871292">
              <w:rPr>
                <w:rFonts w:ascii="Arial Narrow" w:hAnsi="Arial Narrow"/>
                <w:b/>
                <w:sz w:val="18"/>
                <w:szCs w:val="18"/>
              </w:rPr>
              <w:t>Treatment criteria:</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sz w:val="18"/>
                <w:szCs w:val="18"/>
              </w:rPr>
              <w:t>Must be treated by a rheumatologist; OR</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sz w:val="18"/>
                <w:szCs w:val="18"/>
              </w:rPr>
            </w:pPr>
            <w:r w:rsidRPr="00871292">
              <w:rPr>
                <w:rFonts w:ascii="Arial Narrow" w:hAnsi="Arial Narrow"/>
                <w:sz w:val="18"/>
                <w:szCs w:val="18"/>
              </w:rPr>
              <w:t xml:space="preserve">Must be treated by a clinical immunologist with expertise in the management of ankylosing spondylitis. </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Prescriber Instructions:</w:t>
            </w:r>
          </w:p>
          <w:p w:rsidR="001749C0" w:rsidRPr="00871292" w:rsidRDefault="001749C0" w:rsidP="00615BB3">
            <w:pPr>
              <w:rPr>
                <w:rFonts w:ascii="Arial Narrow" w:hAnsi="Arial Narrow"/>
                <w:sz w:val="18"/>
                <w:szCs w:val="18"/>
              </w:rPr>
            </w:pPr>
            <w:r w:rsidRPr="00871292">
              <w:rPr>
                <w:rFonts w:ascii="Arial Narrow" w:hAnsi="Arial Narrow"/>
                <w:sz w:val="18"/>
                <w:szCs w:val="18"/>
              </w:rPr>
              <w:t>The application must include details of the NSAIDs trialled, their doses and duration of treatment.</w:t>
            </w:r>
          </w:p>
          <w:p w:rsidR="001749C0" w:rsidRPr="00871292" w:rsidRDefault="001749C0" w:rsidP="00615BB3">
            <w:pPr>
              <w:rPr>
                <w:rFonts w:ascii="Arial Narrow" w:hAnsi="Arial Narrow"/>
                <w:sz w:val="18"/>
                <w:szCs w:val="18"/>
              </w:rPr>
            </w:pPr>
            <w:r w:rsidRPr="00871292">
              <w:rPr>
                <w:rFonts w:ascii="Arial Narrow" w:hAnsi="Arial Narrow"/>
                <w:sz w:val="18"/>
                <w:szCs w:val="18"/>
              </w:rPr>
              <w:t>If the NSAID dose is less than the maximum recommended dose in the relevant TGA-approved Product Information, the application must include the reason a higher dose cannot be used.</w:t>
            </w:r>
          </w:p>
          <w:p w:rsidR="001749C0" w:rsidRPr="00871292" w:rsidRDefault="001749C0" w:rsidP="00615BB3">
            <w:pPr>
              <w:rPr>
                <w:rFonts w:ascii="Arial Narrow" w:hAnsi="Arial Narrow"/>
                <w:sz w:val="18"/>
                <w:szCs w:val="18"/>
              </w:rPr>
            </w:pPr>
            <w:r w:rsidRPr="00871292">
              <w:rPr>
                <w:rFonts w:ascii="Arial Narrow" w:hAnsi="Arial Narrow"/>
                <w:sz w:val="18"/>
                <w:szCs w:val="18"/>
              </w:rPr>
              <w:t>If treatment with NSAIDs is contraindicated according to the relevant TGA-approved Product Information, the application must provide details of the contraindication.</w:t>
            </w:r>
          </w:p>
          <w:p w:rsidR="001749C0" w:rsidRPr="00871292" w:rsidRDefault="001749C0" w:rsidP="00615BB3">
            <w:pPr>
              <w:rPr>
                <w:rFonts w:ascii="Arial Narrow" w:hAnsi="Arial Narrow"/>
                <w:sz w:val="18"/>
                <w:szCs w:val="18"/>
              </w:rPr>
            </w:pPr>
            <w:r w:rsidRPr="00871292">
              <w:rPr>
                <w:rFonts w:ascii="Arial Narrow" w:hAnsi="Arial Narrow"/>
                <w:sz w:val="18"/>
                <w:szCs w:val="18"/>
              </w:rPr>
              <w:t>If intolerance to NSAID treatment develops during the relevant period of use which is of a severity to necessitate permanent treatment withdrawal, the application must provide details of the nature and severity of this intolerance.</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tcPr>
          <w:p w:rsidR="001749C0" w:rsidRPr="00871292" w:rsidRDefault="001749C0" w:rsidP="00615BB3">
            <w:pPr>
              <w:rPr>
                <w:rFonts w:ascii="Arial Narrow" w:hAnsi="Arial Narrow"/>
                <w:b/>
                <w:sz w:val="18"/>
                <w:szCs w:val="18"/>
              </w:rPr>
            </w:pPr>
            <w:r w:rsidRPr="00871292">
              <w:rPr>
                <w:rFonts w:ascii="Arial Narrow" w:hAnsi="Arial Narrow"/>
                <w:b/>
                <w:sz w:val="18"/>
                <w:szCs w:val="18"/>
              </w:rPr>
              <w:t>Prescriber Instructions</w:t>
            </w:r>
          </w:p>
          <w:p w:rsidR="001749C0" w:rsidRPr="00871292" w:rsidRDefault="001749C0" w:rsidP="00615BB3">
            <w:pPr>
              <w:rPr>
                <w:rFonts w:ascii="Arial Narrow" w:hAnsi="Arial Narrow"/>
                <w:sz w:val="18"/>
                <w:szCs w:val="18"/>
              </w:rPr>
            </w:pPr>
            <w:r w:rsidRPr="00871292">
              <w:rPr>
                <w:rFonts w:ascii="Arial Narrow" w:hAnsi="Arial Narrow"/>
                <w:sz w:val="18"/>
                <w:szCs w:val="18"/>
              </w:rPr>
              <w:t>The following criteria indicate failure to achieve an adequate response to NSAIDs and must have been demonstrated  prior to initiation of non-PBS subsidised treatment with this biological medicine for this condition:</w:t>
            </w:r>
          </w:p>
          <w:p w:rsidR="001749C0" w:rsidRPr="00871292" w:rsidRDefault="001749C0" w:rsidP="00615BB3">
            <w:pPr>
              <w:rPr>
                <w:rFonts w:ascii="Arial Narrow" w:hAnsi="Arial Narrow"/>
                <w:sz w:val="18"/>
                <w:szCs w:val="18"/>
              </w:rPr>
            </w:pPr>
            <w:r w:rsidRPr="00871292">
              <w:rPr>
                <w:rFonts w:ascii="Arial Narrow" w:hAnsi="Arial Narrow"/>
                <w:sz w:val="18"/>
                <w:szCs w:val="18"/>
              </w:rPr>
              <w:t>(a) a Bath Ankylosing Spondylitis Disease Activity Index (BASDAI) of at least 4 on a 0-10 scale; and</w:t>
            </w:r>
          </w:p>
          <w:p w:rsidR="001749C0" w:rsidRPr="00871292" w:rsidRDefault="001749C0" w:rsidP="00615BB3">
            <w:pPr>
              <w:rPr>
                <w:rFonts w:ascii="Arial Narrow" w:hAnsi="Arial Narrow"/>
                <w:sz w:val="18"/>
                <w:szCs w:val="18"/>
              </w:rPr>
            </w:pPr>
            <w:r w:rsidRPr="00871292">
              <w:rPr>
                <w:rFonts w:ascii="Arial Narrow" w:hAnsi="Arial Narrow"/>
                <w:sz w:val="18"/>
                <w:szCs w:val="18"/>
              </w:rPr>
              <w:t>(b) an elevated erythrocyte sedimentation rate (ESR) greater than 25 mm per hour or a C-reactive protein (CRP) level greater than 10 mg per L.</w:t>
            </w:r>
          </w:p>
          <w:p w:rsidR="001749C0" w:rsidRPr="00871292" w:rsidRDefault="001749C0" w:rsidP="00615BB3">
            <w:pPr>
              <w:rPr>
                <w:rFonts w:ascii="Arial Narrow" w:hAnsi="Arial Narrow"/>
                <w:sz w:val="18"/>
                <w:szCs w:val="18"/>
              </w:rPr>
            </w:pPr>
          </w:p>
          <w:p w:rsidR="001749C0" w:rsidRPr="00871292" w:rsidRDefault="001749C0" w:rsidP="00615BB3">
            <w:pPr>
              <w:rPr>
                <w:rFonts w:ascii="Arial Narrow" w:hAnsi="Arial Narrow"/>
                <w:sz w:val="18"/>
                <w:szCs w:val="18"/>
              </w:rPr>
            </w:pPr>
            <w:r w:rsidRPr="00871292">
              <w:rPr>
                <w:rFonts w:ascii="Arial Narrow" w:hAnsi="Arial Narrow"/>
                <w:sz w:val="18"/>
                <w:szCs w:val="18"/>
              </w:rPr>
              <w:t>The BASDAI must have been determined at the completion of the 3 month NSAID and exercise trial, but prior to ceasing NSAID treatment. If the above requirement to demonstrate an elevated ESR or CRP could not be met, the application must state the reason this criterion could not be satisfied.</w:t>
            </w:r>
            <w:r w:rsidRPr="00871292">
              <w:rPr>
                <w:rFonts w:ascii="Open Sans" w:hAnsi="Open Sans" w:cs="Open Sans"/>
                <w:color w:val="333333"/>
                <w:sz w:val="22"/>
                <w:szCs w:val="22"/>
              </w:rPr>
              <w:t xml:space="preserve"> </w:t>
            </w:r>
            <w:r w:rsidRPr="00871292">
              <w:rPr>
                <w:rFonts w:ascii="Arial Narrow" w:hAnsi="Arial Narrow"/>
                <w:sz w:val="18"/>
                <w:szCs w:val="18"/>
              </w:rPr>
              <w:t>Treatment with prednisolone dosed at 7.5 mg or higher daily (or equivalent) or a parenteral steroid within the preceding 4 weeks (intramuscular or intravenous methylprednisolone or equivalent) is an acceptable reason.</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Prescriber Instructions</w:t>
            </w:r>
          </w:p>
          <w:p w:rsidR="001749C0" w:rsidRPr="00871292" w:rsidRDefault="001749C0" w:rsidP="00615BB3">
            <w:pPr>
              <w:rPr>
                <w:rFonts w:ascii="Arial Narrow" w:hAnsi="Arial Narrow"/>
                <w:sz w:val="18"/>
                <w:szCs w:val="18"/>
              </w:rPr>
            </w:pPr>
            <w:r w:rsidRPr="00871292">
              <w:rPr>
                <w:rFonts w:ascii="Arial Narrow" w:hAnsi="Arial Narrow"/>
                <w:sz w:val="18"/>
                <w:szCs w:val="18"/>
              </w:rPr>
              <w:t>The authority application must be made in writing and must include:</w:t>
            </w:r>
          </w:p>
          <w:p w:rsidR="001749C0" w:rsidRPr="00871292" w:rsidRDefault="001749C0" w:rsidP="00615BB3">
            <w:pPr>
              <w:rPr>
                <w:rFonts w:ascii="Arial Narrow" w:hAnsi="Arial Narrow"/>
                <w:sz w:val="18"/>
                <w:szCs w:val="18"/>
              </w:rPr>
            </w:pPr>
            <w:r w:rsidRPr="00871292">
              <w:rPr>
                <w:rFonts w:ascii="Arial Narrow" w:hAnsi="Arial Narrow"/>
                <w:sz w:val="18"/>
                <w:szCs w:val="18"/>
              </w:rPr>
              <w:t>(a) a completed authority prescription form; and</w:t>
            </w:r>
          </w:p>
          <w:p w:rsidR="001749C0" w:rsidRPr="00871292" w:rsidRDefault="001749C0" w:rsidP="00615BB3">
            <w:pPr>
              <w:rPr>
                <w:rFonts w:ascii="Arial Narrow" w:hAnsi="Arial Narrow"/>
                <w:sz w:val="18"/>
                <w:szCs w:val="18"/>
              </w:rPr>
            </w:pPr>
            <w:r w:rsidRPr="00871292">
              <w:rPr>
                <w:rFonts w:ascii="Arial Narrow" w:hAnsi="Arial Narrow"/>
                <w:sz w:val="18"/>
                <w:szCs w:val="18"/>
              </w:rPr>
              <w:t>(b) a completed Ankylosing Spondylitis PBS Authority Application Form which includes the following:</w:t>
            </w:r>
          </w:p>
          <w:p w:rsidR="001749C0" w:rsidRPr="00871292" w:rsidRDefault="001749C0" w:rsidP="00615BB3">
            <w:pPr>
              <w:rPr>
                <w:rFonts w:ascii="Arial Narrow" w:hAnsi="Arial Narrow"/>
                <w:sz w:val="18"/>
                <w:szCs w:val="18"/>
              </w:rPr>
            </w:pPr>
            <w:r w:rsidRPr="00871292">
              <w:rPr>
                <w:rFonts w:ascii="Arial Narrow" w:hAnsi="Arial Narrow"/>
                <w:sz w:val="18"/>
                <w:szCs w:val="18"/>
              </w:rPr>
              <w:t>(i) details of the radiological report confirming Grade II bilateral sacroiliitis or Grade III unilateral sacroiliitis; and</w:t>
            </w:r>
          </w:p>
          <w:p w:rsidR="001749C0" w:rsidRPr="00871292" w:rsidRDefault="001749C0" w:rsidP="00615BB3">
            <w:pPr>
              <w:rPr>
                <w:rFonts w:ascii="Arial Narrow" w:hAnsi="Arial Narrow"/>
                <w:sz w:val="18"/>
                <w:szCs w:val="18"/>
              </w:rPr>
            </w:pPr>
            <w:r w:rsidRPr="00871292">
              <w:rPr>
                <w:rFonts w:ascii="Arial Narrow" w:hAnsi="Arial Narrow"/>
                <w:sz w:val="18"/>
                <w:szCs w:val="18"/>
              </w:rPr>
              <w:t>(ii) a baseline BASDAI score; and</w:t>
            </w:r>
          </w:p>
          <w:p w:rsidR="001749C0" w:rsidRPr="00871292" w:rsidRDefault="001749C0" w:rsidP="00615BB3">
            <w:pPr>
              <w:rPr>
                <w:rFonts w:ascii="Arial Narrow" w:hAnsi="Arial Narrow"/>
                <w:sz w:val="18"/>
                <w:szCs w:val="18"/>
              </w:rPr>
            </w:pPr>
            <w:r w:rsidRPr="00871292">
              <w:rPr>
                <w:rFonts w:ascii="Arial Narrow" w:hAnsi="Arial Narrow"/>
                <w:sz w:val="18"/>
                <w:szCs w:val="18"/>
              </w:rPr>
              <w:t xml:space="preserve">(iii) a completed Exercise Program Self Certification Form included in the supporting information form; and </w:t>
            </w:r>
          </w:p>
          <w:p w:rsidR="001749C0" w:rsidRPr="00871292" w:rsidRDefault="001749C0" w:rsidP="00615BB3">
            <w:pPr>
              <w:rPr>
                <w:rFonts w:ascii="Arial Narrow" w:hAnsi="Arial Narrow"/>
                <w:sz w:val="18"/>
                <w:szCs w:val="18"/>
              </w:rPr>
            </w:pPr>
            <w:r w:rsidRPr="00871292">
              <w:rPr>
                <w:rFonts w:ascii="Arial Narrow" w:hAnsi="Arial Narrow"/>
                <w:sz w:val="18"/>
                <w:szCs w:val="18"/>
              </w:rPr>
              <w:t>(iv) baseline ESR and/or CRP level</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pStyle w:val="NormalWeb"/>
              <w:shd w:val="clear" w:color="auto" w:fill="FFFFFF"/>
              <w:spacing w:before="0" w:after="0" w:line="256" w:lineRule="auto"/>
              <w:textAlignment w:val="baseline"/>
              <w:rPr>
                <w:rFonts w:ascii="Arial Narrow" w:hAnsi="Arial Narrow" w:cs="Open Sans"/>
                <w:sz w:val="18"/>
                <w:szCs w:val="18"/>
                <w:lang w:val="en-AU" w:eastAsia="en-US"/>
              </w:rPr>
            </w:pPr>
            <w:r w:rsidRPr="00871292">
              <w:rPr>
                <w:rStyle w:val="Strong"/>
                <w:rFonts w:ascii="Arial Narrow" w:hAnsi="Arial Narrow" w:cs="Open Sans"/>
                <w:sz w:val="18"/>
                <w:szCs w:val="18"/>
                <w:bdr w:val="none" w:sz="0" w:space="0" w:color="auto" w:frame="1"/>
                <w:lang w:val="en-AU"/>
              </w:rPr>
              <w:t>Prescribing Instructions:</w:t>
            </w:r>
          </w:p>
          <w:p w:rsidR="001749C0" w:rsidRPr="00871292" w:rsidRDefault="001749C0" w:rsidP="00615BB3">
            <w:pPr>
              <w:rPr>
                <w:rFonts w:ascii="Arial Narrow" w:hAnsi="Arial Narrow" w:cs="Times New Roman"/>
                <w:b/>
                <w:sz w:val="18"/>
                <w:szCs w:val="18"/>
              </w:rPr>
            </w:pPr>
            <w:r w:rsidRPr="00871292">
              <w:rPr>
                <w:rFonts w:ascii="Arial Narrow" w:hAnsi="Arial Narrow"/>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Prescriber Instructions</w:t>
            </w:r>
          </w:p>
          <w:p w:rsidR="001749C0" w:rsidRPr="00871292" w:rsidRDefault="001749C0" w:rsidP="00615BB3">
            <w:pPr>
              <w:rPr>
                <w:rFonts w:ascii="Arial Narrow" w:hAnsi="Arial Narrow"/>
                <w:sz w:val="18"/>
                <w:szCs w:val="18"/>
              </w:rPr>
            </w:pPr>
            <w:r w:rsidRPr="00871292">
              <w:rPr>
                <w:rFonts w:ascii="Arial Narrow" w:hAnsi="Arial Narrow"/>
                <w:sz w:val="18"/>
                <w:szCs w:val="18"/>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Prescribing Instructions:</w:t>
            </w:r>
          </w:p>
          <w:p w:rsidR="001749C0" w:rsidRPr="00871292" w:rsidRDefault="001749C0" w:rsidP="00615BB3">
            <w:pPr>
              <w:rPr>
                <w:rFonts w:ascii="Arial Narrow" w:hAnsi="Arial Narrow"/>
                <w:b/>
                <w:sz w:val="18"/>
                <w:szCs w:val="18"/>
              </w:rPr>
            </w:pPr>
            <w:r w:rsidRPr="00871292">
              <w:rPr>
                <w:rFonts w:ascii="Arial Narrow" w:hAnsi="Arial Narrow"/>
                <w:sz w:val="18"/>
                <w:szCs w:val="18"/>
              </w:rPr>
              <w:t>A Grandfathered patient may qualify for PBS-subsidised treatment under this restriction once only. For continuing PBS-subsidised treatment, a Grandfathered patient must qualify under the continuing treatment criteria.</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vAlign w:val="center"/>
            <w:hideMark/>
          </w:tcPr>
          <w:p w:rsidR="001749C0" w:rsidRPr="00871292" w:rsidRDefault="001749C0" w:rsidP="00615BB3">
            <w:pPr>
              <w:rPr>
                <w:rFonts w:ascii="Arial Narrow" w:hAnsi="Arial Narrow"/>
                <w:bCs/>
                <w:sz w:val="18"/>
                <w:szCs w:val="18"/>
              </w:rPr>
            </w:pPr>
            <w:r w:rsidRPr="00871292">
              <w:rPr>
                <w:rFonts w:ascii="Arial Narrow" w:hAnsi="Arial Narrow"/>
                <w:b/>
                <w:bCs/>
                <w:sz w:val="18"/>
                <w:szCs w:val="18"/>
              </w:rPr>
              <w:t>Administrative advice:</w:t>
            </w:r>
          </w:p>
          <w:p w:rsidR="001749C0" w:rsidRPr="00871292" w:rsidRDefault="001749C0" w:rsidP="00615BB3">
            <w:pPr>
              <w:rPr>
                <w:rFonts w:ascii="Arial Narrow" w:hAnsi="Arial Narrow"/>
                <w:b/>
                <w:sz w:val="18"/>
                <w:szCs w:val="18"/>
              </w:rPr>
            </w:pPr>
            <w:r w:rsidRPr="00871292">
              <w:rPr>
                <w:rFonts w:ascii="Arial Narrow" w:hAnsi="Arial Narrow"/>
                <w:bCs/>
                <w:sz w:val="18"/>
                <w:szCs w:val="18"/>
              </w:rPr>
              <w:t>This Grandfather restriction will cease to operate 12 months after the date specified in the clinical criteria.</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Administrative Advice</w:t>
            </w:r>
          </w:p>
          <w:p w:rsidR="001749C0" w:rsidRPr="00871292" w:rsidRDefault="001749C0" w:rsidP="00615BB3">
            <w:pPr>
              <w:rPr>
                <w:rFonts w:ascii="Arial Narrow" w:hAnsi="Arial Narrow"/>
                <w:sz w:val="18"/>
                <w:szCs w:val="18"/>
              </w:rPr>
            </w:pPr>
            <w:r w:rsidRPr="00871292">
              <w:rPr>
                <w:rFonts w:ascii="Arial Narrow" w:hAnsi="Arial Narrow"/>
                <w:sz w:val="18"/>
                <w:szCs w:val="18"/>
              </w:rPr>
              <w:lastRenderedPageBreak/>
              <w:t xml:space="preserve">Details of the toxicities, including severity, which will be accepted for the purposes of administering this restriction can be found on the Services Australia website at </w:t>
            </w:r>
            <w:r w:rsidRPr="00AE4C98">
              <w:rPr>
                <w:rFonts w:ascii="Arial Narrow" w:hAnsi="Arial Narrow"/>
                <w:sz w:val="18"/>
                <w:szCs w:val="18"/>
              </w:rPr>
              <w:t>www.servicesaustralia.gov.au</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lastRenderedPageBreak/>
              <w:t>Administrative Advice</w:t>
            </w:r>
          </w:p>
          <w:p w:rsidR="001749C0" w:rsidRPr="00871292" w:rsidRDefault="001749C0" w:rsidP="00615BB3">
            <w:pPr>
              <w:rPr>
                <w:rFonts w:ascii="Arial Narrow" w:hAnsi="Arial Narrow"/>
                <w:sz w:val="18"/>
                <w:szCs w:val="18"/>
              </w:rPr>
            </w:pPr>
            <w:r w:rsidRPr="00871292">
              <w:rPr>
                <w:rFonts w:ascii="Arial Narrow" w:hAnsi="Arial Narrow"/>
                <w:sz w:val="18"/>
                <w:szCs w:val="18"/>
              </w:rPr>
              <w:t xml:space="preserve">For details on the appropriate minimum exercise program that will be accepted for the purposes of administering this restriction, please refer to the Services Australia website at </w:t>
            </w:r>
            <w:r w:rsidRPr="00AE4C98">
              <w:rPr>
                <w:rFonts w:ascii="Arial Narrow" w:hAnsi="Arial Narrow"/>
                <w:sz w:val="18"/>
                <w:szCs w:val="18"/>
              </w:rPr>
              <w:t>www.servicesaustralia.gov.au</w:t>
            </w:r>
          </w:p>
        </w:tc>
      </w:tr>
      <w:tr w:rsidR="001749C0" w:rsidRPr="00871292" w:rsidTr="001749C0">
        <w:trPr>
          <w:trHeight w:val="360"/>
        </w:trPr>
        <w:tc>
          <w:tcPr>
            <w:tcW w:w="9072" w:type="dxa"/>
            <w:tcBorders>
              <w:top w:val="single" w:sz="4" w:space="0" w:color="auto"/>
              <w:left w:val="single" w:sz="4" w:space="0" w:color="auto"/>
              <w:bottom w:val="single" w:sz="4" w:space="0" w:color="auto"/>
              <w:right w:val="single" w:sz="4" w:space="0" w:color="auto"/>
            </w:tcBorders>
            <w:hideMark/>
          </w:tcPr>
          <w:p w:rsidR="001749C0" w:rsidRPr="00871292" w:rsidRDefault="001749C0" w:rsidP="00615BB3">
            <w:pPr>
              <w:rPr>
                <w:rFonts w:ascii="Arial Narrow" w:hAnsi="Arial Narrow"/>
                <w:b/>
                <w:sz w:val="18"/>
                <w:szCs w:val="18"/>
              </w:rPr>
            </w:pPr>
            <w:r w:rsidRPr="00871292">
              <w:rPr>
                <w:rFonts w:ascii="Arial Narrow" w:hAnsi="Arial Narrow"/>
                <w:b/>
                <w:sz w:val="18"/>
                <w:szCs w:val="18"/>
              </w:rPr>
              <w:t>Administrative Advice</w:t>
            </w:r>
          </w:p>
          <w:p w:rsidR="001749C0" w:rsidRPr="00871292" w:rsidRDefault="001749C0" w:rsidP="00615BB3">
            <w:pPr>
              <w:rPr>
                <w:rFonts w:ascii="Arial Narrow" w:hAnsi="Arial Narrow"/>
                <w:sz w:val="18"/>
                <w:szCs w:val="18"/>
              </w:rPr>
            </w:pPr>
            <w:r w:rsidRPr="00871292">
              <w:rPr>
                <w:rFonts w:ascii="Arial Narrow" w:hAnsi="Arial Narrow"/>
                <w:sz w:val="18"/>
                <w:szCs w:val="18"/>
              </w:rPr>
              <w:t>Any queries concerning the arrangements to prescribe may be directed to Services Australia on 1800 700 270 (hours of operation 8 a.m. to 5 p.m. EST Monday to Friday).</w:t>
            </w:r>
          </w:p>
          <w:p w:rsidR="001749C0" w:rsidRPr="00871292" w:rsidRDefault="001749C0" w:rsidP="00615BB3">
            <w:pPr>
              <w:rPr>
                <w:rFonts w:ascii="Arial Narrow" w:hAnsi="Arial Narrow"/>
                <w:sz w:val="18"/>
                <w:szCs w:val="18"/>
              </w:rPr>
            </w:pPr>
            <w:r w:rsidRPr="00871292">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rsidR="001749C0" w:rsidRPr="00871292" w:rsidRDefault="001749C0" w:rsidP="00615BB3">
            <w:pPr>
              <w:rPr>
                <w:rFonts w:ascii="Arial Narrow" w:hAnsi="Arial Narrow"/>
                <w:sz w:val="18"/>
                <w:szCs w:val="18"/>
              </w:rPr>
            </w:pPr>
            <w:r w:rsidRPr="00871292">
              <w:rPr>
                <w:rFonts w:ascii="Arial Narrow" w:hAnsi="Arial Narrow"/>
                <w:sz w:val="18"/>
                <w:szCs w:val="18"/>
              </w:rPr>
              <w:t>Applications for authority to prescribe should be submitted online using the form upload facility in Health Professional Online Services (HPOS) at www.servicesaustralia.gov.au/hpos</w:t>
            </w:r>
          </w:p>
          <w:p w:rsidR="001749C0" w:rsidRPr="00871292" w:rsidRDefault="001749C0" w:rsidP="00615BB3">
            <w:pPr>
              <w:rPr>
                <w:rFonts w:ascii="Arial Narrow" w:hAnsi="Arial Narrow"/>
                <w:sz w:val="18"/>
                <w:szCs w:val="18"/>
              </w:rPr>
            </w:pPr>
            <w:r w:rsidRPr="00871292">
              <w:rPr>
                <w:rFonts w:ascii="Arial Narrow" w:hAnsi="Arial Narrow"/>
                <w:sz w:val="18"/>
                <w:szCs w:val="18"/>
              </w:rPr>
              <w:t>Or mailed to:</w:t>
            </w:r>
          </w:p>
          <w:p w:rsidR="001749C0" w:rsidRPr="00871292" w:rsidRDefault="001749C0" w:rsidP="00615BB3">
            <w:pPr>
              <w:rPr>
                <w:rFonts w:ascii="Arial Narrow" w:hAnsi="Arial Narrow"/>
                <w:sz w:val="18"/>
                <w:szCs w:val="18"/>
              </w:rPr>
            </w:pPr>
            <w:r w:rsidRPr="00871292">
              <w:rPr>
                <w:rFonts w:ascii="Arial Narrow" w:hAnsi="Arial Narrow"/>
                <w:sz w:val="18"/>
                <w:szCs w:val="18"/>
              </w:rPr>
              <w:t>Services Australia</w:t>
            </w:r>
          </w:p>
          <w:p w:rsidR="001749C0" w:rsidRPr="00871292" w:rsidRDefault="001749C0" w:rsidP="00615BB3">
            <w:pPr>
              <w:rPr>
                <w:rFonts w:ascii="Arial Narrow" w:hAnsi="Arial Narrow"/>
                <w:sz w:val="18"/>
                <w:szCs w:val="18"/>
              </w:rPr>
            </w:pPr>
            <w:r w:rsidRPr="00871292">
              <w:rPr>
                <w:rFonts w:ascii="Arial Narrow" w:hAnsi="Arial Narrow"/>
                <w:sz w:val="18"/>
                <w:szCs w:val="18"/>
              </w:rPr>
              <w:t>Complex Drugs</w:t>
            </w:r>
          </w:p>
          <w:p w:rsidR="001749C0" w:rsidRPr="00871292" w:rsidRDefault="001749C0" w:rsidP="00615BB3">
            <w:pPr>
              <w:rPr>
                <w:rFonts w:ascii="Arial Narrow" w:hAnsi="Arial Narrow"/>
                <w:sz w:val="18"/>
                <w:szCs w:val="18"/>
              </w:rPr>
            </w:pPr>
            <w:r w:rsidRPr="00871292">
              <w:rPr>
                <w:rFonts w:ascii="Arial Narrow" w:hAnsi="Arial Narrow"/>
                <w:sz w:val="18"/>
                <w:szCs w:val="18"/>
              </w:rPr>
              <w:t>Reply Paid 9826</w:t>
            </w:r>
          </w:p>
          <w:p w:rsidR="001749C0" w:rsidRPr="00871292" w:rsidRDefault="001749C0" w:rsidP="00615BB3">
            <w:pPr>
              <w:rPr>
                <w:rFonts w:ascii="Arial Narrow" w:hAnsi="Arial Narrow"/>
                <w:sz w:val="18"/>
                <w:szCs w:val="18"/>
              </w:rPr>
            </w:pPr>
            <w:r w:rsidRPr="00871292">
              <w:rPr>
                <w:rFonts w:ascii="Arial Narrow" w:hAnsi="Arial Narrow"/>
                <w:sz w:val="18"/>
                <w:szCs w:val="18"/>
              </w:rPr>
              <w:t>HOBART TAS 7001</w:t>
            </w:r>
          </w:p>
        </w:tc>
      </w:tr>
    </w:tbl>
    <w:p w:rsidR="00D82EC8" w:rsidRPr="00871292" w:rsidRDefault="00D82EC8" w:rsidP="00D82EC8">
      <w:pPr>
        <w:widowControl w:val="0"/>
        <w:pBdr>
          <w:bottom w:val="single" w:sz="4" w:space="1" w:color="auto"/>
        </w:pBdr>
        <w:rPr>
          <w:rFonts w:asciiTheme="minorHAnsi" w:hAnsiTheme="minorHAnsi"/>
          <w:bCs/>
          <w:snapToGrid w:val="0"/>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 xml:space="preserve">EDIT ADMINISTRATIVE ADVICE [26621]: </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b/>
          <w:bCs/>
          <w:sz w:val="18"/>
          <w:szCs w:val="18"/>
        </w:rPr>
        <w:t>TREATMENT OF ADULT PATIENTS WITH ANKYLOSING SPONDYLITIS</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The following information applies to the prescribing under the Pharmaceutical Benefits Scheme (PBS) of adalimumab, certolizumab pegol, etanercept, golimumab, infliximab</w:t>
      </w:r>
      <w:r w:rsidRPr="00871292">
        <w:rPr>
          <w:rFonts w:ascii="Arial Narrow" w:hAnsi="Arial Narrow"/>
          <w:i/>
          <w:sz w:val="18"/>
          <w:szCs w:val="18"/>
        </w:rPr>
        <w:t xml:space="preserve">, </w:t>
      </w:r>
      <w:r w:rsidRPr="00871292">
        <w:rPr>
          <w:rFonts w:ascii="Arial Narrow" w:hAnsi="Arial Narrow"/>
          <w:sz w:val="18"/>
          <w:szCs w:val="18"/>
        </w:rPr>
        <w:t>ixekizumab</w:t>
      </w:r>
      <w:r w:rsidR="00104362" w:rsidRPr="00871292">
        <w:rPr>
          <w:rFonts w:ascii="Arial Narrow" w:hAnsi="Arial Narrow"/>
          <w:i/>
          <w:sz w:val="18"/>
          <w:szCs w:val="18"/>
        </w:rPr>
        <w:t>,</w:t>
      </w:r>
      <w:r w:rsidRPr="00871292">
        <w:rPr>
          <w:rFonts w:ascii="Arial Narrow" w:hAnsi="Arial Narrow"/>
          <w:sz w:val="18"/>
          <w:szCs w:val="18"/>
        </w:rPr>
        <w:t xml:space="preserve"> </w:t>
      </w:r>
      <w:r w:rsidRPr="00871292">
        <w:rPr>
          <w:rFonts w:ascii="Arial Narrow" w:hAnsi="Arial Narrow"/>
          <w:strike/>
          <w:sz w:val="18"/>
          <w:szCs w:val="18"/>
        </w:rPr>
        <w:t>and</w:t>
      </w:r>
      <w:r w:rsidRPr="00871292">
        <w:rPr>
          <w:rFonts w:ascii="Arial Narrow" w:hAnsi="Arial Narrow"/>
          <w:sz w:val="18"/>
          <w:szCs w:val="18"/>
        </w:rPr>
        <w:t xml:space="preserve"> secukinumab </w:t>
      </w:r>
      <w:r w:rsidR="00104362" w:rsidRPr="00871292">
        <w:rPr>
          <w:rFonts w:ascii="Arial Narrow" w:hAnsi="Arial Narrow"/>
          <w:i/>
          <w:sz w:val="18"/>
          <w:szCs w:val="18"/>
        </w:rPr>
        <w:t xml:space="preserve">and </w:t>
      </w:r>
      <w:r w:rsidR="00056DF4" w:rsidRPr="00871292">
        <w:rPr>
          <w:rFonts w:ascii="Arial Narrow" w:hAnsi="Arial Narrow"/>
          <w:i/>
          <w:sz w:val="18"/>
          <w:szCs w:val="18"/>
        </w:rPr>
        <w:t>upadacitinib</w:t>
      </w:r>
      <w:r w:rsidR="00104362" w:rsidRPr="00871292">
        <w:rPr>
          <w:rFonts w:ascii="Arial Narrow" w:hAnsi="Arial Narrow"/>
          <w:sz w:val="18"/>
          <w:szCs w:val="18"/>
        </w:rPr>
        <w:t xml:space="preserve"> </w:t>
      </w:r>
      <w:r w:rsidRPr="00871292">
        <w:rPr>
          <w:rFonts w:ascii="Arial Narrow" w:hAnsi="Arial Narrow"/>
          <w:sz w:val="18"/>
          <w:szCs w:val="18"/>
        </w:rPr>
        <w:t>for adult patients with ankylosing spondylitis.</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Where the term 'biological medicine' appears in notes and restrictions, it refers to adalimumab, certolizumab pegol, etanercept, golimumab, infliximab, ixekizumab</w:t>
      </w:r>
      <w:r w:rsidR="00104362" w:rsidRPr="00871292">
        <w:rPr>
          <w:rFonts w:ascii="Arial Narrow" w:hAnsi="Arial Narrow"/>
          <w:i/>
          <w:sz w:val="18"/>
          <w:szCs w:val="18"/>
        </w:rPr>
        <w:t>,</w:t>
      </w:r>
      <w:r w:rsidR="00104362" w:rsidRPr="00871292">
        <w:rPr>
          <w:rFonts w:ascii="Arial Narrow" w:hAnsi="Arial Narrow"/>
          <w:sz w:val="18"/>
          <w:szCs w:val="18"/>
        </w:rPr>
        <w:t xml:space="preserve"> </w:t>
      </w:r>
      <w:r w:rsidR="00104362" w:rsidRPr="00871292">
        <w:rPr>
          <w:rFonts w:ascii="Arial Narrow" w:hAnsi="Arial Narrow"/>
          <w:strike/>
          <w:sz w:val="18"/>
          <w:szCs w:val="18"/>
        </w:rPr>
        <w:t>and</w:t>
      </w:r>
      <w:r w:rsidR="00104362" w:rsidRPr="00871292">
        <w:rPr>
          <w:rFonts w:ascii="Arial Narrow" w:hAnsi="Arial Narrow"/>
          <w:sz w:val="18"/>
          <w:szCs w:val="18"/>
        </w:rPr>
        <w:t xml:space="preserve"> secukinumab </w:t>
      </w:r>
      <w:r w:rsidR="00104362" w:rsidRPr="00871292">
        <w:rPr>
          <w:rFonts w:ascii="Arial Narrow" w:hAnsi="Arial Narrow"/>
          <w:i/>
          <w:sz w:val="18"/>
          <w:szCs w:val="18"/>
        </w:rPr>
        <w:t xml:space="preserve">and </w:t>
      </w:r>
      <w:r w:rsidR="00056DF4" w:rsidRPr="00871292">
        <w:rPr>
          <w:rFonts w:ascii="Arial Narrow" w:hAnsi="Arial Narrow"/>
          <w:i/>
          <w:sz w:val="18"/>
          <w:szCs w:val="18"/>
        </w:rPr>
        <w:t>upadacitinib</w:t>
      </w:r>
      <w:r w:rsidR="00104362" w:rsidRPr="00871292">
        <w:rPr>
          <w:rFonts w:ascii="Arial Narrow" w:hAnsi="Arial Narrow"/>
          <w:sz w:val="18"/>
          <w:szCs w:val="18"/>
        </w:rPr>
        <w:t xml:space="preserve"> </w:t>
      </w:r>
      <w:r w:rsidRPr="00871292">
        <w:rPr>
          <w:rFonts w:ascii="Arial Narrow" w:hAnsi="Arial Narrow"/>
          <w:sz w:val="18"/>
          <w:szCs w:val="18"/>
        </w:rPr>
        <w:t>only.</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hemeFill="background1"/>
        <w:textAlignment w:val="baseline"/>
        <w:rPr>
          <w:rFonts w:ascii="Arial Narrow" w:hAnsi="Arial Narrow"/>
          <w:sz w:val="18"/>
          <w:szCs w:val="18"/>
        </w:rPr>
      </w:pPr>
      <w:r w:rsidRPr="00871292">
        <w:rPr>
          <w:rFonts w:ascii="Arial Narrow" w:hAnsi="Arial Narrow"/>
          <w:sz w:val="18"/>
          <w:szCs w:val="18"/>
        </w:rPr>
        <w:t xml:space="preserve">A patient is eligible for PBS-subsidised treatment with only 1 of the </w:t>
      </w:r>
      <w:r w:rsidRPr="00871292">
        <w:rPr>
          <w:rFonts w:ascii="Arial Narrow" w:hAnsi="Arial Narrow"/>
          <w:strike/>
          <w:sz w:val="18"/>
          <w:szCs w:val="18"/>
        </w:rPr>
        <w:t>7</w:t>
      </w:r>
      <w:r w:rsidR="00EC6DC1" w:rsidRPr="00871292">
        <w:rPr>
          <w:rFonts w:ascii="Arial Narrow" w:hAnsi="Arial Narrow"/>
          <w:i/>
          <w:sz w:val="18"/>
          <w:szCs w:val="18"/>
        </w:rPr>
        <w:t>8</w:t>
      </w:r>
      <w:r w:rsidRPr="00871292">
        <w:rPr>
          <w:rFonts w:ascii="Arial Narrow" w:hAnsi="Arial Narrow"/>
          <w:sz w:val="18"/>
          <w:szCs w:val="18"/>
        </w:rPr>
        <w:t xml:space="preserve"> biological medicines at any 1 time.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Under these arrangements, within a single treatment cycle, a patient may continue to receive long-term treatment with a biological medicine while they continue to show a response to therapy.</w:t>
      </w:r>
    </w:p>
    <w:p w:rsidR="00FD4065" w:rsidRPr="00871292" w:rsidRDefault="00FD4065" w:rsidP="00FD4065">
      <w:pPr>
        <w:shd w:val="clear" w:color="auto" w:fill="FFFFFF"/>
        <w:textAlignment w:val="baseline"/>
        <w:rPr>
          <w:rFonts w:ascii="Arial Narrow" w:hAnsi="Arial Narrow"/>
          <w:i/>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 xml:space="preserve">A patient who has been receiving PBS-subsidised adalimumab, certolizumab pegol, etanercept, golimumab, infliximab, ixekizumab and secukinumab treatment prior to </w:t>
      </w:r>
      <w:r w:rsidR="00EC6DC1" w:rsidRPr="00871292">
        <w:rPr>
          <w:rFonts w:ascii="Arial Narrow" w:hAnsi="Arial Narrow"/>
          <w:strike/>
          <w:sz w:val="18"/>
          <w:szCs w:val="18"/>
        </w:rPr>
        <w:t>1 December 2020</w:t>
      </w:r>
      <w:r w:rsidR="00EC6DC1" w:rsidRPr="00871292">
        <w:rPr>
          <w:rFonts w:ascii="Arial Narrow" w:hAnsi="Arial Narrow"/>
          <w:sz w:val="18"/>
          <w:szCs w:val="18"/>
        </w:rPr>
        <w:t xml:space="preserve"> </w:t>
      </w:r>
      <w:r w:rsidR="00DC30F4" w:rsidRPr="00871292">
        <w:rPr>
          <w:rFonts w:ascii="Arial Narrow" w:hAnsi="Arial Narrow"/>
          <w:i/>
          <w:sz w:val="18"/>
          <w:szCs w:val="18"/>
        </w:rPr>
        <w:t xml:space="preserve">[PBS Listing Date] </w:t>
      </w:r>
      <w:r w:rsidRPr="00871292">
        <w:rPr>
          <w:rFonts w:ascii="Arial Narrow" w:hAnsi="Arial Narrow"/>
          <w:sz w:val="18"/>
          <w:szCs w:val="18"/>
        </w:rPr>
        <w:t xml:space="preserve">is considered to start their first cycle as of </w:t>
      </w:r>
      <w:r w:rsidR="00EC6DC1" w:rsidRPr="00871292">
        <w:rPr>
          <w:rFonts w:ascii="Arial Narrow" w:hAnsi="Arial Narrow"/>
          <w:strike/>
          <w:sz w:val="18"/>
          <w:szCs w:val="18"/>
        </w:rPr>
        <w:t>1 December 2020</w:t>
      </w:r>
      <w:r w:rsidR="00EC6DC1" w:rsidRPr="00871292">
        <w:rPr>
          <w:rFonts w:ascii="Arial Narrow" w:hAnsi="Arial Narrow"/>
          <w:sz w:val="18"/>
          <w:szCs w:val="18"/>
        </w:rPr>
        <w:t xml:space="preserve"> </w:t>
      </w:r>
      <w:r w:rsidR="00EC6DC1" w:rsidRPr="00871292">
        <w:rPr>
          <w:rFonts w:ascii="Arial Narrow" w:hAnsi="Arial Narrow"/>
          <w:i/>
          <w:sz w:val="18"/>
          <w:szCs w:val="18"/>
        </w:rPr>
        <w:t>[</w:t>
      </w:r>
      <w:r w:rsidR="00DC30F4" w:rsidRPr="00871292">
        <w:rPr>
          <w:rFonts w:ascii="Arial Narrow" w:hAnsi="Arial Narrow"/>
          <w:i/>
          <w:sz w:val="18"/>
          <w:szCs w:val="18"/>
        </w:rPr>
        <w:t xml:space="preserve">PBS </w:t>
      </w:r>
      <w:r w:rsidR="00EC6DC1" w:rsidRPr="00871292">
        <w:rPr>
          <w:rFonts w:ascii="Arial Narrow" w:hAnsi="Arial Narrow"/>
          <w:i/>
          <w:sz w:val="18"/>
          <w:szCs w:val="18"/>
        </w:rPr>
        <w:t xml:space="preserve">Listing </w:t>
      </w:r>
      <w:r w:rsidR="00DC30F4" w:rsidRPr="00871292">
        <w:rPr>
          <w:rFonts w:ascii="Arial Narrow" w:hAnsi="Arial Narrow"/>
          <w:i/>
          <w:sz w:val="18"/>
          <w:szCs w:val="18"/>
        </w:rPr>
        <w:t>Date</w:t>
      </w:r>
      <w:r w:rsidR="00EC6DC1" w:rsidRPr="00871292">
        <w:rPr>
          <w:rFonts w:ascii="Arial Narrow" w:hAnsi="Arial Narrow"/>
          <w:i/>
          <w:sz w:val="18"/>
          <w:szCs w:val="18"/>
        </w:rPr>
        <w:t>]</w:t>
      </w:r>
      <w:r w:rsidRPr="00871292">
        <w:rPr>
          <w:rFonts w:ascii="Arial Narrow" w:hAnsi="Arial Narrow"/>
          <w:sz w:val="18"/>
          <w:szCs w:val="18"/>
        </w:rPr>
        <w:t>.</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Within the same treatment cycle, a patient cannot trial and fail, or cease to respond to, the same PBS-subsidised biological medicine more than once.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Once a patient has either failed or ceased to respond to treatment 3 times, they are deemed to have completed a treatment cycle and they must have, at a minimum, a 5-year break in PBS-subsidised biological medicine therapy before they are eligible to commence the next cycle. The 5-year break is measured from the date of the last prescription for PBS-subsidised biological medicine treatment in the most recent cycle to the date of the first application for initial treatment with a biological medicine under the new treatment cycle.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A patient who has failed fewer than 3 biological medicines in a treatment cycle and who has a break in therapy of less than 5 years may commence a further course of treatment within the same treatment cycle.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A patient who has failed fewer than 3 biological medicines in a treatment cycle and who has a break in therapy of more than 5 years may commence a new treatment cycle.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There is no limit to the number of treatment cycles a patient may undertake in their lifetime.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(1) How to prescribe PBS-subsidised biological medicine treatment with adalimumab, certolizumab pegol, etanercept, golimumab, infliximab, ixekizumab</w:t>
      </w:r>
      <w:r w:rsidR="00197E65" w:rsidRPr="00871292">
        <w:rPr>
          <w:rFonts w:ascii="Arial Narrow" w:hAnsi="Arial Narrow"/>
          <w:i/>
          <w:sz w:val="18"/>
          <w:szCs w:val="18"/>
        </w:rPr>
        <w:t>,</w:t>
      </w:r>
      <w:r w:rsidRPr="00871292">
        <w:rPr>
          <w:rFonts w:ascii="Arial Narrow" w:hAnsi="Arial Narrow"/>
          <w:sz w:val="18"/>
          <w:szCs w:val="18"/>
        </w:rPr>
        <w:t xml:space="preserve"> </w:t>
      </w:r>
      <w:r w:rsidRPr="00871292">
        <w:rPr>
          <w:rFonts w:ascii="Arial Narrow" w:hAnsi="Arial Narrow"/>
          <w:strike/>
          <w:sz w:val="18"/>
          <w:szCs w:val="18"/>
        </w:rPr>
        <w:t>and</w:t>
      </w:r>
      <w:r w:rsidRPr="00871292">
        <w:rPr>
          <w:rFonts w:ascii="Arial Narrow" w:hAnsi="Arial Narrow"/>
          <w:sz w:val="18"/>
          <w:szCs w:val="18"/>
        </w:rPr>
        <w:t xml:space="preserve"> secukinumab</w:t>
      </w:r>
      <w:r w:rsidR="00197E65" w:rsidRPr="00871292">
        <w:rPr>
          <w:rFonts w:ascii="Arial Narrow" w:hAnsi="Arial Narrow"/>
          <w:sz w:val="18"/>
          <w:szCs w:val="18"/>
        </w:rPr>
        <w:t xml:space="preserve"> </w:t>
      </w:r>
      <w:r w:rsidR="00197E65" w:rsidRPr="00871292">
        <w:rPr>
          <w:rFonts w:ascii="Arial Narrow" w:hAnsi="Arial Narrow"/>
          <w:i/>
          <w:sz w:val="18"/>
          <w:szCs w:val="18"/>
        </w:rPr>
        <w:t>and upadacitinib</w:t>
      </w:r>
      <w:r w:rsidRPr="00871292">
        <w:rPr>
          <w:rFonts w:ascii="Arial Narrow" w:hAnsi="Arial Narrow"/>
          <w:sz w:val="18"/>
          <w:szCs w:val="18"/>
        </w:rPr>
        <w:t>.</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(a) Initial treatment.</w:t>
      </w: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Applications for initial treatment should be made where: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(i) a patient has received no prior PBS-subsidised biological medicine treatment in this treatment cycle and wishes to commence such therapy (Initial 1 - New patient)</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(ii) a patient has received prior PBS-subsidised (initial or continuing) biological medicine therapy and wishes to trial an alternate agent (Initial 2 - Change or Recommencement of treatment after a break in therapy of less than 5 years) [further details are under 'Swapping therapy' below]; or</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(iii) a patient wishes to recommence treatment with a specific biological medicine following a break in PBS-subsidised therapy of less than 5 years with the same agent (Initial 2 - Change or Recommencement of treatment after a break in therapy of less than 5 years); or</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(iv) a patient wishes to recommence treatment with a biological medicine following a break in PBS-subsidised therapy of more than 5 years (Initial 3 - Recommencement of treatment after a break in biological medicine of more than 5 years).</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A patient must be assessed for response to a course of initial PBS-subsidised treatment following a minimum of 12 weeks of therapy.</w:t>
      </w:r>
    </w:p>
    <w:p w:rsidR="00173E7B" w:rsidRPr="00871292" w:rsidRDefault="00173E7B" w:rsidP="00FD4065">
      <w:pPr>
        <w:shd w:val="clear" w:color="auto" w:fill="FFFFFF"/>
        <w:textAlignment w:val="baseline"/>
        <w:rPr>
          <w:rFonts w:ascii="Arial Narrow" w:hAnsi="Arial Narrow"/>
          <w:sz w:val="18"/>
          <w:szCs w:val="18"/>
        </w:rPr>
      </w:pPr>
    </w:p>
    <w:p w:rsidR="00173E7B" w:rsidRPr="00871292" w:rsidRDefault="00173E7B" w:rsidP="00173E7B">
      <w:pPr>
        <w:keepLines/>
        <w:rPr>
          <w:rFonts w:ascii="Arial Narrow" w:hAnsi="Arial Narrow"/>
          <w:i/>
          <w:sz w:val="18"/>
          <w:szCs w:val="18"/>
        </w:rPr>
      </w:pPr>
      <w:r w:rsidRPr="00871292">
        <w:rPr>
          <w:rFonts w:ascii="Arial Narrow" w:hAnsi="Arial Narrow"/>
          <w:i/>
          <w:sz w:val="18"/>
          <w:szCs w:val="18"/>
        </w:rPr>
        <w:t>Grandfather patients (upadacitinib only)</w:t>
      </w:r>
    </w:p>
    <w:p w:rsidR="00173E7B" w:rsidRPr="00871292" w:rsidRDefault="00173E7B" w:rsidP="00173E7B">
      <w:pPr>
        <w:keepLines/>
        <w:rPr>
          <w:rFonts w:ascii="Arial Narrow" w:hAnsi="Arial Narrow"/>
          <w:i/>
          <w:sz w:val="18"/>
          <w:szCs w:val="18"/>
        </w:rPr>
      </w:pPr>
      <w:r w:rsidRPr="00871292">
        <w:rPr>
          <w:rFonts w:ascii="Arial Narrow" w:hAnsi="Arial Narrow"/>
          <w:i/>
          <w:sz w:val="18"/>
          <w:szCs w:val="18"/>
        </w:rPr>
        <w:t xml:space="preserve">A patient who commenced treatment with upadacitinib for </w:t>
      </w:r>
      <w:r w:rsidR="00DC30F4" w:rsidRPr="00871292">
        <w:rPr>
          <w:rFonts w:ascii="Arial Narrow" w:hAnsi="Arial Narrow"/>
          <w:i/>
          <w:sz w:val="18"/>
          <w:szCs w:val="18"/>
        </w:rPr>
        <w:t>ankylosing spondylitis</w:t>
      </w:r>
      <w:r w:rsidR="00DC30F4" w:rsidRPr="00871292" w:rsidDel="00DC30F4">
        <w:rPr>
          <w:rFonts w:ascii="Arial Narrow" w:hAnsi="Arial Narrow"/>
          <w:i/>
          <w:sz w:val="18"/>
          <w:szCs w:val="18"/>
        </w:rPr>
        <w:t xml:space="preserve"> </w:t>
      </w:r>
      <w:r w:rsidRPr="00871292">
        <w:rPr>
          <w:rFonts w:ascii="Arial Narrow" w:hAnsi="Arial Narrow"/>
          <w:i/>
          <w:sz w:val="18"/>
          <w:szCs w:val="18"/>
        </w:rPr>
        <w:t xml:space="preserve">prior to </w:t>
      </w:r>
      <w:r w:rsidR="00DC30F4" w:rsidRPr="00871292">
        <w:rPr>
          <w:rFonts w:ascii="Arial Narrow" w:hAnsi="Arial Narrow"/>
          <w:i/>
          <w:sz w:val="18"/>
          <w:szCs w:val="18"/>
        </w:rPr>
        <w:t>[</w:t>
      </w:r>
      <w:r w:rsidRPr="00871292">
        <w:rPr>
          <w:rFonts w:ascii="Arial Narrow" w:hAnsi="Arial Narrow"/>
          <w:i/>
          <w:sz w:val="18"/>
          <w:szCs w:val="18"/>
        </w:rPr>
        <w:t>PBS Listing Date</w:t>
      </w:r>
      <w:r w:rsidR="00DC30F4" w:rsidRPr="00871292">
        <w:rPr>
          <w:rFonts w:ascii="Arial Narrow" w:hAnsi="Arial Narrow"/>
          <w:i/>
          <w:sz w:val="18"/>
          <w:szCs w:val="18"/>
        </w:rPr>
        <w:t xml:space="preserve">] </w:t>
      </w:r>
      <w:r w:rsidRPr="00871292">
        <w:rPr>
          <w:rFonts w:ascii="Arial Narrow" w:hAnsi="Arial Narrow"/>
          <w:i/>
          <w:sz w:val="18"/>
          <w:szCs w:val="18"/>
        </w:rPr>
        <w:t>and who continues to receive treatment at the time of application, may qualify for treatment under the 'Grandfather' treatment restriction.</w:t>
      </w:r>
    </w:p>
    <w:p w:rsidR="00173E7B" w:rsidRPr="00871292" w:rsidRDefault="00173E7B" w:rsidP="00173E7B">
      <w:pPr>
        <w:keepLines/>
        <w:rPr>
          <w:rFonts w:ascii="Arial Narrow" w:hAnsi="Arial Narrow"/>
          <w:i/>
          <w:sz w:val="18"/>
          <w:szCs w:val="18"/>
        </w:rPr>
      </w:pPr>
    </w:p>
    <w:p w:rsidR="00173E7B" w:rsidRPr="00871292" w:rsidRDefault="00173E7B" w:rsidP="00173E7B">
      <w:pPr>
        <w:keepLines/>
        <w:rPr>
          <w:rFonts w:ascii="Arial Narrow" w:hAnsi="Arial Narrow"/>
          <w:i/>
          <w:sz w:val="18"/>
          <w:szCs w:val="18"/>
        </w:rPr>
      </w:pPr>
      <w:r w:rsidRPr="00871292">
        <w:rPr>
          <w:rFonts w:ascii="Arial Narrow" w:hAnsi="Arial Narrow"/>
          <w:i/>
          <w:sz w:val="18"/>
          <w:szCs w:val="18"/>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rsidR="00173E7B" w:rsidRPr="00871292" w:rsidRDefault="00173E7B" w:rsidP="00173E7B">
      <w:pPr>
        <w:keepLines/>
        <w:rPr>
          <w:rFonts w:ascii="Arial Narrow" w:hAnsi="Arial Narrow"/>
          <w:i/>
          <w:sz w:val="18"/>
          <w:szCs w:val="18"/>
        </w:rPr>
      </w:pPr>
    </w:p>
    <w:p w:rsidR="00FD4065" w:rsidRPr="00871292" w:rsidRDefault="00173E7B" w:rsidP="00173E7B">
      <w:pPr>
        <w:shd w:val="clear" w:color="auto" w:fill="FFFFFF"/>
        <w:textAlignment w:val="baseline"/>
        <w:rPr>
          <w:rFonts w:ascii="Arial Narrow" w:hAnsi="Arial Narrow"/>
          <w:sz w:val="18"/>
          <w:szCs w:val="18"/>
        </w:rPr>
      </w:pPr>
      <w:r w:rsidRPr="00871292">
        <w:rPr>
          <w:rFonts w:ascii="Arial Narrow" w:hAnsi="Arial Narrow"/>
          <w:i/>
          <w:sz w:val="18"/>
          <w:szCs w:val="18"/>
        </w:rPr>
        <w:t>For the second and subsequent cycles, a 'grandfather' patient must qualify for continuing treatment under the criteria that apply to a continuing patient.</w:t>
      </w:r>
    </w:p>
    <w:p w:rsidR="00DC30F4" w:rsidRPr="00871292" w:rsidRDefault="00DC30F4"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(b) Continuing treatment.</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trike/>
          <w:sz w:val="18"/>
          <w:szCs w:val="18"/>
        </w:rPr>
      </w:pPr>
      <w:r w:rsidRPr="00871292">
        <w:rPr>
          <w:rFonts w:ascii="Arial Narrow" w:hAnsi="Arial Narrow"/>
          <w:strike/>
          <w:sz w:val="18"/>
          <w:szCs w:val="18"/>
        </w:rPr>
        <w:t>For the first continuing treatment course of PBS-subsidised biological medicine, it is recommended that a patient is reviewed for response following a minimum of 12 weeks of therapy under the Initial 1, Initial 2 or Initial 3 treatment restrictions. For second and subsequent continuing courses of PBS-subsidised biological medicine it is recommended that a patient be reviewed the month prior to completing their current course of treatment to ensure uninterrupted biological medicine supply.</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Following the completion of an initial treatment course with a specific biological medicine, a patient may qualify to receive up to 24 weeks of continuing treatment with that drug providing they have demonstrated an adequate response to treatment. The patient remains eligible to receive continuing biological medicine treatment with the same drug in courses of up to 24 weeks providing they continue to sustain the response.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Assessment of the patient's response to treatment must be conducted following a minimum of 12 weeks of therapy and no later than 4 weeks from the cessation of the most recent course of biological medicine therapy. Where a response assessment is not conducted within the required timeframe, the patient will be deemed to have failed to respond to treatment with that biological medicine, unless the patient has experienced a serious adverse reaction of a severity resulting in the necessity for permanent withdrawal of treatment.</w:t>
      </w:r>
    </w:p>
    <w:p w:rsidR="00FD4065" w:rsidRPr="00871292" w:rsidRDefault="00FD4065" w:rsidP="00FD4065">
      <w:pPr>
        <w:rPr>
          <w:rFonts w:ascii="Arial Narrow" w:hAnsi="Arial Narrow"/>
          <w:i/>
          <w:sz w:val="18"/>
          <w:szCs w:val="18"/>
        </w:rPr>
      </w:pPr>
    </w:p>
    <w:p w:rsidR="00FD4065" w:rsidRPr="00871292" w:rsidRDefault="00FD4065" w:rsidP="00FD4065">
      <w:pPr>
        <w:rPr>
          <w:rFonts w:ascii="Arial Narrow" w:hAnsi="Arial Narrow"/>
          <w:sz w:val="18"/>
          <w:szCs w:val="18"/>
        </w:rPr>
      </w:pPr>
      <w:r w:rsidRPr="00871292">
        <w:rPr>
          <w:rFonts w:ascii="Arial Narrow" w:hAnsi="Arial Narrow"/>
          <w:sz w:val="18"/>
          <w:szCs w:val="18"/>
        </w:rPr>
        <w:t>Infliximab and etanercept only:</w:t>
      </w:r>
    </w:p>
    <w:p w:rsidR="00FD4065" w:rsidRPr="00871292" w:rsidRDefault="00FD4065" w:rsidP="00FD4065">
      <w:pPr>
        <w:rPr>
          <w:rFonts w:ascii="Arial Narrow" w:hAnsi="Arial Narrow"/>
          <w:sz w:val="18"/>
          <w:szCs w:val="18"/>
        </w:rPr>
      </w:pPr>
    </w:p>
    <w:p w:rsidR="00FD4065" w:rsidRPr="00871292" w:rsidRDefault="00FD4065" w:rsidP="00FD4065">
      <w:pPr>
        <w:rPr>
          <w:rFonts w:ascii="Arial Narrow" w:hAnsi="Arial Narrow"/>
          <w:sz w:val="18"/>
          <w:szCs w:val="18"/>
        </w:rPr>
      </w:pPr>
      <w:r w:rsidRPr="00871292">
        <w:rPr>
          <w:rFonts w:ascii="Arial Narrow" w:hAnsi="Arial Narrow"/>
          <w:sz w:val="18"/>
          <w:szCs w:val="18"/>
        </w:rPr>
        <w:t xml:space="preserve">For the first continuing treatment course of PBS-subsidised biological medicine treatment, it is recommended that a patient is reviewed for response following a minimum of 12 weeks of therapy and no later than 4 weeks from the completion of the most recent course of treatment under the Initial 1, </w:t>
      </w:r>
      <w:r w:rsidRPr="00871292">
        <w:rPr>
          <w:rFonts w:ascii="Arial Narrow" w:hAnsi="Arial Narrow"/>
          <w:strike/>
          <w:sz w:val="18"/>
          <w:szCs w:val="18"/>
        </w:rPr>
        <w:t>or</w:t>
      </w:r>
      <w:r w:rsidRPr="00871292">
        <w:rPr>
          <w:rFonts w:ascii="Arial Narrow" w:hAnsi="Arial Narrow"/>
          <w:sz w:val="18"/>
          <w:szCs w:val="18"/>
        </w:rPr>
        <w:t xml:space="preserve"> Initial 2 </w:t>
      </w:r>
      <w:r w:rsidRPr="00871292">
        <w:rPr>
          <w:rFonts w:ascii="Arial Narrow" w:hAnsi="Arial Narrow"/>
          <w:i/>
          <w:sz w:val="18"/>
          <w:szCs w:val="18"/>
        </w:rPr>
        <w:t>or Initial 3</w:t>
      </w:r>
      <w:r w:rsidRPr="00871292">
        <w:rPr>
          <w:rFonts w:ascii="Arial Narrow" w:hAnsi="Arial Narrow"/>
          <w:sz w:val="18"/>
          <w:szCs w:val="18"/>
        </w:rPr>
        <w:t xml:space="preserve"> treatment restrictions.</w:t>
      </w:r>
    </w:p>
    <w:p w:rsidR="00FD4065" w:rsidRPr="00871292" w:rsidRDefault="00FD4065" w:rsidP="00FD4065">
      <w:pPr>
        <w:rPr>
          <w:rFonts w:ascii="Arial Narrow" w:hAnsi="Arial Narrow"/>
          <w:sz w:val="18"/>
          <w:szCs w:val="18"/>
        </w:rPr>
      </w:pPr>
    </w:p>
    <w:p w:rsidR="00FD4065" w:rsidRPr="00871292" w:rsidRDefault="00FD4065" w:rsidP="00FD4065">
      <w:pPr>
        <w:rPr>
          <w:rFonts w:ascii="Arial Narrow" w:hAnsi="Arial Narrow"/>
          <w:iCs/>
          <w:sz w:val="18"/>
          <w:szCs w:val="18"/>
        </w:rPr>
      </w:pPr>
      <w:r w:rsidRPr="00871292">
        <w:rPr>
          <w:rFonts w:ascii="Arial Narrow" w:hAnsi="Arial Narrow"/>
          <w:iCs/>
          <w:sz w:val="18"/>
          <w:szCs w:val="18"/>
        </w:rPr>
        <w:t>For the second and subsequent continuing courses of PBS-subsidised biological medicine treatment, it is recommended that an assessment of a patient's response is conducted following a minimum of 12 weeks of therapy and no later than 4 weeks from the completion of the most recent course of treatment.</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(2) Swapping therapy.</w:t>
      </w: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Once initial treatment with the first PBS-subsidised biological medicine is approved, a patient may swap to an alternate biological medicine within the same treatment cycle without having to requalify with respect to the indices of disease severity (i.e. the erythrocyte sedimentation rate (ESR), the C-reactive protein (CRP) levels and the BASDAI), or the prior NSAID therapy and exercise program requirements.</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A patient may trial an alternate biological medicine at any time, regardless of whether they are receiving therapy (initial or continuing) with a biological medicine at the time of the application. However, they cannot swap to a particular biological medicine if they have failed to respond to prior treatment with that drug within the same treatment cycle.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lastRenderedPageBreak/>
        <w:t>To ensure a patient receives the maximum treatment opportunities allowed under these arrangements, it is important that they are assessed for response to every course of treatment.</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hemeFill="background1"/>
        <w:textAlignment w:val="baseline"/>
        <w:rPr>
          <w:rFonts w:ascii="Arial Narrow" w:hAnsi="Arial Narrow"/>
          <w:sz w:val="18"/>
          <w:szCs w:val="18"/>
        </w:rPr>
      </w:pPr>
      <w:r w:rsidRPr="00871292">
        <w:rPr>
          <w:rFonts w:ascii="Arial Narrow" w:hAnsi="Arial Narrow"/>
          <w:sz w:val="18"/>
          <w:szCs w:val="18"/>
        </w:rPr>
        <w:t>(3) Baseline measurements to determine response.</w:t>
      </w:r>
    </w:p>
    <w:p w:rsidR="00FD4065" w:rsidRPr="00871292" w:rsidRDefault="00FD4065" w:rsidP="00FD4065">
      <w:pPr>
        <w:shd w:val="clear" w:color="auto" w:fill="FFFFFF" w:themeFill="background1"/>
        <w:textAlignment w:val="baseline"/>
        <w:rPr>
          <w:rFonts w:ascii="Arial Narrow" w:hAnsi="Arial Narrow"/>
          <w:sz w:val="18"/>
          <w:szCs w:val="18"/>
        </w:rPr>
      </w:pPr>
      <w:r w:rsidRPr="00871292">
        <w:rPr>
          <w:rFonts w:ascii="Arial Narrow" w:hAnsi="Arial Narrow"/>
          <w:strike/>
          <w:sz w:val="18"/>
          <w:szCs w:val="18"/>
        </w:rPr>
        <w:t xml:space="preserve">Services </w:t>
      </w:r>
      <w:r w:rsidRPr="00871292">
        <w:rPr>
          <w:rFonts w:ascii="Arial Narrow" w:hAnsi="Arial Narrow"/>
          <w:iCs/>
          <w:strike/>
          <w:sz w:val="18"/>
          <w:szCs w:val="18"/>
        </w:rPr>
        <w:t>Australia</w:t>
      </w:r>
      <w:r w:rsidRPr="00871292">
        <w:rPr>
          <w:rFonts w:ascii="Arial Narrow" w:hAnsi="Arial Narrow"/>
          <w:strike/>
          <w:sz w:val="18"/>
          <w:szCs w:val="18"/>
        </w:rPr>
        <w:t xml:space="preserve"> will determine whether a</w:t>
      </w:r>
      <w:r w:rsidRPr="00871292">
        <w:rPr>
          <w:rFonts w:ascii="Arial Narrow" w:hAnsi="Arial Narrow"/>
          <w:sz w:val="18"/>
          <w:szCs w:val="18"/>
        </w:rPr>
        <w:t xml:space="preserve"> </w:t>
      </w:r>
      <w:r w:rsidRPr="00871292">
        <w:rPr>
          <w:rFonts w:ascii="Arial Narrow" w:hAnsi="Arial Narrow"/>
          <w:i/>
          <w:sz w:val="18"/>
          <w:szCs w:val="18"/>
        </w:rPr>
        <w:t>A</w:t>
      </w:r>
      <w:r w:rsidRPr="00871292">
        <w:rPr>
          <w:rFonts w:ascii="Arial Narrow" w:hAnsi="Arial Narrow"/>
          <w:sz w:val="18"/>
          <w:szCs w:val="18"/>
        </w:rPr>
        <w:t xml:space="preserve"> response to treatment </w:t>
      </w:r>
      <w:r w:rsidRPr="00871292">
        <w:rPr>
          <w:rFonts w:ascii="Arial Narrow" w:hAnsi="Arial Narrow"/>
          <w:strike/>
          <w:sz w:val="18"/>
          <w:szCs w:val="18"/>
        </w:rPr>
        <w:t>has been demonstrated based</w:t>
      </w:r>
      <w:r w:rsidRPr="00871292">
        <w:rPr>
          <w:rFonts w:ascii="Arial Narrow" w:hAnsi="Arial Narrow"/>
          <w:sz w:val="18"/>
          <w:szCs w:val="18"/>
        </w:rPr>
        <w:t xml:space="preserve"> </w:t>
      </w:r>
      <w:r w:rsidRPr="00871292">
        <w:rPr>
          <w:rFonts w:ascii="Arial Narrow" w:hAnsi="Arial Narrow"/>
          <w:i/>
          <w:sz w:val="18"/>
          <w:szCs w:val="18"/>
        </w:rPr>
        <w:t>is to be determined by comparison of current disease activity measurements</w:t>
      </w:r>
      <w:r w:rsidRPr="00871292">
        <w:rPr>
          <w:rFonts w:ascii="Arial Narrow" w:hAnsi="Arial Narrow"/>
          <w:sz w:val="18"/>
          <w:szCs w:val="18"/>
        </w:rPr>
        <w:t xml:space="preserve"> </w:t>
      </w:r>
      <w:r w:rsidRPr="00871292">
        <w:rPr>
          <w:rFonts w:ascii="Arial Narrow" w:hAnsi="Arial Narrow"/>
          <w:strike/>
          <w:sz w:val="18"/>
          <w:szCs w:val="18"/>
        </w:rPr>
        <w:t>on</w:t>
      </w:r>
      <w:r w:rsidRPr="00871292">
        <w:rPr>
          <w:rFonts w:ascii="Arial Narrow" w:hAnsi="Arial Narrow"/>
          <w:sz w:val="18"/>
          <w:szCs w:val="18"/>
        </w:rPr>
        <w:t xml:space="preserve"> </w:t>
      </w:r>
      <w:r w:rsidRPr="00871292">
        <w:rPr>
          <w:rFonts w:ascii="Arial Narrow" w:hAnsi="Arial Narrow"/>
          <w:i/>
          <w:sz w:val="18"/>
          <w:szCs w:val="18"/>
        </w:rPr>
        <w:t>relative to</w:t>
      </w:r>
      <w:r w:rsidRPr="00871292">
        <w:rPr>
          <w:rFonts w:ascii="Arial Narrow" w:hAnsi="Arial Narrow"/>
          <w:sz w:val="18"/>
          <w:szCs w:val="18"/>
        </w:rPr>
        <w:t xml:space="preserve"> the baseline measurements of the BASDAI, ESR and/or CRP submitted with the first authority application for a biological medicine.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hemeFill="background1"/>
        <w:textAlignment w:val="baseline"/>
        <w:rPr>
          <w:rFonts w:ascii="Arial Narrow" w:hAnsi="Arial Narrow"/>
          <w:sz w:val="18"/>
          <w:szCs w:val="18"/>
        </w:rPr>
      </w:pPr>
      <w:r w:rsidRPr="00871292">
        <w:rPr>
          <w:rFonts w:ascii="Arial Narrow" w:hAnsi="Arial Narrow"/>
          <w:sz w:val="18"/>
          <w:szCs w:val="18"/>
        </w:rPr>
        <w:t>For a new patient, the BASDAI used to determine the baseline must be measured while the patient is receiving NSAID therapy and completing their exercise program.</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To ensure consistency in determining response, the same indices of disease severity used to establish baseline must be used for all subsequent continuing treatment applications. Therefore, where only an ESR or CRP level is provided at baseline, an ESR or CRP level respectively must be used to determine response.</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hemeFill="background1"/>
        <w:textAlignment w:val="baseline"/>
        <w:rPr>
          <w:rFonts w:ascii="Arial Narrow" w:hAnsi="Arial Narrow"/>
          <w:iCs/>
          <w:sz w:val="18"/>
          <w:szCs w:val="18"/>
        </w:rPr>
      </w:pPr>
      <w:r w:rsidRPr="00871292">
        <w:rPr>
          <w:rFonts w:ascii="Arial Narrow" w:hAnsi="Arial Narrow"/>
          <w:iCs/>
          <w:sz w:val="18"/>
          <w:szCs w:val="18"/>
        </w:rPr>
        <w:t>Prescribers may provide new baseline measurements any time an ‘Initial treatment’ authority application is submitted within a treatment cycle and the eligibility for continuing treatment must be assessed according to these revised baseline measurements.</w:t>
      </w:r>
    </w:p>
    <w:p w:rsidR="00FD4065" w:rsidRPr="00871292" w:rsidRDefault="00FD4065" w:rsidP="00FD4065">
      <w:pPr>
        <w:shd w:val="clear" w:color="auto" w:fill="FFFFFF"/>
        <w:textAlignment w:val="baseline"/>
        <w:rPr>
          <w:rFonts w:ascii="Arial Narrow" w:hAnsi="Arial Narrow"/>
          <w:sz w:val="18"/>
          <w:szCs w:val="18"/>
        </w:rPr>
      </w:pP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(4) Recommencement of treatment after a 5-year break in PBS-subsidised therapy.</w:t>
      </w:r>
    </w:p>
    <w:p w:rsidR="00FD4065" w:rsidRPr="00871292" w:rsidRDefault="00FD4065" w:rsidP="00FD4065">
      <w:pPr>
        <w:shd w:val="clear" w:color="auto" w:fill="FFFFFF"/>
        <w:textAlignment w:val="baseline"/>
        <w:rPr>
          <w:rFonts w:ascii="Arial Narrow" w:hAnsi="Arial Narrow"/>
          <w:sz w:val="18"/>
          <w:szCs w:val="18"/>
        </w:rPr>
      </w:pPr>
      <w:r w:rsidRPr="00871292">
        <w:rPr>
          <w:rFonts w:ascii="Arial Narrow" w:hAnsi="Arial Narrow"/>
          <w:sz w:val="18"/>
          <w:szCs w:val="18"/>
        </w:rPr>
        <w:t>A patient who wishes to trial a second or subsequent course of treatment following a break in PBS-subsidised biological medicine therapy of at least 5 years, must qualify under the Initial 3 treatment restriction. The same clinical criteria and indices of disease severity (i.e. the erythrocyte sedimentation rate (ESR), the C-reactive protein (CRP) levels and the BASDAI) as for the Initial 1 (New patient) restriction will need to be met, but a re-trial of NSAID therapy and exercise therapy is not required.</w:t>
      </w:r>
    </w:p>
    <w:p w:rsidR="00615BB3" w:rsidRPr="00871292" w:rsidRDefault="00615BB3" w:rsidP="00D82EC8">
      <w:pPr>
        <w:widowControl w:val="0"/>
        <w:pBdr>
          <w:bottom w:val="single" w:sz="4" w:space="1" w:color="auto"/>
        </w:pBdr>
        <w:rPr>
          <w:rFonts w:ascii="Arial Narrow" w:hAnsi="Arial Narrow"/>
          <w:bCs/>
          <w:snapToGrid w:val="0"/>
          <w:sz w:val="18"/>
          <w:szCs w:val="18"/>
        </w:rPr>
      </w:pPr>
    </w:p>
    <w:p w:rsidR="00FD4065" w:rsidRPr="00871292" w:rsidRDefault="00FD4065" w:rsidP="00D82EC8">
      <w:pPr>
        <w:widowControl w:val="0"/>
        <w:pBdr>
          <w:bottom w:val="single" w:sz="4" w:space="1" w:color="auto"/>
        </w:pBdr>
        <w:rPr>
          <w:rFonts w:ascii="Arial Narrow" w:hAnsi="Arial Narrow"/>
          <w:bCs/>
          <w:snapToGrid w:val="0"/>
          <w:sz w:val="18"/>
          <w:szCs w:val="18"/>
        </w:rPr>
      </w:pPr>
    </w:p>
    <w:p w:rsidR="00FD4065" w:rsidRPr="00871292" w:rsidRDefault="00FD4065" w:rsidP="00FD4065">
      <w:pPr>
        <w:pStyle w:val="CommentText"/>
        <w:rPr>
          <w:rFonts w:ascii="Arial Narrow" w:hAnsi="Arial Narrow"/>
          <w:sz w:val="18"/>
          <w:szCs w:val="18"/>
        </w:rPr>
      </w:pPr>
    </w:p>
    <w:p w:rsidR="00FD4065" w:rsidRPr="00871292" w:rsidRDefault="00FD4065" w:rsidP="00FD4065">
      <w:pPr>
        <w:pStyle w:val="CommentText"/>
        <w:rPr>
          <w:rFonts w:ascii="Arial Narrow" w:hAnsi="Arial Narrow"/>
          <w:sz w:val="18"/>
          <w:szCs w:val="18"/>
        </w:rPr>
      </w:pPr>
      <w:r w:rsidRPr="00871292">
        <w:rPr>
          <w:rFonts w:ascii="Arial Narrow" w:hAnsi="Arial Narrow"/>
          <w:sz w:val="18"/>
          <w:szCs w:val="18"/>
        </w:rPr>
        <w:t xml:space="preserve">Flow-on changes to Administrative Advice [26621] to the following: </w:t>
      </w:r>
    </w:p>
    <w:p w:rsidR="00DC30F4" w:rsidRPr="00871292" w:rsidRDefault="00DC30F4" w:rsidP="00FD4065">
      <w:pPr>
        <w:pStyle w:val="CommentText"/>
        <w:rPr>
          <w:rFonts w:ascii="Arial Narrow" w:hAnsi="Arial Narrow"/>
          <w:sz w:val="18"/>
          <w:szCs w:val="18"/>
        </w:rPr>
      </w:pPr>
    </w:p>
    <w:p w:rsidR="00DC30F4" w:rsidRPr="00871292" w:rsidRDefault="00DC30F4" w:rsidP="00FD4065">
      <w:pPr>
        <w:pStyle w:val="CommentText"/>
        <w:rPr>
          <w:rFonts w:ascii="Arial Narrow" w:hAnsi="Arial Narrow"/>
          <w:sz w:val="18"/>
          <w:szCs w:val="18"/>
        </w:rPr>
      </w:pPr>
      <w:r w:rsidRPr="00871292">
        <w:rPr>
          <w:rFonts w:ascii="Arial Narrow" w:hAnsi="Arial Narrow"/>
          <w:sz w:val="18"/>
          <w:szCs w:val="18"/>
        </w:rPr>
        <w:t>Adalimumab: 9103D, 9104E, 9077R, 9078T</w:t>
      </w:r>
    </w:p>
    <w:p w:rsidR="00FD4065" w:rsidRPr="00871292" w:rsidRDefault="00FD4065" w:rsidP="00FD4065">
      <w:pPr>
        <w:pStyle w:val="CommentText"/>
        <w:rPr>
          <w:rFonts w:ascii="Arial Narrow" w:hAnsi="Arial Narrow"/>
          <w:sz w:val="18"/>
          <w:szCs w:val="18"/>
        </w:rPr>
      </w:pPr>
    </w:p>
    <w:p w:rsidR="00FD4065" w:rsidRPr="00871292" w:rsidRDefault="00FD4065" w:rsidP="00FD4065">
      <w:pPr>
        <w:pStyle w:val="CommentText"/>
        <w:rPr>
          <w:rFonts w:ascii="Arial Narrow" w:hAnsi="Arial Narrow"/>
          <w:sz w:val="18"/>
          <w:szCs w:val="18"/>
        </w:rPr>
      </w:pPr>
      <w:r w:rsidRPr="00871292">
        <w:rPr>
          <w:rFonts w:ascii="Arial Narrow" w:hAnsi="Arial Narrow"/>
          <w:sz w:val="18"/>
          <w:szCs w:val="18"/>
        </w:rPr>
        <w:t>Certolizumab: 10137M, 10904X, 10897M, 11320T, 11318Q, 11319R.</w:t>
      </w:r>
    </w:p>
    <w:p w:rsidR="00FD4065" w:rsidRPr="00871292" w:rsidRDefault="00FD4065" w:rsidP="00FD4065">
      <w:pPr>
        <w:pStyle w:val="CommentText"/>
        <w:rPr>
          <w:rFonts w:ascii="Arial Narrow" w:hAnsi="Arial Narrow"/>
          <w:sz w:val="18"/>
          <w:szCs w:val="18"/>
        </w:rPr>
      </w:pPr>
    </w:p>
    <w:p w:rsidR="00FD4065" w:rsidRPr="00871292" w:rsidRDefault="00FD4065" w:rsidP="00FD4065">
      <w:pPr>
        <w:pStyle w:val="CommentText"/>
        <w:rPr>
          <w:rFonts w:ascii="Arial Narrow" w:hAnsi="Arial Narrow"/>
          <w:sz w:val="18"/>
          <w:szCs w:val="18"/>
        </w:rPr>
      </w:pPr>
      <w:r w:rsidRPr="00871292">
        <w:rPr>
          <w:rFonts w:ascii="Arial Narrow" w:hAnsi="Arial Narrow"/>
          <w:sz w:val="18"/>
          <w:szCs w:val="18"/>
        </w:rPr>
        <w:t xml:space="preserve">Etanercept: 8778B, 8779C, 9085E, 9086F, 9455P, 9456Q, 11204Q, 11201M, 11196G, 11215G, 11217J. </w:t>
      </w:r>
    </w:p>
    <w:p w:rsidR="00FD4065" w:rsidRPr="00871292" w:rsidRDefault="00FD4065" w:rsidP="00FD4065">
      <w:pPr>
        <w:pStyle w:val="CommentText"/>
        <w:rPr>
          <w:rFonts w:ascii="Arial Narrow" w:hAnsi="Arial Narrow"/>
          <w:sz w:val="18"/>
          <w:szCs w:val="18"/>
        </w:rPr>
      </w:pPr>
    </w:p>
    <w:p w:rsidR="00FD4065" w:rsidRPr="00871292" w:rsidRDefault="00FD4065" w:rsidP="00FD4065">
      <w:pPr>
        <w:pStyle w:val="CommentText"/>
        <w:rPr>
          <w:rFonts w:ascii="Arial Narrow" w:hAnsi="Arial Narrow"/>
          <w:sz w:val="18"/>
          <w:szCs w:val="18"/>
        </w:rPr>
      </w:pPr>
      <w:r w:rsidRPr="00871292">
        <w:rPr>
          <w:rFonts w:ascii="Arial Narrow" w:hAnsi="Arial Narrow"/>
          <w:sz w:val="18"/>
          <w:szCs w:val="18"/>
        </w:rPr>
        <w:t xml:space="preserve">Golimumab: 3434R, 3436W, 11361Y, 11376R. </w:t>
      </w:r>
    </w:p>
    <w:p w:rsidR="00FD4065" w:rsidRPr="00871292" w:rsidRDefault="00FD4065" w:rsidP="00FD4065">
      <w:pPr>
        <w:pStyle w:val="CommentText"/>
        <w:rPr>
          <w:rFonts w:ascii="Arial Narrow" w:hAnsi="Arial Narrow"/>
          <w:sz w:val="18"/>
          <w:szCs w:val="18"/>
        </w:rPr>
      </w:pPr>
    </w:p>
    <w:p w:rsidR="00FD4065" w:rsidRPr="00871292" w:rsidRDefault="00FD4065" w:rsidP="00FD4065">
      <w:pPr>
        <w:pStyle w:val="CommentText"/>
        <w:rPr>
          <w:rFonts w:ascii="Arial Narrow" w:hAnsi="Arial Narrow"/>
          <w:sz w:val="18"/>
          <w:szCs w:val="18"/>
        </w:rPr>
      </w:pPr>
      <w:r w:rsidRPr="00871292">
        <w:rPr>
          <w:rFonts w:ascii="Arial Narrow" w:hAnsi="Arial Narrow"/>
          <w:sz w:val="18"/>
          <w:szCs w:val="18"/>
        </w:rPr>
        <w:t>Infliximab: 5753T, 6448J, 11486M, 11488P, 11482H, 11489Q.</w:t>
      </w:r>
    </w:p>
    <w:p w:rsidR="00FD4065" w:rsidRPr="00871292" w:rsidRDefault="00FD4065" w:rsidP="00FD4065">
      <w:pPr>
        <w:pStyle w:val="CommentText"/>
        <w:rPr>
          <w:rFonts w:ascii="Arial Narrow" w:hAnsi="Arial Narrow"/>
          <w:sz w:val="18"/>
          <w:szCs w:val="18"/>
        </w:rPr>
      </w:pPr>
    </w:p>
    <w:p w:rsidR="00FD4065" w:rsidRPr="00871292" w:rsidRDefault="00FD4065" w:rsidP="00FD4065">
      <w:pPr>
        <w:pStyle w:val="CommentText"/>
        <w:rPr>
          <w:rFonts w:ascii="Arial Narrow" w:hAnsi="Arial Narrow"/>
          <w:sz w:val="18"/>
          <w:szCs w:val="18"/>
        </w:rPr>
      </w:pPr>
      <w:r w:rsidRPr="00871292">
        <w:rPr>
          <w:rFonts w:ascii="Arial Narrow" w:hAnsi="Arial Narrow"/>
          <w:sz w:val="18"/>
          <w:szCs w:val="18"/>
        </w:rPr>
        <w:t xml:space="preserve">Secukinumab: 10893H, 10906B, 10890E. </w:t>
      </w:r>
    </w:p>
    <w:p w:rsidR="00FD4065" w:rsidRPr="00871292" w:rsidRDefault="00FD4065" w:rsidP="00FD4065">
      <w:pPr>
        <w:pStyle w:val="CommentText"/>
        <w:rPr>
          <w:rFonts w:ascii="Arial Narrow" w:hAnsi="Arial Narrow"/>
          <w:sz w:val="18"/>
          <w:szCs w:val="18"/>
        </w:rPr>
      </w:pPr>
    </w:p>
    <w:p w:rsidR="00FD4065" w:rsidRPr="00871292" w:rsidRDefault="00FD4065" w:rsidP="00FD4065">
      <w:pPr>
        <w:widowControl w:val="0"/>
        <w:pBdr>
          <w:bottom w:val="single" w:sz="4" w:space="1" w:color="auto"/>
        </w:pBdr>
        <w:rPr>
          <w:rFonts w:ascii="Arial Narrow" w:hAnsi="Arial Narrow"/>
          <w:bCs/>
          <w:snapToGrid w:val="0"/>
          <w:sz w:val="18"/>
          <w:szCs w:val="18"/>
        </w:rPr>
      </w:pPr>
      <w:r w:rsidRPr="00871292">
        <w:rPr>
          <w:rFonts w:ascii="Arial Narrow" w:hAnsi="Arial Narrow"/>
          <w:sz w:val="18"/>
          <w:szCs w:val="18"/>
        </w:rPr>
        <w:t>Ixekizumab: 12209N, 12217B</w:t>
      </w:r>
      <w:r w:rsidR="00871292">
        <w:rPr>
          <w:rFonts w:ascii="Arial Narrow" w:hAnsi="Arial Narrow"/>
          <w:sz w:val="18"/>
          <w:szCs w:val="18"/>
        </w:rPr>
        <w:t xml:space="preserve">. </w:t>
      </w:r>
    </w:p>
    <w:p w:rsidR="00FD4065" w:rsidRPr="00871292" w:rsidRDefault="00FD4065" w:rsidP="00D82EC8">
      <w:pPr>
        <w:widowControl w:val="0"/>
        <w:pBdr>
          <w:bottom w:val="single" w:sz="4" w:space="1" w:color="auto"/>
        </w:pBdr>
        <w:rPr>
          <w:rFonts w:ascii="Arial Narrow" w:hAnsi="Arial Narrow"/>
          <w:bCs/>
          <w:snapToGrid w:val="0"/>
          <w:sz w:val="18"/>
          <w:szCs w:val="18"/>
        </w:rPr>
      </w:pPr>
    </w:p>
    <w:p w:rsidR="00FD4065" w:rsidRPr="00871292" w:rsidRDefault="00FD4065" w:rsidP="00736DA9">
      <w:pPr>
        <w:rPr>
          <w:rFonts w:ascii="Arial Narrow" w:hAnsi="Arial Narrow"/>
          <w:bCs/>
          <w:i/>
          <w:sz w:val="18"/>
          <w:szCs w:val="18"/>
        </w:rPr>
      </w:pPr>
    </w:p>
    <w:p w:rsidR="00736DA9" w:rsidRPr="00CE3A4E" w:rsidRDefault="00736DA9" w:rsidP="00736DA9">
      <w:pPr>
        <w:rPr>
          <w:rFonts w:asciiTheme="minorHAnsi" w:hAnsiTheme="minorHAnsi" w:cstheme="minorHAnsi"/>
          <w:b/>
          <w:bCs/>
          <w:i/>
        </w:rPr>
      </w:pPr>
      <w:r w:rsidRPr="00CE3A4E">
        <w:rPr>
          <w:rFonts w:asciiTheme="minorHAnsi" w:hAnsiTheme="minorHAnsi" w:cstheme="minorHAnsi"/>
          <w:b/>
          <w:bCs/>
          <w:i/>
        </w:rPr>
        <w:t>This restriction may be subject to further review. Should there be any changes made to the restriction the Sponsor will be informed.</w:t>
      </w:r>
    </w:p>
    <w:p w:rsidR="00D82EC8" w:rsidRDefault="00D82EC8" w:rsidP="00D82EC8">
      <w:pPr>
        <w:pStyle w:val="NoSpacing"/>
      </w:pPr>
    </w:p>
    <w:p w:rsidR="001749C0" w:rsidRPr="001749C0" w:rsidRDefault="001749C0" w:rsidP="001749C0">
      <w:pPr>
        <w:pStyle w:val="2-SectionHeading"/>
      </w:pPr>
      <w:r w:rsidRPr="00C07617">
        <w:t>Context for Decision</w:t>
      </w:r>
    </w:p>
    <w:p w:rsidR="001749C0" w:rsidRPr="007129F2" w:rsidRDefault="001749C0" w:rsidP="00DB378E">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w:t>
      </w:r>
      <w:r w:rsidRPr="007129F2">
        <w:rPr>
          <w:rFonts w:asciiTheme="minorHAnsi" w:hAnsiTheme="minorHAnsi"/>
          <w:bCs/>
          <w:lang w:val="en-GB"/>
        </w:rPr>
        <w:lastRenderedPageBreak/>
        <w:t>relation to PBS listings does not necessarily represent a final PBAC view about the merits of the medicine or the circumstances in which it should be made available through the PBS. The PBAC welcomes applications containing new information at any time.</w:t>
      </w:r>
    </w:p>
    <w:p w:rsidR="001749C0" w:rsidRPr="00C07617" w:rsidRDefault="001749C0" w:rsidP="001749C0">
      <w:pPr>
        <w:pStyle w:val="2-SectionHeading"/>
        <w:rPr>
          <w:b w:val="0"/>
        </w:rPr>
      </w:pPr>
      <w:r>
        <w:t>Sponsor’s Comment</w:t>
      </w:r>
    </w:p>
    <w:p w:rsidR="001749C0" w:rsidRPr="00DB378E" w:rsidRDefault="00031BAE" w:rsidP="00DB378E">
      <w:pPr>
        <w:pStyle w:val="NoSpacing"/>
        <w:ind w:left="720"/>
        <w:rPr>
          <w:rFonts w:asciiTheme="minorHAnsi" w:hAnsiTheme="minorHAnsi"/>
          <w:bCs/>
          <w:snapToGrid/>
          <w:sz w:val="24"/>
          <w:szCs w:val="24"/>
          <w:lang w:val="en-GB" w:eastAsia="en-AU"/>
        </w:rPr>
      </w:pPr>
      <w:r w:rsidRPr="00DB378E">
        <w:rPr>
          <w:rFonts w:asciiTheme="minorHAnsi" w:hAnsiTheme="minorHAnsi"/>
          <w:bCs/>
          <w:snapToGrid/>
          <w:sz w:val="24"/>
          <w:szCs w:val="24"/>
          <w:lang w:val="en-GB" w:eastAsia="en-AU"/>
        </w:rPr>
        <w:t>AbbVie welcomes the decision of the PBAC and is working with the Department of Health on the</w:t>
      </w:r>
      <w:r w:rsidR="00DB378E" w:rsidRPr="00DB378E">
        <w:rPr>
          <w:rFonts w:asciiTheme="minorHAnsi" w:hAnsiTheme="minorHAnsi"/>
          <w:bCs/>
          <w:snapToGrid/>
          <w:sz w:val="24"/>
          <w:szCs w:val="24"/>
          <w:lang w:val="en-GB" w:eastAsia="en-AU"/>
        </w:rPr>
        <w:t xml:space="preserve"> earliest possible PBS listing.</w:t>
      </w:r>
    </w:p>
    <w:sectPr w:rsidR="001749C0" w:rsidRPr="00DB378E" w:rsidSect="00F3656C">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1B831" w16cid:durableId="238D7D7F"/>
  <w16cid:commentId w16cid:paraId="6D5C9C69" w16cid:durableId="238D866D"/>
  <w16cid:commentId w16cid:paraId="3A6E9676" w16cid:durableId="23A6BB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C98" w:rsidRDefault="00AE4C98" w:rsidP="00124A51">
      <w:r>
        <w:separator/>
      </w:r>
    </w:p>
    <w:p w:rsidR="00AE4C98" w:rsidRDefault="00AE4C98"/>
  </w:endnote>
  <w:endnote w:type="continuationSeparator" w:id="0">
    <w:p w:rsidR="00AE4C98" w:rsidRDefault="00AE4C98" w:rsidP="00124A51">
      <w:r>
        <w:continuationSeparator/>
      </w:r>
    </w:p>
    <w:p w:rsidR="00AE4C98" w:rsidRDefault="00AE4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MS Reference Sans Seri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98" w:rsidRDefault="00AE4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053" w:rsidRDefault="00430053" w:rsidP="006647DB">
    <w:pPr>
      <w:ind w:right="360"/>
      <w:jc w:val="center"/>
    </w:pPr>
  </w:p>
  <w:p w:rsidR="00430053" w:rsidRPr="00D6458E" w:rsidRDefault="00430053" w:rsidP="00D6458E">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5B1E64">
      <w:rPr>
        <w:b/>
        <w:noProof/>
      </w:rPr>
      <w:t>28</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98" w:rsidRDefault="00AE4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C98" w:rsidRDefault="00AE4C98" w:rsidP="00124A51">
      <w:r>
        <w:separator/>
      </w:r>
    </w:p>
    <w:p w:rsidR="00AE4C98" w:rsidRDefault="00AE4C98"/>
  </w:footnote>
  <w:footnote w:type="continuationSeparator" w:id="0">
    <w:p w:rsidR="00AE4C98" w:rsidRDefault="00AE4C98" w:rsidP="00124A51">
      <w:r>
        <w:continuationSeparator/>
      </w:r>
    </w:p>
    <w:p w:rsidR="00AE4C98" w:rsidRDefault="00AE4C98"/>
  </w:footnote>
  <w:footnote w:id="1">
    <w:p w:rsidR="00430053" w:rsidRDefault="00430053" w:rsidP="0081463C">
      <w:pPr>
        <w:pStyle w:val="FootnoteText"/>
      </w:pPr>
      <w:r>
        <w:rPr>
          <w:rStyle w:val="FootnoteReference"/>
        </w:rPr>
        <w:footnoteRef/>
      </w:r>
      <w:r>
        <w:t xml:space="preserve"> Rudwaleit M, van der Heijde D, Landewe R, et al., The development of Assessment of SpondyloArthritis international Society classification criteria for axial spondyloarthritis (part II): validation and final selection. </w:t>
      </w:r>
      <w:r w:rsidRPr="00F224E3">
        <w:t>Ann</w:t>
      </w:r>
      <w:r>
        <w:t>als of</w:t>
      </w:r>
      <w:r w:rsidRPr="00F224E3">
        <w:t xml:space="preserve"> Rheum</w:t>
      </w:r>
      <w:r>
        <w:t>atic</w:t>
      </w:r>
      <w:r w:rsidRPr="00F224E3">
        <w:t xml:space="preserve"> Dis</w:t>
      </w:r>
      <w:r>
        <w:t>eases</w:t>
      </w:r>
      <w:r w:rsidRPr="00F224E3">
        <w:t xml:space="preserve"> 2009;</w:t>
      </w:r>
      <w:r>
        <w:t xml:space="preserve"> </w:t>
      </w:r>
      <w:r w:rsidRPr="00F224E3">
        <w:t>68:777–783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98" w:rsidRDefault="00AE4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053" w:rsidRDefault="00430053" w:rsidP="001749C0">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p>
  <w:p w:rsidR="00430053" w:rsidRDefault="00430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98" w:rsidRDefault="00AE4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502"/>
        </w:tabs>
        <w:ind w:left="502" w:hanging="360"/>
      </w:pPr>
      <w:rPr>
        <w:rFonts w:ascii="Symbol" w:hAnsi="Symbol" w:hint="default"/>
      </w:rPr>
    </w:lvl>
  </w:abstractNum>
  <w:abstractNum w:abstractNumId="1" w15:restartNumberingAfterBreak="0">
    <w:nsid w:val="008779E5"/>
    <w:multiLevelType w:val="hybridMultilevel"/>
    <w:tmpl w:val="125E1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F6216"/>
    <w:multiLevelType w:val="hybridMultilevel"/>
    <w:tmpl w:val="826AB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874D41"/>
    <w:multiLevelType w:val="hybridMultilevel"/>
    <w:tmpl w:val="E4B0C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964473"/>
    <w:multiLevelType w:val="hybridMultilevel"/>
    <w:tmpl w:val="54E64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816295"/>
    <w:multiLevelType w:val="hybridMultilevel"/>
    <w:tmpl w:val="A516E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66310E"/>
    <w:multiLevelType w:val="multilevel"/>
    <w:tmpl w:val="3A2AB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9F24001"/>
    <w:multiLevelType w:val="hybridMultilevel"/>
    <w:tmpl w:val="45DEAB3A"/>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9"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E518C9"/>
    <w:multiLevelType w:val="hybridMultilevel"/>
    <w:tmpl w:val="1CAC6D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B6274A"/>
    <w:multiLevelType w:val="hybridMultilevel"/>
    <w:tmpl w:val="AC6672B8"/>
    <w:lvl w:ilvl="0" w:tplc="E1B6BF4A">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6C72"/>
    <w:multiLevelType w:val="hybridMultilevel"/>
    <w:tmpl w:val="FF782FE4"/>
    <w:lvl w:ilvl="0" w:tplc="9B76A1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5127B"/>
    <w:multiLevelType w:val="hybridMultilevel"/>
    <w:tmpl w:val="4E94D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A6619"/>
    <w:multiLevelType w:val="hybridMultilevel"/>
    <w:tmpl w:val="507ABA12"/>
    <w:lvl w:ilvl="0" w:tplc="C9E4A27E">
      <w:numFmt w:val="bullet"/>
      <w:lvlText w:val="-"/>
      <w:lvlJc w:val="left"/>
      <w:pPr>
        <w:ind w:left="360" w:hanging="360"/>
      </w:pPr>
      <w:rPr>
        <w:rFonts w:ascii="Arial Narrow" w:eastAsiaTheme="majorEastAsia" w:hAnsi="Arial Narrow" w:cstheme="majorBidi" w:hint="default"/>
        <w: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13E6F20"/>
    <w:multiLevelType w:val="hybridMultilevel"/>
    <w:tmpl w:val="D2269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26373E1"/>
    <w:multiLevelType w:val="hybridMultilevel"/>
    <w:tmpl w:val="D8B07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B12561"/>
    <w:multiLevelType w:val="hybridMultilevel"/>
    <w:tmpl w:val="81484BB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E8B62DD6"/>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8"/>
  </w:num>
  <w:num w:numId="3">
    <w:abstractNumId w:val="0"/>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10"/>
  </w:num>
  <w:num w:numId="8">
    <w:abstractNumId w:val="20"/>
  </w:num>
  <w:num w:numId="9">
    <w:abstractNumId w:val="22"/>
  </w:num>
  <w:num w:numId="10">
    <w:abstractNumId w:val="1"/>
  </w:num>
  <w:num w:numId="11">
    <w:abstractNumId w:val="4"/>
  </w:num>
  <w:num w:numId="12">
    <w:abstractNumId w:val="17"/>
  </w:num>
  <w:num w:numId="13">
    <w:abstractNumId w:val="3"/>
  </w:num>
  <w:num w:numId="14">
    <w:abstractNumId w:val="6"/>
  </w:num>
  <w:num w:numId="15">
    <w:abstractNumId w:val="23"/>
  </w:num>
  <w:num w:numId="16">
    <w:abstractNumId w:val="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6"/>
  </w:num>
  <w:num w:numId="20">
    <w:abstractNumId w:val="24"/>
  </w:num>
  <w:num w:numId="21">
    <w:abstractNumId w:val="25"/>
  </w:num>
  <w:num w:numId="22">
    <w:abstractNumId w:val="9"/>
  </w:num>
  <w:num w:numId="23">
    <w:abstractNumId w:val="2"/>
  </w:num>
  <w:num w:numId="24">
    <w:abstractNumId w:val="14"/>
  </w:num>
  <w:num w:numId="25">
    <w:abstractNumId w:val="15"/>
  </w:num>
  <w:num w:numId="26">
    <w:abstractNumId w:val="12"/>
  </w:num>
  <w:num w:numId="27">
    <w:abstractNumId w:val="13"/>
  </w:num>
  <w:num w:numId="28">
    <w:abstractNumId w:val="8"/>
  </w:num>
  <w:num w:numId="29">
    <w:abstractNumId w:val="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6"/>
  </w:num>
  <w:num w:numId="34">
    <w:abstractNumId w:val="26"/>
  </w:num>
  <w:num w:numId="35">
    <w:abstractNumId w:val="21"/>
  </w:num>
  <w:num w:numId="36">
    <w:abstractNumId w:val="26"/>
  </w:num>
  <w:num w:numId="3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activeWritingStyle w:appName="MSWord" w:lang="fr-FR" w:vendorID="64" w:dllVersion="6" w:nlCheck="1" w:checkStyle="0"/>
  <w:activeWritingStyle w:appName="MSWord" w:lang="en-AU"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4096" w:nlCheck="1" w:checkStyle="0"/>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4111"/>
    <w:rsid w:val="0000490E"/>
    <w:rsid w:val="00004DC3"/>
    <w:rsid w:val="00005A01"/>
    <w:rsid w:val="00005A9D"/>
    <w:rsid w:val="0000639A"/>
    <w:rsid w:val="000069F6"/>
    <w:rsid w:val="00010D02"/>
    <w:rsid w:val="000130A4"/>
    <w:rsid w:val="00013247"/>
    <w:rsid w:val="00015886"/>
    <w:rsid w:val="00015C7C"/>
    <w:rsid w:val="000162EF"/>
    <w:rsid w:val="0001655B"/>
    <w:rsid w:val="00016B34"/>
    <w:rsid w:val="00017C84"/>
    <w:rsid w:val="00017F40"/>
    <w:rsid w:val="00017F96"/>
    <w:rsid w:val="000207C9"/>
    <w:rsid w:val="0002225F"/>
    <w:rsid w:val="000226F1"/>
    <w:rsid w:val="00023763"/>
    <w:rsid w:val="00025975"/>
    <w:rsid w:val="0002604D"/>
    <w:rsid w:val="00026447"/>
    <w:rsid w:val="000274B8"/>
    <w:rsid w:val="00031236"/>
    <w:rsid w:val="00031BAE"/>
    <w:rsid w:val="00031E40"/>
    <w:rsid w:val="000326CD"/>
    <w:rsid w:val="0003275B"/>
    <w:rsid w:val="00032802"/>
    <w:rsid w:val="00032AB5"/>
    <w:rsid w:val="00033863"/>
    <w:rsid w:val="00033AEE"/>
    <w:rsid w:val="0003477B"/>
    <w:rsid w:val="00035133"/>
    <w:rsid w:val="00035B8E"/>
    <w:rsid w:val="00035DC0"/>
    <w:rsid w:val="000366C9"/>
    <w:rsid w:val="00036829"/>
    <w:rsid w:val="00036C39"/>
    <w:rsid w:val="000376F0"/>
    <w:rsid w:val="00037936"/>
    <w:rsid w:val="00037DC5"/>
    <w:rsid w:val="00040895"/>
    <w:rsid w:val="00042194"/>
    <w:rsid w:val="000435EE"/>
    <w:rsid w:val="00043C37"/>
    <w:rsid w:val="00045017"/>
    <w:rsid w:val="00045A2B"/>
    <w:rsid w:val="00045CC3"/>
    <w:rsid w:val="0004691C"/>
    <w:rsid w:val="0004698F"/>
    <w:rsid w:val="00050202"/>
    <w:rsid w:val="00052836"/>
    <w:rsid w:val="000539D0"/>
    <w:rsid w:val="00054621"/>
    <w:rsid w:val="000546D7"/>
    <w:rsid w:val="000569B8"/>
    <w:rsid w:val="00056DF4"/>
    <w:rsid w:val="00056ECF"/>
    <w:rsid w:val="00057630"/>
    <w:rsid w:val="000604DF"/>
    <w:rsid w:val="00060829"/>
    <w:rsid w:val="000653B5"/>
    <w:rsid w:val="000654C7"/>
    <w:rsid w:val="00066360"/>
    <w:rsid w:val="00066AF8"/>
    <w:rsid w:val="00066D29"/>
    <w:rsid w:val="00067483"/>
    <w:rsid w:val="00071248"/>
    <w:rsid w:val="000720B9"/>
    <w:rsid w:val="000737F7"/>
    <w:rsid w:val="00073D9C"/>
    <w:rsid w:val="0007672F"/>
    <w:rsid w:val="00076B54"/>
    <w:rsid w:val="000774F0"/>
    <w:rsid w:val="00080909"/>
    <w:rsid w:val="000812CA"/>
    <w:rsid w:val="00081E63"/>
    <w:rsid w:val="0008258D"/>
    <w:rsid w:val="00083E99"/>
    <w:rsid w:val="00084FA8"/>
    <w:rsid w:val="000856C5"/>
    <w:rsid w:val="00085C31"/>
    <w:rsid w:val="0008652C"/>
    <w:rsid w:val="00086878"/>
    <w:rsid w:val="000872E3"/>
    <w:rsid w:val="000902D9"/>
    <w:rsid w:val="00090C7E"/>
    <w:rsid w:val="00092600"/>
    <w:rsid w:val="0009262B"/>
    <w:rsid w:val="00093310"/>
    <w:rsid w:val="000941C7"/>
    <w:rsid w:val="0009445C"/>
    <w:rsid w:val="00094D7C"/>
    <w:rsid w:val="00095057"/>
    <w:rsid w:val="00095200"/>
    <w:rsid w:val="00095FE5"/>
    <w:rsid w:val="00096284"/>
    <w:rsid w:val="00096A42"/>
    <w:rsid w:val="00096F97"/>
    <w:rsid w:val="000A03EB"/>
    <w:rsid w:val="000A1BC0"/>
    <w:rsid w:val="000A1C6F"/>
    <w:rsid w:val="000A6039"/>
    <w:rsid w:val="000A621F"/>
    <w:rsid w:val="000A6D0F"/>
    <w:rsid w:val="000A7453"/>
    <w:rsid w:val="000A7D08"/>
    <w:rsid w:val="000B0121"/>
    <w:rsid w:val="000B0611"/>
    <w:rsid w:val="000B0670"/>
    <w:rsid w:val="000B0E75"/>
    <w:rsid w:val="000B2357"/>
    <w:rsid w:val="000B2DCB"/>
    <w:rsid w:val="000B3E09"/>
    <w:rsid w:val="000B4539"/>
    <w:rsid w:val="000B5394"/>
    <w:rsid w:val="000B58B6"/>
    <w:rsid w:val="000B5CE0"/>
    <w:rsid w:val="000B6CAC"/>
    <w:rsid w:val="000B7612"/>
    <w:rsid w:val="000B76B3"/>
    <w:rsid w:val="000B78AE"/>
    <w:rsid w:val="000C3DF9"/>
    <w:rsid w:val="000C4FC5"/>
    <w:rsid w:val="000C62EE"/>
    <w:rsid w:val="000C6713"/>
    <w:rsid w:val="000C6F50"/>
    <w:rsid w:val="000C7F7B"/>
    <w:rsid w:val="000D1BFC"/>
    <w:rsid w:val="000D1D5D"/>
    <w:rsid w:val="000D281A"/>
    <w:rsid w:val="000D2848"/>
    <w:rsid w:val="000D3137"/>
    <w:rsid w:val="000D326A"/>
    <w:rsid w:val="000D51FB"/>
    <w:rsid w:val="000E0640"/>
    <w:rsid w:val="000E135D"/>
    <w:rsid w:val="000E2823"/>
    <w:rsid w:val="000E30A4"/>
    <w:rsid w:val="000E58AB"/>
    <w:rsid w:val="000E722E"/>
    <w:rsid w:val="000E78B5"/>
    <w:rsid w:val="000F00BA"/>
    <w:rsid w:val="000F0BB4"/>
    <w:rsid w:val="000F316A"/>
    <w:rsid w:val="000F3C42"/>
    <w:rsid w:val="000F3C74"/>
    <w:rsid w:val="000F4BAF"/>
    <w:rsid w:val="000F4BB8"/>
    <w:rsid w:val="000F4FA9"/>
    <w:rsid w:val="000F53FB"/>
    <w:rsid w:val="000F63EB"/>
    <w:rsid w:val="000F6883"/>
    <w:rsid w:val="000F6FFA"/>
    <w:rsid w:val="000F7127"/>
    <w:rsid w:val="000F7B54"/>
    <w:rsid w:val="00100F8A"/>
    <w:rsid w:val="00104362"/>
    <w:rsid w:val="0010452E"/>
    <w:rsid w:val="00105AE2"/>
    <w:rsid w:val="001060C6"/>
    <w:rsid w:val="00106B80"/>
    <w:rsid w:val="0011032E"/>
    <w:rsid w:val="00111241"/>
    <w:rsid w:val="00111B13"/>
    <w:rsid w:val="001130AB"/>
    <w:rsid w:val="0011348B"/>
    <w:rsid w:val="00113490"/>
    <w:rsid w:val="001139CD"/>
    <w:rsid w:val="00115982"/>
    <w:rsid w:val="00116C53"/>
    <w:rsid w:val="00117953"/>
    <w:rsid w:val="00117D18"/>
    <w:rsid w:val="00120045"/>
    <w:rsid w:val="00121799"/>
    <w:rsid w:val="00121BBC"/>
    <w:rsid w:val="00121E53"/>
    <w:rsid w:val="001222FC"/>
    <w:rsid w:val="00123902"/>
    <w:rsid w:val="00123BBE"/>
    <w:rsid w:val="00124A51"/>
    <w:rsid w:val="001251BE"/>
    <w:rsid w:val="001257B1"/>
    <w:rsid w:val="00126621"/>
    <w:rsid w:val="00126898"/>
    <w:rsid w:val="00126B1D"/>
    <w:rsid w:val="001301E9"/>
    <w:rsid w:val="00131636"/>
    <w:rsid w:val="00131D82"/>
    <w:rsid w:val="00131FA6"/>
    <w:rsid w:val="00132B22"/>
    <w:rsid w:val="00133D36"/>
    <w:rsid w:val="00137645"/>
    <w:rsid w:val="0014015A"/>
    <w:rsid w:val="00140E99"/>
    <w:rsid w:val="00141B0B"/>
    <w:rsid w:val="00142DE9"/>
    <w:rsid w:val="00143F67"/>
    <w:rsid w:val="00144AFB"/>
    <w:rsid w:val="00145540"/>
    <w:rsid w:val="001456B0"/>
    <w:rsid w:val="00147AF9"/>
    <w:rsid w:val="001531A6"/>
    <w:rsid w:val="001544A7"/>
    <w:rsid w:val="001553A9"/>
    <w:rsid w:val="00155757"/>
    <w:rsid w:val="00156F8F"/>
    <w:rsid w:val="00157130"/>
    <w:rsid w:val="001576B1"/>
    <w:rsid w:val="0016047B"/>
    <w:rsid w:val="00160A4C"/>
    <w:rsid w:val="0016231C"/>
    <w:rsid w:val="00162913"/>
    <w:rsid w:val="00162BEF"/>
    <w:rsid w:val="00163243"/>
    <w:rsid w:val="00163EFF"/>
    <w:rsid w:val="00163F66"/>
    <w:rsid w:val="00165F82"/>
    <w:rsid w:val="001661FB"/>
    <w:rsid w:val="001671A0"/>
    <w:rsid w:val="0016767F"/>
    <w:rsid w:val="001706EB"/>
    <w:rsid w:val="00172F67"/>
    <w:rsid w:val="00173565"/>
    <w:rsid w:val="001737C0"/>
    <w:rsid w:val="00173B07"/>
    <w:rsid w:val="00173E7B"/>
    <w:rsid w:val="00174983"/>
    <w:rsid w:val="001749C0"/>
    <w:rsid w:val="001751FA"/>
    <w:rsid w:val="001752B3"/>
    <w:rsid w:val="00175BF5"/>
    <w:rsid w:val="00175C4D"/>
    <w:rsid w:val="00176F3E"/>
    <w:rsid w:val="0017721F"/>
    <w:rsid w:val="00181D9C"/>
    <w:rsid w:val="00182EE6"/>
    <w:rsid w:val="0018365B"/>
    <w:rsid w:val="00183861"/>
    <w:rsid w:val="00184B0E"/>
    <w:rsid w:val="0018752F"/>
    <w:rsid w:val="00187EA2"/>
    <w:rsid w:val="00187EEF"/>
    <w:rsid w:val="001900A2"/>
    <w:rsid w:val="00190F85"/>
    <w:rsid w:val="00192FAD"/>
    <w:rsid w:val="00193838"/>
    <w:rsid w:val="00193FB5"/>
    <w:rsid w:val="00194AD8"/>
    <w:rsid w:val="00195122"/>
    <w:rsid w:val="00195222"/>
    <w:rsid w:val="001958D3"/>
    <w:rsid w:val="001960A0"/>
    <w:rsid w:val="001975D8"/>
    <w:rsid w:val="00197C8A"/>
    <w:rsid w:val="00197E65"/>
    <w:rsid w:val="00197F7E"/>
    <w:rsid w:val="001A05F7"/>
    <w:rsid w:val="001A088F"/>
    <w:rsid w:val="001A178E"/>
    <w:rsid w:val="001A1ED7"/>
    <w:rsid w:val="001A28A3"/>
    <w:rsid w:val="001A43FA"/>
    <w:rsid w:val="001A47C5"/>
    <w:rsid w:val="001A4AAE"/>
    <w:rsid w:val="001A59FB"/>
    <w:rsid w:val="001A5E9E"/>
    <w:rsid w:val="001A6354"/>
    <w:rsid w:val="001A6366"/>
    <w:rsid w:val="001A7AE8"/>
    <w:rsid w:val="001B0DDA"/>
    <w:rsid w:val="001B18D8"/>
    <w:rsid w:val="001B204E"/>
    <w:rsid w:val="001B2372"/>
    <w:rsid w:val="001B3443"/>
    <w:rsid w:val="001B4D20"/>
    <w:rsid w:val="001B622E"/>
    <w:rsid w:val="001B6FF4"/>
    <w:rsid w:val="001C2A9B"/>
    <w:rsid w:val="001C3B40"/>
    <w:rsid w:val="001C4299"/>
    <w:rsid w:val="001C4874"/>
    <w:rsid w:val="001C551E"/>
    <w:rsid w:val="001C5F94"/>
    <w:rsid w:val="001C62C1"/>
    <w:rsid w:val="001C6E66"/>
    <w:rsid w:val="001C7715"/>
    <w:rsid w:val="001D1100"/>
    <w:rsid w:val="001D1391"/>
    <w:rsid w:val="001D1984"/>
    <w:rsid w:val="001D25D7"/>
    <w:rsid w:val="001D2E66"/>
    <w:rsid w:val="001D50B2"/>
    <w:rsid w:val="001D5FB4"/>
    <w:rsid w:val="001D64E8"/>
    <w:rsid w:val="001D6E9C"/>
    <w:rsid w:val="001D7645"/>
    <w:rsid w:val="001E07FC"/>
    <w:rsid w:val="001E1E86"/>
    <w:rsid w:val="001E238E"/>
    <w:rsid w:val="001E2483"/>
    <w:rsid w:val="001E2B1E"/>
    <w:rsid w:val="001E2CFF"/>
    <w:rsid w:val="001E2F24"/>
    <w:rsid w:val="001E30D4"/>
    <w:rsid w:val="001E3149"/>
    <w:rsid w:val="001E34DF"/>
    <w:rsid w:val="001E52EB"/>
    <w:rsid w:val="001E57B9"/>
    <w:rsid w:val="001E5F50"/>
    <w:rsid w:val="001E61D2"/>
    <w:rsid w:val="001E6368"/>
    <w:rsid w:val="001E740C"/>
    <w:rsid w:val="001E7719"/>
    <w:rsid w:val="001F1235"/>
    <w:rsid w:val="001F1CB3"/>
    <w:rsid w:val="001F38B5"/>
    <w:rsid w:val="001F4081"/>
    <w:rsid w:val="001F5989"/>
    <w:rsid w:val="001F5EDD"/>
    <w:rsid w:val="001F7361"/>
    <w:rsid w:val="002011B0"/>
    <w:rsid w:val="002015A5"/>
    <w:rsid w:val="0020242F"/>
    <w:rsid w:val="00202D54"/>
    <w:rsid w:val="00203181"/>
    <w:rsid w:val="00203783"/>
    <w:rsid w:val="0020385F"/>
    <w:rsid w:val="00204B55"/>
    <w:rsid w:val="00206453"/>
    <w:rsid w:val="002068A0"/>
    <w:rsid w:val="00207021"/>
    <w:rsid w:val="0020732F"/>
    <w:rsid w:val="00207D00"/>
    <w:rsid w:val="002105C1"/>
    <w:rsid w:val="002110B6"/>
    <w:rsid w:val="0021299D"/>
    <w:rsid w:val="00212F70"/>
    <w:rsid w:val="00213EF5"/>
    <w:rsid w:val="00215C74"/>
    <w:rsid w:val="0021603B"/>
    <w:rsid w:val="00216BF5"/>
    <w:rsid w:val="00217DD1"/>
    <w:rsid w:val="00221790"/>
    <w:rsid w:val="0022241F"/>
    <w:rsid w:val="00223A5B"/>
    <w:rsid w:val="00223B49"/>
    <w:rsid w:val="00223D5A"/>
    <w:rsid w:val="00224DD4"/>
    <w:rsid w:val="002263F0"/>
    <w:rsid w:val="00226B82"/>
    <w:rsid w:val="002278A0"/>
    <w:rsid w:val="00227F14"/>
    <w:rsid w:val="002300FB"/>
    <w:rsid w:val="002309CC"/>
    <w:rsid w:val="00230A08"/>
    <w:rsid w:val="002310AD"/>
    <w:rsid w:val="00231127"/>
    <w:rsid w:val="0023130F"/>
    <w:rsid w:val="00231A3A"/>
    <w:rsid w:val="00231B0E"/>
    <w:rsid w:val="00231E5F"/>
    <w:rsid w:val="0023209F"/>
    <w:rsid w:val="00233C01"/>
    <w:rsid w:val="0023413C"/>
    <w:rsid w:val="002346F0"/>
    <w:rsid w:val="00235AB4"/>
    <w:rsid w:val="0023629D"/>
    <w:rsid w:val="00237255"/>
    <w:rsid w:val="00237F92"/>
    <w:rsid w:val="002423D6"/>
    <w:rsid w:val="00242419"/>
    <w:rsid w:val="002424AF"/>
    <w:rsid w:val="00242A2F"/>
    <w:rsid w:val="002439DC"/>
    <w:rsid w:val="00243F98"/>
    <w:rsid w:val="002441D2"/>
    <w:rsid w:val="00244B07"/>
    <w:rsid w:val="00244DC8"/>
    <w:rsid w:val="00245032"/>
    <w:rsid w:val="002452D8"/>
    <w:rsid w:val="002458BA"/>
    <w:rsid w:val="00245CE9"/>
    <w:rsid w:val="00245F9B"/>
    <w:rsid w:val="0024636C"/>
    <w:rsid w:val="00247925"/>
    <w:rsid w:val="00250107"/>
    <w:rsid w:val="00251006"/>
    <w:rsid w:val="002524D5"/>
    <w:rsid w:val="002532F4"/>
    <w:rsid w:val="00253B1D"/>
    <w:rsid w:val="002542B8"/>
    <w:rsid w:val="00254B89"/>
    <w:rsid w:val="00254DCF"/>
    <w:rsid w:val="00254F0E"/>
    <w:rsid w:val="0025534B"/>
    <w:rsid w:val="00255668"/>
    <w:rsid w:val="002557B5"/>
    <w:rsid w:val="00255BB7"/>
    <w:rsid w:val="002560B5"/>
    <w:rsid w:val="002574D4"/>
    <w:rsid w:val="00257541"/>
    <w:rsid w:val="00257A39"/>
    <w:rsid w:val="00257AC4"/>
    <w:rsid w:val="00257B38"/>
    <w:rsid w:val="00260C13"/>
    <w:rsid w:val="00261155"/>
    <w:rsid w:val="00261B1E"/>
    <w:rsid w:val="00261EEF"/>
    <w:rsid w:val="00262A1A"/>
    <w:rsid w:val="00262A87"/>
    <w:rsid w:val="00263452"/>
    <w:rsid w:val="00264D26"/>
    <w:rsid w:val="00265F5A"/>
    <w:rsid w:val="00266945"/>
    <w:rsid w:val="00267642"/>
    <w:rsid w:val="00267AEA"/>
    <w:rsid w:val="002700E6"/>
    <w:rsid w:val="0027102B"/>
    <w:rsid w:val="002718C6"/>
    <w:rsid w:val="0027294B"/>
    <w:rsid w:val="00273EB4"/>
    <w:rsid w:val="00274682"/>
    <w:rsid w:val="00274EF3"/>
    <w:rsid w:val="00275C5A"/>
    <w:rsid w:val="00276036"/>
    <w:rsid w:val="00276F67"/>
    <w:rsid w:val="00276F85"/>
    <w:rsid w:val="00280818"/>
    <w:rsid w:val="00281014"/>
    <w:rsid w:val="00284F75"/>
    <w:rsid w:val="0028527A"/>
    <w:rsid w:val="0028665D"/>
    <w:rsid w:val="00286750"/>
    <w:rsid w:val="002867BB"/>
    <w:rsid w:val="0029670E"/>
    <w:rsid w:val="00297DEB"/>
    <w:rsid w:val="00297F45"/>
    <w:rsid w:val="002A024A"/>
    <w:rsid w:val="002A14AB"/>
    <w:rsid w:val="002A1F75"/>
    <w:rsid w:val="002A2ADE"/>
    <w:rsid w:val="002A2BFC"/>
    <w:rsid w:val="002A2F50"/>
    <w:rsid w:val="002A36F9"/>
    <w:rsid w:val="002A3AD2"/>
    <w:rsid w:val="002A3C4F"/>
    <w:rsid w:val="002A52AE"/>
    <w:rsid w:val="002A5EE7"/>
    <w:rsid w:val="002A6319"/>
    <w:rsid w:val="002B04BF"/>
    <w:rsid w:val="002B05A1"/>
    <w:rsid w:val="002B09A4"/>
    <w:rsid w:val="002B13E9"/>
    <w:rsid w:val="002B1C1F"/>
    <w:rsid w:val="002B432F"/>
    <w:rsid w:val="002B62B3"/>
    <w:rsid w:val="002B6694"/>
    <w:rsid w:val="002B6754"/>
    <w:rsid w:val="002B6CCE"/>
    <w:rsid w:val="002B7BB3"/>
    <w:rsid w:val="002C129D"/>
    <w:rsid w:val="002C1585"/>
    <w:rsid w:val="002C2510"/>
    <w:rsid w:val="002C2775"/>
    <w:rsid w:val="002C27C1"/>
    <w:rsid w:val="002C33D7"/>
    <w:rsid w:val="002C5099"/>
    <w:rsid w:val="002C5889"/>
    <w:rsid w:val="002C665B"/>
    <w:rsid w:val="002C71CE"/>
    <w:rsid w:val="002C7DFD"/>
    <w:rsid w:val="002D08F8"/>
    <w:rsid w:val="002D09F5"/>
    <w:rsid w:val="002D0F30"/>
    <w:rsid w:val="002D21DB"/>
    <w:rsid w:val="002D2965"/>
    <w:rsid w:val="002D554E"/>
    <w:rsid w:val="002D577C"/>
    <w:rsid w:val="002D5A8B"/>
    <w:rsid w:val="002E0B3F"/>
    <w:rsid w:val="002E1071"/>
    <w:rsid w:val="002E15B9"/>
    <w:rsid w:val="002E2158"/>
    <w:rsid w:val="002E23A9"/>
    <w:rsid w:val="002E28F5"/>
    <w:rsid w:val="002E4BE8"/>
    <w:rsid w:val="002E4EE9"/>
    <w:rsid w:val="002E4F02"/>
    <w:rsid w:val="002E55AC"/>
    <w:rsid w:val="002E7722"/>
    <w:rsid w:val="002F07BA"/>
    <w:rsid w:val="002F0C61"/>
    <w:rsid w:val="002F0DA9"/>
    <w:rsid w:val="002F1014"/>
    <w:rsid w:val="002F12A3"/>
    <w:rsid w:val="002F1D6F"/>
    <w:rsid w:val="002F4055"/>
    <w:rsid w:val="002F4092"/>
    <w:rsid w:val="002F4201"/>
    <w:rsid w:val="002F452F"/>
    <w:rsid w:val="002F643C"/>
    <w:rsid w:val="002F71C0"/>
    <w:rsid w:val="002F74F1"/>
    <w:rsid w:val="00300A0B"/>
    <w:rsid w:val="00301017"/>
    <w:rsid w:val="0030155F"/>
    <w:rsid w:val="0030197D"/>
    <w:rsid w:val="0030281E"/>
    <w:rsid w:val="00302B65"/>
    <w:rsid w:val="003039F4"/>
    <w:rsid w:val="003050DA"/>
    <w:rsid w:val="0030587B"/>
    <w:rsid w:val="00306D98"/>
    <w:rsid w:val="003076B4"/>
    <w:rsid w:val="0030786C"/>
    <w:rsid w:val="0031031A"/>
    <w:rsid w:val="00310981"/>
    <w:rsid w:val="00310BF3"/>
    <w:rsid w:val="003120C7"/>
    <w:rsid w:val="003124D9"/>
    <w:rsid w:val="00312594"/>
    <w:rsid w:val="00315498"/>
    <w:rsid w:val="003161CD"/>
    <w:rsid w:val="00316474"/>
    <w:rsid w:val="003165CE"/>
    <w:rsid w:val="0031720D"/>
    <w:rsid w:val="003173B6"/>
    <w:rsid w:val="003178D0"/>
    <w:rsid w:val="003218FD"/>
    <w:rsid w:val="00322107"/>
    <w:rsid w:val="003222F5"/>
    <w:rsid w:val="00322355"/>
    <w:rsid w:val="00322846"/>
    <w:rsid w:val="00323C15"/>
    <w:rsid w:val="0032449E"/>
    <w:rsid w:val="0032505B"/>
    <w:rsid w:val="0032663A"/>
    <w:rsid w:val="00326DA7"/>
    <w:rsid w:val="0032701B"/>
    <w:rsid w:val="003270E4"/>
    <w:rsid w:val="003275E6"/>
    <w:rsid w:val="00327815"/>
    <w:rsid w:val="00330DAA"/>
    <w:rsid w:val="00330F5C"/>
    <w:rsid w:val="00331A38"/>
    <w:rsid w:val="003322D4"/>
    <w:rsid w:val="00332F89"/>
    <w:rsid w:val="00335034"/>
    <w:rsid w:val="00335573"/>
    <w:rsid w:val="003366C9"/>
    <w:rsid w:val="003371B0"/>
    <w:rsid w:val="00340711"/>
    <w:rsid w:val="00340DF1"/>
    <w:rsid w:val="003415FC"/>
    <w:rsid w:val="00341CBC"/>
    <w:rsid w:val="003453DD"/>
    <w:rsid w:val="00345A25"/>
    <w:rsid w:val="003460A5"/>
    <w:rsid w:val="003464F1"/>
    <w:rsid w:val="0034695B"/>
    <w:rsid w:val="00346D65"/>
    <w:rsid w:val="00347652"/>
    <w:rsid w:val="00347B4C"/>
    <w:rsid w:val="00350560"/>
    <w:rsid w:val="00350FCF"/>
    <w:rsid w:val="003517F9"/>
    <w:rsid w:val="00351BA9"/>
    <w:rsid w:val="00351CB4"/>
    <w:rsid w:val="00353444"/>
    <w:rsid w:val="003538E0"/>
    <w:rsid w:val="00354328"/>
    <w:rsid w:val="00354F64"/>
    <w:rsid w:val="003551B9"/>
    <w:rsid w:val="00355BBE"/>
    <w:rsid w:val="00355C7C"/>
    <w:rsid w:val="0035620E"/>
    <w:rsid w:val="00360345"/>
    <w:rsid w:val="00360E41"/>
    <w:rsid w:val="00361A05"/>
    <w:rsid w:val="003624C4"/>
    <w:rsid w:val="00362724"/>
    <w:rsid w:val="00362F18"/>
    <w:rsid w:val="00363B00"/>
    <w:rsid w:val="0036440F"/>
    <w:rsid w:val="003654AC"/>
    <w:rsid w:val="003710CF"/>
    <w:rsid w:val="00371B4F"/>
    <w:rsid w:val="00372158"/>
    <w:rsid w:val="0037358A"/>
    <w:rsid w:val="003750F6"/>
    <w:rsid w:val="003760FC"/>
    <w:rsid w:val="00377170"/>
    <w:rsid w:val="0038043C"/>
    <w:rsid w:val="0038365C"/>
    <w:rsid w:val="0038369B"/>
    <w:rsid w:val="00383B78"/>
    <w:rsid w:val="003856CA"/>
    <w:rsid w:val="00385A9D"/>
    <w:rsid w:val="003902B1"/>
    <w:rsid w:val="0039035D"/>
    <w:rsid w:val="00390DBC"/>
    <w:rsid w:val="0039179C"/>
    <w:rsid w:val="003939B0"/>
    <w:rsid w:val="00395170"/>
    <w:rsid w:val="0039579B"/>
    <w:rsid w:val="00396896"/>
    <w:rsid w:val="00396FD0"/>
    <w:rsid w:val="003A1A7A"/>
    <w:rsid w:val="003A2392"/>
    <w:rsid w:val="003A2831"/>
    <w:rsid w:val="003A30B6"/>
    <w:rsid w:val="003A3CB6"/>
    <w:rsid w:val="003A3ED1"/>
    <w:rsid w:val="003A44DB"/>
    <w:rsid w:val="003A450F"/>
    <w:rsid w:val="003A607F"/>
    <w:rsid w:val="003A6231"/>
    <w:rsid w:val="003B3971"/>
    <w:rsid w:val="003B4178"/>
    <w:rsid w:val="003B4BF4"/>
    <w:rsid w:val="003B55D1"/>
    <w:rsid w:val="003B5B61"/>
    <w:rsid w:val="003C0373"/>
    <w:rsid w:val="003C03F6"/>
    <w:rsid w:val="003C1654"/>
    <w:rsid w:val="003C5542"/>
    <w:rsid w:val="003C563A"/>
    <w:rsid w:val="003C68FA"/>
    <w:rsid w:val="003C70EE"/>
    <w:rsid w:val="003C78F1"/>
    <w:rsid w:val="003C7A21"/>
    <w:rsid w:val="003C7D19"/>
    <w:rsid w:val="003C7D2F"/>
    <w:rsid w:val="003D1828"/>
    <w:rsid w:val="003D1DE4"/>
    <w:rsid w:val="003D1E9A"/>
    <w:rsid w:val="003D2422"/>
    <w:rsid w:val="003D39A1"/>
    <w:rsid w:val="003D3FBF"/>
    <w:rsid w:val="003D4843"/>
    <w:rsid w:val="003D4A30"/>
    <w:rsid w:val="003D4BD0"/>
    <w:rsid w:val="003D5377"/>
    <w:rsid w:val="003D5459"/>
    <w:rsid w:val="003D6634"/>
    <w:rsid w:val="003D7452"/>
    <w:rsid w:val="003D79BB"/>
    <w:rsid w:val="003D7C98"/>
    <w:rsid w:val="003D7D9D"/>
    <w:rsid w:val="003E0543"/>
    <w:rsid w:val="003E08E6"/>
    <w:rsid w:val="003E3EF8"/>
    <w:rsid w:val="003E4A25"/>
    <w:rsid w:val="003E58E0"/>
    <w:rsid w:val="003E749E"/>
    <w:rsid w:val="003F112F"/>
    <w:rsid w:val="003F20B6"/>
    <w:rsid w:val="003F2FD5"/>
    <w:rsid w:val="003F3AD7"/>
    <w:rsid w:val="003F3D2C"/>
    <w:rsid w:val="003F4156"/>
    <w:rsid w:val="003F46BA"/>
    <w:rsid w:val="003F4C79"/>
    <w:rsid w:val="003F5ADF"/>
    <w:rsid w:val="003F6289"/>
    <w:rsid w:val="0040061A"/>
    <w:rsid w:val="00400657"/>
    <w:rsid w:val="00400B29"/>
    <w:rsid w:val="00401219"/>
    <w:rsid w:val="004013B1"/>
    <w:rsid w:val="00401FD0"/>
    <w:rsid w:val="00404852"/>
    <w:rsid w:val="0040504B"/>
    <w:rsid w:val="0040522C"/>
    <w:rsid w:val="004059F4"/>
    <w:rsid w:val="00406050"/>
    <w:rsid w:val="00407069"/>
    <w:rsid w:val="00407FE5"/>
    <w:rsid w:val="004101B0"/>
    <w:rsid w:val="00410326"/>
    <w:rsid w:val="00410708"/>
    <w:rsid w:val="00410EC7"/>
    <w:rsid w:val="0041197E"/>
    <w:rsid w:val="00411B39"/>
    <w:rsid w:val="004127A7"/>
    <w:rsid w:val="00413A1E"/>
    <w:rsid w:val="00413B54"/>
    <w:rsid w:val="00414476"/>
    <w:rsid w:val="00414C2E"/>
    <w:rsid w:val="004151CF"/>
    <w:rsid w:val="00415AB5"/>
    <w:rsid w:val="00416364"/>
    <w:rsid w:val="004170F1"/>
    <w:rsid w:val="00417769"/>
    <w:rsid w:val="00420288"/>
    <w:rsid w:val="0042047F"/>
    <w:rsid w:val="00420AA6"/>
    <w:rsid w:val="00420B9F"/>
    <w:rsid w:val="0042192C"/>
    <w:rsid w:val="00422260"/>
    <w:rsid w:val="00422902"/>
    <w:rsid w:val="0042413F"/>
    <w:rsid w:val="00424B5C"/>
    <w:rsid w:val="00430053"/>
    <w:rsid w:val="004319F8"/>
    <w:rsid w:val="00431E55"/>
    <w:rsid w:val="004321F6"/>
    <w:rsid w:val="00433044"/>
    <w:rsid w:val="0043372F"/>
    <w:rsid w:val="00434088"/>
    <w:rsid w:val="00435A97"/>
    <w:rsid w:val="004368ED"/>
    <w:rsid w:val="004375B9"/>
    <w:rsid w:val="004428D0"/>
    <w:rsid w:val="00444185"/>
    <w:rsid w:val="004443A7"/>
    <w:rsid w:val="0044442C"/>
    <w:rsid w:val="00444C70"/>
    <w:rsid w:val="00445941"/>
    <w:rsid w:val="004461ED"/>
    <w:rsid w:val="004464EB"/>
    <w:rsid w:val="00446D9C"/>
    <w:rsid w:val="0044739D"/>
    <w:rsid w:val="00447D26"/>
    <w:rsid w:val="00447DFC"/>
    <w:rsid w:val="004508C2"/>
    <w:rsid w:val="00450BCF"/>
    <w:rsid w:val="004524D5"/>
    <w:rsid w:val="00455D45"/>
    <w:rsid w:val="00455E46"/>
    <w:rsid w:val="00456E9B"/>
    <w:rsid w:val="00457F8A"/>
    <w:rsid w:val="0046170E"/>
    <w:rsid w:val="00462FB7"/>
    <w:rsid w:val="00464595"/>
    <w:rsid w:val="004658B5"/>
    <w:rsid w:val="004677C6"/>
    <w:rsid w:val="00467912"/>
    <w:rsid w:val="00467C9F"/>
    <w:rsid w:val="0047004A"/>
    <w:rsid w:val="004713CA"/>
    <w:rsid w:val="00471EA5"/>
    <w:rsid w:val="00472A79"/>
    <w:rsid w:val="00473F19"/>
    <w:rsid w:val="00475E22"/>
    <w:rsid w:val="004766EC"/>
    <w:rsid w:val="00477C41"/>
    <w:rsid w:val="004802AC"/>
    <w:rsid w:val="00480708"/>
    <w:rsid w:val="0048088E"/>
    <w:rsid w:val="00480F2B"/>
    <w:rsid w:val="004814FF"/>
    <w:rsid w:val="004821E4"/>
    <w:rsid w:val="00482720"/>
    <w:rsid w:val="004835E7"/>
    <w:rsid w:val="00483EDB"/>
    <w:rsid w:val="0048427C"/>
    <w:rsid w:val="00485256"/>
    <w:rsid w:val="004867E2"/>
    <w:rsid w:val="0049063F"/>
    <w:rsid w:val="00490B17"/>
    <w:rsid w:val="00490FCD"/>
    <w:rsid w:val="00491117"/>
    <w:rsid w:val="004918D9"/>
    <w:rsid w:val="00491B3A"/>
    <w:rsid w:val="00492CFD"/>
    <w:rsid w:val="004933C9"/>
    <w:rsid w:val="00494207"/>
    <w:rsid w:val="00494DD5"/>
    <w:rsid w:val="004962D2"/>
    <w:rsid w:val="0049746C"/>
    <w:rsid w:val="004A07AE"/>
    <w:rsid w:val="004A0DA1"/>
    <w:rsid w:val="004A0ECB"/>
    <w:rsid w:val="004A118E"/>
    <w:rsid w:val="004A13D6"/>
    <w:rsid w:val="004A2290"/>
    <w:rsid w:val="004A2D34"/>
    <w:rsid w:val="004A52E9"/>
    <w:rsid w:val="004A593C"/>
    <w:rsid w:val="004A6040"/>
    <w:rsid w:val="004A626D"/>
    <w:rsid w:val="004A6597"/>
    <w:rsid w:val="004A70D8"/>
    <w:rsid w:val="004A7848"/>
    <w:rsid w:val="004B1474"/>
    <w:rsid w:val="004B1A95"/>
    <w:rsid w:val="004B1CB4"/>
    <w:rsid w:val="004B2739"/>
    <w:rsid w:val="004B2F18"/>
    <w:rsid w:val="004B3DDB"/>
    <w:rsid w:val="004B44FD"/>
    <w:rsid w:val="004B4C3E"/>
    <w:rsid w:val="004B5CFC"/>
    <w:rsid w:val="004B6F79"/>
    <w:rsid w:val="004B75D7"/>
    <w:rsid w:val="004B774D"/>
    <w:rsid w:val="004C017D"/>
    <w:rsid w:val="004C08AF"/>
    <w:rsid w:val="004C223A"/>
    <w:rsid w:val="004C4AED"/>
    <w:rsid w:val="004C4CFD"/>
    <w:rsid w:val="004C7FBE"/>
    <w:rsid w:val="004D1D2D"/>
    <w:rsid w:val="004D1F0E"/>
    <w:rsid w:val="004D2C2D"/>
    <w:rsid w:val="004D5D65"/>
    <w:rsid w:val="004D69B5"/>
    <w:rsid w:val="004D6EB8"/>
    <w:rsid w:val="004D7227"/>
    <w:rsid w:val="004E0DC5"/>
    <w:rsid w:val="004E0E7F"/>
    <w:rsid w:val="004E0EB8"/>
    <w:rsid w:val="004E16B0"/>
    <w:rsid w:val="004E18E9"/>
    <w:rsid w:val="004E19F0"/>
    <w:rsid w:val="004E2041"/>
    <w:rsid w:val="004E2ADC"/>
    <w:rsid w:val="004E351D"/>
    <w:rsid w:val="004E43B2"/>
    <w:rsid w:val="004E4B2C"/>
    <w:rsid w:val="004E54E9"/>
    <w:rsid w:val="004F03C1"/>
    <w:rsid w:val="004F1D02"/>
    <w:rsid w:val="004F2679"/>
    <w:rsid w:val="004F2F21"/>
    <w:rsid w:val="004F3DE5"/>
    <w:rsid w:val="004F4EC6"/>
    <w:rsid w:val="004F6913"/>
    <w:rsid w:val="004F6EBC"/>
    <w:rsid w:val="004F7865"/>
    <w:rsid w:val="00500C67"/>
    <w:rsid w:val="0050174E"/>
    <w:rsid w:val="00501854"/>
    <w:rsid w:val="00501995"/>
    <w:rsid w:val="0050219B"/>
    <w:rsid w:val="00503F17"/>
    <w:rsid w:val="00504553"/>
    <w:rsid w:val="005052F5"/>
    <w:rsid w:val="00506928"/>
    <w:rsid w:val="005076C6"/>
    <w:rsid w:val="005077EF"/>
    <w:rsid w:val="00511451"/>
    <w:rsid w:val="00511AD5"/>
    <w:rsid w:val="00511DC7"/>
    <w:rsid w:val="005142C5"/>
    <w:rsid w:val="0051501B"/>
    <w:rsid w:val="005152B5"/>
    <w:rsid w:val="00516549"/>
    <w:rsid w:val="00516A7A"/>
    <w:rsid w:val="00516D15"/>
    <w:rsid w:val="00517DB4"/>
    <w:rsid w:val="0052123C"/>
    <w:rsid w:val="00521319"/>
    <w:rsid w:val="00521730"/>
    <w:rsid w:val="00522824"/>
    <w:rsid w:val="00522BC8"/>
    <w:rsid w:val="005234B5"/>
    <w:rsid w:val="00523C28"/>
    <w:rsid w:val="0052427F"/>
    <w:rsid w:val="005275EB"/>
    <w:rsid w:val="0053176B"/>
    <w:rsid w:val="005318A4"/>
    <w:rsid w:val="00532937"/>
    <w:rsid w:val="005334B7"/>
    <w:rsid w:val="0053360C"/>
    <w:rsid w:val="00533890"/>
    <w:rsid w:val="0053552B"/>
    <w:rsid w:val="00536F42"/>
    <w:rsid w:val="00537182"/>
    <w:rsid w:val="0053776F"/>
    <w:rsid w:val="005404D3"/>
    <w:rsid w:val="00540BAA"/>
    <w:rsid w:val="00541636"/>
    <w:rsid w:val="00541EDD"/>
    <w:rsid w:val="00542743"/>
    <w:rsid w:val="00542AF8"/>
    <w:rsid w:val="00542C2D"/>
    <w:rsid w:val="005431C4"/>
    <w:rsid w:val="00543370"/>
    <w:rsid w:val="00543401"/>
    <w:rsid w:val="00547459"/>
    <w:rsid w:val="005478BD"/>
    <w:rsid w:val="005479E3"/>
    <w:rsid w:val="00551750"/>
    <w:rsid w:val="00551985"/>
    <w:rsid w:val="00552BD3"/>
    <w:rsid w:val="00552E7E"/>
    <w:rsid w:val="005532A0"/>
    <w:rsid w:val="005533BF"/>
    <w:rsid w:val="00554418"/>
    <w:rsid w:val="00555109"/>
    <w:rsid w:val="00555BAF"/>
    <w:rsid w:val="00556B35"/>
    <w:rsid w:val="00556D80"/>
    <w:rsid w:val="0055741A"/>
    <w:rsid w:val="00557955"/>
    <w:rsid w:val="005603BB"/>
    <w:rsid w:val="0056094E"/>
    <w:rsid w:val="005611B7"/>
    <w:rsid w:val="0056156D"/>
    <w:rsid w:val="005618D4"/>
    <w:rsid w:val="00561ADF"/>
    <w:rsid w:val="00561CE6"/>
    <w:rsid w:val="00562B9A"/>
    <w:rsid w:val="0056371B"/>
    <w:rsid w:val="00565DF0"/>
    <w:rsid w:val="0056696F"/>
    <w:rsid w:val="00570DBE"/>
    <w:rsid w:val="00571E01"/>
    <w:rsid w:val="00572269"/>
    <w:rsid w:val="005722F5"/>
    <w:rsid w:val="0057244A"/>
    <w:rsid w:val="00572E84"/>
    <w:rsid w:val="00572F26"/>
    <w:rsid w:val="00574C45"/>
    <w:rsid w:val="005750C5"/>
    <w:rsid w:val="005752DE"/>
    <w:rsid w:val="00575D8D"/>
    <w:rsid w:val="00576972"/>
    <w:rsid w:val="00577094"/>
    <w:rsid w:val="00583699"/>
    <w:rsid w:val="00583FB0"/>
    <w:rsid w:val="00585CDD"/>
    <w:rsid w:val="00587058"/>
    <w:rsid w:val="00590083"/>
    <w:rsid w:val="00590238"/>
    <w:rsid w:val="00591957"/>
    <w:rsid w:val="00591A0B"/>
    <w:rsid w:val="00591BC4"/>
    <w:rsid w:val="00594D20"/>
    <w:rsid w:val="005951FE"/>
    <w:rsid w:val="00596A15"/>
    <w:rsid w:val="00596BE2"/>
    <w:rsid w:val="00597BF9"/>
    <w:rsid w:val="005A06B4"/>
    <w:rsid w:val="005A0DD1"/>
    <w:rsid w:val="005A198B"/>
    <w:rsid w:val="005A214B"/>
    <w:rsid w:val="005A309A"/>
    <w:rsid w:val="005A373D"/>
    <w:rsid w:val="005A4D6A"/>
    <w:rsid w:val="005A53AF"/>
    <w:rsid w:val="005A56CD"/>
    <w:rsid w:val="005B0842"/>
    <w:rsid w:val="005B0B58"/>
    <w:rsid w:val="005B0EB6"/>
    <w:rsid w:val="005B1E64"/>
    <w:rsid w:val="005B2AAA"/>
    <w:rsid w:val="005B2E6D"/>
    <w:rsid w:val="005B4855"/>
    <w:rsid w:val="005B4E53"/>
    <w:rsid w:val="005B5857"/>
    <w:rsid w:val="005C139F"/>
    <w:rsid w:val="005C1B83"/>
    <w:rsid w:val="005C2051"/>
    <w:rsid w:val="005C25FF"/>
    <w:rsid w:val="005C2D55"/>
    <w:rsid w:val="005C346B"/>
    <w:rsid w:val="005C6796"/>
    <w:rsid w:val="005D044D"/>
    <w:rsid w:val="005D0ABD"/>
    <w:rsid w:val="005D18AD"/>
    <w:rsid w:val="005D1B54"/>
    <w:rsid w:val="005D2067"/>
    <w:rsid w:val="005D26B4"/>
    <w:rsid w:val="005D306A"/>
    <w:rsid w:val="005D442E"/>
    <w:rsid w:val="005D63A0"/>
    <w:rsid w:val="005E1BD4"/>
    <w:rsid w:val="005E1BDD"/>
    <w:rsid w:val="005E22D9"/>
    <w:rsid w:val="005E2A88"/>
    <w:rsid w:val="005E42FF"/>
    <w:rsid w:val="005E6CBC"/>
    <w:rsid w:val="005E72FF"/>
    <w:rsid w:val="005E73C0"/>
    <w:rsid w:val="005F2706"/>
    <w:rsid w:val="005F2B3A"/>
    <w:rsid w:val="005F6A8F"/>
    <w:rsid w:val="005F6BB7"/>
    <w:rsid w:val="005F7588"/>
    <w:rsid w:val="00600ABB"/>
    <w:rsid w:val="00601CFC"/>
    <w:rsid w:val="00603DB9"/>
    <w:rsid w:val="006057D1"/>
    <w:rsid w:val="006064D4"/>
    <w:rsid w:val="00606FBA"/>
    <w:rsid w:val="00607669"/>
    <w:rsid w:val="006076F4"/>
    <w:rsid w:val="00607752"/>
    <w:rsid w:val="00607AFD"/>
    <w:rsid w:val="00612F97"/>
    <w:rsid w:val="0061345D"/>
    <w:rsid w:val="0061526E"/>
    <w:rsid w:val="0061549B"/>
    <w:rsid w:val="00615BB3"/>
    <w:rsid w:val="00616802"/>
    <w:rsid w:val="00616F76"/>
    <w:rsid w:val="006178E6"/>
    <w:rsid w:val="00617E12"/>
    <w:rsid w:val="00620C25"/>
    <w:rsid w:val="00621477"/>
    <w:rsid w:val="006215C3"/>
    <w:rsid w:val="00621ADA"/>
    <w:rsid w:val="00621F2B"/>
    <w:rsid w:val="00622974"/>
    <w:rsid w:val="00623991"/>
    <w:rsid w:val="00623F7B"/>
    <w:rsid w:val="0063158F"/>
    <w:rsid w:val="00631D6B"/>
    <w:rsid w:val="00632183"/>
    <w:rsid w:val="0063240A"/>
    <w:rsid w:val="0063296F"/>
    <w:rsid w:val="00632E54"/>
    <w:rsid w:val="006330A1"/>
    <w:rsid w:val="0063479F"/>
    <w:rsid w:val="00634FD8"/>
    <w:rsid w:val="006353F0"/>
    <w:rsid w:val="006356EC"/>
    <w:rsid w:val="006357B5"/>
    <w:rsid w:val="00635870"/>
    <w:rsid w:val="006364A1"/>
    <w:rsid w:val="006366A6"/>
    <w:rsid w:val="0063678E"/>
    <w:rsid w:val="0063692D"/>
    <w:rsid w:val="00637BFD"/>
    <w:rsid w:val="0064008F"/>
    <w:rsid w:val="00640948"/>
    <w:rsid w:val="00640F09"/>
    <w:rsid w:val="00641855"/>
    <w:rsid w:val="00641C4E"/>
    <w:rsid w:val="00641FB3"/>
    <w:rsid w:val="0064434C"/>
    <w:rsid w:val="006471CC"/>
    <w:rsid w:val="00647233"/>
    <w:rsid w:val="00647A29"/>
    <w:rsid w:val="0065000C"/>
    <w:rsid w:val="0065079F"/>
    <w:rsid w:val="00652A28"/>
    <w:rsid w:val="00653340"/>
    <w:rsid w:val="0065379F"/>
    <w:rsid w:val="00656188"/>
    <w:rsid w:val="00656D87"/>
    <w:rsid w:val="0065715A"/>
    <w:rsid w:val="006608E3"/>
    <w:rsid w:val="006610F1"/>
    <w:rsid w:val="00661702"/>
    <w:rsid w:val="00661A71"/>
    <w:rsid w:val="00661C6B"/>
    <w:rsid w:val="00661FFD"/>
    <w:rsid w:val="00663A16"/>
    <w:rsid w:val="00664048"/>
    <w:rsid w:val="006647DB"/>
    <w:rsid w:val="00664838"/>
    <w:rsid w:val="00664B0D"/>
    <w:rsid w:val="00664D80"/>
    <w:rsid w:val="0066561B"/>
    <w:rsid w:val="006659E1"/>
    <w:rsid w:val="006672B2"/>
    <w:rsid w:val="006706CE"/>
    <w:rsid w:val="00671004"/>
    <w:rsid w:val="006724ED"/>
    <w:rsid w:val="00672646"/>
    <w:rsid w:val="00672FFF"/>
    <w:rsid w:val="006739BA"/>
    <w:rsid w:val="00674D00"/>
    <w:rsid w:val="00674E42"/>
    <w:rsid w:val="0067527D"/>
    <w:rsid w:val="00677648"/>
    <w:rsid w:val="00677983"/>
    <w:rsid w:val="006813F8"/>
    <w:rsid w:val="00681995"/>
    <w:rsid w:val="00682112"/>
    <w:rsid w:val="00682BA6"/>
    <w:rsid w:val="006833F7"/>
    <w:rsid w:val="00683F19"/>
    <w:rsid w:val="00685158"/>
    <w:rsid w:val="00686957"/>
    <w:rsid w:val="006872BA"/>
    <w:rsid w:val="00690795"/>
    <w:rsid w:val="00690821"/>
    <w:rsid w:val="00691648"/>
    <w:rsid w:val="006917D7"/>
    <w:rsid w:val="0069434C"/>
    <w:rsid w:val="006947DD"/>
    <w:rsid w:val="00694E83"/>
    <w:rsid w:val="00694F44"/>
    <w:rsid w:val="00694FAC"/>
    <w:rsid w:val="00696D19"/>
    <w:rsid w:val="00696F51"/>
    <w:rsid w:val="006979A5"/>
    <w:rsid w:val="006A2958"/>
    <w:rsid w:val="006A315B"/>
    <w:rsid w:val="006A322C"/>
    <w:rsid w:val="006A4B8B"/>
    <w:rsid w:val="006A5E77"/>
    <w:rsid w:val="006A6B99"/>
    <w:rsid w:val="006A7E5F"/>
    <w:rsid w:val="006B0339"/>
    <w:rsid w:val="006B03C6"/>
    <w:rsid w:val="006B043A"/>
    <w:rsid w:val="006B261B"/>
    <w:rsid w:val="006B2C90"/>
    <w:rsid w:val="006B35E6"/>
    <w:rsid w:val="006B3616"/>
    <w:rsid w:val="006B36B3"/>
    <w:rsid w:val="006B38C6"/>
    <w:rsid w:val="006B465A"/>
    <w:rsid w:val="006B51E3"/>
    <w:rsid w:val="006B6C28"/>
    <w:rsid w:val="006B6DD0"/>
    <w:rsid w:val="006C000F"/>
    <w:rsid w:val="006C0399"/>
    <w:rsid w:val="006C1762"/>
    <w:rsid w:val="006C1A13"/>
    <w:rsid w:val="006C2A8E"/>
    <w:rsid w:val="006C3255"/>
    <w:rsid w:val="006C37C0"/>
    <w:rsid w:val="006C3F26"/>
    <w:rsid w:val="006C5AFF"/>
    <w:rsid w:val="006C6872"/>
    <w:rsid w:val="006C6EF4"/>
    <w:rsid w:val="006C74BC"/>
    <w:rsid w:val="006D0A11"/>
    <w:rsid w:val="006D0D17"/>
    <w:rsid w:val="006D0FE4"/>
    <w:rsid w:val="006D112D"/>
    <w:rsid w:val="006D2D3F"/>
    <w:rsid w:val="006D3C7D"/>
    <w:rsid w:val="006D4659"/>
    <w:rsid w:val="006D5D5F"/>
    <w:rsid w:val="006D6551"/>
    <w:rsid w:val="006D68FB"/>
    <w:rsid w:val="006E2868"/>
    <w:rsid w:val="006E2BFA"/>
    <w:rsid w:val="006E3AA2"/>
    <w:rsid w:val="006F306C"/>
    <w:rsid w:val="006F4934"/>
    <w:rsid w:val="006F63A5"/>
    <w:rsid w:val="006F6934"/>
    <w:rsid w:val="0070142B"/>
    <w:rsid w:val="00702169"/>
    <w:rsid w:val="0070276E"/>
    <w:rsid w:val="00702F8F"/>
    <w:rsid w:val="00703695"/>
    <w:rsid w:val="00705263"/>
    <w:rsid w:val="00705D12"/>
    <w:rsid w:val="00706D16"/>
    <w:rsid w:val="007079FC"/>
    <w:rsid w:val="007103D6"/>
    <w:rsid w:val="00711A36"/>
    <w:rsid w:val="00711FC1"/>
    <w:rsid w:val="0071262C"/>
    <w:rsid w:val="00713406"/>
    <w:rsid w:val="00713D3F"/>
    <w:rsid w:val="0071416A"/>
    <w:rsid w:val="00714C26"/>
    <w:rsid w:val="0071514B"/>
    <w:rsid w:val="0071529C"/>
    <w:rsid w:val="007170DA"/>
    <w:rsid w:val="007172AD"/>
    <w:rsid w:val="00717AD1"/>
    <w:rsid w:val="00717D39"/>
    <w:rsid w:val="00720801"/>
    <w:rsid w:val="007210F7"/>
    <w:rsid w:val="0072185E"/>
    <w:rsid w:val="00722B1B"/>
    <w:rsid w:val="00722C99"/>
    <w:rsid w:val="00724068"/>
    <w:rsid w:val="0072416F"/>
    <w:rsid w:val="00726952"/>
    <w:rsid w:val="00726E29"/>
    <w:rsid w:val="00727378"/>
    <w:rsid w:val="00727C94"/>
    <w:rsid w:val="007314E5"/>
    <w:rsid w:val="00731B0A"/>
    <w:rsid w:val="00731EAE"/>
    <w:rsid w:val="00732691"/>
    <w:rsid w:val="00732CD6"/>
    <w:rsid w:val="00733073"/>
    <w:rsid w:val="007342AD"/>
    <w:rsid w:val="00735033"/>
    <w:rsid w:val="00735328"/>
    <w:rsid w:val="007357EF"/>
    <w:rsid w:val="0073584B"/>
    <w:rsid w:val="00735E76"/>
    <w:rsid w:val="0073685B"/>
    <w:rsid w:val="007369B4"/>
    <w:rsid w:val="00736DA9"/>
    <w:rsid w:val="0074069F"/>
    <w:rsid w:val="007411A9"/>
    <w:rsid w:val="007449BF"/>
    <w:rsid w:val="007454EB"/>
    <w:rsid w:val="00746BC0"/>
    <w:rsid w:val="00746E67"/>
    <w:rsid w:val="00750C52"/>
    <w:rsid w:val="007510B4"/>
    <w:rsid w:val="00752142"/>
    <w:rsid w:val="007523F9"/>
    <w:rsid w:val="0075357E"/>
    <w:rsid w:val="007558C0"/>
    <w:rsid w:val="007561CE"/>
    <w:rsid w:val="007573E8"/>
    <w:rsid w:val="00757AA6"/>
    <w:rsid w:val="00757D0E"/>
    <w:rsid w:val="00760C4E"/>
    <w:rsid w:val="00760EF1"/>
    <w:rsid w:val="00760F9E"/>
    <w:rsid w:val="00761C35"/>
    <w:rsid w:val="007627BE"/>
    <w:rsid w:val="00764F03"/>
    <w:rsid w:val="00765B1A"/>
    <w:rsid w:val="00765C66"/>
    <w:rsid w:val="0076683E"/>
    <w:rsid w:val="00766FD1"/>
    <w:rsid w:val="00767100"/>
    <w:rsid w:val="00770B34"/>
    <w:rsid w:val="0077106E"/>
    <w:rsid w:val="0077637B"/>
    <w:rsid w:val="00776475"/>
    <w:rsid w:val="00776E5C"/>
    <w:rsid w:val="00777335"/>
    <w:rsid w:val="00777587"/>
    <w:rsid w:val="00780B81"/>
    <w:rsid w:val="00780F60"/>
    <w:rsid w:val="00781296"/>
    <w:rsid w:val="007843F2"/>
    <w:rsid w:val="00785A9F"/>
    <w:rsid w:val="007868F4"/>
    <w:rsid w:val="0078702E"/>
    <w:rsid w:val="00790E24"/>
    <w:rsid w:val="007925DF"/>
    <w:rsid w:val="00796D92"/>
    <w:rsid w:val="007A08AA"/>
    <w:rsid w:val="007A0A12"/>
    <w:rsid w:val="007A132D"/>
    <w:rsid w:val="007A1345"/>
    <w:rsid w:val="007A24D0"/>
    <w:rsid w:val="007A2DDB"/>
    <w:rsid w:val="007A5108"/>
    <w:rsid w:val="007A70BA"/>
    <w:rsid w:val="007A7D00"/>
    <w:rsid w:val="007B0D68"/>
    <w:rsid w:val="007B1F9B"/>
    <w:rsid w:val="007B251D"/>
    <w:rsid w:val="007B298B"/>
    <w:rsid w:val="007B2A9B"/>
    <w:rsid w:val="007B39A8"/>
    <w:rsid w:val="007B4F58"/>
    <w:rsid w:val="007B528D"/>
    <w:rsid w:val="007B6290"/>
    <w:rsid w:val="007B63CA"/>
    <w:rsid w:val="007B67BF"/>
    <w:rsid w:val="007B77D1"/>
    <w:rsid w:val="007C0366"/>
    <w:rsid w:val="007C07C7"/>
    <w:rsid w:val="007C0FF2"/>
    <w:rsid w:val="007C1956"/>
    <w:rsid w:val="007C1CD9"/>
    <w:rsid w:val="007C1DCA"/>
    <w:rsid w:val="007C32EF"/>
    <w:rsid w:val="007C361D"/>
    <w:rsid w:val="007C383D"/>
    <w:rsid w:val="007C4B84"/>
    <w:rsid w:val="007C70FF"/>
    <w:rsid w:val="007C7C25"/>
    <w:rsid w:val="007D004F"/>
    <w:rsid w:val="007D07C2"/>
    <w:rsid w:val="007D0B38"/>
    <w:rsid w:val="007D1706"/>
    <w:rsid w:val="007D196A"/>
    <w:rsid w:val="007D232C"/>
    <w:rsid w:val="007D2C16"/>
    <w:rsid w:val="007D5440"/>
    <w:rsid w:val="007D652A"/>
    <w:rsid w:val="007D68E6"/>
    <w:rsid w:val="007D69EB"/>
    <w:rsid w:val="007E08F8"/>
    <w:rsid w:val="007E128F"/>
    <w:rsid w:val="007E1829"/>
    <w:rsid w:val="007E309C"/>
    <w:rsid w:val="007E64D1"/>
    <w:rsid w:val="007E7C96"/>
    <w:rsid w:val="007F02BA"/>
    <w:rsid w:val="007F0941"/>
    <w:rsid w:val="007F0E9A"/>
    <w:rsid w:val="007F1017"/>
    <w:rsid w:val="007F277C"/>
    <w:rsid w:val="007F2F83"/>
    <w:rsid w:val="007F41EE"/>
    <w:rsid w:val="007F4A3F"/>
    <w:rsid w:val="007F4A61"/>
    <w:rsid w:val="007F4C0D"/>
    <w:rsid w:val="007F5255"/>
    <w:rsid w:val="007F56B8"/>
    <w:rsid w:val="007F56CC"/>
    <w:rsid w:val="007F61C2"/>
    <w:rsid w:val="0080076F"/>
    <w:rsid w:val="00802772"/>
    <w:rsid w:val="00804A88"/>
    <w:rsid w:val="00804D43"/>
    <w:rsid w:val="0080504E"/>
    <w:rsid w:val="00805142"/>
    <w:rsid w:val="00805645"/>
    <w:rsid w:val="00805A97"/>
    <w:rsid w:val="00805FCE"/>
    <w:rsid w:val="00807A12"/>
    <w:rsid w:val="00807A8B"/>
    <w:rsid w:val="00811383"/>
    <w:rsid w:val="00812149"/>
    <w:rsid w:val="008125FB"/>
    <w:rsid w:val="0081267C"/>
    <w:rsid w:val="00812CAC"/>
    <w:rsid w:val="00813A26"/>
    <w:rsid w:val="00814166"/>
    <w:rsid w:val="0081463C"/>
    <w:rsid w:val="0081526F"/>
    <w:rsid w:val="00815915"/>
    <w:rsid w:val="00816361"/>
    <w:rsid w:val="008166EF"/>
    <w:rsid w:val="00816FEF"/>
    <w:rsid w:val="00817B42"/>
    <w:rsid w:val="00820A8C"/>
    <w:rsid w:val="008214AA"/>
    <w:rsid w:val="008215FB"/>
    <w:rsid w:val="00822E9C"/>
    <w:rsid w:val="00823174"/>
    <w:rsid w:val="008239FD"/>
    <w:rsid w:val="00824288"/>
    <w:rsid w:val="00824A2C"/>
    <w:rsid w:val="00825751"/>
    <w:rsid w:val="008264EB"/>
    <w:rsid w:val="008272E1"/>
    <w:rsid w:val="00831102"/>
    <w:rsid w:val="00831615"/>
    <w:rsid w:val="00833B05"/>
    <w:rsid w:val="00834DF0"/>
    <w:rsid w:val="0083547B"/>
    <w:rsid w:val="00835FB5"/>
    <w:rsid w:val="008362B4"/>
    <w:rsid w:val="00837BFD"/>
    <w:rsid w:val="0084055F"/>
    <w:rsid w:val="008409C5"/>
    <w:rsid w:val="00840CA2"/>
    <w:rsid w:val="008414B6"/>
    <w:rsid w:val="00842C66"/>
    <w:rsid w:val="008434B0"/>
    <w:rsid w:val="0084374F"/>
    <w:rsid w:val="00843BBA"/>
    <w:rsid w:val="00844824"/>
    <w:rsid w:val="00844A22"/>
    <w:rsid w:val="008454C5"/>
    <w:rsid w:val="008471BA"/>
    <w:rsid w:val="00847703"/>
    <w:rsid w:val="00847DF5"/>
    <w:rsid w:val="00847EE5"/>
    <w:rsid w:val="00851C32"/>
    <w:rsid w:val="0085309D"/>
    <w:rsid w:val="00853126"/>
    <w:rsid w:val="00853206"/>
    <w:rsid w:val="0085400B"/>
    <w:rsid w:val="008545A1"/>
    <w:rsid w:val="008554F7"/>
    <w:rsid w:val="00855C10"/>
    <w:rsid w:val="008566C3"/>
    <w:rsid w:val="00856897"/>
    <w:rsid w:val="00856E9A"/>
    <w:rsid w:val="00860414"/>
    <w:rsid w:val="0086075D"/>
    <w:rsid w:val="00861774"/>
    <w:rsid w:val="00862502"/>
    <w:rsid w:val="00862863"/>
    <w:rsid w:val="00862CC1"/>
    <w:rsid w:val="00863BF7"/>
    <w:rsid w:val="00863F31"/>
    <w:rsid w:val="008646FF"/>
    <w:rsid w:val="00864870"/>
    <w:rsid w:val="008660D4"/>
    <w:rsid w:val="00866540"/>
    <w:rsid w:val="0086661F"/>
    <w:rsid w:val="0086777D"/>
    <w:rsid w:val="00870515"/>
    <w:rsid w:val="00871292"/>
    <w:rsid w:val="00871FA9"/>
    <w:rsid w:val="008728E9"/>
    <w:rsid w:val="008733EE"/>
    <w:rsid w:val="008733F8"/>
    <w:rsid w:val="00882874"/>
    <w:rsid w:val="00882DAD"/>
    <w:rsid w:val="00882E3C"/>
    <w:rsid w:val="00883787"/>
    <w:rsid w:val="008855E4"/>
    <w:rsid w:val="00885CA5"/>
    <w:rsid w:val="00886CD2"/>
    <w:rsid w:val="00887BD2"/>
    <w:rsid w:val="00891E6F"/>
    <w:rsid w:val="0089275D"/>
    <w:rsid w:val="00892A36"/>
    <w:rsid w:val="00893239"/>
    <w:rsid w:val="00894489"/>
    <w:rsid w:val="008962CA"/>
    <w:rsid w:val="008963A5"/>
    <w:rsid w:val="008968A6"/>
    <w:rsid w:val="00896D5D"/>
    <w:rsid w:val="008A0E2B"/>
    <w:rsid w:val="008A1580"/>
    <w:rsid w:val="008A19F7"/>
    <w:rsid w:val="008A3363"/>
    <w:rsid w:val="008A3371"/>
    <w:rsid w:val="008A3699"/>
    <w:rsid w:val="008A3C3E"/>
    <w:rsid w:val="008A478A"/>
    <w:rsid w:val="008A5E53"/>
    <w:rsid w:val="008A74F2"/>
    <w:rsid w:val="008A79DE"/>
    <w:rsid w:val="008B05B8"/>
    <w:rsid w:val="008B1757"/>
    <w:rsid w:val="008B26F7"/>
    <w:rsid w:val="008B57DC"/>
    <w:rsid w:val="008B58BE"/>
    <w:rsid w:val="008B607D"/>
    <w:rsid w:val="008B71AE"/>
    <w:rsid w:val="008B7992"/>
    <w:rsid w:val="008B7D7E"/>
    <w:rsid w:val="008C0672"/>
    <w:rsid w:val="008C07BF"/>
    <w:rsid w:val="008C2989"/>
    <w:rsid w:val="008C47BE"/>
    <w:rsid w:val="008C4AE0"/>
    <w:rsid w:val="008C5336"/>
    <w:rsid w:val="008C5610"/>
    <w:rsid w:val="008C5739"/>
    <w:rsid w:val="008C57E5"/>
    <w:rsid w:val="008C7D3D"/>
    <w:rsid w:val="008C7ECB"/>
    <w:rsid w:val="008D27EB"/>
    <w:rsid w:val="008D3B86"/>
    <w:rsid w:val="008D4755"/>
    <w:rsid w:val="008D4C3D"/>
    <w:rsid w:val="008D4CA8"/>
    <w:rsid w:val="008D743C"/>
    <w:rsid w:val="008E0D3C"/>
    <w:rsid w:val="008E1A0B"/>
    <w:rsid w:val="008E1B9E"/>
    <w:rsid w:val="008E55AB"/>
    <w:rsid w:val="008E5E38"/>
    <w:rsid w:val="008F120A"/>
    <w:rsid w:val="008F27E0"/>
    <w:rsid w:val="008F3CD6"/>
    <w:rsid w:val="008F48EB"/>
    <w:rsid w:val="008F4F0B"/>
    <w:rsid w:val="008F5754"/>
    <w:rsid w:val="008F5836"/>
    <w:rsid w:val="008F5922"/>
    <w:rsid w:val="008F6385"/>
    <w:rsid w:val="008F6630"/>
    <w:rsid w:val="0090404C"/>
    <w:rsid w:val="009046C4"/>
    <w:rsid w:val="00905F62"/>
    <w:rsid w:val="009062A5"/>
    <w:rsid w:val="00907CF5"/>
    <w:rsid w:val="009101AD"/>
    <w:rsid w:val="00910FA7"/>
    <w:rsid w:val="00911272"/>
    <w:rsid w:val="00912719"/>
    <w:rsid w:val="00912F19"/>
    <w:rsid w:val="009130F8"/>
    <w:rsid w:val="009135D6"/>
    <w:rsid w:val="00913D92"/>
    <w:rsid w:val="009149FE"/>
    <w:rsid w:val="00914C77"/>
    <w:rsid w:val="00914FEE"/>
    <w:rsid w:val="00915FA8"/>
    <w:rsid w:val="009165C2"/>
    <w:rsid w:val="00921ACB"/>
    <w:rsid w:val="0092369B"/>
    <w:rsid w:val="00924FC4"/>
    <w:rsid w:val="00925AC1"/>
    <w:rsid w:val="00926918"/>
    <w:rsid w:val="00927323"/>
    <w:rsid w:val="00927A67"/>
    <w:rsid w:val="009321DB"/>
    <w:rsid w:val="00934988"/>
    <w:rsid w:val="00935C60"/>
    <w:rsid w:val="00937089"/>
    <w:rsid w:val="009372CD"/>
    <w:rsid w:val="009378AB"/>
    <w:rsid w:val="00940BF3"/>
    <w:rsid w:val="00940CEE"/>
    <w:rsid w:val="00941425"/>
    <w:rsid w:val="00944F8A"/>
    <w:rsid w:val="00945CCB"/>
    <w:rsid w:val="0095016E"/>
    <w:rsid w:val="00950636"/>
    <w:rsid w:val="00950A9E"/>
    <w:rsid w:val="009510A2"/>
    <w:rsid w:val="00951B84"/>
    <w:rsid w:val="00952E25"/>
    <w:rsid w:val="00953257"/>
    <w:rsid w:val="00953B71"/>
    <w:rsid w:val="0095474C"/>
    <w:rsid w:val="0095677B"/>
    <w:rsid w:val="009568EF"/>
    <w:rsid w:val="009608CD"/>
    <w:rsid w:val="00960D22"/>
    <w:rsid w:val="00962CB9"/>
    <w:rsid w:val="00964312"/>
    <w:rsid w:val="0096478B"/>
    <w:rsid w:val="00965B8A"/>
    <w:rsid w:val="0096663D"/>
    <w:rsid w:val="00967BF4"/>
    <w:rsid w:val="0097034F"/>
    <w:rsid w:val="0097071F"/>
    <w:rsid w:val="00971118"/>
    <w:rsid w:val="009717AC"/>
    <w:rsid w:val="00972724"/>
    <w:rsid w:val="00973C66"/>
    <w:rsid w:val="009749FA"/>
    <w:rsid w:val="00974F5E"/>
    <w:rsid w:val="00974FFE"/>
    <w:rsid w:val="009751C1"/>
    <w:rsid w:val="009751E0"/>
    <w:rsid w:val="00976AFB"/>
    <w:rsid w:val="00977C46"/>
    <w:rsid w:val="0098040D"/>
    <w:rsid w:val="00980F28"/>
    <w:rsid w:val="009811F1"/>
    <w:rsid w:val="00981FCB"/>
    <w:rsid w:val="00983E57"/>
    <w:rsid w:val="00983E74"/>
    <w:rsid w:val="00985DE2"/>
    <w:rsid w:val="009860AE"/>
    <w:rsid w:val="0098675D"/>
    <w:rsid w:val="0098682A"/>
    <w:rsid w:val="00987445"/>
    <w:rsid w:val="009909D3"/>
    <w:rsid w:val="009911AC"/>
    <w:rsid w:val="0099213C"/>
    <w:rsid w:val="009926E0"/>
    <w:rsid w:val="0099451E"/>
    <w:rsid w:val="009950D9"/>
    <w:rsid w:val="00995419"/>
    <w:rsid w:val="009962BB"/>
    <w:rsid w:val="00996B1A"/>
    <w:rsid w:val="00997A03"/>
    <w:rsid w:val="009A01E6"/>
    <w:rsid w:val="009A1BBE"/>
    <w:rsid w:val="009A2DCC"/>
    <w:rsid w:val="009A4DB7"/>
    <w:rsid w:val="009A5ABC"/>
    <w:rsid w:val="009A6EF4"/>
    <w:rsid w:val="009A7F10"/>
    <w:rsid w:val="009B21D0"/>
    <w:rsid w:val="009B3E26"/>
    <w:rsid w:val="009B500D"/>
    <w:rsid w:val="009B53AE"/>
    <w:rsid w:val="009B754D"/>
    <w:rsid w:val="009C04C5"/>
    <w:rsid w:val="009C1754"/>
    <w:rsid w:val="009C287B"/>
    <w:rsid w:val="009C2CB8"/>
    <w:rsid w:val="009C3706"/>
    <w:rsid w:val="009C3A3A"/>
    <w:rsid w:val="009C483F"/>
    <w:rsid w:val="009C5588"/>
    <w:rsid w:val="009C6CEA"/>
    <w:rsid w:val="009C6E9D"/>
    <w:rsid w:val="009C7B85"/>
    <w:rsid w:val="009D0254"/>
    <w:rsid w:val="009D0384"/>
    <w:rsid w:val="009D1A64"/>
    <w:rsid w:val="009D5B91"/>
    <w:rsid w:val="009D792E"/>
    <w:rsid w:val="009D7B9E"/>
    <w:rsid w:val="009E0DFE"/>
    <w:rsid w:val="009E119F"/>
    <w:rsid w:val="009E1795"/>
    <w:rsid w:val="009E1D82"/>
    <w:rsid w:val="009E31F6"/>
    <w:rsid w:val="009E33C3"/>
    <w:rsid w:val="009E3500"/>
    <w:rsid w:val="009E4102"/>
    <w:rsid w:val="009E44CF"/>
    <w:rsid w:val="009E4C07"/>
    <w:rsid w:val="009E4E27"/>
    <w:rsid w:val="009E6486"/>
    <w:rsid w:val="009F08B3"/>
    <w:rsid w:val="009F281A"/>
    <w:rsid w:val="009F2B26"/>
    <w:rsid w:val="009F4FAA"/>
    <w:rsid w:val="009F6027"/>
    <w:rsid w:val="009F77E4"/>
    <w:rsid w:val="00A01184"/>
    <w:rsid w:val="00A011E2"/>
    <w:rsid w:val="00A018E4"/>
    <w:rsid w:val="00A028BD"/>
    <w:rsid w:val="00A037C2"/>
    <w:rsid w:val="00A03D43"/>
    <w:rsid w:val="00A04380"/>
    <w:rsid w:val="00A05472"/>
    <w:rsid w:val="00A05C32"/>
    <w:rsid w:val="00A0653F"/>
    <w:rsid w:val="00A104F3"/>
    <w:rsid w:val="00A11CD0"/>
    <w:rsid w:val="00A11E31"/>
    <w:rsid w:val="00A121F2"/>
    <w:rsid w:val="00A12CEE"/>
    <w:rsid w:val="00A13948"/>
    <w:rsid w:val="00A1555B"/>
    <w:rsid w:val="00A155C5"/>
    <w:rsid w:val="00A16AD8"/>
    <w:rsid w:val="00A17B59"/>
    <w:rsid w:val="00A20830"/>
    <w:rsid w:val="00A210EA"/>
    <w:rsid w:val="00A21C95"/>
    <w:rsid w:val="00A21CF3"/>
    <w:rsid w:val="00A22315"/>
    <w:rsid w:val="00A236F4"/>
    <w:rsid w:val="00A24813"/>
    <w:rsid w:val="00A27AEC"/>
    <w:rsid w:val="00A320DB"/>
    <w:rsid w:val="00A35D16"/>
    <w:rsid w:val="00A365C2"/>
    <w:rsid w:val="00A37BCD"/>
    <w:rsid w:val="00A37D90"/>
    <w:rsid w:val="00A40F85"/>
    <w:rsid w:val="00A41689"/>
    <w:rsid w:val="00A41EA1"/>
    <w:rsid w:val="00A42592"/>
    <w:rsid w:val="00A43C59"/>
    <w:rsid w:val="00A44BF3"/>
    <w:rsid w:val="00A47735"/>
    <w:rsid w:val="00A50ECD"/>
    <w:rsid w:val="00A518F3"/>
    <w:rsid w:val="00A52729"/>
    <w:rsid w:val="00A53475"/>
    <w:rsid w:val="00A53675"/>
    <w:rsid w:val="00A54E3F"/>
    <w:rsid w:val="00A564D7"/>
    <w:rsid w:val="00A56B6A"/>
    <w:rsid w:val="00A57088"/>
    <w:rsid w:val="00A57573"/>
    <w:rsid w:val="00A578DC"/>
    <w:rsid w:val="00A57A5D"/>
    <w:rsid w:val="00A60A8B"/>
    <w:rsid w:val="00A60EBE"/>
    <w:rsid w:val="00A61CDF"/>
    <w:rsid w:val="00A62281"/>
    <w:rsid w:val="00A640E2"/>
    <w:rsid w:val="00A64814"/>
    <w:rsid w:val="00A64D65"/>
    <w:rsid w:val="00A6725B"/>
    <w:rsid w:val="00A70605"/>
    <w:rsid w:val="00A73134"/>
    <w:rsid w:val="00A74EDC"/>
    <w:rsid w:val="00A76001"/>
    <w:rsid w:val="00A777B2"/>
    <w:rsid w:val="00A80BAF"/>
    <w:rsid w:val="00A820B9"/>
    <w:rsid w:val="00A8254C"/>
    <w:rsid w:val="00A825D4"/>
    <w:rsid w:val="00A828F6"/>
    <w:rsid w:val="00A82B73"/>
    <w:rsid w:val="00A82C36"/>
    <w:rsid w:val="00A84805"/>
    <w:rsid w:val="00A86E8B"/>
    <w:rsid w:val="00A87164"/>
    <w:rsid w:val="00A93072"/>
    <w:rsid w:val="00A938BD"/>
    <w:rsid w:val="00A93953"/>
    <w:rsid w:val="00A952BF"/>
    <w:rsid w:val="00A959D8"/>
    <w:rsid w:val="00A95C9F"/>
    <w:rsid w:val="00A966A4"/>
    <w:rsid w:val="00AA113D"/>
    <w:rsid w:val="00AA2077"/>
    <w:rsid w:val="00AA5B04"/>
    <w:rsid w:val="00AA60C9"/>
    <w:rsid w:val="00AA6950"/>
    <w:rsid w:val="00AA6954"/>
    <w:rsid w:val="00AA6BD5"/>
    <w:rsid w:val="00AA6BD8"/>
    <w:rsid w:val="00AA6C7D"/>
    <w:rsid w:val="00AA73BF"/>
    <w:rsid w:val="00AA7DE9"/>
    <w:rsid w:val="00AA7FD6"/>
    <w:rsid w:val="00AB042A"/>
    <w:rsid w:val="00AB05DC"/>
    <w:rsid w:val="00AB0AED"/>
    <w:rsid w:val="00AB1126"/>
    <w:rsid w:val="00AB19EF"/>
    <w:rsid w:val="00AB2D34"/>
    <w:rsid w:val="00AB3430"/>
    <w:rsid w:val="00AB37B9"/>
    <w:rsid w:val="00AB4137"/>
    <w:rsid w:val="00AB4AD1"/>
    <w:rsid w:val="00AB54DF"/>
    <w:rsid w:val="00AB5E07"/>
    <w:rsid w:val="00AB69EA"/>
    <w:rsid w:val="00AB6FB6"/>
    <w:rsid w:val="00AB7CFA"/>
    <w:rsid w:val="00AC069D"/>
    <w:rsid w:val="00AC1831"/>
    <w:rsid w:val="00AC459A"/>
    <w:rsid w:val="00AC4D97"/>
    <w:rsid w:val="00AC53F5"/>
    <w:rsid w:val="00AC5B48"/>
    <w:rsid w:val="00AD1450"/>
    <w:rsid w:val="00AD3C28"/>
    <w:rsid w:val="00AD47B9"/>
    <w:rsid w:val="00AD6502"/>
    <w:rsid w:val="00AD75D9"/>
    <w:rsid w:val="00AE0695"/>
    <w:rsid w:val="00AE1D61"/>
    <w:rsid w:val="00AE3552"/>
    <w:rsid w:val="00AE3E7E"/>
    <w:rsid w:val="00AE3F68"/>
    <w:rsid w:val="00AE4191"/>
    <w:rsid w:val="00AE4C98"/>
    <w:rsid w:val="00AE50C1"/>
    <w:rsid w:val="00AE687C"/>
    <w:rsid w:val="00AE7415"/>
    <w:rsid w:val="00AE7996"/>
    <w:rsid w:val="00AF0878"/>
    <w:rsid w:val="00AF1315"/>
    <w:rsid w:val="00AF19BF"/>
    <w:rsid w:val="00AF2368"/>
    <w:rsid w:val="00AF2967"/>
    <w:rsid w:val="00AF2DC3"/>
    <w:rsid w:val="00AF5DAA"/>
    <w:rsid w:val="00B00D50"/>
    <w:rsid w:val="00B02A19"/>
    <w:rsid w:val="00B033E5"/>
    <w:rsid w:val="00B03A63"/>
    <w:rsid w:val="00B06224"/>
    <w:rsid w:val="00B074A0"/>
    <w:rsid w:val="00B076B9"/>
    <w:rsid w:val="00B07CD4"/>
    <w:rsid w:val="00B1047C"/>
    <w:rsid w:val="00B11FD6"/>
    <w:rsid w:val="00B132F1"/>
    <w:rsid w:val="00B13891"/>
    <w:rsid w:val="00B13BB2"/>
    <w:rsid w:val="00B13E97"/>
    <w:rsid w:val="00B145ED"/>
    <w:rsid w:val="00B1505B"/>
    <w:rsid w:val="00B15E5D"/>
    <w:rsid w:val="00B16518"/>
    <w:rsid w:val="00B1764D"/>
    <w:rsid w:val="00B201A4"/>
    <w:rsid w:val="00B201D1"/>
    <w:rsid w:val="00B213A6"/>
    <w:rsid w:val="00B21482"/>
    <w:rsid w:val="00B21579"/>
    <w:rsid w:val="00B21D61"/>
    <w:rsid w:val="00B22541"/>
    <w:rsid w:val="00B235B0"/>
    <w:rsid w:val="00B235F6"/>
    <w:rsid w:val="00B24176"/>
    <w:rsid w:val="00B24DF6"/>
    <w:rsid w:val="00B25939"/>
    <w:rsid w:val="00B30A54"/>
    <w:rsid w:val="00B30A97"/>
    <w:rsid w:val="00B30B7D"/>
    <w:rsid w:val="00B31BC5"/>
    <w:rsid w:val="00B32EB4"/>
    <w:rsid w:val="00B344B4"/>
    <w:rsid w:val="00B34FE2"/>
    <w:rsid w:val="00B35166"/>
    <w:rsid w:val="00B357D8"/>
    <w:rsid w:val="00B35EF2"/>
    <w:rsid w:val="00B360F4"/>
    <w:rsid w:val="00B365D0"/>
    <w:rsid w:val="00B36A00"/>
    <w:rsid w:val="00B37475"/>
    <w:rsid w:val="00B376AF"/>
    <w:rsid w:val="00B37BFC"/>
    <w:rsid w:val="00B40358"/>
    <w:rsid w:val="00B40B96"/>
    <w:rsid w:val="00B41614"/>
    <w:rsid w:val="00B42851"/>
    <w:rsid w:val="00B429C1"/>
    <w:rsid w:val="00B42F80"/>
    <w:rsid w:val="00B435CB"/>
    <w:rsid w:val="00B5034D"/>
    <w:rsid w:val="00B505C8"/>
    <w:rsid w:val="00B50DB8"/>
    <w:rsid w:val="00B53654"/>
    <w:rsid w:val="00B53905"/>
    <w:rsid w:val="00B54B5B"/>
    <w:rsid w:val="00B5562E"/>
    <w:rsid w:val="00B558F4"/>
    <w:rsid w:val="00B55D65"/>
    <w:rsid w:val="00B55D77"/>
    <w:rsid w:val="00B5633F"/>
    <w:rsid w:val="00B56F30"/>
    <w:rsid w:val="00B57000"/>
    <w:rsid w:val="00B602D1"/>
    <w:rsid w:val="00B60455"/>
    <w:rsid w:val="00B60939"/>
    <w:rsid w:val="00B60AFD"/>
    <w:rsid w:val="00B61F79"/>
    <w:rsid w:val="00B620AE"/>
    <w:rsid w:val="00B62715"/>
    <w:rsid w:val="00B64C23"/>
    <w:rsid w:val="00B650D6"/>
    <w:rsid w:val="00B65611"/>
    <w:rsid w:val="00B70E8E"/>
    <w:rsid w:val="00B719C8"/>
    <w:rsid w:val="00B72CD7"/>
    <w:rsid w:val="00B743F3"/>
    <w:rsid w:val="00B756E1"/>
    <w:rsid w:val="00B75D43"/>
    <w:rsid w:val="00B75EBF"/>
    <w:rsid w:val="00B76C92"/>
    <w:rsid w:val="00B77641"/>
    <w:rsid w:val="00B80704"/>
    <w:rsid w:val="00B818A4"/>
    <w:rsid w:val="00B81CBF"/>
    <w:rsid w:val="00B81E00"/>
    <w:rsid w:val="00B82808"/>
    <w:rsid w:val="00B840F1"/>
    <w:rsid w:val="00B84117"/>
    <w:rsid w:val="00B8498D"/>
    <w:rsid w:val="00B858F0"/>
    <w:rsid w:val="00B85AA2"/>
    <w:rsid w:val="00B8649C"/>
    <w:rsid w:val="00B8663B"/>
    <w:rsid w:val="00B86941"/>
    <w:rsid w:val="00B8695D"/>
    <w:rsid w:val="00B87F0A"/>
    <w:rsid w:val="00B916F2"/>
    <w:rsid w:val="00B91D5F"/>
    <w:rsid w:val="00B92D0B"/>
    <w:rsid w:val="00B93F62"/>
    <w:rsid w:val="00B94945"/>
    <w:rsid w:val="00B94DD6"/>
    <w:rsid w:val="00B95353"/>
    <w:rsid w:val="00B96809"/>
    <w:rsid w:val="00BA1B1B"/>
    <w:rsid w:val="00BA322D"/>
    <w:rsid w:val="00BA3EC5"/>
    <w:rsid w:val="00BA5C98"/>
    <w:rsid w:val="00BA63FA"/>
    <w:rsid w:val="00BB00B3"/>
    <w:rsid w:val="00BB020D"/>
    <w:rsid w:val="00BB07DA"/>
    <w:rsid w:val="00BB0BDD"/>
    <w:rsid w:val="00BB176C"/>
    <w:rsid w:val="00BB2A73"/>
    <w:rsid w:val="00BB2B9C"/>
    <w:rsid w:val="00BB3A45"/>
    <w:rsid w:val="00BB4756"/>
    <w:rsid w:val="00BB4ACC"/>
    <w:rsid w:val="00BB5609"/>
    <w:rsid w:val="00BB6A54"/>
    <w:rsid w:val="00BB703E"/>
    <w:rsid w:val="00BB714F"/>
    <w:rsid w:val="00BB732D"/>
    <w:rsid w:val="00BB7405"/>
    <w:rsid w:val="00BB7E66"/>
    <w:rsid w:val="00BC12AD"/>
    <w:rsid w:val="00BC2476"/>
    <w:rsid w:val="00BC3631"/>
    <w:rsid w:val="00BC3791"/>
    <w:rsid w:val="00BC591F"/>
    <w:rsid w:val="00BC7D6D"/>
    <w:rsid w:val="00BD02B6"/>
    <w:rsid w:val="00BD2108"/>
    <w:rsid w:val="00BD295D"/>
    <w:rsid w:val="00BD5F35"/>
    <w:rsid w:val="00BD68A3"/>
    <w:rsid w:val="00BD6938"/>
    <w:rsid w:val="00BD6CF3"/>
    <w:rsid w:val="00BD7FA1"/>
    <w:rsid w:val="00BD7FB6"/>
    <w:rsid w:val="00BE0BD4"/>
    <w:rsid w:val="00BE0ECA"/>
    <w:rsid w:val="00BE2068"/>
    <w:rsid w:val="00BE2180"/>
    <w:rsid w:val="00BE21F2"/>
    <w:rsid w:val="00BE4275"/>
    <w:rsid w:val="00BE6100"/>
    <w:rsid w:val="00BE7215"/>
    <w:rsid w:val="00BE75D2"/>
    <w:rsid w:val="00BF046B"/>
    <w:rsid w:val="00BF06AE"/>
    <w:rsid w:val="00BF0F95"/>
    <w:rsid w:val="00BF10D2"/>
    <w:rsid w:val="00BF23F6"/>
    <w:rsid w:val="00BF2433"/>
    <w:rsid w:val="00BF3137"/>
    <w:rsid w:val="00BF428B"/>
    <w:rsid w:val="00BF46C3"/>
    <w:rsid w:val="00BF61C9"/>
    <w:rsid w:val="00BF6C94"/>
    <w:rsid w:val="00C00424"/>
    <w:rsid w:val="00C01FD2"/>
    <w:rsid w:val="00C02973"/>
    <w:rsid w:val="00C1179F"/>
    <w:rsid w:val="00C12C14"/>
    <w:rsid w:val="00C15EB4"/>
    <w:rsid w:val="00C15F04"/>
    <w:rsid w:val="00C16837"/>
    <w:rsid w:val="00C179B3"/>
    <w:rsid w:val="00C17E3F"/>
    <w:rsid w:val="00C200AA"/>
    <w:rsid w:val="00C20B44"/>
    <w:rsid w:val="00C237A4"/>
    <w:rsid w:val="00C237ED"/>
    <w:rsid w:val="00C23E79"/>
    <w:rsid w:val="00C23F9A"/>
    <w:rsid w:val="00C24632"/>
    <w:rsid w:val="00C25418"/>
    <w:rsid w:val="00C25D9C"/>
    <w:rsid w:val="00C2778B"/>
    <w:rsid w:val="00C30C25"/>
    <w:rsid w:val="00C31649"/>
    <w:rsid w:val="00C3362E"/>
    <w:rsid w:val="00C3434C"/>
    <w:rsid w:val="00C3538B"/>
    <w:rsid w:val="00C36F91"/>
    <w:rsid w:val="00C37345"/>
    <w:rsid w:val="00C40385"/>
    <w:rsid w:val="00C41768"/>
    <w:rsid w:val="00C43BA6"/>
    <w:rsid w:val="00C45DB2"/>
    <w:rsid w:val="00C46047"/>
    <w:rsid w:val="00C460E9"/>
    <w:rsid w:val="00C46DE4"/>
    <w:rsid w:val="00C46ED4"/>
    <w:rsid w:val="00C475AA"/>
    <w:rsid w:val="00C50A29"/>
    <w:rsid w:val="00C522B3"/>
    <w:rsid w:val="00C52F32"/>
    <w:rsid w:val="00C535D5"/>
    <w:rsid w:val="00C53C98"/>
    <w:rsid w:val="00C53EBB"/>
    <w:rsid w:val="00C54E1C"/>
    <w:rsid w:val="00C55622"/>
    <w:rsid w:val="00C56F9B"/>
    <w:rsid w:val="00C56FCF"/>
    <w:rsid w:val="00C57925"/>
    <w:rsid w:val="00C57B6C"/>
    <w:rsid w:val="00C60EC2"/>
    <w:rsid w:val="00C61ACF"/>
    <w:rsid w:val="00C627D2"/>
    <w:rsid w:val="00C628A6"/>
    <w:rsid w:val="00C64344"/>
    <w:rsid w:val="00C64790"/>
    <w:rsid w:val="00C64BB4"/>
    <w:rsid w:val="00C65108"/>
    <w:rsid w:val="00C65487"/>
    <w:rsid w:val="00C65576"/>
    <w:rsid w:val="00C66165"/>
    <w:rsid w:val="00C7060A"/>
    <w:rsid w:val="00C7151A"/>
    <w:rsid w:val="00C71760"/>
    <w:rsid w:val="00C717E3"/>
    <w:rsid w:val="00C71E4B"/>
    <w:rsid w:val="00C71F60"/>
    <w:rsid w:val="00C72241"/>
    <w:rsid w:val="00C72606"/>
    <w:rsid w:val="00C750C8"/>
    <w:rsid w:val="00C7560F"/>
    <w:rsid w:val="00C758C0"/>
    <w:rsid w:val="00C808C5"/>
    <w:rsid w:val="00C80A0E"/>
    <w:rsid w:val="00C80BB5"/>
    <w:rsid w:val="00C81852"/>
    <w:rsid w:val="00C819DE"/>
    <w:rsid w:val="00C81C71"/>
    <w:rsid w:val="00C81EE1"/>
    <w:rsid w:val="00C8213F"/>
    <w:rsid w:val="00C82712"/>
    <w:rsid w:val="00C82B00"/>
    <w:rsid w:val="00C838E0"/>
    <w:rsid w:val="00C83F80"/>
    <w:rsid w:val="00C84F86"/>
    <w:rsid w:val="00C85154"/>
    <w:rsid w:val="00C85704"/>
    <w:rsid w:val="00C857B4"/>
    <w:rsid w:val="00C866A3"/>
    <w:rsid w:val="00C873B5"/>
    <w:rsid w:val="00C8797A"/>
    <w:rsid w:val="00C900B8"/>
    <w:rsid w:val="00C90888"/>
    <w:rsid w:val="00C90C71"/>
    <w:rsid w:val="00C91FD1"/>
    <w:rsid w:val="00C931CF"/>
    <w:rsid w:val="00C938CF"/>
    <w:rsid w:val="00C94053"/>
    <w:rsid w:val="00C94EFE"/>
    <w:rsid w:val="00C9624D"/>
    <w:rsid w:val="00C969DA"/>
    <w:rsid w:val="00C96D3A"/>
    <w:rsid w:val="00C97B87"/>
    <w:rsid w:val="00CA1D31"/>
    <w:rsid w:val="00CA2C77"/>
    <w:rsid w:val="00CA3D79"/>
    <w:rsid w:val="00CA444F"/>
    <w:rsid w:val="00CA46AC"/>
    <w:rsid w:val="00CA5245"/>
    <w:rsid w:val="00CA71F4"/>
    <w:rsid w:val="00CA722B"/>
    <w:rsid w:val="00CA7238"/>
    <w:rsid w:val="00CA7B09"/>
    <w:rsid w:val="00CB0401"/>
    <w:rsid w:val="00CB12A5"/>
    <w:rsid w:val="00CB1CAC"/>
    <w:rsid w:val="00CB2F2A"/>
    <w:rsid w:val="00CB32F8"/>
    <w:rsid w:val="00CB5B1A"/>
    <w:rsid w:val="00CB6B22"/>
    <w:rsid w:val="00CB7F5F"/>
    <w:rsid w:val="00CC1B39"/>
    <w:rsid w:val="00CC35EA"/>
    <w:rsid w:val="00CC3848"/>
    <w:rsid w:val="00CC62A5"/>
    <w:rsid w:val="00CC6310"/>
    <w:rsid w:val="00CC7489"/>
    <w:rsid w:val="00CC7921"/>
    <w:rsid w:val="00CC79E7"/>
    <w:rsid w:val="00CC7EB3"/>
    <w:rsid w:val="00CD1599"/>
    <w:rsid w:val="00CD3757"/>
    <w:rsid w:val="00CD3F77"/>
    <w:rsid w:val="00CD4757"/>
    <w:rsid w:val="00CD4C81"/>
    <w:rsid w:val="00CD4F24"/>
    <w:rsid w:val="00CD6ADC"/>
    <w:rsid w:val="00CD7193"/>
    <w:rsid w:val="00CD7DD3"/>
    <w:rsid w:val="00CE0160"/>
    <w:rsid w:val="00CE079E"/>
    <w:rsid w:val="00CE1010"/>
    <w:rsid w:val="00CE296C"/>
    <w:rsid w:val="00CE38C8"/>
    <w:rsid w:val="00CE3A4E"/>
    <w:rsid w:val="00CE49E4"/>
    <w:rsid w:val="00CE5DD4"/>
    <w:rsid w:val="00CE6274"/>
    <w:rsid w:val="00CE71F1"/>
    <w:rsid w:val="00CE77B6"/>
    <w:rsid w:val="00CF14A9"/>
    <w:rsid w:val="00CF2B8D"/>
    <w:rsid w:val="00CF456B"/>
    <w:rsid w:val="00CF59E0"/>
    <w:rsid w:val="00CF5A22"/>
    <w:rsid w:val="00D002C9"/>
    <w:rsid w:val="00D0262E"/>
    <w:rsid w:val="00D046CE"/>
    <w:rsid w:val="00D05E3D"/>
    <w:rsid w:val="00D06139"/>
    <w:rsid w:val="00D10711"/>
    <w:rsid w:val="00D110BD"/>
    <w:rsid w:val="00D11275"/>
    <w:rsid w:val="00D13675"/>
    <w:rsid w:val="00D13AE4"/>
    <w:rsid w:val="00D141E1"/>
    <w:rsid w:val="00D14FFD"/>
    <w:rsid w:val="00D15314"/>
    <w:rsid w:val="00D17D6C"/>
    <w:rsid w:val="00D2155B"/>
    <w:rsid w:val="00D23D11"/>
    <w:rsid w:val="00D244B6"/>
    <w:rsid w:val="00D25287"/>
    <w:rsid w:val="00D25E53"/>
    <w:rsid w:val="00D26807"/>
    <w:rsid w:val="00D2754D"/>
    <w:rsid w:val="00D27B27"/>
    <w:rsid w:val="00D27B55"/>
    <w:rsid w:val="00D31F9E"/>
    <w:rsid w:val="00D32188"/>
    <w:rsid w:val="00D33BE9"/>
    <w:rsid w:val="00D33F93"/>
    <w:rsid w:val="00D34480"/>
    <w:rsid w:val="00D353D5"/>
    <w:rsid w:val="00D357FF"/>
    <w:rsid w:val="00D37386"/>
    <w:rsid w:val="00D37756"/>
    <w:rsid w:val="00D40044"/>
    <w:rsid w:val="00D403A5"/>
    <w:rsid w:val="00D4072E"/>
    <w:rsid w:val="00D412C2"/>
    <w:rsid w:val="00D418C3"/>
    <w:rsid w:val="00D418F6"/>
    <w:rsid w:val="00D424C7"/>
    <w:rsid w:val="00D434C0"/>
    <w:rsid w:val="00D43B2A"/>
    <w:rsid w:val="00D43D83"/>
    <w:rsid w:val="00D445FB"/>
    <w:rsid w:val="00D44DBF"/>
    <w:rsid w:val="00D467F6"/>
    <w:rsid w:val="00D46DE6"/>
    <w:rsid w:val="00D47575"/>
    <w:rsid w:val="00D504AF"/>
    <w:rsid w:val="00D5243B"/>
    <w:rsid w:val="00D5281F"/>
    <w:rsid w:val="00D533EC"/>
    <w:rsid w:val="00D53573"/>
    <w:rsid w:val="00D535EF"/>
    <w:rsid w:val="00D55FDC"/>
    <w:rsid w:val="00D56086"/>
    <w:rsid w:val="00D56A95"/>
    <w:rsid w:val="00D6002F"/>
    <w:rsid w:val="00D619E2"/>
    <w:rsid w:val="00D62514"/>
    <w:rsid w:val="00D6458E"/>
    <w:rsid w:val="00D6474E"/>
    <w:rsid w:val="00D66865"/>
    <w:rsid w:val="00D6730C"/>
    <w:rsid w:val="00D70735"/>
    <w:rsid w:val="00D70C05"/>
    <w:rsid w:val="00D70F16"/>
    <w:rsid w:val="00D71A3A"/>
    <w:rsid w:val="00D72F57"/>
    <w:rsid w:val="00D75BF1"/>
    <w:rsid w:val="00D76A44"/>
    <w:rsid w:val="00D80C36"/>
    <w:rsid w:val="00D815EF"/>
    <w:rsid w:val="00D81F26"/>
    <w:rsid w:val="00D82EC8"/>
    <w:rsid w:val="00D83688"/>
    <w:rsid w:val="00D843CC"/>
    <w:rsid w:val="00D86231"/>
    <w:rsid w:val="00D87B6D"/>
    <w:rsid w:val="00D87E9D"/>
    <w:rsid w:val="00D900CB"/>
    <w:rsid w:val="00D908AA"/>
    <w:rsid w:val="00D91923"/>
    <w:rsid w:val="00D92931"/>
    <w:rsid w:val="00D93753"/>
    <w:rsid w:val="00D93E0E"/>
    <w:rsid w:val="00D941F6"/>
    <w:rsid w:val="00D94C5C"/>
    <w:rsid w:val="00D95D86"/>
    <w:rsid w:val="00D96423"/>
    <w:rsid w:val="00D96BC7"/>
    <w:rsid w:val="00D9734F"/>
    <w:rsid w:val="00DA071A"/>
    <w:rsid w:val="00DA0ACE"/>
    <w:rsid w:val="00DA113E"/>
    <w:rsid w:val="00DA148C"/>
    <w:rsid w:val="00DA166C"/>
    <w:rsid w:val="00DA2C07"/>
    <w:rsid w:val="00DA2D3C"/>
    <w:rsid w:val="00DA3167"/>
    <w:rsid w:val="00DA4309"/>
    <w:rsid w:val="00DA4DC3"/>
    <w:rsid w:val="00DA77A5"/>
    <w:rsid w:val="00DA79B7"/>
    <w:rsid w:val="00DB1DA4"/>
    <w:rsid w:val="00DB378E"/>
    <w:rsid w:val="00DB3DBF"/>
    <w:rsid w:val="00DB484F"/>
    <w:rsid w:val="00DB54CB"/>
    <w:rsid w:val="00DB5E02"/>
    <w:rsid w:val="00DB64E7"/>
    <w:rsid w:val="00DB67C1"/>
    <w:rsid w:val="00DC04F6"/>
    <w:rsid w:val="00DC0690"/>
    <w:rsid w:val="00DC0C6D"/>
    <w:rsid w:val="00DC1D65"/>
    <w:rsid w:val="00DC30F4"/>
    <w:rsid w:val="00DC3C57"/>
    <w:rsid w:val="00DC5328"/>
    <w:rsid w:val="00DC5433"/>
    <w:rsid w:val="00DC5501"/>
    <w:rsid w:val="00DC5F90"/>
    <w:rsid w:val="00DC7154"/>
    <w:rsid w:val="00DC77FA"/>
    <w:rsid w:val="00DC7A77"/>
    <w:rsid w:val="00DC7E8A"/>
    <w:rsid w:val="00DD0F78"/>
    <w:rsid w:val="00DD117A"/>
    <w:rsid w:val="00DD273C"/>
    <w:rsid w:val="00DD3F28"/>
    <w:rsid w:val="00DD4537"/>
    <w:rsid w:val="00DD472C"/>
    <w:rsid w:val="00DD4E15"/>
    <w:rsid w:val="00DD5FFB"/>
    <w:rsid w:val="00DE134D"/>
    <w:rsid w:val="00DE2304"/>
    <w:rsid w:val="00DE2B8B"/>
    <w:rsid w:val="00DE3138"/>
    <w:rsid w:val="00DE33ED"/>
    <w:rsid w:val="00DE37F8"/>
    <w:rsid w:val="00DE3EBF"/>
    <w:rsid w:val="00DE3FC0"/>
    <w:rsid w:val="00DE45E2"/>
    <w:rsid w:val="00DE4FCB"/>
    <w:rsid w:val="00DE567E"/>
    <w:rsid w:val="00DE5933"/>
    <w:rsid w:val="00DE5D07"/>
    <w:rsid w:val="00DE6148"/>
    <w:rsid w:val="00DE6A21"/>
    <w:rsid w:val="00DE72A7"/>
    <w:rsid w:val="00DE7832"/>
    <w:rsid w:val="00DF18FC"/>
    <w:rsid w:val="00DF1C7B"/>
    <w:rsid w:val="00DF5D2B"/>
    <w:rsid w:val="00DF6E72"/>
    <w:rsid w:val="00E00E8E"/>
    <w:rsid w:val="00E0117B"/>
    <w:rsid w:val="00E023CC"/>
    <w:rsid w:val="00E028E1"/>
    <w:rsid w:val="00E0296C"/>
    <w:rsid w:val="00E035EB"/>
    <w:rsid w:val="00E03B2F"/>
    <w:rsid w:val="00E05630"/>
    <w:rsid w:val="00E065C4"/>
    <w:rsid w:val="00E06DBB"/>
    <w:rsid w:val="00E10149"/>
    <w:rsid w:val="00E10A0B"/>
    <w:rsid w:val="00E1101F"/>
    <w:rsid w:val="00E11340"/>
    <w:rsid w:val="00E122A1"/>
    <w:rsid w:val="00E13015"/>
    <w:rsid w:val="00E13566"/>
    <w:rsid w:val="00E13C85"/>
    <w:rsid w:val="00E150AD"/>
    <w:rsid w:val="00E15A6A"/>
    <w:rsid w:val="00E16372"/>
    <w:rsid w:val="00E20307"/>
    <w:rsid w:val="00E20724"/>
    <w:rsid w:val="00E20E4D"/>
    <w:rsid w:val="00E20ED6"/>
    <w:rsid w:val="00E21358"/>
    <w:rsid w:val="00E2249B"/>
    <w:rsid w:val="00E22A0D"/>
    <w:rsid w:val="00E241CA"/>
    <w:rsid w:val="00E244F6"/>
    <w:rsid w:val="00E245F6"/>
    <w:rsid w:val="00E266DE"/>
    <w:rsid w:val="00E2771E"/>
    <w:rsid w:val="00E311EF"/>
    <w:rsid w:val="00E31529"/>
    <w:rsid w:val="00E31643"/>
    <w:rsid w:val="00E32180"/>
    <w:rsid w:val="00E33FD8"/>
    <w:rsid w:val="00E34108"/>
    <w:rsid w:val="00E34948"/>
    <w:rsid w:val="00E36099"/>
    <w:rsid w:val="00E37569"/>
    <w:rsid w:val="00E401B2"/>
    <w:rsid w:val="00E41E30"/>
    <w:rsid w:val="00E42F73"/>
    <w:rsid w:val="00E43D70"/>
    <w:rsid w:val="00E46274"/>
    <w:rsid w:val="00E466F3"/>
    <w:rsid w:val="00E47B2C"/>
    <w:rsid w:val="00E50BD8"/>
    <w:rsid w:val="00E51560"/>
    <w:rsid w:val="00E518D2"/>
    <w:rsid w:val="00E52DB9"/>
    <w:rsid w:val="00E53FC8"/>
    <w:rsid w:val="00E54347"/>
    <w:rsid w:val="00E55424"/>
    <w:rsid w:val="00E55915"/>
    <w:rsid w:val="00E55BB5"/>
    <w:rsid w:val="00E56CCE"/>
    <w:rsid w:val="00E57567"/>
    <w:rsid w:val="00E61E3C"/>
    <w:rsid w:val="00E62BFB"/>
    <w:rsid w:val="00E62E11"/>
    <w:rsid w:val="00E6378D"/>
    <w:rsid w:val="00E65E79"/>
    <w:rsid w:val="00E66866"/>
    <w:rsid w:val="00E66BA2"/>
    <w:rsid w:val="00E67416"/>
    <w:rsid w:val="00E71282"/>
    <w:rsid w:val="00E71358"/>
    <w:rsid w:val="00E718B6"/>
    <w:rsid w:val="00E720AC"/>
    <w:rsid w:val="00E723BA"/>
    <w:rsid w:val="00E72984"/>
    <w:rsid w:val="00E73581"/>
    <w:rsid w:val="00E7366E"/>
    <w:rsid w:val="00E8068F"/>
    <w:rsid w:val="00E82BDC"/>
    <w:rsid w:val="00E82D8E"/>
    <w:rsid w:val="00E82E8B"/>
    <w:rsid w:val="00E8332E"/>
    <w:rsid w:val="00E833F7"/>
    <w:rsid w:val="00E83BDF"/>
    <w:rsid w:val="00E86E09"/>
    <w:rsid w:val="00E87A1D"/>
    <w:rsid w:val="00E9094A"/>
    <w:rsid w:val="00E90D16"/>
    <w:rsid w:val="00E90FC8"/>
    <w:rsid w:val="00E91D35"/>
    <w:rsid w:val="00E926A5"/>
    <w:rsid w:val="00E94A92"/>
    <w:rsid w:val="00E96D6F"/>
    <w:rsid w:val="00EA17C3"/>
    <w:rsid w:val="00EA2406"/>
    <w:rsid w:val="00EA2CAA"/>
    <w:rsid w:val="00EA3864"/>
    <w:rsid w:val="00EA7F1C"/>
    <w:rsid w:val="00EB15B6"/>
    <w:rsid w:val="00EB3D06"/>
    <w:rsid w:val="00EB4916"/>
    <w:rsid w:val="00EC00C9"/>
    <w:rsid w:val="00EC0DD9"/>
    <w:rsid w:val="00EC1F43"/>
    <w:rsid w:val="00EC24FD"/>
    <w:rsid w:val="00EC2649"/>
    <w:rsid w:val="00EC31ED"/>
    <w:rsid w:val="00EC348A"/>
    <w:rsid w:val="00EC52BF"/>
    <w:rsid w:val="00EC5836"/>
    <w:rsid w:val="00EC688C"/>
    <w:rsid w:val="00EC6DC1"/>
    <w:rsid w:val="00EC7564"/>
    <w:rsid w:val="00ED10FE"/>
    <w:rsid w:val="00ED1A22"/>
    <w:rsid w:val="00ED433A"/>
    <w:rsid w:val="00ED57EA"/>
    <w:rsid w:val="00ED5A11"/>
    <w:rsid w:val="00ED5BD4"/>
    <w:rsid w:val="00ED5F22"/>
    <w:rsid w:val="00EE07D3"/>
    <w:rsid w:val="00EE09CB"/>
    <w:rsid w:val="00EE1996"/>
    <w:rsid w:val="00EE1C01"/>
    <w:rsid w:val="00EE22AF"/>
    <w:rsid w:val="00EE394E"/>
    <w:rsid w:val="00EE7A40"/>
    <w:rsid w:val="00EF0171"/>
    <w:rsid w:val="00EF017A"/>
    <w:rsid w:val="00EF01E3"/>
    <w:rsid w:val="00EF0D4D"/>
    <w:rsid w:val="00EF0F74"/>
    <w:rsid w:val="00EF1285"/>
    <w:rsid w:val="00EF1630"/>
    <w:rsid w:val="00EF1899"/>
    <w:rsid w:val="00EF1B25"/>
    <w:rsid w:val="00EF1DA0"/>
    <w:rsid w:val="00EF38B7"/>
    <w:rsid w:val="00EF4747"/>
    <w:rsid w:val="00EF4BF8"/>
    <w:rsid w:val="00EF5B4C"/>
    <w:rsid w:val="00EF678E"/>
    <w:rsid w:val="00F00040"/>
    <w:rsid w:val="00F014CC"/>
    <w:rsid w:val="00F02253"/>
    <w:rsid w:val="00F027AB"/>
    <w:rsid w:val="00F03C2E"/>
    <w:rsid w:val="00F04A66"/>
    <w:rsid w:val="00F04B4B"/>
    <w:rsid w:val="00F05059"/>
    <w:rsid w:val="00F0516C"/>
    <w:rsid w:val="00F067A2"/>
    <w:rsid w:val="00F06AE0"/>
    <w:rsid w:val="00F07262"/>
    <w:rsid w:val="00F07B9E"/>
    <w:rsid w:val="00F103C5"/>
    <w:rsid w:val="00F106CC"/>
    <w:rsid w:val="00F10AA4"/>
    <w:rsid w:val="00F1116F"/>
    <w:rsid w:val="00F11B4E"/>
    <w:rsid w:val="00F1263A"/>
    <w:rsid w:val="00F13CC7"/>
    <w:rsid w:val="00F147D7"/>
    <w:rsid w:val="00F15B77"/>
    <w:rsid w:val="00F15FFE"/>
    <w:rsid w:val="00F224E3"/>
    <w:rsid w:val="00F24837"/>
    <w:rsid w:val="00F2575F"/>
    <w:rsid w:val="00F266A3"/>
    <w:rsid w:val="00F27565"/>
    <w:rsid w:val="00F310D4"/>
    <w:rsid w:val="00F31D5A"/>
    <w:rsid w:val="00F336C0"/>
    <w:rsid w:val="00F33975"/>
    <w:rsid w:val="00F33DE9"/>
    <w:rsid w:val="00F34EE7"/>
    <w:rsid w:val="00F35E6D"/>
    <w:rsid w:val="00F3619A"/>
    <w:rsid w:val="00F3656C"/>
    <w:rsid w:val="00F40AAA"/>
    <w:rsid w:val="00F40BA7"/>
    <w:rsid w:val="00F40F9D"/>
    <w:rsid w:val="00F41ACD"/>
    <w:rsid w:val="00F42D9F"/>
    <w:rsid w:val="00F46CB6"/>
    <w:rsid w:val="00F46E25"/>
    <w:rsid w:val="00F4756D"/>
    <w:rsid w:val="00F47B71"/>
    <w:rsid w:val="00F47DE8"/>
    <w:rsid w:val="00F501F4"/>
    <w:rsid w:val="00F509B8"/>
    <w:rsid w:val="00F50C48"/>
    <w:rsid w:val="00F51D71"/>
    <w:rsid w:val="00F521A0"/>
    <w:rsid w:val="00F526B4"/>
    <w:rsid w:val="00F52A4C"/>
    <w:rsid w:val="00F52DF8"/>
    <w:rsid w:val="00F542C1"/>
    <w:rsid w:val="00F55515"/>
    <w:rsid w:val="00F55E73"/>
    <w:rsid w:val="00F55EDA"/>
    <w:rsid w:val="00F560F2"/>
    <w:rsid w:val="00F56C80"/>
    <w:rsid w:val="00F60092"/>
    <w:rsid w:val="00F6089C"/>
    <w:rsid w:val="00F61C18"/>
    <w:rsid w:val="00F64A05"/>
    <w:rsid w:val="00F65F4B"/>
    <w:rsid w:val="00F67A69"/>
    <w:rsid w:val="00F70BFF"/>
    <w:rsid w:val="00F70C9D"/>
    <w:rsid w:val="00F7193B"/>
    <w:rsid w:val="00F72401"/>
    <w:rsid w:val="00F74CD9"/>
    <w:rsid w:val="00F80A7B"/>
    <w:rsid w:val="00F80E5D"/>
    <w:rsid w:val="00F810C8"/>
    <w:rsid w:val="00F81E78"/>
    <w:rsid w:val="00F82112"/>
    <w:rsid w:val="00F827BF"/>
    <w:rsid w:val="00F84512"/>
    <w:rsid w:val="00F851CE"/>
    <w:rsid w:val="00F870CE"/>
    <w:rsid w:val="00F908C0"/>
    <w:rsid w:val="00F91219"/>
    <w:rsid w:val="00F91D88"/>
    <w:rsid w:val="00F92444"/>
    <w:rsid w:val="00F92E18"/>
    <w:rsid w:val="00F9393E"/>
    <w:rsid w:val="00F93A19"/>
    <w:rsid w:val="00F95110"/>
    <w:rsid w:val="00F965B5"/>
    <w:rsid w:val="00F96FD0"/>
    <w:rsid w:val="00F97A78"/>
    <w:rsid w:val="00FA0B20"/>
    <w:rsid w:val="00FA24E7"/>
    <w:rsid w:val="00FA4880"/>
    <w:rsid w:val="00FA5EE6"/>
    <w:rsid w:val="00FA62D2"/>
    <w:rsid w:val="00FA7956"/>
    <w:rsid w:val="00FB2C64"/>
    <w:rsid w:val="00FB2FCB"/>
    <w:rsid w:val="00FB407B"/>
    <w:rsid w:val="00FB5573"/>
    <w:rsid w:val="00FB5C0C"/>
    <w:rsid w:val="00FB69DD"/>
    <w:rsid w:val="00FB7C55"/>
    <w:rsid w:val="00FC1074"/>
    <w:rsid w:val="00FC1884"/>
    <w:rsid w:val="00FC1AE4"/>
    <w:rsid w:val="00FC2B20"/>
    <w:rsid w:val="00FC2C98"/>
    <w:rsid w:val="00FC371D"/>
    <w:rsid w:val="00FC3FB0"/>
    <w:rsid w:val="00FC5A89"/>
    <w:rsid w:val="00FC5F0B"/>
    <w:rsid w:val="00FC6E5A"/>
    <w:rsid w:val="00FC7402"/>
    <w:rsid w:val="00FC7FF1"/>
    <w:rsid w:val="00FD1BD6"/>
    <w:rsid w:val="00FD2100"/>
    <w:rsid w:val="00FD315A"/>
    <w:rsid w:val="00FD3E08"/>
    <w:rsid w:val="00FD4065"/>
    <w:rsid w:val="00FD436C"/>
    <w:rsid w:val="00FD446D"/>
    <w:rsid w:val="00FD4F2C"/>
    <w:rsid w:val="00FD6394"/>
    <w:rsid w:val="00FE0E6C"/>
    <w:rsid w:val="00FE1CDC"/>
    <w:rsid w:val="00FE70C3"/>
    <w:rsid w:val="00FE7C76"/>
    <w:rsid w:val="00FF1FC0"/>
    <w:rsid w:val="00FF2AD9"/>
    <w:rsid w:val="00FF359F"/>
    <w:rsid w:val="00FF3DCF"/>
    <w:rsid w:val="00FF492C"/>
    <w:rsid w:val="00FF4A21"/>
    <w:rsid w:val="00FF4D74"/>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0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1"/>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F224E3"/>
    <w:rPr>
      <w:sz w:val="20"/>
      <w:szCs w:val="20"/>
    </w:rPr>
  </w:style>
  <w:style w:type="character" w:customStyle="1" w:styleId="FootnoteTextChar">
    <w:name w:val="Footnote Text Char"/>
    <w:basedOn w:val="DefaultParagraphFont"/>
    <w:link w:val="FootnoteText"/>
    <w:semiHidden/>
    <w:rsid w:val="00F224E3"/>
    <w:rPr>
      <w:rFonts w:ascii="Calibri" w:hAnsi="Calibri" w:cs="Arial"/>
    </w:rPr>
  </w:style>
  <w:style w:type="character" w:styleId="FootnoteReference">
    <w:name w:val="footnote reference"/>
    <w:basedOn w:val="DefaultParagraphFont"/>
    <w:semiHidden/>
    <w:unhideWhenUsed/>
    <w:rsid w:val="00F224E3"/>
    <w:rPr>
      <w:vertAlign w:val="superscript"/>
    </w:rPr>
  </w:style>
  <w:style w:type="character" w:styleId="PlaceholderText">
    <w:name w:val="Placeholder Text"/>
    <w:basedOn w:val="DefaultParagraphFont"/>
    <w:uiPriority w:val="99"/>
    <w:semiHidden/>
    <w:rsid w:val="008554F7"/>
    <w:rPr>
      <w:color w:val="808080"/>
    </w:rPr>
  </w:style>
  <w:style w:type="paragraph" w:customStyle="1" w:styleId="Table">
    <w:name w:val="Table"/>
    <w:basedOn w:val="Normal"/>
    <w:qFormat/>
    <w:rsid w:val="001C3B40"/>
    <w:pPr>
      <w:jc w:val="left"/>
    </w:pPr>
    <w:rPr>
      <w:rFonts w:eastAsiaTheme="majorEastAsia" w:cstheme="majorBidi"/>
      <w:sz w:val="20"/>
      <w:szCs w:val="22"/>
      <w:lang w:eastAsia="en-US" w:bidi="en-US"/>
    </w:rPr>
  </w:style>
  <w:style w:type="character" w:styleId="Strong">
    <w:name w:val="Strong"/>
    <w:basedOn w:val="DefaultParagraphFont"/>
    <w:uiPriority w:val="22"/>
    <w:qFormat/>
    <w:rsid w:val="006E3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341444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119030914">
      <w:bodyDiv w:val="1"/>
      <w:marLeft w:val="0"/>
      <w:marRight w:val="0"/>
      <w:marTop w:val="0"/>
      <w:marBottom w:val="0"/>
      <w:divBdr>
        <w:top w:val="none" w:sz="0" w:space="0" w:color="auto"/>
        <w:left w:val="none" w:sz="0" w:space="0" w:color="auto"/>
        <w:bottom w:val="none" w:sz="0" w:space="0" w:color="auto"/>
        <w:right w:val="none" w:sz="0" w:space="0" w:color="auto"/>
      </w:divBdr>
    </w:div>
    <w:div w:id="117036845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0831">
      <w:bodyDiv w:val="1"/>
      <w:marLeft w:val="0"/>
      <w:marRight w:val="0"/>
      <w:marTop w:val="0"/>
      <w:marBottom w:val="0"/>
      <w:divBdr>
        <w:top w:val="none" w:sz="0" w:space="0" w:color="auto"/>
        <w:left w:val="none" w:sz="0" w:space="0" w:color="auto"/>
        <w:bottom w:val="none" w:sz="0" w:space="0" w:color="auto"/>
        <w:right w:val="none" w:sz="0" w:space="0" w:color="auto"/>
      </w:divBdr>
    </w:div>
    <w:div w:id="1727726364">
      <w:bodyDiv w:val="1"/>
      <w:marLeft w:val="0"/>
      <w:marRight w:val="0"/>
      <w:marTop w:val="0"/>
      <w:marBottom w:val="0"/>
      <w:divBdr>
        <w:top w:val="none" w:sz="0" w:space="0" w:color="auto"/>
        <w:left w:val="none" w:sz="0" w:space="0" w:color="auto"/>
        <w:bottom w:val="none" w:sz="0" w:space="0" w:color="auto"/>
        <w:right w:val="none" w:sz="0" w:space="0" w:color="auto"/>
      </w:divBdr>
    </w:div>
    <w:div w:id="185114026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0263-B828-4716-96EC-03F27838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12562</Words>
  <Characters>70872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2021-06-29T05:07:00Z</dcterms:created>
  <dcterms:modified xsi:type="dcterms:W3CDTF">2021-06-29T05:07:00Z</dcterms:modified>
</cp:coreProperties>
</file>