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C73E70" w:rsidRDefault="00C52F11" w:rsidP="00A55C56">
      <w:pPr>
        <w:pStyle w:val="1MainTitle"/>
        <w:ind w:left="1134" w:hanging="1134"/>
        <w:jc w:val="left"/>
        <w:rPr>
          <w:rFonts w:eastAsia="Calibri"/>
          <w:lang w:eastAsia="en-US"/>
        </w:rPr>
      </w:pPr>
      <w:r w:rsidRPr="00C73E70">
        <w:rPr>
          <w:rFonts w:eastAsia="Calibri"/>
          <w:lang w:eastAsia="en-US"/>
        </w:rPr>
        <w:t>5.22</w:t>
      </w:r>
      <w:r w:rsidR="00BF27A0" w:rsidRPr="00C73E70">
        <w:rPr>
          <w:rFonts w:eastAsia="Calibri"/>
          <w:lang w:eastAsia="en-US"/>
        </w:rPr>
        <w:tab/>
      </w:r>
      <w:r w:rsidRPr="00C73E70">
        <w:rPr>
          <w:rFonts w:eastAsia="Calibri"/>
          <w:lang w:eastAsia="en-US"/>
        </w:rPr>
        <w:t>TERIPARATIDE</w:t>
      </w:r>
      <w:r w:rsidR="00BF27A0" w:rsidRPr="00C73E70">
        <w:rPr>
          <w:rFonts w:eastAsia="Calibri"/>
          <w:lang w:eastAsia="en-US"/>
        </w:rPr>
        <w:t>,</w:t>
      </w:r>
      <w:r w:rsidR="005E0D82" w:rsidRPr="00C73E70">
        <w:rPr>
          <w:rFonts w:eastAsia="Calibri"/>
          <w:lang w:eastAsia="en-US"/>
        </w:rPr>
        <w:br/>
      </w:r>
      <w:r w:rsidRPr="00C73E70">
        <w:rPr>
          <w:rFonts w:eastAsia="Calibri"/>
          <w:lang w:eastAsia="en-US"/>
        </w:rPr>
        <w:t xml:space="preserve">Injection 250 micrograms per mL, 2.4 mL </w:t>
      </w:r>
      <w:r w:rsidR="00F46F04" w:rsidRPr="00C73E70">
        <w:rPr>
          <w:rFonts w:eastAsia="Calibri"/>
          <w:lang w:eastAsia="en-US"/>
        </w:rPr>
        <w:t xml:space="preserve">in multi-dose pre-filled </w:t>
      </w:r>
      <w:r w:rsidR="00231AD1" w:rsidRPr="00C73E70">
        <w:rPr>
          <w:rFonts w:eastAsia="Calibri"/>
          <w:lang w:eastAsia="en-US"/>
        </w:rPr>
        <w:t>cartridge</w:t>
      </w:r>
      <w:r w:rsidR="00BF27A0" w:rsidRPr="00C73E70">
        <w:rPr>
          <w:rFonts w:eastAsia="Calibri"/>
          <w:lang w:eastAsia="en-US"/>
        </w:rPr>
        <w:t>,</w:t>
      </w:r>
      <w:r w:rsidR="005E0D82" w:rsidRPr="00C73E70">
        <w:rPr>
          <w:rFonts w:eastAsia="Calibri"/>
          <w:lang w:eastAsia="en-US"/>
        </w:rPr>
        <w:br/>
      </w:r>
      <w:r w:rsidRPr="00C73E70">
        <w:rPr>
          <w:rFonts w:eastAsia="Calibri"/>
          <w:lang w:eastAsia="en-US"/>
        </w:rPr>
        <w:t>Terrosa</w:t>
      </w:r>
      <w:r w:rsidR="00646CC8" w:rsidRPr="00C73E70">
        <w:rPr>
          <w:vertAlign w:val="superscript"/>
        </w:rPr>
        <w:t>®</w:t>
      </w:r>
      <w:r w:rsidR="00BF27A0" w:rsidRPr="00C73E70">
        <w:rPr>
          <w:rFonts w:eastAsia="Calibri"/>
          <w:lang w:eastAsia="en-US"/>
        </w:rPr>
        <w:t>,</w:t>
      </w:r>
      <w:r w:rsidR="005E0D82" w:rsidRPr="00C73E70">
        <w:rPr>
          <w:rFonts w:eastAsia="Calibri"/>
          <w:lang w:eastAsia="en-US"/>
        </w:rPr>
        <w:br/>
      </w:r>
      <w:r w:rsidRPr="00C73E70">
        <w:rPr>
          <w:rFonts w:eastAsia="Calibri"/>
          <w:lang w:eastAsia="en-US"/>
        </w:rPr>
        <w:t>Gedeon Richter Australia Pty Ltd</w:t>
      </w:r>
      <w:r w:rsidR="00BF27A0" w:rsidRPr="00C73E70">
        <w:rPr>
          <w:rFonts w:eastAsia="Calibri"/>
          <w:lang w:eastAsia="en-US"/>
        </w:rPr>
        <w:t xml:space="preserve"> </w:t>
      </w:r>
    </w:p>
    <w:p w:rsidR="008A50F1" w:rsidRPr="00C73E70" w:rsidRDefault="00CE10C4" w:rsidP="00A55C56">
      <w:pPr>
        <w:pStyle w:val="2-SectionHeading"/>
      </w:pPr>
      <w:r w:rsidRPr="00C73E70">
        <w:t xml:space="preserve">Purpose of </w:t>
      </w:r>
      <w:r w:rsidR="0004240E" w:rsidRPr="00C73E70">
        <w:t>Application</w:t>
      </w:r>
    </w:p>
    <w:p w:rsidR="004B2348" w:rsidRPr="00C73E70" w:rsidRDefault="00EF44A0" w:rsidP="00A55C56">
      <w:pPr>
        <w:pStyle w:val="3Bodytext"/>
        <w:jc w:val="both"/>
      </w:pPr>
      <w:r w:rsidRPr="00C73E70">
        <w:t>The mi</w:t>
      </w:r>
      <w:r w:rsidR="00FF2801" w:rsidRPr="00C73E70">
        <w:t>nor submission requested</w:t>
      </w:r>
      <w:r w:rsidR="00231AD1" w:rsidRPr="00C73E70">
        <w:t xml:space="preserve"> an Authority Required (STREAMLINED) listing for a new biosimilar brand of teriparatide (Terrosa</w:t>
      </w:r>
      <w:r w:rsidR="00646CC8" w:rsidRPr="00C73E70">
        <w:rPr>
          <w:vertAlign w:val="superscript"/>
        </w:rPr>
        <w:t>®</w:t>
      </w:r>
      <w:r w:rsidR="00231AD1" w:rsidRPr="00C73E70">
        <w:t xml:space="preserve">) in the form of </w:t>
      </w:r>
      <w:r w:rsidR="00330C79" w:rsidRPr="00C73E70">
        <w:t xml:space="preserve">injection </w:t>
      </w:r>
      <w:r w:rsidR="00194F9B" w:rsidRPr="00C73E70">
        <w:t>250 microgram</w:t>
      </w:r>
      <w:r w:rsidR="00330C79" w:rsidRPr="00C73E70">
        <w:t xml:space="preserve"> per </w:t>
      </w:r>
      <w:r w:rsidR="00194F9B" w:rsidRPr="00C73E70">
        <w:t>mL</w:t>
      </w:r>
      <w:r w:rsidR="008032A7" w:rsidRPr="00C73E70">
        <w:t>, 2.4</w:t>
      </w:r>
      <w:r w:rsidR="00CA5B03" w:rsidRPr="00C73E70">
        <w:t> </w:t>
      </w:r>
      <w:r w:rsidR="008032A7" w:rsidRPr="00C73E70">
        <w:t>mL</w:t>
      </w:r>
      <w:r w:rsidR="00194F9B" w:rsidRPr="00C73E70">
        <w:t xml:space="preserve"> </w:t>
      </w:r>
      <w:r w:rsidR="00F46F04" w:rsidRPr="00C73E70">
        <w:t xml:space="preserve">in multi-dose pre-filled </w:t>
      </w:r>
      <w:r w:rsidR="00194F9B" w:rsidRPr="00C73E70">
        <w:t>cartridge.</w:t>
      </w:r>
    </w:p>
    <w:p w:rsidR="00A01432" w:rsidRPr="00C73E70" w:rsidRDefault="00A01432" w:rsidP="00A55C56">
      <w:pPr>
        <w:pStyle w:val="2-SectionHeading"/>
      </w:pPr>
      <w:r w:rsidRPr="00C73E70">
        <w:t xml:space="preserve">Background </w:t>
      </w:r>
    </w:p>
    <w:p w:rsidR="00A01432" w:rsidRPr="00C73E70" w:rsidRDefault="00A01432" w:rsidP="00A55C56">
      <w:pPr>
        <w:pStyle w:val="4-SubsectionHeading"/>
      </w:pPr>
      <w:r w:rsidRPr="00C73E70">
        <w:t>Registration status</w:t>
      </w:r>
    </w:p>
    <w:p w:rsidR="00035B7E" w:rsidRPr="00C73E70" w:rsidRDefault="008A1B02" w:rsidP="00A55C56">
      <w:pPr>
        <w:pStyle w:val="3Bodytext"/>
        <w:jc w:val="both"/>
      </w:pPr>
      <w:r w:rsidRPr="00C73E70">
        <w:t>Terrosa</w:t>
      </w:r>
      <w:r w:rsidR="00A01432" w:rsidRPr="00C73E70">
        <w:t xml:space="preserve"> was</w:t>
      </w:r>
      <w:r w:rsidRPr="00C73E70">
        <w:t xml:space="preserve"> TGA approved </w:t>
      </w:r>
      <w:r w:rsidR="00A01432" w:rsidRPr="00C73E70">
        <w:t xml:space="preserve">on </w:t>
      </w:r>
      <w:r w:rsidR="00FD04E2" w:rsidRPr="00C73E70">
        <w:t xml:space="preserve">12 December </w:t>
      </w:r>
      <w:r w:rsidR="002A49D1" w:rsidRPr="00C73E70">
        <w:t>2020 and was determined to be biosimilar to the reference brand Forteo</w:t>
      </w:r>
      <w:r w:rsidR="002A49D1" w:rsidRPr="00C73E70">
        <w:rPr>
          <w:vertAlign w:val="superscript"/>
        </w:rPr>
        <w:t>®</w:t>
      </w:r>
      <w:r w:rsidR="00D34D20" w:rsidRPr="00C73E70">
        <w:t xml:space="preserve"> </w:t>
      </w:r>
      <w:r w:rsidR="00A91A0B" w:rsidRPr="00C73E70">
        <w:t>(hereafter referred to as Forteo)</w:t>
      </w:r>
      <w:r w:rsidR="00330C79" w:rsidRPr="00C73E70">
        <w:t xml:space="preserve"> for the following indications:</w:t>
      </w:r>
    </w:p>
    <w:p w:rsidR="00330C79" w:rsidRPr="00C73E70" w:rsidRDefault="00330C79" w:rsidP="00A55C56">
      <w:pPr>
        <w:pStyle w:val="3Bodytext"/>
        <w:numPr>
          <w:ilvl w:val="0"/>
          <w:numId w:val="35"/>
        </w:numPr>
      </w:pPr>
      <w:r w:rsidRPr="00C73E70">
        <w:t>Treatment of osteoporosis in postmenopausal women and the treatment of primary osteoporosis in men when other agents are considered unsuitable and where there is a high risk of fractures</w:t>
      </w:r>
    </w:p>
    <w:p w:rsidR="00330C79" w:rsidRPr="00C73E70" w:rsidRDefault="00330C79" w:rsidP="00A55C56">
      <w:pPr>
        <w:pStyle w:val="3Bodytext"/>
        <w:numPr>
          <w:ilvl w:val="0"/>
          <w:numId w:val="35"/>
        </w:numPr>
        <w:jc w:val="both"/>
      </w:pPr>
      <w:r w:rsidRPr="00C73E70">
        <w:t>Treatment of osteoporosis associated with sustained systemic glucocorticoid therapy in women and men at high risk of fracture.</w:t>
      </w:r>
    </w:p>
    <w:p w:rsidR="00A01432" w:rsidRPr="00C73E70" w:rsidRDefault="00A01432" w:rsidP="00A55C56">
      <w:pPr>
        <w:pStyle w:val="4-SubsectionHeading"/>
      </w:pPr>
      <w:r w:rsidRPr="00C73E70">
        <w:t xml:space="preserve">Previous PBAC consideration </w:t>
      </w:r>
    </w:p>
    <w:p w:rsidR="00ED37D1" w:rsidRPr="00C73E70" w:rsidRDefault="008A6B91" w:rsidP="00A55C56">
      <w:pPr>
        <w:pStyle w:val="3Bodytext"/>
        <w:jc w:val="both"/>
        <w:rPr>
          <w:i/>
        </w:rPr>
      </w:pPr>
      <w:r w:rsidRPr="00C73E70">
        <w:t xml:space="preserve">Terrosa </w:t>
      </w:r>
      <w:r w:rsidR="00A01432" w:rsidRPr="00C73E70">
        <w:t xml:space="preserve">has not </w:t>
      </w:r>
      <w:r w:rsidRPr="00C73E70">
        <w:t>been considered by the PBAC</w:t>
      </w:r>
      <w:r w:rsidR="00A01432" w:rsidRPr="00C73E70">
        <w:t xml:space="preserve"> previously. </w:t>
      </w:r>
    </w:p>
    <w:p w:rsidR="001E4ED7" w:rsidRPr="00C73E70" w:rsidRDefault="008A6B91" w:rsidP="00A55C56">
      <w:pPr>
        <w:pStyle w:val="3Bodytext"/>
        <w:jc w:val="both"/>
        <w:rPr>
          <w:i/>
        </w:rPr>
      </w:pPr>
      <w:r w:rsidRPr="00C73E70">
        <w:t xml:space="preserve">Forteo </w:t>
      </w:r>
      <w:r w:rsidR="00D32B83" w:rsidRPr="00C73E70">
        <w:t xml:space="preserve">is PBS listed for severe established osteoporosis and </w:t>
      </w:r>
      <w:r w:rsidRPr="00C73E70">
        <w:t>is the only brand of teriparatide listed on the PBS</w:t>
      </w:r>
      <w:r w:rsidR="00780179" w:rsidRPr="00C73E70">
        <w:t xml:space="preserve">. </w:t>
      </w:r>
    </w:p>
    <w:p w:rsidR="00D61CCF" w:rsidRPr="00C73E70" w:rsidRDefault="00B17EE5" w:rsidP="00A55C56">
      <w:pPr>
        <w:pStyle w:val="2-SectionHeading"/>
      </w:pPr>
      <w:r w:rsidRPr="00C73E70">
        <w:t>Requested listing</w:t>
      </w:r>
    </w:p>
    <w:p w:rsidR="004564DC" w:rsidRPr="00C73E70" w:rsidRDefault="004564DC" w:rsidP="00A55C56">
      <w:pPr>
        <w:pStyle w:val="3Bodytext"/>
        <w:jc w:val="both"/>
        <w:rPr>
          <w:i/>
        </w:rPr>
      </w:pPr>
      <w:r w:rsidRPr="00C73E70">
        <w:t>The submission requested for the following biosim</w:t>
      </w:r>
      <w:r w:rsidR="002614E0" w:rsidRPr="00C73E70">
        <w:t>ilar uptake drivers to apply to</w:t>
      </w:r>
      <w:r w:rsidRPr="00C73E70">
        <w:t xml:space="preserve"> the listing of Terrosa:</w:t>
      </w:r>
    </w:p>
    <w:p w:rsidR="004564DC" w:rsidRPr="00C73E70" w:rsidRDefault="004564DC" w:rsidP="00A55C56">
      <w:pPr>
        <w:pStyle w:val="3Bodytext"/>
        <w:numPr>
          <w:ilvl w:val="0"/>
          <w:numId w:val="12"/>
        </w:numPr>
        <w:jc w:val="both"/>
        <w:rPr>
          <w:i/>
        </w:rPr>
      </w:pPr>
      <w:r w:rsidRPr="00C73E70">
        <w:t>an Authority Required (STREAMLINED) listing for both initial and continuing treatment while maintaining it as Authority Required for Forteo;</w:t>
      </w:r>
    </w:p>
    <w:p w:rsidR="004564DC" w:rsidRPr="00C73E70" w:rsidRDefault="004564DC" w:rsidP="00A55C56">
      <w:pPr>
        <w:pStyle w:val="3Bodytext"/>
        <w:numPr>
          <w:ilvl w:val="0"/>
          <w:numId w:val="12"/>
        </w:numPr>
        <w:jc w:val="both"/>
        <w:rPr>
          <w:i/>
        </w:rPr>
      </w:pPr>
      <w:r w:rsidRPr="00C73E70">
        <w:t>a ’Biosimilar prescriber policy’ note to be added to the prescribing instructions for both Forteo and Terrosa to reference the biosimilar prescribing policy.</w:t>
      </w:r>
      <w:r w:rsidRPr="00C73E70">
        <w:rPr>
          <w:i/>
        </w:rPr>
        <w:t xml:space="preserve"> </w:t>
      </w:r>
    </w:p>
    <w:p w:rsidR="002614E0" w:rsidRPr="00C73E70" w:rsidRDefault="004564DC" w:rsidP="00A55C56">
      <w:pPr>
        <w:pStyle w:val="3Bodytext"/>
        <w:numPr>
          <w:ilvl w:val="0"/>
          <w:numId w:val="0"/>
        </w:numPr>
        <w:ind w:left="720"/>
        <w:jc w:val="both"/>
      </w:pPr>
      <w:r w:rsidRPr="00C73E70">
        <w:lastRenderedPageBreak/>
        <w:t>These requests are appropriate and consistent with the Australian Government’s Biosimilar Awareness Initiative.</w:t>
      </w:r>
    </w:p>
    <w:p w:rsidR="002614E0" w:rsidRPr="00C73E70" w:rsidRDefault="002614E0" w:rsidP="00A55C56">
      <w:pPr>
        <w:pStyle w:val="3Bodytext"/>
        <w:jc w:val="both"/>
        <w:rPr>
          <w:i/>
        </w:rPr>
      </w:pPr>
      <w:r w:rsidRPr="00C73E70">
        <w:t>The submission requested that Terrosa not be ‘a’-flagged to prevent brand substitution between Terrosa and Forteo to be undertaken by pharmacist at the point of dispensing.</w:t>
      </w:r>
      <w:r w:rsidRPr="00C73E70">
        <w:rPr>
          <w:i/>
        </w:rPr>
        <w:t xml:space="preserve"> </w:t>
      </w:r>
      <w:r w:rsidR="001E4ED7" w:rsidRPr="00C73E70">
        <w:t xml:space="preserve">The submission </w:t>
      </w:r>
      <w:r w:rsidR="00D32B83" w:rsidRPr="00C73E70">
        <w:t xml:space="preserve">and TGA Delegate’s Overview noted that Terrosa is a different device to Forteo. Terrosa pen device and cartridges are supplied separately and need to be assembled before use. In contrast, Forteo is supplied as a prefilled pen and assembling the pen is not necessary apart from attaching the needle for administration. It is noted that the manner of administration for Terrosa and Forteo are the same based on the </w:t>
      </w:r>
      <w:r w:rsidR="001E4ED7" w:rsidRPr="00C73E70">
        <w:t xml:space="preserve">approved </w:t>
      </w:r>
      <w:r w:rsidR="00D32B83" w:rsidRPr="00C73E70">
        <w:t>P</w:t>
      </w:r>
      <w:r w:rsidR="001E4ED7" w:rsidRPr="00C73E70">
        <w:t xml:space="preserve">roduct </w:t>
      </w:r>
      <w:r w:rsidR="00D32B83" w:rsidRPr="00C73E70">
        <w:t>I</w:t>
      </w:r>
      <w:r w:rsidR="001E4ED7" w:rsidRPr="00C73E70">
        <w:t>nformation (PI)</w:t>
      </w:r>
      <w:r w:rsidR="00D32B83" w:rsidRPr="00C73E70">
        <w:t>. The</w:t>
      </w:r>
      <w:r w:rsidR="00E51151">
        <w:t xml:space="preserve"> PBAC considered that the information about the education plan provided in the</w:t>
      </w:r>
      <w:r w:rsidR="00D32B83" w:rsidRPr="00C73E70">
        <w:t xml:space="preserve"> </w:t>
      </w:r>
      <w:r w:rsidR="00D32B83" w:rsidRPr="00505718">
        <w:t>pre-PBAC response</w:t>
      </w:r>
      <w:r w:rsidR="00D32B83" w:rsidRPr="00C73E70">
        <w:t xml:space="preserve"> support</w:t>
      </w:r>
      <w:r w:rsidR="00E51151">
        <w:t>ed</w:t>
      </w:r>
      <w:r w:rsidR="00D32B83" w:rsidRPr="00C73E70">
        <w:t xml:space="preserve"> safe uptake of the </w:t>
      </w:r>
      <w:r w:rsidR="00E51151">
        <w:t>Terrosa</w:t>
      </w:r>
      <w:r w:rsidR="00E51151" w:rsidRPr="00C73E70">
        <w:t xml:space="preserve"> </w:t>
      </w:r>
      <w:r w:rsidR="00D32B83" w:rsidRPr="00C73E70">
        <w:t>device. The PBAC considered there was minimal risk in ‘a’-flagging</w:t>
      </w:r>
      <w:r w:rsidR="00A55C56">
        <w:t xml:space="preserve"> Terrosa and F</w:t>
      </w:r>
      <w:r w:rsidR="00E51151">
        <w:t>o</w:t>
      </w:r>
      <w:r w:rsidR="00A55C56">
        <w:t>r</w:t>
      </w:r>
      <w:r w:rsidR="00E51151">
        <w:t>teo,</w:t>
      </w:r>
      <w:r w:rsidR="00D32B83" w:rsidRPr="00C73E70">
        <w:t xml:space="preserve"> given </w:t>
      </w:r>
      <w:r w:rsidR="008A76CA" w:rsidRPr="00C73E70">
        <w:t>teripara</w:t>
      </w:r>
      <w:r w:rsidR="00906000" w:rsidRPr="00C73E70">
        <w:t xml:space="preserve">tide </w:t>
      </w:r>
      <w:r w:rsidR="00D32B83" w:rsidRPr="00C73E70">
        <w:t>would be used in a specialist setting</w:t>
      </w:r>
      <w:r w:rsidR="009266E3" w:rsidRPr="00C73E70">
        <w:t xml:space="preserve"> and that the difference in administration techniques between the two devices would be appropriately managed</w:t>
      </w:r>
      <w:r w:rsidR="00D32B83" w:rsidRPr="00C73E70">
        <w:t>.</w:t>
      </w:r>
    </w:p>
    <w:p w:rsidR="00D32B83" w:rsidRPr="00C73E70" w:rsidRDefault="001E4ED7" w:rsidP="00A55C56">
      <w:pPr>
        <w:pStyle w:val="3Bodytext"/>
        <w:jc w:val="both"/>
      </w:pPr>
      <w:r w:rsidRPr="00C73E70">
        <w:t>The submission</w:t>
      </w:r>
      <w:r w:rsidR="00D32B83" w:rsidRPr="00C73E70">
        <w:t xml:space="preserve"> noted that treatment with teripar</w:t>
      </w:r>
      <w:r w:rsidR="008A76CA" w:rsidRPr="00C73E70">
        <w:t>a</w:t>
      </w:r>
      <w:r w:rsidR="00D32B83" w:rsidRPr="00C73E70">
        <w:t>tide is TGA recommended for a lifetime duration of 24 months (Terrosa PI and Forteo PI). This is different to the current PBS listing for Forteo</w:t>
      </w:r>
      <w:r w:rsidR="00E51151">
        <w:t>,</w:t>
      </w:r>
      <w:r w:rsidR="00D32B83" w:rsidRPr="00C73E70">
        <w:t xml:space="preserve"> which allows a lifetime maximum of 18 months of therapy. It was noted that the maximum lifetime duration of treatment in the Forteo PI </w:t>
      </w:r>
      <w:r w:rsidR="00E51151">
        <w:t>has</w:t>
      </w:r>
      <w:r w:rsidR="00E51151" w:rsidRPr="00C73E70">
        <w:t xml:space="preserve"> </w:t>
      </w:r>
      <w:r w:rsidR="00D32B83" w:rsidRPr="00C73E70">
        <w:t>changed from 18 months to 24 months</w:t>
      </w:r>
      <w:r w:rsidR="00E51151">
        <w:t xml:space="preserve"> since its PBS listing</w:t>
      </w:r>
      <w:r w:rsidR="00D32B83" w:rsidRPr="00C73E70">
        <w:t xml:space="preserve">. </w:t>
      </w:r>
    </w:p>
    <w:p w:rsidR="00F07236" w:rsidRPr="00C73E70" w:rsidRDefault="00F07236" w:rsidP="00A55C56">
      <w:pPr>
        <w:pStyle w:val="3Bodytext"/>
        <w:numPr>
          <w:ilvl w:val="0"/>
          <w:numId w:val="0"/>
        </w:numPr>
        <w:rPr>
          <w:i/>
        </w:rPr>
      </w:pPr>
      <w:r w:rsidRPr="00C73E70">
        <w:rPr>
          <w:i/>
        </w:rPr>
        <w:t>For more detail o</w:t>
      </w:r>
      <w:r w:rsidR="00847E54" w:rsidRPr="00C73E70">
        <w:rPr>
          <w:i/>
        </w:rPr>
        <w:t>n the PBAC’s view, see section 6</w:t>
      </w:r>
      <w:r w:rsidRPr="00C73E70">
        <w:rPr>
          <w:i/>
        </w:rPr>
        <w:t xml:space="preserve"> PBAC outcome</w:t>
      </w:r>
      <w:r w:rsidR="00C73E70">
        <w:rPr>
          <w:i/>
        </w:rPr>
        <w:t xml:space="preserve">. </w:t>
      </w:r>
    </w:p>
    <w:p w:rsidR="005A3173" w:rsidRPr="00C73E70" w:rsidRDefault="005A3173" w:rsidP="00A55C56">
      <w:pPr>
        <w:pStyle w:val="2-SectionHeading"/>
        <w:jc w:val="both"/>
        <w:rPr>
          <w:color w:val="FF0000"/>
        </w:rPr>
      </w:pPr>
      <w:r w:rsidRPr="00C73E70">
        <w:t>Comparator</w:t>
      </w:r>
      <w:r w:rsidR="0099465B" w:rsidRPr="00C73E70">
        <w:t xml:space="preserve"> </w:t>
      </w:r>
    </w:p>
    <w:p w:rsidR="000B44C3" w:rsidRPr="00C73E70" w:rsidRDefault="00FF2801" w:rsidP="00A55C56">
      <w:pPr>
        <w:pStyle w:val="3Bodytext"/>
        <w:jc w:val="both"/>
      </w:pPr>
      <w:r w:rsidRPr="00C73E70">
        <w:t>The minor submission nominated</w:t>
      </w:r>
      <w:r w:rsidR="00CB1193" w:rsidRPr="00C73E70">
        <w:t xml:space="preserve"> </w:t>
      </w:r>
      <w:r w:rsidR="00B7073C" w:rsidRPr="00C73E70">
        <w:t xml:space="preserve">Forteo </w:t>
      </w:r>
      <w:r w:rsidR="00CB1193" w:rsidRPr="00C73E70">
        <w:t>as the main comparator</w:t>
      </w:r>
      <w:r w:rsidR="00476245" w:rsidRPr="00C73E70">
        <w:t>.</w:t>
      </w:r>
      <w:r w:rsidR="004904B9" w:rsidRPr="00C73E70">
        <w:t xml:space="preserve"> </w:t>
      </w:r>
    </w:p>
    <w:p w:rsidR="000B558D" w:rsidRPr="00C73E70" w:rsidRDefault="008D7A41" w:rsidP="00A55C56">
      <w:pPr>
        <w:pStyle w:val="Heading1"/>
        <w:keepLines/>
        <w:numPr>
          <w:ilvl w:val="0"/>
          <w:numId w:val="3"/>
        </w:numPr>
        <w:spacing w:before="240"/>
        <w:ind w:left="709" w:hanging="709"/>
        <w:rPr>
          <w:sz w:val="32"/>
          <w:szCs w:val="32"/>
        </w:rPr>
      </w:pPr>
      <w:r w:rsidRPr="00C73E70">
        <w:rPr>
          <w:sz w:val="32"/>
          <w:szCs w:val="32"/>
        </w:rPr>
        <w:t>C</w:t>
      </w:r>
      <w:r w:rsidR="00D84934" w:rsidRPr="00C73E70">
        <w:rPr>
          <w:sz w:val="32"/>
          <w:szCs w:val="32"/>
        </w:rPr>
        <w:t>onsideration of the evidence</w:t>
      </w:r>
    </w:p>
    <w:p w:rsidR="00F07236" w:rsidRPr="00C73E70" w:rsidRDefault="00F07236" w:rsidP="00A55C56">
      <w:pPr>
        <w:pStyle w:val="4-SubsectionHeading"/>
        <w:rPr>
          <w:snapToGrid w:val="0"/>
        </w:rPr>
      </w:pPr>
      <w:r w:rsidRPr="00C73E70">
        <w:rPr>
          <w:snapToGrid w:val="0"/>
        </w:rPr>
        <w:t>Sponsor hearing</w:t>
      </w:r>
    </w:p>
    <w:p w:rsidR="00F07236" w:rsidRPr="00C73E70" w:rsidRDefault="00F07236" w:rsidP="00A55C56">
      <w:pPr>
        <w:pStyle w:val="3Bodytext"/>
      </w:pPr>
      <w:r w:rsidRPr="00C73E70">
        <w:t>There was no hearing for this item.</w:t>
      </w:r>
    </w:p>
    <w:p w:rsidR="00F07236" w:rsidRPr="00C73E70" w:rsidRDefault="00F07236" w:rsidP="00A55C56">
      <w:pPr>
        <w:pStyle w:val="4-SubsectionHeading"/>
      </w:pPr>
      <w:r w:rsidRPr="00C73E70">
        <w:t>Consumer comments</w:t>
      </w:r>
    </w:p>
    <w:p w:rsidR="00F07236" w:rsidRPr="00C73E70" w:rsidRDefault="00B35FC3" w:rsidP="00A55C56">
      <w:pPr>
        <w:pStyle w:val="3Bodytext"/>
      </w:pPr>
      <w:r w:rsidRPr="00C73E70">
        <w:t>The PBAC noted that no consumer comments were received for this item.</w:t>
      </w:r>
    </w:p>
    <w:p w:rsidR="00D84934" w:rsidRPr="00C73E70" w:rsidRDefault="00D84934" w:rsidP="00A55C56">
      <w:pPr>
        <w:pStyle w:val="4-SubsectionHeading"/>
        <w:keepNext w:val="0"/>
        <w:rPr>
          <w:lang w:eastAsia="en-US"/>
        </w:rPr>
      </w:pPr>
      <w:r w:rsidRPr="00C73E70">
        <w:rPr>
          <w:lang w:eastAsia="en-US"/>
        </w:rPr>
        <w:t>Clinical trials</w:t>
      </w:r>
      <w:r w:rsidR="0099465B" w:rsidRPr="00C73E70">
        <w:rPr>
          <w:lang w:eastAsia="en-US"/>
        </w:rPr>
        <w:t xml:space="preserve"> </w:t>
      </w:r>
    </w:p>
    <w:p w:rsidR="0076420C" w:rsidRPr="00C73E70" w:rsidRDefault="00785D4A" w:rsidP="00A55C56">
      <w:pPr>
        <w:pStyle w:val="3Bodytext"/>
        <w:jc w:val="both"/>
      </w:pPr>
      <w:r w:rsidRPr="00C73E70">
        <w:t>As this was a minor submission, no evaluation of the clinical evidence was undertaken.</w:t>
      </w:r>
    </w:p>
    <w:p w:rsidR="0076420C" w:rsidRPr="00C73E70" w:rsidRDefault="00980B0E" w:rsidP="00A55C56">
      <w:pPr>
        <w:pStyle w:val="3Bodytext"/>
        <w:jc w:val="both"/>
      </w:pPr>
      <w:r w:rsidRPr="00C73E70">
        <w:t>Details of the trials presented in the submission are provided in the table below.</w:t>
      </w:r>
    </w:p>
    <w:p w:rsidR="00BF092C" w:rsidRPr="00C73E70" w:rsidRDefault="00BF092C" w:rsidP="00A55C56">
      <w:pPr>
        <w:pStyle w:val="Tabletitles"/>
      </w:pPr>
    </w:p>
    <w:p w:rsidR="00022AEC" w:rsidRPr="00C73E70" w:rsidRDefault="00022AEC" w:rsidP="00A55C56">
      <w:pPr>
        <w:pStyle w:val="Caption"/>
        <w:keepNext/>
        <w:spacing w:after="0"/>
        <w:rPr>
          <w:rFonts w:ascii="Arial Narrow" w:hAnsi="Arial Narrow"/>
          <w:b/>
          <w:i w:val="0"/>
          <w:sz w:val="20"/>
          <w:szCs w:val="20"/>
        </w:rPr>
      </w:pPr>
      <w:r w:rsidRPr="00C73E70">
        <w:rPr>
          <w:rFonts w:ascii="Arial Narrow" w:hAnsi="Arial Narrow"/>
          <w:b/>
          <w:i w:val="0"/>
          <w:sz w:val="20"/>
          <w:szCs w:val="20"/>
        </w:rPr>
        <w:lastRenderedPageBreak/>
        <w:t xml:space="preserve">Table </w:t>
      </w:r>
      <w:r w:rsidR="002F62A8" w:rsidRPr="00CF471F">
        <w:rPr>
          <w:rFonts w:ascii="Arial Narrow" w:hAnsi="Arial Narrow"/>
          <w:b/>
          <w:i w:val="0"/>
          <w:sz w:val="20"/>
          <w:szCs w:val="20"/>
        </w:rPr>
        <w:t>1</w:t>
      </w:r>
      <w:r w:rsidR="009B30D1" w:rsidRPr="00C73E70">
        <w:rPr>
          <w:rFonts w:ascii="Arial Narrow" w:hAnsi="Arial Narrow"/>
          <w:b/>
          <w:i w:val="0"/>
          <w:sz w:val="20"/>
          <w:szCs w:val="20"/>
        </w:rPr>
        <w:t xml:space="preserve">: </w:t>
      </w:r>
      <w:r w:rsidRPr="00C73E70">
        <w:rPr>
          <w:rFonts w:ascii="Arial Narrow" w:hAnsi="Arial Narrow"/>
          <w:b/>
          <w:i w:val="0"/>
          <w:sz w:val="20"/>
          <w:szCs w:val="20"/>
        </w:rPr>
        <w:t>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5363"/>
        <w:gridCol w:w="2085"/>
      </w:tblGrid>
      <w:tr w:rsidR="0076420C" w:rsidRPr="00C73E70" w:rsidTr="00D31150">
        <w:trPr>
          <w:cantSplit/>
          <w:trHeight w:val="539"/>
          <w:tblHeader/>
        </w:trPr>
        <w:tc>
          <w:tcPr>
            <w:tcW w:w="796" w:type="pct"/>
          </w:tcPr>
          <w:p w:rsidR="0076420C" w:rsidRPr="00C73E70" w:rsidRDefault="0076420C" w:rsidP="00A55C56">
            <w:pPr>
              <w:pStyle w:val="TableText0"/>
              <w:rPr>
                <w:b/>
              </w:rPr>
            </w:pPr>
            <w:r w:rsidRPr="00C73E70">
              <w:rPr>
                <w:b/>
              </w:rPr>
              <w:t>Trial ID</w:t>
            </w:r>
          </w:p>
        </w:tc>
        <w:tc>
          <w:tcPr>
            <w:tcW w:w="3027" w:type="pct"/>
          </w:tcPr>
          <w:p w:rsidR="0076420C" w:rsidRPr="00C73E70" w:rsidRDefault="0076420C" w:rsidP="00A55C56">
            <w:pPr>
              <w:pStyle w:val="TableText0"/>
              <w:jc w:val="center"/>
              <w:rPr>
                <w:b/>
              </w:rPr>
            </w:pPr>
            <w:r w:rsidRPr="00C73E70">
              <w:rPr>
                <w:b/>
              </w:rPr>
              <w:t>Protocol title/ Publication title</w:t>
            </w:r>
          </w:p>
        </w:tc>
        <w:tc>
          <w:tcPr>
            <w:tcW w:w="1177" w:type="pct"/>
          </w:tcPr>
          <w:p w:rsidR="0076420C" w:rsidRPr="00C73E70" w:rsidRDefault="0076420C" w:rsidP="00A55C56">
            <w:pPr>
              <w:pStyle w:val="TableText0"/>
              <w:rPr>
                <w:b/>
              </w:rPr>
            </w:pPr>
            <w:r w:rsidRPr="00C73E70">
              <w:rPr>
                <w:b/>
              </w:rPr>
              <w:t>Publication citation</w:t>
            </w:r>
          </w:p>
        </w:tc>
      </w:tr>
      <w:tr w:rsidR="0076420C" w:rsidRPr="00C73E70" w:rsidTr="00D31150">
        <w:trPr>
          <w:cantSplit/>
          <w:trHeight w:val="317"/>
        </w:trPr>
        <w:tc>
          <w:tcPr>
            <w:tcW w:w="5000" w:type="pct"/>
            <w:gridSpan w:val="3"/>
          </w:tcPr>
          <w:p w:rsidR="0076420C" w:rsidRPr="00C73E70" w:rsidRDefault="0076420C" w:rsidP="00A55C56">
            <w:pPr>
              <w:pStyle w:val="TableText0"/>
              <w:rPr>
                <w:b/>
              </w:rPr>
            </w:pPr>
            <w:r w:rsidRPr="00C73E70">
              <w:rPr>
                <w:b/>
              </w:rPr>
              <w:t>Direct randomised trial</w:t>
            </w:r>
            <w:r w:rsidR="00B176C8" w:rsidRPr="00C73E70">
              <w:rPr>
                <w:b/>
              </w:rPr>
              <w:t>(</w:t>
            </w:r>
            <w:r w:rsidRPr="00C73E70">
              <w:rPr>
                <w:b/>
              </w:rPr>
              <w:t>s</w:t>
            </w:r>
            <w:r w:rsidR="00B176C8" w:rsidRPr="00C73E70">
              <w:rPr>
                <w:b/>
              </w:rPr>
              <w:t>)</w:t>
            </w:r>
          </w:p>
        </w:tc>
      </w:tr>
      <w:tr w:rsidR="0076420C" w:rsidRPr="00C73E70" w:rsidTr="00D31150">
        <w:trPr>
          <w:cantSplit/>
          <w:trHeight w:val="317"/>
        </w:trPr>
        <w:tc>
          <w:tcPr>
            <w:tcW w:w="796" w:type="pct"/>
          </w:tcPr>
          <w:p w:rsidR="0076420C" w:rsidRPr="00C73E70" w:rsidRDefault="00E178C0" w:rsidP="00A55C56">
            <w:pPr>
              <w:pStyle w:val="TableText0"/>
            </w:pPr>
            <w:r w:rsidRPr="00C73E70">
              <w:t>Study 001</w:t>
            </w:r>
          </w:p>
          <w:p w:rsidR="008243A5" w:rsidRPr="00C73E70" w:rsidRDefault="008243A5" w:rsidP="00A55C56">
            <w:pPr>
              <w:pStyle w:val="TableText0"/>
            </w:pPr>
            <w:r w:rsidRPr="00C73E70">
              <w:t>(RGB10-001)</w:t>
            </w:r>
          </w:p>
        </w:tc>
        <w:tc>
          <w:tcPr>
            <w:tcW w:w="3027" w:type="pct"/>
          </w:tcPr>
          <w:p w:rsidR="0076420C" w:rsidRPr="00C73E70" w:rsidRDefault="00E178C0" w:rsidP="00A55C56">
            <w:pPr>
              <w:pStyle w:val="TableText0"/>
            </w:pPr>
            <w:r w:rsidRPr="00C73E70">
              <w:t>A Randomised, Double-Blind, Single, 20 microgram Fixed Dose, Two-Way Crossover Comparative Pharmacokinetic Study of RGB-10 and Forsteo® in Two Stages, in Healthy Adult Female Subjects</w:t>
            </w:r>
          </w:p>
        </w:tc>
        <w:tc>
          <w:tcPr>
            <w:tcW w:w="1177" w:type="pct"/>
          </w:tcPr>
          <w:p w:rsidR="0076420C" w:rsidRPr="00C73E70" w:rsidRDefault="00E178C0" w:rsidP="00A55C56">
            <w:pPr>
              <w:pStyle w:val="TableText0"/>
            </w:pPr>
            <w:r w:rsidRPr="00C73E70">
              <w:t>Clinical Study Report</w:t>
            </w:r>
          </w:p>
        </w:tc>
      </w:tr>
      <w:tr w:rsidR="0076420C" w:rsidRPr="00C73E70" w:rsidTr="00D31150">
        <w:trPr>
          <w:cantSplit/>
          <w:trHeight w:val="317"/>
        </w:trPr>
        <w:tc>
          <w:tcPr>
            <w:tcW w:w="796" w:type="pct"/>
          </w:tcPr>
          <w:p w:rsidR="0076420C" w:rsidRPr="00C73E70" w:rsidRDefault="00E178C0" w:rsidP="00A55C56">
            <w:pPr>
              <w:pStyle w:val="TableText0"/>
            </w:pPr>
            <w:r w:rsidRPr="00C73E70">
              <w:t>Study 1023</w:t>
            </w:r>
          </w:p>
          <w:p w:rsidR="008243A5" w:rsidRPr="00C73E70" w:rsidRDefault="008243A5" w:rsidP="00A55C56">
            <w:pPr>
              <w:pStyle w:val="TableText0"/>
            </w:pPr>
            <w:r w:rsidRPr="00C73E70">
              <w:t>(RGB1023O31)</w:t>
            </w:r>
          </w:p>
        </w:tc>
        <w:tc>
          <w:tcPr>
            <w:tcW w:w="3027" w:type="pct"/>
          </w:tcPr>
          <w:p w:rsidR="0076420C" w:rsidRPr="00C73E70" w:rsidRDefault="00E178C0" w:rsidP="00A55C56">
            <w:pPr>
              <w:pStyle w:val="TableText0"/>
            </w:pPr>
            <w:r w:rsidRPr="00C73E70">
              <w:t xml:space="preserve">RGB-10 Phase III Clinical Study – A comparative study to evaluate the similarity of RGB-10 to Forteo® in patients with osteoporosis at high risk of fracture </w:t>
            </w:r>
          </w:p>
        </w:tc>
        <w:tc>
          <w:tcPr>
            <w:tcW w:w="1177" w:type="pct"/>
          </w:tcPr>
          <w:p w:rsidR="0076420C" w:rsidRPr="00C73E70" w:rsidRDefault="00E178C0" w:rsidP="00A55C56">
            <w:pPr>
              <w:pStyle w:val="TableText0"/>
            </w:pPr>
            <w:r w:rsidRPr="00C73E70">
              <w:t>Clinical Study Report</w:t>
            </w:r>
          </w:p>
        </w:tc>
      </w:tr>
    </w:tbl>
    <w:p w:rsidR="00210BA0" w:rsidRPr="00C73E70" w:rsidRDefault="001B5593" w:rsidP="00A55C56">
      <w:pPr>
        <w:pStyle w:val="3Bodytext"/>
        <w:numPr>
          <w:ilvl w:val="0"/>
          <w:numId w:val="0"/>
        </w:numPr>
        <w:rPr>
          <w:rFonts w:ascii="Arial Narrow" w:hAnsi="Arial Narrow"/>
          <w:sz w:val="18"/>
          <w:szCs w:val="18"/>
        </w:rPr>
      </w:pPr>
      <w:r w:rsidRPr="00C73E70">
        <w:rPr>
          <w:rFonts w:ascii="Arial Narrow" w:hAnsi="Arial Narrow"/>
          <w:sz w:val="18"/>
          <w:szCs w:val="18"/>
        </w:rPr>
        <w:t xml:space="preserve">Source: Table 1.4-1 of submission. </w:t>
      </w:r>
      <w:r w:rsidR="00FD3D18" w:rsidRPr="00C73E70">
        <w:rPr>
          <w:rFonts w:ascii="Arial Narrow" w:hAnsi="Arial Narrow"/>
          <w:sz w:val="18"/>
          <w:szCs w:val="18"/>
        </w:rPr>
        <w:t xml:space="preserve">Forteo </w:t>
      </w:r>
      <w:r w:rsidR="00210BA0" w:rsidRPr="00C73E70">
        <w:rPr>
          <w:rFonts w:ascii="Arial Narrow" w:hAnsi="Arial Narrow"/>
          <w:sz w:val="18"/>
          <w:szCs w:val="18"/>
        </w:rPr>
        <w:t>is marketed as Forsteo in EU (refer to submission)</w:t>
      </w:r>
    </w:p>
    <w:p w:rsidR="001B2BBC" w:rsidRPr="00C73E70" w:rsidRDefault="0076420C" w:rsidP="00A55C56">
      <w:pPr>
        <w:pStyle w:val="3Bodytext"/>
        <w:jc w:val="both"/>
      </w:pPr>
      <w:r w:rsidRPr="00C73E70">
        <w:t xml:space="preserve">The </w:t>
      </w:r>
      <w:r w:rsidR="00712AEC" w:rsidRPr="00C73E70">
        <w:t xml:space="preserve">clinical trials presented in the submission formed part of the TGA submission to register Terrosa as a biosimilar of Forteo. The TGA Delegate </w:t>
      </w:r>
      <w:r w:rsidR="008243A5" w:rsidRPr="00C73E70">
        <w:t>considered the results of the PK study (Study 001) and the pivotal study (Study 1023) supported biosimilarity between Terrosa and Forteo for the proposed indications</w:t>
      </w:r>
      <w:r w:rsidR="00992CD9" w:rsidRPr="00C73E70">
        <w:t xml:space="preserve"> (TGA Delegate’s overview, p13).</w:t>
      </w:r>
    </w:p>
    <w:p w:rsidR="003C2FB5" w:rsidRPr="00C73E70" w:rsidRDefault="005A3173" w:rsidP="00A55C56">
      <w:pPr>
        <w:pStyle w:val="4-SubsectionHeading"/>
        <w:rPr>
          <w:lang w:eastAsia="en-US"/>
        </w:rPr>
      </w:pPr>
      <w:r w:rsidRPr="00C73E70">
        <w:rPr>
          <w:lang w:eastAsia="en-US"/>
        </w:rPr>
        <w:t>Clinical claim</w:t>
      </w:r>
    </w:p>
    <w:p w:rsidR="00B35FC3" w:rsidRPr="00C73E70" w:rsidRDefault="00FF2801" w:rsidP="00A55C56">
      <w:pPr>
        <w:pStyle w:val="3Bodytext"/>
        <w:rPr>
          <w:snapToGrid w:val="0"/>
          <w:lang w:eastAsia="en-US"/>
        </w:rPr>
      </w:pPr>
      <w:r w:rsidRPr="00C73E70">
        <w:t>The submission claimed</w:t>
      </w:r>
      <w:r w:rsidR="00BB7EC3" w:rsidRPr="00C73E70">
        <w:t xml:space="preserve"> </w:t>
      </w:r>
      <w:r w:rsidR="001D3F71" w:rsidRPr="00C73E70">
        <w:t>that Terrosa was</w:t>
      </w:r>
      <w:r w:rsidR="009D08CA" w:rsidRPr="00C73E70">
        <w:t xml:space="preserve"> biosim</w:t>
      </w:r>
      <w:r w:rsidR="000A3695" w:rsidRPr="00C73E70">
        <w:t>ilar to Forteo</w:t>
      </w:r>
      <w:r w:rsidR="00906000" w:rsidRPr="00C73E70">
        <w:t xml:space="preserve"> which was supported by the TGA Delegate</w:t>
      </w:r>
      <w:r w:rsidR="00F46F04" w:rsidRPr="00C73E70">
        <w:t>.</w:t>
      </w:r>
    </w:p>
    <w:p w:rsidR="005A3173" w:rsidRPr="00C73E70" w:rsidRDefault="005A3173" w:rsidP="00A55C56">
      <w:pPr>
        <w:pStyle w:val="4-SubsectionHeading"/>
        <w:rPr>
          <w:lang w:eastAsia="en-US"/>
        </w:rPr>
      </w:pPr>
      <w:r w:rsidRPr="00C73E70">
        <w:rPr>
          <w:lang w:eastAsia="en-US"/>
        </w:rPr>
        <w:t>Economic analysis</w:t>
      </w:r>
      <w:r w:rsidR="009803E4" w:rsidRPr="00C73E70">
        <w:rPr>
          <w:lang w:eastAsia="en-US"/>
        </w:rPr>
        <w:t xml:space="preserve"> </w:t>
      </w:r>
    </w:p>
    <w:p w:rsidR="00977BF3" w:rsidRPr="00C73E70" w:rsidRDefault="00992CD9" w:rsidP="00A55C56">
      <w:pPr>
        <w:pStyle w:val="3Bodytext"/>
        <w:jc w:val="both"/>
        <w:rPr>
          <w:rFonts w:cstheme="minorHAnsi"/>
          <w:szCs w:val="24"/>
        </w:rPr>
      </w:pPr>
      <w:r w:rsidRPr="00C73E70">
        <w:t xml:space="preserve">The minor </w:t>
      </w:r>
      <w:r w:rsidR="009803E4" w:rsidRPr="00C73E70">
        <w:t xml:space="preserve">submission presented a cost-minimisation analysis of </w:t>
      </w:r>
      <w:r w:rsidRPr="00C73E70">
        <w:t xml:space="preserve">Terrosa </w:t>
      </w:r>
      <w:r w:rsidR="008A59D9" w:rsidRPr="00C73E70">
        <w:t>compared with</w:t>
      </w:r>
      <w:r w:rsidR="00A46E65" w:rsidRPr="00C73E70">
        <w:t xml:space="preserve"> the public price of</w:t>
      </w:r>
      <w:r w:rsidR="008A59D9" w:rsidRPr="00C73E70">
        <w:t xml:space="preserve"> </w:t>
      </w:r>
      <w:r w:rsidRPr="00C73E70">
        <w:t>Forteo.</w:t>
      </w:r>
      <w:r w:rsidR="008A59D9" w:rsidRPr="00C73E70">
        <w:t xml:space="preserve"> </w:t>
      </w:r>
      <w:r w:rsidR="00CC3B97" w:rsidRPr="00C73E70">
        <w:t xml:space="preserve">The equi-effective doses </w:t>
      </w:r>
      <w:r w:rsidR="008A59D9" w:rsidRPr="00C73E70">
        <w:t>were</w:t>
      </w:r>
      <w:r w:rsidR="00CC3B97" w:rsidRPr="00C73E70">
        <w:t xml:space="preserve"> estimated</w:t>
      </w:r>
      <w:r w:rsidRPr="00C73E70">
        <w:t xml:space="preserve"> to be identical based on</w:t>
      </w:r>
      <w:r w:rsidR="000A3695" w:rsidRPr="00C73E70">
        <w:t xml:space="preserve"> product </w:t>
      </w:r>
      <w:r w:rsidR="00CF196A" w:rsidRPr="00C73E70">
        <w:t>information</w:t>
      </w:r>
      <w:r w:rsidR="000A3695" w:rsidRPr="00C73E70">
        <w:t xml:space="preserve"> for both the</w:t>
      </w:r>
      <w:r w:rsidR="00CC3B97" w:rsidRPr="00C73E70">
        <w:t xml:space="preserve"> </w:t>
      </w:r>
      <w:r w:rsidRPr="00C73E70">
        <w:t>Terrosa</w:t>
      </w:r>
      <w:r w:rsidR="000A3695" w:rsidRPr="00C73E70">
        <w:t xml:space="preserve"> and Forteo. Therefore, the equi-effective doses of Terrosa and Forteo are: 20</w:t>
      </w:r>
      <w:r w:rsidR="00345282" w:rsidRPr="00C73E70">
        <w:t xml:space="preserve"> micrograms </w:t>
      </w:r>
      <w:r w:rsidR="000A3695" w:rsidRPr="00C73E70">
        <w:t>of Terrosa = 20</w:t>
      </w:r>
      <w:r w:rsidR="00345282" w:rsidRPr="00C73E70">
        <w:t xml:space="preserve"> micrograms </w:t>
      </w:r>
      <w:r w:rsidR="000A3695" w:rsidRPr="00C73E70">
        <w:t>of Forteo.</w:t>
      </w:r>
    </w:p>
    <w:p w:rsidR="00022AEC" w:rsidRPr="00C73E70" w:rsidRDefault="00022AEC" w:rsidP="00A55C56">
      <w:pPr>
        <w:pStyle w:val="Caption"/>
        <w:keepNext/>
        <w:spacing w:after="0"/>
        <w:rPr>
          <w:rFonts w:ascii="Arial Narrow" w:hAnsi="Arial Narrow"/>
          <w:b/>
          <w:i w:val="0"/>
          <w:sz w:val="20"/>
          <w:szCs w:val="20"/>
        </w:rPr>
      </w:pPr>
      <w:r w:rsidRPr="00C73E70">
        <w:rPr>
          <w:rFonts w:ascii="Arial Narrow" w:hAnsi="Arial Narrow"/>
          <w:b/>
          <w:i w:val="0"/>
          <w:sz w:val="20"/>
          <w:szCs w:val="20"/>
        </w:rPr>
        <w:t xml:space="preserve">Table 2: Requested price for Terrosa </w:t>
      </w:r>
      <w:r w:rsidR="00516549" w:rsidRPr="00C73E70">
        <w:rPr>
          <w:rFonts w:ascii="Arial Narrow" w:hAnsi="Arial Narrow"/>
          <w:b/>
          <w:i w:val="0"/>
          <w:sz w:val="20"/>
          <w:szCs w:val="20"/>
        </w:rPr>
        <w:t>based on public price of Forteo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1"/>
        <w:gridCol w:w="1039"/>
        <w:gridCol w:w="1039"/>
        <w:gridCol w:w="1188"/>
        <w:gridCol w:w="1039"/>
      </w:tblGrid>
      <w:tr w:rsidR="001B5593" w:rsidRPr="00C73E70" w:rsidTr="00780179">
        <w:trPr>
          <w:trHeight w:val="99"/>
        </w:trPr>
        <w:tc>
          <w:tcPr>
            <w:tcW w:w="2613" w:type="pct"/>
          </w:tcPr>
          <w:p w:rsidR="001B5593" w:rsidRPr="00C73E70" w:rsidRDefault="001B5593" w:rsidP="00A55C56">
            <w:pPr>
              <w:pStyle w:val="Default"/>
              <w:rPr>
                <w:rFonts w:ascii="Arial Narrow" w:hAnsi="Arial Narrow"/>
                <w:sz w:val="20"/>
                <w:szCs w:val="20"/>
              </w:rPr>
            </w:pP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b/>
                <w:bCs/>
                <w:sz w:val="20"/>
                <w:szCs w:val="20"/>
              </w:rPr>
              <w:t xml:space="preserve">Pack Qty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b/>
                <w:bCs/>
                <w:sz w:val="20"/>
                <w:szCs w:val="20"/>
              </w:rPr>
              <w:t xml:space="preserve">Max Qty. </w:t>
            </w:r>
          </w:p>
        </w:tc>
        <w:tc>
          <w:tcPr>
            <w:tcW w:w="659" w:type="pct"/>
          </w:tcPr>
          <w:p w:rsidR="001B5593" w:rsidRPr="00C73E70" w:rsidRDefault="001B5593" w:rsidP="00A55C56">
            <w:pPr>
              <w:pStyle w:val="Default"/>
              <w:rPr>
                <w:rFonts w:ascii="Arial Narrow" w:hAnsi="Arial Narrow"/>
                <w:b/>
                <w:bCs/>
                <w:sz w:val="20"/>
                <w:szCs w:val="20"/>
              </w:rPr>
            </w:pPr>
            <w:r w:rsidRPr="00C73E70">
              <w:rPr>
                <w:rFonts w:ascii="Arial Narrow" w:hAnsi="Arial Narrow"/>
                <w:b/>
                <w:bCs/>
                <w:sz w:val="20"/>
                <w:szCs w:val="20"/>
              </w:rPr>
              <w:t xml:space="preserve">AEMP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b/>
                <w:bCs/>
                <w:sz w:val="20"/>
                <w:szCs w:val="20"/>
              </w:rPr>
              <w:t xml:space="preserve">DPMQ </w:t>
            </w:r>
          </w:p>
        </w:tc>
      </w:tr>
      <w:tr w:rsidR="00E50931" w:rsidRPr="00C73E70" w:rsidTr="00E50931">
        <w:trPr>
          <w:trHeight w:val="99"/>
        </w:trPr>
        <w:tc>
          <w:tcPr>
            <w:tcW w:w="5000" w:type="pct"/>
            <w:gridSpan w:val="5"/>
          </w:tcPr>
          <w:p w:rsidR="00E50931" w:rsidRPr="00C73E70" w:rsidRDefault="00E50931" w:rsidP="00A55C56">
            <w:pPr>
              <w:pStyle w:val="Default"/>
              <w:rPr>
                <w:rFonts w:ascii="Arial Narrow" w:hAnsi="Arial Narrow"/>
                <w:b/>
                <w:sz w:val="20"/>
                <w:szCs w:val="20"/>
              </w:rPr>
            </w:pPr>
            <w:r w:rsidRPr="00C73E70">
              <w:rPr>
                <w:rFonts w:ascii="Arial Narrow" w:hAnsi="Arial Narrow"/>
                <w:b/>
                <w:sz w:val="20"/>
                <w:szCs w:val="20"/>
              </w:rPr>
              <w:t xml:space="preserve">Current essential details </w:t>
            </w:r>
          </w:p>
        </w:tc>
      </w:tr>
      <w:tr w:rsidR="001B5593" w:rsidRPr="00C73E70" w:rsidTr="00780179">
        <w:trPr>
          <w:trHeight w:val="240"/>
        </w:trPr>
        <w:tc>
          <w:tcPr>
            <w:tcW w:w="2613"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Forteo 250 microgram/mL injection, 2.4 mL pen device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659"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$329.18</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$378.65 </w:t>
            </w:r>
          </w:p>
        </w:tc>
      </w:tr>
      <w:tr w:rsidR="00E50931" w:rsidRPr="00C73E70" w:rsidTr="00E50931">
        <w:trPr>
          <w:trHeight w:val="99"/>
        </w:trPr>
        <w:tc>
          <w:tcPr>
            <w:tcW w:w="5000" w:type="pct"/>
            <w:gridSpan w:val="5"/>
          </w:tcPr>
          <w:p w:rsidR="00E50931" w:rsidRPr="00C73E70" w:rsidRDefault="00E50931" w:rsidP="00A55C56">
            <w:pPr>
              <w:pStyle w:val="Default"/>
              <w:rPr>
                <w:rFonts w:ascii="Arial Narrow" w:hAnsi="Arial Narrow"/>
                <w:b/>
                <w:sz w:val="20"/>
                <w:szCs w:val="20"/>
              </w:rPr>
            </w:pPr>
            <w:r w:rsidRPr="00C73E70">
              <w:rPr>
                <w:rFonts w:ascii="Arial Narrow" w:hAnsi="Arial Narrow"/>
                <w:b/>
                <w:sz w:val="20"/>
                <w:szCs w:val="20"/>
              </w:rPr>
              <w:t xml:space="preserve">Essential details after applying 25% SPR </w:t>
            </w:r>
          </w:p>
        </w:tc>
      </w:tr>
      <w:tr w:rsidR="001B5593" w:rsidRPr="00C73E70" w:rsidTr="00E50931">
        <w:trPr>
          <w:trHeight w:val="240"/>
        </w:trPr>
        <w:tc>
          <w:tcPr>
            <w:tcW w:w="2613" w:type="pct"/>
            <w:tcBorders>
              <w:top w:val="nil"/>
            </w:tcBorders>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Forteo 250 microgram/mL injection, 2.4 mL pen device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659"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$246.89</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$285.74 </w:t>
            </w:r>
          </w:p>
        </w:tc>
      </w:tr>
      <w:tr w:rsidR="001B5593" w:rsidRPr="00C73E70" w:rsidTr="00780179">
        <w:trPr>
          <w:trHeight w:val="240"/>
        </w:trPr>
        <w:tc>
          <w:tcPr>
            <w:tcW w:w="2613"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Terrosa 250 microgram/mL injection, 2.4 mL cartridge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1 </w:t>
            </w:r>
          </w:p>
        </w:tc>
        <w:tc>
          <w:tcPr>
            <w:tcW w:w="659"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$246.89</w:t>
            </w:r>
          </w:p>
        </w:tc>
        <w:tc>
          <w:tcPr>
            <w:tcW w:w="576" w:type="pct"/>
          </w:tcPr>
          <w:p w:rsidR="001B5593" w:rsidRPr="00C73E70" w:rsidRDefault="001B5593" w:rsidP="00A55C56">
            <w:pPr>
              <w:pStyle w:val="Default"/>
              <w:rPr>
                <w:rFonts w:ascii="Arial Narrow" w:hAnsi="Arial Narrow"/>
                <w:sz w:val="20"/>
                <w:szCs w:val="20"/>
              </w:rPr>
            </w:pPr>
            <w:r w:rsidRPr="00C73E70">
              <w:rPr>
                <w:rFonts w:ascii="Arial Narrow" w:hAnsi="Arial Narrow"/>
                <w:sz w:val="20"/>
                <w:szCs w:val="20"/>
              </w:rPr>
              <w:t xml:space="preserve">$285.74 </w:t>
            </w:r>
          </w:p>
        </w:tc>
      </w:tr>
    </w:tbl>
    <w:p w:rsidR="00022AEC" w:rsidRPr="00C73E70" w:rsidRDefault="008D0514" w:rsidP="00A55C56">
      <w:pPr>
        <w:pStyle w:val="Caption"/>
        <w:spacing w:after="0"/>
        <w:rPr>
          <w:rFonts w:ascii="Arial Narrow" w:hAnsi="Arial Narrow"/>
          <w:i w:val="0"/>
        </w:rPr>
      </w:pPr>
      <w:r w:rsidRPr="00C73E70">
        <w:rPr>
          <w:rFonts w:ascii="Arial Narrow" w:hAnsi="Arial Narrow"/>
          <w:i w:val="0"/>
        </w:rPr>
        <w:t xml:space="preserve">Source: Minor Submission, </w:t>
      </w:r>
      <w:r w:rsidR="00FD3D18" w:rsidRPr="00C73E70">
        <w:rPr>
          <w:rFonts w:ascii="Arial Narrow" w:hAnsi="Arial Narrow"/>
          <w:i w:val="0"/>
        </w:rPr>
        <w:t>T</w:t>
      </w:r>
      <w:r w:rsidRPr="00C73E70">
        <w:rPr>
          <w:rFonts w:ascii="Arial Narrow" w:hAnsi="Arial Narrow"/>
          <w:i w:val="0"/>
        </w:rPr>
        <w:t xml:space="preserve">able 3.4-1 ; </w:t>
      </w:r>
      <w:r w:rsidR="00516549" w:rsidRPr="00C73E70">
        <w:rPr>
          <w:rFonts w:ascii="Arial Narrow" w:hAnsi="Arial Narrow"/>
          <w:i w:val="0"/>
        </w:rPr>
        <w:t xml:space="preserve">AEMP = </w:t>
      </w:r>
      <w:r w:rsidR="00780179" w:rsidRPr="00C73E70">
        <w:rPr>
          <w:rFonts w:ascii="Arial Narrow" w:hAnsi="Arial Narrow"/>
          <w:i w:val="0"/>
        </w:rPr>
        <w:t>Approved Ex-Manufacturer Price</w:t>
      </w:r>
      <w:r w:rsidR="00516549" w:rsidRPr="00C73E70">
        <w:rPr>
          <w:rFonts w:ascii="Arial Narrow" w:hAnsi="Arial Narrow"/>
          <w:i w:val="0"/>
        </w:rPr>
        <w:t>; DPMQ=</w:t>
      </w:r>
      <w:r w:rsidR="00780179" w:rsidRPr="00C73E70">
        <w:rPr>
          <w:rFonts w:ascii="Arial Narrow" w:hAnsi="Arial Narrow"/>
          <w:i w:val="0"/>
        </w:rPr>
        <w:t xml:space="preserve"> Dispensed Price for Maximum Quantity;</w:t>
      </w:r>
      <w:r w:rsidR="00516549" w:rsidRPr="00C73E70">
        <w:rPr>
          <w:rFonts w:ascii="Arial Narrow" w:hAnsi="Arial Narrow"/>
          <w:i w:val="0"/>
        </w:rPr>
        <w:t xml:space="preserve"> </w:t>
      </w:r>
      <w:r w:rsidRPr="00C73E70">
        <w:rPr>
          <w:rFonts w:ascii="Arial Narrow" w:hAnsi="Arial Narrow"/>
          <w:i w:val="0"/>
        </w:rPr>
        <w:t>SPR</w:t>
      </w:r>
      <w:r w:rsidR="00516549" w:rsidRPr="00C73E70">
        <w:rPr>
          <w:rFonts w:ascii="Arial Narrow" w:hAnsi="Arial Narrow"/>
          <w:i w:val="0"/>
        </w:rPr>
        <w:t xml:space="preserve"> </w:t>
      </w:r>
      <w:r w:rsidRPr="00C73E70">
        <w:rPr>
          <w:rFonts w:ascii="Arial Narrow" w:hAnsi="Arial Narrow"/>
          <w:i w:val="0"/>
        </w:rPr>
        <w:t>= statutory price reduction</w:t>
      </w:r>
    </w:p>
    <w:p w:rsidR="005A3173" w:rsidRPr="00C73E70" w:rsidRDefault="005A3173" w:rsidP="00A55C56">
      <w:pPr>
        <w:pStyle w:val="4-SubsectionHeading"/>
        <w:rPr>
          <w:lang w:eastAsia="en-US"/>
        </w:rPr>
      </w:pPr>
      <w:r w:rsidRPr="00C73E70">
        <w:rPr>
          <w:lang w:eastAsia="en-US"/>
        </w:rPr>
        <w:t>Estimated PBS usage &amp; financial implications</w:t>
      </w:r>
    </w:p>
    <w:p w:rsidR="00C00DA7" w:rsidRPr="00C73E70" w:rsidRDefault="00FF2801" w:rsidP="00A55C56">
      <w:pPr>
        <w:pStyle w:val="3Bodytext"/>
        <w:jc w:val="both"/>
        <w:rPr>
          <w:b/>
          <w:color w:val="FF00FF"/>
        </w:rPr>
      </w:pPr>
      <w:r w:rsidRPr="00C73E70">
        <w:t>The minor submission estimated</w:t>
      </w:r>
      <w:r w:rsidR="00C00DA7" w:rsidRPr="00C73E70">
        <w:t xml:space="preserve"> </w:t>
      </w:r>
      <w:r w:rsidR="00A46E65" w:rsidRPr="00C73E70">
        <w:t xml:space="preserve">Terrosa will substitute for 0.48% of Forteo prescriptions in Year 1, increasing to 45.02% in Year 6. </w:t>
      </w:r>
      <w:r w:rsidR="005C3A54">
        <w:t>T</w:t>
      </w:r>
      <w:r w:rsidR="00A46E65" w:rsidRPr="00C73E70">
        <w:t xml:space="preserve">he submission considered </w:t>
      </w:r>
      <w:r w:rsidR="00C00DA7" w:rsidRPr="00C73E70">
        <w:t xml:space="preserve">there to be no changes in PBS usage as the submission expects </w:t>
      </w:r>
      <w:r w:rsidR="00004E7C" w:rsidRPr="00C73E70">
        <w:t>the incremental cost of Terrosa to be offset by that of Forteo.</w:t>
      </w:r>
    </w:p>
    <w:p w:rsidR="00004E7C" w:rsidRPr="00C73E70" w:rsidRDefault="005C3A54" w:rsidP="00A55C56">
      <w:pPr>
        <w:pStyle w:val="3Bodytext"/>
        <w:jc w:val="both"/>
      </w:pPr>
      <w:r>
        <w:t>The submission proposed that the listing of Terrosa would result in cost savings to the PBS,</w:t>
      </w:r>
      <w:r w:rsidR="00004E7C" w:rsidRPr="00C73E70">
        <w:t xml:space="preserve"> </w:t>
      </w:r>
      <w:r w:rsidRPr="00C73E70">
        <w:t>assum</w:t>
      </w:r>
      <w:r>
        <w:t>ing</w:t>
      </w:r>
      <w:r w:rsidRPr="00C73E70">
        <w:t xml:space="preserve"> </w:t>
      </w:r>
      <w:r w:rsidR="00004E7C" w:rsidRPr="00C73E70">
        <w:t xml:space="preserve">that a 25% </w:t>
      </w:r>
      <w:r w:rsidR="00345282" w:rsidRPr="00C73E70">
        <w:t xml:space="preserve">Statutory Price Reduction </w:t>
      </w:r>
      <w:r>
        <w:t>would</w:t>
      </w:r>
      <w:r w:rsidR="00004E7C" w:rsidRPr="00C73E70">
        <w:t xml:space="preserve"> be applied to the price of </w:t>
      </w:r>
      <w:r w:rsidR="006B2B72">
        <w:lastRenderedPageBreak/>
        <w:t>teriparatide</w:t>
      </w:r>
      <w:r w:rsidR="006B2B72" w:rsidRPr="00C73E70">
        <w:t xml:space="preserve"> </w:t>
      </w:r>
      <w:r w:rsidR="00004E7C" w:rsidRPr="00C73E70">
        <w:t xml:space="preserve">in line with </w:t>
      </w:r>
      <w:r w:rsidR="00743C95">
        <w:t xml:space="preserve">a </w:t>
      </w:r>
      <w:r>
        <w:t>statutory</w:t>
      </w:r>
      <w:r w:rsidR="00004E7C" w:rsidRPr="00C73E70">
        <w:t xml:space="preserve"> ‘First New Brand Price Reduction’, </w:t>
      </w:r>
      <w:r w:rsidR="002E1A3F" w:rsidRPr="00C73E70">
        <w:t xml:space="preserve">also </w:t>
      </w:r>
      <w:r w:rsidR="00004E7C" w:rsidRPr="00C73E70">
        <w:t>triggering a move of the drug to F2.</w:t>
      </w:r>
    </w:p>
    <w:p w:rsidR="00BA347C" w:rsidRPr="00C73E70" w:rsidRDefault="00BA347C" w:rsidP="00A55C56">
      <w:pPr>
        <w:pStyle w:val="3Bodytext"/>
        <w:jc w:val="both"/>
      </w:pPr>
      <w:r w:rsidRPr="00C73E70">
        <w:t>As a minor submission, the financial estimates have not been independently evaluated.</w:t>
      </w:r>
    </w:p>
    <w:p w:rsidR="00B35FC3" w:rsidRPr="00C73E70" w:rsidRDefault="00F07236" w:rsidP="00A55C56">
      <w:pPr>
        <w:pStyle w:val="3Bodytext"/>
        <w:numPr>
          <w:ilvl w:val="0"/>
          <w:numId w:val="0"/>
        </w:numPr>
        <w:rPr>
          <w:i/>
        </w:rPr>
      </w:pPr>
      <w:r w:rsidRPr="00C73E70">
        <w:rPr>
          <w:i/>
        </w:rPr>
        <w:t>For more detail on the PBAC’s</w:t>
      </w:r>
      <w:r w:rsidR="00847E54" w:rsidRPr="00C73E70">
        <w:rPr>
          <w:i/>
        </w:rPr>
        <w:t xml:space="preserve"> view, see section 6</w:t>
      </w:r>
      <w:r w:rsidRPr="00C73E70">
        <w:rPr>
          <w:i/>
        </w:rPr>
        <w:t xml:space="preserve"> PBAC outcome</w:t>
      </w:r>
      <w:r w:rsidR="00C73E70">
        <w:rPr>
          <w:i/>
        </w:rPr>
        <w:t xml:space="preserve">. </w:t>
      </w:r>
    </w:p>
    <w:p w:rsidR="00B35FC3" w:rsidRPr="00C73E70" w:rsidRDefault="00B35FC3" w:rsidP="00A55C56">
      <w:pPr>
        <w:pStyle w:val="Heading1"/>
        <w:keepLines/>
        <w:numPr>
          <w:ilvl w:val="0"/>
          <w:numId w:val="3"/>
        </w:numPr>
        <w:spacing w:before="240"/>
        <w:ind w:left="709" w:hanging="709"/>
        <w:rPr>
          <w:sz w:val="32"/>
          <w:szCs w:val="32"/>
        </w:rPr>
      </w:pPr>
      <w:r w:rsidRPr="00C73E70">
        <w:rPr>
          <w:sz w:val="32"/>
          <w:szCs w:val="32"/>
        </w:rPr>
        <w:t>PBAC Outcome</w:t>
      </w:r>
    </w:p>
    <w:p w:rsidR="005B7C70" w:rsidRPr="00CF471F" w:rsidRDefault="00B35FC3" w:rsidP="00A55C56">
      <w:pPr>
        <w:numPr>
          <w:ilvl w:val="1"/>
          <w:numId w:val="1"/>
        </w:numPr>
        <w:spacing w:after="120"/>
        <w:rPr>
          <w:rFonts w:asciiTheme="minorHAnsi" w:hAnsiTheme="minorHAnsi" w:cs="Arial"/>
          <w:bCs/>
          <w:snapToGrid w:val="0"/>
        </w:rPr>
      </w:pPr>
      <w:r w:rsidRPr="00CF471F">
        <w:rPr>
          <w:rFonts w:asciiTheme="minorHAnsi" w:hAnsiTheme="minorHAnsi" w:cs="Arial"/>
          <w:bCs/>
          <w:snapToGrid w:val="0"/>
        </w:rPr>
        <w:t>The P</w:t>
      </w:r>
      <w:r w:rsidR="005B7C70" w:rsidRPr="00CF471F">
        <w:rPr>
          <w:rFonts w:asciiTheme="minorHAnsi" w:hAnsiTheme="minorHAnsi" w:cs="Arial"/>
          <w:bCs/>
          <w:snapToGrid w:val="0"/>
        </w:rPr>
        <w:t xml:space="preserve">BAC recommended the </w:t>
      </w:r>
      <w:r w:rsidR="00F46F04" w:rsidRPr="00CF471F">
        <w:rPr>
          <w:rFonts w:asciiTheme="minorHAnsi" w:hAnsiTheme="minorHAnsi" w:cs="Arial"/>
          <w:bCs/>
          <w:snapToGrid w:val="0"/>
        </w:rPr>
        <w:t xml:space="preserve">listing of biosimilar brand of </w:t>
      </w:r>
      <w:r w:rsidR="005B7C70" w:rsidRPr="00CF471F">
        <w:rPr>
          <w:rFonts w:asciiTheme="minorHAnsi" w:hAnsiTheme="minorHAnsi" w:cs="Arial"/>
          <w:bCs/>
          <w:snapToGrid w:val="0"/>
        </w:rPr>
        <w:t>teriparatide</w:t>
      </w:r>
      <w:r w:rsidR="001E4ED7" w:rsidRPr="00CF471F">
        <w:rPr>
          <w:rFonts w:asciiTheme="minorHAnsi" w:hAnsiTheme="minorHAnsi" w:cs="Arial"/>
          <w:bCs/>
          <w:snapToGrid w:val="0"/>
        </w:rPr>
        <w:t xml:space="preserve"> (</w:t>
      </w:r>
      <w:r w:rsidR="005B7C70" w:rsidRPr="00CF471F">
        <w:rPr>
          <w:rFonts w:asciiTheme="minorHAnsi" w:hAnsiTheme="minorHAnsi" w:cs="Arial"/>
          <w:bCs/>
          <w:snapToGrid w:val="0"/>
        </w:rPr>
        <w:t>Terrosa</w:t>
      </w:r>
      <w:r w:rsidR="001E4ED7" w:rsidRPr="00CF471F">
        <w:rPr>
          <w:rFonts w:asciiTheme="minorHAnsi" w:hAnsiTheme="minorHAnsi" w:cs="Arial"/>
          <w:bCs/>
          <w:snapToGrid w:val="0"/>
        </w:rPr>
        <w:t>)</w:t>
      </w:r>
      <w:r w:rsidR="00F46F04" w:rsidRPr="00C73E70">
        <w:t xml:space="preserve"> </w:t>
      </w:r>
      <w:r w:rsidR="00D529ED" w:rsidRPr="00CF471F">
        <w:rPr>
          <w:rFonts w:asciiTheme="minorHAnsi" w:hAnsiTheme="minorHAnsi" w:cs="Arial"/>
          <w:bCs/>
          <w:snapToGrid w:val="0"/>
        </w:rPr>
        <w:t>as an Authority Required (STREAMLINED) listing</w:t>
      </w:r>
      <w:r w:rsidR="00F46F04" w:rsidRPr="00CF471F">
        <w:rPr>
          <w:rFonts w:asciiTheme="minorHAnsi" w:hAnsiTheme="minorHAnsi" w:cs="Arial"/>
          <w:bCs/>
          <w:snapToGrid w:val="0"/>
        </w:rPr>
        <w:t xml:space="preserve"> for the same indications as the reference brand Forteo.</w:t>
      </w:r>
      <w:r w:rsidR="001E4ED7" w:rsidRPr="00CF471F">
        <w:rPr>
          <w:rFonts w:asciiTheme="minorHAnsi" w:hAnsiTheme="minorHAnsi" w:cs="Arial"/>
          <w:bCs/>
          <w:snapToGrid w:val="0"/>
        </w:rPr>
        <w:t xml:space="preserve"> </w:t>
      </w:r>
      <w:r w:rsidR="005B7C70" w:rsidRPr="00CF471F">
        <w:rPr>
          <w:rFonts w:asciiTheme="minorHAnsi" w:hAnsiTheme="minorHAnsi" w:cs="Arial"/>
          <w:bCs/>
          <w:snapToGrid w:val="0"/>
        </w:rPr>
        <w:t>The PBAC recommended listing Terrosa on a cost-minimisation basis to Forteo.</w:t>
      </w:r>
    </w:p>
    <w:p w:rsidR="008C6998" w:rsidRPr="00C73E70" w:rsidRDefault="008C6998" w:rsidP="00A55C56">
      <w:pPr>
        <w:pStyle w:val="3Bodytext"/>
        <w:jc w:val="both"/>
        <w:rPr>
          <w:rFonts w:cstheme="minorHAnsi"/>
          <w:szCs w:val="24"/>
        </w:rPr>
      </w:pPr>
      <w:r w:rsidRPr="00CF471F">
        <w:rPr>
          <w:rFonts w:cs="Arial"/>
          <w:bCs/>
          <w:snapToGrid w:val="0"/>
        </w:rPr>
        <w:t xml:space="preserve">The PBAC advised the equi-effective doses of Terrosa and Forteo are: </w:t>
      </w:r>
      <w:r w:rsidRPr="00C73E70">
        <w:t>20 micrograms of Terrosa = 20 micrograms of Forteo.</w:t>
      </w:r>
    </w:p>
    <w:p w:rsidR="008C6998" w:rsidRPr="00CF471F" w:rsidRDefault="008C6998" w:rsidP="00A55C56">
      <w:pPr>
        <w:numPr>
          <w:ilvl w:val="1"/>
          <w:numId w:val="1"/>
        </w:numPr>
        <w:spacing w:after="120"/>
        <w:rPr>
          <w:rFonts w:asciiTheme="minorHAnsi" w:hAnsiTheme="minorHAnsi" w:cs="Arial"/>
          <w:bCs/>
          <w:snapToGrid w:val="0"/>
        </w:rPr>
      </w:pPr>
      <w:r w:rsidRPr="00C73E70">
        <w:rPr>
          <w:rFonts w:asciiTheme="minorHAnsi" w:hAnsiTheme="minorHAnsi" w:cs="Arial"/>
          <w:bCs/>
          <w:snapToGrid w:val="0"/>
        </w:rPr>
        <w:t>The PBAC noted that the TGA determined Terrosa to be a biosimilar to the reference brand Forteo.</w:t>
      </w:r>
    </w:p>
    <w:p w:rsidR="008C6998" w:rsidRPr="00CF471F" w:rsidRDefault="008C6998" w:rsidP="00A55C56">
      <w:pPr>
        <w:pStyle w:val="3-BodyText"/>
        <w:numPr>
          <w:ilvl w:val="1"/>
          <w:numId w:val="1"/>
        </w:numPr>
        <w:rPr>
          <w:rFonts w:cs="Arial"/>
          <w:bCs/>
          <w:snapToGrid w:val="0"/>
          <w:szCs w:val="24"/>
        </w:rPr>
      </w:pPr>
      <w:r w:rsidRPr="00C73E70">
        <w:rPr>
          <w:rFonts w:cstheme="minorHAnsi"/>
          <w:szCs w:val="24"/>
        </w:rPr>
        <w:t xml:space="preserve">The PBAC </w:t>
      </w:r>
      <w:r w:rsidR="00237B39" w:rsidRPr="00C73E70">
        <w:rPr>
          <w:rFonts w:cstheme="minorHAnsi"/>
          <w:szCs w:val="24"/>
        </w:rPr>
        <w:t xml:space="preserve">recommended </w:t>
      </w:r>
      <w:r w:rsidRPr="00C73E70">
        <w:rPr>
          <w:rFonts w:cstheme="minorHAnsi"/>
          <w:szCs w:val="24"/>
        </w:rPr>
        <w:t>the following biosimilar uptake drivers should be applied to Terrosa</w:t>
      </w:r>
      <w:r w:rsidR="00237B39" w:rsidRPr="00C73E70">
        <w:rPr>
          <w:rFonts w:cstheme="minorHAnsi"/>
          <w:szCs w:val="24"/>
        </w:rPr>
        <w:t xml:space="preserve"> </w:t>
      </w:r>
      <w:r w:rsidR="00237B39" w:rsidRPr="00CF471F">
        <w:rPr>
          <w:rFonts w:cs="Arial"/>
          <w:bCs/>
          <w:snapToGrid w:val="0"/>
        </w:rPr>
        <w:t>to encourage the uptake of biosimilar prescribing for treatment naïve patients, in accordance with the Australian Government’s Biosimilar Uptake Driver policy</w:t>
      </w:r>
      <w:r w:rsidRPr="00C73E70">
        <w:rPr>
          <w:rFonts w:cstheme="minorHAnsi"/>
          <w:szCs w:val="24"/>
        </w:rPr>
        <w:t>:</w:t>
      </w:r>
    </w:p>
    <w:p w:rsidR="008C6998" w:rsidRPr="00CF471F" w:rsidRDefault="008C6998" w:rsidP="00A55C56">
      <w:pPr>
        <w:pStyle w:val="3-BodyText"/>
        <w:numPr>
          <w:ilvl w:val="0"/>
          <w:numId w:val="12"/>
        </w:numPr>
        <w:ind w:left="993" w:hanging="284"/>
        <w:rPr>
          <w:rFonts w:cs="Arial"/>
          <w:bCs/>
          <w:snapToGrid w:val="0"/>
          <w:szCs w:val="24"/>
        </w:rPr>
      </w:pPr>
      <w:r w:rsidRPr="00CF471F">
        <w:rPr>
          <w:rFonts w:cs="Arial"/>
          <w:bCs/>
          <w:snapToGrid w:val="0"/>
          <w:szCs w:val="24"/>
        </w:rPr>
        <w:t>an Authority Required (STREAMLINED) listing for both initial and continuing treatment while maintaining it as Authority Required for Forteo;</w:t>
      </w:r>
    </w:p>
    <w:p w:rsidR="008C6998" w:rsidRPr="00CF471F" w:rsidRDefault="008C6998" w:rsidP="00A55C56">
      <w:pPr>
        <w:pStyle w:val="3-BodyText"/>
        <w:numPr>
          <w:ilvl w:val="0"/>
          <w:numId w:val="32"/>
        </w:numPr>
        <w:ind w:left="993" w:hanging="284"/>
        <w:rPr>
          <w:rFonts w:cs="Arial"/>
          <w:bCs/>
          <w:snapToGrid w:val="0"/>
          <w:szCs w:val="24"/>
        </w:rPr>
      </w:pPr>
      <w:r w:rsidRPr="00CF471F">
        <w:rPr>
          <w:rFonts w:cs="Arial"/>
          <w:bCs/>
          <w:snapToGrid w:val="0"/>
          <w:szCs w:val="24"/>
        </w:rPr>
        <w:t>a ’Biosimilar prescriber policy’ note to be added to the prescribing instructions for both Forteo and Terrosa to reference the biosimilar prescribing policy:</w:t>
      </w:r>
    </w:p>
    <w:p w:rsidR="008C6998" w:rsidRPr="00C73E70" w:rsidRDefault="008C6998" w:rsidP="00A55C56">
      <w:pPr>
        <w:pStyle w:val="3-BodyText"/>
        <w:ind w:left="993"/>
        <w:jc w:val="left"/>
        <w:rPr>
          <w:rFonts w:cstheme="minorHAnsi"/>
          <w:b/>
          <w:i/>
          <w:szCs w:val="24"/>
        </w:rPr>
      </w:pPr>
      <w:r w:rsidRPr="00C73E70">
        <w:rPr>
          <w:rFonts w:cstheme="minorHAnsi"/>
          <w:b/>
          <w:i/>
          <w:szCs w:val="24"/>
        </w:rPr>
        <w:t>Note</w:t>
      </w:r>
      <w:r w:rsidRPr="00C73E70">
        <w:rPr>
          <w:rFonts w:cstheme="minorHAnsi"/>
          <w:b/>
          <w:i/>
          <w:szCs w:val="24"/>
        </w:rPr>
        <w:br/>
        <w:t>Biosimilar prescribing policy</w:t>
      </w:r>
      <w:r w:rsidRPr="00C73E70">
        <w:rPr>
          <w:rFonts w:cstheme="minorHAnsi"/>
          <w:b/>
          <w:i/>
          <w:szCs w:val="24"/>
        </w:rPr>
        <w:br/>
      </w:r>
      <w:r w:rsidRPr="00C73E70">
        <w:rPr>
          <w:rFonts w:cstheme="minorHAnsi"/>
          <w:i/>
          <w:szCs w:val="24"/>
        </w:rPr>
        <w:t>Prescribing of the biosimilar brand Terrosa is encouraged for treatment naïve patients.</w:t>
      </w:r>
    </w:p>
    <w:p w:rsidR="008C6998" w:rsidRPr="00C73E70" w:rsidRDefault="008C6998" w:rsidP="00A55C56">
      <w:pPr>
        <w:pStyle w:val="3-BodyText"/>
        <w:ind w:left="993"/>
        <w:rPr>
          <w:rFonts w:cstheme="minorHAnsi"/>
          <w:b/>
          <w:i/>
          <w:szCs w:val="24"/>
        </w:rPr>
      </w:pPr>
      <w:r w:rsidRPr="00C73E70">
        <w:rPr>
          <w:rFonts w:cstheme="minorHAnsi"/>
          <w:i/>
          <w:szCs w:val="24"/>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p w:rsidR="008C6998" w:rsidRPr="00CF471F" w:rsidRDefault="008C6998" w:rsidP="00A55C56">
      <w:pPr>
        <w:numPr>
          <w:ilvl w:val="1"/>
          <w:numId w:val="1"/>
        </w:numPr>
        <w:spacing w:after="120"/>
        <w:rPr>
          <w:rFonts w:asciiTheme="minorHAnsi" w:hAnsiTheme="minorHAnsi" w:cs="Arial"/>
          <w:bCs/>
          <w:snapToGrid w:val="0"/>
        </w:rPr>
      </w:pPr>
      <w:r w:rsidRPr="00CF471F">
        <w:rPr>
          <w:rFonts w:asciiTheme="minorHAnsi" w:hAnsiTheme="minorHAnsi" w:cs="Arial"/>
          <w:bCs/>
          <w:snapToGrid w:val="0"/>
        </w:rPr>
        <w:t xml:space="preserve">The PBAC </w:t>
      </w:r>
      <w:r w:rsidR="00584AD6" w:rsidRPr="00CF471F">
        <w:rPr>
          <w:rFonts w:asciiTheme="minorHAnsi" w:hAnsiTheme="minorHAnsi" w:cs="Arial"/>
          <w:bCs/>
          <w:snapToGrid w:val="0"/>
        </w:rPr>
        <w:t xml:space="preserve">advised that, </w:t>
      </w:r>
      <w:r w:rsidR="00584AD6" w:rsidRPr="00C73E70">
        <w:t xml:space="preserve">under Section 101(4AACD) of the </w:t>
      </w:r>
      <w:r w:rsidR="00584AD6" w:rsidRPr="00C73E70">
        <w:rPr>
          <w:i/>
        </w:rPr>
        <w:t>National Health Act 1953</w:t>
      </w:r>
      <w:r w:rsidR="00584AD6" w:rsidRPr="00C73E70">
        <w:t>, in the Schedule of Pharmaceutical Benefits, Terrosa should be treated as equivalent (‘a’ flagged) to Forteo</w:t>
      </w:r>
      <w:r w:rsidR="00D11B0C" w:rsidRPr="00C73E70">
        <w:t xml:space="preserve"> at the pharmacy level</w:t>
      </w:r>
      <w:r w:rsidR="00584AD6" w:rsidRPr="00C73E70">
        <w:t xml:space="preserve"> for the purpose of substitution, for all approved indications.</w:t>
      </w:r>
      <w:r w:rsidR="00D11B0C" w:rsidRPr="00C73E70">
        <w:t xml:space="preserve"> The PBAC was satisfied that the differences in administration techniques of Terrosa and Forteo </w:t>
      </w:r>
      <w:r w:rsidR="00F91D40" w:rsidRPr="00C73E70">
        <w:t xml:space="preserve">were </w:t>
      </w:r>
      <w:r w:rsidR="00D11B0C" w:rsidRPr="00C73E70">
        <w:t xml:space="preserve">of minimal risk and would be appropriately </w:t>
      </w:r>
      <w:r w:rsidR="00D11B0C" w:rsidRPr="00C73E70">
        <w:lastRenderedPageBreak/>
        <w:t xml:space="preserve">managed based on the </w:t>
      </w:r>
      <w:r w:rsidR="00906000" w:rsidRPr="00C73E70">
        <w:t xml:space="preserve">TGA </w:t>
      </w:r>
      <w:r w:rsidR="00D11B0C" w:rsidRPr="00C73E70">
        <w:t xml:space="preserve">information </w:t>
      </w:r>
      <w:r w:rsidR="00906000" w:rsidRPr="00C73E70">
        <w:t xml:space="preserve">available </w:t>
      </w:r>
      <w:r w:rsidR="00D11B0C" w:rsidRPr="00C73E70">
        <w:t xml:space="preserve">and education materials </w:t>
      </w:r>
      <w:r w:rsidR="00E51151">
        <w:t>described</w:t>
      </w:r>
      <w:r w:rsidR="00E51151" w:rsidRPr="00C73E70">
        <w:t xml:space="preserve"> </w:t>
      </w:r>
      <w:r w:rsidR="00D11B0C" w:rsidRPr="00C73E70">
        <w:t xml:space="preserve">in the </w:t>
      </w:r>
      <w:r w:rsidR="00D11B0C" w:rsidRPr="00505718">
        <w:t>pre-PBAC response</w:t>
      </w:r>
      <w:r w:rsidR="00D11B0C" w:rsidRPr="00C73E70">
        <w:t xml:space="preserve">. </w:t>
      </w:r>
    </w:p>
    <w:p w:rsidR="00D11B0C" w:rsidRPr="00CF471F" w:rsidRDefault="00D11B0C" w:rsidP="00A55C56">
      <w:pPr>
        <w:pStyle w:val="3Bodytext"/>
        <w:jc w:val="both"/>
        <w:rPr>
          <w:rFonts w:cs="Arial"/>
          <w:bCs/>
          <w:snapToGrid w:val="0"/>
        </w:rPr>
      </w:pPr>
      <w:r w:rsidRPr="00C73E70">
        <w:t xml:space="preserve">The PBAC noted </w:t>
      </w:r>
      <w:r w:rsidR="00906000" w:rsidRPr="00C73E70">
        <w:rPr>
          <w:rFonts w:ascii="Calibri" w:eastAsia="Times New Roman" w:hAnsi="Calibri" w:cs="Times New Roman"/>
          <w:szCs w:val="24"/>
        </w:rPr>
        <w:t xml:space="preserve">that treatment with </w:t>
      </w:r>
      <w:r w:rsidR="00C73E70" w:rsidRPr="00C73E70">
        <w:rPr>
          <w:rFonts w:ascii="Calibri" w:eastAsia="Times New Roman" w:hAnsi="Calibri" w:cs="Times New Roman"/>
          <w:szCs w:val="24"/>
        </w:rPr>
        <w:t>teriparatide</w:t>
      </w:r>
      <w:r w:rsidR="00906000" w:rsidRPr="00C73E70">
        <w:rPr>
          <w:rFonts w:ascii="Calibri" w:eastAsia="Times New Roman" w:hAnsi="Calibri" w:cs="Times New Roman"/>
          <w:szCs w:val="24"/>
        </w:rPr>
        <w:t xml:space="preserve"> is TGA registered for a lifetime duration of 24 months</w:t>
      </w:r>
      <w:r w:rsidR="001E4ED7" w:rsidRPr="00C73E70">
        <w:rPr>
          <w:rFonts w:ascii="Calibri" w:eastAsia="Times New Roman" w:hAnsi="Calibri" w:cs="Times New Roman"/>
          <w:szCs w:val="24"/>
        </w:rPr>
        <w:t xml:space="preserve"> while the PBS listing allows for 18 months</w:t>
      </w:r>
      <w:r w:rsidR="00906000" w:rsidRPr="00C73E70">
        <w:rPr>
          <w:rFonts w:ascii="Calibri" w:eastAsia="Times New Roman" w:hAnsi="Calibri" w:cs="Times New Roman"/>
          <w:szCs w:val="24"/>
        </w:rPr>
        <w:t xml:space="preserve">. </w:t>
      </w:r>
      <w:r w:rsidR="001E4ED7" w:rsidRPr="00C73E70">
        <w:t>T</w:t>
      </w:r>
      <w:r w:rsidR="00F91D40" w:rsidRPr="00C73E70">
        <w:t xml:space="preserve">he PBAC considered </w:t>
      </w:r>
      <w:r w:rsidR="00906000" w:rsidRPr="00C73E70">
        <w:t xml:space="preserve">the </w:t>
      </w:r>
      <w:r w:rsidR="001E4ED7" w:rsidRPr="00C73E70">
        <w:t xml:space="preserve">lifetime treatment of </w:t>
      </w:r>
      <w:r w:rsidR="00C73E70" w:rsidRPr="00C73E70">
        <w:t>teriparatide</w:t>
      </w:r>
      <w:r w:rsidR="001E4ED7" w:rsidRPr="00C73E70">
        <w:t xml:space="preserve"> on the </w:t>
      </w:r>
      <w:r w:rsidR="00906000" w:rsidRPr="00C73E70">
        <w:t>PBS</w:t>
      </w:r>
      <w:r w:rsidR="001E4ED7" w:rsidRPr="00C73E70">
        <w:t xml:space="preserve"> </w:t>
      </w:r>
      <w:r w:rsidRPr="00C73E70">
        <w:t>should remain as 18 months</w:t>
      </w:r>
      <w:r w:rsidR="00E51151">
        <w:t>,</w:t>
      </w:r>
      <w:r w:rsidR="001E4ED7" w:rsidRPr="00C73E70">
        <w:t xml:space="preserve"> </w:t>
      </w:r>
      <w:r w:rsidR="00906000" w:rsidRPr="00C73E70">
        <w:t xml:space="preserve">given PBAC has only assessed the cost effectiveness of </w:t>
      </w:r>
      <w:r w:rsidR="00C73E70" w:rsidRPr="00C73E70">
        <w:t>teriparatide</w:t>
      </w:r>
      <w:r w:rsidR="00906000" w:rsidRPr="00C73E70">
        <w:t xml:space="preserve"> for this treatment duration. Additionally, the PBAC considered this would not disadvantage any patients given 18 months </w:t>
      </w:r>
      <w:r w:rsidR="00F91D40" w:rsidRPr="00C73E70">
        <w:t>is the current</w:t>
      </w:r>
      <w:r w:rsidR="00906000" w:rsidRPr="00C73E70">
        <w:t xml:space="preserve"> </w:t>
      </w:r>
      <w:r w:rsidR="00F91D40" w:rsidRPr="00C73E70">
        <w:t>treatment duration used in practice in Australia</w:t>
      </w:r>
      <w:r w:rsidR="00C73E70">
        <w:t xml:space="preserve">. </w:t>
      </w:r>
    </w:p>
    <w:p w:rsidR="00827444" w:rsidRPr="00C73E70" w:rsidRDefault="00827444" w:rsidP="00A55C56">
      <w:pPr>
        <w:pStyle w:val="Bodytextitalics"/>
        <w:numPr>
          <w:ilvl w:val="1"/>
          <w:numId w:val="1"/>
        </w:numPr>
        <w:rPr>
          <w:rFonts w:cs="Arial"/>
          <w:bCs/>
          <w:i w:val="0"/>
        </w:rPr>
      </w:pPr>
      <w:r w:rsidRPr="00C73E70">
        <w:rPr>
          <w:i w:val="0"/>
        </w:rPr>
        <w:t xml:space="preserve">The PBAC noted that its recommendation was on a cost-minimisation basis and advised that, because </w:t>
      </w:r>
      <w:r w:rsidR="00F46F04" w:rsidRPr="00C73E70">
        <w:rPr>
          <w:i w:val="0"/>
        </w:rPr>
        <w:t xml:space="preserve">Terrosa </w:t>
      </w:r>
      <w:r w:rsidRPr="00C73E70">
        <w:rPr>
          <w:i w:val="0"/>
        </w:rPr>
        <w:t xml:space="preserve">is not expected to provide a substantial and clinically relevant improvement in efficacy, or reduction of toxicity over </w:t>
      </w:r>
      <w:r w:rsidR="00AD284A" w:rsidRPr="00C73E70">
        <w:rPr>
          <w:i w:val="0"/>
        </w:rPr>
        <w:t>Forteo</w:t>
      </w:r>
      <w:r w:rsidRPr="00C73E70">
        <w:rPr>
          <w:i w:val="0"/>
        </w:rPr>
        <w:t xml:space="preserve">, or not expected to address a high and urgent unmet clinical need given the presence of an alternative therapy, the criteria prescribed by the </w:t>
      </w:r>
      <w:r w:rsidRPr="00C73E70">
        <w:t>National Health (Pharmaceuticals and Vaccines – Cost Recovery) Regulations 2009</w:t>
      </w:r>
      <w:r w:rsidRPr="00C73E70">
        <w:rPr>
          <w:i w:val="0"/>
        </w:rPr>
        <w:t xml:space="preserve"> for Pricing Pathway A were not met.</w:t>
      </w:r>
    </w:p>
    <w:p w:rsidR="009D666E" w:rsidRPr="00C73E70" w:rsidRDefault="00827444" w:rsidP="00A55C56">
      <w:pPr>
        <w:numPr>
          <w:ilvl w:val="1"/>
          <w:numId w:val="1"/>
        </w:numPr>
        <w:spacing w:after="120"/>
        <w:rPr>
          <w:rFonts w:asciiTheme="minorHAnsi" w:hAnsiTheme="minorHAnsi" w:cs="Arial"/>
          <w:b/>
          <w:bCs/>
          <w:snapToGrid w:val="0"/>
        </w:rPr>
      </w:pPr>
      <w:r w:rsidRPr="00C73E70">
        <w:rPr>
          <w:rFonts w:asciiTheme="minorHAnsi" w:hAnsiTheme="minorHAnsi" w:cs="Arial"/>
          <w:bCs/>
          <w:snapToGrid w:val="0"/>
        </w:rPr>
        <w:t xml:space="preserve">The PBAC noted that this submission is not eligible for an Independent Review as it received a positive recommendation. </w:t>
      </w:r>
    </w:p>
    <w:p w:rsidR="007D0681" w:rsidRPr="00C73E70" w:rsidRDefault="007D0681" w:rsidP="00A55C56">
      <w:pPr>
        <w:spacing w:after="120"/>
        <w:rPr>
          <w:rFonts w:asciiTheme="minorHAnsi" w:hAnsiTheme="minorHAnsi" w:cs="Arial"/>
          <w:b/>
          <w:bCs/>
          <w:snapToGrid w:val="0"/>
        </w:rPr>
      </w:pPr>
      <w:r w:rsidRPr="00C73E70">
        <w:rPr>
          <w:rFonts w:asciiTheme="minorHAnsi" w:hAnsiTheme="minorHAnsi" w:cs="Arial"/>
          <w:b/>
          <w:bCs/>
          <w:snapToGrid w:val="0"/>
        </w:rPr>
        <w:t>Outcome:</w:t>
      </w:r>
    </w:p>
    <w:p w:rsidR="007806B3" w:rsidRPr="00C73E70" w:rsidRDefault="007D0681" w:rsidP="00A55C56">
      <w:pPr>
        <w:spacing w:after="120"/>
        <w:rPr>
          <w:rFonts w:asciiTheme="minorHAnsi" w:hAnsiTheme="minorHAnsi" w:cs="Arial"/>
          <w:bCs/>
          <w:snapToGrid w:val="0"/>
        </w:rPr>
      </w:pPr>
      <w:r w:rsidRPr="00C73E70">
        <w:rPr>
          <w:rFonts w:asciiTheme="minorHAnsi" w:hAnsiTheme="minorHAnsi" w:cs="Arial"/>
          <w:bCs/>
          <w:snapToGrid w:val="0"/>
        </w:rPr>
        <w:t>Recommended</w:t>
      </w:r>
    </w:p>
    <w:p w:rsidR="00C53B2B" w:rsidRPr="00C73E70" w:rsidRDefault="00E954AD" w:rsidP="00A55C56">
      <w:pPr>
        <w:pStyle w:val="Heading1"/>
        <w:keepLines/>
        <w:numPr>
          <w:ilvl w:val="0"/>
          <w:numId w:val="3"/>
        </w:numPr>
        <w:spacing w:before="240"/>
        <w:ind w:left="709" w:hanging="709"/>
        <w:rPr>
          <w:sz w:val="32"/>
          <w:szCs w:val="32"/>
        </w:rPr>
      </w:pPr>
      <w:r w:rsidRPr="00C73E70">
        <w:rPr>
          <w:sz w:val="32"/>
          <w:szCs w:val="32"/>
        </w:rPr>
        <w:t>Recommended listing</w:t>
      </w:r>
    </w:p>
    <w:p w:rsidR="004D4CD5" w:rsidRPr="00C73E70" w:rsidRDefault="00E954AD" w:rsidP="00A55C56">
      <w:pPr>
        <w:pStyle w:val="3Bodytext"/>
      </w:pPr>
      <w:bookmarkStart w:id="0" w:name="_Toc535915928"/>
      <w:r w:rsidRPr="00C73E70">
        <w:t>Add new medicinal product pack:</w:t>
      </w:r>
      <w:bookmarkEnd w:id="0"/>
      <w:r w:rsidR="002602DC" w:rsidRPr="00C73E70">
        <w:t xml:space="preserve"> teriparatide 250 microgram/mL injection, 2.4 mL cartridge</w:t>
      </w:r>
      <w:r w:rsidR="004D4CD5" w:rsidRPr="00C73E70">
        <w:t>, based on the current listing for Forteo (</w:t>
      </w:r>
      <w:r w:rsidR="00120B03" w:rsidRPr="00C73E70">
        <w:t xml:space="preserve">Initial: </w:t>
      </w:r>
      <w:r w:rsidR="004D4CD5" w:rsidRPr="00C73E70">
        <w:t>Restriction Summary 6305 / Treatment of Concept: 6305</w:t>
      </w:r>
      <w:r w:rsidR="00120B03" w:rsidRPr="00C73E70">
        <w:t xml:space="preserve">; Continuing: </w:t>
      </w:r>
      <w:r w:rsidR="00120B03" w:rsidRPr="00C73E70">
        <w:rPr>
          <w:rFonts w:cstheme="minorHAnsi"/>
        </w:rPr>
        <w:t>Restriction Summary 4113 / Treatment of Concept: 4113</w:t>
      </w:r>
      <w:r w:rsidR="004D4CD5" w:rsidRPr="00C73E70">
        <w:t>) with the following changes:</w:t>
      </w:r>
    </w:p>
    <w:p w:rsidR="004D4CD5" w:rsidRPr="00C73E70" w:rsidRDefault="004D4CD5" w:rsidP="00A55C56">
      <w:pPr>
        <w:pStyle w:val="3Bodytext"/>
        <w:numPr>
          <w:ilvl w:val="0"/>
          <w:numId w:val="32"/>
        </w:numPr>
        <w:ind w:left="993" w:hanging="284"/>
        <w:jc w:val="both"/>
        <w:rPr>
          <w:rFonts w:cstheme="minorHAnsi"/>
        </w:rPr>
      </w:pPr>
      <w:r w:rsidRPr="00C73E70">
        <w:rPr>
          <w:rFonts w:cstheme="minorHAnsi"/>
        </w:rPr>
        <w:t xml:space="preserve">Change </w:t>
      </w:r>
      <w:r w:rsidR="00E954AD" w:rsidRPr="00C73E70">
        <w:rPr>
          <w:rFonts w:cstheme="minorHAnsi"/>
        </w:rPr>
        <w:t>authority level to Au</w:t>
      </w:r>
      <w:r w:rsidR="007D0681" w:rsidRPr="00C73E70">
        <w:rPr>
          <w:rFonts w:cstheme="minorHAnsi"/>
        </w:rPr>
        <w:t>thority required (STREAMLINED)</w:t>
      </w:r>
    </w:p>
    <w:p w:rsidR="00C27A44" w:rsidRPr="00C73E70" w:rsidRDefault="002602DC" w:rsidP="00A55C56">
      <w:pPr>
        <w:pStyle w:val="3Bodytext"/>
        <w:numPr>
          <w:ilvl w:val="0"/>
          <w:numId w:val="32"/>
        </w:numPr>
        <w:ind w:left="993" w:hanging="284"/>
        <w:jc w:val="both"/>
        <w:rPr>
          <w:rFonts w:cstheme="minorHAnsi"/>
        </w:rPr>
      </w:pPr>
      <w:r w:rsidRPr="00C73E70">
        <w:rPr>
          <w:rFonts w:cstheme="minorHAnsi"/>
        </w:rPr>
        <w:t>Add administrative note encouraging biosimilar prescribing for treatment naïve patients.</w:t>
      </w:r>
    </w:p>
    <w:p w:rsidR="00E954AD" w:rsidRPr="00C73E70" w:rsidRDefault="007D0681" w:rsidP="00A55C56">
      <w:pPr>
        <w:pStyle w:val="3Bodytext"/>
        <w:numPr>
          <w:ilvl w:val="0"/>
          <w:numId w:val="32"/>
        </w:numPr>
        <w:ind w:left="993" w:hanging="284"/>
        <w:jc w:val="both"/>
      </w:pPr>
      <w:r w:rsidRPr="00C73E70">
        <w:rPr>
          <w:rFonts w:cstheme="minorHAnsi"/>
        </w:rPr>
        <w:t>Ad</w:t>
      </w:r>
      <w:r w:rsidR="001C0F99" w:rsidRPr="00C73E70">
        <w:rPr>
          <w:rFonts w:cstheme="minorHAnsi"/>
        </w:rPr>
        <w:t xml:space="preserve">d schedule equivalence (‘a’ flag) </w:t>
      </w:r>
      <w:r w:rsidR="002602DC" w:rsidRPr="00C73E70">
        <w:rPr>
          <w:rFonts w:cstheme="minorHAnsi"/>
        </w:rPr>
        <w:t>to Forteo</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E954AD" w:rsidRPr="00C73E70" w:rsidTr="00A92264">
        <w:trPr>
          <w:cantSplit/>
          <w:trHeight w:val="471"/>
        </w:trPr>
        <w:tc>
          <w:tcPr>
            <w:tcW w:w="3964" w:type="dxa"/>
          </w:tcPr>
          <w:p w:rsidR="00E954AD" w:rsidRPr="00C73E70" w:rsidRDefault="00E954AD" w:rsidP="00A55C56">
            <w:pPr>
              <w:keepNext/>
              <w:ind w:left="-108"/>
              <w:rPr>
                <w:rFonts w:ascii="Arial Narrow" w:hAnsi="Arial Narrow" w:cs="Arial"/>
                <w:b/>
                <w:bCs/>
                <w:sz w:val="18"/>
                <w:szCs w:val="18"/>
              </w:rPr>
            </w:pPr>
            <w:r w:rsidRPr="00C73E70">
              <w:rPr>
                <w:rFonts w:ascii="Arial Narrow" w:hAnsi="Arial Narrow" w:cs="Arial"/>
                <w:b/>
                <w:bCs/>
                <w:sz w:val="18"/>
                <w:szCs w:val="18"/>
              </w:rPr>
              <w:t>MEDICINAL PRODUCT</w:t>
            </w:r>
          </w:p>
          <w:p w:rsidR="00E954AD" w:rsidRPr="00C73E70" w:rsidRDefault="00E954AD" w:rsidP="00A55C56">
            <w:pPr>
              <w:keepNext/>
              <w:ind w:left="-108"/>
              <w:rPr>
                <w:rFonts w:ascii="Arial Narrow" w:hAnsi="Arial Narrow" w:cs="Arial"/>
                <w:b/>
                <w:sz w:val="18"/>
                <w:szCs w:val="18"/>
              </w:rPr>
            </w:pPr>
            <w:r w:rsidRPr="00C73E70">
              <w:rPr>
                <w:rFonts w:ascii="Arial Narrow" w:hAnsi="Arial Narrow" w:cs="Arial"/>
                <w:b/>
                <w:bCs/>
                <w:sz w:val="18"/>
                <w:szCs w:val="18"/>
              </w:rPr>
              <w:t>Medicinal Product Pack</w:t>
            </w:r>
          </w:p>
        </w:tc>
        <w:tc>
          <w:tcPr>
            <w:tcW w:w="993" w:type="dxa"/>
          </w:tcPr>
          <w:p w:rsidR="00E954AD" w:rsidRPr="00C73E70" w:rsidRDefault="00E954AD" w:rsidP="00A55C56">
            <w:pPr>
              <w:keepNext/>
              <w:ind w:left="-108"/>
              <w:jc w:val="center"/>
              <w:rPr>
                <w:rFonts w:ascii="Arial Narrow" w:hAnsi="Arial Narrow" w:cs="Arial"/>
                <w:b/>
                <w:sz w:val="18"/>
                <w:szCs w:val="18"/>
              </w:rPr>
            </w:pPr>
            <w:r w:rsidRPr="00C73E70">
              <w:rPr>
                <w:rFonts w:ascii="Arial Narrow" w:hAnsi="Arial Narrow" w:cs="Arial"/>
                <w:b/>
                <w:sz w:val="18"/>
                <w:szCs w:val="18"/>
              </w:rPr>
              <w:t>PBS item code</w:t>
            </w:r>
          </w:p>
        </w:tc>
        <w:tc>
          <w:tcPr>
            <w:tcW w:w="850" w:type="dxa"/>
          </w:tcPr>
          <w:p w:rsidR="00E954AD" w:rsidRPr="00C73E70" w:rsidRDefault="00E954AD" w:rsidP="00A55C56">
            <w:pPr>
              <w:keepNext/>
              <w:ind w:left="-108"/>
              <w:jc w:val="center"/>
              <w:rPr>
                <w:rFonts w:ascii="Arial Narrow" w:hAnsi="Arial Narrow" w:cs="Arial"/>
                <w:b/>
                <w:sz w:val="18"/>
                <w:szCs w:val="18"/>
              </w:rPr>
            </w:pPr>
            <w:r w:rsidRPr="00C73E70">
              <w:rPr>
                <w:rFonts w:ascii="Arial Narrow" w:hAnsi="Arial Narrow" w:cs="Arial"/>
                <w:b/>
                <w:sz w:val="18"/>
                <w:szCs w:val="18"/>
              </w:rPr>
              <w:t>Max. qty packs</w:t>
            </w:r>
          </w:p>
        </w:tc>
        <w:tc>
          <w:tcPr>
            <w:tcW w:w="851" w:type="dxa"/>
          </w:tcPr>
          <w:p w:rsidR="00E954AD" w:rsidRPr="00C73E70" w:rsidRDefault="00E954AD" w:rsidP="00A55C56">
            <w:pPr>
              <w:keepNext/>
              <w:ind w:left="-108"/>
              <w:jc w:val="center"/>
              <w:rPr>
                <w:rFonts w:ascii="Arial Narrow" w:hAnsi="Arial Narrow" w:cs="Arial"/>
                <w:b/>
                <w:sz w:val="18"/>
                <w:szCs w:val="18"/>
              </w:rPr>
            </w:pPr>
            <w:r w:rsidRPr="00C73E70">
              <w:rPr>
                <w:rFonts w:ascii="Arial Narrow" w:hAnsi="Arial Narrow" w:cs="Arial"/>
                <w:b/>
                <w:sz w:val="18"/>
                <w:szCs w:val="18"/>
              </w:rPr>
              <w:t>Max. qty units</w:t>
            </w:r>
          </w:p>
        </w:tc>
        <w:tc>
          <w:tcPr>
            <w:tcW w:w="708" w:type="dxa"/>
          </w:tcPr>
          <w:p w:rsidR="00E954AD" w:rsidRPr="00C73E70" w:rsidRDefault="00E954AD" w:rsidP="00A55C56">
            <w:pPr>
              <w:keepNext/>
              <w:ind w:left="-108"/>
              <w:jc w:val="center"/>
              <w:rPr>
                <w:rFonts w:ascii="Arial Narrow" w:hAnsi="Arial Narrow" w:cs="Arial"/>
                <w:b/>
                <w:sz w:val="18"/>
                <w:szCs w:val="18"/>
              </w:rPr>
            </w:pPr>
            <w:r w:rsidRPr="00C73E70">
              <w:rPr>
                <w:rFonts w:ascii="Arial Narrow" w:hAnsi="Arial Narrow" w:cs="Arial"/>
                <w:b/>
                <w:sz w:val="18"/>
                <w:szCs w:val="18"/>
              </w:rPr>
              <w:t>№.of</w:t>
            </w:r>
          </w:p>
          <w:p w:rsidR="00E954AD" w:rsidRPr="00C73E70" w:rsidRDefault="00E954AD" w:rsidP="00A55C56">
            <w:pPr>
              <w:keepNext/>
              <w:ind w:left="-108"/>
              <w:jc w:val="center"/>
              <w:rPr>
                <w:rFonts w:ascii="Arial Narrow" w:hAnsi="Arial Narrow" w:cs="Arial"/>
                <w:b/>
                <w:sz w:val="18"/>
                <w:szCs w:val="18"/>
              </w:rPr>
            </w:pPr>
            <w:r w:rsidRPr="00C73E70">
              <w:rPr>
                <w:rFonts w:ascii="Arial Narrow" w:hAnsi="Arial Narrow" w:cs="Arial"/>
                <w:b/>
                <w:sz w:val="18"/>
                <w:szCs w:val="18"/>
              </w:rPr>
              <w:t>Rpts</w:t>
            </w:r>
          </w:p>
        </w:tc>
        <w:tc>
          <w:tcPr>
            <w:tcW w:w="1559" w:type="dxa"/>
          </w:tcPr>
          <w:p w:rsidR="00E954AD" w:rsidRPr="00CF471F" w:rsidRDefault="00E954AD" w:rsidP="00A55C56">
            <w:pPr>
              <w:keepNext/>
              <w:rPr>
                <w:rFonts w:ascii="Arial Narrow" w:hAnsi="Arial Narrow" w:cs="Arial"/>
                <w:b/>
                <w:sz w:val="18"/>
                <w:szCs w:val="18"/>
              </w:rPr>
            </w:pPr>
            <w:r w:rsidRPr="00C73E70">
              <w:rPr>
                <w:rFonts w:ascii="Arial Narrow" w:hAnsi="Arial Narrow" w:cs="Arial"/>
                <w:b/>
                <w:sz w:val="18"/>
                <w:szCs w:val="18"/>
              </w:rPr>
              <w:t>Proprietary name and manufacturer</w:t>
            </w:r>
          </w:p>
        </w:tc>
      </w:tr>
      <w:tr w:rsidR="00E954AD" w:rsidRPr="00C73E70" w:rsidTr="00A92264">
        <w:trPr>
          <w:cantSplit/>
          <w:trHeight w:val="104"/>
        </w:trPr>
        <w:tc>
          <w:tcPr>
            <w:tcW w:w="3964" w:type="dxa"/>
          </w:tcPr>
          <w:p w:rsidR="00E954AD" w:rsidRPr="00C73E70" w:rsidRDefault="00E954AD" w:rsidP="00A55C56">
            <w:pPr>
              <w:keepNext/>
              <w:ind w:left="-108"/>
              <w:rPr>
                <w:rFonts w:ascii="Arial Narrow" w:hAnsi="Arial Narrow" w:cs="Arial"/>
                <w:sz w:val="18"/>
                <w:szCs w:val="18"/>
              </w:rPr>
            </w:pPr>
            <w:r w:rsidRPr="00C73E70">
              <w:rPr>
                <w:rFonts w:ascii="Arial Narrow" w:hAnsi="Arial Narrow" w:cs="Arial"/>
                <w:sz w:val="18"/>
                <w:szCs w:val="18"/>
              </w:rPr>
              <w:t xml:space="preserve">TERIPARATIDE  </w:t>
            </w:r>
          </w:p>
          <w:p w:rsidR="00E954AD" w:rsidRPr="00C73E70" w:rsidRDefault="002602DC" w:rsidP="00A55C56">
            <w:pPr>
              <w:keepNext/>
              <w:ind w:left="-108"/>
              <w:rPr>
                <w:rFonts w:ascii="Arial Narrow" w:hAnsi="Arial Narrow" w:cs="Arial"/>
                <w:sz w:val="18"/>
                <w:szCs w:val="18"/>
              </w:rPr>
            </w:pPr>
            <w:r w:rsidRPr="00C73E70">
              <w:rPr>
                <w:rFonts w:ascii="Arial Narrow" w:hAnsi="Arial Narrow" w:cs="Arial"/>
                <w:sz w:val="18"/>
                <w:szCs w:val="18"/>
              </w:rPr>
              <w:t>teriparatide 250 microgram/mL injection, 2.4 mL cartridge</w:t>
            </w:r>
          </w:p>
        </w:tc>
        <w:tc>
          <w:tcPr>
            <w:tcW w:w="993" w:type="dxa"/>
          </w:tcPr>
          <w:p w:rsidR="00E954AD" w:rsidRPr="00C73E70" w:rsidRDefault="00E954AD" w:rsidP="00A55C56">
            <w:pPr>
              <w:keepNext/>
              <w:ind w:left="-108"/>
              <w:jc w:val="center"/>
              <w:rPr>
                <w:rFonts w:ascii="Arial Narrow" w:hAnsi="Arial Narrow" w:cs="Arial"/>
                <w:sz w:val="18"/>
                <w:szCs w:val="18"/>
              </w:rPr>
            </w:pPr>
          </w:p>
          <w:p w:rsidR="00E954AD" w:rsidRPr="00C73E70" w:rsidRDefault="00E954AD" w:rsidP="00A55C56">
            <w:pPr>
              <w:keepNext/>
              <w:ind w:left="-108"/>
              <w:jc w:val="center"/>
              <w:rPr>
                <w:rFonts w:ascii="Arial Narrow" w:hAnsi="Arial Narrow" w:cs="Arial"/>
                <w:sz w:val="18"/>
                <w:szCs w:val="18"/>
              </w:rPr>
            </w:pPr>
            <w:r w:rsidRPr="00C73E70">
              <w:rPr>
                <w:rFonts w:ascii="Arial Narrow" w:hAnsi="Arial Narrow" w:cs="Arial"/>
                <w:sz w:val="18"/>
                <w:szCs w:val="18"/>
              </w:rPr>
              <w:t>NEW</w:t>
            </w:r>
          </w:p>
        </w:tc>
        <w:tc>
          <w:tcPr>
            <w:tcW w:w="850" w:type="dxa"/>
          </w:tcPr>
          <w:p w:rsidR="00E954AD" w:rsidRPr="00C73E70" w:rsidRDefault="00E954AD" w:rsidP="00A55C56">
            <w:pPr>
              <w:keepNext/>
              <w:jc w:val="center"/>
              <w:rPr>
                <w:rFonts w:ascii="Arial Narrow" w:hAnsi="Arial Narrow" w:cs="Arial"/>
                <w:sz w:val="18"/>
                <w:szCs w:val="18"/>
              </w:rPr>
            </w:pPr>
          </w:p>
          <w:p w:rsidR="00E954AD" w:rsidRPr="00C73E70" w:rsidRDefault="00E954AD" w:rsidP="00A55C56">
            <w:pPr>
              <w:keepNext/>
              <w:jc w:val="center"/>
              <w:rPr>
                <w:rFonts w:ascii="Arial Narrow" w:hAnsi="Arial Narrow" w:cs="Arial"/>
                <w:sz w:val="18"/>
                <w:szCs w:val="18"/>
              </w:rPr>
            </w:pPr>
            <w:r w:rsidRPr="00C73E70">
              <w:rPr>
                <w:rFonts w:ascii="Arial Narrow" w:hAnsi="Arial Narrow" w:cs="Arial"/>
                <w:sz w:val="18"/>
                <w:szCs w:val="18"/>
              </w:rPr>
              <w:t>1</w:t>
            </w:r>
          </w:p>
        </w:tc>
        <w:tc>
          <w:tcPr>
            <w:tcW w:w="851" w:type="dxa"/>
          </w:tcPr>
          <w:p w:rsidR="00E954AD" w:rsidRPr="00C73E70" w:rsidRDefault="00E954AD" w:rsidP="00A55C56">
            <w:pPr>
              <w:keepNext/>
              <w:rPr>
                <w:rFonts w:ascii="Arial Narrow" w:hAnsi="Arial Narrow" w:cs="Arial"/>
                <w:sz w:val="18"/>
                <w:szCs w:val="18"/>
              </w:rPr>
            </w:pPr>
          </w:p>
          <w:p w:rsidR="00E954AD" w:rsidRPr="00C73E70" w:rsidRDefault="00E954AD" w:rsidP="00A55C56">
            <w:pPr>
              <w:keepNext/>
              <w:ind w:left="-108"/>
              <w:jc w:val="center"/>
              <w:rPr>
                <w:rFonts w:ascii="Arial Narrow" w:hAnsi="Arial Narrow" w:cs="Arial"/>
                <w:sz w:val="18"/>
                <w:szCs w:val="18"/>
              </w:rPr>
            </w:pPr>
            <w:r w:rsidRPr="00C73E70">
              <w:rPr>
                <w:rFonts w:ascii="Arial Narrow" w:hAnsi="Arial Narrow" w:cs="Arial"/>
                <w:sz w:val="18"/>
                <w:szCs w:val="18"/>
              </w:rPr>
              <w:t>1</w:t>
            </w:r>
          </w:p>
        </w:tc>
        <w:tc>
          <w:tcPr>
            <w:tcW w:w="708" w:type="dxa"/>
          </w:tcPr>
          <w:p w:rsidR="00E954AD" w:rsidRPr="00C73E70" w:rsidRDefault="00E954AD" w:rsidP="00A55C56">
            <w:pPr>
              <w:keepNext/>
              <w:ind w:left="-108"/>
              <w:jc w:val="center"/>
              <w:rPr>
                <w:rFonts w:ascii="Arial Narrow" w:hAnsi="Arial Narrow" w:cs="Arial"/>
                <w:sz w:val="18"/>
                <w:szCs w:val="18"/>
              </w:rPr>
            </w:pPr>
          </w:p>
          <w:p w:rsidR="00E954AD" w:rsidRPr="00C73E70" w:rsidRDefault="00E954AD" w:rsidP="00A55C56">
            <w:pPr>
              <w:keepNext/>
              <w:ind w:left="-108"/>
              <w:jc w:val="center"/>
              <w:rPr>
                <w:rFonts w:ascii="Arial Narrow" w:hAnsi="Arial Narrow" w:cs="Arial"/>
                <w:sz w:val="18"/>
                <w:szCs w:val="18"/>
              </w:rPr>
            </w:pPr>
            <w:r w:rsidRPr="00C73E70">
              <w:rPr>
                <w:rFonts w:ascii="Arial Narrow" w:hAnsi="Arial Narrow" w:cs="Arial"/>
                <w:sz w:val="18"/>
                <w:szCs w:val="18"/>
              </w:rPr>
              <w:t>5</w:t>
            </w:r>
          </w:p>
        </w:tc>
        <w:tc>
          <w:tcPr>
            <w:tcW w:w="1559" w:type="dxa"/>
          </w:tcPr>
          <w:p w:rsidR="00E954AD" w:rsidRPr="00C73E70" w:rsidRDefault="00E954AD" w:rsidP="00A55C56">
            <w:pPr>
              <w:keepNext/>
              <w:rPr>
                <w:rFonts w:ascii="Arial Narrow" w:hAnsi="Arial Narrow" w:cs="Arial"/>
                <w:sz w:val="18"/>
                <w:szCs w:val="18"/>
              </w:rPr>
            </w:pPr>
            <w:r w:rsidRPr="00C73E70">
              <w:rPr>
                <w:rFonts w:ascii="Arial Narrow" w:hAnsi="Arial Narrow" w:cs="Arial"/>
                <w:sz w:val="18"/>
                <w:szCs w:val="18"/>
              </w:rPr>
              <w:t>Terrosa</w:t>
            </w:r>
          </w:p>
          <w:p w:rsidR="00E954AD" w:rsidRPr="00C73E70" w:rsidRDefault="00E954AD" w:rsidP="00A55C56">
            <w:pPr>
              <w:keepNext/>
              <w:jc w:val="left"/>
              <w:rPr>
                <w:rFonts w:ascii="Arial Narrow" w:hAnsi="Arial Narrow" w:cs="Arial"/>
                <w:sz w:val="18"/>
                <w:szCs w:val="18"/>
              </w:rPr>
            </w:pPr>
            <w:r w:rsidRPr="00C73E70">
              <w:rPr>
                <w:rFonts w:ascii="Arial Narrow" w:hAnsi="Arial Narrow" w:cs="Arial"/>
                <w:sz w:val="18"/>
                <w:szCs w:val="18"/>
              </w:rPr>
              <w:t>Gideon Richter Australia Pty Ltd</w:t>
            </w:r>
          </w:p>
        </w:tc>
      </w:tr>
    </w:tbl>
    <w:p w:rsidR="00E954AD" w:rsidRPr="00C73E70" w:rsidRDefault="00E954AD" w:rsidP="00A55C56">
      <w:pPr>
        <w:spacing w:after="160" w:line="259" w:lineRule="auto"/>
        <w:contextualSpacing/>
      </w:pPr>
    </w:p>
    <w:p w:rsidR="00E954AD" w:rsidRPr="00CF471F" w:rsidRDefault="00E954AD" w:rsidP="00A55C56">
      <w:pPr>
        <w:rPr>
          <w:rFonts w:ascii="Arial Narrow" w:hAnsi="Arial Narrow"/>
          <w:b/>
          <w:sz w:val="18"/>
          <w:szCs w:val="18"/>
        </w:rPr>
      </w:pPr>
      <w:r w:rsidRPr="00CF471F">
        <w:rPr>
          <w:rFonts w:ascii="Arial Narrow" w:hAnsi="Arial Narrow"/>
          <w:b/>
          <w:sz w:val="18"/>
          <w:szCs w:val="18"/>
        </w:rPr>
        <w:t xml:space="preserve">Restriction Summary </w:t>
      </w:r>
      <w:r w:rsidR="004D4CD5" w:rsidRPr="00CF471F">
        <w:rPr>
          <w:rFonts w:ascii="Arial Narrow" w:hAnsi="Arial Narrow"/>
          <w:b/>
          <w:sz w:val="18"/>
          <w:szCs w:val="18"/>
        </w:rPr>
        <w:t xml:space="preserve">NEW </w:t>
      </w:r>
      <w:r w:rsidRPr="00CF471F">
        <w:rPr>
          <w:rFonts w:ascii="Arial Narrow" w:hAnsi="Arial Narrow"/>
          <w:b/>
          <w:sz w:val="18"/>
          <w:szCs w:val="18"/>
        </w:rPr>
        <w:t xml:space="preserve">/ Treatment of Concept: </w:t>
      </w:r>
      <w:r w:rsidR="004D4CD5" w:rsidRPr="00CF471F">
        <w:rPr>
          <w:rFonts w:ascii="Arial Narrow" w:hAnsi="Arial Narrow"/>
          <w:b/>
          <w:sz w:val="18"/>
          <w:szCs w:val="18"/>
        </w:rPr>
        <w:t>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B936FB" w:rsidRPr="00C73E70" w:rsidTr="00F71D96">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hAnsi="Arial Narrow" w:cs="Arial"/>
                <w:b/>
                <w:sz w:val="18"/>
                <w:szCs w:val="18"/>
              </w:rPr>
            </w:pPr>
            <w:r w:rsidRPr="00C73E70">
              <w:rPr>
                <w:rFonts w:ascii="Arial Narrow" w:hAnsi="Arial Narrow" w:cs="Arial"/>
                <w:b/>
                <w:sz w:val="18"/>
                <w:szCs w:val="18"/>
              </w:rPr>
              <w:t xml:space="preserve">Category / Program:   </w:t>
            </w:r>
          </w:p>
          <w:p w:rsidR="00B936FB" w:rsidRPr="00C73E70" w:rsidRDefault="00B936FB" w:rsidP="00A55C56">
            <w:pPr>
              <w:rPr>
                <w:rFonts w:ascii="Arial Narrow" w:hAnsi="Arial Narrow" w:cs="Arial"/>
                <w:sz w:val="18"/>
                <w:szCs w:val="18"/>
              </w:rPr>
            </w:pPr>
            <w:r w:rsidRPr="00C73E70">
              <w:rPr>
                <w:rFonts w:ascii="Arial Narrow" w:hAnsi="Arial Narrow" w:cs="Arial"/>
                <w:sz w:val="18"/>
                <w:szCs w:val="18"/>
              </w:rPr>
              <w:t>GENERAL – General Schedule (Code GE)</w:t>
            </w:r>
          </w:p>
        </w:tc>
      </w:tr>
      <w:tr w:rsidR="00B936FB" w:rsidRPr="00C73E70" w:rsidTr="00F71D96">
        <w:trPr>
          <w:trHeight w:val="240"/>
        </w:trPr>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hAnsi="Arial Narrow" w:cs="Arial"/>
                <w:b/>
                <w:sz w:val="18"/>
                <w:szCs w:val="18"/>
              </w:rPr>
            </w:pPr>
            <w:r w:rsidRPr="00C73E70">
              <w:rPr>
                <w:rFonts w:ascii="Arial Narrow" w:hAnsi="Arial Narrow" w:cs="Arial"/>
                <w:b/>
                <w:sz w:val="18"/>
                <w:szCs w:val="18"/>
              </w:rPr>
              <w:t xml:space="preserve">Prescriber type:   </w:t>
            </w:r>
            <w:r w:rsidRPr="00CF471F">
              <w:rPr>
                <w:rFonts w:ascii="Arial Narrow" w:hAnsi="Arial Narrow" w:cs="Arial"/>
                <w:sz w:val="18"/>
                <w:szCs w:val="18"/>
              </w:rPr>
              <w:fldChar w:fldCharType="begin">
                <w:ffData>
                  <w:name w:val="Check1"/>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Dental    </w:t>
            </w:r>
            <w:r w:rsidRPr="00CF471F">
              <w:rPr>
                <w:rFonts w:ascii="Arial Narrow" w:hAnsi="Arial Narrow" w:cs="Arial"/>
                <w:sz w:val="18"/>
                <w:szCs w:val="18"/>
              </w:rPr>
              <w:fldChar w:fldCharType="begin">
                <w:ffData>
                  <w:name w:val=""/>
                  <w:enabled/>
                  <w:calcOnExit w:val="0"/>
                  <w:checkBox>
                    <w:sizeAuto/>
                    <w:default w:val="1"/>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Medical Practitioners    </w:t>
            </w:r>
            <w:r w:rsidRPr="00CF471F">
              <w:rPr>
                <w:rFonts w:ascii="Arial Narrow" w:hAnsi="Arial Narrow" w:cs="Arial"/>
                <w:sz w:val="18"/>
                <w:szCs w:val="18"/>
              </w:rPr>
              <w:fldChar w:fldCharType="begin">
                <w:ffData>
                  <w:name w:val="Check3"/>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Nurse practitioners     </w:t>
            </w:r>
            <w:r w:rsidRPr="00CF471F">
              <w:rPr>
                <w:rFonts w:ascii="Arial Narrow" w:hAnsi="Arial Narrow" w:cs="Arial"/>
                <w:sz w:val="18"/>
                <w:szCs w:val="18"/>
              </w:rPr>
              <w:fldChar w:fldCharType="begin">
                <w:ffData>
                  <w:name w:val=""/>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Optometrists    </w:t>
            </w:r>
            <w:r w:rsidRPr="00CF471F">
              <w:rPr>
                <w:rFonts w:ascii="Arial Narrow" w:hAnsi="Arial Narrow" w:cs="Arial"/>
                <w:sz w:val="18"/>
                <w:szCs w:val="18"/>
              </w:rPr>
              <w:fldChar w:fldCharType="begin">
                <w:ffData>
                  <w:name w:val="Check5"/>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Midwives</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eastAsia="Calibri" w:hAnsi="Arial Narrow" w:cs="Arial"/>
                <w:sz w:val="18"/>
                <w:szCs w:val="18"/>
              </w:rPr>
            </w:pPr>
            <w:r w:rsidRPr="00C73E70">
              <w:rPr>
                <w:rFonts w:ascii="Arial Narrow" w:hAnsi="Arial Narrow" w:cs="Arial"/>
                <w:b/>
                <w:sz w:val="18"/>
                <w:szCs w:val="18"/>
              </w:rPr>
              <w:t>Restriction Type – assessment time by Medicare – Method of obtaining authority approval (if Authority Required):</w:t>
            </w:r>
            <w:r w:rsidRPr="00C73E70" w:rsidDel="002602DC">
              <w:rPr>
                <w:rFonts w:ascii="Arial Narrow" w:eastAsia="Calibri" w:hAnsi="Arial Narrow" w:cs="Arial"/>
                <w:sz w:val="18"/>
                <w:szCs w:val="18"/>
              </w:rPr>
              <w:t xml:space="preserve"> </w:t>
            </w:r>
          </w:p>
          <w:p w:rsidR="00B936FB" w:rsidRPr="00C73E70" w:rsidRDefault="00B936FB" w:rsidP="00A55C56">
            <w:pPr>
              <w:rPr>
                <w:rFonts w:ascii="Arial Narrow" w:eastAsia="Calibri" w:hAnsi="Arial Narrow" w:cs="Arial"/>
                <w:color w:val="FF00FF"/>
                <w:sz w:val="18"/>
                <w:szCs w:val="18"/>
              </w:rPr>
            </w:pPr>
            <w:r w:rsidRPr="00CF471F">
              <w:rPr>
                <w:rFonts w:ascii="Arial Narrow" w:eastAsia="Calibri" w:hAnsi="Arial Narrow" w:cs="Arial"/>
                <w:sz w:val="18"/>
                <w:szCs w:val="18"/>
              </w:rPr>
              <w:fldChar w:fldCharType="begin">
                <w:ffData>
                  <w:name w:val=""/>
                  <w:enabled/>
                  <w:calcOnExit w:val="0"/>
                  <w:checkBox>
                    <w:sizeAuto/>
                    <w:default w:val="1"/>
                  </w:checkBox>
                </w:ffData>
              </w:fldChar>
            </w:r>
            <w:r w:rsidRPr="00C73E70">
              <w:rPr>
                <w:rFonts w:ascii="Arial Narrow" w:eastAsia="Calibri" w:hAnsi="Arial Narrow" w:cs="Arial"/>
                <w:sz w:val="18"/>
                <w:szCs w:val="18"/>
              </w:rPr>
              <w:instrText xml:space="preserve"> FORMCHECKBOX </w:instrText>
            </w:r>
            <w:r w:rsidR="00F05819">
              <w:rPr>
                <w:rFonts w:ascii="Arial Narrow" w:eastAsia="Calibri" w:hAnsi="Arial Narrow" w:cs="Arial"/>
                <w:sz w:val="18"/>
                <w:szCs w:val="18"/>
              </w:rPr>
            </w:r>
            <w:r w:rsidR="00F05819">
              <w:rPr>
                <w:rFonts w:ascii="Arial Narrow" w:eastAsia="Calibri" w:hAnsi="Arial Narrow" w:cs="Arial"/>
                <w:sz w:val="18"/>
                <w:szCs w:val="18"/>
              </w:rPr>
              <w:fldChar w:fldCharType="separate"/>
            </w:r>
            <w:r w:rsidRPr="00CF471F">
              <w:rPr>
                <w:rFonts w:ascii="Arial Narrow" w:eastAsia="Calibri" w:hAnsi="Arial Narrow" w:cs="Arial"/>
                <w:sz w:val="18"/>
                <w:szCs w:val="18"/>
              </w:rPr>
              <w:fldChar w:fldCharType="end"/>
            </w:r>
            <w:r w:rsidRPr="00C73E70">
              <w:rPr>
                <w:rFonts w:ascii="Arial Narrow" w:eastAsia="Calibri" w:hAnsi="Arial Narrow" w:cs="Arial"/>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B936FB" w:rsidRPr="00C73E70" w:rsidTr="00F71D96">
        <w:tc>
          <w:tcPr>
            <w:tcW w:w="5000" w:type="pct"/>
          </w:tcPr>
          <w:p w:rsidR="00B936FB" w:rsidRPr="00C73E70" w:rsidRDefault="00B936FB" w:rsidP="00A55C56">
            <w:pPr>
              <w:pStyle w:val="NormalWeb"/>
              <w:spacing w:before="0" w:beforeAutospacing="0" w:after="0" w:afterAutospacing="0"/>
              <w:textAlignment w:val="baseline"/>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lastRenderedPageBreak/>
              <w:t>Indication:</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Severe established osteoporosis</w:t>
            </w:r>
          </w:p>
        </w:tc>
      </w:tr>
      <w:tr w:rsidR="00B936FB" w:rsidRPr="00C73E70" w:rsidTr="00F71D96">
        <w:tc>
          <w:tcPr>
            <w:tcW w:w="5000" w:type="pct"/>
          </w:tcPr>
          <w:p w:rsidR="00B936FB" w:rsidRPr="00C73E70" w:rsidRDefault="00B936FB" w:rsidP="00A55C56">
            <w:pPr>
              <w:pStyle w:val="NormalWeb"/>
              <w:spacing w:before="0" w:beforeAutospacing="0" w:after="0" w:afterAutospacing="0"/>
              <w:textAlignment w:val="baseline"/>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Treatment Phase:</w:t>
            </w:r>
          </w:p>
          <w:p w:rsidR="00B936FB" w:rsidRPr="00C73E70" w:rsidRDefault="00B936FB" w:rsidP="00A55C56">
            <w:pPr>
              <w:rPr>
                <w:rFonts w:ascii="Arial Narrow" w:hAnsi="Arial Narrow"/>
                <w:b/>
                <w:bCs/>
                <w:color w:val="333333"/>
                <w:sz w:val="20"/>
                <w:szCs w:val="20"/>
              </w:rPr>
            </w:pPr>
            <w:r w:rsidRPr="00C73E70">
              <w:rPr>
                <w:rFonts w:ascii="Arial Narrow" w:hAnsi="Arial Narrow"/>
                <w:color w:val="333333"/>
                <w:sz w:val="20"/>
                <w:szCs w:val="20"/>
              </w:rPr>
              <w:t>Initial treatment</w:t>
            </w:r>
          </w:p>
        </w:tc>
      </w:tr>
      <w:tr w:rsidR="00B936FB" w:rsidRPr="00C73E70" w:rsidTr="00F71D96">
        <w:tc>
          <w:tcPr>
            <w:tcW w:w="5000" w:type="pct"/>
          </w:tcPr>
          <w:p w:rsidR="00B936FB" w:rsidRPr="00C73E70" w:rsidRDefault="00B936FB" w:rsidP="00A55C56">
            <w:pPr>
              <w:rPr>
                <w:rFonts w:ascii="Arial Narrow" w:hAnsi="Arial Narrow"/>
                <w:b/>
                <w:bCs/>
                <w:color w:val="333333"/>
                <w:sz w:val="20"/>
                <w:szCs w:val="20"/>
              </w:rPr>
            </w:pPr>
            <w:r w:rsidRPr="00C73E70">
              <w:rPr>
                <w:rStyle w:val="Strong"/>
                <w:rFonts w:ascii="Arial Narrow" w:hAnsi="Arial Narrow"/>
                <w:color w:val="333333"/>
                <w:sz w:val="20"/>
                <w:szCs w:val="20"/>
                <w:bdr w:val="none" w:sz="0" w:space="0" w:color="auto" w:frame="1"/>
              </w:rPr>
              <w:t>Treatment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Must be treated by a specialist; or</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Must be treated by a consultant physician</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c>
          <w:tcPr>
            <w:tcW w:w="5000" w:type="pct"/>
            <w:hideMark/>
          </w:tcPr>
          <w:p w:rsidR="00B936FB" w:rsidRPr="00C73E70" w:rsidRDefault="00B936FB" w:rsidP="00A55C56">
            <w:pPr>
              <w:jc w:val="left"/>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Patient must be at very high risk of fracture</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Patient must have a bone mineral density (BMD) T-score of -3.0 or less</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Patient must have had 2 or more fractures due to minimal trauma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c>
          <w:tcPr>
            <w:tcW w:w="5000" w:type="pct"/>
            <w:hideMark/>
          </w:tcPr>
          <w:p w:rsidR="00B936FB" w:rsidRPr="00C73E70" w:rsidRDefault="00B936FB" w:rsidP="00A55C56">
            <w:pPr>
              <w:autoSpaceDE w:val="0"/>
              <w:autoSpaceDN w:val="0"/>
              <w:adjustRightInd w:val="0"/>
              <w:rPr>
                <w:rFonts w:ascii="Arial Narrow" w:hAnsi="Arial Narrow" w:cs="Arial Narrow"/>
                <w:i/>
                <w:iCs/>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Patient must have experienced at least 1 symptomatic new fracture after at least 12 months continuous therapy with an anti-resorptive agent at adequate doses</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rPr>
          <w:trHeight w:val="254"/>
        </w:trPr>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The treatment must be the sole PBS-subsidised agent</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AND</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Clinical criteria:</w:t>
            </w:r>
          </w:p>
        </w:tc>
      </w:tr>
      <w:tr w:rsidR="00B936FB" w:rsidRPr="00C73E70" w:rsidTr="00F71D96">
        <w:tc>
          <w:tcPr>
            <w:tcW w:w="5000" w:type="pct"/>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The treatment must not exceed a lifetime maximum of 18 months therapy</w:t>
            </w:r>
          </w:p>
        </w:tc>
      </w:tr>
      <w:tr w:rsidR="00B936FB" w:rsidRPr="00C73E70" w:rsidTr="00F71D96">
        <w:tc>
          <w:tcPr>
            <w:tcW w:w="5000" w:type="pct"/>
          </w:tcPr>
          <w:p w:rsidR="00B936FB" w:rsidRPr="00C73E70" w:rsidRDefault="00B936FB" w:rsidP="00A55C56">
            <w:pPr>
              <w:rPr>
                <w:rFonts w:ascii="Arial Narrow" w:hAnsi="Arial Narrow"/>
                <w:color w:val="333333"/>
                <w:sz w:val="20"/>
                <w:szCs w:val="20"/>
              </w:rPr>
            </w:pP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Instructions:</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Instructions:</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If treatment with anti-resorptive therapy is contraindicated according to the relevant TGA-approved Product Information, details of the contraindication must be documented in the patient's medical record at the time treatment with teriparatide is initiated.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Instructions:</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teriparatide is initiated.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Instructions:</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Instructions:</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lastRenderedPageBreak/>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Details of accepted toxicities including severity can be found on the Department of Human Services website at www.humanservices.gov.au.</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No increase in the maximum quantity or number of units may be authorised.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No increase in the maximum number of repeats may be authorised.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Special Pricing Arrangements apply.</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b/>
                <w:color w:val="333333"/>
                <w:sz w:val="20"/>
                <w:szCs w:val="20"/>
              </w:rPr>
            </w:pPr>
            <w:r w:rsidRPr="00C73E70">
              <w:rPr>
                <w:rFonts w:ascii="Arial Narrow" w:hAnsi="Arial Narrow"/>
                <w:b/>
                <w:color w:val="333333"/>
                <w:sz w:val="20"/>
                <w:szCs w:val="20"/>
              </w:rPr>
              <w:t>Administrative Advice: Biosimilar prescribing policy</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Prescribing of the biosimilar brand, Terrosa®, is encouraged for treatment naive patients. 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E954AD" w:rsidRPr="00C73E70" w:rsidRDefault="00E954AD" w:rsidP="00A55C56">
      <w:pPr>
        <w:spacing w:after="160" w:line="259" w:lineRule="auto"/>
        <w:contextualSpacing/>
      </w:pPr>
    </w:p>
    <w:p w:rsidR="00E954AD" w:rsidRPr="00CF471F" w:rsidRDefault="00E954AD" w:rsidP="00A55C56">
      <w:pPr>
        <w:rPr>
          <w:rFonts w:ascii="Arial Narrow" w:hAnsi="Arial Narrow"/>
          <w:b/>
          <w:sz w:val="18"/>
          <w:szCs w:val="18"/>
        </w:rPr>
      </w:pPr>
      <w:r w:rsidRPr="00CF471F">
        <w:rPr>
          <w:rFonts w:ascii="Arial Narrow" w:hAnsi="Arial Narrow"/>
          <w:b/>
          <w:sz w:val="18"/>
          <w:szCs w:val="18"/>
        </w:rPr>
        <w:t xml:space="preserve">Restriction Summary </w:t>
      </w:r>
      <w:r w:rsidR="00120B03" w:rsidRPr="00CF471F">
        <w:rPr>
          <w:rFonts w:ascii="Arial Narrow" w:hAnsi="Arial Narrow"/>
          <w:b/>
          <w:sz w:val="18"/>
          <w:szCs w:val="18"/>
        </w:rPr>
        <w:t>NEW</w:t>
      </w:r>
      <w:r w:rsidRPr="00CF471F">
        <w:rPr>
          <w:rFonts w:ascii="Arial Narrow" w:hAnsi="Arial Narrow"/>
          <w:b/>
          <w:sz w:val="18"/>
          <w:szCs w:val="18"/>
        </w:rPr>
        <w:t xml:space="preserve"> </w:t>
      </w:r>
      <w:r w:rsidR="00120B03" w:rsidRPr="00CF471F">
        <w:rPr>
          <w:rFonts w:ascii="Arial Narrow" w:hAnsi="Arial Narrow"/>
          <w:b/>
          <w:sz w:val="18"/>
          <w:szCs w:val="18"/>
        </w:rPr>
        <w:t>/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B936FB" w:rsidRPr="00C73E70" w:rsidTr="00F71D96">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hAnsi="Arial Narrow" w:cs="Arial"/>
                <w:b/>
                <w:sz w:val="18"/>
                <w:szCs w:val="18"/>
              </w:rPr>
            </w:pPr>
            <w:r w:rsidRPr="00C73E70">
              <w:rPr>
                <w:rFonts w:ascii="Arial Narrow" w:hAnsi="Arial Narrow" w:cs="Arial"/>
                <w:b/>
                <w:sz w:val="18"/>
                <w:szCs w:val="18"/>
              </w:rPr>
              <w:t xml:space="preserve">Category / Program:   </w:t>
            </w:r>
          </w:p>
          <w:p w:rsidR="00B936FB" w:rsidRPr="00C73E70" w:rsidRDefault="00B936FB" w:rsidP="00A55C56">
            <w:pPr>
              <w:rPr>
                <w:rFonts w:ascii="Arial Narrow" w:hAnsi="Arial Narrow" w:cs="Arial"/>
                <w:sz w:val="18"/>
                <w:szCs w:val="18"/>
              </w:rPr>
            </w:pPr>
            <w:r w:rsidRPr="00C73E70">
              <w:rPr>
                <w:rFonts w:ascii="Arial Narrow" w:hAnsi="Arial Narrow" w:cs="Arial"/>
                <w:sz w:val="18"/>
                <w:szCs w:val="18"/>
              </w:rPr>
              <w:t>GENERAL – General Schedule (Code GE)</w:t>
            </w:r>
          </w:p>
        </w:tc>
      </w:tr>
      <w:tr w:rsidR="00B936FB" w:rsidRPr="00C73E70" w:rsidTr="00F71D96">
        <w:trPr>
          <w:trHeight w:val="240"/>
        </w:trPr>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hAnsi="Arial Narrow" w:cs="Arial"/>
                <w:b/>
                <w:sz w:val="18"/>
                <w:szCs w:val="18"/>
              </w:rPr>
            </w:pPr>
            <w:r w:rsidRPr="00C73E70">
              <w:rPr>
                <w:rFonts w:ascii="Arial Narrow" w:hAnsi="Arial Narrow" w:cs="Arial"/>
                <w:b/>
                <w:sz w:val="18"/>
                <w:szCs w:val="18"/>
              </w:rPr>
              <w:t xml:space="preserve">Prescriber type:   </w:t>
            </w:r>
            <w:r w:rsidRPr="00CF471F">
              <w:rPr>
                <w:rFonts w:ascii="Arial Narrow" w:hAnsi="Arial Narrow" w:cs="Arial"/>
                <w:sz w:val="18"/>
                <w:szCs w:val="18"/>
              </w:rPr>
              <w:fldChar w:fldCharType="begin">
                <w:ffData>
                  <w:name w:val="Check1"/>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Dental    </w:t>
            </w:r>
            <w:r w:rsidRPr="00CF471F">
              <w:rPr>
                <w:rFonts w:ascii="Arial Narrow" w:hAnsi="Arial Narrow" w:cs="Arial"/>
                <w:sz w:val="18"/>
                <w:szCs w:val="18"/>
              </w:rPr>
              <w:fldChar w:fldCharType="begin">
                <w:ffData>
                  <w:name w:val=""/>
                  <w:enabled/>
                  <w:calcOnExit w:val="0"/>
                  <w:checkBox>
                    <w:sizeAuto/>
                    <w:default w:val="1"/>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Medical Practitioners    </w:t>
            </w:r>
            <w:r w:rsidRPr="00CF471F">
              <w:rPr>
                <w:rFonts w:ascii="Arial Narrow" w:hAnsi="Arial Narrow" w:cs="Arial"/>
                <w:sz w:val="18"/>
                <w:szCs w:val="18"/>
              </w:rPr>
              <w:fldChar w:fldCharType="begin">
                <w:ffData>
                  <w:name w:val="Check3"/>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Nurse practitioners     </w:t>
            </w:r>
            <w:r w:rsidRPr="00CF471F">
              <w:rPr>
                <w:rFonts w:ascii="Arial Narrow" w:hAnsi="Arial Narrow" w:cs="Arial"/>
                <w:sz w:val="18"/>
                <w:szCs w:val="18"/>
              </w:rPr>
              <w:fldChar w:fldCharType="begin">
                <w:ffData>
                  <w:name w:val=""/>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 xml:space="preserve">Optometrists    </w:t>
            </w:r>
            <w:r w:rsidRPr="00CF471F">
              <w:rPr>
                <w:rFonts w:ascii="Arial Narrow" w:hAnsi="Arial Narrow" w:cs="Arial"/>
                <w:sz w:val="18"/>
                <w:szCs w:val="18"/>
              </w:rPr>
              <w:fldChar w:fldCharType="begin">
                <w:ffData>
                  <w:name w:val="Check5"/>
                  <w:enabled/>
                  <w:calcOnExit w:val="0"/>
                  <w:checkBox>
                    <w:sizeAuto/>
                    <w:default w:val="0"/>
                  </w:checkBox>
                </w:ffData>
              </w:fldChar>
            </w:r>
            <w:r w:rsidRPr="00C73E70">
              <w:rPr>
                <w:rFonts w:ascii="Arial Narrow" w:hAnsi="Arial Narrow" w:cs="Arial"/>
                <w:sz w:val="18"/>
                <w:szCs w:val="18"/>
              </w:rPr>
              <w:instrText xml:space="preserve"> FORMCHECKBOX </w:instrText>
            </w:r>
            <w:r w:rsidR="00F05819">
              <w:rPr>
                <w:rFonts w:ascii="Arial Narrow" w:hAnsi="Arial Narrow" w:cs="Arial"/>
                <w:sz w:val="18"/>
                <w:szCs w:val="18"/>
              </w:rPr>
            </w:r>
            <w:r w:rsidR="00F05819">
              <w:rPr>
                <w:rFonts w:ascii="Arial Narrow" w:hAnsi="Arial Narrow" w:cs="Arial"/>
                <w:sz w:val="18"/>
                <w:szCs w:val="18"/>
              </w:rPr>
              <w:fldChar w:fldCharType="separate"/>
            </w:r>
            <w:r w:rsidRPr="00CF471F">
              <w:rPr>
                <w:rFonts w:ascii="Arial Narrow" w:hAnsi="Arial Narrow" w:cs="Arial"/>
                <w:sz w:val="18"/>
                <w:szCs w:val="18"/>
              </w:rPr>
              <w:fldChar w:fldCharType="end"/>
            </w:r>
            <w:r w:rsidRPr="00C73E70">
              <w:rPr>
                <w:rFonts w:ascii="Arial Narrow" w:hAnsi="Arial Narrow" w:cs="Arial"/>
                <w:sz w:val="18"/>
                <w:szCs w:val="18"/>
              </w:rPr>
              <w:t>Midwives</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tcPr>
          <w:p w:rsidR="00B936FB" w:rsidRPr="00C73E70" w:rsidRDefault="00B936FB" w:rsidP="00A55C56">
            <w:pPr>
              <w:rPr>
                <w:rFonts w:ascii="Arial Narrow" w:eastAsia="Calibri" w:hAnsi="Arial Narrow" w:cs="Arial"/>
                <w:sz w:val="18"/>
                <w:szCs w:val="18"/>
              </w:rPr>
            </w:pPr>
            <w:r w:rsidRPr="00C73E70">
              <w:rPr>
                <w:rFonts w:ascii="Arial Narrow" w:hAnsi="Arial Narrow" w:cs="Arial"/>
                <w:b/>
                <w:sz w:val="18"/>
                <w:szCs w:val="18"/>
              </w:rPr>
              <w:t>Restriction Type – assessment time by Medicare – Method of obtaining authority approval (if Authority Required):</w:t>
            </w:r>
            <w:r w:rsidRPr="00C73E70" w:rsidDel="002602DC">
              <w:rPr>
                <w:rFonts w:ascii="Arial Narrow" w:eastAsia="Calibri" w:hAnsi="Arial Narrow" w:cs="Arial"/>
                <w:sz w:val="18"/>
                <w:szCs w:val="18"/>
              </w:rPr>
              <w:t xml:space="preserve"> </w:t>
            </w:r>
          </w:p>
          <w:p w:rsidR="00B936FB" w:rsidRPr="00C73E70" w:rsidRDefault="00B936FB" w:rsidP="00A55C56">
            <w:pPr>
              <w:rPr>
                <w:rFonts w:ascii="Arial Narrow" w:eastAsia="Calibri" w:hAnsi="Arial Narrow" w:cs="Arial"/>
                <w:color w:val="FF00FF"/>
                <w:sz w:val="18"/>
                <w:szCs w:val="18"/>
              </w:rPr>
            </w:pPr>
            <w:r w:rsidRPr="00CF471F">
              <w:rPr>
                <w:rFonts w:ascii="Arial Narrow" w:eastAsia="Calibri" w:hAnsi="Arial Narrow" w:cs="Arial"/>
                <w:sz w:val="18"/>
                <w:szCs w:val="18"/>
              </w:rPr>
              <w:fldChar w:fldCharType="begin">
                <w:ffData>
                  <w:name w:val=""/>
                  <w:enabled/>
                  <w:calcOnExit w:val="0"/>
                  <w:checkBox>
                    <w:sizeAuto/>
                    <w:default w:val="1"/>
                  </w:checkBox>
                </w:ffData>
              </w:fldChar>
            </w:r>
            <w:r w:rsidRPr="00C73E70">
              <w:rPr>
                <w:rFonts w:ascii="Arial Narrow" w:eastAsia="Calibri" w:hAnsi="Arial Narrow" w:cs="Arial"/>
                <w:sz w:val="18"/>
                <w:szCs w:val="18"/>
              </w:rPr>
              <w:instrText xml:space="preserve"> FORMCHECKBOX </w:instrText>
            </w:r>
            <w:r w:rsidR="00F05819">
              <w:rPr>
                <w:rFonts w:ascii="Arial Narrow" w:eastAsia="Calibri" w:hAnsi="Arial Narrow" w:cs="Arial"/>
                <w:sz w:val="18"/>
                <w:szCs w:val="18"/>
              </w:rPr>
            </w:r>
            <w:r w:rsidR="00F05819">
              <w:rPr>
                <w:rFonts w:ascii="Arial Narrow" w:eastAsia="Calibri" w:hAnsi="Arial Narrow" w:cs="Arial"/>
                <w:sz w:val="18"/>
                <w:szCs w:val="18"/>
              </w:rPr>
              <w:fldChar w:fldCharType="separate"/>
            </w:r>
            <w:r w:rsidRPr="00CF471F">
              <w:rPr>
                <w:rFonts w:ascii="Arial Narrow" w:eastAsia="Calibri" w:hAnsi="Arial Narrow" w:cs="Arial"/>
                <w:sz w:val="18"/>
                <w:szCs w:val="18"/>
              </w:rPr>
              <w:fldChar w:fldCharType="end"/>
            </w:r>
            <w:r w:rsidRPr="00C73E70">
              <w:rPr>
                <w:rFonts w:ascii="Arial Narrow" w:eastAsia="Calibri" w:hAnsi="Arial Narrow" w:cs="Arial"/>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tc>
      </w:tr>
      <w:tr w:rsidR="00B936FB" w:rsidRPr="00C73E70" w:rsidTr="00F71D96">
        <w:tc>
          <w:tcPr>
            <w:tcW w:w="5000" w:type="pct"/>
          </w:tcPr>
          <w:p w:rsidR="00B936FB" w:rsidRPr="00C73E70" w:rsidRDefault="00B936FB" w:rsidP="00A55C56">
            <w:pPr>
              <w:pStyle w:val="NormalWeb"/>
              <w:spacing w:before="0" w:beforeAutospacing="0" w:after="0" w:afterAutospacing="0"/>
              <w:textAlignment w:val="baseline"/>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Indication:</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Severe established osteoporosis</w:t>
            </w:r>
          </w:p>
        </w:tc>
      </w:tr>
      <w:tr w:rsidR="00B936FB" w:rsidRPr="00C73E70" w:rsidTr="00F71D96">
        <w:tc>
          <w:tcPr>
            <w:tcW w:w="5000" w:type="pct"/>
            <w:tcBorders>
              <w:bottom w:val="single" w:sz="4" w:space="0" w:color="auto"/>
            </w:tcBorders>
          </w:tcPr>
          <w:p w:rsidR="00B936FB" w:rsidRPr="00C73E70" w:rsidRDefault="00B936FB" w:rsidP="00A55C56">
            <w:pPr>
              <w:pStyle w:val="NormalWeb"/>
              <w:spacing w:before="0" w:beforeAutospacing="0" w:after="0" w:afterAutospacing="0"/>
              <w:textAlignment w:val="baseline"/>
              <w:rPr>
                <w:rFonts w:ascii="Arial Narrow" w:hAnsi="Arial Narrow"/>
                <w:color w:val="333333"/>
                <w:sz w:val="20"/>
                <w:szCs w:val="20"/>
              </w:rPr>
            </w:pPr>
            <w:r w:rsidRPr="00C73E70">
              <w:rPr>
                <w:rStyle w:val="Strong"/>
                <w:rFonts w:ascii="Arial Narrow" w:hAnsi="Arial Narrow"/>
                <w:color w:val="333333"/>
                <w:sz w:val="20"/>
                <w:szCs w:val="20"/>
                <w:bdr w:val="none" w:sz="0" w:space="0" w:color="auto" w:frame="1"/>
              </w:rPr>
              <w:t>Treatment Phase:</w:t>
            </w:r>
          </w:p>
          <w:p w:rsidR="00B936FB" w:rsidRPr="00C73E70" w:rsidRDefault="00B936FB" w:rsidP="00A55C56">
            <w:pPr>
              <w:rPr>
                <w:rFonts w:ascii="Arial Narrow" w:hAnsi="Arial Narrow"/>
                <w:b/>
                <w:bCs/>
                <w:color w:val="333333"/>
                <w:sz w:val="20"/>
                <w:szCs w:val="20"/>
              </w:rPr>
            </w:pPr>
            <w:r w:rsidRPr="00C73E70">
              <w:rPr>
                <w:rFonts w:ascii="Arial Narrow" w:hAnsi="Arial Narrow"/>
                <w:color w:val="333333"/>
                <w:sz w:val="20"/>
                <w:szCs w:val="20"/>
              </w:rPr>
              <w:t xml:space="preserve"> Continuing treatment</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rPr>
                <w:rFonts w:ascii="Arial Narrow" w:hAnsi="Arial Narrow"/>
                <w:color w:val="333333"/>
                <w:sz w:val="20"/>
                <w:szCs w:val="20"/>
              </w:rPr>
            </w:pPr>
            <w:r w:rsidRPr="00C73E70">
              <w:rPr>
                <w:rFonts w:ascii="Arial Narrow" w:hAnsi="Arial Narrow"/>
                <w:b/>
                <w:bCs/>
                <w:sz w:val="20"/>
                <w:szCs w:val="20"/>
              </w:rPr>
              <w:t>Clinical criteria:</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Patient must have previously been issued with an authority prescription for this drug</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rPr>
                <w:rFonts w:ascii="Arial Narrow" w:hAnsi="Arial Narrow"/>
                <w:color w:val="333333"/>
                <w:sz w:val="20"/>
                <w:szCs w:val="20"/>
              </w:rPr>
            </w:pPr>
            <w:r w:rsidRPr="00C73E70">
              <w:rPr>
                <w:rFonts w:ascii="Arial Narrow" w:hAnsi="Arial Narrow"/>
                <w:b/>
                <w:bCs/>
                <w:sz w:val="20"/>
                <w:szCs w:val="20"/>
              </w:rPr>
              <w:t>AND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rPr>
                <w:rFonts w:ascii="Arial Narrow" w:hAnsi="Arial Narrow"/>
                <w:color w:val="333333"/>
                <w:sz w:val="20"/>
                <w:szCs w:val="20"/>
              </w:rPr>
            </w:pPr>
            <w:r w:rsidRPr="00C73E70">
              <w:rPr>
                <w:rFonts w:ascii="Arial Narrow" w:hAnsi="Arial Narrow"/>
                <w:b/>
                <w:bCs/>
                <w:sz w:val="20"/>
                <w:szCs w:val="20"/>
              </w:rPr>
              <w:t>Clinical criteria:</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The treatment must not exceed a lifetime maximum of 18 months therapy</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pStyle w:val="NormalWeb"/>
              <w:spacing w:before="0" w:beforeAutospacing="0" w:after="0" w:afterAutospacing="0"/>
              <w:jc w:val="both"/>
              <w:textAlignment w:val="baseline"/>
              <w:rPr>
                <w:rFonts w:ascii="Arial Narrow" w:hAnsi="Arial Narrow"/>
                <w:color w:val="333333"/>
                <w:sz w:val="20"/>
                <w:szCs w:val="20"/>
              </w:rPr>
            </w:pPr>
            <w:r w:rsidRPr="00C73E70">
              <w:rPr>
                <w:rFonts w:ascii="Arial Narrow" w:hAnsi="Arial Narrow"/>
                <w:b/>
                <w:bCs/>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Up to a maximum of 18 pens will be reimbursed through the PBS.</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pStyle w:val="NormalWeb"/>
              <w:spacing w:before="0" w:beforeAutospacing="0" w:after="0" w:afterAutospacing="0"/>
              <w:jc w:val="both"/>
              <w:textAlignment w:val="baseline"/>
              <w:rPr>
                <w:rFonts w:ascii="Arial Narrow" w:hAnsi="Arial Narrow"/>
                <w:color w:val="333333"/>
                <w:sz w:val="20"/>
                <w:szCs w:val="20"/>
              </w:rPr>
            </w:pPr>
            <w:r w:rsidRPr="00C73E70">
              <w:rPr>
                <w:rFonts w:ascii="Arial Narrow" w:hAnsi="Arial Narrow"/>
                <w:b/>
                <w:bCs/>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No increase in the maximum quantity or number of units may be authorised.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pStyle w:val="NormalWeb"/>
              <w:spacing w:before="0" w:beforeAutospacing="0" w:after="0" w:afterAutospacing="0"/>
              <w:jc w:val="both"/>
              <w:textAlignment w:val="baseline"/>
              <w:rPr>
                <w:rFonts w:ascii="Arial Narrow" w:hAnsi="Arial Narrow"/>
                <w:color w:val="333333"/>
                <w:sz w:val="20"/>
                <w:szCs w:val="20"/>
              </w:rPr>
            </w:pPr>
            <w:r w:rsidRPr="00C73E70">
              <w:rPr>
                <w:rFonts w:ascii="Arial Narrow" w:hAnsi="Arial Narrow"/>
                <w:b/>
                <w:bCs/>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No increase in the maximum number of repeats may be authorised.</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936FB" w:rsidRPr="00C73E70" w:rsidRDefault="00B936FB" w:rsidP="00A55C56">
            <w:pPr>
              <w:pStyle w:val="NormalWeb"/>
              <w:spacing w:before="0" w:beforeAutospacing="0" w:after="0" w:afterAutospacing="0"/>
              <w:jc w:val="both"/>
              <w:textAlignment w:val="baseline"/>
              <w:rPr>
                <w:rFonts w:ascii="Arial Narrow" w:hAnsi="Arial Narrow"/>
                <w:color w:val="333333"/>
                <w:sz w:val="20"/>
                <w:szCs w:val="20"/>
              </w:rPr>
            </w:pPr>
            <w:r w:rsidRPr="00C73E70">
              <w:rPr>
                <w:rFonts w:ascii="Arial Narrow" w:hAnsi="Arial Narrow"/>
                <w:b/>
                <w:bCs/>
                <w:sz w:val="20"/>
                <w:szCs w:val="20"/>
              </w:rPr>
              <w:t>Administrative Advice:</w:t>
            </w:r>
          </w:p>
          <w:p w:rsidR="00B936FB" w:rsidRPr="00C73E70" w:rsidRDefault="00B936FB" w:rsidP="00A55C56">
            <w:pPr>
              <w:rPr>
                <w:rFonts w:ascii="Arial Narrow" w:hAnsi="Arial Narrow"/>
                <w:color w:val="333333"/>
                <w:sz w:val="20"/>
                <w:szCs w:val="20"/>
              </w:rPr>
            </w:pPr>
            <w:r w:rsidRPr="00C73E70">
              <w:rPr>
                <w:rFonts w:ascii="Arial Narrow" w:hAnsi="Arial Narrow"/>
                <w:color w:val="333333"/>
                <w:sz w:val="20"/>
                <w:szCs w:val="20"/>
              </w:rPr>
              <w:t>Special Pricing Arrangements apply.</w:t>
            </w:r>
          </w:p>
        </w:tc>
      </w:tr>
      <w:tr w:rsidR="00B936FB" w:rsidRPr="00C73E70" w:rsidTr="00F71D96">
        <w:tc>
          <w:tcPr>
            <w:tcW w:w="5000" w:type="pct"/>
            <w:tcBorders>
              <w:top w:val="single" w:sz="4" w:space="0" w:color="auto"/>
              <w:left w:val="single" w:sz="4" w:space="0" w:color="auto"/>
              <w:bottom w:val="single" w:sz="4" w:space="0" w:color="auto"/>
              <w:right w:val="single" w:sz="4" w:space="0" w:color="auto"/>
            </w:tcBorders>
            <w:shd w:val="clear" w:color="auto" w:fill="auto"/>
          </w:tcPr>
          <w:p w:rsidR="00B936FB" w:rsidRPr="00C73E70" w:rsidRDefault="00B936FB" w:rsidP="00A55C56">
            <w:pPr>
              <w:rPr>
                <w:rFonts w:ascii="Arial Narrow" w:hAnsi="Arial Narrow"/>
                <w:b/>
                <w:color w:val="333333"/>
                <w:sz w:val="20"/>
                <w:szCs w:val="20"/>
              </w:rPr>
            </w:pPr>
            <w:r w:rsidRPr="00C73E70">
              <w:rPr>
                <w:rFonts w:ascii="Arial Narrow" w:hAnsi="Arial Narrow"/>
                <w:b/>
                <w:color w:val="333333"/>
                <w:sz w:val="20"/>
                <w:szCs w:val="20"/>
              </w:rPr>
              <w:t>Administrative Advice: Biosimilar prescribing policy</w:t>
            </w:r>
          </w:p>
          <w:p w:rsidR="00B936FB" w:rsidRPr="00C73E70" w:rsidRDefault="00B936FB" w:rsidP="00A55C56">
            <w:pPr>
              <w:pStyle w:val="NormalWeb"/>
              <w:spacing w:before="0" w:beforeAutospacing="0" w:after="0" w:afterAutospacing="0"/>
              <w:jc w:val="both"/>
              <w:textAlignment w:val="baseline"/>
              <w:rPr>
                <w:rFonts w:ascii="Arial Narrow" w:hAnsi="Arial Narrow"/>
                <w:b/>
                <w:bCs/>
                <w:sz w:val="20"/>
                <w:szCs w:val="20"/>
              </w:rPr>
            </w:pPr>
            <w:r w:rsidRPr="00C73E70">
              <w:rPr>
                <w:rFonts w:ascii="Arial Narrow" w:hAnsi="Arial Narrow"/>
                <w:color w:val="333333"/>
                <w:sz w:val="20"/>
                <w:szCs w:val="20"/>
              </w:rPr>
              <w:t>Prescribing of the biosimilar brand, Terrosa®, is encouraged for treatment naive patients. 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bl>
    <w:p w:rsidR="00EA252F" w:rsidRDefault="00EA252F" w:rsidP="00A55C56">
      <w:pPr>
        <w:rPr>
          <w:rFonts w:asciiTheme="minorHAnsi" w:hAnsiTheme="minorHAnsi" w:cstheme="minorHAnsi"/>
          <w:snapToGrid w:val="0"/>
          <w:color w:val="365F91" w:themeColor="accent1" w:themeShade="BF"/>
          <w:lang w:eastAsia="en-US"/>
        </w:rPr>
      </w:pPr>
    </w:p>
    <w:p w:rsidR="00A55C56" w:rsidRDefault="00A55C56" w:rsidP="00A55C56">
      <w:pPr>
        <w:rPr>
          <w:rFonts w:asciiTheme="minorHAnsi" w:hAnsiTheme="minorHAnsi" w:cstheme="minorHAnsi"/>
          <w:b/>
          <w:i/>
        </w:rPr>
      </w:pPr>
      <w:r w:rsidRPr="003714D2">
        <w:rPr>
          <w:rFonts w:asciiTheme="minorHAnsi" w:hAnsiTheme="minorHAnsi" w:cstheme="minorHAnsi"/>
          <w:b/>
          <w:i/>
        </w:rPr>
        <w:t>This restriction may be subject to further review. Should there be any changes made to the restriction the Sponsor will be informed.</w:t>
      </w:r>
    </w:p>
    <w:p w:rsidR="00B936FB" w:rsidRDefault="00B936FB" w:rsidP="00A55C56">
      <w:pPr>
        <w:rPr>
          <w:rFonts w:asciiTheme="minorHAnsi" w:hAnsiTheme="minorHAnsi" w:cstheme="minorHAnsi"/>
          <w:b/>
          <w:i/>
        </w:rPr>
      </w:pPr>
    </w:p>
    <w:p w:rsidR="00B936FB" w:rsidRPr="00F71D96" w:rsidRDefault="00B936FB" w:rsidP="00F71D96">
      <w:pPr>
        <w:pStyle w:val="Heading1"/>
        <w:keepLines/>
        <w:numPr>
          <w:ilvl w:val="0"/>
          <w:numId w:val="3"/>
        </w:numPr>
        <w:spacing w:before="240"/>
        <w:ind w:left="709" w:hanging="709"/>
        <w:rPr>
          <w:sz w:val="32"/>
          <w:szCs w:val="32"/>
        </w:rPr>
      </w:pPr>
      <w:bookmarkStart w:id="1" w:name="_GoBack"/>
      <w:r w:rsidRPr="00505718">
        <w:rPr>
          <w:sz w:val="32"/>
          <w:szCs w:val="32"/>
        </w:rPr>
        <w:lastRenderedPageBreak/>
        <w:t>Context for Decision</w:t>
      </w:r>
    </w:p>
    <w:bookmarkEnd w:id="1"/>
    <w:p w:rsidR="00B936FB" w:rsidRPr="007129F2" w:rsidRDefault="00B936FB" w:rsidP="00F71D96">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936FB" w:rsidRPr="00F71D96" w:rsidRDefault="00B936FB" w:rsidP="00F71D96">
      <w:pPr>
        <w:pStyle w:val="Heading1"/>
        <w:keepLines/>
        <w:numPr>
          <w:ilvl w:val="0"/>
          <w:numId w:val="3"/>
        </w:numPr>
        <w:spacing w:before="240"/>
        <w:ind w:left="709" w:hanging="709"/>
        <w:rPr>
          <w:b w:val="0"/>
          <w:sz w:val="32"/>
          <w:szCs w:val="32"/>
        </w:rPr>
      </w:pPr>
      <w:r w:rsidRPr="00505718">
        <w:rPr>
          <w:sz w:val="32"/>
          <w:szCs w:val="32"/>
        </w:rPr>
        <w:t xml:space="preserve"> Sponsor’s Comment</w:t>
      </w:r>
    </w:p>
    <w:p w:rsidR="00B936FB" w:rsidRPr="003714D2" w:rsidRDefault="0043005D" w:rsidP="00F71D96">
      <w:pPr>
        <w:ind w:left="709"/>
        <w:rPr>
          <w:rFonts w:asciiTheme="minorHAnsi" w:hAnsiTheme="minorHAnsi" w:cstheme="minorHAnsi"/>
          <w:snapToGrid w:val="0"/>
          <w:color w:val="365F91" w:themeColor="accent1" w:themeShade="BF"/>
          <w:lang w:eastAsia="en-US"/>
        </w:rPr>
      </w:pPr>
      <w:r w:rsidRPr="0043005D">
        <w:rPr>
          <w:rFonts w:asciiTheme="minorHAnsi" w:hAnsiTheme="minorHAnsi" w:cs="Arial"/>
          <w:bCs/>
          <w:lang w:val="en-GB"/>
        </w:rPr>
        <w:t>Gedeon Richter welcomes the positive recommendation for Terrosa and will now work with the PBAC on the next steps of the process.</w:t>
      </w:r>
    </w:p>
    <w:sectPr w:rsidR="00B936FB" w:rsidRPr="003714D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96" w:rsidRDefault="00F71D96">
      <w:r>
        <w:separator/>
      </w:r>
    </w:p>
    <w:p w:rsidR="00F71D96" w:rsidRDefault="00F71D96"/>
  </w:endnote>
  <w:endnote w:type="continuationSeparator" w:id="0">
    <w:p w:rsidR="00F71D96" w:rsidRDefault="00F71D96">
      <w:r>
        <w:continuationSeparator/>
      </w:r>
    </w:p>
    <w:p w:rsidR="00F71D96" w:rsidRDefault="00F71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52C02" w:rsidTr="005A3173">
      <w:trPr>
        <w:trHeight w:val="151"/>
      </w:trPr>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c>
        <w:tcPr>
          <w:tcW w:w="500" w:type="pct"/>
          <w:vMerge w:val="restart"/>
          <w:noWrap/>
          <w:vAlign w:val="center"/>
          <w:hideMark/>
        </w:tcPr>
        <w:p w:rsidR="00452C02" w:rsidRPr="005A3173" w:rsidRDefault="00452C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r>
    <w:tr w:rsidR="00452C02" w:rsidTr="005A3173">
      <w:trPr>
        <w:trHeight w:val="150"/>
      </w:trPr>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c>
        <w:tcPr>
          <w:tcW w:w="0" w:type="auto"/>
          <w:vMerge/>
          <w:vAlign w:val="center"/>
          <w:hideMark/>
        </w:tcPr>
        <w:p w:rsidR="00452C02" w:rsidRPr="005A3173" w:rsidRDefault="00452C02" w:rsidP="005A3173">
          <w:pPr>
            <w:rPr>
              <w:color w:val="365F91"/>
              <w:sz w:val="22"/>
              <w:szCs w:val="22"/>
            </w:rPr>
          </w:pPr>
        </w:p>
      </w:tc>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r>
  </w:tbl>
  <w:p w:rsidR="00452C02" w:rsidRDefault="00452C0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2C02" w:rsidRDefault="00452C02">
    <w:pPr>
      <w:pStyle w:val="Footer"/>
    </w:pPr>
  </w:p>
  <w:p w:rsidR="00452C02" w:rsidRDefault="00452C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C02" w:rsidRDefault="00452C02">
    <w:pPr>
      <w:pStyle w:val="Footer"/>
      <w:jc w:val="center"/>
    </w:pPr>
  </w:p>
  <w:p w:rsidR="00452C02" w:rsidRDefault="00452C02">
    <w:pPr>
      <w:pStyle w:val="Footer"/>
      <w:jc w:val="center"/>
    </w:pPr>
    <w:r>
      <w:t xml:space="preserve"> </w:t>
    </w:r>
    <w:sdt>
      <w:sdtPr>
        <w:id w:val="963322020"/>
        <w:docPartObj>
          <w:docPartGallery w:val="Page Numbers (Bottom of Page)"/>
          <w:docPartUnique/>
        </w:docPartObj>
      </w:sdtPr>
      <w:sdtEndPr>
        <w:rPr>
          <w:noProof/>
        </w:rPr>
      </w:sdtEndPr>
      <w:sdtContent>
        <w:r w:rsidRPr="00553E8C">
          <w:rPr>
            <w:b/>
          </w:rPr>
          <w:fldChar w:fldCharType="begin"/>
        </w:r>
        <w:r w:rsidRPr="00553E8C">
          <w:rPr>
            <w:b/>
          </w:rPr>
          <w:instrText xml:space="preserve"> PAGE   \* MERGEFORMAT </w:instrText>
        </w:r>
        <w:r w:rsidRPr="00553E8C">
          <w:rPr>
            <w:b/>
          </w:rPr>
          <w:fldChar w:fldCharType="separate"/>
        </w:r>
        <w:r w:rsidR="00F05819">
          <w:rPr>
            <w:b/>
            <w:noProof/>
          </w:rPr>
          <w:t>8</w:t>
        </w:r>
        <w:r w:rsidRPr="00553E8C">
          <w:rPr>
            <w:b/>
            <w:noProof/>
          </w:rPr>
          <w:fldChar w:fldCharType="end"/>
        </w:r>
      </w:sdtContent>
    </w:sdt>
  </w:p>
  <w:p w:rsidR="00452C02" w:rsidRPr="006369A5" w:rsidRDefault="00452C02"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52C02" w:rsidTr="005A3173">
      <w:trPr>
        <w:trHeight w:val="151"/>
      </w:trPr>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c>
        <w:tcPr>
          <w:tcW w:w="500" w:type="pct"/>
          <w:vMerge w:val="restart"/>
          <w:noWrap/>
          <w:vAlign w:val="center"/>
          <w:hideMark/>
        </w:tcPr>
        <w:p w:rsidR="00452C02" w:rsidRPr="005A3173" w:rsidRDefault="00452C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r>
    <w:tr w:rsidR="00452C02" w:rsidTr="005A3173">
      <w:trPr>
        <w:trHeight w:val="150"/>
      </w:trPr>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c>
        <w:tcPr>
          <w:tcW w:w="0" w:type="auto"/>
          <w:vMerge/>
          <w:vAlign w:val="center"/>
          <w:hideMark/>
        </w:tcPr>
        <w:p w:rsidR="00452C02" w:rsidRPr="005A3173" w:rsidRDefault="00452C02" w:rsidP="005A3173">
          <w:pPr>
            <w:rPr>
              <w:color w:val="365F91"/>
              <w:sz w:val="22"/>
              <w:szCs w:val="22"/>
            </w:rPr>
          </w:pPr>
        </w:p>
      </w:tc>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52C02" w:rsidTr="005A3173">
      <w:trPr>
        <w:trHeight w:val="151"/>
      </w:trPr>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c>
        <w:tcPr>
          <w:tcW w:w="500" w:type="pct"/>
          <w:vMerge w:val="restart"/>
          <w:noWrap/>
          <w:vAlign w:val="center"/>
          <w:hideMark/>
        </w:tcPr>
        <w:p w:rsidR="00452C02" w:rsidRPr="005A3173" w:rsidRDefault="00452C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2C02" w:rsidRPr="005A3173" w:rsidRDefault="00452C02" w:rsidP="005A3173">
          <w:pPr>
            <w:pStyle w:val="Header"/>
            <w:spacing w:line="276" w:lineRule="auto"/>
            <w:rPr>
              <w:rFonts w:eastAsia="MS Gothic"/>
              <w:b/>
              <w:bCs/>
              <w:color w:val="4F81BD"/>
            </w:rPr>
          </w:pPr>
        </w:p>
      </w:tc>
    </w:tr>
    <w:tr w:rsidR="00452C02" w:rsidTr="005A3173">
      <w:trPr>
        <w:trHeight w:val="150"/>
      </w:trPr>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c>
        <w:tcPr>
          <w:tcW w:w="0" w:type="auto"/>
          <w:vMerge/>
          <w:vAlign w:val="center"/>
          <w:hideMark/>
        </w:tcPr>
        <w:p w:rsidR="00452C02" w:rsidRPr="005A3173" w:rsidRDefault="00452C02" w:rsidP="005A3173">
          <w:pPr>
            <w:rPr>
              <w:color w:val="365F91"/>
              <w:sz w:val="22"/>
              <w:szCs w:val="22"/>
            </w:rPr>
          </w:pPr>
        </w:p>
      </w:tc>
      <w:tc>
        <w:tcPr>
          <w:tcW w:w="2250" w:type="pct"/>
          <w:tcBorders>
            <w:top w:val="single" w:sz="4" w:space="0" w:color="4F81BD"/>
            <w:left w:val="nil"/>
            <w:bottom w:val="nil"/>
            <w:right w:val="nil"/>
          </w:tcBorders>
        </w:tcPr>
        <w:p w:rsidR="00452C02" w:rsidRPr="005A3173" w:rsidRDefault="00452C02" w:rsidP="005A3173">
          <w:pPr>
            <w:pStyle w:val="Header"/>
            <w:spacing w:line="276" w:lineRule="auto"/>
            <w:rPr>
              <w:rFonts w:eastAsia="MS Gothic"/>
              <w:b/>
              <w:bCs/>
              <w:color w:val="4F81BD"/>
            </w:rPr>
          </w:pPr>
        </w:p>
      </w:tc>
    </w:tr>
  </w:tbl>
  <w:p w:rsidR="00452C02" w:rsidRPr="007C0F57" w:rsidRDefault="00452C0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452C02" w:rsidRPr="007C0F57" w:rsidRDefault="00452C02" w:rsidP="007C0F57">
    <w:pPr>
      <w:pStyle w:val="Footer"/>
      <w:jc w:val="center"/>
      <w:rPr>
        <w:b/>
        <w:i/>
        <w:sz w:val="20"/>
        <w:szCs w:val="20"/>
      </w:rPr>
    </w:pPr>
    <w:r w:rsidRPr="007C0F57">
      <w:rPr>
        <w:b/>
        <w:i/>
        <w:sz w:val="20"/>
        <w:szCs w:val="20"/>
      </w:rPr>
      <w:t>Commercial-in-Confidence</w:t>
    </w:r>
  </w:p>
  <w:p w:rsidR="00452C02" w:rsidRDefault="00452C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96" w:rsidRDefault="00F71D96">
      <w:r>
        <w:separator/>
      </w:r>
    </w:p>
    <w:p w:rsidR="00F71D96" w:rsidRDefault="00F71D96"/>
  </w:footnote>
  <w:footnote w:type="continuationSeparator" w:id="0">
    <w:p w:rsidR="00F71D96" w:rsidRDefault="00F71D96">
      <w:r>
        <w:continuationSeparator/>
      </w:r>
    </w:p>
    <w:p w:rsidR="00F71D96" w:rsidRDefault="00F71D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52C02" w:rsidRPr="008E0D90" w:rsidTr="00A06225">
      <w:trPr>
        <w:trHeight w:val="151"/>
      </w:trPr>
      <w:tc>
        <w:tcPr>
          <w:tcW w:w="2389" w:type="pct"/>
          <w:tcBorders>
            <w:top w:val="nil"/>
            <w:left w:val="nil"/>
            <w:bottom w:val="single" w:sz="4" w:space="0" w:color="4F81BD"/>
            <w:right w:val="nil"/>
          </w:tcBorders>
        </w:tcPr>
        <w:p w:rsidR="00452C02" w:rsidRPr="00A06225" w:rsidRDefault="00452C02">
          <w:pPr>
            <w:pStyle w:val="Header"/>
            <w:spacing w:line="276" w:lineRule="auto"/>
            <w:rPr>
              <w:rFonts w:ascii="Cambria" w:eastAsia="MS Gothic" w:hAnsi="Cambria"/>
              <w:b/>
              <w:bCs/>
              <w:color w:val="4F81BD"/>
            </w:rPr>
          </w:pPr>
        </w:p>
      </w:tc>
      <w:tc>
        <w:tcPr>
          <w:tcW w:w="333" w:type="pct"/>
          <w:vMerge w:val="restart"/>
          <w:noWrap/>
          <w:vAlign w:val="center"/>
          <w:hideMark/>
        </w:tcPr>
        <w:p w:rsidR="00452C02" w:rsidRPr="00A06225" w:rsidRDefault="00452C0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52C02" w:rsidRPr="00A06225" w:rsidRDefault="00452C02">
          <w:pPr>
            <w:pStyle w:val="Header"/>
            <w:spacing w:line="276" w:lineRule="auto"/>
            <w:rPr>
              <w:rFonts w:ascii="Cambria" w:eastAsia="MS Gothic" w:hAnsi="Cambria"/>
              <w:b/>
              <w:bCs/>
              <w:color w:val="4F81BD"/>
            </w:rPr>
          </w:pPr>
        </w:p>
      </w:tc>
    </w:tr>
    <w:tr w:rsidR="00452C02" w:rsidRPr="008E0D90" w:rsidTr="00A06225">
      <w:trPr>
        <w:trHeight w:val="150"/>
      </w:trPr>
      <w:tc>
        <w:tcPr>
          <w:tcW w:w="2389" w:type="pct"/>
          <w:tcBorders>
            <w:top w:val="single" w:sz="4" w:space="0" w:color="4F81BD"/>
            <w:left w:val="nil"/>
            <w:bottom w:val="nil"/>
            <w:right w:val="nil"/>
          </w:tcBorders>
        </w:tcPr>
        <w:p w:rsidR="00452C02" w:rsidRPr="00A06225" w:rsidRDefault="00452C02">
          <w:pPr>
            <w:pStyle w:val="Header"/>
            <w:spacing w:line="276" w:lineRule="auto"/>
            <w:rPr>
              <w:rFonts w:ascii="Cambria" w:eastAsia="MS Gothic" w:hAnsi="Cambria"/>
              <w:b/>
              <w:bCs/>
              <w:color w:val="4F81BD"/>
            </w:rPr>
          </w:pPr>
        </w:p>
      </w:tc>
      <w:tc>
        <w:tcPr>
          <w:tcW w:w="0" w:type="auto"/>
          <w:vMerge/>
          <w:vAlign w:val="center"/>
          <w:hideMark/>
        </w:tcPr>
        <w:p w:rsidR="00452C02" w:rsidRPr="00A06225" w:rsidRDefault="00452C02">
          <w:pPr>
            <w:rPr>
              <w:rFonts w:ascii="Cambria" w:hAnsi="Cambria"/>
              <w:color w:val="4F81BD"/>
              <w:sz w:val="22"/>
              <w:szCs w:val="22"/>
            </w:rPr>
          </w:pPr>
        </w:p>
      </w:tc>
      <w:tc>
        <w:tcPr>
          <w:tcW w:w="2278" w:type="pct"/>
          <w:tcBorders>
            <w:top w:val="single" w:sz="4" w:space="0" w:color="4F81BD"/>
            <w:left w:val="nil"/>
            <w:bottom w:val="nil"/>
            <w:right w:val="nil"/>
          </w:tcBorders>
        </w:tcPr>
        <w:p w:rsidR="00452C02" w:rsidRPr="00A06225" w:rsidRDefault="00452C02">
          <w:pPr>
            <w:pStyle w:val="Header"/>
            <w:spacing w:line="276" w:lineRule="auto"/>
            <w:rPr>
              <w:rFonts w:ascii="Cambria" w:eastAsia="MS Gothic" w:hAnsi="Cambria"/>
              <w:b/>
              <w:bCs/>
              <w:color w:val="4F81BD"/>
            </w:rPr>
          </w:pPr>
        </w:p>
      </w:tc>
    </w:tr>
  </w:tbl>
  <w:p w:rsidR="00452C02" w:rsidRDefault="00452C02">
    <w:pPr>
      <w:pStyle w:val="Header"/>
    </w:pPr>
  </w:p>
  <w:p w:rsidR="00452C02" w:rsidRDefault="00452C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C02" w:rsidRPr="006369A5" w:rsidRDefault="00B936FB" w:rsidP="006369A5">
    <w:pPr>
      <w:pStyle w:val="MinorOVRHeader"/>
      <w:jc w:val="center"/>
      <w:rPr>
        <w:i/>
        <w:noProof/>
      </w:rPr>
    </w:pPr>
    <w:r>
      <w:rPr>
        <w:i/>
      </w:rPr>
      <w:t>Public Summary Document</w:t>
    </w:r>
    <w:r w:rsidR="00452C02" w:rsidRPr="006369A5">
      <w:rPr>
        <w:i/>
      </w:rPr>
      <w:t>– March 2021 PBAC Meeting</w:t>
    </w:r>
  </w:p>
  <w:p w:rsidR="00452C02" w:rsidRDefault="00452C02"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19" w:rsidRDefault="00F0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C090001"/>
    <w:lvl w:ilvl="0">
      <w:start w:val="1"/>
      <w:numFmt w:val="bullet"/>
      <w:lvlText w:val=""/>
      <w:lvlJc w:val="left"/>
      <w:pPr>
        <w:ind w:left="720" w:hanging="360"/>
      </w:pPr>
      <w:rPr>
        <w:rFonts w:ascii="Symbol" w:hAnsi="Symbol" w:hint="default"/>
      </w:r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323AB"/>
    <w:multiLevelType w:val="hybridMultilevel"/>
    <w:tmpl w:val="3EE8D676"/>
    <w:lvl w:ilvl="0" w:tplc="0C090001">
      <w:start w:val="1"/>
      <w:numFmt w:val="bullet"/>
      <w:lvlText w:val=""/>
      <w:lvlJc w:val="left"/>
      <w:pPr>
        <w:ind w:left="1440" w:hanging="360"/>
      </w:pPr>
      <w:rPr>
        <w:rFonts w:ascii="Symbol" w:hAnsi="Symbol" w:hint="default"/>
        <w:color w:val="00000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05263D43"/>
    <w:multiLevelType w:val="hybridMultilevel"/>
    <w:tmpl w:val="C72A4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130BD"/>
    <w:multiLevelType w:val="multilevel"/>
    <w:tmpl w:val="F224D7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369FA"/>
    <w:multiLevelType w:val="hybridMultilevel"/>
    <w:tmpl w:val="EBF23BCA"/>
    <w:lvl w:ilvl="0" w:tplc="0C090001">
      <w:start w:val="1"/>
      <w:numFmt w:val="bullet"/>
      <w:lvlText w:val=""/>
      <w:lvlJc w:val="left"/>
      <w:pPr>
        <w:ind w:left="1440" w:hanging="360"/>
      </w:pPr>
      <w:rPr>
        <w:rFonts w:ascii="Symbol" w:hAnsi="Symbol" w:hint="default"/>
        <w:color w:val="00000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142623AB"/>
    <w:multiLevelType w:val="hybridMultilevel"/>
    <w:tmpl w:val="2CBA3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0D727B"/>
    <w:multiLevelType w:val="hybridMultilevel"/>
    <w:tmpl w:val="416E8B20"/>
    <w:lvl w:ilvl="0" w:tplc="0C090001">
      <w:start w:val="1"/>
      <w:numFmt w:val="bullet"/>
      <w:lvlText w:val=""/>
      <w:lvlJc w:val="left"/>
      <w:pPr>
        <w:ind w:left="1440" w:hanging="360"/>
      </w:pPr>
      <w:rPr>
        <w:rFonts w:ascii="Symbol" w:hAnsi="Symbol" w:hint="default"/>
      </w:rPr>
    </w:lvl>
    <w:lvl w:ilvl="1" w:tplc="BC708982">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B219F8"/>
    <w:multiLevelType w:val="hybridMultilevel"/>
    <w:tmpl w:val="8EAE16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918C1B2">
      <w:start w:val="1"/>
      <w:numFmt w:val="bullet"/>
      <w:lvlText w:val="-"/>
      <w:lvlJc w:val="left"/>
      <w:pPr>
        <w:ind w:left="2160" w:hanging="360"/>
      </w:pPr>
      <w:rPr>
        <w:rFonts w:ascii="Calibri" w:eastAsiaTheme="minorHAnsi" w:hAnsi="Calibri" w:cs="Calibri"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34AE6"/>
    <w:multiLevelType w:val="multilevel"/>
    <w:tmpl w:val="34622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1794C25"/>
    <w:multiLevelType w:val="hybridMultilevel"/>
    <w:tmpl w:val="01EE6A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26E6798B"/>
    <w:multiLevelType w:val="hybridMultilevel"/>
    <w:tmpl w:val="1F263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5" w15:restartNumberingAfterBreak="0">
    <w:nsid w:val="3F747E1A"/>
    <w:multiLevelType w:val="hybridMultilevel"/>
    <w:tmpl w:val="F34A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8453C4"/>
    <w:multiLevelType w:val="hybridMultilevel"/>
    <w:tmpl w:val="3886BD74"/>
    <w:lvl w:ilvl="0" w:tplc="374810B4">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E710A4"/>
    <w:multiLevelType w:val="hybridMultilevel"/>
    <w:tmpl w:val="B664909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0F563DD"/>
    <w:multiLevelType w:val="hybridMultilevel"/>
    <w:tmpl w:val="3DFEA29C"/>
    <w:lvl w:ilvl="0" w:tplc="F06A9A7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45511A"/>
    <w:multiLevelType w:val="hybridMultilevel"/>
    <w:tmpl w:val="8B6631D0"/>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CB65EE9"/>
    <w:multiLevelType w:val="hybridMultilevel"/>
    <w:tmpl w:val="D86E7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3125BBC"/>
    <w:multiLevelType w:val="hybridMultilevel"/>
    <w:tmpl w:val="109208D2"/>
    <w:lvl w:ilvl="0" w:tplc="0C090001">
      <w:start w:val="1"/>
      <w:numFmt w:val="bullet"/>
      <w:lvlText w:val=""/>
      <w:lvlJc w:val="left"/>
      <w:pPr>
        <w:ind w:left="1440" w:hanging="360"/>
      </w:pPr>
      <w:rPr>
        <w:rFonts w:ascii="Symbol" w:hAnsi="Symbol" w:hint="default"/>
        <w:color w:val="00000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3"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C00572"/>
    <w:multiLevelType w:val="hybridMultilevel"/>
    <w:tmpl w:val="146CECD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0"/>
  </w:num>
  <w:num w:numId="3">
    <w:abstractNumId w:val="23"/>
  </w:num>
  <w:num w:numId="4">
    <w:abstractNumId w:val="18"/>
  </w:num>
  <w:num w:numId="5">
    <w:abstractNumId w:val="25"/>
  </w:num>
  <w:num w:numId="6">
    <w:abstractNumId w:val="20"/>
  </w:num>
  <w:num w:numId="7">
    <w:abstractNumId w:val="17"/>
  </w:num>
  <w:num w:numId="8">
    <w:abstractNumId w:val="14"/>
  </w:num>
  <w:num w:numId="9">
    <w:abstractNumId w:val="1"/>
  </w:num>
  <w:num w:numId="10">
    <w:abstractNumId w:val="23"/>
  </w:num>
  <w:num w:numId="11">
    <w:abstractNumId w:val="23"/>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4"/>
    <w:lvlOverride w:ilvl="0"/>
    <w:lvlOverride w:ilvl="1">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3"/>
  </w:num>
  <w:num w:numId="22">
    <w:abstractNumId w:val="15"/>
  </w:num>
  <w:num w:numId="23">
    <w:abstractNumId w:val="24"/>
  </w:num>
  <w:num w:numId="24">
    <w:abstractNumId w:val="11"/>
  </w:num>
  <w:num w:numId="25">
    <w:abstractNumId w:val="19"/>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1"/>
  </w:num>
  <w:num w:numId="33">
    <w:abstractNumId w:val="7"/>
  </w:num>
  <w:num w:numId="34">
    <w:abstractNumId w:val="23"/>
  </w:num>
  <w:num w:numId="35">
    <w:abstractNumId w:val="13"/>
  </w:num>
  <w:num w:numId="36">
    <w:abstractNumId w:val="16"/>
  </w:num>
  <w:num w:numId="37">
    <w:abstractNumId w:val="23"/>
  </w:num>
  <w:num w:numId="38">
    <w:abstractNumId w:val="23"/>
  </w:num>
  <w:num w:numId="39">
    <w:abstractNumId w:val="23"/>
  </w:num>
  <w:num w:numId="4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E7C"/>
    <w:rsid w:val="00006CB1"/>
    <w:rsid w:val="00011A59"/>
    <w:rsid w:val="00016A41"/>
    <w:rsid w:val="000214D1"/>
    <w:rsid w:val="00022AEC"/>
    <w:rsid w:val="0002464A"/>
    <w:rsid w:val="00030B97"/>
    <w:rsid w:val="0003106B"/>
    <w:rsid w:val="00034905"/>
    <w:rsid w:val="00035B7E"/>
    <w:rsid w:val="000421A1"/>
    <w:rsid w:val="0004240E"/>
    <w:rsid w:val="00045E26"/>
    <w:rsid w:val="000502EE"/>
    <w:rsid w:val="000514B5"/>
    <w:rsid w:val="00056A8B"/>
    <w:rsid w:val="00060E64"/>
    <w:rsid w:val="00066755"/>
    <w:rsid w:val="000763D5"/>
    <w:rsid w:val="00077143"/>
    <w:rsid w:val="00082169"/>
    <w:rsid w:val="000918CB"/>
    <w:rsid w:val="00091B06"/>
    <w:rsid w:val="000951C4"/>
    <w:rsid w:val="00095ADA"/>
    <w:rsid w:val="00096461"/>
    <w:rsid w:val="000969AD"/>
    <w:rsid w:val="000A275D"/>
    <w:rsid w:val="000A3695"/>
    <w:rsid w:val="000A3AA2"/>
    <w:rsid w:val="000A44B2"/>
    <w:rsid w:val="000A52F6"/>
    <w:rsid w:val="000B44C3"/>
    <w:rsid w:val="000B558D"/>
    <w:rsid w:val="000C0C98"/>
    <w:rsid w:val="000C5F95"/>
    <w:rsid w:val="000C6996"/>
    <w:rsid w:val="000D09E9"/>
    <w:rsid w:val="000D113F"/>
    <w:rsid w:val="000D23BA"/>
    <w:rsid w:val="000E5CE2"/>
    <w:rsid w:val="000E5EA1"/>
    <w:rsid w:val="000E681E"/>
    <w:rsid w:val="000F0003"/>
    <w:rsid w:val="000F11CD"/>
    <w:rsid w:val="000F3384"/>
    <w:rsid w:val="000F4E6A"/>
    <w:rsid w:val="000F7354"/>
    <w:rsid w:val="00101ABE"/>
    <w:rsid w:val="00102202"/>
    <w:rsid w:val="00104227"/>
    <w:rsid w:val="001107BF"/>
    <w:rsid w:val="001120B5"/>
    <w:rsid w:val="0011350D"/>
    <w:rsid w:val="00113649"/>
    <w:rsid w:val="001174AA"/>
    <w:rsid w:val="00120B03"/>
    <w:rsid w:val="0012417C"/>
    <w:rsid w:val="0012749D"/>
    <w:rsid w:val="00141BAD"/>
    <w:rsid w:val="00142395"/>
    <w:rsid w:val="00142714"/>
    <w:rsid w:val="001452ED"/>
    <w:rsid w:val="00147D84"/>
    <w:rsid w:val="001549C1"/>
    <w:rsid w:val="00162BDD"/>
    <w:rsid w:val="00162D4E"/>
    <w:rsid w:val="00163329"/>
    <w:rsid w:val="00164623"/>
    <w:rsid w:val="001652DE"/>
    <w:rsid w:val="00165B64"/>
    <w:rsid w:val="00176B9D"/>
    <w:rsid w:val="00180713"/>
    <w:rsid w:val="00180720"/>
    <w:rsid w:val="001830CE"/>
    <w:rsid w:val="001836E3"/>
    <w:rsid w:val="0018643B"/>
    <w:rsid w:val="00194F9B"/>
    <w:rsid w:val="00196307"/>
    <w:rsid w:val="001A33EA"/>
    <w:rsid w:val="001A4C4F"/>
    <w:rsid w:val="001A76FB"/>
    <w:rsid w:val="001B017F"/>
    <w:rsid w:val="001B2BBC"/>
    <w:rsid w:val="001B3A40"/>
    <w:rsid w:val="001B3FFE"/>
    <w:rsid w:val="001B5129"/>
    <w:rsid w:val="001B5593"/>
    <w:rsid w:val="001C0B4C"/>
    <w:rsid w:val="001C0F99"/>
    <w:rsid w:val="001C1195"/>
    <w:rsid w:val="001C2E42"/>
    <w:rsid w:val="001D1F5F"/>
    <w:rsid w:val="001D3F71"/>
    <w:rsid w:val="001D6B5F"/>
    <w:rsid w:val="001D6D9A"/>
    <w:rsid w:val="001E05D2"/>
    <w:rsid w:val="001E06D2"/>
    <w:rsid w:val="001E4ED7"/>
    <w:rsid w:val="001E7246"/>
    <w:rsid w:val="001F005B"/>
    <w:rsid w:val="001F03C7"/>
    <w:rsid w:val="001F1850"/>
    <w:rsid w:val="001F1C0E"/>
    <w:rsid w:val="001F3189"/>
    <w:rsid w:val="002036D0"/>
    <w:rsid w:val="00203FAC"/>
    <w:rsid w:val="00207742"/>
    <w:rsid w:val="00210BA0"/>
    <w:rsid w:val="00213CFB"/>
    <w:rsid w:val="0021553C"/>
    <w:rsid w:val="0021557B"/>
    <w:rsid w:val="002174FD"/>
    <w:rsid w:val="00217BE1"/>
    <w:rsid w:val="00231AD1"/>
    <w:rsid w:val="00234252"/>
    <w:rsid w:val="00237AC6"/>
    <w:rsid w:val="00237B39"/>
    <w:rsid w:val="00244490"/>
    <w:rsid w:val="00245B9C"/>
    <w:rsid w:val="00253499"/>
    <w:rsid w:val="002551A4"/>
    <w:rsid w:val="00257664"/>
    <w:rsid w:val="002602DC"/>
    <w:rsid w:val="002614E0"/>
    <w:rsid w:val="00265151"/>
    <w:rsid w:val="00265C2C"/>
    <w:rsid w:val="00266509"/>
    <w:rsid w:val="00271BA1"/>
    <w:rsid w:val="002762FA"/>
    <w:rsid w:val="00276C19"/>
    <w:rsid w:val="00277505"/>
    <w:rsid w:val="00281C16"/>
    <w:rsid w:val="002823B6"/>
    <w:rsid w:val="002925B6"/>
    <w:rsid w:val="00294274"/>
    <w:rsid w:val="0029458F"/>
    <w:rsid w:val="002A0E04"/>
    <w:rsid w:val="002A104C"/>
    <w:rsid w:val="002A142D"/>
    <w:rsid w:val="002A1EF7"/>
    <w:rsid w:val="002A494D"/>
    <w:rsid w:val="002A4960"/>
    <w:rsid w:val="002A49D1"/>
    <w:rsid w:val="002B0AE0"/>
    <w:rsid w:val="002B1AE6"/>
    <w:rsid w:val="002B1D51"/>
    <w:rsid w:val="002B2DE8"/>
    <w:rsid w:val="002B30F8"/>
    <w:rsid w:val="002B388A"/>
    <w:rsid w:val="002B5596"/>
    <w:rsid w:val="002C212F"/>
    <w:rsid w:val="002C7485"/>
    <w:rsid w:val="002D283A"/>
    <w:rsid w:val="002D4543"/>
    <w:rsid w:val="002D4861"/>
    <w:rsid w:val="002E0545"/>
    <w:rsid w:val="002E1A3F"/>
    <w:rsid w:val="002E3153"/>
    <w:rsid w:val="002E5292"/>
    <w:rsid w:val="002E5434"/>
    <w:rsid w:val="002E72CA"/>
    <w:rsid w:val="002F600D"/>
    <w:rsid w:val="002F62A8"/>
    <w:rsid w:val="00300AD6"/>
    <w:rsid w:val="00300B1B"/>
    <w:rsid w:val="003019D0"/>
    <w:rsid w:val="00302D5D"/>
    <w:rsid w:val="003064AF"/>
    <w:rsid w:val="00310B68"/>
    <w:rsid w:val="0031306C"/>
    <w:rsid w:val="00316595"/>
    <w:rsid w:val="00317C6C"/>
    <w:rsid w:val="00320CD3"/>
    <w:rsid w:val="00324715"/>
    <w:rsid w:val="00326E79"/>
    <w:rsid w:val="003301B1"/>
    <w:rsid w:val="00330C79"/>
    <w:rsid w:val="00331189"/>
    <w:rsid w:val="0033263D"/>
    <w:rsid w:val="003339E9"/>
    <w:rsid w:val="0033518A"/>
    <w:rsid w:val="003367EF"/>
    <w:rsid w:val="00341AE4"/>
    <w:rsid w:val="00345282"/>
    <w:rsid w:val="003476EE"/>
    <w:rsid w:val="003514B9"/>
    <w:rsid w:val="003541DD"/>
    <w:rsid w:val="00355D13"/>
    <w:rsid w:val="00356E5B"/>
    <w:rsid w:val="00360D54"/>
    <w:rsid w:val="00366C3A"/>
    <w:rsid w:val="003714D2"/>
    <w:rsid w:val="003736C9"/>
    <w:rsid w:val="003803CE"/>
    <w:rsid w:val="00384988"/>
    <w:rsid w:val="003872CF"/>
    <w:rsid w:val="0039782C"/>
    <w:rsid w:val="003A5B4A"/>
    <w:rsid w:val="003A5D95"/>
    <w:rsid w:val="003A61C1"/>
    <w:rsid w:val="003B0974"/>
    <w:rsid w:val="003B23C5"/>
    <w:rsid w:val="003B2A75"/>
    <w:rsid w:val="003B6124"/>
    <w:rsid w:val="003C093A"/>
    <w:rsid w:val="003C1ECF"/>
    <w:rsid w:val="003C2FB5"/>
    <w:rsid w:val="003C3E7B"/>
    <w:rsid w:val="003C5565"/>
    <w:rsid w:val="003D24C5"/>
    <w:rsid w:val="003D42F7"/>
    <w:rsid w:val="003D4AC4"/>
    <w:rsid w:val="003D63B7"/>
    <w:rsid w:val="003D74C5"/>
    <w:rsid w:val="003E0C37"/>
    <w:rsid w:val="003E468B"/>
    <w:rsid w:val="003E62BD"/>
    <w:rsid w:val="003F0C3A"/>
    <w:rsid w:val="003F24B2"/>
    <w:rsid w:val="003F3228"/>
    <w:rsid w:val="003F5C8C"/>
    <w:rsid w:val="003F63CE"/>
    <w:rsid w:val="003F775A"/>
    <w:rsid w:val="00400E55"/>
    <w:rsid w:val="0040128E"/>
    <w:rsid w:val="0040216B"/>
    <w:rsid w:val="00413A1A"/>
    <w:rsid w:val="004252EC"/>
    <w:rsid w:val="004266A2"/>
    <w:rsid w:val="0043005D"/>
    <w:rsid w:val="00430332"/>
    <w:rsid w:val="004307E0"/>
    <w:rsid w:val="00430D39"/>
    <w:rsid w:val="004332D2"/>
    <w:rsid w:val="00437412"/>
    <w:rsid w:val="004465BD"/>
    <w:rsid w:val="00446938"/>
    <w:rsid w:val="004471F0"/>
    <w:rsid w:val="00452C02"/>
    <w:rsid w:val="004564DC"/>
    <w:rsid w:val="00461A44"/>
    <w:rsid w:val="00466ADA"/>
    <w:rsid w:val="004702BB"/>
    <w:rsid w:val="0047494B"/>
    <w:rsid w:val="00476245"/>
    <w:rsid w:val="00477A9B"/>
    <w:rsid w:val="00483035"/>
    <w:rsid w:val="00484821"/>
    <w:rsid w:val="00485940"/>
    <w:rsid w:val="004904B9"/>
    <w:rsid w:val="00496662"/>
    <w:rsid w:val="004A1D9B"/>
    <w:rsid w:val="004A2484"/>
    <w:rsid w:val="004A5A85"/>
    <w:rsid w:val="004A71D1"/>
    <w:rsid w:val="004A7C5B"/>
    <w:rsid w:val="004B1845"/>
    <w:rsid w:val="004B2348"/>
    <w:rsid w:val="004B2E98"/>
    <w:rsid w:val="004B5640"/>
    <w:rsid w:val="004C03D0"/>
    <w:rsid w:val="004C1BD7"/>
    <w:rsid w:val="004C31FE"/>
    <w:rsid w:val="004C524C"/>
    <w:rsid w:val="004C5FFA"/>
    <w:rsid w:val="004C691D"/>
    <w:rsid w:val="004C6C07"/>
    <w:rsid w:val="004C7E15"/>
    <w:rsid w:val="004D4CD5"/>
    <w:rsid w:val="004D4FF6"/>
    <w:rsid w:val="004D6333"/>
    <w:rsid w:val="004E1566"/>
    <w:rsid w:val="004E692D"/>
    <w:rsid w:val="004E7D87"/>
    <w:rsid w:val="004F2553"/>
    <w:rsid w:val="004F5F4F"/>
    <w:rsid w:val="00501554"/>
    <w:rsid w:val="00502AFE"/>
    <w:rsid w:val="00503AD7"/>
    <w:rsid w:val="00504E0C"/>
    <w:rsid w:val="00505718"/>
    <w:rsid w:val="0050701E"/>
    <w:rsid w:val="005109D4"/>
    <w:rsid w:val="00514CD7"/>
    <w:rsid w:val="00516549"/>
    <w:rsid w:val="00520D6A"/>
    <w:rsid w:val="00522DB6"/>
    <w:rsid w:val="00522F81"/>
    <w:rsid w:val="00524BA3"/>
    <w:rsid w:val="0052792D"/>
    <w:rsid w:val="005319B2"/>
    <w:rsid w:val="00532402"/>
    <w:rsid w:val="00532C74"/>
    <w:rsid w:val="00534E2E"/>
    <w:rsid w:val="00544552"/>
    <w:rsid w:val="00545130"/>
    <w:rsid w:val="0055286A"/>
    <w:rsid w:val="00553E8C"/>
    <w:rsid w:val="00555745"/>
    <w:rsid w:val="00557D4F"/>
    <w:rsid w:val="0056484E"/>
    <w:rsid w:val="00566665"/>
    <w:rsid w:val="00575CB3"/>
    <w:rsid w:val="005764CD"/>
    <w:rsid w:val="00577C4D"/>
    <w:rsid w:val="00580532"/>
    <w:rsid w:val="00581932"/>
    <w:rsid w:val="00584AD6"/>
    <w:rsid w:val="005956F0"/>
    <w:rsid w:val="005963BB"/>
    <w:rsid w:val="005A3173"/>
    <w:rsid w:val="005A3223"/>
    <w:rsid w:val="005A3DA3"/>
    <w:rsid w:val="005A52C4"/>
    <w:rsid w:val="005A63A1"/>
    <w:rsid w:val="005B7C70"/>
    <w:rsid w:val="005C3A54"/>
    <w:rsid w:val="005C4F73"/>
    <w:rsid w:val="005D03AB"/>
    <w:rsid w:val="005D5017"/>
    <w:rsid w:val="005D63FA"/>
    <w:rsid w:val="005E0D82"/>
    <w:rsid w:val="005E1333"/>
    <w:rsid w:val="005E3136"/>
    <w:rsid w:val="005E507D"/>
    <w:rsid w:val="005F264E"/>
    <w:rsid w:val="00601A91"/>
    <w:rsid w:val="00602BA3"/>
    <w:rsid w:val="00605B63"/>
    <w:rsid w:val="00605F9A"/>
    <w:rsid w:val="00606EED"/>
    <w:rsid w:val="006111A8"/>
    <w:rsid w:val="00612E34"/>
    <w:rsid w:val="00614159"/>
    <w:rsid w:val="00616C5F"/>
    <w:rsid w:val="00616DAC"/>
    <w:rsid w:val="00617C00"/>
    <w:rsid w:val="00622444"/>
    <w:rsid w:val="006263BF"/>
    <w:rsid w:val="0062748A"/>
    <w:rsid w:val="00630A2C"/>
    <w:rsid w:val="0063682E"/>
    <w:rsid w:val="006369A5"/>
    <w:rsid w:val="00642DA8"/>
    <w:rsid w:val="006436CD"/>
    <w:rsid w:val="00646CC8"/>
    <w:rsid w:val="00651169"/>
    <w:rsid w:val="00653D69"/>
    <w:rsid w:val="006552E6"/>
    <w:rsid w:val="00655794"/>
    <w:rsid w:val="00657C63"/>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CF2"/>
    <w:rsid w:val="006A12A5"/>
    <w:rsid w:val="006A18AD"/>
    <w:rsid w:val="006A5E20"/>
    <w:rsid w:val="006B0D94"/>
    <w:rsid w:val="006B2B72"/>
    <w:rsid w:val="006B485D"/>
    <w:rsid w:val="006C0C45"/>
    <w:rsid w:val="006C334C"/>
    <w:rsid w:val="006C708E"/>
    <w:rsid w:val="006C7ABF"/>
    <w:rsid w:val="006D14E7"/>
    <w:rsid w:val="006D4444"/>
    <w:rsid w:val="006D6493"/>
    <w:rsid w:val="006D6EC7"/>
    <w:rsid w:val="006E1BCD"/>
    <w:rsid w:val="006F0A71"/>
    <w:rsid w:val="006F40C2"/>
    <w:rsid w:val="006F5125"/>
    <w:rsid w:val="006F733D"/>
    <w:rsid w:val="00702B6F"/>
    <w:rsid w:val="00706A2F"/>
    <w:rsid w:val="0070718E"/>
    <w:rsid w:val="0071013F"/>
    <w:rsid w:val="00710259"/>
    <w:rsid w:val="0071031F"/>
    <w:rsid w:val="00712AEC"/>
    <w:rsid w:val="0071340B"/>
    <w:rsid w:val="00715BBB"/>
    <w:rsid w:val="007174BB"/>
    <w:rsid w:val="0072025D"/>
    <w:rsid w:val="00723328"/>
    <w:rsid w:val="007239B6"/>
    <w:rsid w:val="0073137C"/>
    <w:rsid w:val="00734E53"/>
    <w:rsid w:val="007353D3"/>
    <w:rsid w:val="0074156B"/>
    <w:rsid w:val="00743C95"/>
    <w:rsid w:val="00747092"/>
    <w:rsid w:val="007555E8"/>
    <w:rsid w:val="00761985"/>
    <w:rsid w:val="0076420C"/>
    <w:rsid w:val="00771D07"/>
    <w:rsid w:val="00773BE3"/>
    <w:rsid w:val="007743DD"/>
    <w:rsid w:val="00774E2C"/>
    <w:rsid w:val="007751BD"/>
    <w:rsid w:val="007753C2"/>
    <w:rsid w:val="00780179"/>
    <w:rsid w:val="007806B3"/>
    <w:rsid w:val="007819CF"/>
    <w:rsid w:val="007838B8"/>
    <w:rsid w:val="00785D4A"/>
    <w:rsid w:val="007915BA"/>
    <w:rsid w:val="00794260"/>
    <w:rsid w:val="007B3DDC"/>
    <w:rsid w:val="007B72A6"/>
    <w:rsid w:val="007C0F57"/>
    <w:rsid w:val="007C40B6"/>
    <w:rsid w:val="007C729F"/>
    <w:rsid w:val="007D0681"/>
    <w:rsid w:val="007D503D"/>
    <w:rsid w:val="007E1D28"/>
    <w:rsid w:val="007F0021"/>
    <w:rsid w:val="007F2641"/>
    <w:rsid w:val="007F7C36"/>
    <w:rsid w:val="008032A7"/>
    <w:rsid w:val="00806796"/>
    <w:rsid w:val="00811CC0"/>
    <w:rsid w:val="008151D6"/>
    <w:rsid w:val="00821527"/>
    <w:rsid w:val="00822696"/>
    <w:rsid w:val="008243A5"/>
    <w:rsid w:val="008268BB"/>
    <w:rsid w:val="00826F6D"/>
    <w:rsid w:val="00827444"/>
    <w:rsid w:val="008306F3"/>
    <w:rsid w:val="00830E40"/>
    <w:rsid w:val="00835C62"/>
    <w:rsid w:val="00846056"/>
    <w:rsid w:val="00847E54"/>
    <w:rsid w:val="00847EC0"/>
    <w:rsid w:val="0085360C"/>
    <w:rsid w:val="00855FD6"/>
    <w:rsid w:val="00856DDD"/>
    <w:rsid w:val="008610F2"/>
    <w:rsid w:val="00863E68"/>
    <w:rsid w:val="008647B5"/>
    <w:rsid w:val="00872F09"/>
    <w:rsid w:val="00875DCB"/>
    <w:rsid w:val="00882085"/>
    <w:rsid w:val="00883188"/>
    <w:rsid w:val="00897D58"/>
    <w:rsid w:val="00897F22"/>
    <w:rsid w:val="008A0B39"/>
    <w:rsid w:val="008A1956"/>
    <w:rsid w:val="008A1B02"/>
    <w:rsid w:val="008A3B1A"/>
    <w:rsid w:val="008A4937"/>
    <w:rsid w:val="008A50F1"/>
    <w:rsid w:val="008A59D9"/>
    <w:rsid w:val="008A6819"/>
    <w:rsid w:val="008A6B91"/>
    <w:rsid w:val="008A76CA"/>
    <w:rsid w:val="008B2EC0"/>
    <w:rsid w:val="008C6998"/>
    <w:rsid w:val="008D0514"/>
    <w:rsid w:val="008D1B5C"/>
    <w:rsid w:val="008D2752"/>
    <w:rsid w:val="008D3C82"/>
    <w:rsid w:val="008D447E"/>
    <w:rsid w:val="008D753F"/>
    <w:rsid w:val="008D7A41"/>
    <w:rsid w:val="008E05EF"/>
    <w:rsid w:val="008E2C72"/>
    <w:rsid w:val="008E3680"/>
    <w:rsid w:val="008E41EC"/>
    <w:rsid w:val="008E5870"/>
    <w:rsid w:val="008E589D"/>
    <w:rsid w:val="008E7F02"/>
    <w:rsid w:val="008F0213"/>
    <w:rsid w:val="008F1434"/>
    <w:rsid w:val="008F54C3"/>
    <w:rsid w:val="008F7355"/>
    <w:rsid w:val="00901B66"/>
    <w:rsid w:val="009023DC"/>
    <w:rsid w:val="009027C5"/>
    <w:rsid w:val="0090533D"/>
    <w:rsid w:val="00906000"/>
    <w:rsid w:val="009067B7"/>
    <w:rsid w:val="00917D69"/>
    <w:rsid w:val="00926560"/>
    <w:rsid w:val="009266E3"/>
    <w:rsid w:val="00930937"/>
    <w:rsid w:val="009324A6"/>
    <w:rsid w:val="00933E6C"/>
    <w:rsid w:val="00937958"/>
    <w:rsid w:val="00941602"/>
    <w:rsid w:val="00942160"/>
    <w:rsid w:val="0095146F"/>
    <w:rsid w:val="00952B27"/>
    <w:rsid w:val="009552FE"/>
    <w:rsid w:val="00957944"/>
    <w:rsid w:val="009602C5"/>
    <w:rsid w:val="00962223"/>
    <w:rsid w:val="00966D0D"/>
    <w:rsid w:val="0096783C"/>
    <w:rsid w:val="009722B3"/>
    <w:rsid w:val="00974C21"/>
    <w:rsid w:val="00975948"/>
    <w:rsid w:val="00977BF3"/>
    <w:rsid w:val="009803E4"/>
    <w:rsid w:val="00980B0E"/>
    <w:rsid w:val="009836A3"/>
    <w:rsid w:val="009855A8"/>
    <w:rsid w:val="00985A09"/>
    <w:rsid w:val="009913F4"/>
    <w:rsid w:val="00991782"/>
    <w:rsid w:val="00992CD9"/>
    <w:rsid w:val="0099465B"/>
    <w:rsid w:val="009951A1"/>
    <w:rsid w:val="009A0CDD"/>
    <w:rsid w:val="009A3168"/>
    <w:rsid w:val="009A533B"/>
    <w:rsid w:val="009A61CA"/>
    <w:rsid w:val="009B0C64"/>
    <w:rsid w:val="009B0F67"/>
    <w:rsid w:val="009B30D1"/>
    <w:rsid w:val="009C703C"/>
    <w:rsid w:val="009D08CA"/>
    <w:rsid w:val="009D206E"/>
    <w:rsid w:val="009D3CAA"/>
    <w:rsid w:val="009D627D"/>
    <w:rsid w:val="009D6532"/>
    <w:rsid w:val="009D666E"/>
    <w:rsid w:val="009E20BE"/>
    <w:rsid w:val="009E2E8E"/>
    <w:rsid w:val="009E40E1"/>
    <w:rsid w:val="009F0EFA"/>
    <w:rsid w:val="009F1850"/>
    <w:rsid w:val="009F4E46"/>
    <w:rsid w:val="009F5B65"/>
    <w:rsid w:val="009F5F2E"/>
    <w:rsid w:val="00A01432"/>
    <w:rsid w:val="00A06225"/>
    <w:rsid w:val="00A128E6"/>
    <w:rsid w:val="00A144D3"/>
    <w:rsid w:val="00A22AC3"/>
    <w:rsid w:val="00A23F3F"/>
    <w:rsid w:val="00A24067"/>
    <w:rsid w:val="00A258C5"/>
    <w:rsid w:val="00A2744D"/>
    <w:rsid w:val="00A34E6C"/>
    <w:rsid w:val="00A36398"/>
    <w:rsid w:val="00A37C8D"/>
    <w:rsid w:val="00A4020E"/>
    <w:rsid w:val="00A40FB5"/>
    <w:rsid w:val="00A42826"/>
    <w:rsid w:val="00A429B3"/>
    <w:rsid w:val="00A43716"/>
    <w:rsid w:val="00A46E65"/>
    <w:rsid w:val="00A510E4"/>
    <w:rsid w:val="00A5273B"/>
    <w:rsid w:val="00A53A9D"/>
    <w:rsid w:val="00A55C56"/>
    <w:rsid w:val="00A55FEE"/>
    <w:rsid w:val="00A57422"/>
    <w:rsid w:val="00A57D89"/>
    <w:rsid w:val="00A62C1A"/>
    <w:rsid w:val="00A6426D"/>
    <w:rsid w:val="00A665C1"/>
    <w:rsid w:val="00A673A4"/>
    <w:rsid w:val="00A7001A"/>
    <w:rsid w:val="00A70622"/>
    <w:rsid w:val="00A70977"/>
    <w:rsid w:val="00A70D58"/>
    <w:rsid w:val="00A744F9"/>
    <w:rsid w:val="00A77613"/>
    <w:rsid w:val="00A81851"/>
    <w:rsid w:val="00A8390C"/>
    <w:rsid w:val="00A859F4"/>
    <w:rsid w:val="00A86AE0"/>
    <w:rsid w:val="00A87C49"/>
    <w:rsid w:val="00A91A0B"/>
    <w:rsid w:val="00A92264"/>
    <w:rsid w:val="00A928BD"/>
    <w:rsid w:val="00A97DE9"/>
    <w:rsid w:val="00AA12CD"/>
    <w:rsid w:val="00AA4D1C"/>
    <w:rsid w:val="00AA52FD"/>
    <w:rsid w:val="00AB5856"/>
    <w:rsid w:val="00AC193C"/>
    <w:rsid w:val="00AC4DE5"/>
    <w:rsid w:val="00AC5206"/>
    <w:rsid w:val="00AC6003"/>
    <w:rsid w:val="00AD23EC"/>
    <w:rsid w:val="00AD284A"/>
    <w:rsid w:val="00AD4322"/>
    <w:rsid w:val="00AE11A5"/>
    <w:rsid w:val="00AE13E2"/>
    <w:rsid w:val="00AE22D3"/>
    <w:rsid w:val="00AE5A49"/>
    <w:rsid w:val="00AF62DF"/>
    <w:rsid w:val="00AF68CC"/>
    <w:rsid w:val="00AF70D7"/>
    <w:rsid w:val="00B06478"/>
    <w:rsid w:val="00B07CFB"/>
    <w:rsid w:val="00B1059E"/>
    <w:rsid w:val="00B16273"/>
    <w:rsid w:val="00B170A5"/>
    <w:rsid w:val="00B176C8"/>
    <w:rsid w:val="00B17EE5"/>
    <w:rsid w:val="00B205AA"/>
    <w:rsid w:val="00B22E84"/>
    <w:rsid w:val="00B233AD"/>
    <w:rsid w:val="00B23E25"/>
    <w:rsid w:val="00B25F75"/>
    <w:rsid w:val="00B26B3F"/>
    <w:rsid w:val="00B2778F"/>
    <w:rsid w:val="00B33635"/>
    <w:rsid w:val="00B35FC3"/>
    <w:rsid w:val="00B37ACF"/>
    <w:rsid w:val="00B42AF4"/>
    <w:rsid w:val="00B43E90"/>
    <w:rsid w:val="00B467DC"/>
    <w:rsid w:val="00B56118"/>
    <w:rsid w:val="00B6773F"/>
    <w:rsid w:val="00B7073C"/>
    <w:rsid w:val="00B70EB3"/>
    <w:rsid w:val="00B737F5"/>
    <w:rsid w:val="00B7525E"/>
    <w:rsid w:val="00B760FB"/>
    <w:rsid w:val="00B767AB"/>
    <w:rsid w:val="00B801BA"/>
    <w:rsid w:val="00B84D5C"/>
    <w:rsid w:val="00B936FB"/>
    <w:rsid w:val="00B94464"/>
    <w:rsid w:val="00BA2DA8"/>
    <w:rsid w:val="00BA347C"/>
    <w:rsid w:val="00BA354B"/>
    <w:rsid w:val="00BA7B5C"/>
    <w:rsid w:val="00BB49F9"/>
    <w:rsid w:val="00BB5C49"/>
    <w:rsid w:val="00BB6240"/>
    <w:rsid w:val="00BB69F5"/>
    <w:rsid w:val="00BB7EC3"/>
    <w:rsid w:val="00BC4B9A"/>
    <w:rsid w:val="00BD02C3"/>
    <w:rsid w:val="00BD7483"/>
    <w:rsid w:val="00BD784C"/>
    <w:rsid w:val="00BE020A"/>
    <w:rsid w:val="00BE13DF"/>
    <w:rsid w:val="00BF092C"/>
    <w:rsid w:val="00BF27A0"/>
    <w:rsid w:val="00BF4CB6"/>
    <w:rsid w:val="00C00DA7"/>
    <w:rsid w:val="00C04CDE"/>
    <w:rsid w:val="00C07DA9"/>
    <w:rsid w:val="00C12768"/>
    <w:rsid w:val="00C12D70"/>
    <w:rsid w:val="00C21B09"/>
    <w:rsid w:val="00C2673A"/>
    <w:rsid w:val="00C27A44"/>
    <w:rsid w:val="00C27B58"/>
    <w:rsid w:val="00C33186"/>
    <w:rsid w:val="00C35996"/>
    <w:rsid w:val="00C4747E"/>
    <w:rsid w:val="00C5151E"/>
    <w:rsid w:val="00C52F11"/>
    <w:rsid w:val="00C5342C"/>
    <w:rsid w:val="00C53B2B"/>
    <w:rsid w:val="00C60272"/>
    <w:rsid w:val="00C603D4"/>
    <w:rsid w:val="00C6256A"/>
    <w:rsid w:val="00C710E2"/>
    <w:rsid w:val="00C71C3F"/>
    <w:rsid w:val="00C73E70"/>
    <w:rsid w:val="00C7409E"/>
    <w:rsid w:val="00C74D6D"/>
    <w:rsid w:val="00C755FB"/>
    <w:rsid w:val="00C76E76"/>
    <w:rsid w:val="00C77891"/>
    <w:rsid w:val="00C91449"/>
    <w:rsid w:val="00C92D10"/>
    <w:rsid w:val="00CA48D9"/>
    <w:rsid w:val="00CA5B03"/>
    <w:rsid w:val="00CA5B5A"/>
    <w:rsid w:val="00CB1193"/>
    <w:rsid w:val="00CB4767"/>
    <w:rsid w:val="00CB493D"/>
    <w:rsid w:val="00CB53BA"/>
    <w:rsid w:val="00CC3B97"/>
    <w:rsid w:val="00CE10C4"/>
    <w:rsid w:val="00CE27B5"/>
    <w:rsid w:val="00CE6DAF"/>
    <w:rsid w:val="00CF196A"/>
    <w:rsid w:val="00CF410A"/>
    <w:rsid w:val="00CF471F"/>
    <w:rsid w:val="00D0321E"/>
    <w:rsid w:val="00D07A6E"/>
    <w:rsid w:val="00D07A8A"/>
    <w:rsid w:val="00D11B0C"/>
    <w:rsid w:val="00D13AAB"/>
    <w:rsid w:val="00D1455A"/>
    <w:rsid w:val="00D14A70"/>
    <w:rsid w:val="00D16D39"/>
    <w:rsid w:val="00D219D3"/>
    <w:rsid w:val="00D22093"/>
    <w:rsid w:val="00D22DC8"/>
    <w:rsid w:val="00D25C0F"/>
    <w:rsid w:val="00D31150"/>
    <w:rsid w:val="00D3138B"/>
    <w:rsid w:val="00D3280C"/>
    <w:rsid w:val="00D32B83"/>
    <w:rsid w:val="00D3406A"/>
    <w:rsid w:val="00D34D20"/>
    <w:rsid w:val="00D40B11"/>
    <w:rsid w:val="00D441F1"/>
    <w:rsid w:val="00D4572C"/>
    <w:rsid w:val="00D469B2"/>
    <w:rsid w:val="00D47AAC"/>
    <w:rsid w:val="00D529ED"/>
    <w:rsid w:val="00D54B09"/>
    <w:rsid w:val="00D55057"/>
    <w:rsid w:val="00D61CCF"/>
    <w:rsid w:val="00D6243E"/>
    <w:rsid w:val="00D65658"/>
    <w:rsid w:val="00D72B6F"/>
    <w:rsid w:val="00D741EB"/>
    <w:rsid w:val="00D7679C"/>
    <w:rsid w:val="00D820F3"/>
    <w:rsid w:val="00D83605"/>
    <w:rsid w:val="00D84934"/>
    <w:rsid w:val="00D91271"/>
    <w:rsid w:val="00D919F5"/>
    <w:rsid w:val="00D94F03"/>
    <w:rsid w:val="00DA0A82"/>
    <w:rsid w:val="00DA0D14"/>
    <w:rsid w:val="00DA1FC9"/>
    <w:rsid w:val="00DA2609"/>
    <w:rsid w:val="00DA2CB5"/>
    <w:rsid w:val="00DA4BAC"/>
    <w:rsid w:val="00DB0151"/>
    <w:rsid w:val="00DC2C3E"/>
    <w:rsid w:val="00DC3137"/>
    <w:rsid w:val="00DC4880"/>
    <w:rsid w:val="00DE6D27"/>
    <w:rsid w:val="00DF01F8"/>
    <w:rsid w:val="00DF145E"/>
    <w:rsid w:val="00DF217D"/>
    <w:rsid w:val="00DF26A7"/>
    <w:rsid w:val="00DF3277"/>
    <w:rsid w:val="00DF5FF4"/>
    <w:rsid w:val="00DF7919"/>
    <w:rsid w:val="00E00A73"/>
    <w:rsid w:val="00E01AC4"/>
    <w:rsid w:val="00E0207E"/>
    <w:rsid w:val="00E03912"/>
    <w:rsid w:val="00E078D9"/>
    <w:rsid w:val="00E07940"/>
    <w:rsid w:val="00E10293"/>
    <w:rsid w:val="00E15627"/>
    <w:rsid w:val="00E164B3"/>
    <w:rsid w:val="00E16910"/>
    <w:rsid w:val="00E178C0"/>
    <w:rsid w:val="00E24E09"/>
    <w:rsid w:val="00E27234"/>
    <w:rsid w:val="00E3495C"/>
    <w:rsid w:val="00E42030"/>
    <w:rsid w:val="00E42BDB"/>
    <w:rsid w:val="00E50931"/>
    <w:rsid w:val="00E51151"/>
    <w:rsid w:val="00E57EEB"/>
    <w:rsid w:val="00E629C6"/>
    <w:rsid w:val="00E62D94"/>
    <w:rsid w:val="00E64F37"/>
    <w:rsid w:val="00E65091"/>
    <w:rsid w:val="00E65E54"/>
    <w:rsid w:val="00E661C7"/>
    <w:rsid w:val="00E80155"/>
    <w:rsid w:val="00E8134B"/>
    <w:rsid w:val="00E81E0D"/>
    <w:rsid w:val="00E81F28"/>
    <w:rsid w:val="00E848C0"/>
    <w:rsid w:val="00E8646B"/>
    <w:rsid w:val="00E91B96"/>
    <w:rsid w:val="00E93D1E"/>
    <w:rsid w:val="00E941A1"/>
    <w:rsid w:val="00E954AD"/>
    <w:rsid w:val="00E95CE3"/>
    <w:rsid w:val="00EA252F"/>
    <w:rsid w:val="00EA2825"/>
    <w:rsid w:val="00EA6518"/>
    <w:rsid w:val="00EA7466"/>
    <w:rsid w:val="00EA7EDE"/>
    <w:rsid w:val="00EB0B63"/>
    <w:rsid w:val="00EB1936"/>
    <w:rsid w:val="00EB37BE"/>
    <w:rsid w:val="00EB5088"/>
    <w:rsid w:val="00ED1644"/>
    <w:rsid w:val="00ED2593"/>
    <w:rsid w:val="00ED37D1"/>
    <w:rsid w:val="00ED7D55"/>
    <w:rsid w:val="00ED7D9C"/>
    <w:rsid w:val="00EE1AA3"/>
    <w:rsid w:val="00EE31A2"/>
    <w:rsid w:val="00EF0069"/>
    <w:rsid w:val="00EF2EBE"/>
    <w:rsid w:val="00EF44A0"/>
    <w:rsid w:val="00EF4FED"/>
    <w:rsid w:val="00EF6FB3"/>
    <w:rsid w:val="00F007C6"/>
    <w:rsid w:val="00F0172E"/>
    <w:rsid w:val="00F050BD"/>
    <w:rsid w:val="00F05657"/>
    <w:rsid w:val="00F05819"/>
    <w:rsid w:val="00F07236"/>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46F04"/>
    <w:rsid w:val="00F5007E"/>
    <w:rsid w:val="00F50EC4"/>
    <w:rsid w:val="00F52232"/>
    <w:rsid w:val="00F52DB7"/>
    <w:rsid w:val="00F547A0"/>
    <w:rsid w:val="00F550CF"/>
    <w:rsid w:val="00F57A6D"/>
    <w:rsid w:val="00F638CC"/>
    <w:rsid w:val="00F64C9E"/>
    <w:rsid w:val="00F64CC1"/>
    <w:rsid w:val="00F71D96"/>
    <w:rsid w:val="00F72317"/>
    <w:rsid w:val="00F80475"/>
    <w:rsid w:val="00F8247A"/>
    <w:rsid w:val="00F82E5C"/>
    <w:rsid w:val="00F91D40"/>
    <w:rsid w:val="00F9629A"/>
    <w:rsid w:val="00F97EFC"/>
    <w:rsid w:val="00FA1BDD"/>
    <w:rsid w:val="00FA305C"/>
    <w:rsid w:val="00FA3EF4"/>
    <w:rsid w:val="00FA4DD5"/>
    <w:rsid w:val="00FA513B"/>
    <w:rsid w:val="00FA5883"/>
    <w:rsid w:val="00FA6055"/>
    <w:rsid w:val="00FB0B39"/>
    <w:rsid w:val="00FB322F"/>
    <w:rsid w:val="00FB442F"/>
    <w:rsid w:val="00FC118C"/>
    <w:rsid w:val="00FC1929"/>
    <w:rsid w:val="00FC5B46"/>
    <w:rsid w:val="00FD04E2"/>
    <w:rsid w:val="00FD3D18"/>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NormalWeb">
    <w:name w:val="Normal (Web)"/>
    <w:basedOn w:val="Normal"/>
    <w:uiPriority w:val="99"/>
    <w:unhideWhenUsed/>
    <w:rsid w:val="00D61CCF"/>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D61CCF"/>
    <w:rPr>
      <w:b/>
      <w:bCs/>
    </w:rPr>
  </w:style>
  <w:style w:type="paragraph" w:customStyle="1" w:styleId="Default">
    <w:name w:val="Default"/>
    <w:rsid w:val="00022AEC"/>
    <w:pPr>
      <w:autoSpaceDE w:val="0"/>
      <w:autoSpaceDN w:val="0"/>
      <w:adjustRightInd w:val="0"/>
    </w:pPr>
    <w:rPr>
      <w:rFonts w:ascii="Calibri" w:hAnsi="Calibri" w:cs="Calibri"/>
      <w:color w:val="000000"/>
      <w:sz w:val="24"/>
      <w:szCs w:val="24"/>
    </w:rPr>
  </w:style>
  <w:style w:type="paragraph" w:styleId="Revision">
    <w:name w:val="Revision"/>
    <w:hidden/>
    <w:uiPriority w:val="71"/>
    <w:semiHidden/>
    <w:rsid w:val="003514B9"/>
    <w:rPr>
      <w:rFonts w:ascii="Calibri" w:hAnsi="Calibri"/>
      <w:sz w:val="24"/>
      <w:szCs w:val="24"/>
    </w:rPr>
  </w:style>
  <w:style w:type="character" w:customStyle="1" w:styleId="form-strength">
    <w:name w:val="form-strength"/>
    <w:basedOn w:val="DefaultParagraphFont"/>
    <w:rsid w:val="00794260"/>
  </w:style>
  <w:style w:type="character" w:customStyle="1" w:styleId="text-widget3">
    <w:name w:val="text-widget3"/>
    <w:basedOn w:val="DefaultParagraphFont"/>
    <w:rsid w:val="0036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176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4960281">
      <w:bodyDiv w:val="1"/>
      <w:marLeft w:val="0"/>
      <w:marRight w:val="0"/>
      <w:marTop w:val="0"/>
      <w:marBottom w:val="0"/>
      <w:divBdr>
        <w:top w:val="none" w:sz="0" w:space="0" w:color="auto"/>
        <w:left w:val="none" w:sz="0" w:space="0" w:color="auto"/>
        <w:bottom w:val="none" w:sz="0" w:space="0" w:color="auto"/>
        <w:right w:val="none" w:sz="0" w:space="0" w:color="auto"/>
      </w:divBdr>
      <w:divsChild>
        <w:div w:id="1010178875">
          <w:marLeft w:val="0"/>
          <w:marRight w:val="0"/>
          <w:marTop w:val="0"/>
          <w:marBottom w:val="0"/>
          <w:divBdr>
            <w:top w:val="none" w:sz="0" w:space="0" w:color="auto"/>
            <w:left w:val="none" w:sz="0" w:space="0" w:color="auto"/>
            <w:bottom w:val="none" w:sz="0" w:space="0" w:color="auto"/>
            <w:right w:val="none" w:sz="0" w:space="0" w:color="auto"/>
          </w:divBdr>
          <w:divsChild>
            <w:div w:id="533005440">
              <w:marLeft w:val="0"/>
              <w:marRight w:val="0"/>
              <w:marTop w:val="0"/>
              <w:marBottom w:val="0"/>
              <w:divBdr>
                <w:top w:val="none" w:sz="0" w:space="0" w:color="auto"/>
                <w:left w:val="none" w:sz="0" w:space="0" w:color="auto"/>
                <w:bottom w:val="none" w:sz="0" w:space="0" w:color="auto"/>
                <w:right w:val="none" w:sz="0" w:space="0" w:color="auto"/>
              </w:divBdr>
              <w:divsChild>
                <w:div w:id="7829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327">
          <w:marLeft w:val="0"/>
          <w:marRight w:val="0"/>
          <w:marTop w:val="0"/>
          <w:marBottom w:val="0"/>
          <w:divBdr>
            <w:top w:val="none" w:sz="0" w:space="0" w:color="auto"/>
            <w:left w:val="none" w:sz="0" w:space="0" w:color="auto"/>
            <w:bottom w:val="none" w:sz="0" w:space="0" w:color="auto"/>
            <w:right w:val="none" w:sz="0" w:space="0" w:color="auto"/>
          </w:divBdr>
          <w:divsChild>
            <w:div w:id="93786239">
              <w:marLeft w:val="0"/>
              <w:marRight w:val="0"/>
              <w:marTop w:val="0"/>
              <w:marBottom w:val="0"/>
              <w:divBdr>
                <w:top w:val="none" w:sz="0" w:space="0" w:color="auto"/>
                <w:left w:val="none" w:sz="0" w:space="0" w:color="auto"/>
                <w:bottom w:val="none" w:sz="0" w:space="0" w:color="auto"/>
                <w:right w:val="none" w:sz="0" w:space="0" w:color="auto"/>
              </w:divBdr>
              <w:divsChild>
                <w:div w:id="7570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9146">
          <w:marLeft w:val="0"/>
          <w:marRight w:val="0"/>
          <w:marTop w:val="0"/>
          <w:marBottom w:val="0"/>
          <w:divBdr>
            <w:top w:val="none" w:sz="0" w:space="0" w:color="auto"/>
            <w:left w:val="none" w:sz="0" w:space="0" w:color="auto"/>
            <w:bottom w:val="none" w:sz="0" w:space="0" w:color="auto"/>
            <w:right w:val="none" w:sz="0" w:space="0" w:color="auto"/>
          </w:divBdr>
          <w:divsChild>
            <w:div w:id="1537426922">
              <w:marLeft w:val="0"/>
              <w:marRight w:val="0"/>
              <w:marTop w:val="0"/>
              <w:marBottom w:val="0"/>
              <w:divBdr>
                <w:top w:val="none" w:sz="0" w:space="0" w:color="auto"/>
                <w:left w:val="none" w:sz="0" w:space="0" w:color="auto"/>
                <w:bottom w:val="none" w:sz="0" w:space="0" w:color="auto"/>
                <w:right w:val="none" w:sz="0" w:space="0" w:color="auto"/>
              </w:divBdr>
              <w:divsChild>
                <w:div w:id="2931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3830">
          <w:marLeft w:val="0"/>
          <w:marRight w:val="0"/>
          <w:marTop w:val="0"/>
          <w:marBottom w:val="0"/>
          <w:divBdr>
            <w:top w:val="none" w:sz="0" w:space="0" w:color="auto"/>
            <w:left w:val="none" w:sz="0" w:space="0" w:color="auto"/>
            <w:bottom w:val="none" w:sz="0" w:space="0" w:color="auto"/>
            <w:right w:val="none" w:sz="0" w:space="0" w:color="auto"/>
          </w:divBdr>
          <w:divsChild>
            <w:div w:id="1636524197">
              <w:marLeft w:val="0"/>
              <w:marRight w:val="0"/>
              <w:marTop w:val="0"/>
              <w:marBottom w:val="0"/>
              <w:divBdr>
                <w:top w:val="none" w:sz="0" w:space="0" w:color="auto"/>
                <w:left w:val="none" w:sz="0" w:space="0" w:color="auto"/>
                <w:bottom w:val="none" w:sz="0" w:space="0" w:color="auto"/>
                <w:right w:val="none" w:sz="0" w:space="0" w:color="auto"/>
              </w:divBdr>
              <w:divsChild>
                <w:div w:id="17449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868">
          <w:marLeft w:val="0"/>
          <w:marRight w:val="0"/>
          <w:marTop w:val="0"/>
          <w:marBottom w:val="0"/>
          <w:divBdr>
            <w:top w:val="none" w:sz="0" w:space="0" w:color="auto"/>
            <w:left w:val="none" w:sz="0" w:space="0" w:color="auto"/>
            <w:bottom w:val="none" w:sz="0" w:space="0" w:color="auto"/>
            <w:right w:val="none" w:sz="0" w:space="0" w:color="auto"/>
          </w:divBdr>
          <w:divsChild>
            <w:div w:id="1672638403">
              <w:marLeft w:val="0"/>
              <w:marRight w:val="0"/>
              <w:marTop w:val="0"/>
              <w:marBottom w:val="0"/>
              <w:divBdr>
                <w:top w:val="none" w:sz="0" w:space="0" w:color="auto"/>
                <w:left w:val="none" w:sz="0" w:space="0" w:color="auto"/>
                <w:bottom w:val="none" w:sz="0" w:space="0" w:color="auto"/>
                <w:right w:val="none" w:sz="0" w:space="0" w:color="auto"/>
              </w:divBdr>
              <w:divsChild>
                <w:div w:id="175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9889">
          <w:marLeft w:val="0"/>
          <w:marRight w:val="0"/>
          <w:marTop w:val="0"/>
          <w:marBottom w:val="0"/>
          <w:divBdr>
            <w:top w:val="none" w:sz="0" w:space="0" w:color="auto"/>
            <w:left w:val="none" w:sz="0" w:space="0" w:color="auto"/>
            <w:bottom w:val="none" w:sz="0" w:space="0" w:color="auto"/>
            <w:right w:val="none" w:sz="0" w:space="0" w:color="auto"/>
          </w:divBdr>
          <w:divsChild>
            <w:div w:id="819690098">
              <w:marLeft w:val="0"/>
              <w:marRight w:val="0"/>
              <w:marTop w:val="0"/>
              <w:marBottom w:val="0"/>
              <w:divBdr>
                <w:top w:val="none" w:sz="0" w:space="0" w:color="auto"/>
                <w:left w:val="none" w:sz="0" w:space="0" w:color="auto"/>
                <w:bottom w:val="none" w:sz="0" w:space="0" w:color="auto"/>
                <w:right w:val="none" w:sz="0" w:space="0" w:color="auto"/>
              </w:divBdr>
              <w:divsChild>
                <w:div w:id="1531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16">
          <w:marLeft w:val="0"/>
          <w:marRight w:val="0"/>
          <w:marTop w:val="0"/>
          <w:marBottom w:val="0"/>
          <w:divBdr>
            <w:top w:val="none" w:sz="0" w:space="0" w:color="auto"/>
            <w:left w:val="none" w:sz="0" w:space="0" w:color="auto"/>
            <w:bottom w:val="none" w:sz="0" w:space="0" w:color="auto"/>
            <w:right w:val="none" w:sz="0" w:space="0" w:color="auto"/>
          </w:divBdr>
          <w:divsChild>
            <w:div w:id="776604056">
              <w:marLeft w:val="0"/>
              <w:marRight w:val="0"/>
              <w:marTop w:val="0"/>
              <w:marBottom w:val="0"/>
              <w:divBdr>
                <w:top w:val="none" w:sz="0" w:space="0" w:color="auto"/>
                <w:left w:val="none" w:sz="0" w:space="0" w:color="auto"/>
                <w:bottom w:val="none" w:sz="0" w:space="0" w:color="auto"/>
                <w:right w:val="none" w:sz="0" w:space="0" w:color="auto"/>
              </w:divBdr>
              <w:divsChild>
                <w:div w:id="10113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721">
          <w:marLeft w:val="0"/>
          <w:marRight w:val="0"/>
          <w:marTop w:val="0"/>
          <w:marBottom w:val="0"/>
          <w:divBdr>
            <w:top w:val="none" w:sz="0" w:space="0" w:color="auto"/>
            <w:left w:val="none" w:sz="0" w:space="0" w:color="auto"/>
            <w:bottom w:val="none" w:sz="0" w:space="0" w:color="auto"/>
            <w:right w:val="none" w:sz="0" w:space="0" w:color="auto"/>
          </w:divBdr>
          <w:divsChild>
            <w:div w:id="970477408">
              <w:marLeft w:val="0"/>
              <w:marRight w:val="0"/>
              <w:marTop w:val="0"/>
              <w:marBottom w:val="0"/>
              <w:divBdr>
                <w:top w:val="none" w:sz="0" w:space="0" w:color="auto"/>
                <w:left w:val="none" w:sz="0" w:space="0" w:color="auto"/>
                <w:bottom w:val="none" w:sz="0" w:space="0" w:color="auto"/>
                <w:right w:val="none" w:sz="0" w:space="0" w:color="auto"/>
              </w:divBdr>
              <w:divsChild>
                <w:div w:id="11630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84141">
          <w:marLeft w:val="0"/>
          <w:marRight w:val="0"/>
          <w:marTop w:val="0"/>
          <w:marBottom w:val="0"/>
          <w:divBdr>
            <w:top w:val="none" w:sz="0" w:space="0" w:color="auto"/>
            <w:left w:val="none" w:sz="0" w:space="0" w:color="auto"/>
            <w:bottom w:val="none" w:sz="0" w:space="0" w:color="auto"/>
            <w:right w:val="none" w:sz="0" w:space="0" w:color="auto"/>
          </w:divBdr>
          <w:divsChild>
            <w:div w:id="2144151949">
              <w:marLeft w:val="0"/>
              <w:marRight w:val="0"/>
              <w:marTop w:val="0"/>
              <w:marBottom w:val="0"/>
              <w:divBdr>
                <w:top w:val="none" w:sz="0" w:space="0" w:color="auto"/>
                <w:left w:val="none" w:sz="0" w:space="0" w:color="auto"/>
                <w:bottom w:val="none" w:sz="0" w:space="0" w:color="auto"/>
                <w:right w:val="none" w:sz="0" w:space="0" w:color="auto"/>
              </w:divBdr>
              <w:divsChild>
                <w:div w:id="1650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4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7141">
          <w:marLeft w:val="0"/>
          <w:marRight w:val="0"/>
          <w:marTop w:val="0"/>
          <w:marBottom w:val="0"/>
          <w:divBdr>
            <w:top w:val="none" w:sz="0" w:space="0" w:color="auto"/>
            <w:left w:val="none" w:sz="0" w:space="0" w:color="auto"/>
            <w:bottom w:val="none" w:sz="0" w:space="0" w:color="auto"/>
            <w:right w:val="none" w:sz="0" w:space="0" w:color="auto"/>
          </w:divBdr>
          <w:divsChild>
            <w:div w:id="459735779">
              <w:marLeft w:val="0"/>
              <w:marRight w:val="0"/>
              <w:marTop w:val="0"/>
              <w:marBottom w:val="0"/>
              <w:divBdr>
                <w:top w:val="none" w:sz="0" w:space="0" w:color="auto"/>
                <w:left w:val="none" w:sz="0" w:space="0" w:color="auto"/>
                <w:bottom w:val="none" w:sz="0" w:space="0" w:color="auto"/>
                <w:right w:val="none" w:sz="0" w:space="0" w:color="auto"/>
              </w:divBdr>
              <w:divsChild>
                <w:div w:id="20395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23584">
      <w:bodyDiv w:val="1"/>
      <w:marLeft w:val="0"/>
      <w:marRight w:val="0"/>
      <w:marTop w:val="0"/>
      <w:marBottom w:val="0"/>
      <w:divBdr>
        <w:top w:val="none" w:sz="0" w:space="0" w:color="auto"/>
        <w:left w:val="none" w:sz="0" w:space="0" w:color="auto"/>
        <w:bottom w:val="none" w:sz="0" w:space="0" w:color="auto"/>
        <w:right w:val="none" w:sz="0" w:space="0" w:color="auto"/>
      </w:divBdr>
      <w:divsChild>
        <w:div w:id="2016688970">
          <w:marLeft w:val="0"/>
          <w:marRight w:val="0"/>
          <w:marTop w:val="0"/>
          <w:marBottom w:val="0"/>
          <w:divBdr>
            <w:top w:val="none" w:sz="0" w:space="0" w:color="auto"/>
            <w:left w:val="none" w:sz="0" w:space="0" w:color="auto"/>
            <w:bottom w:val="none" w:sz="0" w:space="0" w:color="auto"/>
            <w:right w:val="none" w:sz="0" w:space="0" w:color="auto"/>
          </w:divBdr>
          <w:divsChild>
            <w:div w:id="1668285290">
              <w:marLeft w:val="0"/>
              <w:marRight w:val="0"/>
              <w:marTop w:val="0"/>
              <w:marBottom w:val="0"/>
              <w:divBdr>
                <w:top w:val="none" w:sz="0" w:space="0" w:color="auto"/>
                <w:left w:val="none" w:sz="0" w:space="0" w:color="auto"/>
                <w:bottom w:val="none" w:sz="0" w:space="0" w:color="auto"/>
                <w:right w:val="none" w:sz="0" w:space="0" w:color="auto"/>
              </w:divBdr>
              <w:divsChild>
                <w:div w:id="4015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3734">
          <w:marLeft w:val="0"/>
          <w:marRight w:val="0"/>
          <w:marTop w:val="0"/>
          <w:marBottom w:val="0"/>
          <w:divBdr>
            <w:top w:val="none" w:sz="0" w:space="0" w:color="auto"/>
            <w:left w:val="none" w:sz="0" w:space="0" w:color="auto"/>
            <w:bottom w:val="none" w:sz="0" w:space="0" w:color="auto"/>
            <w:right w:val="none" w:sz="0" w:space="0" w:color="auto"/>
          </w:divBdr>
          <w:divsChild>
            <w:div w:id="35782958">
              <w:marLeft w:val="0"/>
              <w:marRight w:val="0"/>
              <w:marTop w:val="0"/>
              <w:marBottom w:val="0"/>
              <w:divBdr>
                <w:top w:val="none" w:sz="0" w:space="0" w:color="auto"/>
                <w:left w:val="none" w:sz="0" w:space="0" w:color="auto"/>
                <w:bottom w:val="none" w:sz="0" w:space="0" w:color="auto"/>
                <w:right w:val="none" w:sz="0" w:space="0" w:color="auto"/>
              </w:divBdr>
              <w:divsChild>
                <w:div w:id="5382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879">
          <w:marLeft w:val="0"/>
          <w:marRight w:val="0"/>
          <w:marTop w:val="0"/>
          <w:marBottom w:val="0"/>
          <w:divBdr>
            <w:top w:val="none" w:sz="0" w:space="0" w:color="auto"/>
            <w:left w:val="none" w:sz="0" w:space="0" w:color="auto"/>
            <w:bottom w:val="none" w:sz="0" w:space="0" w:color="auto"/>
            <w:right w:val="none" w:sz="0" w:space="0" w:color="auto"/>
          </w:divBdr>
          <w:divsChild>
            <w:div w:id="336546163">
              <w:marLeft w:val="0"/>
              <w:marRight w:val="0"/>
              <w:marTop w:val="0"/>
              <w:marBottom w:val="0"/>
              <w:divBdr>
                <w:top w:val="none" w:sz="0" w:space="0" w:color="auto"/>
                <w:left w:val="none" w:sz="0" w:space="0" w:color="auto"/>
                <w:bottom w:val="none" w:sz="0" w:space="0" w:color="auto"/>
                <w:right w:val="none" w:sz="0" w:space="0" w:color="auto"/>
              </w:divBdr>
              <w:divsChild>
                <w:div w:id="3174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715">
          <w:marLeft w:val="0"/>
          <w:marRight w:val="0"/>
          <w:marTop w:val="0"/>
          <w:marBottom w:val="0"/>
          <w:divBdr>
            <w:top w:val="none" w:sz="0" w:space="0" w:color="auto"/>
            <w:left w:val="none" w:sz="0" w:space="0" w:color="auto"/>
            <w:bottom w:val="none" w:sz="0" w:space="0" w:color="auto"/>
            <w:right w:val="none" w:sz="0" w:space="0" w:color="auto"/>
          </w:divBdr>
          <w:divsChild>
            <w:div w:id="1105030672">
              <w:marLeft w:val="0"/>
              <w:marRight w:val="0"/>
              <w:marTop w:val="0"/>
              <w:marBottom w:val="0"/>
              <w:divBdr>
                <w:top w:val="none" w:sz="0" w:space="0" w:color="auto"/>
                <w:left w:val="none" w:sz="0" w:space="0" w:color="auto"/>
                <w:bottom w:val="none" w:sz="0" w:space="0" w:color="auto"/>
                <w:right w:val="none" w:sz="0" w:space="0" w:color="auto"/>
              </w:divBdr>
              <w:divsChild>
                <w:div w:id="1962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120">
          <w:marLeft w:val="0"/>
          <w:marRight w:val="0"/>
          <w:marTop w:val="0"/>
          <w:marBottom w:val="0"/>
          <w:divBdr>
            <w:top w:val="none" w:sz="0" w:space="0" w:color="auto"/>
            <w:left w:val="none" w:sz="0" w:space="0" w:color="auto"/>
            <w:bottom w:val="none" w:sz="0" w:space="0" w:color="auto"/>
            <w:right w:val="none" w:sz="0" w:space="0" w:color="auto"/>
          </w:divBdr>
          <w:divsChild>
            <w:div w:id="1243873677">
              <w:marLeft w:val="0"/>
              <w:marRight w:val="0"/>
              <w:marTop w:val="0"/>
              <w:marBottom w:val="0"/>
              <w:divBdr>
                <w:top w:val="none" w:sz="0" w:space="0" w:color="auto"/>
                <w:left w:val="none" w:sz="0" w:space="0" w:color="auto"/>
                <w:bottom w:val="none" w:sz="0" w:space="0" w:color="auto"/>
                <w:right w:val="none" w:sz="0" w:space="0" w:color="auto"/>
              </w:divBdr>
              <w:divsChild>
                <w:div w:id="1741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183">
          <w:marLeft w:val="0"/>
          <w:marRight w:val="0"/>
          <w:marTop w:val="0"/>
          <w:marBottom w:val="0"/>
          <w:divBdr>
            <w:top w:val="none" w:sz="0" w:space="0" w:color="auto"/>
            <w:left w:val="none" w:sz="0" w:space="0" w:color="auto"/>
            <w:bottom w:val="none" w:sz="0" w:space="0" w:color="auto"/>
            <w:right w:val="none" w:sz="0" w:space="0" w:color="auto"/>
          </w:divBdr>
          <w:divsChild>
            <w:div w:id="1949464335">
              <w:marLeft w:val="0"/>
              <w:marRight w:val="0"/>
              <w:marTop w:val="0"/>
              <w:marBottom w:val="0"/>
              <w:divBdr>
                <w:top w:val="none" w:sz="0" w:space="0" w:color="auto"/>
                <w:left w:val="none" w:sz="0" w:space="0" w:color="auto"/>
                <w:bottom w:val="none" w:sz="0" w:space="0" w:color="auto"/>
                <w:right w:val="none" w:sz="0" w:space="0" w:color="auto"/>
              </w:divBdr>
              <w:divsChild>
                <w:div w:id="16230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1799">
          <w:marLeft w:val="0"/>
          <w:marRight w:val="0"/>
          <w:marTop w:val="0"/>
          <w:marBottom w:val="0"/>
          <w:divBdr>
            <w:top w:val="none" w:sz="0" w:space="0" w:color="auto"/>
            <w:left w:val="none" w:sz="0" w:space="0" w:color="auto"/>
            <w:bottom w:val="none" w:sz="0" w:space="0" w:color="auto"/>
            <w:right w:val="none" w:sz="0" w:space="0" w:color="auto"/>
          </w:divBdr>
          <w:divsChild>
            <w:div w:id="942301437">
              <w:marLeft w:val="0"/>
              <w:marRight w:val="0"/>
              <w:marTop w:val="0"/>
              <w:marBottom w:val="0"/>
              <w:divBdr>
                <w:top w:val="none" w:sz="0" w:space="0" w:color="auto"/>
                <w:left w:val="none" w:sz="0" w:space="0" w:color="auto"/>
                <w:bottom w:val="none" w:sz="0" w:space="0" w:color="auto"/>
                <w:right w:val="none" w:sz="0" w:space="0" w:color="auto"/>
              </w:divBdr>
              <w:divsChild>
                <w:div w:id="10678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8306">
          <w:marLeft w:val="0"/>
          <w:marRight w:val="0"/>
          <w:marTop w:val="0"/>
          <w:marBottom w:val="0"/>
          <w:divBdr>
            <w:top w:val="none" w:sz="0" w:space="0" w:color="auto"/>
            <w:left w:val="none" w:sz="0" w:space="0" w:color="auto"/>
            <w:bottom w:val="none" w:sz="0" w:space="0" w:color="auto"/>
            <w:right w:val="none" w:sz="0" w:space="0" w:color="auto"/>
          </w:divBdr>
          <w:divsChild>
            <w:div w:id="1152596954">
              <w:marLeft w:val="0"/>
              <w:marRight w:val="0"/>
              <w:marTop w:val="0"/>
              <w:marBottom w:val="0"/>
              <w:divBdr>
                <w:top w:val="none" w:sz="0" w:space="0" w:color="auto"/>
                <w:left w:val="none" w:sz="0" w:space="0" w:color="auto"/>
                <w:bottom w:val="none" w:sz="0" w:space="0" w:color="auto"/>
                <w:right w:val="none" w:sz="0" w:space="0" w:color="auto"/>
              </w:divBdr>
              <w:divsChild>
                <w:div w:id="13641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35703430">
      <w:bodyDiv w:val="1"/>
      <w:marLeft w:val="0"/>
      <w:marRight w:val="0"/>
      <w:marTop w:val="0"/>
      <w:marBottom w:val="0"/>
      <w:divBdr>
        <w:top w:val="none" w:sz="0" w:space="0" w:color="auto"/>
        <w:left w:val="none" w:sz="0" w:space="0" w:color="auto"/>
        <w:bottom w:val="none" w:sz="0" w:space="0" w:color="auto"/>
        <w:right w:val="none" w:sz="0" w:space="0" w:color="auto"/>
      </w:divBdr>
      <w:divsChild>
        <w:div w:id="981036566">
          <w:marLeft w:val="0"/>
          <w:marRight w:val="0"/>
          <w:marTop w:val="0"/>
          <w:marBottom w:val="0"/>
          <w:divBdr>
            <w:top w:val="none" w:sz="0" w:space="0" w:color="auto"/>
            <w:left w:val="none" w:sz="0" w:space="0" w:color="auto"/>
            <w:bottom w:val="none" w:sz="0" w:space="0" w:color="auto"/>
            <w:right w:val="none" w:sz="0" w:space="0" w:color="auto"/>
          </w:divBdr>
          <w:divsChild>
            <w:div w:id="1467625577">
              <w:marLeft w:val="0"/>
              <w:marRight w:val="0"/>
              <w:marTop w:val="0"/>
              <w:marBottom w:val="0"/>
              <w:divBdr>
                <w:top w:val="none" w:sz="0" w:space="0" w:color="auto"/>
                <w:left w:val="none" w:sz="0" w:space="0" w:color="auto"/>
                <w:bottom w:val="none" w:sz="0" w:space="0" w:color="auto"/>
                <w:right w:val="none" w:sz="0" w:space="0" w:color="auto"/>
              </w:divBdr>
              <w:divsChild>
                <w:div w:id="1457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3554">
          <w:marLeft w:val="0"/>
          <w:marRight w:val="0"/>
          <w:marTop w:val="0"/>
          <w:marBottom w:val="0"/>
          <w:divBdr>
            <w:top w:val="none" w:sz="0" w:space="0" w:color="auto"/>
            <w:left w:val="none" w:sz="0" w:space="0" w:color="auto"/>
            <w:bottom w:val="none" w:sz="0" w:space="0" w:color="auto"/>
            <w:right w:val="none" w:sz="0" w:space="0" w:color="auto"/>
          </w:divBdr>
          <w:divsChild>
            <w:div w:id="367486171">
              <w:marLeft w:val="0"/>
              <w:marRight w:val="0"/>
              <w:marTop w:val="0"/>
              <w:marBottom w:val="0"/>
              <w:divBdr>
                <w:top w:val="none" w:sz="0" w:space="0" w:color="auto"/>
                <w:left w:val="none" w:sz="0" w:space="0" w:color="auto"/>
                <w:bottom w:val="none" w:sz="0" w:space="0" w:color="auto"/>
                <w:right w:val="none" w:sz="0" w:space="0" w:color="auto"/>
              </w:divBdr>
              <w:divsChild>
                <w:div w:id="19029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410">
          <w:marLeft w:val="0"/>
          <w:marRight w:val="0"/>
          <w:marTop w:val="0"/>
          <w:marBottom w:val="0"/>
          <w:divBdr>
            <w:top w:val="none" w:sz="0" w:space="0" w:color="auto"/>
            <w:left w:val="none" w:sz="0" w:space="0" w:color="auto"/>
            <w:bottom w:val="none" w:sz="0" w:space="0" w:color="auto"/>
            <w:right w:val="none" w:sz="0" w:space="0" w:color="auto"/>
          </w:divBdr>
          <w:divsChild>
            <w:div w:id="260913662">
              <w:marLeft w:val="0"/>
              <w:marRight w:val="0"/>
              <w:marTop w:val="0"/>
              <w:marBottom w:val="0"/>
              <w:divBdr>
                <w:top w:val="none" w:sz="0" w:space="0" w:color="auto"/>
                <w:left w:val="none" w:sz="0" w:space="0" w:color="auto"/>
                <w:bottom w:val="none" w:sz="0" w:space="0" w:color="auto"/>
                <w:right w:val="none" w:sz="0" w:space="0" w:color="auto"/>
              </w:divBdr>
              <w:divsChild>
                <w:div w:id="1611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0932">
          <w:marLeft w:val="0"/>
          <w:marRight w:val="0"/>
          <w:marTop w:val="0"/>
          <w:marBottom w:val="0"/>
          <w:divBdr>
            <w:top w:val="none" w:sz="0" w:space="0" w:color="auto"/>
            <w:left w:val="none" w:sz="0" w:space="0" w:color="auto"/>
            <w:bottom w:val="none" w:sz="0" w:space="0" w:color="auto"/>
            <w:right w:val="none" w:sz="0" w:space="0" w:color="auto"/>
          </w:divBdr>
          <w:divsChild>
            <w:div w:id="1790469520">
              <w:marLeft w:val="0"/>
              <w:marRight w:val="0"/>
              <w:marTop w:val="0"/>
              <w:marBottom w:val="0"/>
              <w:divBdr>
                <w:top w:val="none" w:sz="0" w:space="0" w:color="auto"/>
                <w:left w:val="none" w:sz="0" w:space="0" w:color="auto"/>
                <w:bottom w:val="none" w:sz="0" w:space="0" w:color="auto"/>
                <w:right w:val="none" w:sz="0" w:space="0" w:color="auto"/>
              </w:divBdr>
              <w:divsChild>
                <w:div w:id="14109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0184">
          <w:marLeft w:val="0"/>
          <w:marRight w:val="0"/>
          <w:marTop w:val="0"/>
          <w:marBottom w:val="0"/>
          <w:divBdr>
            <w:top w:val="none" w:sz="0" w:space="0" w:color="auto"/>
            <w:left w:val="none" w:sz="0" w:space="0" w:color="auto"/>
            <w:bottom w:val="none" w:sz="0" w:space="0" w:color="auto"/>
            <w:right w:val="none" w:sz="0" w:space="0" w:color="auto"/>
          </w:divBdr>
          <w:divsChild>
            <w:div w:id="357973553">
              <w:marLeft w:val="0"/>
              <w:marRight w:val="0"/>
              <w:marTop w:val="0"/>
              <w:marBottom w:val="0"/>
              <w:divBdr>
                <w:top w:val="none" w:sz="0" w:space="0" w:color="auto"/>
                <w:left w:val="none" w:sz="0" w:space="0" w:color="auto"/>
                <w:bottom w:val="none" w:sz="0" w:space="0" w:color="auto"/>
                <w:right w:val="none" w:sz="0" w:space="0" w:color="auto"/>
              </w:divBdr>
              <w:divsChild>
                <w:div w:id="20748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67065">
          <w:marLeft w:val="0"/>
          <w:marRight w:val="0"/>
          <w:marTop w:val="0"/>
          <w:marBottom w:val="0"/>
          <w:divBdr>
            <w:top w:val="none" w:sz="0" w:space="0" w:color="auto"/>
            <w:left w:val="none" w:sz="0" w:space="0" w:color="auto"/>
            <w:bottom w:val="none" w:sz="0" w:space="0" w:color="auto"/>
            <w:right w:val="none" w:sz="0" w:space="0" w:color="auto"/>
          </w:divBdr>
          <w:divsChild>
            <w:div w:id="474571029">
              <w:marLeft w:val="0"/>
              <w:marRight w:val="0"/>
              <w:marTop w:val="0"/>
              <w:marBottom w:val="0"/>
              <w:divBdr>
                <w:top w:val="none" w:sz="0" w:space="0" w:color="auto"/>
                <w:left w:val="none" w:sz="0" w:space="0" w:color="auto"/>
                <w:bottom w:val="none" w:sz="0" w:space="0" w:color="auto"/>
                <w:right w:val="none" w:sz="0" w:space="0" w:color="auto"/>
              </w:divBdr>
              <w:divsChild>
                <w:div w:id="8345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4259">
          <w:marLeft w:val="0"/>
          <w:marRight w:val="0"/>
          <w:marTop w:val="0"/>
          <w:marBottom w:val="0"/>
          <w:divBdr>
            <w:top w:val="none" w:sz="0" w:space="0" w:color="auto"/>
            <w:left w:val="none" w:sz="0" w:space="0" w:color="auto"/>
            <w:bottom w:val="none" w:sz="0" w:space="0" w:color="auto"/>
            <w:right w:val="none" w:sz="0" w:space="0" w:color="auto"/>
          </w:divBdr>
          <w:divsChild>
            <w:div w:id="1250122065">
              <w:marLeft w:val="0"/>
              <w:marRight w:val="0"/>
              <w:marTop w:val="0"/>
              <w:marBottom w:val="0"/>
              <w:divBdr>
                <w:top w:val="none" w:sz="0" w:space="0" w:color="auto"/>
                <w:left w:val="none" w:sz="0" w:space="0" w:color="auto"/>
                <w:bottom w:val="none" w:sz="0" w:space="0" w:color="auto"/>
                <w:right w:val="none" w:sz="0" w:space="0" w:color="auto"/>
              </w:divBdr>
              <w:divsChild>
                <w:div w:id="3225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230">
          <w:marLeft w:val="0"/>
          <w:marRight w:val="0"/>
          <w:marTop w:val="0"/>
          <w:marBottom w:val="0"/>
          <w:divBdr>
            <w:top w:val="none" w:sz="0" w:space="0" w:color="auto"/>
            <w:left w:val="none" w:sz="0" w:space="0" w:color="auto"/>
            <w:bottom w:val="none" w:sz="0" w:space="0" w:color="auto"/>
            <w:right w:val="none" w:sz="0" w:space="0" w:color="auto"/>
          </w:divBdr>
          <w:divsChild>
            <w:div w:id="1539197058">
              <w:marLeft w:val="0"/>
              <w:marRight w:val="0"/>
              <w:marTop w:val="0"/>
              <w:marBottom w:val="0"/>
              <w:divBdr>
                <w:top w:val="none" w:sz="0" w:space="0" w:color="auto"/>
                <w:left w:val="none" w:sz="0" w:space="0" w:color="auto"/>
                <w:bottom w:val="none" w:sz="0" w:space="0" w:color="auto"/>
                <w:right w:val="none" w:sz="0" w:space="0" w:color="auto"/>
              </w:divBdr>
              <w:divsChild>
                <w:div w:id="8984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8647">
          <w:marLeft w:val="0"/>
          <w:marRight w:val="0"/>
          <w:marTop w:val="0"/>
          <w:marBottom w:val="0"/>
          <w:divBdr>
            <w:top w:val="none" w:sz="0" w:space="0" w:color="auto"/>
            <w:left w:val="none" w:sz="0" w:space="0" w:color="auto"/>
            <w:bottom w:val="none" w:sz="0" w:space="0" w:color="auto"/>
            <w:right w:val="none" w:sz="0" w:space="0" w:color="auto"/>
          </w:divBdr>
          <w:divsChild>
            <w:div w:id="1258170362">
              <w:marLeft w:val="0"/>
              <w:marRight w:val="0"/>
              <w:marTop w:val="0"/>
              <w:marBottom w:val="0"/>
              <w:divBdr>
                <w:top w:val="none" w:sz="0" w:space="0" w:color="auto"/>
                <w:left w:val="none" w:sz="0" w:space="0" w:color="auto"/>
                <w:bottom w:val="none" w:sz="0" w:space="0" w:color="auto"/>
                <w:right w:val="none" w:sz="0" w:space="0" w:color="auto"/>
              </w:divBdr>
              <w:divsChild>
                <w:div w:id="9001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848">
      <w:bodyDiv w:val="1"/>
      <w:marLeft w:val="0"/>
      <w:marRight w:val="0"/>
      <w:marTop w:val="0"/>
      <w:marBottom w:val="0"/>
      <w:divBdr>
        <w:top w:val="none" w:sz="0" w:space="0" w:color="auto"/>
        <w:left w:val="none" w:sz="0" w:space="0" w:color="auto"/>
        <w:bottom w:val="none" w:sz="0" w:space="0" w:color="auto"/>
        <w:right w:val="none" w:sz="0" w:space="0" w:color="auto"/>
      </w:divBdr>
      <w:divsChild>
        <w:div w:id="308100084">
          <w:marLeft w:val="0"/>
          <w:marRight w:val="0"/>
          <w:marTop w:val="0"/>
          <w:marBottom w:val="0"/>
          <w:divBdr>
            <w:top w:val="none" w:sz="0" w:space="0" w:color="auto"/>
            <w:left w:val="none" w:sz="0" w:space="0" w:color="auto"/>
            <w:bottom w:val="none" w:sz="0" w:space="0" w:color="auto"/>
            <w:right w:val="none" w:sz="0" w:space="0" w:color="auto"/>
          </w:divBdr>
          <w:divsChild>
            <w:div w:id="1782800102">
              <w:marLeft w:val="0"/>
              <w:marRight w:val="0"/>
              <w:marTop w:val="0"/>
              <w:marBottom w:val="0"/>
              <w:divBdr>
                <w:top w:val="none" w:sz="0" w:space="0" w:color="auto"/>
                <w:left w:val="none" w:sz="0" w:space="0" w:color="auto"/>
                <w:bottom w:val="none" w:sz="0" w:space="0" w:color="auto"/>
                <w:right w:val="none" w:sz="0" w:space="0" w:color="auto"/>
              </w:divBdr>
              <w:divsChild>
                <w:div w:id="21224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628733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0230263">
      <w:bodyDiv w:val="1"/>
      <w:marLeft w:val="0"/>
      <w:marRight w:val="0"/>
      <w:marTop w:val="0"/>
      <w:marBottom w:val="0"/>
      <w:divBdr>
        <w:top w:val="none" w:sz="0" w:space="0" w:color="auto"/>
        <w:left w:val="none" w:sz="0" w:space="0" w:color="auto"/>
        <w:bottom w:val="none" w:sz="0" w:space="0" w:color="auto"/>
        <w:right w:val="none" w:sz="0" w:space="0" w:color="auto"/>
      </w:divBdr>
      <w:divsChild>
        <w:div w:id="938413796">
          <w:marLeft w:val="0"/>
          <w:marRight w:val="0"/>
          <w:marTop w:val="0"/>
          <w:marBottom w:val="0"/>
          <w:divBdr>
            <w:top w:val="none" w:sz="0" w:space="0" w:color="auto"/>
            <w:left w:val="none" w:sz="0" w:space="0" w:color="auto"/>
            <w:bottom w:val="none" w:sz="0" w:space="0" w:color="auto"/>
            <w:right w:val="none" w:sz="0" w:space="0" w:color="auto"/>
          </w:divBdr>
          <w:divsChild>
            <w:div w:id="704595290">
              <w:marLeft w:val="0"/>
              <w:marRight w:val="0"/>
              <w:marTop w:val="0"/>
              <w:marBottom w:val="0"/>
              <w:divBdr>
                <w:top w:val="none" w:sz="0" w:space="0" w:color="auto"/>
                <w:left w:val="none" w:sz="0" w:space="0" w:color="auto"/>
                <w:bottom w:val="none" w:sz="0" w:space="0" w:color="auto"/>
                <w:right w:val="none" w:sz="0" w:space="0" w:color="auto"/>
              </w:divBdr>
              <w:divsChild>
                <w:div w:id="805313325">
                  <w:marLeft w:val="0"/>
                  <w:marRight w:val="0"/>
                  <w:marTop w:val="0"/>
                  <w:marBottom w:val="0"/>
                  <w:divBdr>
                    <w:top w:val="none" w:sz="0" w:space="0" w:color="auto"/>
                    <w:left w:val="none" w:sz="0" w:space="0" w:color="auto"/>
                    <w:bottom w:val="none" w:sz="0" w:space="0" w:color="auto"/>
                    <w:right w:val="none" w:sz="0" w:space="0" w:color="auto"/>
                  </w:divBdr>
                  <w:divsChild>
                    <w:div w:id="571306583">
                      <w:marLeft w:val="0"/>
                      <w:marRight w:val="0"/>
                      <w:marTop w:val="0"/>
                      <w:marBottom w:val="0"/>
                      <w:divBdr>
                        <w:top w:val="none" w:sz="0" w:space="0" w:color="auto"/>
                        <w:left w:val="none" w:sz="0" w:space="0" w:color="auto"/>
                        <w:bottom w:val="none" w:sz="0" w:space="0" w:color="auto"/>
                        <w:right w:val="none" w:sz="0" w:space="0" w:color="auto"/>
                      </w:divBdr>
                      <w:divsChild>
                        <w:div w:id="2138447398">
                          <w:marLeft w:val="0"/>
                          <w:marRight w:val="0"/>
                          <w:marTop w:val="0"/>
                          <w:marBottom w:val="0"/>
                          <w:divBdr>
                            <w:top w:val="none" w:sz="0" w:space="0" w:color="auto"/>
                            <w:left w:val="none" w:sz="0" w:space="0" w:color="auto"/>
                            <w:bottom w:val="none" w:sz="0" w:space="0" w:color="auto"/>
                            <w:right w:val="none" w:sz="0" w:space="0" w:color="auto"/>
                          </w:divBdr>
                          <w:divsChild>
                            <w:div w:id="1564025772">
                              <w:marLeft w:val="0"/>
                              <w:marRight w:val="0"/>
                              <w:marTop w:val="0"/>
                              <w:marBottom w:val="0"/>
                              <w:divBdr>
                                <w:top w:val="none" w:sz="0" w:space="0" w:color="auto"/>
                                <w:left w:val="none" w:sz="0" w:space="0" w:color="auto"/>
                                <w:bottom w:val="none" w:sz="0" w:space="0" w:color="auto"/>
                                <w:right w:val="none" w:sz="0" w:space="0" w:color="auto"/>
                              </w:divBdr>
                              <w:divsChild>
                                <w:div w:id="13089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01826">
      <w:bodyDiv w:val="1"/>
      <w:marLeft w:val="0"/>
      <w:marRight w:val="0"/>
      <w:marTop w:val="0"/>
      <w:marBottom w:val="0"/>
      <w:divBdr>
        <w:top w:val="none" w:sz="0" w:space="0" w:color="auto"/>
        <w:left w:val="none" w:sz="0" w:space="0" w:color="auto"/>
        <w:bottom w:val="none" w:sz="0" w:space="0" w:color="auto"/>
        <w:right w:val="none" w:sz="0" w:space="0" w:color="auto"/>
      </w:divBdr>
      <w:divsChild>
        <w:div w:id="1327707922">
          <w:marLeft w:val="0"/>
          <w:marRight w:val="0"/>
          <w:marTop w:val="0"/>
          <w:marBottom w:val="0"/>
          <w:divBdr>
            <w:top w:val="none" w:sz="0" w:space="0" w:color="auto"/>
            <w:left w:val="none" w:sz="0" w:space="0" w:color="auto"/>
            <w:bottom w:val="none" w:sz="0" w:space="0" w:color="auto"/>
            <w:right w:val="none" w:sz="0" w:space="0" w:color="auto"/>
          </w:divBdr>
          <w:divsChild>
            <w:div w:id="387532860">
              <w:marLeft w:val="0"/>
              <w:marRight w:val="0"/>
              <w:marTop w:val="0"/>
              <w:marBottom w:val="0"/>
              <w:divBdr>
                <w:top w:val="none" w:sz="0" w:space="0" w:color="auto"/>
                <w:left w:val="none" w:sz="0" w:space="0" w:color="auto"/>
                <w:bottom w:val="none" w:sz="0" w:space="0" w:color="auto"/>
                <w:right w:val="none" w:sz="0" w:space="0" w:color="auto"/>
              </w:divBdr>
              <w:divsChild>
                <w:div w:id="1598102670">
                  <w:marLeft w:val="0"/>
                  <w:marRight w:val="0"/>
                  <w:marTop w:val="0"/>
                  <w:marBottom w:val="0"/>
                  <w:divBdr>
                    <w:top w:val="none" w:sz="0" w:space="0" w:color="auto"/>
                    <w:left w:val="none" w:sz="0" w:space="0" w:color="auto"/>
                    <w:bottom w:val="none" w:sz="0" w:space="0" w:color="auto"/>
                    <w:right w:val="none" w:sz="0" w:space="0" w:color="auto"/>
                  </w:divBdr>
                  <w:divsChild>
                    <w:div w:id="974144379">
                      <w:marLeft w:val="0"/>
                      <w:marRight w:val="0"/>
                      <w:marTop w:val="0"/>
                      <w:marBottom w:val="0"/>
                      <w:divBdr>
                        <w:top w:val="none" w:sz="0" w:space="0" w:color="auto"/>
                        <w:left w:val="none" w:sz="0" w:space="0" w:color="auto"/>
                        <w:bottom w:val="none" w:sz="0" w:space="0" w:color="auto"/>
                        <w:right w:val="none" w:sz="0" w:space="0" w:color="auto"/>
                      </w:divBdr>
                      <w:divsChild>
                        <w:div w:id="61371848">
                          <w:marLeft w:val="0"/>
                          <w:marRight w:val="0"/>
                          <w:marTop w:val="0"/>
                          <w:marBottom w:val="0"/>
                          <w:divBdr>
                            <w:top w:val="none" w:sz="0" w:space="0" w:color="auto"/>
                            <w:left w:val="none" w:sz="0" w:space="0" w:color="auto"/>
                            <w:bottom w:val="none" w:sz="0" w:space="0" w:color="auto"/>
                            <w:right w:val="none" w:sz="0" w:space="0" w:color="auto"/>
                          </w:divBdr>
                          <w:divsChild>
                            <w:div w:id="2092003677">
                              <w:marLeft w:val="0"/>
                              <w:marRight w:val="0"/>
                              <w:marTop w:val="0"/>
                              <w:marBottom w:val="0"/>
                              <w:divBdr>
                                <w:top w:val="none" w:sz="0" w:space="0" w:color="auto"/>
                                <w:left w:val="none" w:sz="0" w:space="0" w:color="auto"/>
                                <w:bottom w:val="none" w:sz="0" w:space="0" w:color="auto"/>
                                <w:right w:val="none" w:sz="0" w:space="0" w:color="auto"/>
                              </w:divBdr>
                            </w:div>
                            <w:div w:id="974792166">
                              <w:marLeft w:val="0"/>
                              <w:marRight w:val="0"/>
                              <w:marTop w:val="0"/>
                              <w:marBottom w:val="0"/>
                              <w:divBdr>
                                <w:top w:val="none" w:sz="0" w:space="0" w:color="auto"/>
                                <w:left w:val="none" w:sz="0" w:space="0" w:color="auto"/>
                                <w:bottom w:val="none" w:sz="0" w:space="0" w:color="auto"/>
                                <w:right w:val="none" w:sz="0" w:space="0" w:color="auto"/>
                              </w:divBdr>
                              <w:divsChild>
                                <w:div w:id="893077027">
                                  <w:marLeft w:val="0"/>
                                  <w:marRight w:val="0"/>
                                  <w:marTop w:val="0"/>
                                  <w:marBottom w:val="0"/>
                                  <w:divBdr>
                                    <w:top w:val="none" w:sz="0" w:space="0" w:color="auto"/>
                                    <w:left w:val="none" w:sz="0" w:space="0" w:color="auto"/>
                                    <w:bottom w:val="none" w:sz="0" w:space="0" w:color="auto"/>
                                    <w:right w:val="none" w:sz="0" w:space="0" w:color="auto"/>
                                  </w:divBdr>
                                </w:div>
                                <w:div w:id="9847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29562">
                          <w:marLeft w:val="0"/>
                          <w:marRight w:val="0"/>
                          <w:marTop w:val="0"/>
                          <w:marBottom w:val="0"/>
                          <w:divBdr>
                            <w:top w:val="none" w:sz="0" w:space="0" w:color="auto"/>
                            <w:left w:val="none" w:sz="0" w:space="0" w:color="auto"/>
                            <w:bottom w:val="none" w:sz="0" w:space="0" w:color="auto"/>
                            <w:right w:val="none" w:sz="0" w:space="0" w:color="auto"/>
                          </w:divBdr>
                          <w:divsChild>
                            <w:div w:id="848451184">
                              <w:marLeft w:val="0"/>
                              <w:marRight w:val="0"/>
                              <w:marTop w:val="0"/>
                              <w:marBottom w:val="0"/>
                              <w:divBdr>
                                <w:top w:val="none" w:sz="0" w:space="0" w:color="auto"/>
                                <w:left w:val="none" w:sz="0" w:space="0" w:color="auto"/>
                                <w:bottom w:val="none" w:sz="0" w:space="0" w:color="auto"/>
                                <w:right w:val="none" w:sz="0" w:space="0" w:color="auto"/>
                              </w:divBdr>
                            </w:div>
                            <w:div w:id="1174799627">
                              <w:marLeft w:val="0"/>
                              <w:marRight w:val="0"/>
                              <w:marTop w:val="0"/>
                              <w:marBottom w:val="0"/>
                              <w:divBdr>
                                <w:top w:val="none" w:sz="0" w:space="0" w:color="auto"/>
                                <w:left w:val="none" w:sz="0" w:space="0" w:color="auto"/>
                                <w:bottom w:val="none" w:sz="0" w:space="0" w:color="auto"/>
                                <w:right w:val="none" w:sz="0" w:space="0" w:color="auto"/>
                              </w:divBdr>
                              <w:divsChild>
                                <w:div w:id="9382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3434834">
      <w:bodyDiv w:val="1"/>
      <w:marLeft w:val="0"/>
      <w:marRight w:val="0"/>
      <w:marTop w:val="0"/>
      <w:marBottom w:val="0"/>
      <w:divBdr>
        <w:top w:val="none" w:sz="0" w:space="0" w:color="auto"/>
        <w:left w:val="none" w:sz="0" w:space="0" w:color="auto"/>
        <w:bottom w:val="none" w:sz="0" w:space="0" w:color="auto"/>
        <w:right w:val="none" w:sz="0" w:space="0" w:color="auto"/>
      </w:divBdr>
      <w:divsChild>
        <w:div w:id="441413538">
          <w:marLeft w:val="0"/>
          <w:marRight w:val="0"/>
          <w:marTop w:val="0"/>
          <w:marBottom w:val="0"/>
          <w:divBdr>
            <w:top w:val="none" w:sz="0" w:space="0" w:color="auto"/>
            <w:left w:val="none" w:sz="0" w:space="0" w:color="auto"/>
            <w:bottom w:val="none" w:sz="0" w:space="0" w:color="auto"/>
            <w:right w:val="none" w:sz="0" w:space="0" w:color="auto"/>
          </w:divBdr>
          <w:divsChild>
            <w:div w:id="1553537947">
              <w:marLeft w:val="0"/>
              <w:marRight w:val="0"/>
              <w:marTop w:val="0"/>
              <w:marBottom w:val="0"/>
              <w:divBdr>
                <w:top w:val="none" w:sz="0" w:space="0" w:color="auto"/>
                <w:left w:val="none" w:sz="0" w:space="0" w:color="auto"/>
                <w:bottom w:val="none" w:sz="0" w:space="0" w:color="auto"/>
                <w:right w:val="none" w:sz="0" w:space="0" w:color="auto"/>
              </w:divBdr>
              <w:divsChild>
                <w:div w:id="1980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913">
          <w:marLeft w:val="0"/>
          <w:marRight w:val="0"/>
          <w:marTop w:val="0"/>
          <w:marBottom w:val="0"/>
          <w:divBdr>
            <w:top w:val="none" w:sz="0" w:space="0" w:color="auto"/>
            <w:left w:val="none" w:sz="0" w:space="0" w:color="auto"/>
            <w:bottom w:val="none" w:sz="0" w:space="0" w:color="auto"/>
            <w:right w:val="none" w:sz="0" w:space="0" w:color="auto"/>
          </w:divBdr>
          <w:divsChild>
            <w:div w:id="462231479">
              <w:marLeft w:val="0"/>
              <w:marRight w:val="0"/>
              <w:marTop w:val="0"/>
              <w:marBottom w:val="0"/>
              <w:divBdr>
                <w:top w:val="none" w:sz="0" w:space="0" w:color="auto"/>
                <w:left w:val="none" w:sz="0" w:space="0" w:color="auto"/>
                <w:bottom w:val="none" w:sz="0" w:space="0" w:color="auto"/>
                <w:right w:val="none" w:sz="0" w:space="0" w:color="auto"/>
              </w:divBdr>
              <w:divsChild>
                <w:div w:id="10092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898">
          <w:marLeft w:val="0"/>
          <w:marRight w:val="0"/>
          <w:marTop w:val="0"/>
          <w:marBottom w:val="0"/>
          <w:divBdr>
            <w:top w:val="none" w:sz="0" w:space="0" w:color="auto"/>
            <w:left w:val="none" w:sz="0" w:space="0" w:color="auto"/>
            <w:bottom w:val="none" w:sz="0" w:space="0" w:color="auto"/>
            <w:right w:val="none" w:sz="0" w:space="0" w:color="auto"/>
          </w:divBdr>
          <w:divsChild>
            <w:div w:id="1012997087">
              <w:marLeft w:val="0"/>
              <w:marRight w:val="0"/>
              <w:marTop w:val="0"/>
              <w:marBottom w:val="0"/>
              <w:divBdr>
                <w:top w:val="none" w:sz="0" w:space="0" w:color="auto"/>
                <w:left w:val="none" w:sz="0" w:space="0" w:color="auto"/>
                <w:bottom w:val="none" w:sz="0" w:space="0" w:color="auto"/>
                <w:right w:val="none" w:sz="0" w:space="0" w:color="auto"/>
              </w:divBdr>
              <w:divsChild>
                <w:div w:id="104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09953">
          <w:marLeft w:val="0"/>
          <w:marRight w:val="0"/>
          <w:marTop w:val="0"/>
          <w:marBottom w:val="0"/>
          <w:divBdr>
            <w:top w:val="none" w:sz="0" w:space="0" w:color="auto"/>
            <w:left w:val="none" w:sz="0" w:space="0" w:color="auto"/>
            <w:bottom w:val="none" w:sz="0" w:space="0" w:color="auto"/>
            <w:right w:val="none" w:sz="0" w:space="0" w:color="auto"/>
          </w:divBdr>
          <w:divsChild>
            <w:div w:id="103119464">
              <w:marLeft w:val="0"/>
              <w:marRight w:val="0"/>
              <w:marTop w:val="0"/>
              <w:marBottom w:val="0"/>
              <w:divBdr>
                <w:top w:val="none" w:sz="0" w:space="0" w:color="auto"/>
                <w:left w:val="none" w:sz="0" w:space="0" w:color="auto"/>
                <w:bottom w:val="none" w:sz="0" w:space="0" w:color="auto"/>
                <w:right w:val="none" w:sz="0" w:space="0" w:color="auto"/>
              </w:divBdr>
              <w:divsChild>
                <w:div w:id="16426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6399">
          <w:marLeft w:val="0"/>
          <w:marRight w:val="0"/>
          <w:marTop w:val="0"/>
          <w:marBottom w:val="0"/>
          <w:divBdr>
            <w:top w:val="none" w:sz="0" w:space="0" w:color="auto"/>
            <w:left w:val="none" w:sz="0" w:space="0" w:color="auto"/>
            <w:bottom w:val="none" w:sz="0" w:space="0" w:color="auto"/>
            <w:right w:val="none" w:sz="0" w:space="0" w:color="auto"/>
          </w:divBdr>
          <w:divsChild>
            <w:div w:id="205222921">
              <w:marLeft w:val="0"/>
              <w:marRight w:val="0"/>
              <w:marTop w:val="0"/>
              <w:marBottom w:val="0"/>
              <w:divBdr>
                <w:top w:val="none" w:sz="0" w:space="0" w:color="auto"/>
                <w:left w:val="none" w:sz="0" w:space="0" w:color="auto"/>
                <w:bottom w:val="none" w:sz="0" w:space="0" w:color="auto"/>
                <w:right w:val="none" w:sz="0" w:space="0" w:color="auto"/>
              </w:divBdr>
              <w:divsChild>
                <w:div w:id="15472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823">
          <w:marLeft w:val="0"/>
          <w:marRight w:val="0"/>
          <w:marTop w:val="0"/>
          <w:marBottom w:val="0"/>
          <w:divBdr>
            <w:top w:val="none" w:sz="0" w:space="0" w:color="auto"/>
            <w:left w:val="none" w:sz="0" w:space="0" w:color="auto"/>
            <w:bottom w:val="none" w:sz="0" w:space="0" w:color="auto"/>
            <w:right w:val="none" w:sz="0" w:space="0" w:color="auto"/>
          </w:divBdr>
          <w:divsChild>
            <w:div w:id="815803051">
              <w:marLeft w:val="0"/>
              <w:marRight w:val="0"/>
              <w:marTop w:val="0"/>
              <w:marBottom w:val="0"/>
              <w:divBdr>
                <w:top w:val="none" w:sz="0" w:space="0" w:color="auto"/>
                <w:left w:val="none" w:sz="0" w:space="0" w:color="auto"/>
                <w:bottom w:val="none" w:sz="0" w:space="0" w:color="auto"/>
                <w:right w:val="none" w:sz="0" w:space="0" w:color="auto"/>
              </w:divBdr>
              <w:divsChild>
                <w:div w:id="12569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878">
          <w:marLeft w:val="0"/>
          <w:marRight w:val="0"/>
          <w:marTop w:val="0"/>
          <w:marBottom w:val="0"/>
          <w:divBdr>
            <w:top w:val="none" w:sz="0" w:space="0" w:color="auto"/>
            <w:left w:val="none" w:sz="0" w:space="0" w:color="auto"/>
            <w:bottom w:val="none" w:sz="0" w:space="0" w:color="auto"/>
            <w:right w:val="none" w:sz="0" w:space="0" w:color="auto"/>
          </w:divBdr>
          <w:divsChild>
            <w:div w:id="1416242398">
              <w:marLeft w:val="0"/>
              <w:marRight w:val="0"/>
              <w:marTop w:val="0"/>
              <w:marBottom w:val="0"/>
              <w:divBdr>
                <w:top w:val="none" w:sz="0" w:space="0" w:color="auto"/>
                <w:left w:val="none" w:sz="0" w:space="0" w:color="auto"/>
                <w:bottom w:val="none" w:sz="0" w:space="0" w:color="auto"/>
                <w:right w:val="none" w:sz="0" w:space="0" w:color="auto"/>
              </w:divBdr>
              <w:divsChild>
                <w:div w:id="13290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0075">
          <w:marLeft w:val="0"/>
          <w:marRight w:val="0"/>
          <w:marTop w:val="0"/>
          <w:marBottom w:val="0"/>
          <w:divBdr>
            <w:top w:val="none" w:sz="0" w:space="0" w:color="auto"/>
            <w:left w:val="none" w:sz="0" w:space="0" w:color="auto"/>
            <w:bottom w:val="none" w:sz="0" w:space="0" w:color="auto"/>
            <w:right w:val="none" w:sz="0" w:space="0" w:color="auto"/>
          </w:divBdr>
          <w:divsChild>
            <w:div w:id="104621698">
              <w:marLeft w:val="0"/>
              <w:marRight w:val="0"/>
              <w:marTop w:val="0"/>
              <w:marBottom w:val="0"/>
              <w:divBdr>
                <w:top w:val="none" w:sz="0" w:space="0" w:color="auto"/>
                <w:left w:val="none" w:sz="0" w:space="0" w:color="auto"/>
                <w:bottom w:val="none" w:sz="0" w:space="0" w:color="auto"/>
                <w:right w:val="none" w:sz="0" w:space="0" w:color="auto"/>
              </w:divBdr>
              <w:divsChild>
                <w:div w:id="12156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3555">
          <w:marLeft w:val="0"/>
          <w:marRight w:val="0"/>
          <w:marTop w:val="0"/>
          <w:marBottom w:val="0"/>
          <w:divBdr>
            <w:top w:val="none" w:sz="0" w:space="0" w:color="auto"/>
            <w:left w:val="none" w:sz="0" w:space="0" w:color="auto"/>
            <w:bottom w:val="none" w:sz="0" w:space="0" w:color="auto"/>
            <w:right w:val="none" w:sz="0" w:space="0" w:color="auto"/>
          </w:divBdr>
          <w:divsChild>
            <w:div w:id="743576463">
              <w:marLeft w:val="0"/>
              <w:marRight w:val="0"/>
              <w:marTop w:val="0"/>
              <w:marBottom w:val="0"/>
              <w:divBdr>
                <w:top w:val="none" w:sz="0" w:space="0" w:color="auto"/>
                <w:left w:val="none" w:sz="0" w:space="0" w:color="auto"/>
                <w:bottom w:val="none" w:sz="0" w:space="0" w:color="auto"/>
                <w:right w:val="none" w:sz="0" w:space="0" w:color="auto"/>
              </w:divBdr>
              <w:divsChild>
                <w:div w:id="17514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3367377">
      <w:bodyDiv w:val="1"/>
      <w:marLeft w:val="0"/>
      <w:marRight w:val="0"/>
      <w:marTop w:val="0"/>
      <w:marBottom w:val="0"/>
      <w:divBdr>
        <w:top w:val="none" w:sz="0" w:space="0" w:color="auto"/>
        <w:left w:val="none" w:sz="0" w:space="0" w:color="auto"/>
        <w:bottom w:val="none" w:sz="0" w:space="0" w:color="auto"/>
        <w:right w:val="none" w:sz="0" w:space="0" w:color="auto"/>
      </w:divBdr>
      <w:divsChild>
        <w:div w:id="2060199292">
          <w:marLeft w:val="0"/>
          <w:marRight w:val="0"/>
          <w:marTop w:val="0"/>
          <w:marBottom w:val="0"/>
          <w:divBdr>
            <w:top w:val="none" w:sz="0" w:space="0" w:color="auto"/>
            <w:left w:val="none" w:sz="0" w:space="0" w:color="auto"/>
            <w:bottom w:val="none" w:sz="0" w:space="0" w:color="auto"/>
            <w:right w:val="none" w:sz="0" w:space="0" w:color="auto"/>
          </w:divBdr>
          <w:divsChild>
            <w:div w:id="839349763">
              <w:marLeft w:val="0"/>
              <w:marRight w:val="0"/>
              <w:marTop w:val="0"/>
              <w:marBottom w:val="0"/>
              <w:divBdr>
                <w:top w:val="none" w:sz="0" w:space="0" w:color="auto"/>
                <w:left w:val="none" w:sz="0" w:space="0" w:color="auto"/>
                <w:bottom w:val="none" w:sz="0" w:space="0" w:color="auto"/>
                <w:right w:val="none" w:sz="0" w:space="0" w:color="auto"/>
              </w:divBdr>
              <w:divsChild>
                <w:div w:id="4683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6971">
          <w:marLeft w:val="0"/>
          <w:marRight w:val="0"/>
          <w:marTop w:val="0"/>
          <w:marBottom w:val="0"/>
          <w:divBdr>
            <w:top w:val="none" w:sz="0" w:space="0" w:color="auto"/>
            <w:left w:val="none" w:sz="0" w:space="0" w:color="auto"/>
            <w:bottom w:val="none" w:sz="0" w:space="0" w:color="auto"/>
            <w:right w:val="none" w:sz="0" w:space="0" w:color="auto"/>
          </w:divBdr>
          <w:divsChild>
            <w:div w:id="448401464">
              <w:marLeft w:val="0"/>
              <w:marRight w:val="0"/>
              <w:marTop w:val="0"/>
              <w:marBottom w:val="0"/>
              <w:divBdr>
                <w:top w:val="none" w:sz="0" w:space="0" w:color="auto"/>
                <w:left w:val="none" w:sz="0" w:space="0" w:color="auto"/>
                <w:bottom w:val="none" w:sz="0" w:space="0" w:color="auto"/>
                <w:right w:val="none" w:sz="0" w:space="0" w:color="auto"/>
              </w:divBdr>
              <w:divsChild>
                <w:div w:id="6066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2955">
          <w:marLeft w:val="0"/>
          <w:marRight w:val="0"/>
          <w:marTop w:val="0"/>
          <w:marBottom w:val="0"/>
          <w:divBdr>
            <w:top w:val="none" w:sz="0" w:space="0" w:color="auto"/>
            <w:left w:val="none" w:sz="0" w:space="0" w:color="auto"/>
            <w:bottom w:val="none" w:sz="0" w:space="0" w:color="auto"/>
            <w:right w:val="none" w:sz="0" w:space="0" w:color="auto"/>
          </w:divBdr>
          <w:divsChild>
            <w:div w:id="2139716293">
              <w:marLeft w:val="0"/>
              <w:marRight w:val="0"/>
              <w:marTop w:val="0"/>
              <w:marBottom w:val="0"/>
              <w:divBdr>
                <w:top w:val="none" w:sz="0" w:space="0" w:color="auto"/>
                <w:left w:val="none" w:sz="0" w:space="0" w:color="auto"/>
                <w:bottom w:val="none" w:sz="0" w:space="0" w:color="auto"/>
                <w:right w:val="none" w:sz="0" w:space="0" w:color="auto"/>
              </w:divBdr>
              <w:divsChild>
                <w:div w:id="4956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242">
          <w:marLeft w:val="0"/>
          <w:marRight w:val="0"/>
          <w:marTop w:val="0"/>
          <w:marBottom w:val="0"/>
          <w:divBdr>
            <w:top w:val="none" w:sz="0" w:space="0" w:color="auto"/>
            <w:left w:val="none" w:sz="0" w:space="0" w:color="auto"/>
            <w:bottom w:val="none" w:sz="0" w:space="0" w:color="auto"/>
            <w:right w:val="none" w:sz="0" w:space="0" w:color="auto"/>
          </w:divBdr>
          <w:divsChild>
            <w:div w:id="1756239604">
              <w:marLeft w:val="0"/>
              <w:marRight w:val="0"/>
              <w:marTop w:val="0"/>
              <w:marBottom w:val="0"/>
              <w:divBdr>
                <w:top w:val="none" w:sz="0" w:space="0" w:color="auto"/>
                <w:left w:val="none" w:sz="0" w:space="0" w:color="auto"/>
                <w:bottom w:val="none" w:sz="0" w:space="0" w:color="auto"/>
                <w:right w:val="none" w:sz="0" w:space="0" w:color="auto"/>
              </w:divBdr>
              <w:divsChild>
                <w:div w:id="1270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698">
          <w:marLeft w:val="0"/>
          <w:marRight w:val="0"/>
          <w:marTop w:val="0"/>
          <w:marBottom w:val="0"/>
          <w:divBdr>
            <w:top w:val="none" w:sz="0" w:space="0" w:color="auto"/>
            <w:left w:val="none" w:sz="0" w:space="0" w:color="auto"/>
            <w:bottom w:val="none" w:sz="0" w:space="0" w:color="auto"/>
            <w:right w:val="none" w:sz="0" w:space="0" w:color="auto"/>
          </w:divBdr>
          <w:divsChild>
            <w:div w:id="41290599">
              <w:marLeft w:val="0"/>
              <w:marRight w:val="0"/>
              <w:marTop w:val="0"/>
              <w:marBottom w:val="0"/>
              <w:divBdr>
                <w:top w:val="none" w:sz="0" w:space="0" w:color="auto"/>
                <w:left w:val="none" w:sz="0" w:space="0" w:color="auto"/>
                <w:bottom w:val="none" w:sz="0" w:space="0" w:color="auto"/>
                <w:right w:val="none" w:sz="0" w:space="0" w:color="auto"/>
              </w:divBdr>
              <w:divsChild>
                <w:div w:id="9379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2137">
          <w:marLeft w:val="0"/>
          <w:marRight w:val="0"/>
          <w:marTop w:val="0"/>
          <w:marBottom w:val="0"/>
          <w:divBdr>
            <w:top w:val="none" w:sz="0" w:space="0" w:color="auto"/>
            <w:left w:val="none" w:sz="0" w:space="0" w:color="auto"/>
            <w:bottom w:val="none" w:sz="0" w:space="0" w:color="auto"/>
            <w:right w:val="none" w:sz="0" w:space="0" w:color="auto"/>
          </w:divBdr>
          <w:divsChild>
            <w:div w:id="684207591">
              <w:marLeft w:val="0"/>
              <w:marRight w:val="0"/>
              <w:marTop w:val="0"/>
              <w:marBottom w:val="0"/>
              <w:divBdr>
                <w:top w:val="none" w:sz="0" w:space="0" w:color="auto"/>
                <w:left w:val="none" w:sz="0" w:space="0" w:color="auto"/>
                <w:bottom w:val="none" w:sz="0" w:space="0" w:color="auto"/>
                <w:right w:val="none" w:sz="0" w:space="0" w:color="auto"/>
              </w:divBdr>
              <w:divsChild>
                <w:div w:id="16519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7607">
          <w:marLeft w:val="0"/>
          <w:marRight w:val="0"/>
          <w:marTop w:val="0"/>
          <w:marBottom w:val="0"/>
          <w:divBdr>
            <w:top w:val="none" w:sz="0" w:space="0" w:color="auto"/>
            <w:left w:val="none" w:sz="0" w:space="0" w:color="auto"/>
            <w:bottom w:val="none" w:sz="0" w:space="0" w:color="auto"/>
            <w:right w:val="none" w:sz="0" w:space="0" w:color="auto"/>
          </w:divBdr>
          <w:divsChild>
            <w:div w:id="589125414">
              <w:marLeft w:val="0"/>
              <w:marRight w:val="0"/>
              <w:marTop w:val="0"/>
              <w:marBottom w:val="0"/>
              <w:divBdr>
                <w:top w:val="none" w:sz="0" w:space="0" w:color="auto"/>
                <w:left w:val="none" w:sz="0" w:space="0" w:color="auto"/>
                <w:bottom w:val="none" w:sz="0" w:space="0" w:color="auto"/>
                <w:right w:val="none" w:sz="0" w:space="0" w:color="auto"/>
              </w:divBdr>
              <w:divsChild>
                <w:div w:id="10934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33563">
          <w:marLeft w:val="0"/>
          <w:marRight w:val="0"/>
          <w:marTop w:val="0"/>
          <w:marBottom w:val="0"/>
          <w:divBdr>
            <w:top w:val="none" w:sz="0" w:space="0" w:color="auto"/>
            <w:left w:val="none" w:sz="0" w:space="0" w:color="auto"/>
            <w:bottom w:val="none" w:sz="0" w:space="0" w:color="auto"/>
            <w:right w:val="none" w:sz="0" w:space="0" w:color="auto"/>
          </w:divBdr>
          <w:divsChild>
            <w:div w:id="765154338">
              <w:marLeft w:val="0"/>
              <w:marRight w:val="0"/>
              <w:marTop w:val="0"/>
              <w:marBottom w:val="0"/>
              <w:divBdr>
                <w:top w:val="none" w:sz="0" w:space="0" w:color="auto"/>
                <w:left w:val="none" w:sz="0" w:space="0" w:color="auto"/>
                <w:bottom w:val="none" w:sz="0" w:space="0" w:color="auto"/>
                <w:right w:val="none" w:sz="0" w:space="0" w:color="auto"/>
              </w:divBdr>
              <w:divsChild>
                <w:div w:id="12333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3682">
          <w:marLeft w:val="0"/>
          <w:marRight w:val="0"/>
          <w:marTop w:val="0"/>
          <w:marBottom w:val="0"/>
          <w:divBdr>
            <w:top w:val="none" w:sz="0" w:space="0" w:color="auto"/>
            <w:left w:val="none" w:sz="0" w:space="0" w:color="auto"/>
            <w:bottom w:val="none" w:sz="0" w:space="0" w:color="auto"/>
            <w:right w:val="none" w:sz="0" w:space="0" w:color="auto"/>
          </w:divBdr>
          <w:divsChild>
            <w:div w:id="2018117264">
              <w:marLeft w:val="0"/>
              <w:marRight w:val="0"/>
              <w:marTop w:val="0"/>
              <w:marBottom w:val="0"/>
              <w:divBdr>
                <w:top w:val="none" w:sz="0" w:space="0" w:color="auto"/>
                <w:left w:val="none" w:sz="0" w:space="0" w:color="auto"/>
                <w:bottom w:val="none" w:sz="0" w:space="0" w:color="auto"/>
                <w:right w:val="none" w:sz="0" w:space="0" w:color="auto"/>
              </w:divBdr>
              <w:divsChild>
                <w:div w:id="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1440418">
      <w:bodyDiv w:val="1"/>
      <w:marLeft w:val="0"/>
      <w:marRight w:val="0"/>
      <w:marTop w:val="0"/>
      <w:marBottom w:val="0"/>
      <w:divBdr>
        <w:top w:val="none" w:sz="0" w:space="0" w:color="auto"/>
        <w:left w:val="none" w:sz="0" w:space="0" w:color="auto"/>
        <w:bottom w:val="none" w:sz="0" w:space="0" w:color="auto"/>
        <w:right w:val="none" w:sz="0" w:space="0" w:color="auto"/>
      </w:divBdr>
      <w:divsChild>
        <w:div w:id="31268431">
          <w:marLeft w:val="0"/>
          <w:marRight w:val="0"/>
          <w:marTop w:val="0"/>
          <w:marBottom w:val="0"/>
          <w:divBdr>
            <w:top w:val="none" w:sz="0" w:space="0" w:color="auto"/>
            <w:left w:val="none" w:sz="0" w:space="0" w:color="auto"/>
            <w:bottom w:val="none" w:sz="0" w:space="0" w:color="auto"/>
            <w:right w:val="none" w:sz="0" w:space="0" w:color="auto"/>
          </w:divBdr>
          <w:divsChild>
            <w:div w:id="776175288">
              <w:marLeft w:val="0"/>
              <w:marRight w:val="0"/>
              <w:marTop w:val="0"/>
              <w:marBottom w:val="0"/>
              <w:divBdr>
                <w:top w:val="none" w:sz="0" w:space="0" w:color="auto"/>
                <w:left w:val="none" w:sz="0" w:space="0" w:color="auto"/>
                <w:bottom w:val="none" w:sz="0" w:space="0" w:color="auto"/>
                <w:right w:val="none" w:sz="0" w:space="0" w:color="auto"/>
              </w:divBdr>
              <w:divsChild>
                <w:div w:id="1380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7193">
          <w:marLeft w:val="0"/>
          <w:marRight w:val="0"/>
          <w:marTop w:val="0"/>
          <w:marBottom w:val="0"/>
          <w:divBdr>
            <w:top w:val="none" w:sz="0" w:space="0" w:color="auto"/>
            <w:left w:val="none" w:sz="0" w:space="0" w:color="auto"/>
            <w:bottom w:val="none" w:sz="0" w:space="0" w:color="auto"/>
            <w:right w:val="none" w:sz="0" w:space="0" w:color="auto"/>
          </w:divBdr>
          <w:divsChild>
            <w:div w:id="1703748491">
              <w:marLeft w:val="0"/>
              <w:marRight w:val="0"/>
              <w:marTop w:val="0"/>
              <w:marBottom w:val="0"/>
              <w:divBdr>
                <w:top w:val="none" w:sz="0" w:space="0" w:color="auto"/>
                <w:left w:val="none" w:sz="0" w:space="0" w:color="auto"/>
                <w:bottom w:val="none" w:sz="0" w:space="0" w:color="auto"/>
                <w:right w:val="none" w:sz="0" w:space="0" w:color="auto"/>
              </w:divBdr>
              <w:divsChild>
                <w:div w:id="10508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5278">
          <w:marLeft w:val="0"/>
          <w:marRight w:val="0"/>
          <w:marTop w:val="0"/>
          <w:marBottom w:val="0"/>
          <w:divBdr>
            <w:top w:val="none" w:sz="0" w:space="0" w:color="auto"/>
            <w:left w:val="none" w:sz="0" w:space="0" w:color="auto"/>
            <w:bottom w:val="none" w:sz="0" w:space="0" w:color="auto"/>
            <w:right w:val="none" w:sz="0" w:space="0" w:color="auto"/>
          </w:divBdr>
          <w:divsChild>
            <w:div w:id="2010328630">
              <w:marLeft w:val="0"/>
              <w:marRight w:val="0"/>
              <w:marTop w:val="0"/>
              <w:marBottom w:val="0"/>
              <w:divBdr>
                <w:top w:val="none" w:sz="0" w:space="0" w:color="auto"/>
                <w:left w:val="none" w:sz="0" w:space="0" w:color="auto"/>
                <w:bottom w:val="none" w:sz="0" w:space="0" w:color="auto"/>
                <w:right w:val="none" w:sz="0" w:space="0" w:color="auto"/>
              </w:divBdr>
              <w:divsChild>
                <w:div w:id="14252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4475">
          <w:marLeft w:val="0"/>
          <w:marRight w:val="0"/>
          <w:marTop w:val="0"/>
          <w:marBottom w:val="0"/>
          <w:divBdr>
            <w:top w:val="none" w:sz="0" w:space="0" w:color="auto"/>
            <w:left w:val="none" w:sz="0" w:space="0" w:color="auto"/>
            <w:bottom w:val="none" w:sz="0" w:space="0" w:color="auto"/>
            <w:right w:val="none" w:sz="0" w:space="0" w:color="auto"/>
          </w:divBdr>
          <w:divsChild>
            <w:div w:id="1528518431">
              <w:marLeft w:val="0"/>
              <w:marRight w:val="0"/>
              <w:marTop w:val="0"/>
              <w:marBottom w:val="0"/>
              <w:divBdr>
                <w:top w:val="none" w:sz="0" w:space="0" w:color="auto"/>
                <w:left w:val="none" w:sz="0" w:space="0" w:color="auto"/>
                <w:bottom w:val="none" w:sz="0" w:space="0" w:color="auto"/>
                <w:right w:val="none" w:sz="0" w:space="0" w:color="auto"/>
              </w:divBdr>
              <w:divsChild>
                <w:div w:id="4330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7411">
          <w:marLeft w:val="0"/>
          <w:marRight w:val="0"/>
          <w:marTop w:val="0"/>
          <w:marBottom w:val="0"/>
          <w:divBdr>
            <w:top w:val="none" w:sz="0" w:space="0" w:color="auto"/>
            <w:left w:val="none" w:sz="0" w:space="0" w:color="auto"/>
            <w:bottom w:val="none" w:sz="0" w:space="0" w:color="auto"/>
            <w:right w:val="none" w:sz="0" w:space="0" w:color="auto"/>
          </w:divBdr>
          <w:divsChild>
            <w:div w:id="1783916518">
              <w:marLeft w:val="0"/>
              <w:marRight w:val="0"/>
              <w:marTop w:val="0"/>
              <w:marBottom w:val="0"/>
              <w:divBdr>
                <w:top w:val="none" w:sz="0" w:space="0" w:color="auto"/>
                <w:left w:val="none" w:sz="0" w:space="0" w:color="auto"/>
                <w:bottom w:val="none" w:sz="0" w:space="0" w:color="auto"/>
                <w:right w:val="none" w:sz="0" w:space="0" w:color="auto"/>
              </w:divBdr>
              <w:divsChild>
                <w:div w:id="2026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1089">
          <w:marLeft w:val="0"/>
          <w:marRight w:val="0"/>
          <w:marTop w:val="0"/>
          <w:marBottom w:val="0"/>
          <w:divBdr>
            <w:top w:val="none" w:sz="0" w:space="0" w:color="auto"/>
            <w:left w:val="none" w:sz="0" w:space="0" w:color="auto"/>
            <w:bottom w:val="none" w:sz="0" w:space="0" w:color="auto"/>
            <w:right w:val="none" w:sz="0" w:space="0" w:color="auto"/>
          </w:divBdr>
          <w:divsChild>
            <w:div w:id="1712724215">
              <w:marLeft w:val="0"/>
              <w:marRight w:val="0"/>
              <w:marTop w:val="0"/>
              <w:marBottom w:val="0"/>
              <w:divBdr>
                <w:top w:val="none" w:sz="0" w:space="0" w:color="auto"/>
                <w:left w:val="none" w:sz="0" w:space="0" w:color="auto"/>
                <w:bottom w:val="none" w:sz="0" w:space="0" w:color="auto"/>
                <w:right w:val="none" w:sz="0" w:space="0" w:color="auto"/>
              </w:divBdr>
              <w:divsChild>
                <w:div w:id="4184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6359">
          <w:marLeft w:val="0"/>
          <w:marRight w:val="0"/>
          <w:marTop w:val="0"/>
          <w:marBottom w:val="0"/>
          <w:divBdr>
            <w:top w:val="none" w:sz="0" w:space="0" w:color="auto"/>
            <w:left w:val="none" w:sz="0" w:space="0" w:color="auto"/>
            <w:bottom w:val="none" w:sz="0" w:space="0" w:color="auto"/>
            <w:right w:val="none" w:sz="0" w:space="0" w:color="auto"/>
          </w:divBdr>
          <w:divsChild>
            <w:div w:id="2103329190">
              <w:marLeft w:val="0"/>
              <w:marRight w:val="0"/>
              <w:marTop w:val="0"/>
              <w:marBottom w:val="0"/>
              <w:divBdr>
                <w:top w:val="none" w:sz="0" w:space="0" w:color="auto"/>
                <w:left w:val="none" w:sz="0" w:space="0" w:color="auto"/>
                <w:bottom w:val="none" w:sz="0" w:space="0" w:color="auto"/>
                <w:right w:val="none" w:sz="0" w:space="0" w:color="auto"/>
              </w:divBdr>
              <w:divsChild>
                <w:div w:id="627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4847">
          <w:marLeft w:val="0"/>
          <w:marRight w:val="0"/>
          <w:marTop w:val="0"/>
          <w:marBottom w:val="0"/>
          <w:divBdr>
            <w:top w:val="none" w:sz="0" w:space="0" w:color="auto"/>
            <w:left w:val="none" w:sz="0" w:space="0" w:color="auto"/>
            <w:bottom w:val="none" w:sz="0" w:space="0" w:color="auto"/>
            <w:right w:val="none" w:sz="0" w:space="0" w:color="auto"/>
          </w:divBdr>
          <w:divsChild>
            <w:div w:id="416024145">
              <w:marLeft w:val="0"/>
              <w:marRight w:val="0"/>
              <w:marTop w:val="0"/>
              <w:marBottom w:val="0"/>
              <w:divBdr>
                <w:top w:val="none" w:sz="0" w:space="0" w:color="auto"/>
                <w:left w:val="none" w:sz="0" w:space="0" w:color="auto"/>
                <w:bottom w:val="none" w:sz="0" w:space="0" w:color="auto"/>
                <w:right w:val="none" w:sz="0" w:space="0" w:color="auto"/>
              </w:divBdr>
              <w:divsChild>
                <w:div w:id="17841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2877">
          <w:marLeft w:val="0"/>
          <w:marRight w:val="0"/>
          <w:marTop w:val="0"/>
          <w:marBottom w:val="0"/>
          <w:divBdr>
            <w:top w:val="none" w:sz="0" w:space="0" w:color="auto"/>
            <w:left w:val="none" w:sz="0" w:space="0" w:color="auto"/>
            <w:bottom w:val="none" w:sz="0" w:space="0" w:color="auto"/>
            <w:right w:val="none" w:sz="0" w:space="0" w:color="auto"/>
          </w:divBdr>
          <w:divsChild>
            <w:div w:id="1981841059">
              <w:marLeft w:val="0"/>
              <w:marRight w:val="0"/>
              <w:marTop w:val="0"/>
              <w:marBottom w:val="0"/>
              <w:divBdr>
                <w:top w:val="none" w:sz="0" w:space="0" w:color="auto"/>
                <w:left w:val="none" w:sz="0" w:space="0" w:color="auto"/>
                <w:bottom w:val="none" w:sz="0" w:space="0" w:color="auto"/>
                <w:right w:val="none" w:sz="0" w:space="0" w:color="auto"/>
              </w:divBdr>
              <w:divsChild>
                <w:div w:id="197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9633">
          <w:marLeft w:val="0"/>
          <w:marRight w:val="0"/>
          <w:marTop w:val="0"/>
          <w:marBottom w:val="0"/>
          <w:divBdr>
            <w:top w:val="none" w:sz="0" w:space="0" w:color="auto"/>
            <w:left w:val="none" w:sz="0" w:space="0" w:color="auto"/>
            <w:bottom w:val="none" w:sz="0" w:space="0" w:color="auto"/>
            <w:right w:val="none" w:sz="0" w:space="0" w:color="auto"/>
          </w:divBdr>
          <w:divsChild>
            <w:div w:id="651301566">
              <w:marLeft w:val="0"/>
              <w:marRight w:val="0"/>
              <w:marTop w:val="0"/>
              <w:marBottom w:val="0"/>
              <w:divBdr>
                <w:top w:val="none" w:sz="0" w:space="0" w:color="auto"/>
                <w:left w:val="none" w:sz="0" w:space="0" w:color="auto"/>
                <w:bottom w:val="none" w:sz="0" w:space="0" w:color="auto"/>
                <w:right w:val="none" w:sz="0" w:space="0" w:color="auto"/>
              </w:divBdr>
              <w:divsChild>
                <w:div w:id="8663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5863">
          <w:marLeft w:val="0"/>
          <w:marRight w:val="0"/>
          <w:marTop w:val="0"/>
          <w:marBottom w:val="0"/>
          <w:divBdr>
            <w:top w:val="none" w:sz="0" w:space="0" w:color="auto"/>
            <w:left w:val="none" w:sz="0" w:space="0" w:color="auto"/>
            <w:bottom w:val="none" w:sz="0" w:space="0" w:color="auto"/>
            <w:right w:val="none" w:sz="0" w:space="0" w:color="auto"/>
          </w:divBdr>
          <w:divsChild>
            <w:div w:id="825585009">
              <w:marLeft w:val="0"/>
              <w:marRight w:val="0"/>
              <w:marTop w:val="0"/>
              <w:marBottom w:val="0"/>
              <w:divBdr>
                <w:top w:val="none" w:sz="0" w:space="0" w:color="auto"/>
                <w:left w:val="none" w:sz="0" w:space="0" w:color="auto"/>
                <w:bottom w:val="none" w:sz="0" w:space="0" w:color="auto"/>
                <w:right w:val="none" w:sz="0" w:space="0" w:color="auto"/>
              </w:divBdr>
              <w:divsChild>
                <w:div w:id="12254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5284">
          <w:marLeft w:val="0"/>
          <w:marRight w:val="0"/>
          <w:marTop w:val="0"/>
          <w:marBottom w:val="0"/>
          <w:divBdr>
            <w:top w:val="none" w:sz="0" w:space="0" w:color="auto"/>
            <w:left w:val="none" w:sz="0" w:space="0" w:color="auto"/>
            <w:bottom w:val="none" w:sz="0" w:space="0" w:color="auto"/>
            <w:right w:val="none" w:sz="0" w:space="0" w:color="auto"/>
          </w:divBdr>
          <w:divsChild>
            <w:div w:id="518929242">
              <w:marLeft w:val="0"/>
              <w:marRight w:val="0"/>
              <w:marTop w:val="0"/>
              <w:marBottom w:val="0"/>
              <w:divBdr>
                <w:top w:val="none" w:sz="0" w:space="0" w:color="auto"/>
                <w:left w:val="none" w:sz="0" w:space="0" w:color="auto"/>
                <w:bottom w:val="none" w:sz="0" w:space="0" w:color="auto"/>
                <w:right w:val="none" w:sz="0" w:space="0" w:color="auto"/>
              </w:divBdr>
              <w:divsChild>
                <w:div w:id="8359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176">
          <w:marLeft w:val="0"/>
          <w:marRight w:val="0"/>
          <w:marTop w:val="0"/>
          <w:marBottom w:val="0"/>
          <w:divBdr>
            <w:top w:val="none" w:sz="0" w:space="0" w:color="auto"/>
            <w:left w:val="none" w:sz="0" w:space="0" w:color="auto"/>
            <w:bottom w:val="none" w:sz="0" w:space="0" w:color="auto"/>
            <w:right w:val="none" w:sz="0" w:space="0" w:color="auto"/>
          </w:divBdr>
          <w:divsChild>
            <w:div w:id="71243210">
              <w:marLeft w:val="0"/>
              <w:marRight w:val="0"/>
              <w:marTop w:val="0"/>
              <w:marBottom w:val="0"/>
              <w:divBdr>
                <w:top w:val="none" w:sz="0" w:space="0" w:color="auto"/>
                <w:left w:val="none" w:sz="0" w:space="0" w:color="auto"/>
                <w:bottom w:val="none" w:sz="0" w:space="0" w:color="auto"/>
                <w:right w:val="none" w:sz="0" w:space="0" w:color="auto"/>
              </w:divBdr>
              <w:divsChild>
                <w:div w:id="518350662">
                  <w:marLeft w:val="0"/>
                  <w:marRight w:val="0"/>
                  <w:marTop w:val="0"/>
                  <w:marBottom w:val="0"/>
                  <w:divBdr>
                    <w:top w:val="none" w:sz="0" w:space="0" w:color="auto"/>
                    <w:left w:val="none" w:sz="0" w:space="0" w:color="auto"/>
                    <w:bottom w:val="none" w:sz="0" w:space="0" w:color="auto"/>
                    <w:right w:val="none" w:sz="0" w:space="0" w:color="auto"/>
                  </w:divBdr>
                </w:div>
              </w:divsChild>
            </w:div>
            <w:div w:id="1182817486">
              <w:marLeft w:val="0"/>
              <w:marRight w:val="0"/>
              <w:marTop w:val="0"/>
              <w:marBottom w:val="0"/>
              <w:divBdr>
                <w:top w:val="none" w:sz="0" w:space="0" w:color="auto"/>
                <w:left w:val="none" w:sz="0" w:space="0" w:color="auto"/>
                <w:bottom w:val="none" w:sz="0" w:space="0" w:color="auto"/>
                <w:right w:val="none" w:sz="0" w:space="0" w:color="auto"/>
              </w:divBdr>
              <w:divsChild>
                <w:div w:id="19846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046">
          <w:marLeft w:val="0"/>
          <w:marRight w:val="0"/>
          <w:marTop w:val="0"/>
          <w:marBottom w:val="0"/>
          <w:divBdr>
            <w:top w:val="none" w:sz="0" w:space="0" w:color="auto"/>
            <w:left w:val="none" w:sz="0" w:space="0" w:color="auto"/>
            <w:bottom w:val="none" w:sz="0" w:space="0" w:color="auto"/>
            <w:right w:val="none" w:sz="0" w:space="0" w:color="auto"/>
          </w:divBdr>
          <w:divsChild>
            <w:div w:id="1438405921">
              <w:marLeft w:val="0"/>
              <w:marRight w:val="0"/>
              <w:marTop w:val="0"/>
              <w:marBottom w:val="0"/>
              <w:divBdr>
                <w:top w:val="none" w:sz="0" w:space="0" w:color="auto"/>
                <w:left w:val="none" w:sz="0" w:space="0" w:color="auto"/>
                <w:bottom w:val="none" w:sz="0" w:space="0" w:color="auto"/>
                <w:right w:val="none" w:sz="0" w:space="0" w:color="auto"/>
              </w:divBdr>
              <w:divsChild>
                <w:div w:id="781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4835">
          <w:marLeft w:val="0"/>
          <w:marRight w:val="0"/>
          <w:marTop w:val="0"/>
          <w:marBottom w:val="0"/>
          <w:divBdr>
            <w:top w:val="none" w:sz="0" w:space="0" w:color="auto"/>
            <w:left w:val="none" w:sz="0" w:space="0" w:color="auto"/>
            <w:bottom w:val="none" w:sz="0" w:space="0" w:color="auto"/>
            <w:right w:val="none" w:sz="0" w:space="0" w:color="auto"/>
          </w:divBdr>
          <w:divsChild>
            <w:div w:id="2140682016">
              <w:marLeft w:val="0"/>
              <w:marRight w:val="0"/>
              <w:marTop w:val="0"/>
              <w:marBottom w:val="0"/>
              <w:divBdr>
                <w:top w:val="none" w:sz="0" w:space="0" w:color="auto"/>
                <w:left w:val="none" w:sz="0" w:space="0" w:color="auto"/>
                <w:bottom w:val="none" w:sz="0" w:space="0" w:color="auto"/>
                <w:right w:val="none" w:sz="0" w:space="0" w:color="auto"/>
              </w:divBdr>
              <w:divsChild>
                <w:div w:id="4685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97914">
          <w:marLeft w:val="0"/>
          <w:marRight w:val="0"/>
          <w:marTop w:val="0"/>
          <w:marBottom w:val="0"/>
          <w:divBdr>
            <w:top w:val="none" w:sz="0" w:space="0" w:color="auto"/>
            <w:left w:val="none" w:sz="0" w:space="0" w:color="auto"/>
            <w:bottom w:val="none" w:sz="0" w:space="0" w:color="auto"/>
            <w:right w:val="none" w:sz="0" w:space="0" w:color="auto"/>
          </w:divBdr>
          <w:divsChild>
            <w:div w:id="1660421936">
              <w:marLeft w:val="0"/>
              <w:marRight w:val="0"/>
              <w:marTop w:val="0"/>
              <w:marBottom w:val="0"/>
              <w:divBdr>
                <w:top w:val="none" w:sz="0" w:space="0" w:color="auto"/>
                <w:left w:val="none" w:sz="0" w:space="0" w:color="auto"/>
                <w:bottom w:val="none" w:sz="0" w:space="0" w:color="auto"/>
                <w:right w:val="none" w:sz="0" w:space="0" w:color="auto"/>
              </w:divBdr>
              <w:divsChild>
                <w:div w:id="8271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5637">
          <w:marLeft w:val="0"/>
          <w:marRight w:val="0"/>
          <w:marTop w:val="0"/>
          <w:marBottom w:val="0"/>
          <w:divBdr>
            <w:top w:val="none" w:sz="0" w:space="0" w:color="auto"/>
            <w:left w:val="none" w:sz="0" w:space="0" w:color="auto"/>
            <w:bottom w:val="none" w:sz="0" w:space="0" w:color="auto"/>
            <w:right w:val="none" w:sz="0" w:space="0" w:color="auto"/>
          </w:divBdr>
          <w:divsChild>
            <w:div w:id="734090664">
              <w:marLeft w:val="0"/>
              <w:marRight w:val="0"/>
              <w:marTop w:val="0"/>
              <w:marBottom w:val="0"/>
              <w:divBdr>
                <w:top w:val="none" w:sz="0" w:space="0" w:color="auto"/>
                <w:left w:val="none" w:sz="0" w:space="0" w:color="auto"/>
                <w:bottom w:val="none" w:sz="0" w:space="0" w:color="auto"/>
                <w:right w:val="none" w:sz="0" w:space="0" w:color="auto"/>
              </w:divBdr>
              <w:divsChild>
                <w:div w:id="937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186">
          <w:marLeft w:val="0"/>
          <w:marRight w:val="0"/>
          <w:marTop w:val="0"/>
          <w:marBottom w:val="0"/>
          <w:divBdr>
            <w:top w:val="none" w:sz="0" w:space="0" w:color="auto"/>
            <w:left w:val="none" w:sz="0" w:space="0" w:color="auto"/>
            <w:bottom w:val="none" w:sz="0" w:space="0" w:color="auto"/>
            <w:right w:val="none" w:sz="0" w:space="0" w:color="auto"/>
          </w:divBdr>
          <w:divsChild>
            <w:div w:id="1860854467">
              <w:marLeft w:val="0"/>
              <w:marRight w:val="0"/>
              <w:marTop w:val="0"/>
              <w:marBottom w:val="0"/>
              <w:divBdr>
                <w:top w:val="none" w:sz="0" w:space="0" w:color="auto"/>
                <w:left w:val="none" w:sz="0" w:space="0" w:color="auto"/>
                <w:bottom w:val="none" w:sz="0" w:space="0" w:color="auto"/>
                <w:right w:val="none" w:sz="0" w:space="0" w:color="auto"/>
              </w:divBdr>
              <w:divsChild>
                <w:div w:id="1092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2550">
          <w:marLeft w:val="0"/>
          <w:marRight w:val="0"/>
          <w:marTop w:val="0"/>
          <w:marBottom w:val="0"/>
          <w:divBdr>
            <w:top w:val="none" w:sz="0" w:space="0" w:color="auto"/>
            <w:left w:val="none" w:sz="0" w:space="0" w:color="auto"/>
            <w:bottom w:val="none" w:sz="0" w:space="0" w:color="auto"/>
            <w:right w:val="none" w:sz="0" w:space="0" w:color="auto"/>
          </w:divBdr>
          <w:divsChild>
            <w:div w:id="1661344846">
              <w:marLeft w:val="0"/>
              <w:marRight w:val="0"/>
              <w:marTop w:val="0"/>
              <w:marBottom w:val="0"/>
              <w:divBdr>
                <w:top w:val="none" w:sz="0" w:space="0" w:color="auto"/>
                <w:left w:val="none" w:sz="0" w:space="0" w:color="auto"/>
                <w:bottom w:val="none" w:sz="0" w:space="0" w:color="auto"/>
                <w:right w:val="none" w:sz="0" w:space="0" w:color="auto"/>
              </w:divBdr>
              <w:divsChild>
                <w:div w:id="285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6264">
          <w:marLeft w:val="0"/>
          <w:marRight w:val="0"/>
          <w:marTop w:val="0"/>
          <w:marBottom w:val="0"/>
          <w:divBdr>
            <w:top w:val="none" w:sz="0" w:space="0" w:color="auto"/>
            <w:left w:val="none" w:sz="0" w:space="0" w:color="auto"/>
            <w:bottom w:val="none" w:sz="0" w:space="0" w:color="auto"/>
            <w:right w:val="none" w:sz="0" w:space="0" w:color="auto"/>
          </w:divBdr>
          <w:divsChild>
            <w:div w:id="839613503">
              <w:marLeft w:val="0"/>
              <w:marRight w:val="0"/>
              <w:marTop w:val="0"/>
              <w:marBottom w:val="0"/>
              <w:divBdr>
                <w:top w:val="none" w:sz="0" w:space="0" w:color="auto"/>
                <w:left w:val="none" w:sz="0" w:space="0" w:color="auto"/>
                <w:bottom w:val="none" w:sz="0" w:space="0" w:color="auto"/>
                <w:right w:val="none" w:sz="0" w:space="0" w:color="auto"/>
              </w:divBdr>
              <w:divsChild>
                <w:div w:id="1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1578">
          <w:marLeft w:val="0"/>
          <w:marRight w:val="0"/>
          <w:marTop w:val="0"/>
          <w:marBottom w:val="0"/>
          <w:divBdr>
            <w:top w:val="none" w:sz="0" w:space="0" w:color="auto"/>
            <w:left w:val="none" w:sz="0" w:space="0" w:color="auto"/>
            <w:bottom w:val="none" w:sz="0" w:space="0" w:color="auto"/>
            <w:right w:val="none" w:sz="0" w:space="0" w:color="auto"/>
          </w:divBdr>
          <w:divsChild>
            <w:div w:id="1569530320">
              <w:marLeft w:val="0"/>
              <w:marRight w:val="0"/>
              <w:marTop w:val="0"/>
              <w:marBottom w:val="0"/>
              <w:divBdr>
                <w:top w:val="none" w:sz="0" w:space="0" w:color="auto"/>
                <w:left w:val="none" w:sz="0" w:space="0" w:color="auto"/>
                <w:bottom w:val="none" w:sz="0" w:space="0" w:color="auto"/>
                <w:right w:val="none" w:sz="0" w:space="0" w:color="auto"/>
              </w:divBdr>
              <w:divsChild>
                <w:div w:id="19518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9071">
          <w:marLeft w:val="0"/>
          <w:marRight w:val="0"/>
          <w:marTop w:val="0"/>
          <w:marBottom w:val="0"/>
          <w:divBdr>
            <w:top w:val="none" w:sz="0" w:space="0" w:color="auto"/>
            <w:left w:val="none" w:sz="0" w:space="0" w:color="auto"/>
            <w:bottom w:val="none" w:sz="0" w:space="0" w:color="auto"/>
            <w:right w:val="none" w:sz="0" w:space="0" w:color="auto"/>
          </w:divBdr>
          <w:divsChild>
            <w:div w:id="1883596381">
              <w:marLeft w:val="0"/>
              <w:marRight w:val="0"/>
              <w:marTop w:val="0"/>
              <w:marBottom w:val="0"/>
              <w:divBdr>
                <w:top w:val="none" w:sz="0" w:space="0" w:color="auto"/>
                <w:left w:val="none" w:sz="0" w:space="0" w:color="auto"/>
                <w:bottom w:val="none" w:sz="0" w:space="0" w:color="auto"/>
                <w:right w:val="none" w:sz="0" w:space="0" w:color="auto"/>
              </w:divBdr>
              <w:divsChild>
                <w:div w:id="6087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3835">
          <w:marLeft w:val="0"/>
          <w:marRight w:val="0"/>
          <w:marTop w:val="0"/>
          <w:marBottom w:val="0"/>
          <w:divBdr>
            <w:top w:val="none" w:sz="0" w:space="0" w:color="auto"/>
            <w:left w:val="none" w:sz="0" w:space="0" w:color="auto"/>
            <w:bottom w:val="none" w:sz="0" w:space="0" w:color="auto"/>
            <w:right w:val="none" w:sz="0" w:space="0" w:color="auto"/>
          </w:divBdr>
          <w:divsChild>
            <w:div w:id="269901413">
              <w:marLeft w:val="0"/>
              <w:marRight w:val="0"/>
              <w:marTop w:val="0"/>
              <w:marBottom w:val="0"/>
              <w:divBdr>
                <w:top w:val="none" w:sz="0" w:space="0" w:color="auto"/>
                <w:left w:val="none" w:sz="0" w:space="0" w:color="auto"/>
                <w:bottom w:val="none" w:sz="0" w:space="0" w:color="auto"/>
                <w:right w:val="none" w:sz="0" w:space="0" w:color="auto"/>
              </w:divBdr>
              <w:divsChild>
                <w:div w:id="703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0060">
          <w:marLeft w:val="0"/>
          <w:marRight w:val="0"/>
          <w:marTop w:val="0"/>
          <w:marBottom w:val="0"/>
          <w:divBdr>
            <w:top w:val="none" w:sz="0" w:space="0" w:color="auto"/>
            <w:left w:val="none" w:sz="0" w:space="0" w:color="auto"/>
            <w:bottom w:val="none" w:sz="0" w:space="0" w:color="auto"/>
            <w:right w:val="none" w:sz="0" w:space="0" w:color="auto"/>
          </w:divBdr>
          <w:divsChild>
            <w:div w:id="838470901">
              <w:marLeft w:val="0"/>
              <w:marRight w:val="0"/>
              <w:marTop w:val="0"/>
              <w:marBottom w:val="0"/>
              <w:divBdr>
                <w:top w:val="none" w:sz="0" w:space="0" w:color="auto"/>
                <w:left w:val="none" w:sz="0" w:space="0" w:color="auto"/>
                <w:bottom w:val="none" w:sz="0" w:space="0" w:color="auto"/>
                <w:right w:val="none" w:sz="0" w:space="0" w:color="auto"/>
              </w:divBdr>
              <w:divsChild>
                <w:div w:id="6452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0991">
          <w:marLeft w:val="0"/>
          <w:marRight w:val="0"/>
          <w:marTop w:val="0"/>
          <w:marBottom w:val="0"/>
          <w:divBdr>
            <w:top w:val="none" w:sz="0" w:space="0" w:color="auto"/>
            <w:left w:val="none" w:sz="0" w:space="0" w:color="auto"/>
            <w:bottom w:val="none" w:sz="0" w:space="0" w:color="auto"/>
            <w:right w:val="none" w:sz="0" w:space="0" w:color="auto"/>
          </w:divBdr>
          <w:divsChild>
            <w:div w:id="822819938">
              <w:marLeft w:val="0"/>
              <w:marRight w:val="0"/>
              <w:marTop w:val="0"/>
              <w:marBottom w:val="0"/>
              <w:divBdr>
                <w:top w:val="none" w:sz="0" w:space="0" w:color="auto"/>
                <w:left w:val="none" w:sz="0" w:space="0" w:color="auto"/>
                <w:bottom w:val="none" w:sz="0" w:space="0" w:color="auto"/>
                <w:right w:val="none" w:sz="0" w:space="0" w:color="auto"/>
              </w:divBdr>
              <w:divsChild>
                <w:div w:id="44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1274">
          <w:marLeft w:val="0"/>
          <w:marRight w:val="0"/>
          <w:marTop w:val="0"/>
          <w:marBottom w:val="0"/>
          <w:divBdr>
            <w:top w:val="none" w:sz="0" w:space="0" w:color="auto"/>
            <w:left w:val="none" w:sz="0" w:space="0" w:color="auto"/>
            <w:bottom w:val="none" w:sz="0" w:space="0" w:color="auto"/>
            <w:right w:val="none" w:sz="0" w:space="0" w:color="auto"/>
          </w:divBdr>
          <w:divsChild>
            <w:div w:id="138543158">
              <w:marLeft w:val="0"/>
              <w:marRight w:val="0"/>
              <w:marTop w:val="0"/>
              <w:marBottom w:val="0"/>
              <w:divBdr>
                <w:top w:val="none" w:sz="0" w:space="0" w:color="auto"/>
                <w:left w:val="none" w:sz="0" w:space="0" w:color="auto"/>
                <w:bottom w:val="none" w:sz="0" w:space="0" w:color="auto"/>
                <w:right w:val="none" w:sz="0" w:space="0" w:color="auto"/>
              </w:divBdr>
              <w:divsChild>
                <w:div w:id="19276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2064">
          <w:marLeft w:val="0"/>
          <w:marRight w:val="0"/>
          <w:marTop w:val="0"/>
          <w:marBottom w:val="0"/>
          <w:divBdr>
            <w:top w:val="none" w:sz="0" w:space="0" w:color="auto"/>
            <w:left w:val="none" w:sz="0" w:space="0" w:color="auto"/>
            <w:bottom w:val="none" w:sz="0" w:space="0" w:color="auto"/>
            <w:right w:val="none" w:sz="0" w:space="0" w:color="auto"/>
          </w:divBdr>
          <w:divsChild>
            <w:div w:id="1014651873">
              <w:marLeft w:val="0"/>
              <w:marRight w:val="0"/>
              <w:marTop w:val="0"/>
              <w:marBottom w:val="0"/>
              <w:divBdr>
                <w:top w:val="none" w:sz="0" w:space="0" w:color="auto"/>
                <w:left w:val="none" w:sz="0" w:space="0" w:color="auto"/>
                <w:bottom w:val="none" w:sz="0" w:space="0" w:color="auto"/>
                <w:right w:val="none" w:sz="0" w:space="0" w:color="auto"/>
              </w:divBdr>
              <w:divsChild>
                <w:div w:id="18326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581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3529099">
      <w:bodyDiv w:val="1"/>
      <w:marLeft w:val="0"/>
      <w:marRight w:val="0"/>
      <w:marTop w:val="0"/>
      <w:marBottom w:val="0"/>
      <w:divBdr>
        <w:top w:val="none" w:sz="0" w:space="0" w:color="auto"/>
        <w:left w:val="none" w:sz="0" w:space="0" w:color="auto"/>
        <w:bottom w:val="none" w:sz="0" w:space="0" w:color="auto"/>
        <w:right w:val="none" w:sz="0" w:space="0" w:color="auto"/>
      </w:divBdr>
    </w:div>
    <w:div w:id="180973601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1954711">
      <w:bodyDiv w:val="1"/>
      <w:marLeft w:val="0"/>
      <w:marRight w:val="0"/>
      <w:marTop w:val="0"/>
      <w:marBottom w:val="0"/>
      <w:divBdr>
        <w:top w:val="none" w:sz="0" w:space="0" w:color="auto"/>
        <w:left w:val="none" w:sz="0" w:space="0" w:color="auto"/>
        <w:bottom w:val="none" w:sz="0" w:space="0" w:color="auto"/>
        <w:right w:val="none" w:sz="0" w:space="0" w:color="auto"/>
      </w:divBdr>
      <w:divsChild>
        <w:div w:id="1919290197">
          <w:marLeft w:val="0"/>
          <w:marRight w:val="0"/>
          <w:marTop w:val="0"/>
          <w:marBottom w:val="0"/>
          <w:divBdr>
            <w:top w:val="none" w:sz="0" w:space="0" w:color="auto"/>
            <w:left w:val="none" w:sz="0" w:space="0" w:color="auto"/>
            <w:bottom w:val="none" w:sz="0" w:space="0" w:color="auto"/>
            <w:right w:val="none" w:sz="0" w:space="0" w:color="auto"/>
          </w:divBdr>
          <w:divsChild>
            <w:div w:id="2094928647">
              <w:marLeft w:val="0"/>
              <w:marRight w:val="0"/>
              <w:marTop w:val="0"/>
              <w:marBottom w:val="0"/>
              <w:divBdr>
                <w:top w:val="none" w:sz="0" w:space="0" w:color="auto"/>
                <w:left w:val="none" w:sz="0" w:space="0" w:color="auto"/>
                <w:bottom w:val="none" w:sz="0" w:space="0" w:color="auto"/>
                <w:right w:val="none" w:sz="0" w:space="0" w:color="auto"/>
              </w:divBdr>
              <w:divsChild>
                <w:div w:id="7814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BB90-F999-4581-9530-871FB7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2515</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2021-06-29T06:01:00Z</dcterms:created>
  <dcterms:modified xsi:type="dcterms:W3CDTF">2021-06-29T06:01:00Z</dcterms:modified>
</cp:coreProperties>
</file>